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BDA4517" w14:textId="77777777" w:rsidR="00A37BD8" w:rsidRDefault="00487EB2" w:rsidP="00BB4311">
      <w:pPr>
        <w:pStyle w:val="Heading7"/>
      </w:pPr>
      <w:r>
        <w:rPr>
          <w:noProof/>
          <w:lang w:val="en-AU" w:eastAsia="en-AU"/>
        </w:rPr>
        <mc:AlternateContent>
          <mc:Choice Requires="wps">
            <w:drawing>
              <wp:anchor distT="0" distB="0" distL="114300" distR="114300" simplePos="0" relativeHeight="251657216" behindDoc="0" locked="0" layoutInCell="0" allowOverlap="1" wp14:anchorId="3772DFA0" wp14:editId="4CF9C521">
                <wp:simplePos x="0" y="0"/>
                <wp:positionH relativeFrom="margin">
                  <wp:posOffset>565150</wp:posOffset>
                </wp:positionH>
                <wp:positionV relativeFrom="margin">
                  <wp:posOffset>658495</wp:posOffset>
                </wp:positionV>
                <wp:extent cx="4319905" cy="2283460"/>
                <wp:effectExtent l="0" t="0" r="0" b="254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9905" cy="2283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C093FE" w14:textId="2D1B977A" w:rsidR="004E09D0" w:rsidRPr="00CD0BDF" w:rsidRDefault="004E09D0" w:rsidP="00A37BD8">
                            <w:pPr>
                              <w:pStyle w:val="UtilComReportHeading"/>
                              <w:spacing w:line="240" w:lineRule="auto"/>
                              <w:ind w:left="0"/>
                            </w:pPr>
                            <w:r w:rsidRPr="00A37BD8">
                              <w:t>2014 NETWORK PRICE DETERMINATION</w:t>
                            </w:r>
                          </w:p>
                          <w:p w14:paraId="5CFA3264" w14:textId="168EF8BE" w:rsidR="004E09D0" w:rsidRPr="00E55885" w:rsidRDefault="004E09D0" w:rsidP="00A37BD8">
                            <w:pPr>
                              <w:pStyle w:val="UtilComDate"/>
                              <w:spacing w:before="240"/>
                              <w:rPr>
                                <w:rStyle w:val="UtilComReportHeadingChar"/>
                                <w:i w:val="0"/>
                                <w:color w:val="17365D"/>
                                <w:sz w:val="24"/>
                                <w:szCs w:val="24"/>
                              </w:rPr>
                            </w:pPr>
                            <w:r>
                              <w:rPr>
                                <w:rStyle w:val="UtilComReportHeadingChar"/>
                                <w:i w:val="0"/>
                                <w:color w:val="17365D"/>
                                <w:sz w:val="24"/>
                                <w:szCs w:val="24"/>
                              </w:rPr>
                              <w:t>Final DETERMINATION</w:t>
                            </w:r>
                            <w:r>
                              <w:rPr>
                                <w:rStyle w:val="UtilComReportHeadingChar"/>
                                <w:i w:val="0"/>
                                <w:color w:val="17365D"/>
                                <w:sz w:val="24"/>
                                <w:szCs w:val="24"/>
                              </w:rPr>
                              <w:br/>
                              <w:t>PART A – Statement of Reasons</w:t>
                            </w:r>
                          </w:p>
                          <w:p w14:paraId="056C0C3C" w14:textId="77777777" w:rsidR="004E09D0" w:rsidRDefault="004E09D0" w:rsidP="00A37BD8">
                            <w:pPr>
                              <w:pStyle w:val="UtilComDate"/>
                              <w:spacing w:before="240"/>
                              <w:rPr>
                                <w:i w:val="0"/>
                              </w:rPr>
                            </w:pPr>
                            <w:r>
                              <w:rPr>
                                <w:i w:val="0"/>
                              </w:rPr>
                              <w:t>April</w:t>
                            </w:r>
                            <w:r w:rsidRPr="008F7A49">
                              <w:rPr>
                                <w:i w:val="0"/>
                              </w:rPr>
                              <w:t xml:space="preserve"> 201</w:t>
                            </w:r>
                            <w:r>
                              <w:rPr>
                                <w:i w:val="0"/>
                              </w:rPr>
                              <w:t>4</w:t>
                            </w:r>
                          </w:p>
                          <w:p w14:paraId="1D1E0E79" w14:textId="4EF4B970" w:rsidR="004E09D0" w:rsidRPr="00C02D48" w:rsidRDefault="004E09D0" w:rsidP="00A37BD8">
                            <w:pPr>
                              <w:pStyle w:val="UtilComDate"/>
                              <w:spacing w:before="240"/>
                              <w:rPr>
                                <w:i w:val="0"/>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4.5pt;margin-top:51.85pt;width:340.15pt;height:179.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yj4twIAALo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" o:allowincell="f" filled="f" stroked="f">
                <v:textbox>
                  <w:txbxContent>
                    <w:p w14:paraId="1EC093FE" w14:textId="2D1B977A" w:rsidR="004E09D0" w:rsidRPr="00CD0BDF" w:rsidRDefault="004E09D0" w:rsidP="00A37BD8">
                      <w:pPr>
                        <w:pStyle w:val="UtilComReportHeading"/>
                        <w:spacing w:line="240" w:lineRule="auto"/>
                        <w:ind w:left="0"/>
                      </w:pPr>
                      <w:r w:rsidRPr="00A37BD8">
                        <w:t>2014 NETWORK PRICE DETERMINATION</w:t>
                      </w:r>
                    </w:p>
                    <w:p w14:paraId="5CFA3264" w14:textId="168EF8BE" w:rsidR="004E09D0" w:rsidRPr="00E55885" w:rsidRDefault="004E09D0" w:rsidP="00A37BD8">
                      <w:pPr>
                        <w:pStyle w:val="UtilComDate"/>
                        <w:spacing w:before="240"/>
                        <w:rPr>
                          <w:rStyle w:val="UtilComReportHeadingChar"/>
                          <w:i w:val="0"/>
                          <w:color w:val="17365D"/>
                          <w:sz w:val="24"/>
                          <w:szCs w:val="24"/>
                        </w:rPr>
                      </w:pPr>
                      <w:r>
                        <w:rPr>
                          <w:rStyle w:val="UtilComReportHeadingChar"/>
                          <w:i w:val="0"/>
                          <w:color w:val="17365D"/>
                          <w:sz w:val="24"/>
                          <w:szCs w:val="24"/>
                        </w:rPr>
                        <w:t>Final DETERMINATION</w:t>
                      </w:r>
                      <w:r>
                        <w:rPr>
                          <w:rStyle w:val="UtilComReportHeadingChar"/>
                          <w:i w:val="0"/>
                          <w:color w:val="17365D"/>
                          <w:sz w:val="24"/>
                          <w:szCs w:val="24"/>
                        </w:rPr>
                        <w:br/>
                        <w:t>PART A – Statement of Reasons</w:t>
                      </w:r>
                    </w:p>
                    <w:p w14:paraId="056C0C3C" w14:textId="77777777" w:rsidR="004E09D0" w:rsidRDefault="004E09D0" w:rsidP="00A37BD8">
                      <w:pPr>
                        <w:pStyle w:val="UtilComDate"/>
                        <w:spacing w:before="240"/>
                        <w:rPr>
                          <w:i w:val="0"/>
                        </w:rPr>
                      </w:pPr>
                      <w:r>
                        <w:rPr>
                          <w:i w:val="0"/>
                        </w:rPr>
                        <w:t>April</w:t>
                      </w:r>
                      <w:r w:rsidRPr="008F7A49">
                        <w:rPr>
                          <w:i w:val="0"/>
                        </w:rPr>
                        <w:t xml:space="preserve"> 201</w:t>
                      </w:r>
                      <w:r>
                        <w:rPr>
                          <w:i w:val="0"/>
                        </w:rPr>
                        <w:t>4</w:t>
                      </w:r>
                    </w:p>
                    <w:p w14:paraId="1D1E0E79" w14:textId="4EF4B970" w:rsidR="004E09D0" w:rsidRPr="00C02D48" w:rsidRDefault="004E09D0" w:rsidP="00A37BD8">
                      <w:pPr>
                        <w:pStyle w:val="UtilComDate"/>
                        <w:spacing w:before="240"/>
                        <w:rPr>
                          <w:i w:val="0"/>
                          <w:color w:val="FF0000"/>
                        </w:rPr>
                      </w:pPr>
                    </w:p>
                  </w:txbxContent>
                </v:textbox>
                <w10:wrap anchorx="margin" anchory="margin"/>
              </v:shape>
            </w:pict>
          </mc:Fallback>
        </mc:AlternateContent>
      </w:r>
    </w:p>
    <w:p w14:paraId="4F993136" w14:textId="77777777" w:rsidR="00A37BD8" w:rsidRPr="00D063EF" w:rsidRDefault="00A37BD8" w:rsidP="00A37BD8"/>
    <w:p w14:paraId="4301C4C0" w14:textId="77777777" w:rsidR="00A37BD8" w:rsidRPr="00D063EF" w:rsidRDefault="00A37BD8" w:rsidP="00A37BD8"/>
    <w:p w14:paraId="35E5D550" w14:textId="77777777" w:rsidR="00A37BD8" w:rsidRPr="00D063EF" w:rsidRDefault="00A37BD8" w:rsidP="00A37BD8"/>
    <w:p w14:paraId="4D35368D" w14:textId="77777777" w:rsidR="00A37BD8" w:rsidRPr="00D063EF" w:rsidRDefault="00A37BD8" w:rsidP="00A37BD8"/>
    <w:p w14:paraId="0D7AACEC" w14:textId="77777777" w:rsidR="00A37BD8" w:rsidRPr="00D063EF" w:rsidRDefault="00A37BD8" w:rsidP="00A37BD8"/>
    <w:p w14:paraId="36488A37" w14:textId="77777777" w:rsidR="00A37BD8" w:rsidRPr="00D063EF" w:rsidRDefault="00A37BD8" w:rsidP="00A37BD8"/>
    <w:p w14:paraId="17EB2777" w14:textId="77777777" w:rsidR="00A37BD8" w:rsidRPr="00D063EF" w:rsidRDefault="00A37BD8" w:rsidP="00A37BD8"/>
    <w:p w14:paraId="3355BEA6" w14:textId="77777777" w:rsidR="00A37BD8" w:rsidRPr="00D063EF" w:rsidRDefault="00A37BD8" w:rsidP="00A37BD8"/>
    <w:p w14:paraId="7B7FA58A" w14:textId="77777777" w:rsidR="00A37BD8" w:rsidRPr="00D063EF" w:rsidRDefault="009B6C2E" w:rsidP="00A37BD8">
      <w:r>
        <w:rPr>
          <w:noProof/>
          <w:lang w:val="en-AU" w:eastAsia="en-AU"/>
        </w:rPr>
        <mc:AlternateContent>
          <mc:Choice Requires="wps">
            <w:drawing>
              <wp:anchor distT="0" distB="0" distL="114300" distR="114300" simplePos="0" relativeHeight="251658240" behindDoc="0" locked="0" layoutInCell="1" allowOverlap="1" wp14:anchorId="02417A2A" wp14:editId="24F851C9">
                <wp:simplePos x="0" y="0"/>
                <wp:positionH relativeFrom="column">
                  <wp:posOffset>672465</wp:posOffset>
                </wp:positionH>
                <wp:positionV relativeFrom="paragraph">
                  <wp:posOffset>48895</wp:posOffset>
                </wp:positionV>
                <wp:extent cx="5828665" cy="635"/>
                <wp:effectExtent l="0" t="0" r="19685" b="37465"/>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8665" cy="635"/>
                        </a:xfrm>
                        <a:prstGeom prst="straightConnector1">
                          <a:avLst/>
                        </a:prstGeom>
                        <a:noFill/>
                        <a:ln w="12700">
                          <a:solidFill>
                            <a:srgbClr val="00A0A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 o:spid="_x0000_s1026" type="#_x0000_t32" style="position:absolute;margin-left:52.95pt;margin-top:3.85pt;width:458.95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" strokecolor="#00a0af" strokeweight="1pt"/>
            </w:pict>
          </mc:Fallback>
        </mc:AlternateContent>
      </w:r>
    </w:p>
    <w:p w14:paraId="6AFEAB06" w14:textId="77777777" w:rsidR="00A37BD8" w:rsidRPr="00D063EF" w:rsidRDefault="00A37BD8" w:rsidP="00A37BD8"/>
    <w:p w14:paraId="46F3E3D0" w14:textId="77777777" w:rsidR="00A37BD8" w:rsidRPr="00D063EF" w:rsidRDefault="00A37BD8" w:rsidP="00A37BD8"/>
    <w:p w14:paraId="15778C4A" w14:textId="77777777" w:rsidR="00A37BD8" w:rsidRPr="00D063EF" w:rsidRDefault="00A37BD8" w:rsidP="00A37BD8"/>
    <w:p w14:paraId="264DB1AD" w14:textId="77777777" w:rsidR="00A37BD8" w:rsidRDefault="00A37BD8" w:rsidP="00A37BD8"/>
    <w:p w14:paraId="7C43FF0C" w14:textId="77777777" w:rsidR="00A37BD8" w:rsidRDefault="00A37BD8" w:rsidP="00A37BD8">
      <w:pPr>
        <w:tabs>
          <w:tab w:val="left" w:pos="5610"/>
        </w:tabs>
      </w:pPr>
    </w:p>
    <w:p w14:paraId="579C5E8D" w14:textId="11C158DC" w:rsidR="00631EEF" w:rsidRDefault="00631EEF" w:rsidP="00A37BD8">
      <w:pPr>
        <w:tabs>
          <w:tab w:val="left" w:pos="5610"/>
        </w:tabs>
      </w:pPr>
    </w:p>
    <w:p w14:paraId="6FA979B6" w14:textId="77777777" w:rsidR="00631EEF" w:rsidRPr="00631EEF" w:rsidRDefault="00631EEF" w:rsidP="00BB4311"/>
    <w:p w14:paraId="034FF84E" w14:textId="77777777" w:rsidR="00631EEF" w:rsidRPr="00631EEF" w:rsidRDefault="00631EEF" w:rsidP="00BB4311"/>
    <w:p w14:paraId="3AA1EE82" w14:textId="77777777" w:rsidR="00631EEF" w:rsidRPr="00631EEF" w:rsidRDefault="00631EEF" w:rsidP="00BB4311"/>
    <w:p w14:paraId="6A969939" w14:textId="77777777" w:rsidR="00631EEF" w:rsidRPr="00631EEF" w:rsidRDefault="00631EEF" w:rsidP="00BB4311"/>
    <w:p w14:paraId="2A9B005A" w14:textId="77777777" w:rsidR="00631EEF" w:rsidRPr="00631EEF" w:rsidRDefault="00631EEF" w:rsidP="00BB4311"/>
    <w:p w14:paraId="3E496187" w14:textId="77777777" w:rsidR="00631EEF" w:rsidRPr="00631EEF" w:rsidRDefault="00631EEF" w:rsidP="00BB4311"/>
    <w:p w14:paraId="54818476" w14:textId="77777777" w:rsidR="00631EEF" w:rsidRPr="00631EEF" w:rsidRDefault="00631EEF" w:rsidP="00BB4311"/>
    <w:p w14:paraId="70634B22" w14:textId="77777777" w:rsidR="00631EEF" w:rsidRPr="00631EEF" w:rsidRDefault="00631EEF" w:rsidP="00BB4311"/>
    <w:p w14:paraId="1E01DDB8" w14:textId="77777777" w:rsidR="00631EEF" w:rsidRPr="00631EEF" w:rsidRDefault="00631EEF" w:rsidP="00BB4311"/>
    <w:p w14:paraId="48E00A61" w14:textId="77777777" w:rsidR="00631EEF" w:rsidRPr="00631EEF" w:rsidRDefault="00631EEF" w:rsidP="00BB4311"/>
    <w:p w14:paraId="417AABCA" w14:textId="19761259" w:rsidR="00631EEF" w:rsidRDefault="00631EEF" w:rsidP="00BB4311">
      <w:pPr>
        <w:tabs>
          <w:tab w:val="left" w:pos="1170"/>
        </w:tabs>
      </w:pPr>
      <w:r>
        <w:tab/>
      </w:r>
    </w:p>
    <w:p w14:paraId="1A1880C7" w14:textId="39110698" w:rsidR="00631EEF" w:rsidRDefault="00631EEF" w:rsidP="00631EEF"/>
    <w:p w14:paraId="5D36C6D0" w14:textId="77777777" w:rsidR="00BF4E9E" w:rsidRDefault="00BF4E9E" w:rsidP="00BB4311">
      <w:pPr>
        <w:sectPr w:rsidR="00BF4E9E" w:rsidSect="004B63D8">
          <w:headerReference w:type="even" r:id="rId13"/>
          <w:headerReference w:type="default" r:id="rId14"/>
          <w:footerReference w:type="even" r:id="rId15"/>
          <w:footerReference w:type="default" r:id="rId16"/>
          <w:headerReference w:type="first" r:id="rId17"/>
          <w:footerReference w:type="first" r:id="rId18"/>
          <w:pgSz w:w="11907" w:h="16840" w:code="9"/>
          <w:pgMar w:top="851" w:right="1134" w:bottom="1134" w:left="1701" w:header="568" w:footer="567" w:gutter="0"/>
          <w:pgNumType w:start="1"/>
          <w:cols w:space="720"/>
          <w:titlePg/>
        </w:sectPr>
      </w:pPr>
    </w:p>
    <w:p w14:paraId="24E43658" w14:textId="77777777" w:rsidR="00984DBC" w:rsidRPr="002D7732" w:rsidRDefault="00984DBC" w:rsidP="002D7732">
      <w:pPr>
        <w:rPr>
          <w:b/>
          <w:sz w:val="28"/>
          <w:szCs w:val="28"/>
        </w:rPr>
      </w:pPr>
      <w:bookmarkStart w:id="1" w:name="_Toc372608948"/>
      <w:r w:rsidRPr="002D7732">
        <w:rPr>
          <w:b/>
          <w:sz w:val="28"/>
          <w:szCs w:val="28"/>
        </w:rPr>
        <w:lastRenderedPageBreak/>
        <w:t>Table of Contents</w:t>
      </w:r>
      <w:bookmarkEnd w:id="1"/>
    </w:p>
    <w:p w14:paraId="5BB3286F" w14:textId="77777777" w:rsidR="008535C7" w:rsidRDefault="00592488">
      <w:pPr>
        <w:pStyle w:val="TOC1"/>
        <w:tabs>
          <w:tab w:val="right" w:leader="dot" w:pos="9062"/>
        </w:tabs>
        <w:rPr>
          <w:rFonts w:asciiTheme="minorHAnsi" w:eastAsiaTheme="minorEastAsia" w:hAnsiTheme="minorHAnsi" w:cstheme="minorBidi"/>
          <w:b w:val="0"/>
          <w:noProof/>
          <w:spacing w:val="0"/>
          <w:szCs w:val="22"/>
          <w:lang w:val="en-AU" w:eastAsia="en-AU"/>
        </w:rPr>
      </w:pPr>
      <w:r>
        <w:rPr>
          <w:sz w:val="18"/>
          <w:szCs w:val="18"/>
        </w:rPr>
        <w:fldChar w:fldCharType="begin"/>
      </w:r>
      <w:r w:rsidR="00815A91">
        <w:rPr>
          <w:sz w:val="18"/>
          <w:szCs w:val="18"/>
        </w:rPr>
        <w:instrText xml:space="preserve"> TOC \h \z \t "Heading 1,1,UtilCom Chapter Heading,1,UtilCom Heading 2,2" </w:instrText>
      </w:r>
      <w:r>
        <w:rPr>
          <w:sz w:val="18"/>
          <w:szCs w:val="18"/>
        </w:rPr>
        <w:fldChar w:fldCharType="separate"/>
      </w:r>
      <w:hyperlink w:anchor="_Toc386012980" w:history="1">
        <w:r w:rsidR="008535C7" w:rsidRPr="005016CE">
          <w:rPr>
            <w:rStyle w:val="Hyperlink"/>
            <w:noProof/>
          </w:rPr>
          <w:t>Purpose of this Report</w:t>
        </w:r>
        <w:r w:rsidR="008535C7">
          <w:rPr>
            <w:noProof/>
            <w:webHidden/>
          </w:rPr>
          <w:tab/>
        </w:r>
        <w:r w:rsidR="008535C7">
          <w:rPr>
            <w:noProof/>
            <w:webHidden/>
          </w:rPr>
          <w:fldChar w:fldCharType="begin"/>
        </w:r>
        <w:r w:rsidR="008535C7">
          <w:rPr>
            <w:noProof/>
            <w:webHidden/>
          </w:rPr>
          <w:instrText xml:space="preserve"> PAGEREF _Toc386012980 \h </w:instrText>
        </w:r>
        <w:r w:rsidR="008535C7">
          <w:rPr>
            <w:noProof/>
            <w:webHidden/>
          </w:rPr>
        </w:r>
        <w:r w:rsidR="008535C7">
          <w:rPr>
            <w:noProof/>
            <w:webHidden/>
          </w:rPr>
          <w:fldChar w:fldCharType="separate"/>
        </w:r>
        <w:r w:rsidR="005B0810">
          <w:rPr>
            <w:noProof/>
            <w:webHidden/>
          </w:rPr>
          <w:t>vi</w:t>
        </w:r>
        <w:r w:rsidR="008535C7">
          <w:rPr>
            <w:noProof/>
            <w:webHidden/>
          </w:rPr>
          <w:fldChar w:fldCharType="end"/>
        </w:r>
      </w:hyperlink>
    </w:p>
    <w:p w14:paraId="03230A63" w14:textId="77777777" w:rsidR="008535C7" w:rsidRDefault="00780CFE">
      <w:pPr>
        <w:pStyle w:val="TOC1"/>
        <w:tabs>
          <w:tab w:val="right" w:leader="dot" w:pos="9062"/>
        </w:tabs>
        <w:rPr>
          <w:rFonts w:asciiTheme="minorHAnsi" w:eastAsiaTheme="minorEastAsia" w:hAnsiTheme="minorHAnsi" w:cstheme="minorBidi"/>
          <w:b w:val="0"/>
          <w:noProof/>
          <w:spacing w:val="0"/>
          <w:szCs w:val="22"/>
          <w:lang w:val="en-AU" w:eastAsia="en-AU"/>
        </w:rPr>
      </w:pPr>
      <w:hyperlink w:anchor="_Toc386012981" w:history="1">
        <w:r w:rsidR="008535C7" w:rsidRPr="005016CE">
          <w:rPr>
            <w:rStyle w:val="Hyperlink"/>
            <w:noProof/>
          </w:rPr>
          <w:t>Inquiries</w:t>
        </w:r>
        <w:r w:rsidR="008535C7">
          <w:rPr>
            <w:noProof/>
            <w:webHidden/>
          </w:rPr>
          <w:tab/>
        </w:r>
        <w:r w:rsidR="008535C7">
          <w:rPr>
            <w:noProof/>
            <w:webHidden/>
          </w:rPr>
          <w:fldChar w:fldCharType="begin"/>
        </w:r>
        <w:r w:rsidR="008535C7">
          <w:rPr>
            <w:noProof/>
            <w:webHidden/>
          </w:rPr>
          <w:instrText xml:space="preserve"> PAGEREF _Toc386012981 \h </w:instrText>
        </w:r>
        <w:r w:rsidR="008535C7">
          <w:rPr>
            <w:noProof/>
            <w:webHidden/>
          </w:rPr>
        </w:r>
        <w:r w:rsidR="008535C7">
          <w:rPr>
            <w:noProof/>
            <w:webHidden/>
          </w:rPr>
          <w:fldChar w:fldCharType="separate"/>
        </w:r>
        <w:r w:rsidR="005B0810">
          <w:rPr>
            <w:noProof/>
            <w:webHidden/>
          </w:rPr>
          <w:t>vi</w:t>
        </w:r>
        <w:r w:rsidR="008535C7">
          <w:rPr>
            <w:noProof/>
            <w:webHidden/>
          </w:rPr>
          <w:fldChar w:fldCharType="end"/>
        </w:r>
      </w:hyperlink>
    </w:p>
    <w:p w14:paraId="72522631" w14:textId="77777777" w:rsidR="008535C7" w:rsidRDefault="00780CFE">
      <w:pPr>
        <w:pStyle w:val="TOC1"/>
        <w:tabs>
          <w:tab w:val="right" w:leader="dot" w:pos="9062"/>
        </w:tabs>
        <w:rPr>
          <w:rFonts w:asciiTheme="minorHAnsi" w:eastAsiaTheme="minorEastAsia" w:hAnsiTheme="minorHAnsi" w:cstheme="minorBidi"/>
          <w:b w:val="0"/>
          <w:noProof/>
          <w:spacing w:val="0"/>
          <w:szCs w:val="22"/>
          <w:lang w:val="en-AU" w:eastAsia="en-AU"/>
        </w:rPr>
      </w:pPr>
      <w:hyperlink w:anchor="_Toc386012982" w:history="1">
        <w:r w:rsidR="008535C7" w:rsidRPr="005016CE">
          <w:rPr>
            <w:rStyle w:val="Hyperlink"/>
            <w:noProof/>
          </w:rPr>
          <w:t>Glossary of Terms</w:t>
        </w:r>
        <w:r w:rsidR="008535C7">
          <w:rPr>
            <w:noProof/>
            <w:webHidden/>
          </w:rPr>
          <w:tab/>
        </w:r>
        <w:r w:rsidR="008535C7">
          <w:rPr>
            <w:noProof/>
            <w:webHidden/>
          </w:rPr>
          <w:fldChar w:fldCharType="begin"/>
        </w:r>
        <w:r w:rsidR="008535C7">
          <w:rPr>
            <w:noProof/>
            <w:webHidden/>
          </w:rPr>
          <w:instrText xml:space="preserve"> PAGEREF _Toc386012982 \h </w:instrText>
        </w:r>
        <w:r w:rsidR="008535C7">
          <w:rPr>
            <w:noProof/>
            <w:webHidden/>
          </w:rPr>
        </w:r>
        <w:r w:rsidR="008535C7">
          <w:rPr>
            <w:noProof/>
            <w:webHidden/>
          </w:rPr>
          <w:fldChar w:fldCharType="separate"/>
        </w:r>
        <w:r w:rsidR="005B0810">
          <w:rPr>
            <w:noProof/>
            <w:webHidden/>
          </w:rPr>
          <w:t>vii</w:t>
        </w:r>
        <w:r w:rsidR="008535C7">
          <w:rPr>
            <w:noProof/>
            <w:webHidden/>
          </w:rPr>
          <w:fldChar w:fldCharType="end"/>
        </w:r>
      </w:hyperlink>
    </w:p>
    <w:p w14:paraId="549028C7" w14:textId="1700127C" w:rsidR="008535C7" w:rsidRPr="008535C7" w:rsidRDefault="008535C7">
      <w:pPr>
        <w:pStyle w:val="TOC1"/>
        <w:tabs>
          <w:tab w:val="right" w:leader="dot" w:pos="9062"/>
        </w:tabs>
        <w:rPr>
          <w:rStyle w:val="Hyperlink"/>
          <w:noProof/>
        </w:rPr>
      </w:pPr>
      <w:r w:rsidRPr="008535C7">
        <w:rPr>
          <w:rStyle w:val="Hyperlink"/>
          <w:noProof/>
          <w:color w:val="000000" w:themeColor="text1"/>
          <w:u w:val="none"/>
        </w:rPr>
        <w:t xml:space="preserve">CHAPTER 1 - </w:t>
      </w:r>
      <w:hyperlink w:anchor="_Toc386012983" w:history="1">
        <w:r w:rsidRPr="005016CE">
          <w:rPr>
            <w:rStyle w:val="Hyperlink"/>
            <w:noProof/>
          </w:rPr>
          <w:t>Executive Summary</w:t>
        </w:r>
        <w:r w:rsidRPr="008535C7">
          <w:rPr>
            <w:rStyle w:val="Hyperlink"/>
            <w:noProof/>
            <w:webHidden/>
          </w:rPr>
          <w:tab/>
        </w:r>
        <w:r w:rsidRPr="008535C7">
          <w:rPr>
            <w:rStyle w:val="Hyperlink"/>
            <w:noProof/>
            <w:webHidden/>
          </w:rPr>
          <w:fldChar w:fldCharType="begin"/>
        </w:r>
        <w:r w:rsidRPr="008535C7">
          <w:rPr>
            <w:rStyle w:val="Hyperlink"/>
            <w:noProof/>
            <w:webHidden/>
          </w:rPr>
          <w:instrText xml:space="preserve"> PAGEREF _Toc386012983 \h </w:instrText>
        </w:r>
        <w:r w:rsidRPr="008535C7">
          <w:rPr>
            <w:rStyle w:val="Hyperlink"/>
            <w:noProof/>
            <w:webHidden/>
          </w:rPr>
        </w:r>
        <w:r w:rsidRPr="008535C7">
          <w:rPr>
            <w:rStyle w:val="Hyperlink"/>
            <w:noProof/>
            <w:webHidden/>
          </w:rPr>
          <w:fldChar w:fldCharType="separate"/>
        </w:r>
        <w:r w:rsidR="005B0810">
          <w:rPr>
            <w:rStyle w:val="Hyperlink"/>
            <w:noProof/>
            <w:webHidden/>
          </w:rPr>
          <w:t>1</w:t>
        </w:r>
        <w:r w:rsidRPr="008535C7">
          <w:rPr>
            <w:rStyle w:val="Hyperlink"/>
            <w:noProof/>
            <w:webHidden/>
          </w:rPr>
          <w:fldChar w:fldCharType="end"/>
        </w:r>
      </w:hyperlink>
    </w:p>
    <w:p w14:paraId="3979382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84" w:history="1">
        <w:r w:rsidR="008535C7" w:rsidRPr="005016CE">
          <w:rPr>
            <w:rStyle w:val="Hyperlink"/>
            <w:noProof/>
            <w:lang w:val="en-AU"/>
          </w:rPr>
          <w:t>Review Process</w:t>
        </w:r>
        <w:r w:rsidR="008535C7">
          <w:rPr>
            <w:noProof/>
            <w:webHidden/>
          </w:rPr>
          <w:tab/>
        </w:r>
        <w:r w:rsidR="008535C7">
          <w:rPr>
            <w:noProof/>
            <w:webHidden/>
          </w:rPr>
          <w:fldChar w:fldCharType="begin"/>
        </w:r>
        <w:r w:rsidR="008535C7">
          <w:rPr>
            <w:noProof/>
            <w:webHidden/>
          </w:rPr>
          <w:instrText xml:space="preserve"> PAGEREF _Toc386012984 \h </w:instrText>
        </w:r>
        <w:r w:rsidR="008535C7">
          <w:rPr>
            <w:noProof/>
            <w:webHidden/>
          </w:rPr>
        </w:r>
        <w:r w:rsidR="008535C7">
          <w:rPr>
            <w:noProof/>
            <w:webHidden/>
          </w:rPr>
          <w:fldChar w:fldCharType="separate"/>
        </w:r>
        <w:r w:rsidR="005B0810">
          <w:rPr>
            <w:noProof/>
            <w:webHidden/>
          </w:rPr>
          <w:t>2</w:t>
        </w:r>
        <w:r w:rsidR="008535C7">
          <w:rPr>
            <w:noProof/>
            <w:webHidden/>
          </w:rPr>
          <w:fldChar w:fldCharType="end"/>
        </w:r>
      </w:hyperlink>
    </w:p>
    <w:p w14:paraId="7A6D0709" w14:textId="4CBD4030" w:rsidR="008535C7" w:rsidRDefault="00780CFE">
      <w:pPr>
        <w:pStyle w:val="TOC2"/>
        <w:rPr>
          <w:rFonts w:asciiTheme="minorHAnsi" w:eastAsiaTheme="minorEastAsia" w:hAnsiTheme="minorHAnsi" w:cstheme="minorBidi"/>
          <w:noProof/>
          <w:sz w:val="22"/>
          <w:szCs w:val="22"/>
          <w:lang w:val="en-AU" w:eastAsia="en-AU"/>
        </w:rPr>
      </w:pPr>
      <w:hyperlink w:anchor="_Toc386012985" w:history="1">
        <w:r w:rsidR="008535C7" w:rsidRPr="005016CE">
          <w:rPr>
            <w:rStyle w:val="Hyperlink"/>
            <w:noProof/>
          </w:rPr>
          <w:t xml:space="preserve">Outcome of </w:t>
        </w:r>
        <w:r w:rsidR="00310C16">
          <w:rPr>
            <w:rStyle w:val="Hyperlink"/>
            <w:noProof/>
          </w:rPr>
          <w:t xml:space="preserve">the </w:t>
        </w:r>
        <w:r w:rsidR="008535C7" w:rsidRPr="005016CE">
          <w:rPr>
            <w:rStyle w:val="Hyperlink"/>
            <w:noProof/>
          </w:rPr>
          <w:t>Regulatory Process</w:t>
        </w:r>
        <w:r w:rsidR="008535C7">
          <w:rPr>
            <w:noProof/>
            <w:webHidden/>
          </w:rPr>
          <w:tab/>
        </w:r>
        <w:r w:rsidR="008535C7">
          <w:rPr>
            <w:noProof/>
            <w:webHidden/>
          </w:rPr>
          <w:fldChar w:fldCharType="begin"/>
        </w:r>
        <w:r w:rsidR="008535C7">
          <w:rPr>
            <w:noProof/>
            <w:webHidden/>
          </w:rPr>
          <w:instrText xml:space="preserve"> PAGEREF _Toc386012985 \h </w:instrText>
        </w:r>
        <w:r w:rsidR="008535C7">
          <w:rPr>
            <w:noProof/>
            <w:webHidden/>
          </w:rPr>
        </w:r>
        <w:r w:rsidR="008535C7">
          <w:rPr>
            <w:noProof/>
            <w:webHidden/>
          </w:rPr>
          <w:fldChar w:fldCharType="separate"/>
        </w:r>
        <w:r w:rsidR="005B0810">
          <w:rPr>
            <w:noProof/>
            <w:webHidden/>
          </w:rPr>
          <w:t>3</w:t>
        </w:r>
        <w:r w:rsidR="008535C7">
          <w:rPr>
            <w:noProof/>
            <w:webHidden/>
          </w:rPr>
          <w:fldChar w:fldCharType="end"/>
        </w:r>
      </w:hyperlink>
    </w:p>
    <w:p w14:paraId="43B3EBA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86" w:history="1">
        <w:r w:rsidR="008535C7" w:rsidRPr="005016CE">
          <w:rPr>
            <w:rStyle w:val="Hyperlink"/>
            <w:noProof/>
          </w:rPr>
          <w:t>Impact on Retail Customers</w:t>
        </w:r>
        <w:r w:rsidR="008535C7">
          <w:rPr>
            <w:noProof/>
            <w:webHidden/>
          </w:rPr>
          <w:tab/>
        </w:r>
        <w:r w:rsidR="008535C7">
          <w:rPr>
            <w:noProof/>
            <w:webHidden/>
          </w:rPr>
          <w:fldChar w:fldCharType="begin"/>
        </w:r>
        <w:r w:rsidR="008535C7">
          <w:rPr>
            <w:noProof/>
            <w:webHidden/>
          </w:rPr>
          <w:instrText xml:space="preserve"> PAGEREF _Toc386012986 \h </w:instrText>
        </w:r>
        <w:r w:rsidR="008535C7">
          <w:rPr>
            <w:noProof/>
            <w:webHidden/>
          </w:rPr>
        </w:r>
        <w:r w:rsidR="008535C7">
          <w:rPr>
            <w:noProof/>
            <w:webHidden/>
          </w:rPr>
          <w:fldChar w:fldCharType="separate"/>
        </w:r>
        <w:r w:rsidR="005B0810">
          <w:rPr>
            <w:noProof/>
            <w:webHidden/>
          </w:rPr>
          <w:t>4</w:t>
        </w:r>
        <w:r w:rsidR="008535C7">
          <w:rPr>
            <w:noProof/>
            <w:webHidden/>
          </w:rPr>
          <w:fldChar w:fldCharType="end"/>
        </w:r>
      </w:hyperlink>
    </w:p>
    <w:p w14:paraId="6864BB4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87" w:history="1">
        <w:r w:rsidR="008535C7" w:rsidRPr="005016CE">
          <w:rPr>
            <w:rStyle w:val="Hyperlink"/>
            <w:noProof/>
          </w:rPr>
          <w:t>Key Expenditure Drivers and Considerations</w:t>
        </w:r>
        <w:r w:rsidR="008535C7">
          <w:rPr>
            <w:noProof/>
            <w:webHidden/>
          </w:rPr>
          <w:tab/>
        </w:r>
        <w:r w:rsidR="008535C7">
          <w:rPr>
            <w:noProof/>
            <w:webHidden/>
          </w:rPr>
          <w:fldChar w:fldCharType="begin"/>
        </w:r>
        <w:r w:rsidR="008535C7">
          <w:rPr>
            <w:noProof/>
            <w:webHidden/>
          </w:rPr>
          <w:instrText xml:space="preserve"> PAGEREF _Toc386012987 \h </w:instrText>
        </w:r>
        <w:r w:rsidR="008535C7">
          <w:rPr>
            <w:noProof/>
            <w:webHidden/>
          </w:rPr>
        </w:r>
        <w:r w:rsidR="008535C7">
          <w:rPr>
            <w:noProof/>
            <w:webHidden/>
          </w:rPr>
          <w:fldChar w:fldCharType="separate"/>
        </w:r>
        <w:r w:rsidR="005B0810">
          <w:rPr>
            <w:noProof/>
            <w:webHidden/>
          </w:rPr>
          <w:t>4</w:t>
        </w:r>
        <w:r w:rsidR="008535C7">
          <w:rPr>
            <w:noProof/>
            <w:webHidden/>
          </w:rPr>
          <w:fldChar w:fldCharType="end"/>
        </w:r>
      </w:hyperlink>
    </w:p>
    <w:p w14:paraId="7B71DA4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88" w:history="1">
        <w:r w:rsidR="008535C7" w:rsidRPr="005016CE">
          <w:rPr>
            <w:rStyle w:val="Hyperlink"/>
            <w:noProof/>
          </w:rPr>
          <w:t>Summary of Constituent Decisions</w:t>
        </w:r>
        <w:r w:rsidR="008535C7">
          <w:rPr>
            <w:noProof/>
            <w:webHidden/>
          </w:rPr>
          <w:tab/>
        </w:r>
        <w:r w:rsidR="008535C7">
          <w:rPr>
            <w:noProof/>
            <w:webHidden/>
          </w:rPr>
          <w:fldChar w:fldCharType="begin"/>
        </w:r>
        <w:r w:rsidR="008535C7">
          <w:rPr>
            <w:noProof/>
            <w:webHidden/>
          </w:rPr>
          <w:instrText xml:space="preserve"> PAGEREF _Toc386012988 \h </w:instrText>
        </w:r>
        <w:r w:rsidR="008535C7">
          <w:rPr>
            <w:noProof/>
            <w:webHidden/>
          </w:rPr>
        </w:r>
        <w:r w:rsidR="008535C7">
          <w:rPr>
            <w:noProof/>
            <w:webHidden/>
          </w:rPr>
          <w:fldChar w:fldCharType="separate"/>
        </w:r>
        <w:r w:rsidR="005B0810">
          <w:rPr>
            <w:noProof/>
            <w:webHidden/>
          </w:rPr>
          <w:t>6</w:t>
        </w:r>
        <w:r w:rsidR="008535C7">
          <w:rPr>
            <w:noProof/>
            <w:webHidden/>
          </w:rPr>
          <w:fldChar w:fldCharType="end"/>
        </w:r>
      </w:hyperlink>
    </w:p>
    <w:p w14:paraId="59CEB75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89" w:history="1">
        <w:r w:rsidR="008535C7" w:rsidRPr="005016CE">
          <w:rPr>
            <w:rStyle w:val="Hyperlink"/>
            <w:noProof/>
          </w:rPr>
          <w:t>Next Steps</w:t>
        </w:r>
        <w:r w:rsidR="008535C7">
          <w:rPr>
            <w:noProof/>
            <w:webHidden/>
          </w:rPr>
          <w:tab/>
        </w:r>
        <w:r w:rsidR="008535C7">
          <w:rPr>
            <w:noProof/>
            <w:webHidden/>
          </w:rPr>
          <w:fldChar w:fldCharType="begin"/>
        </w:r>
        <w:r w:rsidR="008535C7">
          <w:rPr>
            <w:noProof/>
            <w:webHidden/>
          </w:rPr>
          <w:instrText xml:space="preserve"> PAGEREF _Toc386012989 \h </w:instrText>
        </w:r>
        <w:r w:rsidR="008535C7">
          <w:rPr>
            <w:noProof/>
            <w:webHidden/>
          </w:rPr>
        </w:r>
        <w:r w:rsidR="008535C7">
          <w:rPr>
            <w:noProof/>
            <w:webHidden/>
          </w:rPr>
          <w:fldChar w:fldCharType="separate"/>
        </w:r>
        <w:r w:rsidR="005B0810">
          <w:rPr>
            <w:noProof/>
            <w:webHidden/>
          </w:rPr>
          <w:t>11</w:t>
        </w:r>
        <w:r w:rsidR="008535C7">
          <w:rPr>
            <w:noProof/>
            <w:webHidden/>
          </w:rPr>
          <w:fldChar w:fldCharType="end"/>
        </w:r>
      </w:hyperlink>
    </w:p>
    <w:p w14:paraId="6A5B982F" w14:textId="28310903"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2 - </w:t>
      </w:r>
      <w:hyperlink w:anchor="_Toc386012990" w:history="1">
        <w:r w:rsidRPr="005016CE">
          <w:rPr>
            <w:rStyle w:val="Hyperlink"/>
            <w:noProof/>
          </w:rPr>
          <w:t>The Regulatory Framework</w:t>
        </w:r>
        <w:r>
          <w:rPr>
            <w:noProof/>
            <w:webHidden/>
          </w:rPr>
          <w:tab/>
        </w:r>
        <w:r>
          <w:rPr>
            <w:noProof/>
            <w:webHidden/>
          </w:rPr>
          <w:fldChar w:fldCharType="begin"/>
        </w:r>
        <w:r>
          <w:rPr>
            <w:noProof/>
            <w:webHidden/>
          </w:rPr>
          <w:instrText xml:space="preserve"> PAGEREF _Toc386012990 \h </w:instrText>
        </w:r>
        <w:r>
          <w:rPr>
            <w:noProof/>
            <w:webHidden/>
          </w:rPr>
        </w:r>
        <w:r>
          <w:rPr>
            <w:noProof/>
            <w:webHidden/>
          </w:rPr>
          <w:fldChar w:fldCharType="separate"/>
        </w:r>
        <w:r w:rsidR="005B0810">
          <w:rPr>
            <w:noProof/>
            <w:webHidden/>
          </w:rPr>
          <w:t>13</w:t>
        </w:r>
        <w:r>
          <w:rPr>
            <w:noProof/>
            <w:webHidden/>
          </w:rPr>
          <w:fldChar w:fldCharType="end"/>
        </w:r>
      </w:hyperlink>
    </w:p>
    <w:p w14:paraId="56EA234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1" w:history="1">
        <w:r w:rsidR="008535C7" w:rsidRPr="005016CE">
          <w:rPr>
            <w:rStyle w:val="Hyperlink"/>
            <w:noProof/>
          </w:rPr>
          <w:t>Background</w:t>
        </w:r>
        <w:r w:rsidR="008535C7">
          <w:rPr>
            <w:noProof/>
            <w:webHidden/>
          </w:rPr>
          <w:tab/>
        </w:r>
        <w:r w:rsidR="008535C7">
          <w:rPr>
            <w:noProof/>
            <w:webHidden/>
          </w:rPr>
          <w:fldChar w:fldCharType="begin"/>
        </w:r>
        <w:r w:rsidR="008535C7">
          <w:rPr>
            <w:noProof/>
            <w:webHidden/>
          </w:rPr>
          <w:instrText xml:space="preserve"> PAGEREF _Toc386012991 \h </w:instrText>
        </w:r>
        <w:r w:rsidR="008535C7">
          <w:rPr>
            <w:noProof/>
            <w:webHidden/>
          </w:rPr>
        </w:r>
        <w:r w:rsidR="008535C7">
          <w:rPr>
            <w:noProof/>
            <w:webHidden/>
          </w:rPr>
          <w:fldChar w:fldCharType="separate"/>
        </w:r>
        <w:r w:rsidR="005B0810">
          <w:rPr>
            <w:noProof/>
            <w:webHidden/>
          </w:rPr>
          <w:t>13</w:t>
        </w:r>
        <w:r w:rsidR="008535C7">
          <w:rPr>
            <w:noProof/>
            <w:webHidden/>
          </w:rPr>
          <w:fldChar w:fldCharType="end"/>
        </w:r>
      </w:hyperlink>
    </w:p>
    <w:p w14:paraId="6F5863A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2" w:history="1">
        <w:r w:rsidR="008535C7" w:rsidRPr="005016CE">
          <w:rPr>
            <w:rStyle w:val="Hyperlink"/>
            <w:noProof/>
          </w:rPr>
          <w:t>The Commission’s Authority</w:t>
        </w:r>
        <w:r w:rsidR="008535C7">
          <w:rPr>
            <w:noProof/>
            <w:webHidden/>
          </w:rPr>
          <w:tab/>
        </w:r>
        <w:r w:rsidR="008535C7">
          <w:rPr>
            <w:noProof/>
            <w:webHidden/>
          </w:rPr>
          <w:fldChar w:fldCharType="begin"/>
        </w:r>
        <w:r w:rsidR="008535C7">
          <w:rPr>
            <w:noProof/>
            <w:webHidden/>
          </w:rPr>
          <w:instrText xml:space="preserve"> PAGEREF _Toc386012992 \h </w:instrText>
        </w:r>
        <w:r w:rsidR="008535C7">
          <w:rPr>
            <w:noProof/>
            <w:webHidden/>
          </w:rPr>
        </w:r>
        <w:r w:rsidR="008535C7">
          <w:rPr>
            <w:noProof/>
            <w:webHidden/>
          </w:rPr>
          <w:fldChar w:fldCharType="separate"/>
        </w:r>
        <w:r w:rsidR="005B0810">
          <w:rPr>
            <w:noProof/>
            <w:webHidden/>
          </w:rPr>
          <w:t>13</w:t>
        </w:r>
        <w:r w:rsidR="008535C7">
          <w:rPr>
            <w:noProof/>
            <w:webHidden/>
          </w:rPr>
          <w:fldChar w:fldCharType="end"/>
        </w:r>
      </w:hyperlink>
    </w:p>
    <w:p w14:paraId="2CF52B4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3"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_Toc386012993 \h </w:instrText>
        </w:r>
        <w:r w:rsidR="008535C7">
          <w:rPr>
            <w:noProof/>
            <w:webHidden/>
          </w:rPr>
        </w:r>
        <w:r w:rsidR="008535C7">
          <w:rPr>
            <w:noProof/>
            <w:webHidden/>
          </w:rPr>
          <w:fldChar w:fldCharType="separate"/>
        </w:r>
        <w:r w:rsidR="005B0810">
          <w:rPr>
            <w:noProof/>
            <w:webHidden/>
          </w:rPr>
          <w:t>15</w:t>
        </w:r>
        <w:r w:rsidR="008535C7">
          <w:rPr>
            <w:noProof/>
            <w:webHidden/>
          </w:rPr>
          <w:fldChar w:fldCharType="end"/>
        </w:r>
      </w:hyperlink>
    </w:p>
    <w:p w14:paraId="548B3D6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4" w:history="1">
        <w:r w:rsidR="008535C7" w:rsidRPr="005016CE">
          <w:rPr>
            <w:rStyle w:val="Hyperlink"/>
            <w:noProof/>
          </w:rPr>
          <w:t>Commission’s Approach to the 2014 Network Price Determination</w:t>
        </w:r>
        <w:r w:rsidR="008535C7">
          <w:rPr>
            <w:noProof/>
            <w:webHidden/>
          </w:rPr>
          <w:tab/>
        </w:r>
        <w:r w:rsidR="008535C7">
          <w:rPr>
            <w:noProof/>
            <w:webHidden/>
          </w:rPr>
          <w:fldChar w:fldCharType="begin"/>
        </w:r>
        <w:r w:rsidR="008535C7">
          <w:rPr>
            <w:noProof/>
            <w:webHidden/>
          </w:rPr>
          <w:instrText xml:space="preserve"> PAGEREF _Toc386012994 \h </w:instrText>
        </w:r>
        <w:r w:rsidR="008535C7">
          <w:rPr>
            <w:noProof/>
            <w:webHidden/>
          </w:rPr>
        </w:r>
        <w:r w:rsidR="008535C7">
          <w:rPr>
            <w:noProof/>
            <w:webHidden/>
          </w:rPr>
          <w:fldChar w:fldCharType="separate"/>
        </w:r>
        <w:r w:rsidR="005B0810">
          <w:rPr>
            <w:noProof/>
            <w:webHidden/>
          </w:rPr>
          <w:t>17</w:t>
        </w:r>
        <w:r w:rsidR="008535C7">
          <w:rPr>
            <w:noProof/>
            <w:webHidden/>
          </w:rPr>
          <w:fldChar w:fldCharType="end"/>
        </w:r>
      </w:hyperlink>
    </w:p>
    <w:p w14:paraId="7CBF921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5" w:history="1">
        <w:r w:rsidR="008535C7" w:rsidRPr="005016CE">
          <w:rPr>
            <w:rStyle w:val="Hyperlink"/>
            <w:noProof/>
          </w:rPr>
          <w:t>Review Process</w:t>
        </w:r>
        <w:r w:rsidR="008535C7">
          <w:rPr>
            <w:noProof/>
            <w:webHidden/>
          </w:rPr>
          <w:tab/>
        </w:r>
        <w:r w:rsidR="008535C7">
          <w:rPr>
            <w:noProof/>
            <w:webHidden/>
          </w:rPr>
          <w:fldChar w:fldCharType="begin"/>
        </w:r>
        <w:r w:rsidR="008535C7">
          <w:rPr>
            <w:noProof/>
            <w:webHidden/>
          </w:rPr>
          <w:instrText xml:space="preserve"> PAGEREF _Toc386012995 \h </w:instrText>
        </w:r>
        <w:r w:rsidR="008535C7">
          <w:rPr>
            <w:noProof/>
            <w:webHidden/>
          </w:rPr>
        </w:r>
        <w:r w:rsidR="008535C7">
          <w:rPr>
            <w:noProof/>
            <w:webHidden/>
          </w:rPr>
          <w:fldChar w:fldCharType="separate"/>
        </w:r>
        <w:r w:rsidR="005B0810">
          <w:rPr>
            <w:noProof/>
            <w:webHidden/>
          </w:rPr>
          <w:t>19</w:t>
        </w:r>
        <w:r w:rsidR="008535C7">
          <w:rPr>
            <w:noProof/>
            <w:webHidden/>
          </w:rPr>
          <w:fldChar w:fldCharType="end"/>
        </w:r>
      </w:hyperlink>
    </w:p>
    <w:p w14:paraId="5C54C8A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6" w:history="1">
        <w:r w:rsidR="008535C7" w:rsidRPr="005016CE">
          <w:rPr>
            <w:rStyle w:val="Hyperlink"/>
            <w:noProof/>
          </w:rPr>
          <w:t>Structure of this Statement of Reasons</w:t>
        </w:r>
        <w:r w:rsidR="008535C7">
          <w:rPr>
            <w:noProof/>
            <w:webHidden/>
          </w:rPr>
          <w:tab/>
        </w:r>
        <w:r w:rsidR="008535C7">
          <w:rPr>
            <w:noProof/>
            <w:webHidden/>
          </w:rPr>
          <w:fldChar w:fldCharType="begin"/>
        </w:r>
        <w:r w:rsidR="008535C7">
          <w:rPr>
            <w:noProof/>
            <w:webHidden/>
          </w:rPr>
          <w:instrText xml:space="preserve"> PAGEREF _Toc386012996 \h </w:instrText>
        </w:r>
        <w:r w:rsidR="008535C7">
          <w:rPr>
            <w:noProof/>
            <w:webHidden/>
          </w:rPr>
        </w:r>
        <w:r w:rsidR="008535C7">
          <w:rPr>
            <w:noProof/>
            <w:webHidden/>
          </w:rPr>
          <w:fldChar w:fldCharType="separate"/>
        </w:r>
        <w:r w:rsidR="005B0810">
          <w:rPr>
            <w:noProof/>
            <w:webHidden/>
          </w:rPr>
          <w:t>21</w:t>
        </w:r>
        <w:r w:rsidR="008535C7">
          <w:rPr>
            <w:noProof/>
            <w:webHidden/>
          </w:rPr>
          <w:fldChar w:fldCharType="end"/>
        </w:r>
      </w:hyperlink>
    </w:p>
    <w:p w14:paraId="3BA3C84D" w14:textId="01334827"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3 - </w:t>
      </w:r>
      <w:hyperlink w:anchor="_Toc386012997" w:history="1">
        <w:r w:rsidRPr="005016CE">
          <w:rPr>
            <w:rStyle w:val="Hyperlink"/>
            <w:noProof/>
          </w:rPr>
          <w:t>Classification of Services</w:t>
        </w:r>
        <w:r>
          <w:rPr>
            <w:noProof/>
            <w:webHidden/>
          </w:rPr>
          <w:tab/>
        </w:r>
        <w:r>
          <w:rPr>
            <w:noProof/>
            <w:webHidden/>
          </w:rPr>
          <w:fldChar w:fldCharType="begin"/>
        </w:r>
        <w:r>
          <w:rPr>
            <w:noProof/>
            <w:webHidden/>
          </w:rPr>
          <w:instrText xml:space="preserve"> PAGEREF _Toc386012997 \h </w:instrText>
        </w:r>
        <w:r>
          <w:rPr>
            <w:noProof/>
            <w:webHidden/>
          </w:rPr>
        </w:r>
        <w:r>
          <w:rPr>
            <w:noProof/>
            <w:webHidden/>
          </w:rPr>
          <w:fldChar w:fldCharType="separate"/>
        </w:r>
        <w:r w:rsidR="005B0810">
          <w:rPr>
            <w:noProof/>
            <w:webHidden/>
          </w:rPr>
          <w:t>22</w:t>
        </w:r>
        <w:r>
          <w:rPr>
            <w:noProof/>
            <w:webHidden/>
          </w:rPr>
          <w:fldChar w:fldCharType="end"/>
        </w:r>
      </w:hyperlink>
    </w:p>
    <w:p w14:paraId="15480CF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8"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_Toc386012998 \h </w:instrText>
        </w:r>
        <w:r w:rsidR="008535C7">
          <w:rPr>
            <w:noProof/>
            <w:webHidden/>
          </w:rPr>
        </w:r>
        <w:r w:rsidR="008535C7">
          <w:rPr>
            <w:noProof/>
            <w:webHidden/>
          </w:rPr>
          <w:fldChar w:fldCharType="separate"/>
        </w:r>
        <w:r w:rsidR="005B0810">
          <w:rPr>
            <w:noProof/>
            <w:webHidden/>
          </w:rPr>
          <w:t>22</w:t>
        </w:r>
        <w:r w:rsidR="008535C7">
          <w:rPr>
            <w:noProof/>
            <w:webHidden/>
          </w:rPr>
          <w:fldChar w:fldCharType="end"/>
        </w:r>
      </w:hyperlink>
    </w:p>
    <w:p w14:paraId="08251A4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2999"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_Toc386012999 \h </w:instrText>
        </w:r>
        <w:r w:rsidR="008535C7">
          <w:rPr>
            <w:noProof/>
            <w:webHidden/>
          </w:rPr>
        </w:r>
        <w:r w:rsidR="008535C7">
          <w:rPr>
            <w:noProof/>
            <w:webHidden/>
          </w:rPr>
          <w:fldChar w:fldCharType="separate"/>
        </w:r>
        <w:r w:rsidR="005B0810">
          <w:rPr>
            <w:noProof/>
            <w:webHidden/>
          </w:rPr>
          <w:t>22</w:t>
        </w:r>
        <w:r w:rsidR="008535C7">
          <w:rPr>
            <w:noProof/>
            <w:webHidden/>
          </w:rPr>
          <w:fldChar w:fldCharType="end"/>
        </w:r>
      </w:hyperlink>
    </w:p>
    <w:p w14:paraId="126E978D"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0"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_Toc386013000 \h </w:instrText>
        </w:r>
        <w:r w:rsidR="008535C7">
          <w:rPr>
            <w:noProof/>
            <w:webHidden/>
          </w:rPr>
        </w:r>
        <w:r w:rsidR="008535C7">
          <w:rPr>
            <w:noProof/>
            <w:webHidden/>
          </w:rPr>
          <w:fldChar w:fldCharType="separate"/>
        </w:r>
        <w:r w:rsidR="005B0810">
          <w:rPr>
            <w:noProof/>
            <w:webHidden/>
          </w:rPr>
          <w:t>24</w:t>
        </w:r>
        <w:r w:rsidR="008535C7">
          <w:rPr>
            <w:noProof/>
            <w:webHidden/>
          </w:rPr>
          <w:fldChar w:fldCharType="end"/>
        </w:r>
      </w:hyperlink>
    </w:p>
    <w:p w14:paraId="37B8A9B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1"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_Toc386013001 \h </w:instrText>
        </w:r>
        <w:r w:rsidR="008535C7">
          <w:rPr>
            <w:noProof/>
            <w:webHidden/>
          </w:rPr>
        </w:r>
        <w:r w:rsidR="008535C7">
          <w:rPr>
            <w:noProof/>
            <w:webHidden/>
          </w:rPr>
          <w:fldChar w:fldCharType="separate"/>
        </w:r>
        <w:r w:rsidR="005B0810">
          <w:rPr>
            <w:noProof/>
            <w:webHidden/>
          </w:rPr>
          <w:t>25</w:t>
        </w:r>
        <w:r w:rsidR="008535C7">
          <w:rPr>
            <w:noProof/>
            <w:webHidden/>
          </w:rPr>
          <w:fldChar w:fldCharType="end"/>
        </w:r>
      </w:hyperlink>
    </w:p>
    <w:p w14:paraId="4253420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2"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_Toc386013002 \h </w:instrText>
        </w:r>
        <w:r w:rsidR="008535C7">
          <w:rPr>
            <w:noProof/>
            <w:webHidden/>
          </w:rPr>
        </w:r>
        <w:r w:rsidR="008535C7">
          <w:rPr>
            <w:noProof/>
            <w:webHidden/>
          </w:rPr>
          <w:fldChar w:fldCharType="separate"/>
        </w:r>
        <w:r w:rsidR="005B0810">
          <w:rPr>
            <w:noProof/>
            <w:webHidden/>
          </w:rPr>
          <w:t>25</w:t>
        </w:r>
        <w:r w:rsidR="008535C7">
          <w:rPr>
            <w:noProof/>
            <w:webHidden/>
          </w:rPr>
          <w:fldChar w:fldCharType="end"/>
        </w:r>
      </w:hyperlink>
    </w:p>
    <w:p w14:paraId="0F19902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3"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_Toc386013003 \h </w:instrText>
        </w:r>
        <w:r w:rsidR="008535C7">
          <w:rPr>
            <w:noProof/>
            <w:webHidden/>
          </w:rPr>
        </w:r>
        <w:r w:rsidR="008535C7">
          <w:rPr>
            <w:noProof/>
            <w:webHidden/>
          </w:rPr>
          <w:fldChar w:fldCharType="separate"/>
        </w:r>
        <w:r w:rsidR="005B0810">
          <w:rPr>
            <w:noProof/>
            <w:webHidden/>
          </w:rPr>
          <w:t>29</w:t>
        </w:r>
        <w:r w:rsidR="008535C7">
          <w:rPr>
            <w:noProof/>
            <w:webHidden/>
          </w:rPr>
          <w:fldChar w:fldCharType="end"/>
        </w:r>
      </w:hyperlink>
    </w:p>
    <w:p w14:paraId="62BC71E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4"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_Toc386013004 \h </w:instrText>
        </w:r>
        <w:r w:rsidR="008535C7">
          <w:rPr>
            <w:noProof/>
            <w:webHidden/>
          </w:rPr>
        </w:r>
        <w:r w:rsidR="008535C7">
          <w:rPr>
            <w:noProof/>
            <w:webHidden/>
          </w:rPr>
          <w:fldChar w:fldCharType="separate"/>
        </w:r>
        <w:r w:rsidR="005B0810">
          <w:rPr>
            <w:noProof/>
            <w:webHidden/>
          </w:rPr>
          <w:t>30</w:t>
        </w:r>
        <w:r w:rsidR="008535C7">
          <w:rPr>
            <w:noProof/>
            <w:webHidden/>
          </w:rPr>
          <w:fldChar w:fldCharType="end"/>
        </w:r>
      </w:hyperlink>
    </w:p>
    <w:p w14:paraId="7269775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5"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_Toc386013005 \h </w:instrText>
        </w:r>
        <w:r w:rsidR="008535C7">
          <w:rPr>
            <w:noProof/>
            <w:webHidden/>
          </w:rPr>
        </w:r>
        <w:r w:rsidR="008535C7">
          <w:rPr>
            <w:noProof/>
            <w:webHidden/>
          </w:rPr>
          <w:fldChar w:fldCharType="separate"/>
        </w:r>
        <w:r w:rsidR="005B0810">
          <w:rPr>
            <w:noProof/>
            <w:webHidden/>
          </w:rPr>
          <w:t>31</w:t>
        </w:r>
        <w:r w:rsidR="008535C7">
          <w:rPr>
            <w:noProof/>
            <w:webHidden/>
          </w:rPr>
          <w:fldChar w:fldCharType="end"/>
        </w:r>
      </w:hyperlink>
    </w:p>
    <w:p w14:paraId="5313293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6"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_Toc386013006 \h </w:instrText>
        </w:r>
        <w:r w:rsidR="008535C7">
          <w:rPr>
            <w:noProof/>
            <w:webHidden/>
          </w:rPr>
        </w:r>
        <w:r w:rsidR="008535C7">
          <w:rPr>
            <w:noProof/>
            <w:webHidden/>
          </w:rPr>
          <w:fldChar w:fldCharType="separate"/>
        </w:r>
        <w:r w:rsidR="005B0810">
          <w:rPr>
            <w:noProof/>
            <w:webHidden/>
          </w:rPr>
          <w:t>31</w:t>
        </w:r>
        <w:r w:rsidR="008535C7">
          <w:rPr>
            <w:noProof/>
            <w:webHidden/>
          </w:rPr>
          <w:fldChar w:fldCharType="end"/>
        </w:r>
      </w:hyperlink>
    </w:p>
    <w:p w14:paraId="2120945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7"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_Toc386013007 \h </w:instrText>
        </w:r>
        <w:r w:rsidR="008535C7">
          <w:rPr>
            <w:noProof/>
            <w:webHidden/>
          </w:rPr>
        </w:r>
        <w:r w:rsidR="008535C7">
          <w:rPr>
            <w:noProof/>
            <w:webHidden/>
          </w:rPr>
          <w:fldChar w:fldCharType="separate"/>
        </w:r>
        <w:r w:rsidR="005B0810">
          <w:rPr>
            <w:noProof/>
            <w:webHidden/>
          </w:rPr>
          <w:t>32</w:t>
        </w:r>
        <w:r w:rsidR="008535C7">
          <w:rPr>
            <w:noProof/>
            <w:webHidden/>
          </w:rPr>
          <w:fldChar w:fldCharType="end"/>
        </w:r>
      </w:hyperlink>
    </w:p>
    <w:p w14:paraId="79E8CA3D" w14:textId="5CCEA30B"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4 - </w:t>
      </w:r>
      <w:hyperlink w:anchor="_Toc386013008" w:history="1">
        <w:r w:rsidRPr="005016CE">
          <w:rPr>
            <w:rStyle w:val="Hyperlink"/>
            <w:noProof/>
          </w:rPr>
          <w:t>Control Mechanism for Regulated Network Access Services</w:t>
        </w:r>
        <w:r>
          <w:rPr>
            <w:noProof/>
            <w:webHidden/>
          </w:rPr>
          <w:tab/>
        </w:r>
        <w:r>
          <w:rPr>
            <w:noProof/>
            <w:webHidden/>
          </w:rPr>
          <w:fldChar w:fldCharType="begin"/>
        </w:r>
        <w:r>
          <w:rPr>
            <w:noProof/>
            <w:webHidden/>
          </w:rPr>
          <w:instrText xml:space="preserve"> PAGEREF _Toc386013008 \h </w:instrText>
        </w:r>
        <w:r>
          <w:rPr>
            <w:noProof/>
            <w:webHidden/>
          </w:rPr>
        </w:r>
        <w:r>
          <w:rPr>
            <w:noProof/>
            <w:webHidden/>
          </w:rPr>
          <w:fldChar w:fldCharType="separate"/>
        </w:r>
        <w:r w:rsidR="005B0810">
          <w:rPr>
            <w:noProof/>
            <w:webHidden/>
          </w:rPr>
          <w:t>33</w:t>
        </w:r>
        <w:r>
          <w:rPr>
            <w:noProof/>
            <w:webHidden/>
          </w:rPr>
          <w:fldChar w:fldCharType="end"/>
        </w:r>
      </w:hyperlink>
    </w:p>
    <w:p w14:paraId="72A37C2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09"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_Toc386013009 \h </w:instrText>
        </w:r>
        <w:r w:rsidR="008535C7">
          <w:rPr>
            <w:noProof/>
            <w:webHidden/>
          </w:rPr>
        </w:r>
        <w:r w:rsidR="008535C7">
          <w:rPr>
            <w:noProof/>
            <w:webHidden/>
          </w:rPr>
          <w:fldChar w:fldCharType="separate"/>
        </w:r>
        <w:r w:rsidR="005B0810">
          <w:rPr>
            <w:noProof/>
            <w:webHidden/>
          </w:rPr>
          <w:t>33</w:t>
        </w:r>
        <w:r w:rsidR="008535C7">
          <w:rPr>
            <w:noProof/>
            <w:webHidden/>
          </w:rPr>
          <w:fldChar w:fldCharType="end"/>
        </w:r>
      </w:hyperlink>
    </w:p>
    <w:p w14:paraId="04DF812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0"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_Toc386013010 \h </w:instrText>
        </w:r>
        <w:r w:rsidR="008535C7">
          <w:rPr>
            <w:noProof/>
            <w:webHidden/>
          </w:rPr>
        </w:r>
        <w:r w:rsidR="008535C7">
          <w:rPr>
            <w:noProof/>
            <w:webHidden/>
          </w:rPr>
          <w:fldChar w:fldCharType="separate"/>
        </w:r>
        <w:r w:rsidR="005B0810">
          <w:rPr>
            <w:noProof/>
            <w:webHidden/>
          </w:rPr>
          <w:t>33</w:t>
        </w:r>
        <w:r w:rsidR="008535C7">
          <w:rPr>
            <w:noProof/>
            <w:webHidden/>
          </w:rPr>
          <w:fldChar w:fldCharType="end"/>
        </w:r>
      </w:hyperlink>
    </w:p>
    <w:p w14:paraId="0D6953B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1"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_Toc386013011 \h </w:instrText>
        </w:r>
        <w:r w:rsidR="008535C7">
          <w:rPr>
            <w:noProof/>
            <w:webHidden/>
          </w:rPr>
        </w:r>
        <w:r w:rsidR="008535C7">
          <w:rPr>
            <w:noProof/>
            <w:webHidden/>
          </w:rPr>
          <w:fldChar w:fldCharType="separate"/>
        </w:r>
        <w:r w:rsidR="005B0810">
          <w:rPr>
            <w:noProof/>
            <w:webHidden/>
          </w:rPr>
          <w:t>34</w:t>
        </w:r>
        <w:r w:rsidR="008535C7">
          <w:rPr>
            <w:noProof/>
            <w:webHidden/>
          </w:rPr>
          <w:fldChar w:fldCharType="end"/>
        </w:r>
      </w:hyperlink>
    </w:p>
    <w:p w14:paraId="1CBD319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2"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_Toc386013012 \h </w:instrText>
        </w:r>
        <w:r w:rsidR="008535C7">
          <w:rPr>
            <w:noProof/>
            <w:webHidden/>
          </w:rPr>
        </w:r>
        <w:r w:rsidR="008535C7">
          <w:rPr>
            <w:noProof/>
            <w:webHidden/>
          </w:rPr>
          <w:fldChar w:fldCharType="separate"/>
        </w:r>
        <w:r w:rsidR="005B0810">
          <w:rPr>
            <w:noProof/>
            <w:webHidden/>
          </w:rPr>
          <w:t>35</w:t>
        </w:r>
        <w:r w:rsidR="008535C7">
          <w:rPr>
            <w:noProof/>
            <w:webHidden/>
          </w:rPr>
          <w:fldChar w:fldCharType="end"/>
        </w:r>
      </w:hyperlink>
    </w:p>
    <w:p w14:paraId="2124BB8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3"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_Toc386013013 \h </w:instrText>
        </w:r>
        <w:r w:rsidR="008535C7">
          <w:rPr>
            <w:noProof/>
            <w:webHidden/>
          </w:rPr>
        </w:r>
        <w:r w:rsidR="008535C7">
          <w:rPr>
            <w:noProof/>
            <w:webHidden/>
          </w:rPr>
          <w:fldChar w:fldCharType="separate"/>
        </w:r>
        <w:r w:rsidR="005B0810">
          <w:rPr>
            <w:noProof/>
            <w:webHidden/>
          </w:rPr>
          <w:t>35</w:t>
        </w:r>
        <w:r w:rsidR="008535C7">
          <w:rPr>
            <w:noProof/>
            <w:webHidden/>
          </w:rPr>
          <w:fldChar w:fldCharType="end"/>
        </w:r>
      </w:hyperlink>
    </w:p>
    <w:p w14:paraId="193B416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4"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_Toc386013014 \h </w:instrText>
        </w:r>
        <w:r w:rsidR="008535C7">
          <w:rPr>
            <w:noProof/>
            <w:webHidden/>
          </w:rPr>
        </w:r>
        <w:r w:rsidR="008535C7">
          <w:rPr>
            <w:noProof/>
            <w:webHidden/>
          </w:rPr>
          <w:fldChar w:fldCharType="separate"/>
        </w:r>
        <w:r w:rsidR="005B0810">
          <w:rPr>
            <w:noProof/>
            <w:webHidden/>
          </w:rPr>
          <w:t>37</w:t>
        </w:r>
        <w:r w:rsidR="008535C7">
          <w:rPr>
            <w:noProof/>
            <w:webHidden/>
          </w:rPr>
          <w:fldChar w:fldCharType="end"/>
        </w:r>
      </w:hyperlink>
    </w:p>
    <w:p w14:paraId="1148BC9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5"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_Toc386013015 \h </w:instrText>
        </w:r>
        <w:r w:rsidR="008535C7">
          <w:rPr>
            <w:noProof/>
            <w:webHidden/>
          </w:rPr>
        </w:r>
        <w:r w:rsidR="008535C7">
          <w:rPr>
            <w:noProof/>
            <w:webHidden/>
          </w:rPr>
          <w:fldChar w:fldCharType="separate"/>
        </w:r>
        <w:r w:rsidR="005B0810">
          <w:rPr>
            <w:noProof/>
            <w:webHidden/>
          </w:rPr>
          <w:t>37</w:t>
        </w:r>
        <w:r w:rsidR="008535C7">
          <w:rPr>
            <w:noProof/>
            <w:webHidden/>
          </w:rPr>
          <w:fldChar w:fldCharType="end"/>
        </w:r>
      </w:hyperlink>
    </w:p>
    <w:p w14:paraId="2E780B8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6"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_Toc386013016 \h </w:instrText>
        </w:r>
        <w:r w:rsidR="008535C7">
          <w:rPr>
            <w:noProof/>
            <w:webHidden/>
          </w:rPr>
        </w:r>
        <w:r w:rsidR="008535C7">
          <w:rPr>
            <w:noProof/>
            <w:webHidden/>
          </w:rPr>
          <w:fldChar w:fldCharType="separate"/>
        </w:r>
        <w:r w:rsidR="005B0810">
          <w:rPr>
            <w:noProof/>
            <w:webHidden/>
          </w:rPr>
          <w:t>37</w:t>
        </w:r>
        <w:r w:rsidR="008535C7">
          <w:rPr>
            <w:noProof/>
            <w:webHidden/>
          </w:rPr>
          <w:fldChar w:fldCharType="end"/>
        </w:r>
      </w:hyperlink>
    </w:p>
    <w:p w14:paraId="4E60157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7"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_Toc386013017 \h </w:instrText>
        </w:r>
        <w:r w:rsidR="008535C7">
          <w:rPr>
            <w:noProof/>
            <w:webHidden/>
          </w:rPr>
        </w:r>
        <w:r w:rsidR="008535C7">
          <w:rPr>
            <w:noProof/>
            <w:webHidden/>
          </w:rPr>
          <w:fldChar w:fldCharType="separate"/>
        </w:r>
        <w:r w:rsidR="005B0810">
          <w:rPr>
            <w:noProof/>
            <w:webHidden/>
          </w:rPr>
          <w:t>38</w:t>
        </w:r>
        <w:r w:rsidR="008535C7">
          <w:rPr>
            <w:noProof/>
            <w:webHidden/>
          </w:rPr>
          <w:fldChar w:fldCharType="end"/>
        </w:r>
      </w:hyperlink>
    </w:p>
    <w:p w14:paraId="57251A2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18"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_Toc386013018 \h </w:instrText>
        </w:r>
        <w:r w:rsidR="008535C7">
          <w:rPr>
            <w:noProof/>
            <w:webHidden/>
          </w:rPr>
        </w:r>
        <w:r w:rsidR="008535C7">
          <w:rPr>
            <w:noProof/>
            <w:webHidden/>
          </w:rPr>
          <w:fldChar w:fldCharType="separate"/>
        </w:r>
        <w:r w:rsidR="005B0810">
          <w:rPr>
            <w:noProof/>
            <w:webHidden/>
          </w:rPr>
          <w:t>38</w:t>
        </w:r>
        <w:r w:rsidR="008535C7">
          <w:rPr>
            <w:noProof/>
            <w:webHidden/>
          </w:rPr>
          <w:fldChar w:fldCharType="end"/>
        </w:r>
      </w:hyperlink>
    </w:p>
    <w:p w14:paraId="4569176B" w14:textId="4417E7FF"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lastRenderedPageBreak/>
        <w:t xml:space="preserve">CHAPTER </w:t>
      </w:r>
      <w:r>
        <w:rPr>
          <w:rStyle w:val="Hyperlink"/>
          <w:noProof/>
          <w:color w:val="000000" w:themeColor="text1"/>
          <w:u w:val="none"/>
        </w:rPr>
        <w:t xml:space="preserve">5 - </w:t>
      </w:r>
      <w:hyperlink w:anchor="_Toc386013019" w:history="1">
        <w:r w:rsidRPr="005016CE">
          <w:rPr>
            <w:rStyle w:val="Hyperlink"/>
            <w:noProof/>
          </w:rPr>
          <w:t>Cost Allocation Methodology</w:t>
        </w:r>
        <w:r>
          <w:rPr>
            <w:noProof/>
            <w:webHidden/>
          </w:rPr>
          <w:tab/>
        </w:r>
        <w:r>
          <w:rPr>
            <w:noProof/>
            <w:webHidden/>
          </w:rPr>
          <w:fldChar w:fldCharType="begin"/>
        </w:r>
        <w:r>
          <w:rPr>
            <w:noProof/>
            <w:webHidden/>
          </w:rPr>
          <w:instrText xml:space="preserve"> PAGEREF _Toc386013019 \h </w:instrText>
        </w:r>
        <w:r>
          <w:rPr>
            <w:noProof/>
            <w:webHidden/>
          </w:rPr>
        </w:r>
        <w:r>
          <w:rPr>
            <w:noProof/>
            <w:webHidden/>
          </w:rPr>
          <w:fldChar w:fldCharType="separate"/>
        </w:r>
        <w:r w:rsidR="005B0810">
          <w:rPr>
            <w:noProof/>
            <w:webHidden/>
          </w:rPr>
          <w:t>41</w:t>
        </w:r>
        <w:r>
          <w:rPr>
            <w:noProof/>
            <w:webHidden/>
          </w:rPr>
          <w:fldChar w:fldCharType="end"/>
        </w:r>
      </w:hyperlink>
    </w:p>
    <w:p w14:paraId="6BB4481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0"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_Toc386013020 \h </w:instrText>
        </w:r>
        <w:r w:rsidR="008535C7">
          <w:rPr>
            <w:noProof/>
            <w:webHidden/>
          </w:rPr>
        </w:r>
        <w:r w:rsidR="008535C7">
          <w:rPr>
            <w:noProof/>
            <w:webHidden/>
          </w:rPr>
          <w:fldChar w:fldCharType="separate"/>
        </w:r>
        <w:r w:rsidR="005B0810">
          <w:rPr>
            <w:noProof/>
            <w:webHidden/>
          </w:rPr>
          <w:t>41</w:t>
        </w:r>
        <w:r w:rsidR="008535C7">
          <w:rPr>
            <w:noProof/>
            <w:webHidden/>
          </w:rPr>
          <w:fldChar w:fldCharType="end"/>
        </w:r>
      </w:hyperlink>
    </w:p>
    <w:p w14:paraId="7E3FCEC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1"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_Toc386013021 \h </w:instrText>
        </w:r>
        <w:r w:rsidR="008535C7">
          <w:rPr>
            <w:noProof/>
            <w:webHidden/>
          </w:rPr>
        </w:r>
        <w:r w:rsidR="008535C7">
          <w:rPr>
            <w:noProof/>
            <w:webHidden/>
          </w:rPr>
          <w:fldChar w:fldCharType="separate"/>
        </w:r>
        <w:r w:rsidR="005B0810">
          <w:rPr>
            <w:noProof/>
            <w:webHidden/>
          </w:rPr>
          <w:t>41</w:t>
        </w:r>
        <w:r w:rsidR="008535C7">
          <w:rPr>
            <w:noProof/>
            <w:webHidden/>
          </w:rPr>
          <w:fldChar w:fldCharType="end"/>
        </w:r>
      </w:hyperlink>
    </w:p>
    <w:p w14:paraId="70EDDDA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2"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_Toc386013022 \h </w:instrText>
        </w:r>
        <w:r w:rsidR="008535C7">
          <w:rPr>
            <w:noProof/>
            <w:webHidden/>
          </w:rPr>
        </w:r>
        <w:r w:rsidR="008535C7">
          <w:rPr>
            <w:noProof/>
            <w:webHidden/>
          </w:rPr>
          <w:fldChar w:fldCharType="separate"/>
        </w:r>
        <w:r w:rsidR="005B0810">
          <w:rPr>
            <w:noProof/>
            <w:webHidden/>
          </w:rPr>
          <w:t>43</w:t>
        </w:r>
        <w:r w:rsidR="008535C7">
          <w:rPr>
            <w:noProof/>
            <w:webHidden/>
          </w:rPr>
          <w:fldChar w:fldCharType="end"/>
        </w:r>
      </w:hyperlink>
    </w:p>
    <w:p w14:paraId="705D0C4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3"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_Toc386013023 \h </w:instrText>
        </w:r>
        <w:r w:rsidR="008535C7">
          <w:rPr>
            <w:noProof/>
            <w:webHidden/>
          </w:rPr>
        </w:r>
        <w:r w:rsidR="008535C7">
          <w:rPr>
            <w:noProof/>
            <w:webHidden/>
          </w:rPr>
          <w:fldChar w:fldCharType="separate"/>
        </w:r>
        <w:r w:rsidR="005B0810">
          <w:rPr>
            <w:noProof/>
            <w:webHidden/>
          </w:rPr>
          <w:t>43</w:t>
        </w:r>
        <w:r w:rsidR="008535C7">
          <w:rPr>
            <w:noProof/>
            <w:webHidden/>
          </w:rPr>
          <w:fldChar w:fldCharType="end"/>
        </w:r>
      </w:hyperlink>
    </w:p>
    <w:p w14:paraId="3CAD246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4"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_Toc386013024 \h </w:instrText>
        </w:r>
        <w:r w:rsidR="008535C7">
          <w:rPr>
            <w:noProof/>
            <w:webHidden/>
          </w:rPr>
        </w:r>
        <w:r w:rsidR="008535C7">
          <w:rPr>
            <w:noProof/>
            <w:webHidden/>
          </w:rPr>
          <w:fldChar w:fldCharType="separate"/>
        </w:r>
        <w:r w:rsidR="005B0810">
          <w:rPr>
            <w:noProof/>
            <w:webHidden/>
          </w:rPr>
          <w:t>43</w:t>
        </w:r>
        <w:r w:rsidR="008535C7">
          <w:rPr>
            <w:noProof/>
            <w:webHidden/>
          </w:rPr>
          <w:fldChar w:fldCharType="end"/>
        </w:r>
      </w:hyperlink>
    </w:p>
    <w:p w14:paraId="595AAC8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5"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_Toc386013025 \h </w:instrText>
        </w:r>
        <w:r w:rsidR="008535C7">
          <w:rPr>
            <w:noProof/>
            <w:webHidden/>
          </w:rPr>
        </w:r>
        <w:r w:rsidR="008535C7">
          <w:rPr>
            <w:noProof/>
            <w:webHidden/>
          </w:rPr>
          <w:fldChar w:fldCharType="separate"/>
        </w:r>
        <w:r w:rsidR="005B0810">
          <w:rPr>
            <w:noProof/>
            <w:webHidden/>
          </w:rPr>
          <w:t>45</w:t>
        </w:r>
        <w:r w:rsidR="008535C7">
          <w:rPr>
            <w:noProof/>
            <w:webHidden/>
          </w:rPr>
          <w:fldChar w:fldCharType="end"/>
        </w:r>
      </w:hyperlink>
    </w:p>
    <w:p w14:paraId="0699B5D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6"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_Toc386013026 \h </w:instrText>
        </w:r>
        <w:r w:rsidR="008535C7">
          <w:rPr>
            <w:noProof/>
            <w:webHidden/>
          </w:rPr>
        </w:r>
        <w:r w:rsidR="008535C7">
          <w:rPr>
            <w:noProof/>
            <w:webHidden/>
          </w:rPr>
          <w:fldChar w:fldCharType="separate"/>
        </w:r>
        <w:r w:rsidR="005B0810">
          <w:rPr>
            <w:noProof/>
            <w:webHidden/>
          </w:rPr>
          <w:t>45</w:t>
        </w:r>
        <w:r w:rsidR="008535C7">
          <w:rPr>
            <w:noProof/>
            <w:webHidden/>
          </w:rPr>
          <w:fldChar w:fldCharType="end"/>
        </w:r>
      </w:hyperlink>
    </w:p>
    <w:p w14:paraId="51E1200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7"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_Toc386013027 \h </w:instrText>
        </w:r>
        <w:r w:rsidR="008535C7">
          <w:rPr>
            <w:noProof/>
            <w:webHidden/>
          </w:rPr>
        </w:r>
        <w:r w:rsidR="008535C7">
          <w:rPr>
            <w:noProof/>
            <w:webHidden/>
          </w:rPr>
          <w:fldChar w:fldCharType="separate"/>
        </w:r>
        <w:r w:rsidR="005B0810">
          <w:rPr>
            <w:noProof/>
            <w:webHidden/>
          </w:rPr>
          <w:t>46</w:t>
        </w:r>
        <w:r w:rsidR="008535C7">
          <w:rPr>
            <w:noProof/>
            <w:webHidden/>
          </w:rPr>
          <w:fldChar w:fldCharType="end"/>
        </w:r>
      </w:hyperlink>
    </w:p>
    <w:p w14:paraId="4496146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8"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_Toc386013028 \h </w:instrText>
        </w:r>
        <w:r w:rsidR="008535C7">
          <w:rPr>
            <w:noProof/>
            <w:webHidden/>
          </w:rPr>
        </w:r>
        <w:r w:rsidR="008535C7">
          <w:rPr>
            <w:noProof/>
            <w:webHidden/>
          </w:rPr>
          <w:fldChar w:fldCharType="separate"/>
        </w:r>
        <w:r w:rsidR="005B0810">
          <w:rPr>
            <w:noProof/>
            <w:webHidden/>
          </w:rPr>
          <w:t>46</w:t>
        </w:r>
        <w:r w:rsidR="008535C7">
          <w:rPr>
            <w:noProof/>
            <w:webHidden/>
          </w:rPr>
          <w:fldChar w:fldCharType="end"/>
        </w:r>
      </w:hyperlink>
    </w:p>
    <w:p w14:paraId="4C9A13F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29"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_Toc386013029 \h </w:instrText>
        </w:r>
        <w:r w:rsidR="008535C7">
          <w:rPr>
            <w:noProof/>
            <w:webHidden/>
          </w:rPr>
        </w:r>
        <w:r w:rsidR="008535C7">
          <w:rPr>
            <w:noProof/>
            <w:webHidden/>
          </w:rPr>
          <w:fldChar w:fldCharType="separate"/>
        </w:r>
        <w:r w:rsidR="005B0810">
          <w:rPr>
            <w:noProof/>
            <w:webHidden/>
          </w:rPr>
          <w:t>47</w:t>
        </w:r>
        <w:r w:rsidR="008535C7">
          <w:rPr>
            <w:noProof/>
            <w:webHidden/>
          </w:rPr>
          <w:fldChar w:fldCharType="end"/>
        </w:r>
      </w:hyperlink>
    </w:p>
    <w:p w14:paraId="4DFD461F" w14:textId="4BDE3815"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6 - </w:t>
      </w:r>
      <w:hyperlink w:anchor="_Toc386013030" w:history="1">
        <w:r w:rsidRPr="005016CE">
          <w:rPr>
            <w:rStyle w:val="Hyperlink"/>
            <w:noProof/>
          </w:rPr>
          <w:t>Opening Regulatory Asset Base</w:t>
        </w:r>
        <w:r>
          <w:rPr>
            <w:noProof/>
            <w:webHidden/>
          </w:rPr>
          <w:tab/>
        </w:r>
        <w:r>
          <w:rPr>
            <w:noProof/>
            <w:webHidden/>
          </w:rPr>
          <w:fldChar w:fldCharType="begin"/>
        </w:r>
        <w:r>
          <w:rPr>
            <w:noProof/>
            <w:webHidden/>
          </w:rPr>
          <w:instrText xml:space="preserve"> PAGEREF _Toc386013030 \h </w:instrText>
        </w:r>
        <w:r>
          <w:rPr>
            <w:noProof/>
            <w:webHidden/>
          </w:rPr>
        </w:r>
        <w:r>
          <w:rPr>
            <w:noProof/>
            <w:webHidden/>
          </w:rPr>
          <w:fldChar w:fldCharType="separate"/>
        </w:r>
        <w:r w:rsidR="005B0810">
          <w:rPr>
            <w:noProof/>
            <w:webHidden/>
          </w:rPr>
          <w:t>48</w:t>
        </w:r>
        <w:r>
          <w:rPr>
            <w:noProof/>
            <w:webHidden/>
          </w:rPr>
          <w:fldChar w:fldCharType="end"/>
        </w:r>
      </w:hyperlink>
    </w:p>
    <w:p w14:paraId="0877E71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1"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_Toc386013031 \h </w:instrText>
        </w:r>
        <w:r w:rsidR="008535C7">
          <w:rPr>
            <w:noProof/>
            <w:webHidden/>
          </w:rPr>
        </w:r>
        <w:r w:rsidR="008535C7">
          <w:rPr>
            <w:noProof/>
            <w:webHidden/>
          </w:rPr>
          <w:fldChar w:fldCharType="separate"/>
        </w:r>
        <w:r w:rsidR="005B0810">
          <w:rPr>
            <w:noProof/>
            <w:webHidden/>
          </w:rPr>
          <w:t>48</w:t>
        </w:r>
        <w:r w:rsidR="008535C7">
          <w:rPr>
            <w:noProof/>
            <w:webHidden/>
          </w:rPr>
          <w:fldChar w:fldCharType="end"/>
        </w:r>
      </w:hyperlink>
    </w:p>
    <w:p w14:paraId="7AE9DA7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2"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_Toc386013032 \h </w:instrText>
        </w:r>
        <w:r w:rsidR="008535C7">
          <w:rPr>
            <w:noProof/>
            <w:webHidden/>
          </w:rPr>
        </w:r>
        <w:r w:rsidR="008535C7">
          <w:rPr>
            <w:noProof/>
            <w:webHidden/>
          </w:rPr>
          <w:fldChar w:fldCharType="separate"/>
        </w:r>
        <w:r w:rsidR="005B0810">
          <w:rPr>
            <w:noProof/>
            <w:webHidden/>
          </w:rPr>
          <w:t>48</w:t>
        </w:r>
        <w:r w:rsidR="008535C7">
          <w:rPr>
            <w:noProof/>
            <w:webHidden/>
          </w:rPr>
          <w:fldChar w:fldCharType="end"/>
        </w:r>
      </w:hyperlink>
    </w:p>
    <w:p w14:paraId="786ED108" w14:textId="4311D19D" w:rsidR="008535C7" w:rsidRDefault="00780CFE">
      <w:pPr>
        <w:pStyle w:val="TOC2"/>
        <w:rPr>
          <w:rFonts w:asciiTheme="minorHAnsi" w:eastAsiaTheme="minorEastAsia" w:hAnsiTheme="minorHAnsi" w:cstheme="minorBidi"/>
          <w:noProof/>
          <w:sz w:val="22"/>
          <w:szCs w:val="22"/>
          <w:lang w:val="en-AU" w:eastAsia="en-AU"/>
        </w:rPr>
      </w:pPr>
      <w:hyperlink w:anchor="_Toc386013033" w:history="1">
        <w:r w:rsidR="008535C7" w:rsidRPr="005016CE">
          <w:rPr>
            <w:rStyle w:val="Hyperlink"/>
            <w:noProof/>
          </w:rPr>
          <w:t xml:space="preserve">PWC Networks’ Initial </w:t>
        </w:r>
        <w:r w:rsidR="006F0659">
          <w:rPr>
            <w:rStyle w:val="Hyperlink"/>
            <w:noProof/>
          </w:rPr>
          <w:t xml:space="preserve">Regulatory </w:t>
        </w:r>
        <w:r w:rsidR="008535C7" w:rsidRPr="005016CE">
          <w:rPr>
            <w:rStyle w:val="Hyperlink"/>
            <w:noProof/>
          </w:rPr>
          <w:t>Proposal</w:t>
        </w:r>
        <w:r w:rsidR="008535C7">
          <w:rPr>
            <w:noProof/>
            <w:webHidden/>
          </w:rPr>
          <w:tab/>
        </w:r>
        <w:r w:rsidR="008535C7">
          <w:rPr>
            <w:noProof/>
            <w:webHidden/>
          </w:rPr>
          <w:fldChar w:fldCharType="begin"/>
        </w:r>
        <w:r w:rsidR="008535C7">
          <w:rPr>
            <w:noProof/>
            <w:webHidden/>
          </w:rPr>
          <w:instrText xml:space="preserve"> PAGEREF _Toc386013033 \h </w:instrText>
        </w:r>
        <w:r w:rsidR="008535C7">
          <w:rPr>
            <w:noProof/>
            <w:webHidden/>
          </w:rPr>
        </w:r>
        <w:r w:rsidR="008535C7">
          <w:rPr>
            <w:noProof/>
            <w:webHidden/>
          </w:rPr>
          <w:fldChar w:fldCharType="separate"/>
        </w:r>
        <w:r w:rsidR="005B0810">
          <w:rPr>
            <w:noProof/>
            <w:webHidden/>
          </w:rPr>
          <w:t>49</w:t>
        </w:r>
        <w:r w:rsidR="008535C7">
          <w:rPr>
            <w:noProof/>
            <w:webHidden/>
          </w:rPr>
          <w:fldChar w:fldCharType="end"/>
        </w:r>
      </w:hyperlink>
    </w:p>
    <w:p w14:paraId="4E561CF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4"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_Toc386013034 \h </w:instrText>
        </w:r>
        <w:r w:rsidR="008535C7">
          <w:rPr>
            <w:noProof/>
            <w:webHidden/>
          </w:rPr>
        </w:r>
        <w:r w:rsidR="008535C7">
          <w:rPr>
            <w:noProof/>
            <w:webHidden/>
          </w:rPr>
          <w:fldChar w:fldCharType="separate"/>
        </w:r>
        <w:r w:rsidR="005B0810">
          <w:rPr>
            <w:noProof/>
            <w:webHidden/>
          </w:rPr>
          <w:t>51</w:t>
        </w:r>
        <w:r w:rsidR="008535C7">
          <w:rPr>
            <w:noProof/>
            <w:webHidden/>
          </w:rPr>
          <w:fldChar w:fldCharType="end"/>
        </w:r>
      </w:hyperlink>
    </w:p>
    <w:p w14:paraId="58A1E95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5"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_Toc386013035 \h </w:instrText>
        </w:r>
        <w:r w:rsidR="008535C7">
          <w:rPr>
            <w:noProof/>
            <w:webHidden/>
          </w:rPr>
        </w:r>
        <w:r w:rsidR="008535C7">
          <w:rPr>
            <w:noProof/>
            <w:webHidden/>
          </w:rPr>
          <w:fldChar w:fldCharType="separate"/>
        </w:r>
        <w:r w:rsidR="005B0810">
          <w:rPr>
            <w:noProof/>
            <w:webHidden/>
          </w:rPr>
          <w:t>51</w:t>
        </w:r>
        <w:r w:rsidR="008535C7">
          <w:rPr>
            <w:noProof/>
            <w:webHidden/>
          </w:rPr>
          <w:fldChar w:fldCharType="end"/>
        </w:r>
      </w:hyperlink>
    </w:p>
    <w:p w14:paraId="5681EF5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6"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_Toc386013036 \h </w:instrText>
        </w:r>
        <w:r w:rsidR="008535C7">
          <w:rPr>
            <w:noProof/>
            <w:webHidden/>
          </w:rPr>
        </w:r>
        <w:r w:rsidR="008535C7">
          <w:rPr>
            <w:noProof/>
            <w:webHidden/>
          </w:rPr>
          <w:fldChar w:fldCharType="separate"/>
        </w:r>
        <w:r w:rsidR="005B0810">
          <w:rPr>
            <w:noProof/>
            <w:webHidden/>
          </w:rPr>
          <w:t>53</w:t>
        </w:r>
        <w:r w:rsidR="008535C7">
          <w:rPr>
            <w:noProof/>
            <w:webHidden/>
          </w:rPr>
          <w:fldChar w:fldCharType="end"/>
        </w:r>
      </w:hyperlink>
    </w:p>
    <w:p w14:paraId="51C6FD85"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7"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_Toc386013037 \h </w:instrText>
        </w:r>
        <w:r w:rsidR="008535C7">
          <w:rPr>
            <w:noProof/>
            <w:webHidden/>
          </w:rPr>
        </w:r>
        <w:r w:rsidR="008535C7">
          <w:rPr>
            <w:noProof/>
            <w:webHidden/>
          </w:rPr>
          <w:fldChar w:fldCharType="separate"/>
        </w:r>
        <w:r w:rsidR="005B0810">
          <w:rPr>
            <w:noProof/>
            <w:webHidden/>
          </w:rPr>
          <w:t>53</w:t>
        </w:r>
        <w:r w:rsidR="008535C7">
          <w:rPr>
            <w:noProof/>
            <w:webHidden/>
          </w:rPr>
          <w:fldChar w:fldCharType="end"/>
        </w:r>
      </w:hyperlink>
    </w:p>
    <w:p w14:paraId="59F8C44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8"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_Toc386013038 \h </w:instrText>
        </w:r>
        <w:r w:rsidR="008535C7">
          <w:rPr>
            <w:noProof/>
            <w:webHidden/>
          </w:rPr>
        </w:r>
        <w:r w:rsidR="008535C7">
          <w:rPr>
            <w:noProof/>
            <w:webHidden/>
          </w:rPr>
          <w:fldChar w:fldCharType="separate"/>
        </w:r>
        <w:r w:rsidR="005B0810">
          <w:rPr>
            <w:noProof/>
            <w:webHidden/>
          </w:rPr>
          <w:t>54</w:t>
        </w:r>
        <w:r w:rsidR="008535C7">
          <w:rPr>
            <w:noProof/>
            <w:webHidden/>
          </w:rPr>
          <w:fldChar w:fldCharType="end"/>
        </w:r>
      </w:hyperlink>
    </w:p>
    <w:p w14:paraId="378E1C3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39"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_Toc386013039 \h </w:instrText>
        </w:r>
        <w:r w:rsidR="008535C7">
          <w:rPr>
            <w:noProof/>
            <w:webHidden/>
          </w:rPr>
        </w:r>
        <w:r w:rsidR="008535C7">
          <w:rPr>
            <w:noProof/>
            <w:webHidden/>
          </w:rPr>
          <w:fldChar w:fldCharType="separate"/>
        </w:r>
        <w:r w:rsidR="005B0810">
          <w:rPr>
            <w:noProof/>
            <w:webHidden/>
          </w:rPr>
          <w:t>54</w:t>
        </w:r>
        <w:r w:rsidR="008535C7">
          <w:rPr>
            <w:noProof/>
            <w:webHidden/>
          </w:rPr>
          <w:fldChar w:fldCharType="end"/>
        </w:r>
      </w:hyperlink>
    </w:p>
    <w:p w14:paraId="61DDA76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0"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_Toc386013040 \h </w:instrText>
        </w:r>
        <w:r w:rsidR="008535C7">
          <w:rPr>
            <w:noProof/>
            <w:webHidden/>
          </w:rPr>
        </w:r>
        <w:r w:rsidR="008535C7">
          <w:rPr>
            <w:noProof/>
            <w:webHidden/>
          </w:rPr>
          <w:fldChar w:fldCharType="separate"/>
        </w:r>
        <w:r w:rsidR="005B0810">
          <w:rPr>
            <w:noProof/>
            <w:webHidden/>
          </w:rPr>
          <w:t>55</w:t>
        </w:r>
        <w:r w:rsidR="008535C7">
          <w:rPr>
            <w:noProof/>
            <w:webHidden/>
          </w:rPr>
          <w:fldChar w:fldCharType="end"/>
        </w:r>
      </w:hyperlink>
    </w:p>
    <w:p w14:paraId="0F6BD517" w14:textId="06EB3D28"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7 - </w:t>
      </w:r>
      <w:hyperlink w:anchor="_Toc386013041" w:history="1">
        <w:r w:rsidRPr="005016CE">
          <w:rPr>
            <w:rStyle w:val="Hyperlink"/>
            <w:noProof/>
          </w:rPr>
          <w:t>Demand Forecasts</w:t>
        </w:r>
        <w:r>
          <w:rPr>
            <w:noProof/>
            <w:webHidden/>
          </w:rPr>
          <w:tab/>
        </w:r>
        <w:r>
          <w:rPr>
            <w:noProof/>
            <w:webHidden/>
          </w:rPr>
          <w:fldChar w:fldCharType="begin"/>
        </w:r>
        <w:r>
          <w:rPr>
            <w:noProof/>
            <w:webHidden/>
          </w:rPr>
          <w:instrText xml:space="preserve"> PAGEREF _Toc386013041 \h </w:instrText>
        </w:r>
        <w:r>
          <w:rPr>
            <w:noProof/>
            <w:webHidden/>
          </w:rPr>
        </w:r>
        <w:r>
          <w:rPr>
            <w:noProof/>
            <w:webHidden/>
          </w:rPr>
          <w:fldChar w:fldCharType="separate"/>
        </w:r>
        <w:r w:rsidR="005B0810">
          <w:rPr>
            <w:noProof/>
            <w:webHidden/>
          </w:rPr>
          <w:t>57</w:t>
        </w:r>
        <w:r>
          <w:rPr>
            <w:noProof/>
            <w:webHidden/>
          </w:rPr>
          <w:fldChar w:fldCharType="end"/>
        </w:r>
      </w:hyperlink>
    </w:p>
    <w:p w14:paraId="36DA8F7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2"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_Toc386013042 \h </w:instrText>
        </w:r>
        <w:r w:rsidR="008535C7">
          <w:rPr>
            <w:noProof/>
            <w:webHidden/>
          </w:rPr>
        </w:r>
        <w:r w:rsidR="008535C7">
          <w:rPr>
            <w:noProof/>
            <w:webHidden/>
          </w:rPr>
          <w:fldChar w:fldCharType="separate"/>
        </w:r>
        <w:r w:rsidR="005B0810">
          <w:rPr>
            <w:noProof/>
            <w:webHidden/>
          </w:rPr>
          <w:t>57</w:t>
        </w:r>
        <w:r w:rsidR="008535C7">
          <w:rPr>
            <w:noProof/>
            <w:webHidden/>
          </w:rPr>
          <w:fldChar w:fldCharType="end"/>
        </w:r>
      </w:hyperlink>
    </w:p>
    <w:p w14:paraId="79BDFC2D"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3"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_Toc386013043 \h </w:instrText>
        </w:r>
        <w:r w:rsidR="008535C7">
          <w:rPr>
            <w:noProof/>
            <w:webHidden/>
          </w:rPr>
        </w:r>
        <w:r w:rsidR="008535C7">
          <w:rPr>
            <w:noProof/>
            <w:webHidden/>
          </w:rPr>
          <w:fldChar w:fldCharType="separate"/>
        </w:r>
        <w:r w:rsidR="005B0810">
          <w:rPr>
            <w:noProof/>
            <w:webHidden/>
          </w:rPr>
          <w:t>57</w:t>
        </w:r>
        <w:r w:rsidR="008535C7">
          <w:rPr>
            <w:noProof/>
            <w:webHidden/>
          </w:rPr>
          <w:fldChar w:fldCharType="end"/>
        </w:r>
      </w:hyperlink>
    </w:p>
    <w:p w14:paraId="08803C8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4"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_Toc386013044 \h </w:instrText>
        </w:r>
        <w:r w:rsidR="008535C7">
          <w:rPr>
            <w:noProof/>
            <w:webHidden/>
          </w:rPr>
        </w:r>
        <w:r w:rsidR="008535C7">
          <w:rPr>
            <w:noProof/>
            <w:webHidden/>
          </w:rPr>
          <w:fldChar w:fldCharType="separate"/>
        </w:r>
        <w:r w:rsidR="005B0810">
          <w:rPr>
            <w:noProof/>
            <w:webHidden/>
          </w:rPr>
          <w:t>58</w:t>
        </w:r>
        <w:r w:rsidR="008535C7">
          <w:rPr>
            <w:noProof/>
            <w:webHidden/>
          </w:rPr>
          <w:fldChar w:fldCharType="end"/>
        </w:r>
      </w:hyperlink>
    </w:p>
    <w:p w14:paraId="3A9F4D1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5"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_Toc386013045 \h </w:instrText>
        </w:r>
        <w:r w:rsidR="008535C7">
          <w:rPr>
            <w:noProof/>
            <w:webHidden/>
          </w:rPr>
        </w:r>
        <w:r w:rsidR="008535C7">
          <w:rPr>
            <w:noProof/>
            <w:webHidden/>
          </w:rPr>
          <w:fldChar w:fldCharType="separate"/>
        </w:r>
        <w:r w:rsidR="005B0810">
          <w:rPr>
            <w:noProof/>
            <w:webHidden/>
          </w:rPr>
          <w:t>59</w:t>
        </w:r>
        <w:r w:rsidR="008535C7">
          <w:rPr>
            <w:noProof/>
            <w:webHidden/>
          </w:rPr>
          <w:fldChar w:fldCharType="end"/>
        </w:r>
      </w:hyperlink>
    </w:p>
    <w:p w14:paraId="0C5CD50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6"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_Toc386013046 \h </w:instrText>
        </w:r>
        <w:r w:rsidR="008535C7">
          <w:rPr>
            <w:noProof/>
            <w:webHidden/>
          </w:rPr>
        </w:r>
        <w:r w:rsidR="008535C7">
          <w:rPr>
            <w:noProof/>
            <w:webHidden/>
          </w:rPr>
          <w:fldChar w:fldCharType="separate"/>
        </w:r>
        <w:r w:rsidR="005B0810">
          <w:rPr>
            <w:noProof/>
            <w:webHidden/>
          </w:rPr>
          <w:t>60</w:t>
        </w:r>
        <w:r w:rsidR="008535C7">
          <w:rPr>
            <w:noProof/>
            <w:webHidden/>
          </w:rPr>
          <w:fldChar w:fldCharType="end"/>
        </w:r>
      </w:hyperlink>
    </w:p>
    <w:p w14:paraId="6065426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7"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_Toc386013047 \h </w:instrText>
        </w:r>
        <w:r w:rsidR="008535C7">
          <w:rPr>
            <w:noProof/>
            <w:webHidden/>
          </w:rPr>
        </w:r>
        <w:r w:rsidR="008535C7">
          <w:rPr>
            <w:noProof/>
            <w:webHidden/>
          </w:rPr>
          <w:fldChar w:fldCharType="separate"/>
        </w:r>
        <w:r w:rsidR="005B0810">
          <w:rPr>
            <w:noProof/>
            <w:webHidden/>
          </w:rPr>
          <w:t>63</w:t>
        </w:r>
        <w:r w:rsidR="008535C7">
          <w:rPr>
            <w:noProof/>
            <w:webHidden/>
          </w:rPr>
          <w:fldChar w:fldCharType="end"/>
        </w:r>
      </w:hyperlink>
    </w:p>
    <w:p w14:paraId="27B294D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8"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_Toc386013048 \h </w:instrText>
        </w:r>
        <w:r w:rsidR="008535C7">
          <w:rPr>
            <w:noProof/>
            <w:webHidden/>
          </w:rPr>
        </w:r>
        <w:r w:rsidR="008535C7">
          <w:rPr>
            <w:noProof/>
            <w:webHidden/>
          </w:rPr>
          <w:fldChar w:fldCharType="separate"/>
        </w:r>
        <w:r w:rsidR="005B0810">
          <w:rPr>
            <w:noProof/>
            <w:webHidden/>
          </w:rPr>
          <w:t>64</w:t>
        </w:r>
        <w:r w:rsidR="008535C7">
          <w:rPr>
            <w:noProof/>
            <w:webHidden/>
          </w:rPr>
          <w:fldChar w:fldCharType="end"/>
        </w:r>
      </w:hyperlink>
    </w:p>
    <w:p w14:paraId="0903A60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49"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_Toc386013049 \h </w:instrText>
        </w:r>
        <w:r w:rsidR="008535C7">
          <w:rPr>
            <w:noProof/>
            <w:webHidden/>
          </w:rPr>
        </w:r>
        <w:r w:rsidR="008535C7">
          <w:rPr>
            <w:noProof/>
            <w:webHidden/>
          </w:rPr>
          <w:fldChar w:fldCharType="separate"/>
        </w:r>
        <w:r w:rsidR="005B0810">
          <w:rPr>
            <w:noProof/>
            <w:webHidden/>
          </w:rPr>
          <w:t>64</w:t>
        </w:r>
        <w:r w:rsidR="008535C7">
          <w:rPr>
            <w:noProof/>
            <w:webHidden/>
          </w:rPr>
          <w:fldChar w:fldCharType="end"/>
        </w:r>
      </w:hyperlink>
    </w:p>
    <w:p w14:paraId="6C05832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0"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_Toc386013050 \h </w:instrText>
        </w:r>
        <w:r w:rsidR="008535C7">
          <w:rPr>
            <w:noProof/>
            <w:webHidden/>
          </w:rPr>
        </w:r>
        <w:r w:rsidR="008535C7">
          <w:rPr>
            <w:noProof/>
            <w:webHidden/>
          </w:rPr>
          <w:fldChar w:fldCharType="separate"/>
        </w:r>
        <w:r w:rsidR="005B0810">
          <w:rPr>
            <w:noProof/>
            <w:webHidden/>
          </w:rPr>
          <w:t>65</w:t>
        </w:r>
        <w:r w:rsidR="008535C7">
          <w:rPr>
            <w:noProof/>
            <w:webHidden/>
          </w:rPr>
          <w:fldChar w:fldCharType="end"/>
        </w:r>
      </w:hyperlink>
    </w:p>
    <w:p w14:paraId="2A847D5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1"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_Toc386013051 \h </w:instrText>
        </w:r>
        <w:r w:rsidR="008535C7">
          <w:rPr>
            <w:noProof/>
            <w:webHidden/>
          </w:rPr>
        </w:r>
        <w:r w:rsidR="008535C7">
          <w:rPr>
            <w:noProof/>
            <w:webHidden/>
          </w:rPr>
          <w:fldChar w:fldCharType="separate"/>
        </w:r>
        <w:r w:rsidR="005B0810">
          <w:rPr>
            <w:noProof/>
            <w:webHidden/>
          </w:rPr>
          <w:t>66</w:t>
        </w:r>
        <w:r w:rsidR="008535C7">
          <w:rPr>
            <w:noProof/>
            <w:webHidden/>
          </w:rPr>
          <w:fldChar w:fldCharType="end"/>
        </w:r>
      </w:hyperlink>
    </w:p>
    <w:p w14:paraId="37C9C2FB" w14:textId="695BBDB7"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8 - </w:t>
      </w:r>
      <w:hyperlink w:anchor="_Toc386013052" w:history="1">
        <w:r w:rsidRPr="005016CE">
          <w:rPr>
            <w:rStyle w:val="Hyperlink"/>
            <w:noProof/>
          </w:rPr>
          <w:t>Maintaining Quality, Reliability and Security of Supply</w:t>
        </w:r>
        <w:r>
          <w:rPr>
            <w:noProof/>
            <w:webHidden/>
          </w:rPr>
          <w:tab/>
        </w:r>
        <w:r>
          <w:rPr>
            <w:noProof/>
            <w:webHidden/>
          </w:rPr>
          <w:fldChar w:fldCharType="begin"/>
        </w:r>
        <w:r>
          <w:rPr>
            <w:noProof/>
            <w:webHidden/>
          </w:rPr>
          <w:instrText xml:space="preserve"> PAGEREF _Toc386013052 \h </w:instrText>
        </w:r>
        <w:r>
          <w:rPr>
            <w:noProof/>
            <w:webHidden/>
          </w:rPr>
        </w:r>
        <w:r>
          <w:rPr>
            <w:noProof/>
            <w:webHidden/>
          </w:rPr>
          <w:fldChar w:fldCharType="separate"/>
        </w:r>
        <w:r w:rsidR="005B0810">
          <w:rPr>
            <w:noProof/>
            <w:webHidden/>
          </w:rPr>
          <w:t>67</w:t>
        </w:r>
        <w:r>
          <w:rPr>
            <w:noProof/>
            <w:webHidden/>
          </w:rPr>
          <w:fldChar w:fldCharType="end"/>
        </w:r>
      </w:hyperlink>
    </w:p>
    <w:p w14:paraId="5249F67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3"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_Toc386013053 \h </w:instrText>
        </w:r>
        <w:r w:rsidR="008535C7">
          <w:rPr>
            <w:noProof/>
            <w:webHidden/>
          </w:rPr>
        </w:r>
        <w:r w:rsidR="008535C7">
          <w:rPr>
            <w:noProof/>
            <w:webHidden/>
          </w:rPr>
          <w:fldChar w:fldCharType="separate"/>
        </w:r>
        <w:r w:rsidR="005B0810">
          <w:rPr>
            <w:noProof/>
            <w:webHidden/>
          </w:rPr>
          <w:t>67</w:t>
        </w:r>
        <w:r w:rsidR="008535C7">
          <w:rPr>
            <w:noProof/>
            <w:webHidden/>
          </w:rPr>
          <w:fldChar w:fldCharType="end"/>
        </w:r>
      </w:hyperlink>
    </w:p>
    <w:p w14:paraId="7A821B6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4"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_Toc386013054 \h </w:instrText>
        </w:r>
        <w:r w:rsidR="008535C7">
          <w:rPr>
            <w:noProof/>
            <w:webHidden/>
          </w:rPr>
        </w:r>
        <w:r w:rsidR="008535C7">
          <w:rPr>
            <w:noProof/>
            <w:webHidden/>
          </w:rPr>
          <w:fldChar w:fldCharType="separate"/>
        </w:r>
        <w:r w:rsidR="005B0810">
          <w:rPr>
            <w:noProof/>
            <w:webHidden/>
          </w:rPr>
          <w:t>67</w:t>
        </w:r>
        <w:r w:rsidR="008535C7">
          <w:rPr>
            <w:noProof/>
            <w:webHidden/>
          </w:rPr>
          <w:fldChar w:fldCharType="end"/>
        </w:r>
      </w:hyperlink>
    </w:p>
    <w:p w14:paraId="6C626A9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5" w:history="1">
        <w:r w:rsidR="008535C7" w:rsidRPr="005016CE">
          <w:rPr>
            <w:rStyle w:val="Hyperlink"/>
            <w:noProof/>
            <w:lang w:val="en-AU"/>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_Toc386013055 \h </w:instrText>
        </w:r>
        <w:r w:rsidR="008535C7">
          <w:rPr>
            <w:noProof/>
            <w:webHidden/>
          </w:rPr>
        </w:r>
        <w:r w:rsidR="008535C7">
          <w:rPr>
            <w:noProof/>
            <w:webHidden/>
          </w:rPr>
          <w:fldChar w:fldCharType="separate"/>
        </w:r>
        <w:r w:rsidR="005B0810">
          <w:rPr>
            <w:noProof/>
            <w:webHidden/>
          </w:rPr>
          <w:t>71</w:t>
        </w:r>
        <w:r w:rsidR="008535C7">
          <w:rPr>
            <w:noProof/>
            <w:webHidden/>
          </w:rPr>
          <w:fldChar w:fldCharType="end"/>
        </w:r>
      </w:hyperlink>
    </w:p>
    <w:p w14:paraId="16A07F8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6" w:history="1">
        <w:r w:rsidR="008535C7" w:rsidRPr="005016CE">
          <w:rPr>
            <w:rStyle w:val="Hyperlink"/>
            <w:noProof/>
            <w:lang w:val="en-AU"/>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_Toc386013056 \h </w:instrText>
        </w:r>
        <w:r w:rsidR="008535C7">
          <w:rPr>
            <w:noProof/>
            <w:webHidden/>
          </w:rPr>
        </w:r>
        <w:r w:rsidR="008535C7">
          <w:rPr>
            <w:noProof/>
            <w:webHidden/>
          </w:rPr>
          <w:fldChar w:fldCharType="separate"/>
        </w:r>
        <w:r w:rsidR="005B0810">
          <w:rPr>
            <w:noProof/>
            <w:webHidden/>
          </w:rPr>
          <w:t>72</w:t>
        </w:r>
        <w:r w:rsidR="008535C7">
          <w:rPr>
            <w:noProof/>
            <w:webHidden/>
          </w:rPr>
          <w:fldChar w:fldCharType="end"/>
        </w:r>
      </w:hyperlink>
    </w:p>
    <w:p w14:paraId="2648E89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7" w:history="1">
        <w:r w:rsidR="008535C7" w:rsidRPr="005016CE">
          <w:rPr>
            <w:rStyle w:val="Hyperlink"/>
            <w:noProof/>
            <w:lang w:val="en-AU"/>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_Toc386013057 \h </w:instrText>
        </w:r>
        <w:r w:rsidR="008535C7">
          <w:rPr>
            <w:noProof/>
            <w:webHidden/>
          </w:rPr>
        </w:r>
        <w:r w:rsidR="008535C7">
          <w:rPr>
            <w:noProof/>
            <w:webHidden/>
          </w:rPr>
          <w:fldChar w:fldCharType="separate"/>
        </w:r>
        <w:r w:rsidR="005B0810">
          <w:rPr>
            <w:noProof/>
            <w:webHidden/>
          </w:rPr>
          <w:t>72</w:t>
        </w:r>
        <w:r w:rsidR="008535C7">
          <w:rPr>
            <w:noProof/>
            <w:webHidden/>
          </w:rPr>
          <w:fldChar w:fldCharType="end"/>
        </w:r>
      </w:hyperlink>
    </w:p>
    <w:p w14:paraId="5610739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8" w:history="1">
        <w:r w:rsidR="008535C7" w:rsidRPr="005016CE">
          <w:rPr>
            <w:rStyle w:val="Hyperlink"/>
            <w:noProof/>
            <w:lang w:val="en-AU"/>
          </w:rPr>
          <w:t>Commission’s Draft Decision</w:t>
        </w:r>
        <w:r w:rsidR="008535C7">
          <w:rPr>
            <w:noProof/>
            <w:webHidden/>
          </w:rPr>
          <w:tab/>
        </w:r>
        <w:r w:rsidR="008535C7">
          <w:rPr>
            <w:noProof/>
            <w:webHidden/>
          </w:rPr>
          <w:fldChar w:fldCharType="begin"/>
        </w:r>
        <w:r w:rsidR="008535C7">
          <w:rPr>
            <w:noProof/>
            <w:webHidden/>
          </w:rPr>
          <w:instrText xml:space="preserve"> PAGEREF _Toc386013058 \h </w:instrText>
        </w:r>
        <w:r w:rsidR="008535C7">
          <w:rPr>
            <w:noProof/>
            <w:webHidden/>
          </w:rPr>
        </w:r>
        <w:r w:rsidR="008535C7">
          <w:rPr>
            <w:noProof/>
            <w:webHidden/>
          </w:rPr>
          <w:fldChar w:fldCharType="separate"/>
        </w:r>
        <w:r w:rsidR="005B0810">
          <w:rPr>
            <w:noProof/>
            <w:webHidden/>
          </w:rPr>
          <w:t>72</w:t>
        </w:r>
        <w:r w:rsidR="008535C7">
          <w:rPr>
            <w:noProof/>
            <w:webHidden/>
          </w:rPr>
          <w:fldChar w:fldCharType="end"/>
        </w:r>
      </w:hyperlink>
    </w:p>
    <w:p w14:paraId="502FA6F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59"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_Toc386013059 \h </w:instrText>
        </w:r>
        <w:r w:rsidR="008535C7">
          <w:rPr>
            <w:noProof/>
            <w:webHidden/>
          </w:rPr>
        </w:r>
        <w:r w:rsidR="008535C7">
          <w:rPr>
            <w:noProof/>
            <w:webHidden/>
          </w:rPr>
          <w:fldChar w:fldCharType="separate"/>
        </w:r>
        <w:r w:rsidR="005B0810">
          <w:rPr>
            <w:noProof/>
            <w:webHidden/>
          </w:rPr>
          <w:t>72</w:t>
        </w:r>
        <w:r w:rsidR="008535C7">
          <w:rPr>
            <w:noProof/>
            <w:webHidden/>
          </w:rPr>
          <w:fldChar w:fldCharType="end"/>
        </w:r>
      </w:hyperlink>
    </w:p>
    <w:p w14:paraId="4F266C7D"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0"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_Toc386013060 \h </w:instrText>
        </w:r>
        <w:r w:rsidR="008535C7">
          <w:rPr>
            <w:noProof/>
            <w:webHidden/>
          </w:rPr>
        </w:r>
        <w:r w:rsidR="008535C7">
          <w:rPr>
            <w:noProof/>
            <w:webHidden/>
          </w:rPr>
          <w:fldChar w:fldCharType="separate"/>
        </w:r>
        <w:r w:rsidR="005B0810">
          <w:rPr>
            <w:noProof/>
            <w:webHidden/>
          </w:rPr>
          <w:t>73</w:t>
        </w:r>
        <w:r w:rsidR="008535C7">
          <w:rPr>
            <w:noProof/>
            <w:webHidden/>
          </w:rPr>
          <w:fldChar w:fldCharType="end"/>
        </w:r>
      </w:hyperlink>
    </w:p>
    <w:p w14:paraId="101CC7D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1"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_Toc386013061 \h </w:instrText>
        </w:r>
        <w:r w:rsidR="008535C7">
          <w:rPr>
            <w:noProof/>
            <w:webHidden/>
          </w:rPr>
        </w:r>
        <w:r w:rsidR="008535C7">
          <w:rPr>
            <w:noProof/>
            <w:webHidden/>
          </w:rPr>
          <w:fldChar w:fldCharType="separate"/>
        </w:r>
        <w:r w:rsidR="005B0810">
          <w:rPr>
            <w:noProof/>
            <w:webHidden/>
          </w:rPr>
          <w:t>73</w:t>
        </w:r>
        <w:r w:rsidR="008535C7">
          <w:rPr>
            <w:noProof/>
            <w:webHidden/>
          </w:rPr>
          <w:fldChar w:fldCharType="end"/>
        </w:r>
      </w:hyperlink>
    </w:p>
    <w:p w14:paraId="3B2A263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2"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_Toc386013062 \h </w:instrText>
        </w:r>
        <w:r w:rsidR="008535C7">
          <w:rPr>
            <w:noProof/>
            <w:webHidden/>
          </w:rPr>
        </w:r>
        <w:r w:rsidR="008535C7">
          <w:rPr>
            <w:noProof/>
            <w:webHidden/>
          </w:rPr>
          <w:fldChar w:fldCharType="separate"/>
        </w:r>
        <w:r w:rsidR="005B0810">
          <w:rPr>
            <w:noProof/>
            <w:webHidden/>
          </w:rPr>
          <w:t>73</w:t>
        </w:r>
        <w:r w:rsidR="008535C7">
          <w:rPr>
            <w:noProof/>
            <w:webHidden/>
          </w:rPr>
          <w:fldChar w:fldCharType="end"/>
        </w:r>
      </w:hyperlink>
    </w:p>
    <w:p w14:paraId="5B08F9E6" w14:textId="7517BEB4"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9 - </w:t>
      </w:r>
      <w:hyperlink w:anchor="_Toc386013063" w:history="1">
        <w:r w:rsidRPr="005016CE">
          <w:rPr>
            <w:rStyle w:val="Hyperlink"/>
            <w:noProof/>
          </w:rPr>
          <w:t xml:space="preserve">Forecast </w:t>
        </w:r>
        <w:r w:rsidR="00857E0C">
          <w:rPr>
            <w:rStyle w:val="Hyperlink"/>
            <w:noProof/>
          </w:rPr>
          <w:t>C</w:t>
        </w:r>
        <w:r w:rsidRPr="005016CE">
          <w:rPr>
            <w:rStyle w:val="Hyperlink"/>
            <w:noProof/>
          </w:rPr>
          <w:t xml:space="preserve">apital </w:t>
        </w:r>
        <w:r w:rsidR="00857E0C">
          <w:rPr>
            <w:rStyle w:val="Hyperlink"/>
            <w:noProof/>
          </w:rPr>
          <w:t>E</w:t>
        </w:r>
        <w:r w:rsidRPr="005016CE">
          <w:rPr>
            <w:rStyle w:val="Hyperlink"/>
            <w:noProof/>
          </w:rPr>
          <w:t>xpenditure</w:t>
        </w:r>
        <w:r>
          <w:rPr>
            <w:noProof/>
            <w:webHidden/>
          </w:rPr>
          <w:tab/>
        </w:r>
        <w:r>
          <w:rPr>
            <w:noProof/>
            <w:webHidden/>
          </w:rPr>
          <w:fldChar w:fldCharType="begin"/>
        </w:r>
        <w:r>
          <w:rPr>
            <w:noProof/>
            <w:webHidden/>
          </w:rPr>
          <w:instrText xml:space="preserve"> PAGEREF _Toc386013063 \h </w:instrText>
        </w:r>
        <w:r>
          <w:rPr>
            <w:noProof/>
            <w:webHidden/>
          </w:rPr>
        </w:r>
        <w:r>
          <w:rPr>
            <w:noProof/>
            <w:webHidden/>
          </w:rPr>
          <w:fldChar w:fldCharType="separate"/>
        </w:r>
        <w:r w:rsidR="005B0810">
          <w:rPr>
            <w:noProof/>
            <w:webHidden/>
          </w:rPr>
          <w:t>74</w:t>
        </w:r>
        <w:r>
          <w:rPr>
            <w:noProof/>
            <w:webHidden/>
          </w:rPr>
          <w:fldChar w:fldCharType="end"/>
        </w:r>
      </w:hyperlink>
    </w:p>
    <w:p w14:paraId="0267D84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4"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_Toc386013064 \h </w:instrText>
        </w:r>
        <w:r w:rsidR="008535C7">
          <w:rPr>
            <w:noProof/>
            <w:webHidden/>
          </w:rPr>
        </w:r>
        <w:r w:rsidR="008535C7">
          <w:rPr>
            <w:noProof/>
            <w:webHidden/>
          </w:rPr>
          <w:fldChar w:fldCharType="separate"/>
        </w:r>
        <w:r w:rsidR="005B0810">
          <w:rPr>
            <w:noProof/>
            <w:webHidden/>
          </w:rPr>
          <w:t>74</w:t>
        </w:r>
        <w:r w:rsidR="008535C7">
          <w:rPr>
            <w:noProof/>
            <w:webHidden/>
          </w:rPr>
          <w:fldChar w:fldCharType="end"/>
        </w:r>
      </w:hyperlink>
    </w:p>
    <w:p w14:paraId="64E1E37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5"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_Toc386013065 \h </w:instrText>
        </w:r>
        <w:r w:rsidR="008535C7">
          <w:rPr>
            <w:noProof/>
            <w:webHidden/>
          </w:rPr>
        </w:r>
        <w:r w:rsidR="008535C7">
          <w:rPr>
            <w:noProof/>
            <w:webHidden/>
          </w:rPr>
          <w:fldChar w:fldCharType="separate"/>
        </w:r>
        <w:r w:rsidR="005B0810">
          <w:rPr>
            <w:noProof/>
            <w:webHidden/>
          </w:rPr>
          <w:t>74</w:t>
        </w:r>
        <w:r w:rsidR="008535C7">
          <w:rPr>
            <w:noProof/>
            <w:webHidden/>
          </w:rPr>
          <w:fldChar w:fldCharType="end"/>
        </w:r>
      </w:hyperlink>
    </w:p>
    <w:p w14:paraId="48DFBF0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6" w:history="1">
        <w:r w:rsidR="008535C7" w:rsidRPr="005016CE">
          <w:rPr>
            <w:rStyle w:val="Hyperlink"/>
            <w:noProof/>
          </w:rPr>
          <w:t>Current Period Outcomes</w:t>
        </w:r>
        <w:r w:rsidR="008535C7">
          <w:rPr>
            <w:noProof/>
            <w:webHidden/>
          </w:rPr>
          <w:tab/>
        </w:r>
        <w:r w:rsidR="008535C7">
          <w:rPr>
            <w:noProof/>
            <w:webHidden/>
          </w:rPr>
          <w:fldChar w:fldCharType="begin"/>
        </w:r>
        <w:r w:rsidR="008535C7">
          <w:rPr>
            <w:noProof/>
            <w:webHidden/>
          </w:rPr>
          <w:instrText xml:space="preserve"> PAGEREF _Toc386013066 \h </w:instrText>
        </w:r>
        <w:r w:rsidR="008535C7">
          <w:rPr>
            <w:noProof/>
            <w:webHidden/>
          </w:rPr>
        </w:r>
        <w:r w:rsidR="008535C7">
          <w:rPr>
            <w:noProof/>
            <w:webHidden/>
          </w:rPr>
          <w:fldChar w:fldCharType="separate"/>
        </w:r>
        <w:r w:rsidR="005B0810">
          <w:rPr>
            <w:noProof/>
            <w:webHidden/>
          </w:rPr>
          <w:t>75</w:t>
        </w:r>
        <w:r w:rsidR="008535C7">
          <w:rPr>
            <w:noProof/>
            <w:webHidden/>
          </w:rPr>
          <w:fldChar w:fldCharType="end"/>
        </w:r>
      </w:hyperlink>
    </w:p>
    <w:p w14:paraId="4AB0FB09"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7"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_Toc386013067 \h </w:instrText>
        </w:r>
        <w:r w:rsidR="008535C7">
          <w:rPr>
            <w:noProof/>
            <w:webHidden/>
          </w:rPr>
        </w:r>
        <w:r w:rsidR="008535C7">
          <w:rPr>
            <w:noProof/>
            <w:webHidden/>
          </w:rPr>
          <w:fldChar w:fldCharType="separate"/>
        </w:r>
        <w:r w:rsidR="005B0810">
          <w:rPr>
            <w:noProof/>
            <w:webHidden/>
          </w:rPr>
          <w:t>76</w:t>
        </w:r>
        <w:r w:rsidR="008535C7">
          <w:rPr>
            <w:noProof/>
            <w:webHidden/>
          </w:rPr>
          <w:fldChar w:fldCharType="end"/>
        </w:r>
      </w:hyperlink>
    </w:p>
    <w:p w14:paraId="029B73A5"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8"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_Toc386013068 \h </w:instrText>
        </w:r>
        <w:r w:rsidR="008535C7">
          <w:rPr>
            <w:noProof/>
            <w:webHidden/>
          </w:rPr>
        </w:r>
        <w:r w:rsidR="008535C7">
          <w:rPr>
            <w:noProof/>
            <w:webHidden/>
          </w:rPr>
          <w:fldChar w:fldCharType="separate"/>
        </w:r>
        <w:r w:rsidR="005B0810">
          <w:rPr>
            <w:noProof/>
            <w:webHidden/>
          </w:rPr>
          <w:t>78</w:t>
        </w:r>
        <w:r w:rsidR="008535C7">
          <w:rPr>
            <w:noProof/>
            <w:webHidden/>
          </w:rPr>
          <w:fldChar w:fldCharType="end"/>
        </w:r>
      </w:hyperlink>
    </w:p>
    <w:p w14:paraId="20B03F95"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69"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_Toc386013069 \h </w:instrText>
        </w:r>
        <w:r w:rsidR="008535C7">
          <w:rPr>
            <w:noProof/>
            <w:webHidden/>
          </w:rPr>
        </w:r>
        <w:r w:rsidR="008535C7">
          <w:rPr>
            <w:noProof/>
            <w:webHidden/>
          </w:rPr>
          <w:fldChar w:fldCharType="separate"/>
        </w:r>
        <w:r w:rsidR="005B0810">
          <w:rPr>
            <w:noProof/>
            <w:webHidden/>
          </w:rPr>
          <w:t>78</w:t>
        </w:r>
        <w:r w:rsidR="008535C7">
          <w:rPr>
            <w:noProof/>
            <w:webHidden/>
          </w:rPr>
          <w:fldChar w:fldCharType="end"/>
        </w:r>
      </w:hyperlink>
    </w:p>
    <w:p w14:paraId="24840B4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0"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_Toc386013070 \h </w:instrText>
        </w:r>
        <w:r w:rsidR="008535C7">
          <w:rPr>
            <w:noProof/>
            <w:webHidden/>
          </w:rPr>
        </w:r>
        <w:r w:rsidR="008535C7">
          <w:rPr>
            <w:noProof/>
            <w:webHidden/>
          </w:rPr>
          <w:fldChar w:fldCharType="separate"/>
        </w:r>
        <w:r w:rsidR="005B0810">
          <w:rPr>
            <w:noProof/>
            <w:webHidden/>
          </w:rPr>
          <w:t>82</w:t>
        </w:r>
        <w:r w:rsidR="008535C7">
          <w:rPr>
            <w:noProof/>
            <w:webHidden/>
          </w:rPr>
          <w:fldChar w:fldCharType="end"/>
        </w:r>
      </w:hyperlink>
    </w:p>
    <w:p w14:paraId="78B16C9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1"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_Toc386013071 \h </w:instrText>
        </w:r>
        <w:r w:rsidR="008535C7">
          <w:rPr>
            <w:noProof/>
            <w:webHidden/>
          </w:rPr>
        </w:r>
        <w:r w:rsidR="008535C7">
          <w:rPr>
            <w:noProof/>
            <w:webHidden/>
          </w:rPr>
          <w:fldChar w:fldCharType="separate"/>
        </w:r>
        <w:r w:rsidR="005B0810">
          <w:rPr>
            <w:noProof/>
            <w:webHidden/>
          </w:rPr>
          <w:t>84</w:t>
        </w:r>
        <w:r w:rsidR="008535C7">
          <w:rPr>
            <w:noProof/>
            <w:webHidden/>
          </w:rPr>
          <w:fldChar w:fldCharType="end"/>
        </w:r>
      </w:hyperlink>
    </w:p>
    <w:p w14:paraId="49A0003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2"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_Toc386013072 \h </w:instrText>
        </w:r>
        <w:r w:rsidR="008535C7">
          <w:rPr>
            <w:noProof/>
            <w:webHidden/>
          </w:rPr>
        </w:r>
        <w:r w:rsidR="008535C7">
          <w:rPr>
            <w:noProof/>
            <w:webHidden/>
          </w:rPr>
          <w:fldChar w:fldCharType="separate"/>
        </w:r>
        <w:r w:rsidR="005B0810">
          <w:rPr>
            <w:noProof/>
            <w:webHidden/>
          </w:rPr>
          <w:t>85</w:t>
        </w:r>
        <w:r w:rsidR="008535C7">
          <w:rPr>
            <w:noProof/>
            <w:webHidden/>
          </w:rPr>
          <w:fldChar w:fldCharType="end"/>
        </w:r>
      </w:hyperlink>
    </w:p>
    <w:p w14:paraId="1A347D7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3"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_Toc386013073 \h </w:instrText>
        </w:r>
        <w:r w:rsidR="008535C7">
          <w:rPr>
            <w:noProof/>
            <w:webHidden/>
          </w:rPr>
        </w:r>
        <w:r w:rsidR="008535C7">
          <w:rPr>
            <w:noProof/>
            <w:webHidden/>
          </w:rPr>
          <w:fldChar w:fldCharType="separate"/>
        </w:r>
        <w:r w:rsidR="005B0810">
          <w:rPr>
            <w:noProof/>
            <w:webHidden/>
          </w:rPr>
          <w:t>85</w:t>
        </w:r>
        <w:r w:rsidR="008535C7">
          <w:rPr>
            <w:noProof/>
            <w:webHidden/>
          </w:rPr>
          <w:fldChar w:fldCharType="end"/>
        </w:r>
      </w:hyperlink>
    </w:p>
    <w:p w14:paraId="6ABE2F5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4"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_Toc386013074 \h </w:instrText>
        </w:r>
        <w:r w:rsidR="008535C7">
          <w:rPr>
            <w:noProof/>
            <w:webHidden/>
          </w:rPr>
        </w:r>
        <w:r w:rsidR="008535C7">
          <w:rPr>
            <w:noProof/>
            <w:webHidden/>
          </w:rPr>
          <w:fldChar w:fldCharType="separate"/>
        </w:r>
        <w:r w:rsidR="005B0810">
          <w:rPr>
            <w:noProof/>
            <w:webHidden/>
          </w:rPr>
          <w:t>88</w:t>
        </w:r>
        <w:r w:rsidR="008535C7">
          <w:rPr>
            <w:noProof/>
            <w:webHidden/>
          </w:rPr>
          <w:fldChar w:fldCharType="end"/>
        </w:r>
      </w:hyperlink>
    </w:p>
    <w:p w14:paraId="1D2C33FE" w14:textId="5CCA64B3"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10 - </w:t>
      </w:r>
      <w:hyperlink w:anchor="_Toc386013075" w:history="1">
        <w:r w:rsidRPr="005016CE">
          <w:rPr>
            <w:rStyle w:val="Hyperlink"/>
            <w:noProof/>
          </w:rPr>
          <w:t>Forecast Operating and Maintenance Expenditure</w:t>
        </w:r>
        <w:r>
          <w:rPr>
            <w:noProof/>
            <w:webHidden/>
          </w:rPr>
          <w:tab/>
        </w:r>
        <w:r>
          <w:rPr>
            <w:noProof/>
            <w:webHidden/>
          </w:rPr>
          <w:fldChar w:fldCharType="begin"/>
        </w:r>
        <w:r>
          <w:rPr>
            <w:noProof/>
            <w:webHidden/>
          </w:rPr>
          <w:instrText xml:space="preserve"> PAGEREF _Toc386013075 \h </w:instrText>
        </w:r>
        <w:r>
          <w:rPr>
            <w:noProof/>
            <w:webHidden/>
          </w:rPr>
        </w:r>
        <w:r>
          <w:rPr>
            <w:noProof/>
            <w:webHidden/>
          </w:rPr>
          <w:fldChar w:fldCharType="separate"/>
        </w:r>
        <w:r w:rsidR="005B0810">
          <w:rPr>
            <w:noProof/>
            <w:webHidden/>
          </w:rPr>
          <w:t>90</w:t>
        </w:r>
        <w:r>
          <w:rPr>
            <w:noProof/>
            <w:webHidden/>
          </w:rPr>
          <w:fldChar w:fldCharType="end"/>
        </w:r>
      </w:hyperlink>
    </w:p>
    <w:p w14:paraId="43D3610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6"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_Toc386013076 \h </w:instrText>
        </w:r>
        <w:r w:rsidR="008535C7">
          <w:rPr>
            <w:noProof/>
            <w:webHidden/>
          </w:rPr>
        </w:r>
        <w:r w:rsidR="008535C7">
          <w:rPr>
            <w:noProof/>
            <w:webHidden/>
          </w:rPr>
          <w:fldChar w:fldCharType="separate"/>
        </w:r>
        <w:r w:rsidR="005B0810">
          <w:rPr>
            <w:noProof/>
            <w:webHidden/>
          </w:rPr>
          <w:t>90</w:t>
        </w:r>
        <w:r w:rsidR="008535C7">
          <w:rPr>
            <w:noProof/>
            <w:webHidden/>
          </w:rPr>
          <w:fldChar w:fldCharType="end"/>
        </w:r>
      </w:hyperlink>
    </w:p>
    <w:p w14:paraId="1F3D330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7"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_Toc386013077 \h </w:instrText>
        </w:r>
        <w:r w:rsidR="008535C7">
          <w:rPr>
            <w:noProof/>
            <w:webHidden/>
          </w:rPr>
        </w:r>
        <w:r w:rsidR="008535C7">
          <w:rPr>
            <w:noProof/>
            <w:webHidden/>
          </w:rPr>
          <w:fldChar w:fldCharType="separate"/>
        </w:r>
        <w:r w:rsidR="005B0810">
          <w:rPr>
            <w:noProof/>
            <w:webHidden/>
          </w:rPr>
          <w:t>90</w:t>
        </w:r>
        <w:r w:rsidR="008535C7">
          <w:rPr>
            <w:noProof/>
            <w:webHidden/>
          </w:rPr>
          <w:fldChar w:fldCharType="end"/>
        </w:r>
      </w:hyperlink>
    </w:p>
    <w:p w14:paraId="09DAD72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8" w:history="1">
        <w:r w:rsidR="008535C7" w:rsidRPr="005016CE">
          <w:rPr>
            <w:rStyle w:val="Hyperlink"/>
            <w:noProof/>
          </w:rPr>
          <w:t>Current Period Outcomes</w:t>
        </w:r>
        <w:r w:rsidR="008535C7">
          <w:rPr>
            <w:noProof/>
            <w:webHidden/>
          </w:rPr>
          <w:tab/>
        </w:r>
        <w:r w:rsidR="008535C7">
          <w:rPr>
            <w:noProof/>
            <w:webHidden/>
          </w:rPr>
          <w:fldChar w:fldCharType="begin"/>
        </w:r>
        <w:r w:rsidR="008535C7">
          <w:rPr>
            <w:noProof/>
            <w:webHidden/>
          </w:rPr>
          <w:instrText xml:space="preserve"> PAGEREF _Toc386013078 \h </w:instrText>
        </w:r>
        <w:r w:rsidR="008535C7">
          <w:rPr>
            <w:noProof/>
            <w:webHidden/>
          </w:rPr>
        </w:r>
        <w:r w:rsidR="008535C7">
          <w:rPr>
            <w:noProof/>
            <w:webHidden/>
          </w:rPr>
          <w:fldChar w:fldCharType="separate"/>
        </w:r>
        <w:r w:rsidR="005B0810">
          <w:rPr>
            <w:noProof/>
            <w:webHidden/>
          </w:rPr>
          <w:t>91</w:t>
        </w:r>
        <w:r w:rsidR="008535C7">
          <w:rPr>
            <w:noProof/>
            <w:webHidden/>
          </w:rPr>
          <w:fldChar w:fldCharType="end"/>
        </w:r>
      </w:hyperlink>
    </w:p>
    <w:p w14:paraId="2B7CBD9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79"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_Toc386013079 \h </w:instrText>
        </w:r>
        <w:r w:rsidR="008535C7">
          <w:rPr>
            <w:noProof/>
            <w:webHidden/>
          </w:rPr>
        </w:r>
        <w:r w:rsidR="008535C7">
          <w:rPr>
            <w:noProof/>
            <w:webHidden/>
          </w:rPr>
          <w:fldChar w:fldCharType="separate"/>
        </w:r>
        <w:r w:rsidR="005B0810">
          <w:rPr>
            <w:noProof/>
            <w:webHidden/>
          </w:rPr>
          <w:t>93</w:t>
        </w:r>
        <w:r w:rsidR="008535C7">
          <w:rPr>
            <w:noProof/>
            <w:webHidden/>
          </w:rPr>
          <w:fldChar w:fldCharType="end"/>
        </w:r>
      </w:hyperlink>
    </w:p>
    <w:p w14:paraId="6B81720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0"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_Toc386013080 \h </w:instrText>
        </w:r>
        <w:r w:rsidR="008535C7">
          <w:rPr>
            <w:noProof/>
            <w:webHidden/>
          </w:rPr>
        </w:r>
        <w:r w:rsidR="008535C7">
          <w:rPr>
            <w:noProof/>
            <w:webHidden/>
          </w:rPr>
          <w:fldChar w:fldCharType="separate"/>
        </w:r>
        <w:r w:rsidR="005B0810">
          <w:rPr>
            <w:noProof/>
            <w:webHidden/>
          </w:rPr>
          <w:t>95</w:t>
        </w:r>
        <w:r w:rsidR="008535C7">
          <w:rPr>
            <w:noProof/>
            <w:webHidden/>
          </w:rPr>
          <w:fldChar w:fldCharType="end"/>
        </w:r>
      </w:hyperlink>
    </w:p>
    <w:p w14:paraId="6000C7F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1"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_Toc386013081 \h </w:instrText>
        </w:r>
        <w:r w:rsidR="008535C7">
          <w:rPr>
            <w:noProof/>
            <w:webHidden/>
          </w:rPr>
        </w:r>
        <w:r w:rsidR="008535C7">
          <w:rPr>
            <w:noProof/>
            <w:webHidden/>
          </w:rPr>
          <w:fldChar w:fldCharType="separate"/>
        </w:r>
        <w:r w:rsidR="005B0810">
          <w:rPr>
            <w:noProof/>
            <w:webHidden/>
          </w:rPr>
          <w:t>95</w:t>
        </w:r>
        <w:r w:rsidR="008535C7">
          <w:rPr>
            <w:noProof/>
            <w:webHidden/>
          </w:rPr>
          <w:fldChar w:fldCharType="end"/>
        </w:r>
      </w:hyperlink>
    </w:p>
    <w:p w14:paraId="190442F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2"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_Toc386013082 \h </w:instrText>
        </w:r>
        <w:r w:rsidR="008535C7">
          <w:rPr>
            <w:noProof/>
            <w:webHidden/>
          </w:rPr>
        </w:r>
        <w:r w:rsidR="008535C7">
          <w:rPr>
            <w:noProof/>
            <w:webHidden/>
          </w:rPr>
          <w:fldChar w:fldCharType="separate"/>
        </w:r>
        <w:r w:rsidR="005B0810">
          <w:rPr>
            <w:noProof/>
            <w:webHidden/>
          </w:rPr>
          <w:t>105</w:t>
        </w:r>
        <w:r w:rsidR="008535C7">
          <w:rPr>
            <w:noProof/>
            <w:webHidden/>
          </w:rPr>
          <w:fldChar w:fldCharType="end"/>
        </w:r>
      </w:hyperlink>
    </w:p>
    <w:p w14:paraId="53890D3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3"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_Toc386013083 \h </w:instrText>
        </w:r>
        <w:r w:rsidR="008535C7">
          <w:rPr>
            <w:noProof/>
            <w:webHidden/>
          </w:rPr>
        </w:r>
        <w:r w:rsidR="008535C7">
          <w:rPr>
            <w:noProof/>
            <w:webHidden/>
          </w:rPr>
          <w:fldChar w:fldCharType="separate"/>
        </w:r>
        <w:r w:rsidR="005B0810">
          <w:rPr>
            <w:noProof/>
            <w:webHidden/>
          </w:rPr>
          <w:t>107</w:t>
        </w:r>
        <w:r w:rsidR="008535C7">
          <w:rPr>
            <w:noProof/>
            <w:webHidden/>
          </w:rPr>
          <w:fldChar w:fldCharType="end"/>
        </w:r>
      </w:hyperlink>
    </w:p>
    <w:p w14:paraId="4BCBCB05"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4"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_Toc386013084 \h </w:instrText>
        </w:r>
        <w:r w:rsidR="008535C7">
          <w:rPr>
            <w:noProof/>
            <w:webHidden/>
          </w:rPr>
        </w:r>
        <w:r w:rsidR="008535C7">
          <w:rPr>
            <w:noProof/>
            <w:webHidden/>
          </w:rPr>
          <w:fldChar w:fldCharType="separate"/>
        </w:r>
        <w:r w:rsidR="005B0810">
          <w:rPr>
            <w:noProof/>
            <w:webHidden/>
          </w:rPr>
          <w:t>108</w:t>
        </w:r>
        <w:r w:rsidR="008535C7">
          <w:rPr>
            <w:noProof/>
            <w:webHidden/>
          </w:rPr>
          <w:fldChar w:fldCharType="end"/>
        </w:r>
      </w:hyperlink>
    </w:p>
    <w:p w14:paraId="64385DD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5"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_Toc386013085 \h </w:instrText>
        </w:r>
        <w:r w:rsidR="008535C7">
          <w:rPr>
            <w:noProof/>
            <w:webHidden/>
          </w:rPr>
        </w:r>
        <w:r w:rsidR="008535C7">
          <w:rPr>
            <w:noProof/>
            <w:webHidden/>
          </w:rPr>
          <w:fldChar w:fldCharType="separate"/>
        </w:r>
        <w:r w:rsidR="005B0810">
          <w:rPr>
            <w:noProof/>
            <w:webHidden/>
          </w:rPr>
          <w:t>108</w:t>
        </w:r>
        <w:r w:rsidR="008535C7">
          <w:rPr>
            <w:noProof/>
            <w:webHidden/>
          </w:rPr>
          <w:fldChar w:fldCharType="end"/>
        </w:r>
      </w:hyperlink>
    </w:p>
    <w:p w14:paraId="61744DC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6"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_Toc386013086 \h </w:instrText>
        </w:r>
        <w:r w:rsidR="008535C7">
          <w:rPr>
            <w:noProof/>
            <w:webHidden/>
          </w:rPr>
        </w:r>
        <w:r w:rsidR="008535C7">
          <w:rPr>
            <w:noProof/>
            <w:webHidden/>
          </w:rPr>
          <w:fldChar w:fldCharType="separate"/>
        </w:r>
        <w:r w:rsidR="005B0810">
          <w:rPr>
            <w:noProof/>
            <w:webHidden/>
          </w:rPr>
          <w:t>110</w:t>
        </w:r>
        <w:r w:rsidR="008535C7">
          <w:rPr>
            <w:noProof/>
            <w:webHidden/>
          </w:rPr>
          <w:fldChar w:fldCharType="end"/>
        </w:r>
      </w:hyperlink>
    </w:p>
    <w:p w14:paraId="45D8BB3C" w14:textId="374EF165"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11 - </w:t>
      </w:r>
      <w:hyperlink w:anchor="_Toc386013087" w:history="1">
        <w:r w:rsidRPr="005016CE">
          <w:rPr>
            <w:rStyle w:val="Hyperlink"/>
            <w:noProof/>
          </w:rPr>
          <w:t>Depreciation</w:t>
        </w:r>
        <w:r>
          <w:rPr>
            <w:noProof/>
            <w:webHidden/>
          </w:rPr>
          <w:tab/>
        </w:r>
        <w:r>
          <w:rPr>
            <w:noProof/>
            <w:webHidden/>
          </w:rPr>
          <w:fldChar w:fldCharType="begin"/>
        </w:r>
        <w:r>
          <w:rPr>
            <w:noProof/>
            <w:webHidden/>
          </w:rPr>
          <w:instrText xml:space="preserve"> PAGEREF _Toc386013087 \h </w:instrText>
        </w:r>
        <w:r>
          <w:rPr>
            <w:noProof/>
            <w:webHidden/>
          </w:rPr>
        </w:r>
        <w:r>
          <w:rPr>
            <w:noProof/>
            <w:webHidden/>
          </w:rPr>
          <w:fldChar w:fldCharType="separate"/>
        </w:r>
        <w:r w:rsidR="005B0810">
          <w:rPr>
            <w:noProof/>
            <w:webHidden/>
          </w:rPr>
          <w:t>112</w:t>
        </w:r>
        <w:r>
          <w:rPr>
            <w:noProof/>
            <w:webHidden/>
          </w:rPr>
          <w:fldChar w:fldCharType="end"/>
        </w:r>
      </w:hyperlink>
    </w:p>
    <w:p w14:paraId="2693D4E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8"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_Toc386013088 \h </w:instrText>
        </w:r>
        <w:r w:rsidR="008535C7">
          <w:rPr>
            <w:noProof/>
            <w:webHidden/>
          </w:rPr>
        </w:r>
        <w:r w:rsidR="008535C7">
          <w:rPr>
            <w:noProof/>
            <w:webHidden/>
          </w:rPr>
          <w:fldChar w:fldCharType="separate"/>
        </w:r>
        <w:r w:rsidR="005B0810">
          <w:rPr>
            <w:noProof/>
            <w:webHidden/>
          </w:rPr>
          <w:t>112</w:t>
        </w:r>
        <w:r w:rsidR="008535C7">
          <w:rPr>
            <w:noProof/>
            <w:webHidden/>
          </w:rPr>
          <w:fldChar w:fldCharType="end"/>
        </w:r>
      </w:hyperlink>
    </w:p>
    <w:p w14:paraId="105A545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89"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_Toc386013089 \h </w:instrText>
        </w:r>
        <w:r w:rsidR="008535C7">
          <w:rPr>
            <w:noProof/>
            <w:webHidden/>
          </w:rPr>
        </w:r>
        <w:r w:rsidR="008535C7">
          <w:rPr>
            <w:noProof/>
            <w:webHidden/>
          </w:rPr>
          <w:fldChar w:fldCharType="separate"/>
        </w:r>
        <w:r w:rsidR="005B0810">
          <w:rPr>
            <w:noProof/>
            <w:webHidden/>
          </w:rPr>
          <w:t>112</w:t>
        </w:r>
        <w:r w:rsidR="008535C7">
          <w:rPr>
            <w:noProof/>
            <w:webHidden/>
          </w:rPr>
          <w:fldChar w:fldCharType="end"/>
        </w:r>
      </w:hyperlink>
    </w:p>
    <w:p w14:paraId="7461711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0"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_Toc386013090 \h </w:instrText>
        </w:r>
        <w:r w:rsidR="008535C7">
          <w:rPr>
            <w:noProof/>
            <w:webHidden/>
          </w:rPr>
        </w:r>
        <w:r w:rsidR="008535C7">
          <w:rPr>
            <w:noProof/>
            <w:webHidden/>
          </w:rPr>
          <w:fldChar w:fldCharType="separate"/>
        </w:r>
        <w:r w:rsidR="005B0810">
          <w:rPr>
            <w:noProof/>
            <w:webHidden/>
          </w:rPr>
          <w:t>113</w:t>
        </w:r>
        <w:r w:rsidR="008535C7">
          <w:rPr>
            <w:noProof/>
            <w:webHidden/>
          </w:rPr>
          <w:fldChar w:fldCharType="end"/>
        </w:r>
      </w:hyperlink>
    </w:p>
    <w:p w14:paraId="593BFB4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1"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_Toc386013091 \h </w:instrText>
        </w:r>
        <w:r w:rsidR="008535C7">
          <w:rPr>
            <w:noProof/>
            <w:webHidden/>
          </w:rPr>
        </w:r>
        <w:r w:rsidR="008535C7">
          <w:rPr>
            <w:noProof/>
            <w:webHidden/>
          </w:rPr>
          <w:fldChar w:fldCharType="separate"/>
        </w:r>
        <w:r w:rsidR="005B0810">
          <w:rPr>
            <w:noProof/>
            <w:webHidden/>
          </w:rPr>
          <w:t>113</w:t>
        </w:r>
        <w:r w:rsidR="008535C7">
          <w:rPr>
            <w:noProof/>
            <w:webHidden/>
          </w:rPr>
          <w:fldChar w:fldCharType="end"/>
        </w:r>
      </w:hyperlink>
    </w:p>
    <w:p w14:paraId="6D24E6E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2"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_Toc386013092 \h </w:instrText>
        </w:r>
        <w:r w:rsidR="008535C7">
          <w:rPr>
            <w:noProof/>
            <w:webHidden/>
          </w:rPr>
        </w:r>
        <w:r w:rsidR="008535C7">
          <w:rPr>
            <w:noProof/>
            <w:webHidden/>
          </w:rPr>
          <w:fldChar w:fldCharType="separate"/>
        </w:r>
        <w:r w:rsidR="005B0810">
          <w:rPr>
            <w:noProof/>
            <w:webHidden/>
          </w:rPr>
          <w:t>113</w:t>
        </w:r>
        <w:r w:rsidR="008535C7">
          <w:rPr>
            <w:noProof/>
            <w:webHidden/>
          </w:rPr>
          <w:fldChar w:fldCharType="end"/>
        </w:r>
      </w:hyperlink>
    </w:p>
    <w:p w14:paraId="3BBA362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3" w:history="1">
        <w:r w:rsidR="008535C7" w:rsidRPr="005016CE">
          <w:rPr>
            <w:rStyle w:val="Hyperlink"/>
            <w:noProof/>
          </w:rPr>
          <w:t>Commission’s Draft Determination</w:t>
        </w:r>
        <w:r w:rsidR="008535C7">
          <w:rPr>
            <w:noProof/>
            <w:webHidden/>
          </w:rPr>
          <w:tab/>
        </w:r>
        <w:r w:rsidR="008535C7">
          <w:rPr>
            <w:noProof/>
            <w:webHidden/>
          </w:rPr>
          <w:fldChar w:fldCharType="begin"/>
        </w:r>
        <w:r w:rsidR="008535C7">
          <w:rPr>
            <w:noProof/>
            <w:webHidden/>
          </w:rPr>
          <w:instrText xml:space="preserve"> PAGEREF _Toc386013093 \h </w:instrText>
        </w:r>
        <w:r w:rsidR="008535C7">
          <w:rPr>
            <w:noProof/>
            <w:webHidden/>
          </w:rPr>
        </w:r>
        <w:r w:rsidR="008535C7">
          <w:rPr>
            <w:noProof/>
            <w:webHidden/>
          </w:rPr>
          <w:fldChar w:fldCharType="separate"/>
        </w:r>
        <w:r w:rsidR="005B0810">
          <w:rPr>
            <w:noProof/>
            <w:webHidden/>
          </w:rPr>
          <w:t>114</w:t>
        </w:r>
        <w:r w:rsidR="008535C7">
          <w:rPr>
            <w:noProof/>
            <w:webHidden/>
          </w:rPr>
          <w:fldChar w:fldCharType="end"/>
        </w:r>
      </w:hyperlink>
    </w:p>
    <w:p w14:paraId="71BB7B8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4"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_Toc386013094 \h </w:instrText>
        </w:r>
        <w:r w:rsidR="008535C7">
          <w:rPr>
            <w:noProof/>
            <w:webHidden/>
          </w:rPr>
        </w:r>
        <w:r w:rsidR="008535C7">
          <w:rPr>
            <w:noProof/>
            <w:webHidden/>
          </w:rPr>
          <w:fldChar w:fldCharType="separate"/>
        </w:r>
        <w:r w:rsidR="005B0810">
          <w:rPr>
            <w:noProof/>
            <w:webHidden/>
          </w:rPr>
          <w:t>115</w:t>
        </w:r>
        <w:r w:rsidR="008535C7">
          <w:rPr>
            <w:noProof/>
            <w:webHidden/>
          </w:rPr>
          <w:fldChar w:fldCharType="end"/>
        </w:r>
      </w:hyperlink>
    </w:p>
    <w:p w14:paraId="407E1D2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5"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_Toc386013095 \h </w:instrText>
        </w:r>
        <w:r w:rsidR="008535C7">
          <w:rPr>
            <w:noProof/>
            <w:webHidden/>
          </w:rPr>
        </w:r>
        <w:r w:rsidR="008535C7">
          <w:rPr>
            <w:noProof/>
            <w:webHidden/>
          </w:rPr>
          <w:fldChar w:fldCharType="separate"/>
        </w:r>
        <w:r w:rsidR="005B0810">
          <w:rPr>
            <w:noProof/>
            <w:webHidden/>
          </w:rPr>
          <w:t>115</w:t>
        </w:r>
        <w:r w:rsidR="008535C7">
          <w:rPr>
            <w:noProof/>
            <w:webHidden/>
          </w:rPr>
          <w:fldChar w:fldCharType="end"/>
        </w:r>
      </w:hyperlink>
    </w:p>
    <w:p w14:paraId="4131C68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6"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_Toc386013096 \h </w:instrText>
        </w:r>
        <w:r w:rsidR="008535C7">
          <w:rPr>
            <w:noProof/>
            <w:webHidden/>
          </w:rPr>
        </w:r>
        <w:r w:rsidR="008535C7">
          <w:rPr>
            <w:noProof/>
            <w:webHidden/>
          </w:rPr>
          <w:fldChar w:fldCharType="separate"/>
        </w:r>
        <w:r w:rsidR="005B0810">
          <w:rPr>
            <w:noProof/>
            <w:webHidden/>
          </w:rPr>
          <w:t>115</w:t>
        </w:r>
        <w:r w:rsidR="008535C7">
          <w:rPr>
            <w:noProof/>
            <w:webHidden/>
          </w:rPr>
          <w:fldChar w:fldCharType="end"/>
        </w:r>
      </w:hyperlink>
    </w:p>
    <w:p w14:paraId="2D99DC9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7"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_Toc386013097 \h </w:instrText>
        </w:r>
        <w:r w:rsidR="008535C7">
          <w:rPr>
            <w:noProof/>
            <w:webHidden/>
          </w:rPr>
        </w:r>
        <w:r w:rsidR="008535C7">
          <w:rPr>
            <w:noProof/>
            <w:webHidden/>
          </w:rPr>
          <w:fldChar w:fldCharType="separate"/>
        </w:r>
        <w:r w:rsidR="005B0810">
          <w:rPr>
            <w:noProof/>
            <w:webHidden/>
          </w:rPr>
          <w:t>116</w:t>
        </w:r>
        <w:r w:rsidR="008535C7">
          <w:rPr>
            <w:noProof/>
            <w:webHidden/>
          </w:rPr>
          <w:fldChar w:fldCharType="end"/>
        </w:r>
      </w:hyperlink>
    </w:p>
    <w:p w14:paraId="4D1E7ADB" w14:textId="77777777" w:rsidR="008535C7" w:rsidRDefault="008535C7">
      <w:pPr>
        <w:spacing w:before="0" w:after="0" w:line="240" w:lineRule="auto"/>
        <w:rPr>
          <w:rStyle w:val="Hyperlink"/>
          <w:b/>
          <w:noProof/>
          <w:color w:val="000000" w:themeColor="text1"/>
          <w:spacing w:val="-4"/>
          <w:u w:val="none"/>
        </w:rPr>
      </w:pPr>
      <w:r>
        <w:rPr>
          <w:rStyle w:val="Hyperlink"/>
          <w:noProof/>
          <w:color w:val="000000" w:themeColor="text1"/>
          <w:u w:val="none"/>
        </w:rPr>
        <w:br w:type="page"/>
      </w:r>
    </w:p>
    <w:p w14:paraId="02B08BDD" w14:textId="20699D51"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12 - </w:t>
      </w:r>
      <w:hyperlink w:anchor="_Toc386013098" w:history="1">
        <w:r w:rsidRPr="005016CE">
          <w:rPr>
            <w:rStyle w:val="Hyperlink"/>
            <w:noProof/>
          </w:rPr>
          <w:t xml:space="preserve">Cost of </w:t>
        </w:r>
        <w:r w:rsidR="00857E0C">
          <w:rPr>
            <w:rStyle w:val="Hyperlink"/>
            <w:noProof/>
          </w:rPr>
          <w:t>C</w:t>
        </w:r>
        <w:r w:rsidRPr="005016CE">
          <w:rPr>
            <w:rStyle w:val="Hyperlink"/>
            <w:noProof/>
          </w:rPr>
          <w:t>apital</w:t>
        </w:r>
        <w:r>
          <w:rPr>
            <w:noProof/>
            <w:webHidden/>
          </w:rPr>
          <w:tab/>
        </w:r>
        <w:r>
          <w:rPr>
            <w:noProof/>
            <w:webHidden/>
          </w:rPr>
          <w:fldChar w:fldCharType="begin"/>
        </w:r>
        <w:r>
          <w:rPr>
            <w:noProof/>
            <w:webHidden/>
          </w:rPr>
          <w:instrText xml:space="preserve"> PAGEREF _Toc386013098 \h </w:instrText>
        </w:r>
        <w:r>
          <w:rPr>
            <w:noProof/>
            <w:webHidden/>
          </w:rPr>
        </w:r>
        <w:r>
          <w:rPr>
            <w:noProof/>
            <w:webHidden/>
          </w:rPr>
          <w:fldChar w:fldCharType="separate"/>
        </w:r>
        <w:r w:rsidR="005B0810">
          <w:rPr>
            <w:noProof/>
            <w:webHidden/>
          </w:rPr>
          <w:t>118</w:t>
        </w:r>
        <w:r>
          <w:rPr>
            <w:noProof/>
            <w:webHidden/>
          </w:rPr>
          <w:fldChar w:fldCharType="end"/>
        </w:r>
      </w:hyperlink>
    </w:p>
    <w:p w14:paraId="49F24C3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099"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_Toc386013099 \h </w:instrText>
        </w:r>
        <w:r w:rsidR="008535C7">
          <w:rPr>
            <w:noProof/>
            <w:webHidden/>
          </w:rPr>
        </w:r>
        <w:r w:rsidR="008535C7">
          <w:rPr>
            <w:noProof/>
            <w:webHidden/>
          </w:rPr>
          <w:fldChar w:fldCharType="separate"/>
        </w:r>
        <w:r w:rsidR="005B0810">
          <w:rPr>
            <w:noProof/>
            <w:webHidden/>
          </w:rPr>
          <w:t>118</w:t>
        </w:r>
        <w:r w:rsidR="008535C7">
          <w:rPr>
            <w:noProof/>
            <w:webHidden/>
          </w:rPr>
          <w:fldChar w:fldCharType="end"/>
        </w:r>
      </w:hyperlink>
    </w:p>
    <w:p w14:paraId="6F61C26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0"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_Toc386013100 \h </w:instrText>
        </w:r>
        <w:r w:rsidR="008535C7">
          <w:rPr>
            <w:noProof/>
            <w:webHidden/>
          </w:rPr>
        </w:r>
        <w:r w:rsidR="008535C7">
          <w:rPr>
            <w:noProof/>
            <w:webHidden/>
          </w:rPr>
          <w:fldChar w:fldCharType="separate"/>
        </w:r>
        <w:r w:rsidR="005B0810">
          <w:rPr>
            <w:noProof/>
            <w:webHidden/>
          </w:rPr>
          <w:t>118</w:t>
        </w:r>
        <w:r w:rsidR="008535C7">
          <w:rPr>
            <w:noProof/>
            <w:webHidden/>
          </w:rPr>
          <w:fldChar w:fldCharType="end"/>
        </w:r>
      </w:hyperlink>
    </w:p>
    <w:p w14:paraId="146BC8A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1"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_Toc386013101 \h </w:instrText>
        </w:r>
        <w:r w:rsidR="008535C7">
          <w:rPr>
            <w:noProof/>
            <w:webHidden/>
          </w:rPr>
        </w:r>
        <w:r w:rsidR="008535C7">
          <w:rPr>
            <w:noProof/>
            <w:webHidden/>
          </w:rPr>
          <w:fldChar w:fldCharType="separate"/>
        </w:r>
        <w:r w:rsidR="005B0810">
          <w:rPr>
            <w:noProof/>
            <w:webHidden/>
          </w:rPr>
          <w:t>120</w:t>
        </w:r>
        <w:r w:rsidR="008535C7">
          <w:rPr>
            <w:noProof/>
            <w:webHidden/>
          </w:rPr>
          <w:fldChar w:fldCharType="end"/>
        </w:r>
      </w:hyperlink>
    </w:p>
    <w:p w14:paraId="05FD836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2"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_Toc386013102 \h </w:instrText>
        </w:r>
        <w:r w:rsidR="008535C7">
          <w:rPr>
            <w:noProof/>
            <w:webHidden/>
          </w:rPr>
        </w:r>
        <w:r w:rsidR="008535C7">
          <w:rPr>
            <w:noProof/>
            <w:webHidden/>
          </w:rPr>
          <w:fldChar w:fldCharType="separate"/>
        </w:r>
        <w:r w:rsidR="005B0810">
          <w:rPr>
            <w:noProof/>
            <w:webHidden/>
          </w:rPr>
          <w:t>120</w:t>
        </w:r>
        <w:r w:rsidR="008535C7">
          <w:rPr>
            <w:noProof/>
            <w:webHidden/>
          </w:rPr>
          <w:fldChar w:fldCharType="end"/>
        </w:r>
      </w:hyperlink>
    </w:p>
    <w:p w14:paraId="69A73DB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3" w:history="1">
        <w:r w:rsidR="008535C7" w:rsidRPr="005016CE">
          <w:rPr>
            <w:rStyle w:val="Hyperlink"/>
            <w:noProof/>
          </w:rPr>
          <w:t>Issues and Commission’s Considerations</w:t>
        </w:r>
        <w:r w:rsidR="008535C7">
          <w:rPr>
            <w:noProof/>
            <w:webHidden/>
          </w:rPr>
          <w:tab/>
        </w:r>
        <w:r w:rsidR="008535C7">
          <w:rPr>
            <w:noProof/>
            <w:webHidden/>
          </w:rPr>
          <w:fldChar w:fldCharType="begin"/>
        </w:r>
        <w:r w:rsidR="008535C7">
          <w:rPr>
            <w:noProof/>
            <w:webHidden/>
          </w:rPr>
          <w:instrText xml:space="preserve"> PAGEREF _Toc386013103 \h </w:instrText>
        </w:r>
        <w:r w:rsidR="008535C7">
          <w:rPr>
            <w:noProof/>
            <w:webHidden/>
          </w:rPr>
        </w:r>
        <w:r w:rsidR="008535C7">
          <w:rPr>
            <w:noProof/>
            <w:webHidden/>
          </w:rPr>
          <w:fldChar w:fldCharType="separate"/>
        </w:r>
        <w:r w:rsidR="005B0810">
          <w:rPr>
            <w:noProof/>
            <w:webHidden/>
          </w:rPr>
          <w:t>121</w:t>
        </w:r>
        <w:r w:rsidR="008535C7">
          <w:rPr>
            <w:noProof/>
            <w:webHidden/>
          </w:rPr>
          <w:fldChar w:fldCharType="end"/>
        </w:r>
      </w:hyperlink>
    </w:p>
    <w:p w14:paraId="4FF6946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4"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_Toc386013104 \h </w:instrText>
        </w:r>
        <w:r w:rsidR="008535C7">
          <w:rPr>
            <w:noProof/>
            <w:webHidden/>
          </w:rPr>
        </w:r>
        <w:r w:rsidR="008535C7">
          <w:rPr>
            <w:noProof/>
            <w:webHidden/>
          </w:rPr>
          <w:fldChar w:fldCharType="separate"/>
        </w:r>
        <w:r w:rsidR="005B0810">
          <w:rPr>
            <w:noProof/>
            <w:webHidden/>
          </w:rPr>
          <w:t>123</w:t>
        </w:r>
        <w:r w:rsidR="008535C7">
          <w:rPr>
            <w:noProof/>
            <w:webHidden/>
          </w:rPr>
          <w:fldChar w:fldCharType="end"/>
        </w:r>
      </w:hyperlink>
    </w:p>
    <w:p w14:paraId="41A7285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5"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_Toc386013105 \h </w:instrText>
        </w:r>
        <w:r w:rsidR="008535C7">
          <w:rPr>
            <w:noProof/>
            <w:webHidden/>
          </w:rPr>
        </w:r>
        <w:r w:rsidR="008535C7">
          <w:rPr>
            <w:noProof/>
            <w:webHidden/>
          </w:rPr>
          <w:fldChar w:fldCharType="separate"/>
        </w:r>
        <w:r w:rsidR="005B0810">
          <w:rPr>
            <w:noProof/>
            <w:webHidden/>
          </w:rPr>
          <w:t>123</w:t>
        </w:r>
        <w:r w:rsidR="008535C7">
          <w:rPr>
            <w:noProof/>
            <w:webHidden/>
          </w:rPr>
          <w:fldChar w:fldCharType="end"/>
        </w:r>
      </w:hyperlink>
    </w:p>
    <w:p w14:paraId="44C3D9BD"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6"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_Toc386013106 \h </w:instrText>
        </w:r>
        <w:r w:rsidR="008535C7">
          <w:rPr>
            <w:noProof/>
            <w:webHidden/>
          </w:rPr>
        </w:r>
        <w:r w:rsidR="008535C7">
          <w:rPr>
            <w:noProof/>
            <w:webHidden/>
          </w:rPr>
          <w:fldChar w:fldCharType="separate"/>
        </w:r>
        <w:r w:rsidR="005B0810">
          <w:rPr>
            <w:noProof/>
            <w:webHidden/>
          </w:rPr>
          <w:t>123</w:t>
        </w:r>
        <w:r w:rsidR="008535C7">
          <w:rPr>
            <w:noProof/>
            <w:webHidden/>
          </w:rPr>
          <w:fldChar w:fldCharType="end"/>
        </w:r>
      </w:hyperlink>
    </w:p>
    <w:p w14:paraId="288507B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7"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_Toc386013107 \h </w:instrText>
        </w:r>
        <w:r w:rsidR="008535C7">
          <w:rPr>
            <w:noProof/>
            <w:webHidden/>
          </w:rPr>
        </w:r>
        <w:r w:rsidR="008535C7">
          <w:rPr>
            <w:noProof/>
            <w:webHidden/>
          </w:rPr>
          <w:fldChar w:fldCharType="separate"/>
        </w:r>
        <w:r w:rsidR="005B0810">
          <w:rPr>
            <w:noProof/>
            <w:webHidden/>
          </w:rPr>
          <w:t>124</w:t>
        </w:r>
        <w:r w:rsidR="008535C7">
          <w:rPr>
            <w:noProof/>
            <w:webHidden/>
          </w:rPr>
          <w:fldChar w:fldCharType="end"/>
        </w:r>
      </w:hyperlink>
    </w:p>
    <w:p w14:paraId="1285F27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08"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_Toc386013108 \h </w:instrText>
        </w:r>
        <w:r w:rsidR="008535C7">
          <w:rPr>
            <w:noProof/>
            <w:webHidden/>
          </w:rPr>
        </w:r>
        <w:r w:rsidR="008535C7">
          <w:rPr>
            <w:noProof/>
            <w:webHidden/>
          </w:rPr>
          <w:fldChar w:fldCharType="separate"/>
        </w:r>
        <w:r w:rsidR="005B0810">
          <w:rPr>
            <w:noProof/>
            <w:webHidden/>
          </w:rPr>
          <w:t>125</w:t>
        </w:r>
        <w:r w:rsidR="008535C7">
          <w:rPr>
            <w:noProof/>
            <w:webHidden/>
          </w:rPr>
          <w:fldChar w:fldCharType="end"/>
        </w:r>
      </w:hyperlink>
    </w:p>
    <w:p w14:paraId="37B28F4D" w14:textId="55685FFA"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13 - </w:t>
      </w:r>
      <w:hyperlink w:anchor="_Toc386013109" w:history="1">
        <w:r w:rsidRPr="005016CE">
          <w:rPr>
            <w:rStyle w:val="Hyperlink"/>
            <w:noProof/>
          </w:rPr>
          <w:t>Permitted Adjustments to the 2014 Network Price Determination</w:t>
        </w:r>
        <w:r>
          <w:rPr>
            <w:noProof/>
            <w:webHidden/>
          </w:rPr>
          <w:tab/>
        </w:r>
        <w:r>
          <w:rPr>
            <w:noProof/>
            <w:webHidden/>
          </w:rPr>
          <w:fldChar w:fldCharType="begin"/>
        </w:r>
        <w:r>
          <w:rPr>
            <w:noProof/>
            <w:webHidden/>
          </w:rPr>
          <w:instrText xml:space="preserve"> PAGEREF _Toc386013109 \h </w:instrText>
        </w:r>
        <w:r>
          <w:rPr>
            <w:noProof/>
            <w:webHidden/>
          </w:rPr>
        </w:r>
        <w:r>
          <w:rPr>
            <w:noProof/>
            <w:webHidden/>
          </w:rPr>
          <w:fldChar w:fldCharType="separate"/>
        </w:r>
        <w:r w:rsidR="005B0810">
          <w:rPr>
            <w:noProof/>
            <w:webHidden/>
          </w:rPr>
          <w:t>126</w:t>
        </w:r>
        <w:r>
          <w:rPr>
            <w:noProof/>
            <w:webHidden/>
          </w:rPr>
          <w:fldChar w:fldCharType="end"/>
        </w:r>
      </w:hyperlink>
    </w:p>
    <w:p w14:paraId="583043E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0"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_Toc386013110 \h </w:instrText>
        </w:r>
        <w:r w:rsidR="008535C7">
          <w:rPr>
            <w:noProof/>
            <w:webHidden/>
          </w:rPr>
        </w:r>
        <w:r w:rsidR="008535C7">
          <w:rPr>
            <w:noProof/>
            <w:webHidden/>
          </w:rPr>
          <w:fldChar w:fldCharType="separate"/>
        </w:r>
        <w:r w:rsidR="005B0810">
          <w:rPr>
            <w:noProof/>
            <w:webHidden/>
          </w:rPr>
          <w:t>126</w:t>
        </w:r>
        <w:r w:rsidR="008535C7">
          <w:rPr>
            <w:noProof/>
            <w:webHidden/>
          </w:rPr>
          <w:fldChar w:fldCharType="end"/>
        </w:r>
      </w:hyperlink>
    </w:p>
    <w:p w14:paraId="4EAADBD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1"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_Toc386013111 \h </w:instrText>
        </w:r>
        <w:r w:rsidR="008535C7">
          <w:rPr>
            <w:noProof/>
            <w:webHidden/>
          </w:rPr>
        </w:r>
        <w:r w:rsidR="008535C7">
          <w:rPr>
            <w:noProof/>
            <w:webHidden/>
          </w:rPr>
          <w:fldChar w:fldCharType="separate"/>
        </w:r>
        <w:r w:rsidR="005B0810">
          <w:rPr>
            <w:noProof/>
            <w:webHidden/>
          </w:rPr>
          <w:t>126</w:t>
        </w:r>
        <w:r w:rsidR="008535C7">
          <w:rPr>
            <w:noProof/>
            <w:webHidden/>
          </w:rPr>
          <w:fldChar w:fldCharType="end"/>
        </w:r>
      </w:hyperlink>
    </w:p>
    <w:p w14:paraId="0BC009B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2"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_Toc386013112 \h </w:instrText>
        </w:r>
        <w:r w:rsidR="008535C7">
          <w:rPr>
            <w:noProof/>
            <w:webHidden/>
          </w:rPr>
        </w:r>
        <w:r w:rsidR="008535C7">
          <w:rPr>
            <w:noProof/>
            <w:webHidden/>
          </w:rPr>
          <w:fldChar w:fldCharType="separate"/>
        </w:r>
        <w:r w:rsidR="005B0810">
          <w:rPr>
            <w:noProof/>
            <w:webHidden/>
          </w:rPr>
          <w:t>129</w:t>
        </w:r>
        <w:r w:rsidR="008535C7">
          <w:rPr>
            <w:noProof/>
            <w:webHidden/>
          </w:rPr>
          <w:fldChar w:fldCharType="end"/>
        </w:r>
      </w:hyperlink>
    </w:p>
    <w:p w14:paraId="61427A9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3"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_Toc386013113 \h </w:instrText>
        </w:r>
        <w:r w:rsidR="008535C7">
          <w:rPr>
            <w:noProof/>
            <w:webHidden/>
          </w:rPr>
        </w:r>
        <w:r w:rsidR="008535C7">
          <w:rPr>
            <w:noProof/>
            <w:webHidden/>
          </w:rPr>
          <w:fldChar w:fldCharType="separate"/>
        </w:r>
        <w:r w:rsidR="005B0810">
          <w:rPr>
            <w:noProof/>
            <w:webHidden/>
          </w:rPr>
          <w:t>129</w:t>
        </w:r>
        <w:r w:rsidR="008535C7">
          <w:rPr>
            <w:noProof/>
            <w:webHidden/>
          </w:rPr>
          <w:fldChar w:fldCharType="end"/>
        </w:r>
      </w:hyperlink>
    </w:p>
    <w:p w14:paraId="4E64DD8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4"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_Toc386013114 \h </w:instrText>
        </w:r>
        <w:r w:rsidR="008535C7">
          <w:rPr>
            <w:noProof/>
            <w:webHidden/>
          </w:rPr>
        </w:r>
        <w:r w:rsidR="008535C7">
          <w:rPr>
            <w:noProof/>
            <w:webHidden/>
          </w:rPr>
          <w:fldChar w:fldCharType="separate"/>
        </w:r>
        <w:r w:rsidR="005B0810">
          <w:rPr>
            <w:noProof/>
            <w:webHidden/>
          </w:rPr>
          <w:t>130</w:t>
        </w:r>
        <w:r w:rsidR="008535C7">
          <w:rPr>
            <w:noProof/>
            <w:webHidden/>
          </w:rPr>
          <w:fldChar w:fldCharType="end"/>
        </w:r>
      </w:hyperlink>
    </w:p>
    <w:p w14:paraId="0E93372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5" w:history="1">
        <w:r w:rsidR="008535C7" w:rsidRPr="005016CE">
          <w:rPr>
            <w:rStyle w:val="Hyperlink"/>
            <w:noProof/>
          </w:rPr>
          <w:t>Commission’s Draft Determination</w:t>
        </w:r>
        <w:r w:rsidR="008535C7">
          <w:rPr>
            <w:noProof/>
            <w:webHidden/>
          </w:rPr>
          <w:tab/>
        </w:r>
        <w:r w:rsidR="008535C7">
          <w:rPr>
            <w:noProof/>
            <w:webHidden/>
          </w:rPr>
          <w:fldChar w:fldCharType="begin"/>
        </w:r>
        <w:r w:rsidR="008535C7">
          <w:rPr>
            <w:noProof/>
            <w:webHidden/>
          </w:rPr>
          <w:instrText xml:space="preserve"> PAGEREF _Toc386013115 \h </w:instrText>
        </w:r>
        <w:r w:rsidR="008535C7">
          <w:rPr>
            <w:noProof/>
            <w:webHidden/>
          </w:rPr>
        </w:r>
        <w:r w:rsidR="008535C7">
          <w:rPr>
            <w:noProof/>
            <w:webHidden/>
          </w:rPr>
          <w:fldChar w:fldCharType="separate"/>
        </w:r>
        <w:r w:rsidR="005B0810">
          <w:rPr>
            <w:noProof/>
            <w:webHidden/>
          </w:rPr>
          <w:t>130</w:t>
        </w:r>
        <w:r w:rsidR="008535C7">
          <w:rPr>
            <w:noProof/>
            <w:webHidden/>
          </w:rPr>
          <w:fldChar w:fldCharType="end"/>
        </w:r>
      </w:hyperlink>
    </w:p>
    <w:p w14:paraId="40B75BA3"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6"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_Toc386013116 \h </w:instrText>
        </w:r>
        <w:r w:rsidR="008535C7">
          <w:rPr>
            <w:noProof/>
            <w:webHidden/>
          </w:rPr>
        </w:r>
        <w:r w:rsidR="008535C7">
          <w:rPr>
            <w:noProof/>
            <w:webHidden/>
          </w:rPr>
          <w:fldChar w:fldCharType="separate"/>
        </w:r>
        <w:r w:rsidR="005B0810">
          <w:rPr>
            <w:noProof/>
            <w:webHidden/>
          </w:rPr>
          <w:t>131</w:t>
        </w:r>
        <w:r w:rsidR="008535C7">
          <w:rPr>
            <w:noProof/>
            <w:webHidden/>
          </w:rPr>
          <w:fldChar w:fldCharType="end"/>
        </w:r>
      </w:hyperlink>
    </w:p>
    <w:p w14:paraId="554343D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7"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_Toc386013117 \h </w:instrText>
        </w:r>
        <w:r w:rsidR="008535C7">
          <w:rPr>
            <w:noProof/>
            <w:webHidden/>
          </w:rPr>
        </w:r>
        <w:r w:rsidR="008535C7">
          <w:rPr>
            <w:noProof/>
            <w:webHidden/>
          </w:rPr>
          <w:fldChar w:fldCharType="separate"/>
        </w:r>
        <w:r w:rsidR="005B0810">
          <w:rPr>
            <w:noProof/>
            <w:webHidden/>
          </w:rPr>
          <w:t>132</w:t>
        </w:r>
        <w:r w:rsidR="008535C7">
          <w:rPr>
            <w:noProof/>
            <w:webHidden/>
          </w:rPr>
          <w:fldChar w:fldCharType="end"/>
        </w:r>
      </w:hyperlink>
    </w:p>
    <w:p w14:paraId="108EA830"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8"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_Toc386013118 \h </w:instrText>
        </w:r>
        <w:r w:rsidR="008535C7">
          <w:rPr>
            <w:noProof/>
            <w:webHidden/>
          </w:rPr>
        </w:r>
        <w:r w:rsidR="008535C7">
          <w:rPr>
            <w:noProof/>
            <w:webHidden/>
          </w:rPr>
          <w:fldChar w:fldCharType="separate"/>
        </w:r>
        <w:r w:rsidR="005B0810">
          <w:rPr>
            <w:noProof/>
            <w:webHidden/>
          </w:rPr>
          <w:t>132</w:t>
        </w:r>
        <w:r w:rsidR="008535C7">
          <w:rPr>
            <w:noProof/>
            <w:webHidden/>
          </w:rPr>
          <w:fldChar w:fldCharType="end"/>
        </w:r>
      </w:hyperlink>
    </w:p>
    <w:p w14:paraId="4BD6F06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19"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_Toc386013119 \h </w:instrText>
        </w:r>
        <w:r w:rsidR="008535C7">
          <w:rPr>
            <w:noProof/>
            <w:webHidden/>
          </w:rPr>
        </w:r>
        <w:r w:rsidR="008535C7">
          <w:rPr>
            <w:noProof/>
            <w:webHidden/>
          </w:rPr>
          <w:fldChar w:fldCharType="separate"/>
        </w:r>
        <w:r w:rsidR="005B0810">
          <w:rPr>
            <w:noProof/>
            <w:webHidden/>
          </w:rPr>
          <w:t>136</w:t>
        </w:r>
        <w:r w:rsidR="008535C7">
          <w:rPr>
            <w:noProof/>
            <w:webHidden/>
          </w:rPr>
          <w:fldChar w:fldCharType="end"/>
        </w:r>
      </w:hyperlink>
    </w:p>
    <w:p w14:paraId="0FD2B89B" w14:textId="535A9EAC"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14 - </w:t>
      </w:r>
      <w:hyperlink w:anchor="_Toc386013120" w:history="1">
        <w:r w:rsidRPr="005016CE">
          <w:rPr>
            <w:rStyle w:val="Hyperlink"/>
            <w:noProof/>
          </w:rPr>
          <w:t>Building Block Revenue Requirements</w:t>
        </w:r>
        <w:r>
          <w:rPr>
            <w:noProof/>
            <w:webHidden/>
          </w:rPr>
          <w:tab/>
        </w:r>
        <w:r>
          <w:rPr>
            <w:noProof/>
            <w:webHidden/>
          </w:rPr>
          <w:fldChar w:fldCharType="begin"/>
        </w:r>
        <w:r>
          <w:rPr>
            <w:noProof/>
            <w:webHidden/>
          </w:rPr>
          <w:instrText xml:space="preserve"> PAGEREF _Toc386013120 \h </w:instrText>
        </w:r>
        <w:r>
          <w:rPr>
            <w:noProof/>
            <w:webHidden/>
          </w:rPr>
        </w:r>
        <w:r>
          <w:rPr>
            <w:noProof/>
            <w:webHidden/>
          </w:rPr>
          <w:fldChar w:fldCharType="separate"/>
        </w:r>
        <w:r w:rsidR="005B0810">
          <w:rPr>
            <w:noProof/>
            <w:webHidden/>
          </w:rPr>
          <w:t>137</w:t>
        </w:r>
        <w:r>
          <w:rPr>
            <w:noProof/>
            <w:webHidden/>
          </w:rPr>
          <w:fldChar w:fldCharType="end"/>
        </w:r>
      </w:hyperlink>
    </w:p>
    <w:p w14:paraId="2200C37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1"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_Toc386013121 \h </w:instrText>
        </w:r>
        <w:r w:rsidR="008535C7">
          <w:rPr>
            <w:noProof/>
            <w:webHidden/>
          </w:rPr>
        </w:r>
        <w:r w:rsidR="008535C7">
          <w:rPr>
            <w:noProof/>
            <w:webHidden/>
          </w:rPr>
          <w:fldChar w:fldCharType="separate"/>
        </w:r>
        <w:r w:rsidR="005B0810">
          <w:rPr>
            <w:noProof/>
            <w:webHidden/>
          </w:rPr>
          <w:t>137</w:t>
        </w:r>
        <w:r w:rsidR="008535C7">
          <w:rPr>
            <w:noProof/>
            <w:webHidden/>
          </w:rPr>
          <w:fldChar w:fldCharType="end"/>
        </w:r>
      </w:hyperlink>
    </w:p>
    <w:p w14:paraId="125765B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2"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_Toc386013122 \h </w:instrText>
        </w:r>
        <w:r w:rsidR="008535C7">
          <w:rPr>
            <w:noProof/>
            <w:webHidden/>
          </w:rPr>
        </w:r>
        <w:r w:rsidR="008535C7">
          <w:rPr>
            <w:noProof/>
            <w:webHidden/>
          </w:rPr>
          <w:fldChar w:fldCharType="separate"/>
        </w:r>
        <w:r w:rsidR="005B0810">
          <w:rPr>
            <w:noProof/>
            <w:webHidden/>
          </w:rPr>
          <w:t>137</w:t>
        </w:r>
        <w:r w:rsidR="008535C7">
          <w:rPr>
            <w:noProof/>
            <w:webHidden/>
          </w:rPr>
          <w:fldChar w:fldCharType="end"/>
        </w:r>
      </w:hyperlink>
    </w:p>
    <w:p w14:paraId="3DE56A15"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3"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_Toc386013123 \h </w:instrText>
        </w:r>
        <w:r w:rsidR="008535C7">
          <w:rPr>
            <w:noProof/>
            <w:webHidden/>
          </w:rPr>
        </w:r>
        <w:r w:rsidR="008535C7">
          <w:rPr>
            <w:noProof/>
            <w:webHidden/>
          </w:rPr>
          <w:fldChar w:fldCharType="separate"/>
        </w:r>
        <w:r w:rsidR="005B0810">
          <w:rPr>
            <w:noProof/>
            <w:webHidden/>
          </w:rPr>
          <w:t>138</w:t>
        </w:r>
        <w:r w:rsidR="008535C7">
          <w:rPr>
            <w:noProof/>
            <w:webHidden/>
          </w:rPr>
          <w:fldChar w:fldCharType="end"/>
        </w:r>
      </w:hyperlink>
    </w:p>
    <w:p w14:paraId="25236A3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4"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_Toc386013124 \h </w:instrText>
        </w:r>
        <w:r w:rsidR="008535C7">
          <w:rPr>
            <w:noProof/>
            <w:webHidden/>
          </w:rPr>
        </w:r>
        <w:r w:rsidR="008535C7">
          <w:rPr>
            <w:noProof/>
            <w:webHidden/>
          </w:rPr>
          <w:fldChar w:fldCharType="separate"/>
        </w:r>
        <w:r w:rsidR="005B0810">
          <w:rPr>
            <w:noProof/>
            <w:webHidden/>
          </w:rPr>
          <w:t>140</w:t>
        </w:r>
        <w:r w:rsidR="008535C7">
          <w:rPr>
            <w:noProof/>
            <w:webHidden/>
          </w:rPr>
          <w:fldChar w:fldCharType="end"/>
        </w:r>
      </w:hyperlink>
    </w:p>
    <w:p w14:paraId="5AAF925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5"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_Toc386013125 \h </w:instrText>
        </w:r>
        <w:r w:rsidR="008535C7">
          <w:rPr>
            <w:noProof/>
            <w:webHidden/>
          </w:rPr>
        </w:r>
        <w:r w:rsidR="008535C7">
          <w:rPr>
            <w:noProof/>
            <w:webHidden/>
          </w:rPr>
          <w:fldChar w:fldCharType="separate"/>
        </w:r>
        <w:r w:rsidR="005B0810">
          <w:rPr>
            <w:noProof/>
            <w:webHidden/>
          </w:rPr>
          <w:t>141</w:t>
        </w:r>
        <w:r w:rsidR="008535C7">
          <w:rPr>
            <w:noProof/>
            <w:webHidden/>
          </w:rPr>
          <w:fldChar w:fldCharType="end"/>
        </w:r>
      </w:hyperlink>
    </w:p>
    <w:p w14:paraId="1C8E91FD"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6"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_Toc386013126 \h </w:instrText>
        </w:r>
        <w:r w:rsidR="008535C7">
          <w:rPr>
            <w:noProof/>
            <w:webHidden/>
          </w:rPr>
        </w:r>
        <w:r w:rsidR="008535C7">
          <w:rPr>
            <w:noProof/>
            <w:webHidden/>
          </w:rPr>
          <w:fldChar w:fldCharType="separate"/>
        </w:r>
        <w:r w:rsidR="005B0810">
          <w:rPr>
            <w:noProof/>
            <w:webHidden/>
          </w:rPr>
          <w:t>141</w:t>
        </w:r>
        <w:r w:rsidR="008535C7">
          <w:rPr>
            <w:noProof/>
            <w:webHidden/>
          </w:rPr>
          <w:fldChar w:fldCharType="end"/>
        </w:r>
      </w:hyperlink>
    </w:p>
    <w:p w14:paraId="2483641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7"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_Toc386013127 \h </w:instrText>
        </w:r>
        <w:r w:rsidR="008535C7">
          <w:rPr>
            <w:noProof/>
            <w:webHidden/>
          </w:rPr>
        </w:r>
        <w:r w:rsidR="008535C7">
          <w:rPr>
            <w:noProof/>
            <w:webHidden/>
          </w:rPr>
          <w:fldChar w:fldCharType="separate"/>
        </w:r>
        <w:r w:rsidR="005B0810">
          <w:rPr>
            <w:noProof/>
            <w:webHidden/>
          </w:rPr>
          <w:t>143</w:t>
        </w:r>
        <w:r w:rsidR="008535C7">
          <w:rPr>
            <w:noProof/>
            <w:webHidden/>
          </w:rPr>
          <w:fldChar w:fldCharType="end"/>
        </w:r>
      </w:hyperlink>
    </w:p>
    <w:p w14:paraId="5FA37D4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8"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_Toc386013128 \h </w:instrText>
        </w:r>
        <w:r w:rsidR="008535C7">
          <w:rPr>
            <w:noProof/>
            <w:webHidden/>
          </w:rPr>
        </w:r>
        <w:r w:rsidR="008535C7">
          <w:rPr>
            <w:noProof/>
            <w:webHidden/>
          </w:rPr>
          <w:fldChar w:fldCharType="separate"/>
        </w:r>
        <w:r w:rsidR="005B0810">
          <w:rPr>
            <w:noProof/>
            <w:webHidden/>
          </w:rPr>
          <w:t>145</w:t>
        </w:r>
        <w:r w:rsidR="008535C7">
          <w:rPr>
            <w:noProof/>
            <w:webHidden/>
          </w:rPr>
          <w:fldChar w:fldCharType="end"/>
        </w:r>
      </w:hyperlink>
    </w:p>
    <w:p w14:paraId="1E09EC1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29"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_Toc386013129 \h </w:instrText>
        </w:r>
        <w:r w:rsidR="008535C7">
          <w:rPr>
            <w:noProof/>
            <w:webHidden/>
          </w:rPr>
        </w:r>
        <w:r w:rsidR="008535C7">
          <w:rPr>
            <w:noProof/>
            <w:webHidden/>
          </w:rPr>
          <w:fldChar w:fldCharType="separate"/>
        </w:r>
        <w:r w:rsidR="005B0810">
          <w:rPr>
            <w:noProof/>
            <w:webHidden/>
          </w:rPr>
          <w:t>145</w:t>
        </w:r>
        <w:r w:rsidR="008535C7">
          <w:rPr>
            <w:noProof/>
            <w:webHidden/>
          </w:rPr>
          <w:fldChar w:fldCharType="end"/>
        </w:r>
      </w:hyperlink>
    </w:p>
    <w:p w14:paraId="7DB37D1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0"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_Toc386013130 \h </w:instrText>
        </w:r>
        <w:r w:rsidR="008535C7">
          <w:rPr>
            <w:noProof/>
            <w:webHidden/>
          </w:rPr>
        </w:r>
        <w:r w:rsidR="008535C7">
          <w:rPr>
            <w:noProof/>
            <w:webHidden/>
          </w:rPr>
          <w:fldChar w:fldCharType="separate"/>
        </w:r>
        <w:r w:rsidR="005B0810">
          <w:rPr>
            <w:noProof/>
            <w:webHidden/>
          </w:rPr>
          <w:t>147</w:t>
        </w:r>
        <w:r w:rsidR="008535C7">
          <w:rPr>
            <w:noProof/>
            <w:webHidden/>
          </w:rPr>
          <w:fldChar w:fldCharType="end"/>
        </w:r>
      </w:hyperlink>
    </w:p>
    <w:p w14:paraId="69D26E16" w14:textId="5775078B"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15 - </w:t>
      </w:r>
      <w:hyperlink w:anchor="_Toc386013131" w:history="1">
        <w:r w:rsidRPr="005016CE">
          <w:rPr>
            <w:rStyle w:val="Hyperlink"/>
            <w:noProof/>
          </w:rPr>
          <w:t>Capital Contributions Principles and Methods Statement</w:t>
        </w:r>
        <w:r>
          <w:rPr>
            <w:noProof/>
            <w:webHidden/>
          </w:rPr>
          <w:tab/>
        </w:r>
        <w:r>
          <w:rPr>
            <w:noProof/>
            <w:webHidden/>
          </w:rPr>
          <w:fldChar w:fldCharType="begin"/>
        </w:r>
        <w:r>
          <w:rPr>
            <w:noProof/>
            <w:webHidden/>
          </w:rPr>
          <w:instrText xml:space="preserve"> PAGEREF _Toc386013131 \h </w:instrText>
        </w:r>
        <w:r>
          <w:rPr>
            <w:noProof/>
            <w:webHidden/>
          </w:rPr>
        </w:r>
        <w:r>
          <w:rPr>
            <w:noProof/>
            <w:webHidden/>
          </w:rPr>
          <w:fldChar w:fldCharType="separate"/>
        </w:r>
        <w:r w:rsidR="005B0810">
          <w:rPr>
            <w:noProof/>
            <w:webHidden/>
          </w:rPr>
          <w:t>149</w:t>
        </w:r>
        <w:r>
          <w:rPr>
            <w:noProof/>
            <w:webHidden/>
          </w:rPr>
          <w:fldChar w:fldCharType="end"/>
        </w:r>
      </w:hyperlink>
    </w:p>
    <w:p w14:paraId="48D62B9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2"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_Toc386013132 \h </w:instrText>
        </w:r>
        <w:r w:rsidR="008535C7">
          <w:rPr>
            <w:noProof/>
            <w:webHidden/>
          </w:rPr>
        </w:r>
        <w:r w:rsidR="008535C7">
          <w:rPr>
            <w:noProof/>
            <w:webHidden/>
          </w:rPr>
          <w:fldChar w:fldCharType="separate"/>
        </w:r>
        <w:r w:rsidR="005B0810">
          <w:rPr>
            <w:noProof/>
            <w:webHidden/>
          </w:rPr>
          <w:t>149</w:t>
        </w:r>
        <w:r w:rsidR="008535C7">
          <w:rPr>
            <w:noProof/>
            <w:webHidden/>
          </w:rPr>
          <w:fldChar w:fldCharType="end"/>
        </w:r>
      </w:hyperlink>
    </w:p>
    <w:p w14:paraId="5B5230E4"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3"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_Toc386013133 \h </w:instrText>
        </w:r>
        <w:r w:rsidR="008535C7">
          <w:rPr>
            <w:noProof/>
            <w:webHidden/>
          </w:rPr>
        </w:r>
        <w:r w:rsidR="008535C7">
          <w:rPr>
            <w:noProof/>
            <w:webHidden/>
          </w:rPr>
          <w:fldChar w:fldCharType="separate"/>
        </w:r>
        <w:r w:rsidR="005B0810">
          <w:rPr>
            <w:noProof/>
            <w:webHidden/>
          </w:rPr>
          <w:t>150</w:t>
        </w:r>
        <w:r w:rsidR="008535C7">
          <w:rPr>
            <w:noProof/>
            <w:webHidden/>
          </w:rPr>
          <w:fldChar w:fldCharType="end"/>
        </w:r>
      </w:hyperlink>
    </w:p>
    <w:p w14:paraId="7B2A852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4"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_Toc386013134 \h </w:instrText>
        </w:r>
        <w:r w:rsidR="008535C7">
          <w:rPr>
            <w:noProof/>
            <w:webHidden/>
          </w:rPr>
        </w:r>
        <w:r w:rsidR="008535C7">
          <w:rPr>
            <w:noProof/>
            <w:webHidden/>
          </w:rPr>
          <w:fldChar w:fldCharType="separate"/>
        </w:r>
        <w:r w:rsidR="005B0810">
          <w:rPr>
            <w:noProof/>
            <w:webHidden/>
          </w:rPr>
          <w:t>150</w:t>
        </w:r>
        <w:r w:rsidR="008535C7">
          <w:rPr>
            <w:noProof/>
            <w:webHidden/>
          </w:rPr>
          <w:fldChar w:fldCharType="end"/>
        </w:r>
      </w:hyperlink>
    </w:p>
    <w:p w14:paraId="2942F958"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5"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_Toc386013135 \h </w:instrText>
        </w:r>
        <w:r w:rsidR="008535C7">
          <w:rPr>
            <w:noProof/>
            <w:webHidden/>
          </w:rPr>
        </w:r>
        <w:r w:rsidR="008535C7">
          <w:rPr>
            <w:noProof/>
            <w:webHidden/>
          </w:rPr>
          <w:fldChar w:fldCharType="separate"/>
        </w:r>
        <w:r w:rsidR="005B0810">
          <w:rPr>
            <w:noProof/>
            <w:webHidden/>
          </w:rPr>
          <w:t>151</w:t>
        </w:r>
        <w:r w:rsidR="008535C7">
          <w:rPr>
            <w:noProof/>
            <w:webHidden/>
          </w:rPr>
          <w:fldChar w:fldCharType="end"/>
        </w:r>
      </w:hyperlink>
    </w:p>
    <w:p w14:paraId="0964661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6"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_Toc386013136 \h </w:instrText>
        </w:r>
        <w:r w:rsidR="008535C7">
          <w:rPr>
            <w:noProof/>
            <w:webHidden/>
          </w:rPr>
        </w:r>
        <w:r w:rsidR="008535C7">
          <w:rPr>
            <w:noProof/>
            <w:webHidden/>
          </w:rPr>
          <w:fldChar w:fldCharType="separate"/>
        </w:r>
        <w:r w:rsidR="005B0810">
          <w:rPr>
            <w:noProof/>
            <w:webHidden/>
          </w:rPr>
          <w:t>151</w:t>
        </w:r>
        <w:r w:rsidR="008535C7">
          <w:rPr>
            <w:noProof/>
            <w:webHidden/>
          </w:rPr>
          <w:fldChar w:fldCharType="end"/>
        </w:r>
      </w:hyperlink>
    </w:p>
    <w:p w14:paraId="6BAD078C"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7" w:history="1">
        <w:r w:rsidR="008535C7" w:rsidRPr="005016CE">
          <w:rPr>
            <w:rStyle w:val="Hyperlink"/>
            <w:noProof/>
          </w:rPr>
          <w:t>Commission’s Draft Determination</w:t>
        </w:r>
        <w:r w:rsidR="008535C7">
          <w:rPr>
            <w:noProof/>
            <w:webHidden/>
          </w:rPr>
          <w:tab/>
        </w:r>
        <w:r w:rsidR="008535C7">
          <w:rPr>
            <w:noProof/>
            <w:webHidden/>
          </w:rPr>
          <w:fldChar w:fldCharType="begin"/>
        </w:r>
        <w:r w:rsidR="008535C7">
          <w:rPr>
            <w:noProof/>
            <w:webHidden/>
          </w:rPr>
          <w:instrText xml:space="preserve"> PAGEREF _Toc386013137 \h </w:instrText>
        </w:r>
        <w:r w:rsidR="008535C7">
          <w:rPr>
            <w:noProof/>
            <w:webHidden/>
          </w:rPr>
        </w:r>
        <w:r w:rsidR="008535C7">
          <w:rPr>
            <w:noProof/>
            <w:webHidden/>
          </w:rPr>
          <w:fldChar w:fldCharType="separate"/>
        </w:r>
        <w:r w:rsidR="005B0810">
          <w:rPr>
            <w:noProof/>
            <w:webHidden/>
          </w:rPr>
          <w:t>152</w:t>
        </w:r>
        <w:r w:rsidR="008535C7">
          <w:rPr>
            <w:noProof/>
            <w:webHidden/>
          </w:rPr>
          <w:fldChar w:fldCharType="end"/>
        </w:r>
      </w:hyperlink>
    </w:p>
    <w:p w14:paraId="6807707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8"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_Toc386013138 \h </w:instrText>
        </w:r>
        <w:r w:rsidR="008535C7">
          <w:rPr>
            <w:noProof/>
            <w:webHidden/>
          </w:rPr>
        </w:r>
        <w:r w:rsidR="008535C7">
          <w:rPr>
            <w:noProof/>
            <w:webHidden/>
          </w:rPr>
          <w:fldChar w:fldCharType="separate"/>
        </w:r>
        <w:r w:rsidR="005B0810">
          <w:rPr>
            <w:noProof/>
            <w:webHidden/>
          </w:rPr>
          <w:t>152</w:t>
        </w:r>
        <w:r w:rsidR="008535C7">
          <w:rPr>
            <w:noProof/>
            <w:webHidden/>
          </w:rPr>
          <w:fldChar w:fldCharType="end"/>
        </w:r>
      </w:hyperlink>
    </w:p>
    <w:p w14:paraId="00730ACF"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39"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_Toc386013139 \h </w:instrText>
        </w:r>
        <w:r w:rsidR="008535C7">
          <w:rPr>
            <w:noProof/>
            <w:webHidden/>
          </w:rPr>
        </w:r>
        <w:r w:rsidR="008535C7">
          <w:rPr>
            <w:noProof/>
            <w:webHidden/>
          </w:rPr>
          <w:fldChar w:fldCharType="separate"/>
        </w:r>
        <w:r w:rsidR="005B0810">
          <w:rPr>
            <w:noProof/>
            <w:webHidden/>
          </w:rPr>
          <w:t>152</w:t>
        </w:r>
        <w:r w:rsidR="008535C7">
          <w:rPr>
            <w:noProof/>
            <w:webHidden/>
          </w:rPr>
          <w:fldChar w:fldCharType="end"/>
        </w:r>
      </w:hyperlink>
    </w:p>
    <w:p w14:paraId="58725ECB"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0"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_Toc386013140 \h </w:instrText>
        </w:r>
        <w:r w:rsidR="008535C7">
          <w:rPr>
            <w:noProof/>
            <w:webHidden/>
          </w:rPr>
        </w:r>
        <w:r w:rsidR="008535C7">
          <w:rPr>
            <w:noProof/>
            <w:webHidden/>
          </w:rPr>
          <w:fldChar w:fldCharType="separate"/>
        </w:r>
        <w:r w:rsidR="005B0810">
          <w:rPr>
            <w:noProof/>
            <w:webHidden/>
          </w:rPr>
          <w:t>152</w:t>
        </w:r>
        <w:r w:rsidR="008535C7">
          <w:rPr>
            <w:noProof/>
            <w:webHidden/>
          </w:rPr>
          <w:fldChar w:fldCharType="end"/>
        </w:r>
      </w:hyperlink>
    </w:p>
    <w:p w14:paraId="36AB8969" w14:textId="09637285"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sidRPr="008535C7">
        <w:rPr>
          <w:rStyle w:val="Hyperlink"/>
          <w:noProof/>
          <w:color w:val="000000" w:themeColor="text1"/>
          <w:u w:val="none"/>
        </w:rPr>
        <w:t xml:space="preserve">CHAPTER </w:t>
      </w:r>
      <w:r>
        <w:rPr>
          <w:rStyle w:val="Hyperlink"/>
          <w:noProof/>
          <w:color w:val="000000" w:themeColor="text1"/>
          <w:u w:val="none"/>
        </w:rPr>
        <w:t xml:space="preserve">16 - </w:t>
      </w:r>
      <w:hyperlink w:anchor="_Toc386013141" w:history="1">
        <w:r w:rsidRPr="005016CE">
          <w:rPr>
            <w:rStyle w:val="Hyperlink"/>
            <w:noProof/>
          </w:rPr>
          <w:t xml:space="preserve">Network Pricing Principles and Methods Statement and Indicative Pricing </w:t>
        </w:r>
        <w:r w:rsidR="00B1331B">
          <w:rPr>
            <w:rStyle w:val="Hyperlink"/>
            <w:noProof/>
          </w:rPr>
          <w:t>P</w:t>
        </w:r>
        <w:r w:rsidRPr="005016CE">
          <w:rPr>
            <w:rStyle w:val="Hyperlink"/>
            <w:noProof/>
          </w:rPr>
          <w:t>roposal</w:t>
        </w:r>
        <w:r>
          <w:rPr>
            <w:noProof/>
            <w:webHidden/>
          </w:rPr>
          <w:tab/>
        </w:r>
        <w:r>
          <w:rPr>
            <w:noProof/>
            <w:webHidden/>
          </w:rPr>
          <w:fldChar w:fldCharType="begin"/>
        </w:r>
        <w:r>
          <w:rPr>
            <w:noProof/>
            <w:webHidden/>
          </w:rPr>
          <w:instrText xml:space="preserve"> PAGEREF _Toc386013141 \h </w:instrText>
        </w:r>
        <w:r>
          <w:rPr>
            <w:noProof/>
            <w:webHidden/>
          </w:rPr>
        </w:r>
        <w:r>
          <w:rPr>
            <w:noProof/>
            <w:webHidden/>
          </w:rPr>
          <w:fldChar w:fldCharType="separate"/>
        </w:r>
        <w:r w:rsidR="005B0810">
          <w:rPr>
            <w:noProof/>
            <w:webHidden/>
          </w:rPr>
          <w:t>153</w:t>
        </w:r>
        <w:r>
          <w:rPr>
            <w:noProof/>
            <w:webHidden/>
          </w:rPr>
          <w:fldChar w:fldCharType="end"/>
        </w:r>
      </w:hyperlink>
    </w:p>
    <w:p w14:paraId="6DC3432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2" w:history="1">
        <w:r w:rsidR="008535C7" w:rsidRPr="005016CE">
          <w:rPr>
            <w:rStyle w:val="Hyperlink"/>
            <w:noProof/>
          </w:rPr>
          <w:t>Introduction</w:t>
        </w:r>
        <w:r w:rsidR="008535C7">
          <w:rPr>
            <w:noProof/>
            <w:webHidden/>
          </w:rPr>
          <w:tab/>
        </w:r>
        <w:r w:rsidR="008535C7">
          <w:rPr>
            <w:noProof/>
            <w:webHidden/>
          </w:rPr>
          <w:fldChar w:fldCharType="begin"/>
        </w:r>
        <w:r w:rsidR="008535C7">
          <w:rPr>
            <w:noProof/>
            <w:webHidden/>
          </w:rPr>
          <w:instrText xml:space="preserve"> PAGEREF _Toc386013142 \h </w:instrText>
        </w:r>
        <w:r w:rsidR="008535C7">
          <w:rPr>
            <w:noProof/>
            <w:webHidden/>
          </w:rPr>
        </w:r>
        <w:r w:rsidR="008535C7">
          <w:rPr>
            <w:noProof/>
            <w:webHidden/>
          </w:rPr>
          <w:fldChar w:fldCharType="separate"/>
        </w:r>
        <w:r w:rsidR="005B0810">
          <w:rPr>
            <w:noProof/>
            <w:webHidden/>
          </w:rPr>
          <w:t>153</w:t>
        </w:r>
        <w:r w:rsidR="008535C7">
          <w:rPr>
            <w:noProof/>
            <w:webHidden/>
          </w:rPr>
          <w:fldChar w:fldCharType="end"/>
        </w:r>
      </w:hyperlink>
    </w:p>
    <w:p w14:paraId="76F4305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3" w:history="1">
        <w:r w:rsidR="008535C7" w:rsidRPr="005016CE">
          <w:rPr>
            <w:rStyle w:val="Hyperlink"/>
            <w:noProof/>
          </w:rPr>
          <w:t>Regulatory Requirements</w:t>
        </w:r>
        <w:r w:rsidR="008535C7">
          <w:rPr>
            <w:noProof/>
            <w:webHidden/>
          </w:rPr>
          <w:tab/>
        </w:r>
        <w:r w:rsidR="008535C7">
          <w:rPr>
            <w:noProof/>
            <w:webHidden/>
          </w:rPr>
          <w:fldChar w:fldCharType="begin"/>
        </w:r>
        <w:r w:rsidR="008535C7">
          <w:rPr>
            <w:noProof/>
            <w:webHidden/>
          </w:rPr>
          <w:instrText xml:space="preserve"> PAGEREF _Toc386013143 \h </w:instrText>
        </w:r>
        <w:r w:rsidR="008535C7">
          <w:rPr>
            <w:noProof/>
            <w:webHidden/>
          </w:rPr>
        </w:r>
        <w:r w:rsidR="008535C7">
          <w:rPr>
            <w:noProof/>
            <w:webHidden/>
          </w:rPr>
          <w:fldChar w:fldCharType="separate"/>
        </w:r>
        <w:r w:rsidR="005B0810">
          <w:rPr>
            <w:noProof/>
            <w:webHidden/>
          </w:rPr>
          <w:t>153</w:t>
        </w:r>
        <w:r w:rsidR="008535C7">
          <w:rPr>
            <w:noProof/>
            <w:webHidden/>
          </w:rPr>
          <w:fldChar w:fldCharType="end"/>
        </w:r>
      </w:hyperlink>
    </w:p>
    <w:p w14:paraId="10EF7F8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4" w:history="1">
        <w:r w:rsidR="008535C7" w:rsidRPr="005016CE">
          <w:rPr>
            <w:rStyle w:val="Hyperlink"/>
            <w:noProof/>
          </w:rPr>
          <w:t>PWC Networks’ Initial Regulatory Proposal</w:t>
        </w:r>
        <w:r w:rsidR="008535C7">
          <w:rPr>
            <w:noProof/>
            <w:webHidden/>
          </w:rPr>
          <w:tab/>
        </w:r>
        <w:r w:rsidR="008535C7">
          <w:rPr>
            <w:noProof/>
            <w:webHidden/>
          </w:rPr>
          <w:fldChar w:fldCharType="begin"/>
        </w:r>
        <w:r w:rsidR="008535C7">
          <w:rPr>
            <w:noProof/>
            <w:webHidden/>
          </w:rPr>
          <w:instrText xml:space="preserve"> PAGEREF _Toc386013144 \h </w:instrText>
        </w:r>
        <w:r w:rsidR="008535C7">
          <w:rPr>
            <w:noProof/>
            <w:webHidden/>
          </w:rPr>
        </w:r>
        <w:r w:rsidR="008535C7">
          <w:rPr>
            <w:noProof/>
            <w:webHidden/>
          </w:rPr>
          <w:fldChar w:fldCharType="separate"/>
        </w:r>
        <w:r w:rsidR="005B0810">
          <w:rPr>
            <w:noProof/>
            <w:webHidden/>
          </w:rPr>
          <w:t>155</w:t>
        </w:r>
        <w:r w:rsidR="008535C7">
          <w:rPr>
            <w:noProof/>
            <w:webHidden/>
          </w:rPr>
          <w:fldChar w:fldCharType="end"/>
        </w:r>
      </w:hyperlink>
    </w:p>
    <w:p w14:paraId="4EFB421E"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5" w:history="1">
        <w:r w:rsidR="008535C7" w:rsidRPr="005016CE">
          <w:rPr>
            <w:rStyle w:val="Hyperlink"/>
            <w:noProof/>
          </w:rPr>
          <w:t>Submissions on Initial Regulatory Proposal</w:t>
        </w:r>
        <w:r w:rsidR="008535C7">
          <w:rPr>
            <w:noProof/>
            <w:webHidden/>
          </w:rPr>
          <w:tab/>
        </w:r>
        <w:r w:rsidR="008535C7">
          <w:rPr>
            <w:noProof/>
            <w:webHidden/>
          </w:rPr>
          <w:fldChar w:fldCharType="begin"/>
        </w:r>
        <w:r w:rsidR="008535C7">
          <w:rPr>
            <w:noProof/>
            <w:webHidden/>
          </w:rPr>
          <w:instrText xml:space="preserve"> PAGEREF _Toc386013145 \h </w:instrText>
        </w:r>
        <w:r w:rsidR="008535C7">
          <w:rPr>
            <w:noProof/>
            <w:webHidden/>
          </w:rPr>
        </w:r>
        <w:r w:rsidR="008535C7">
          <w:rPr>
            <w:noProof/>
            <w:webHidden/>
          </w:rPr>
          <w:fldChar w:fldCharType="separate"/>
        </w:r>
        <w:r w:rsidR="005B0810">
          <w:rPr>
            <w:noProof/>
            <w:webHidden/>
          </w:rPr>
          <w:t>156</w:t>
        </w:r>
        <w:r w:rsidR="008535C7">
          <w:rPr>
            <w:noProof/>
            <w:webHidden/>
          </w:rPr>
          <w:fldChar w:fldCharType="end"/>
        </w:r>
      </w:hyperlink>
    </w:p>
    <w:p w14:paraId="182452F7"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6" w:history="1">
        <w:r w:rsidR="008535C7" w:rsidRPr="005016CE">
          <w:rPr>
            <w:rStyle w:val="Hyperlink"/>
            <w:noProof/>
          </w:rPr>
          <w:t>Issues and Commission’s Initial Considerations</w:t>
        </w:r>
        <w:r w:rsidR="008535C7">
          <w:rPr>
            <w:noProof/>
            <w:webHidden/>
          </w:rPr>
          <w:tab/>
        </w:r>
        <w:r w:rsidR="008535C7">
          <w:rPr>
            <w:noProof/>
            <w:webHidden/>
          </w:rPr>
          <w:fldChar w:fldCharType="begin"/>
        </w:r>
        <w:r w:rsidR="008535C7">
          <w:rPr>
            <w:noProof/>
            <w:webHidden/>
          </w:rPr>
          <w:instrText xml:space="preserve"> PAGEREF _Toc386013146 \h </w:instrText>
        </w:r>
        <w:r w:rsidR="008535C7">
          <w:rPr>
            <w:noProof/>
            <w:webHidden/>
          </w:rPr>
        </w:r>
        <w:r w:rsidR="008535C7">
          <w:rPr>
            <w:noProof/>
            <w:webHidden/>
          </w:rPr>
          <w:fldChar w:fldCharType="separate"/>
        </w:r>
        <w:r w:rsidR="005B0810">
          <w:rPr>
            <w:noProof/>
            <w:webHidden/>
          </w:rPr>
          <w:t>157</w:t>
        </w:r>
        <w:r w:rsidR="008535C7">
          <w:rPr>
            <w:noProof/>
            <w:webHidden/>
          </w:rPr>
          <w:fldChar w:fldCharType="end"/>
        </w:r>
      </w:hyperlink>
    </w:p>
    <w:p w14:paraId="448F8DF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7" w:history="1">
        <w:r w:rsidR="008535C7" w:rsidRPr="005016CE">
          <w:rPr>
            <w:rStyle w:val="Hyperlink"/>
            <w:noProof/>
          </w:rPr>
          <w:t>Commission’s Draft Decision</w:t>
        </w:r>
        <w:r w:rsidR="008535C7">
          <w:rPr>
            <w:noProof/>
            <w:webHidden/>
          </w:rPr>
          <w:tab/>
        </w:r>
        <w:r w:rsidR="008535C7">
          <w:rPr>
            <w:noProof/>
            <w:webHidden/>
          </w:rPr>
          <w:fldChar w:fldCharType="begin"/>
        </w:r>
        <w:r w:rsidR="008535C7">
          <w:rPr>
            <w:noProof/>
            <w:webHidden/>
          </w:rPr>
          <w:instrText xml:space="preserve"> PAGEREF _Toc386013147 \h </w:instrText>
        </w:r>
        <w:r w:rsidR="008535C7">
          <w:rPr>
            <w:noProof/>
            <w:webHidden/>
          </w:rPr>
        </w:r>
        <w:r w:rsidR="008535C7">
          <w:rPr>
            <w:noProof/>
            <w:webHidden/>
          </w:rPr>
          <w:fldChar w:fldCharType="separate"/>
        </w:r>
        <w:r w:rsidR="005B0810">
          <w:rPr>
            <w:noProof/>
            <w:webHidden/>
          </w:rPr>
          <w:t>158</w:t>
        </w:r>
        <w:r w:rsidR="008535C7">
          <w:rPr>
            <w:noProof/>
            <w:webHidden/>
          </w:rPr>
          <w:fldChar w:fldCharType="end"/>
        </w:r>
      </w:hyperlink>
    </w:p>
    <w:p w14:paraId="524549F1"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8" w:history="1">
        <w:r w:rsidR="008535C7" w:rsidRPr="005016CE">
          <w:rPr>
            <w:rStyle w:val="Hyperlink"/>
            <w:noProof/>
          </w:rPr>
          <w:t>PWC Networks’ Revised Regulatory Proposal</w:t>
        </w:r>
        <w:r w:rsidR="008535C7">
          <w:rPr>
            <w:noProof/>
            <w:webHidden/>
          </w:rPr>
          <w:tab/>
        </w:r>
        <w:r w:rsidR="008535C7">
          <w:rPr>
            <w:noProof/>
            <w:webHidden/>
          </w:rPr>
          <w:fldChar w:fldCharType="begin"/>
        </w:r>
        <w:r w:rsidR="008535C7">
          <w:rPr>
            <w:noProof/>
            <w:webHidden/>
          </w:rPr>
          <w:instrText xml:space="preserve"> PAGEREF _Toc386013148 \h </w:instrText>
        </w:r>
        <w:r w:rsidR="008535C7">
          <w:rPr>
            <w:noProof/>
            <w:webHidden/>
          </w:rPr>
        </w:r>
        <w:r w:rsidR="008535C7">
          <w:rPr>
            <w:noProof/>
            <w:webHidden/>
          </w:rPr>
          <w:fldChar w:fldCharType="separate"/>
        </w:r>
        <w:r w:rsidR="005B0810">
          <w:rPr>
            <w:noProof/>
            <w:webHidden/>
          </w:rPr>
          <w:t>158</w:t>
        </w:r>
        <w:r w:rsidR="008535C7">
          <w:rPr>
            <w:noProof/>
            <w:webHidden/>
          </w:rPr>
          <w:fldChar w:fldCharType="end"/>
        </w:r>
      </w:hyperlink>
    </w:p>
    <w:p w14:paraId="473271E6"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49" w:history="1">
        <w:r w:rsidR="008535C7" w:rsidRPr="005016CE">
          <w:rPr>
            <w:rStyle w:val="Hyperlink"/>
            <w:noProof/>
          </w:rPr>
          <w:t>Submissions on Draft Determination and Revised Regulatory Proposal</w:t>
        </w:r>
        <w:r w:rsidR="008535C7">
          <w:rPr>
            <w:noProof/>
            <w:webHidden/>
          </w:rPr>
          <w:tab/>
        </w:r>
        <w:r w:rsidR="008535C7">
          <w:rPr>
            <w:noProof/>
            <w:webHidden/>
          </w:rPr>
          <w:fldChar w:fldCharType="begin"/>
        </w:r>
        <w:r w:rsidR="008535C7">
          <w:rPr>
            <w:noProof/>
            <w:webHidden/>
          </w:rPr>
          <w:instrText xml:space="preserve"> PAGEREF _Toc386013149 \h </w:instrText>
        </w:r>
        <w:r w:rsidR="008535C7">
          <w:rPr>
            <w:noProof/>
            <w:webHidden/>
          </w:rPr>
        </w:r>
        <w:r w:rsidR="008535C7">
          <w:rPr>
            <w:noProof/>
            <w:webHidden/>
          </w:rPr>
          <w:fldChar w:fldCharType="separate"/>
        </w:r>
        <w:r w:rsidR="005B0810">
          <w:rPr>
            <w:noProof/>
            <w:webHidden/>
          </w:rPr>
          <w:t>158</w:t>
        </w:r>
        <w:r w:rsidR="008535C7">
          <w:rPr>
            <w:noProof/>
            <w:webHidden/>
          </w:rPr>
          <w:fldChar w:fldCharType="end"/>
        </w:r>
      </w:hyperlink>
    </w:p>
    <w:p w14:paraId="75486C1A"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50" w:history="1">
        <w:r w:rsidR="008535C7" w:rsidRPr="005016CE">
          <w:rPr>
            <w:rStyle w:val="Hyperlink"/>
            <w:noProof/>
          </w:rPr>
          <w:t>Issues and Commission’s Further Considerations</w:t>
        </w:r>
        <w:r w:rsidR="008535C7">
          <w:rPr>
            <w:noProof/>
            <w:webHidden/>
          </w:rPr>
          <w:tab/>
        </w:r>
        <w:r w:rsidR="008535C7">
          <w:rPr>
            <w:noProof/>
            <w:webHidden/>
          </w:rPr>
          <w:fldChar w:fldCharType="begin"/>
        </w:r>
        <w:r w:rsidR="008535C7">
          <w:rPr>
            <w:noProof/>
            <w:webHidden/>
          </w:rPr>
          <w:instrText xml:space="preserve"> PAGEREF _Toc386013150 \h </w:instrText>
        </w:r>
        <w:r w:rsidR="008535C7">
          <w:rPr>
            <w:noProof/>
            <w:webHidden/>
          </w:rPr>
        </w:r>
        <w:r w:rsidR="008535C7">
          <w:rPr>
            <w:noProof/>
            <w:webHidden/>
          </w:rPr>
          <w:fldChar w:fldCharType="separate"/>
        </w:r>
        <w:r w:rsidR="005B0810">
          <w:rPr>
            <w:noProof/>
            <w:webHidden/>
          </w:rPr>
          <w:t>158</w:t>
        </w:r>
        <w:r w:rsidR="008535C7">
          <w:rPr>
            <w:noProof/>
            <w:webHidden/>
          </w:rPr>
          <w:fldChar w:fldCharType="end"/>
        </w:r>
      </w:hyperlink>
    </w:p>
    <w:p w14:paraId="766822B2" w14:textId="77777777" w:rsidR="008535C7" w:rsidRDefault="00780CFE">
      <w:pPr>
        <w:pStyle w:val="TOC2"/>
        <w:rPr>
          <w:rFonts w:asciiTheme="minorHAnsi" w:eastAsiaTheme="minorEastAsia" w:hAnsiTheme="minorHAnsi" w:cstheme="minorBidi"/>
          <w:noProof/>
          <w:sz w:val="22"/>
          <w:szCs w:val="22"/>
          <w:lang w:val="en-AU" w:eastAsia="en-AU"/>
        </w:rPr>
      </w:pPr>
      <w:hyperlink w:anchor="_Toc386013151" w:history="1">
        <w:r w:rsidR="008535C7" w:rsidRPr="005016CE">
          <w:rPr>
            <w:rStyle w:val="Hyperlink"/>
            <w:noProof/>
          </w:rPr>
          <w:t>Commission’s Final Decision</w:t>
        </w:r>
        <w:r w:rsidR="008535C7">
          <w:rPr>
            <w:noProof/>
            <w:webHidden/>
          </w:rPr>
          <w:tab/>
        </w:r>
        <w:r w:rsidR="008535C7">
          <w:rPr>
            <w:noProof/>
            <w:webHidden/>
          </w:rPr>
          <w:fldChar w:fldCharType="begin"/>
        </w:r>
        <w:r w:rsidR="008535C7">
          <w:rPr>
            <w:noProof/>
            <w:webHidden/>
          </w:rPr>
          <w:instrText xml:space="preserve"> PAGEREF _Toc386013151 \h </w:instrText>
        </w:r>
        <w:r w:rsidR="008535C7">
          <w:rPr>
            <w:noProof/>
            <w:webHidden/>
          </w:rPr>
        </w:r>
        <w:r w:rsidR="008535C7">
          <w:rPr>
            <w:noProof/>
            <w:webHidden/>
          </w:rPr>
          <w:fldChar w:fldCharType="separate"/>
        </w:r>
        <w:r w:rsidR="005B0810">
          <w:rPr>
            <w:noProof/>
            <w:webHidden/>
          </w:rPr>
          <w:t>159</w:t>
        </w:r>
        <w:r w:rsidR="008535C7">
          <w:rPr>
            <w:noProof/>
            <w:webHidden/>
          </w:rPr>
          <w:fldChar w:fldCharType="end"/>
        </w:r>
      </w:hyperlink>
    </w:p>
    <w:p w14:paraId="1407ED3E" w14:textId="2957C97D" w:rsidR="008535C7" w:rsidRPr="008535C7" w:rsidRDefault="008535C7">
      <w:pPr>
        <w:pStyle w:val="TOC1"/>
        <w:tabs>
          <w:tab w:val="right" w:leader="dot" w:pos="9062"/>
        </w:tabs>
        <w:rPr>
          <w:noProof/>
          <w:color w:val="000000" w:themeColor="text1"/>
        </w:rPr>
      </w:pPr>
      <w:r>
        <w:rPr>
          <w:rStyle w:val="Hyperlink"/>
          <w:noProof/>
          <w:color w:val="000000" w:themeColor="text1"/>
          <w:u w:val="none"/>
        </w:rPr>
        <w:t xml:space="preserve">APPENDIX A - </w:t>
      </w:r>
      <w:hyperlink w:anchor="_Toc386013152" w:history="1">
        <w:r w:rsidRPr="005016CE">
          <w:rPr>
            <w:rStyle w:val="Hyperlink"/>
            <w:noProof/>
          </w:rPr>
          <w:t>Network Service Classification</w:t>
        </w:r>
        <w:r>
          <w:rPr>
            <w:noProof/>
            <w:webHidden/>
          </w:rPr>
          <w:tab/>
        </w:r>
        <w:r>
          <w:rPr>
            <w:noProof/>
            <w:webHidden/>
          </w:rPr>
          <w:fldChar w:fldCharType="begin"/>
        </w:r>
        <w:r>
          <w:rPr>
            <w:noProof/>
            <w:webHidden/>
          </w:rPr>
          <w:instrText xml:space="preserve"> PAGEREF _Toc386013152 \h </w:instrText>
        </w:r>
        <w:r>
          <w:rPr>
            <w:noProof/>
            <w:webHidden/>
          </w:rPr>
        </w:r>
        <w:r>
          <w:rPr>
            <w:noProof/>
            <w:webHidden/>
          </w:rPr>
          <w:fldChar w:fldCharType="separate"/>
        </w:r>
        <w:r w:rsidR="005B0810">
          <w:rPr>
            <w:noProof/>
            <w:webHidden/>
          </w:rPr>
          <w:t>160</w:t>
        </w:r>
        <w:r>
          <w:rPr>
            <w:noProof/>
            <w:webHidden/>
          </w:rPr>
          <w:fldChar w:fldCharType="end"/>
        </w:r>
      </w:hyperlink>
    </w:p>
    <w:p w14:paraId="0F2530A1" w14:textId="3EB1D1D6"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Pr>
          <w:rStyle w:val="Hyperlink"/>
          <w:noProof/>
          <w:color w:val="000000" w:themeColor="text1"/>
          <w:u w:val="none"/>
        </w:rPr>
        <w:t xml:space="preserve">APPENDIX B - </w:t>
      </w:r>
      <w:hyperlink w:anchor="_Toc386013153" w:history="1">
        <w:r w:rsidRPr="005016CE">
          <w:rPr>
            <w:rStyle w:val="Hyperlink"/>
            <w:noProof/>
          </w:rPr>
          <w:t>Annual Reporting Requirements</w:t>
        </w:r>
        <w:r>
          <w:rPr>
            <w:noProof/>
            <w:webHidden/>
          </w:rPr>
          <w:tab/>
        </w:r>
        <w:r>
          <w:rPr>
            <w:noProof/>
            <w:webHidden/>
          </w:rPr>
          <w:fldChar w:fldCharType="begin"/>
        </w:r>
        <w:r>
          <w:rPr>
            <w:noProof/>
            <w:webHidden/>
          </w:rPr>
          <w:instrText xml:space="preserve"> PAGEREF _Toc386013153 \h </w:instrText>
        </w:r>
        <w:r>
          <w:rPr>
            <w:noProof/>
            <w:webHidden/>
          </w:rPr>
        </w:r>
        <w:r>
          <w:rPr>
            <w:noProof/>
            <w:webHidden/>
          </w:rPr>
          <w:fldChar w:fldCharType="separate"/>
        </w:r>
        <w:r w:rsidR="005B0810">
          <w:rPr>
            <w:noProof/>
            <w:webHidden/>
          </w:rPr>
          <w:t>166</w:t>
        </w:r>
        <w:r>
          <w:rPr>
            <w:noProof/>
            <w:webHidden/>
          </w:rPr>
          <w:fldChar w:fldCharType="end"/>
        </w:r>
      </w:hyperlink>
    </w:p>
    <w:p w14:paraId="20C74072" w14:textId="78FACA4D" w:rsidR="008535C7" w:rsidRDefault="008535C7">
      <w:pPr>
        <w:pStyle w:val="TOC1"/>
        <w:tabs>
          <w:tab w:val="right" w:leader="dot" w:pos="9062"/>
        </w:tabs>
        <w:rPr>
          <w:rFonts w:asciiTheme="minorHAnsi" w:eastAsiaTheme="minorEastAsia" w:hAnsiTheme="minorHAnsi" w:cstheme="minorBidi"/>
          <w:b w:val="0"/>
          <w:noProof/>
          <w:spacing w:val="0"/>
          <w:szCs w:val="22"/>
          <w:lang w:val="en-AU" w:eastAsia="en-AU"/>
        </w:rPr>
      </w:pPr>
      <w:r>
        <w:rPr>
          <w:rStyle w:val="Hyperlink"/>
          <w:noProof/>
          <w:color w:val="000000" w:themeColor="text1"/>
          <w:u w:val="none"/>
        </w:rPr>
        <w:t xml:space="preserve">APPENDIX C - </w:t>
      </w:r>
      <w:hyperlink w:anchor="_Toc386013154" w:history="1">
        <w:r w:rsidRPr="005016CE">
          <w:rPr>
            <w:rStyle w:val="Hyperlink"/>
            <w:noProof/>
          </w:rPr>
          <w:t>Submissions</w:t>
        </w:r>
        <w:r>
          <w:rPr>
            <w:noProof/>
            <w:webHidden/>
          </w:rPr>
          <w:tab/>
        </w:r>
        <w:r>
          <w:rPr>
            <w:noProof/>
            <w:webHidden/>
          </w:rPr>
          <w:fldChar w:fldCharType="begin"/>
        </w:r>
        <w:r>
          <w:rPr>
            <w:noProof/>
            <w:webHidden/>
          </w:rPr>
          <w:instrText xml:space="preserve"> PAGEREF _Toc386013154 \h </w:instrText>
        </w:r>
        <w:r>
          <w:rPr>
            <w:noProof/>
            <w:webHidden/>
          </w:rPr>
        </w:r>
        <w:r>
          <w:rPr>
            <w:noProof/>
            <w:webHidden/>
          </w:rPr>
          <w:fldChar w:fldCharType="separate"/>
        </w:r>
        <w:r w:rsidR="005B0810">
          <w:rPr>
            <w:noProof/>
            <w:webHidden/>
          </w:rPr>
          <w:t>167</w:t>
        </w:r>
        <w:r>
          <w:rPr>
            <w:noProof/>
            <w:webHidden/>
          </w:rPr>
          <w:fldChar w:fldCharType="end"/>
        </w:r>
      </w:hyperlink>
    </w:p>
    <w:p w14:paraId="6EFBF26B" w14:textId="77777777" w:rsidR="00617C81" w:rsidRDefault="00592488" w:rsidP="00984DBC">
      <w:pPr>
        <w:rPr>
          <w:b/>
          <w:spacing w:val="-4"/>
        </w:rPr>
      </w:pPr>
      <w:r>
        <w:rPr>
          <w:spacing w:val="-4"/>
          <w:sz w:val="18"/>
          <w:szCs w:val="18"/>
        </w:rPr>
        <w:fldChar w:fldCharType="end"/>
      </w:r>
    </w:p>
    <w:p w14:paraId="528FD600" w14:textId="77777777" w:rsidR="00BA0D8C" w:rsidRDefault="00BA0D8C" w:rsidP="00984DBC"/>
    <w:p w14:paraId="003D1964" w14:textId="77777777" w:rsidR="00F5534B" w:rsidRDefault="00617C81" w:rsidP="00694B7B">
      <w:pPr>
        <w:pStyle w:val="UtilComChapterHeading"/>
        <w:outlineLvl w:val="0"/>
      </w:pPr>
      <w:r w:rsidRPr="006E3A87">
        <w:br w:type="page"/>
      </w:r>
      <w:bookmarkStart w:id="2" w:name="_Toc385241429"/>
    </w:p>
    <w:p w14:paraId="0217EAB9" w14:textId="77777777" w:rsidR="00F5534B" w:rsidRDefault="00F5534B" w:rsidP="00694B7B">
      <w:pPr>
        <w:pStyle w:val="UtilComChapterHeading"/>
        <w:outlineLvl w:val="0"/>
      </w:pPr>
    </w:p>
    <w:p w14:paraId="1795718D" w14:textId="77777777" w:rsidR="00F5534B" w:rsidRDefault="00F5534B" w:rsidP="00F5534B">
      <w:pPr>
        <w:pStyle w:val="UtilComChapterHeading"/>
        <w:outlineLvl w:val="0"/>
      </w:pPr>
      <w:bookmarkStart w:id="3" w:name="_Toc386012980"/>
      <w:r>
        <w:t>Purpose of this Report</w:t>
      </w:r>
      <w:bookmarkEnd w:id="3"/>
    </w:p>
    <w:p w14:paraId="235345B6" w14:textId="0FD40146" w:rsidR="00F5534B" w:rsidRDefault="00F5534B" w:rsidP="00F5534B">
      <w:r>
        <w:t>This Statement of Reasons (Part A), together with the 2014 Network Price Determination (Part B), comprise the Commission’s Final Determination under clause 66 of the Network Access Code in relation to the maximum allowed revenue that PWC Networks can recover from the provision of regulated network access services during the 2014-19 regulatory control period.</w:t>
      </w:r>
    </w:p>
    <w:p w14:paraId="5B31DF60" w14:textId="4CA616CE" w:rsidR="00F5534B" w:rsidRDefault="00F5534B" w:rsidP="00F5534B">
      <w:r>
        <w:t xml:space="preserve"> </w:t>
      </w:r>
    </w:p>
    <w:p w14:paraId="7311A3D3" w14:textId="4303C135" w:rsidR="00547327" w:rsidRPr="00694B7B" w:rsidRDefault="000C5EE4" w:rsidP="00694B7B">
      <w:pPr>
        <w:pStyle w:val="UtilComChapterHeading"/>
        <w:outlineLvl w:val="0"/>
      </w:pPr>
      <w:bookmarkStart w:id="4" w:name="_Toc386012981"/>
      <w:r>
        <w:t>Inquiries</w:t>
      </w:r>
      <w:bookmarkEnd w:id="2"/>
      <w:bookmarkEnd w:id="4"/>
    </w:p>
    <w:p w14:paraId="06C6D017" w14:textId="77777777" w:rsidR="00547327" w:rsidRDefault="000C5EE4" w:rsidP="00547327">
      <w:r>
        <w:t xml:space="preserve">Any </w:t>
      </w:r>
      <w:r w:rsidR="004E5C5C">
        <w:t xml:space="preserve">inquiries </w:t>
      </w:r>
      <w:r>
        <w:t xml:space="preserve">regarding this </w:t>
      </w:r>
      <w:r w:rsidR="004E5C5C">
        <w:t>Final Determination</w:t>
      </w:r>
      <w:r>
        <w:t xml:space="preserve"> should be directed in the first instance to the Executive Officer, Utilities Commission at any of the following</w:t>
      </w:r>
      <w:r w:rsidR="00547327">
        <w:t>:</w:t>
      </w:r>
    </w:p>
    <w:p w14:paraId="1429AE31" w14:textId="77777777" w:rsidR="00D570AE" w:rsidRDefault="00D570AE" w:rsidP="00547327"/>
    <w:p w14:paraId="14A554C5" w14:textId="77777777" w:rsidR="0031142A" w:rsidRDefault="00D570AE" w:rsidP="00D570AE">
      <w:r>
        <w:t>Executive Officer</w:t>
      </w:r>
      <w:r>
        <w:br/>
        <w:t>Utilities Commission of the Northern Territory</w:t>
      </w:r>
      <w:r>
        <w:br/>
        <w:t>GPO Box 915</w:t>
      </w:r>
      <w:r>
        <w:br/>
        <w:t>DARWIN NT 0801</w:t>
      </w:r>
    </w:p>
    <w:p w14:paraId="58AF6143" w14:textId="25B1C68F" w:rsidR="00D570AE" w:rsidRDefault="00D570AE" w:rsidP="00D570AE">
      <w:r w:rsidRPr="007F1CB8">
        <w:t xml:space="preserve">Telephone: </w:t>
      </w:r>
      <w:r>
        <w:t xml:space="preserve"> +61 </w:t>
      </w:r>
      <w:r w:rsidRPr="007F1CB8">
        <w:t>8 8999 5480</w:t>
      </w:r>
    </w:p>
    <w:p w14:paraId="5B333C14" w14:textId="77777777" w:rsidR="00547327" w:rsidRDefault="00D570AE" w:rsidP="00D570AE">
      <w:r>
        <w:t>Fax: +61 8 8999 6262</w:t>
      </w:r>
    </w:p>
    <w:p w14:paraId="5794A4F4" w14:textId="77777777" w:rsidR="005725B3" w:rsidRDefault="005725B3" w:rsidP="00D570AE">
      <w:r w:rsidRPr="0031142A">
        <w:t>Email:</w:t>
      </w:r>
      <w:r w:rsidRPr="001E67BC">
        <w:rPr>
          <w:i/>
        </w:rPr>
        <w:t xml:space="preserve"> </w:t>
      </w:r>
      <w:hyperlink r:id="rId19" w:history="1">
        <w:r>
          <w:rPr>
            <w:rStyle w:val="Hyperlink"/>
          </w:rPr>
          <w:t>utilities.commission@nt.gov.au</w:t>
        </w:r>
      </w:hyperlink>
    </w:p>
    <w:p w14:paraId="7C890EBC" w14:textId="77777777" w:rsidR="005725B3" w:rsidRDefault="005725B3" w:rsidP="00547327"/>
    <w:p w14:paraId="31074A4B" w14:textId="77777777" w:rsidR="00694B7B" w:rsidRDefault="00694B7B">
      <w:pPr>
        <w:spacing w:before="0" w:after="0" w:line="240" w:lineRule="auto"/>
        <w:rPr>
          <w:b/>
          <w:sz w:val="32"/>
          <w:szCs w:val="28"/>
        </w:rPr>
      </w:pPr>
      <w:bookmarkStart w:id="5" w:name="_Toc328748251"/>
      <w:r>
        <w:br w:type="page"/>
      </w:r>
    </w:p>
    <w:p w14:paraId="7FB9ECCB" w14:textId="5BAF2E8E" w:rsidR="00694B7B" w:rsidRDefault="00694B7B" w:rsidP="00694B7B">
      <w:pPr>
        <w:pStyle w:val="UtilComChapterHeading"/>
        <w:outlineLvl w:val="0"/>
      </w:pPr>
      <w:bookmarkStart w:id="6" w:name="_Toc385241430"/>
      <w:bookmarkStart w:id="7" w:name="_Toc386012982"/>
      <w:r>
        <w:t xml:space="preserve">Glossary of </w:t>
      </w:r>
      <w:bookmarkEnd w:id="5"/>
      <w:bookmarkEnd w:id="6"/>
      <w:r w:rsidR="00A2605C">
        <w:t>Terms</w:t>
      </w:r>
      <w:bookmarkEnd w:id="7"/>
    </w:p>
    <w:p w14:paraId="1ABE27E0" w14:textId="76346AA0" w:rsidR="004B721B" w:rsidRPr="000C5EE4" w:rsidRDefault="004B721B" w:rsidP="004B721B">
      <w:pPr>
        <w:tabs>
          <w:tab w:val="left" w:pos="5610"/>
        </w:tabs>
      </w:pP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268"/>
        <w:gridCol w:w="6946"/>
      </w:tblGrid>
      <w:tr w:rsidR="00694B7B" w:rsidRPr="00163BEF" w14:paraId="39168B25" w14:textId="77777777" w:rsidTr="00766DBA">
        <w:trPr>
          <w:cantSplit/>
          <w:trHeight w:val="360"/>
          <w:tblHeader/>
        </w:trPr>
        <w:tc>
          <w:tcPr>
            <w:tcW w:w="2268" w:type="dxa"/>
            <w:tcBorders>
              <w:bottom w:val="single" w:sz="4" w:space="0" w:color="auto"/>
            </w:tcBorders>
            <w:vAlign w:val="bottom"/>
          </w:tcPr>
          <w:p w14:paraId="0C0C8715" w14:textId="77777777" w:rsidR="00694B7B" w:rsidRPr="00163BEF" w:rsidRDefault="00694B7B" w:rsidP="004F506A">
            <w:pPr>
              <w:pStyle w:val="UtilComTableColumnHeading"/>
            </w:pPr>
            <w:r w:rsidRPr="00163BEF">
              <w:t>Term</w:t>
            </w:r>
          </w:p>
        </w:tc>
        <w:tc>
          <w:tcPr>
            <w:tcW w:w="6946" w:type="dxa"/>
            <w:tcBorders>
              <w:bottom w:val="single" w:sz="4" w:space="0" w:color="auto"/>
            </w:tcBorders>
            <w:vAlign w:val="bottom"/>
          </w:tcPr>
          <w:p w14:paraId="57A6E7C6" w14:textId="77777777" w:rsidR="00694B7B" w:rsidRPr="00163BEF" w:rsidRDefault="00694B7B" w:rsidP="007F1CB8">
            <w:pPr>
              <w:pStyle w:val="UtilComTableColumnHeading"/>
            </w:pPr>
            <w:r w:rsidRPr="00163BEF">
              <w:t>Definition</w:t>
            </w:r>
          </w:p>
        </w:tc>
      </w:tr>
      <w:tr w:rsidR="00DA17C6" w:rsidRPr="00163BEF" w14:paraId="4A7FC6E5" w14:textId="77777777" w:rsidTr="006E364D">
        <w:trPr>
          <w:cantSplit/>
          <w:trHeight w:val="360"/>
        </w:trPr>
        <w:tc>
          <w:tcPr>
            <w:tcW w:w="2268" w:type="dxa"/>
          </w:tcPr>
          <w:p w14:paraId="40340112" w14:textId="4F03C4C6" w:rsidR="00DA17C6" w:rsidRPr="00163BEF" w:rsidRDefault="00DA17C6" w:rsidP="001F220A">
            <w:pPr>
              <w:rPr>
                <w:lang w:val="en-AU"/>
              </w:rPr>
            </w:pPr>
            <w:r w:rsidRPr="00163BEF">
              <w:t>2004</w:t>
            </w:r>
            <w:r w:rsidR="001F220A" w:rsidRPr="00163BEF">
              <w:t>-</w:t>
            </w:r>
            <w:r w:rsidRPr="00163BEF">
              <w:t>09 regulatory control period</w:t>
            </w:r>
          </w:p>
        </w:tc>
        <w:tc>
          <w:tcPr>
            <w:tcW w:w="6946" w:type="dxa"/>
            <w:tcMar>
              <w:right w:w="567" w:type="dxa"/>
            </w:tcMar>
          </w:tcPr>
          <w:p w14:paraId="2619E555" w14:textId="3B98DD36" w:rsidR="00DA17C6" w:rsidRPr="00163BEF" w:rsidRDefault="00DA17C6" w:rsidP="004F506A">
            <w:pPr>
              <w:rPr>
                <w:lang w:val="en-AU"/>
              </w:rPr>
            </w:pPr>
            <w:r w:rsidRPr="00163BEF">
              <w:t>The regulatory control period from 1 July 2004 to 30 June 2009.</w:t>
            </w:r>
          </w:p>
        </w:tc>
      </w:tr>
      <w:tr w:rsidR="00DA17C6" w:rsidRPr="00163BEF" w14:paraId="44B93799" w14:textId="77777777" w:rsidTr="006E364D">
        <w:trPr>
          <w:cantSplit/>
          <w:trHeight w:val="360"/>
        </w:trPr>
        <w:tc>
          <w:tcPr>
            <w:tcW w:w="2268" w:type="dxa"/>
          </w:tcPr>
          <w:p w14:paraId="6DDD4803" w14:textId="55D899B0" w:rsidR="00DA17C6" w:rsidRPr="00163BEF" w:rsidRDefault="00DA17C6" w:rsidP="001F220A">
            <w:pPr>
              <w:rPr>
                <w:lang w:val="en-AU"/>
              </w:rPr>
            </w:pPr>
            <w:r w:rsidRPr="00163BEF">
              <w:t>2009</w:t>
            </w:r>
            <w:r w:rsidR="001F220A" w:rsidRPr="00163BEF">
              <w:t>-</w:t>
            </w:r>
            <w:r w:rsidRPr="00163BEF">
              <w:t>14 regulatory control period</w:t>
            </w:r>
          </w:p>
        </w:tc>
        <w:tc>
          <w:tcPr>
            <w:tcW w:w="6946" w:type="dxa"/>
            <w:tcMar>
              <w:right w:w="567" w:type="dxa"/>
            </w:tcMar>
          </w:tcPr>
          <w:p w14:paraId="5D208C74" w14:textId="13615233" w:rsidR="00DA17C6" w:rsidRPr="00163BEF" w:rsidRDefault="00DA17C6" w:rsidP="004F506A">
            <w:pPr>
              <w:rPr>
                <w:lang w:val="en-AU"/>
              </w:rPr>
            </w:pPr>
            <w:r w:rsidRPr="00163BEF">
              <w:t>The regulatory control period from 1 July 2009 to 30 June 2014.</w:t>
            </w:r>
          </w:p>
        </w:tc>
      </w:tr>
      <w:tr w:rsidR="00DA17C6" w:rsidRPr="00163BEF" w14:paraId="71EDDF1A" w14:textId="77777777" w:rsidTr="006E364D">
        <w:trPr>
          <w:cantSplit/>
          <w:trHeight w:val="360"/>
        </w:trPr>
        <w:tc>
          <w:tcPr>
            <w:tcW w:w="2268" w:type="dxa"/>
          </w:tcPr>
          <w:p w14:paraId="324FE844" w14:textId="42D12F5C" w:rsidR="00DA17C6" w:rsidRPr="00163BEF" w:rsidRDefault="00DA17C6" w:rsidP="001F220A">
            <w:pPr>
              <w:rPr>
                <w:lang w:val="en-AU"/>
              </w:rPr>
            </w:pPr>
            <w:r w:rsidRPr="00163BEF">
              <w:t>2014</w:t>
            </w:r>
            <w:r w:rsidR="001F220A" w:rsidRPr="00163BEF">
              <w:t>-</w:t>
            </w:r>
            <w:r w:rsidRPr="00163BEF">
              <w:t>19 regulatory control period</w:t>
            </w:r>
          </w:p>
        </w:tc>
        <w:tc>
          <w:tcPr>
            <w:tcW w:w="6946" w:type="dxa"/>
            <w:tcMar>
              <w:right w:w="567" w:type="dxa"/>
            </w:tcMar>
          </w:tcPr>
          <w:p w14:paraId="3E8E3E03" w14:textId="38BBAC46" w:rsidR="00DA17C6" w:rsidRPr="00163BEF" w:rsidRDefault="00DA17C6" w:rsidP="004F506A">
            <w:pPr>
              <w:rPr>
                <w:lang w:val="en-AU"/>
              </w:rPr>
            </w:pPr>
            <w:r w:rsidRPr="00163BEF">
              <w:t>The regulatory control period from 1 July 2014 to 30 June 2019.</w:t>
            </w:r>
          </w:p>
        </w:tc>
      </w:tr>
      <w:tr w:rsidR="00D21B92" w:rsidRPr="00163BEF" w14:paraId="33049ED3" w14:textId="77777777" w:rsidTr="006E364D">
        <w:trPr>
          <w:cantSplit/>
          <w:trHeight w:val="360"/>
        </w:trPr>
        <w:tc>
          <w:tcPr>
            <w:tcW w:w="2268" w:type="dxa"/>
          </w:tcPr>
          <w:p w14:paraId="30E4D9B7" w14:textId="77777777" w:rsidR="00D21B92" w:rsidRPr="00163BEF" w:rsidRDefault="00D83DD0" w:rsidP="004F506A">
            <w:pPr>
              <w:rPr>
                <w:lang w:val="en-AU"/>
              </w:rPr>
            </w:pPr>
            <w:r w:rsidRPr="00163BEF">
              <w:rPr>
                <w:lang w:val="en-AU"/>
              </w:rPr>
              <w:t>2009 Network Price Determination</w:t>
            </w:r>
          </w:p>
        </w:tc>
        <w:tc>
          <w:tcPr>
            <w:tcW w:w="6946" w:type="dxa"/>
            <w:tcMar>
              <w:right w:w="567" w:type="dxa"/>
            </w:tcMar>
          </w:tcPr>
          <w:p w14:paraId="56812210" w14:textId="0AE84175" w:rsidR="00D21B92" w:rsidRPr="00163BEF" w:rsidRDefault="006A5F67" w:rsidP="006A5F67">
            <w:pPr>
              <w:rPr>
                <w:lang w:val="en-AU"/>
              </w:rPr>
            </w:pPr>
            <w:r w:rsidRPr="00E17F83">
              <w:rPr>
                <w:szCs w:val="22"/>
                <w:lang w:val="en-AU"/>
              </w:rPr>
              <w:t xml:space="preserve">The </w:t>
            </w:r>
            <w:r w:rsidRPr="00E17F83">
              <w:rPr>
                <w:i/>
                <w:szCs w:val="22"/>
                <w:lang w:val="en-AU"/>
              </w:rPr>
              <w:t>Network Price Determination</w:t>
            </w:r>
            <w:r w:rsidRPr="00E17F83">
              <w:rPr>
                <w:szCs w:val="22"/>
                <w:lang w:val="en-AU"/>
              </w:rPr>
              <w:t xml:space="preserve"> applying to the </w:t>
            </w:r>
            <w:r w:rsidRPr="00E17F83">
              <w:rPr>
                <w:i/>
                <w:szCs w:val="22"/>
                <w:lang w:val="en-AU"/>
              </w:rPr>
              <w:t>2009-14 regulatory control period</w:t>
            </w:r>
            <w:r w:rsidRPr="00E17F83">
              <w:rPr>
                <w:szCs w:val="22"/>
                <w:lang w:val="en-AU"/>
              </w:rPr>
              <w:t xml:space="preserve"> published</w:t>
            </w:r>
            <w:r>
              <w:rPr>
                <w:lang w:val="en-AU"/>
              </w:rPr>
              <w:t xml:space="preserve"> in March 2009</w:t>
            </w:r>
            <w:r w:rsidR="00DA17C6" w:rsidRPr="00163BEF">
              <w:rPr>
                <w:lang w:val="en-AU"/>
              </w:rPr>
              <w:t>.</w:t>
            </w:r>
            <w:r w:rsidR="00D21B92" w:rsidRPr="00163BEF">
              <w:rPr>
                <w:rStyle w:val="FootnoteReference"/>
                <w:lang w:val="en-AU"/>
              </w:rPr>
              <w:footnoteReference w:id="2"/>
            </w:r>
          </w:p>
        </w:tc>
      </w:tr>
      <w:tr w:rsidR="00DA17C6" w:rsidRPr="00163BEF" w14:paraId="7F2C6765" w14:textId="77777777" w:rsidTr="006E364D">
        <w:trPr>
          <w:cantSplit/>
          <w:trHeight w:val="360"/>
        </w:trPr>
        <w:tc>
          <w:tcPr>
            <w:tcW w:w="2268" w:type="dxa"/>
          </w:tcPr>
          <w:p w14:paraId="796B131A" w14:textId="726AD373" w:rsidR="00DA17C6" w:rsidRPr="00163BEF" w:rsidRDefault="00DA17C6" w:rsidP="004F506A">
            <w:pPr>
              <w:rPr>
                <w:lang w:val="en-AU"/>
              </w:rPr>
            </w:pPr>
            <w:r w:rsidRPr="00163BEF">
              <w:t>2014 Network Price Determination</w:t>
            </w:r>
          </w:p>
        </w:tc>
        <w:tc>
          <w:tcPr>
            <w:tcW w:w="6946" w:type="dxa"/>
            <w:tcMar>
              <w:right w:w="567" w:type="dxa"/>
            </w:tcMar>
          </w:tcPr>
          <w:p w14:paraId="1BC8BDF7" w14:textId="69C05F54" w:rsidR="00DA17C6" w:rsidRPr="00163BEF" w:rsidRDefault="00DA17C6" w:rsidP="006957AB">
            <w:pPr>
              <w:rPr>
                <w:lang w:val="en-AU"/>
              </w:rPr>
            </w:pPr>
            <w:r w:rsidRPr="00163BEF">
              <w:t>The Network Price Determination relating to the supply of regulated network access services during the 2014</w:t>
            </w:r>
            <w:r w:rsidR="006957AB">
              <w:t>-</w:t>
            </w:r>
            <w:r w:rsidRPr="00163BEF">
              <w:t>19 regulatory control period set out in Part B.</w:t>
            </w:r>
          </w:p>
        </w:tc>
      </w:tr>
      <w:tr w:rsidR="00BD1077" w:rsidRPr="00163BEF" w14:paraId="498551DA" w14:textId="77777777" w:rsidTr="006E364D">
        <w:trPr>
          <w:cantSplit/>
          <w:trHeight w:val="360"/>
        </w:trPr>
        <w:tc>
          <w:tcPr>
            <w:tcW w:w="2268" w:type="dxa"/>
          </w:tcPr>
          <w:p w14:paraId="534DC46A" w14:textId="77777777" w:rsidR="00BD1077" w:rsidRPr="00163BEF" w:rsidRDefault="00BD1077" w:rsidP="004F506A">
            <w:pPr>
              <w:rPr>
                <w:lang w:val="en-AU"/>
              </w:rPr>
            </w:pPr>
            <w:r w:rsidRPr="00163BEF">
              <w:rPr>
                <w:lang w:val="en-AU"/>
              </w:rPr>
              <w:t>ABS</w:t>
            </w:r>
          </w:p>
        </w:tc>
        <w:tc>
          <w:tcPr>
            <w:tcW w:w="6946" w:type="dxa"/>
            <w:tcMar>
              <w:right w:w="567" w:type="dxa"/>
            </w:tcMar>
          </w:tcPr>
          <w:p w14:paraId="69750673" w14:textId="6F897E8E" w:rsidR="00BD1077" w:rsidRPr="00163BEF" w:rsidRDefault="00BD1077" w:rsidP="007F1CB8">
            <w:pPr>
              <w:rPr>
                <w:lang w:val="en-AU"/>
              </w:rPr>
            </w:pPr>
            <w:r w:rsidRPr="00163BEF">
              <w:rPr>
                <w:lang w:val="en-AU"/>
              </w:rPr>
              <w:t>Australian Bureau of Statistics</w:t>
            </w:r>
            <w:r w:rsidR="00DA17C6" w:rsidRPr="00163BEF">
              <w:rPr>
                <w:lang w:val="en-AU"/>
              </w:rPr>
              <w:t>.</w:t>
            </w:r>
          </w:p>
        </w:tc>
      </w:tr>
      <w:tr w:rsidR="00DA17C6" w:rsidRPr="00163BEF" w14:paraId="23FF7712" w14:textId="77777777" w:rsidTr="006E364D">
        <w:trPr>
          <w:cantSplit/>
          <w:trHeight w:val="360"/>
        </w:trPr>
        <w:tc>
          <w:tcPr>
            <w:tcW w:w="2268" w:type="dxa"/>
          </w:tcPr>
          <w:p w14:paraId="63A74D73" w14:textId="27BAC8E1" w:rsidR="00DA17C6" w:rsidRPr="00163BEF" w:rsidRDefault="00DA17C6" w:rsidP="00DA17C6">
            <w:pPr>
              <w:rPr>
                <w:lang w:val="en-AU"/>
              </w:rPr>
            </w:pPr>
            <w:r w:rsidRPr="00163BEF">
              <w:rPr>
                <w:lang w:val="en-AU"/>
              </w:rPr>
              <w:t>AER</w:t>
            </w:r>
          </w:p>
        </w:tc>
        <w:tc>
          <w:tcPr>
            <w:tcW w:w="6946" w:type="dxa"/>
            <w:tcMar>
              <w:right w:w="567" w:type="dxa"/>
            </w:tcMar>
          </w:tcPr>
          <w:p w14:paraId="24532000" w14:textId="43B92FD6" w:rsidR="00DA17C6" w:rsidRPr="00163BEF" w:rsidRDefault="00DA17C6" w:rsidP="004F506A">
            <w:pPr>
              <w:rPr>
                <w:lang w:val="en-AU"/>
              </w:rPr>
            </w:pPr>
            <w:r w:rsidRPr="00163BEF">
              <w:rPr>
                <w:lang w:val="en-AU"/>
              </w:rPr>
              <w:t xml:space="preserve">The Australian Energy Regulator, which is established by section 44E of the </w:t>
            </w:r>
            <w:r w:rsidRPr="006957AB">
              <w:rPr>
                <w:i/>
                <w:lang w:val="en-AU"/>
              </w:rPr>
              <w:t xml:space="preserve">Competition and Consumer Act 2010 </w:t>
            </w:r>
            <w:r w:rsidRPr="007B0DFB">
              <w:rPr>
                <w:lang w:val="en-AU"/>
              </w:rPr>
              <w:t>(Cth)</w:t>
            </w:r>
            <w:r w:rsidRPr="00163BEF">
              <w:rPr>
                <w:lang w:val="en-AU"/>
              </w:rPr>
              <w:t>.</w:t>
            </w:r>
          </w:p>
        </w:tc>
      </w:tr>
      <w:tr w:rsidR="00DA17C6" w:rsidRPr="00163BEF" w14:paraId="5C9EC905" w14:textId="77777777" w:rsidTr="006E364D">
        <w:trPr>
          <w:cantSplit/>
          <w:trHeight w:val="360"/>
        </w:trPr>
        <w:tc>
          <w:tcPr>
            <w:tcW w:w="2268" w:type="dxa"/>
          </w:tcPr>
          <w:p w14:paraId="4501D3F8" w14:textId="5B7E582F" w:rsidR="00DA17C6" w:rsidRPr="00163BEF" w:rsidRDefault="00DA17C6" w:rsidP="004F506A">
            <w:pPr>
              <w:rPr>
                <w:lang w:val="en-AU"/>
              </w:rPr>
            </w:pPr>
            <w:r w:rsidRPr="00163BEF">
              <w:t>allowed rate of return</w:t>
            </w:r>
          </w:p>
        </w:tc>
        <w:tc>
          <w:tcPr>
            <w:tcW w:w="6946" w:type="dxa"/>
            <w:tcMar>
              <w:right w:w="567" w:type="dxa"/>
            </w:tcMar>
          </w:tcPr>
          <w:p w14:paraId="722DA84F" w14:textId="14D593A2" w:rsidR="00DA17C6" w:rsidRPr="00163BEF" w:rsidRDefault="00DA17C6" w:rsidP="006957AB">
            <w:pPr>
              <w:rPr>
                <w:lang w:val="en-AU"/>
              </w:rPr>
            </w:pPr>
            <w:r w:rsidRPr="00163BEF">
              <w:t>The allowed rate of return for a regulatory year will be the weighted average of the return on equity for the 2014</w:t>
            </w:r>
            <w:r w:rsidR="006957AB">
              <w:t>-</w:t>
            </w:r>
            <w:r w:rsidRPr="00163BEF">
              <w:t xml:space="preserve">19 regulatory control period and the return on debt for that regulatory year (both as estimated by the Commission) determined on a pre-tax nominal basis in accordance with clause 2.6 of </w:t>
            </w:r>
            <w:r w:rsidR="00163BEF">
              <w:t>the</w:t>
            </w:r>
            <w:r w:rsidR="00896028" w:rsidRPr="00163BEF">
              <w:t xml:space="preserve"> </w:t>
            </w:r>
            <w:r w:rsidR="00163BEF">
              <w:t xml:space="preserve">2014 </w:t>
            </w:r>
            <w:r w:rsidR="00896028" w:rsidRPr="00163BEF">
              <w:t>Network Price Determination</w:t>
            </w:r>
            <w:r w:rsidRPr="00163BEF">
              <w:t>.</w:t>
            </w:r>
          </w:p>
        </w:tc>
      </w:tr>
      <w:tr w:rsidR="00896028" w:rsidRPr="00163BEF" w14:paraId="27B2151F" w14:textId="77777777" w:rsidTr="006E364D">
        <w:trPr>
          <w:cantSplit/>
          <w:trHeight w:val="360"/>
        </w:trPr>
        <w:tc>
          <w:tcPr>
            <w:tcW w:w="2268" w:type="dxa"/>
          </w:tcPr>
          <w:p w14:paraId="41438691" w14:textId="242E2097" w:rsidR="00896028" w:rsidRPr="00163BEF" w:rsidRDefault="00896028" w:rsidP="004F506A">
            <w:pPr>
              <w:rPr>
                <w:lang w:val="en-AU"/>
              </w:rPr>
            </w:pPr>
            <w:r w:rsidRPr="00163BEF">
              <w:t>annual revenue requirement</w:t>
            </w:r>
          </w:p>
        </w:tc>
        <w:tc>
          <w:tcPr>
            <w:tcW w:w="6946" w:type="dxa"/>
            <w:tcMar>
              <w:right w:w="567" w:type="dxa"/>
            </w:tcMar>
          </w:tcPr>
          <w:p w14:paraId="568E2F1B" w14:textId="14CB04C9" w:rsidR="00896028" w:rsidRPr="00163BEF" w:rsidRDefault="00896028" w:rsidP="006B0E6D">
            <w:pPr>
              <w:rPr>
                <w:rFonts w:cs="Arial"/>
                <w:szCs w:val="22"/>
                <w:lang w:val="en-AU"/>
              </w:rPr>
            </w:pPr>
            <w:r w:rsidRPr="00163BEF">
              <w:t xml:space="preserve">An amount representing the maximum allowed revenue from the supply of regulated network access services by PWC Networks, for each regulatory year of the 2014-19 regulatory control period, as determined by the Commission in accordance with clause 2.2.2(b) and Schedule 4 of </w:t>
            </w:r>
            <w:r w:rsidR="006957AB">
              <w:t xml:space="preserve">the 2014 </w:t>
            </w:r>
            <w:r w:rsidRPr="00163BEF">
              <w:t>Network Price Determination (also called the 'revenue cap' in the Network Access Code).</w:t>
            </w:r>
          </w:p>
        </w:tc>
      </w:tr>
      <w:tr w:rsidR="001F220A" w:rsidRPr="00163BEF" w14:paraId="765D869A" w14:textId="77777777" w:rsidTr="006E364D">
        <w:trPr>
          <w:cantSplit/>
          <w:trHeight w:val="360"/>
        </w:trPr>
        <w:tc>
          <w:tcPr>
            <w:tcW w:w="2268" w:type="dxa"/>
          </w:tcPr>
          <w:p w14:paraId="199E6AB1" w14:textId="35FF362C" w:rsidR="001F220A" w:rsidRPr="00163BEF" w:rsidRDefault="001F220A" w:rsidP="004F506A">
            <w:pPr>
              <w:rPr>
                <w:lang w:val="en-AU"/>
              </w:rPr>
            </w:pPr>
            <w:r w:rsidRPr="00163BEF">
              <w:t>applicable regulatory instruments</w:t>
            </w:r>
          </w:p>
        </w:tc>
        <w:tc>
          <w:tcPr>
            <w:tcW w:w="6946" w:type="dxa"/>
            <w:tcMar>
              <w:right w:w="567" w:type="dxa"/>
            </w:tcMar>
          </w:tcPr>
          <w:p w14:paraId="7AF90B21" w14:textId="77777777" w:rsidR="001F220A" w:rsidRPr="00163BEF" w:rsidRDefault="001F220A" w:rsidP="001F220A">
            <w:r w:rsidRPr="00163BEF">
              <w:t>All laws, regulations, orders, licences, codes, determinations and other regulatory instruments which apply to PWC Networks from time to time, including:</w:t>
            </w:r>
          </w:p>
          <w:p w14:paraId="3F2CE49A" w14:textId="3EA2BEEC" w:rsidR="001F220A" w:rsidRPr="00163BEF" w:rsidRDefault="001F220A" w:rsidP="00243FBE">
            <w:pPr>
              <w:pStyle w:val="UtilComBulletText"/>
              <w:numPr>
                <w:ilvl w:val="0"/>
                <w:numId w:val="18"/>
              </w:numPr>
              <w:tabs>
                <w:tab w:val="clear" w:pos="1106"/>
                <w:tab w:val="clear" w:pos="1134"/>
                <w:tab w:val="num" w:pos="601"/>
              </w:tabs>
              <w:ind w:left="601" w:hanging="425"/>
            </w:pPr>
            <w:r w:rsidRPr="00163BEF">
              <w:t xml:space="preserve">the </w:t>
            </w:r>
            <w:r w:rsidRPr="006957AB">
              <w:rPr>
                <w:i/>
              </w:rPr>
              <w:t>Electricity Reform Act</w:t>
            </w:r>
            <w:r w:rsidRPr="00163BEF">
              <w:t>;</w:t>
            </w:r>
          </w:p>
          <w:p w14:paraId="384ACC46" w14:textId="01BF4972" w:rsidR="001F220A" w:rsidRPr="00163BEF" w:rsidRDefault="001F220A" w:rsidP="00243FBE">
            <w:pPr>
              <w:pStyle w:val="UtilComBulletText"/>
              <w:numPr>
                <w:ilvl w:val="0"/>
                <w:numId w:val="18"/>
              </w:numPr>
              <w:tabs>
                <w:tab w:val="clear" w:pos="1106"/>
                <w:tab w:val="clear" w:pos="1134"/>
                <w:tab w:val="num" w:pos="601"/>
              </w:tabs>
              <w:ind w:left="601" w:hanging="425"/>
            </w:pPr>
            <w:r w:rsidRPr="00163BEF">
              <w:t xml:space="preserve">all regulations made and licences issued under the </w:t>
            </w:r>
            <w:r w:rsidRPr="006957AB">
              <w:rPr>
                <w:i/>
              </w:rPr>
              <w:t>Electricity Reform Act</w:t>
            </w:r>
            <w:r w:rsidRPr="00163BEF">
              <w:t>;</w:t>
            </w:r>
          </w:p>
          <w:p w14:paraId="288B7B96" w14:textId="227138D6" w:rsidR="001F220A" w:rsidRPr="00163BEF" w:rsidRDefault="001F220A" w:rsidP="00243FBE">
            <w:pPr>
              <w:pStyle w:val="UtilComBulletText"/>
              <w:numPr>
                <w:ilvl w:val="0"/>
                <w:numId w:val="18"/>
              </w:numPr>
              <w:tabs>
                <w:tab w:val="clear" w:pos="1106"/>
                <w:tab w:val="clear" w:pos="1134"/>
                <w:tab w:val="num" w:pos="601"/>
              </w:tabs>
              <w:ind w:left="601" w:hanging="425"/>
            </w:pPr>
            <w:r w:rsidRPr="00163BEF">
              <w:t xml:space="preserve">the </w:t>
            </w:r>
            <w:r w:rsidRPr="006957AB">
              <w:rPr>
                <w:i/>
              </w:rPr>
              <w:t>Electricity Networks (Third Party Access) Act</w:t>
            </w:r>
            <w:r w:rsidRPr="00163BEF">
              <w:t>;</w:t>
            </w:r>
          </w:p>
          <w:p w14:paraId="0A110163" w14:textId="6C9E39D7" w:rsidR="001F220A" w:rsidRPr="00163BEF" w:rsidRDefault="001F220A" w:rsidP="00243FBE">
            <w:pPr>
              <w:pStyle w:val="UtilComBulletText"/>
              <w:numPr>
                <w:ilvl w:val="0"/>
                <w:numId w:val="18"/>
              </w:numPr>
              <w:tabs>
                <w:tab w:val="clear" w:pos="1106"/>
                <w:tab w:val="clear" w:pos="1134"/>
                <w:tab w:val="num" w:pos="601"/>
              </w:tabs>
              <w:ind w:left="601" w:hanging="425"/>
            </w:pPr>
            <w:r w:rsidRPr="00163BEF">
              <w:t>the Network Access Code;</w:t>
            </w:r>
          </w:p>
          <w:p w14:paraId="496EE8EA" w14:textId="0D1DE49F" w:rsidR="001F220A" w:rsidRPr="00163BEF" w:rsidRDefault="001F220A" w:rsidP="00243FBE">
            <w:pPr>
              <w:pStyle w:val="UtilComBulletText"/>
              <w:numPr>
                <w:ilvl w:val="0"/>
                <w:numId w:val="18"/>
              </w:numPr>
              <w:tabs>
                <w:tab w:val="clear" w:pos="1106"/>
                <w:tab w:val="clear" w:pos="1134"/>
                <w:tab w:val="num" w:pos="601"/>
              </w:tabs>
              <w:ind w:left="601" w:hanging="425"/>
            </w:pPr>
            <w:r w:rsidRPr="00163BEF">
              <w:t xml:space="preserve">the </w:t>
            </w:r>
            <w:r w:rsidRPr="006957AB">
              <w:rPr>
                <w:i/>
              </w:rPr>
              <w:t>Utilities Commission Act</w:t>
            </w:r>
            <w:r w:rsidRPr="00163BEF">
              <w:t>;</w:t>
            </w:r>
          </w:p>
          <w:p w14:paraId="3EEA2A75" w14:textId="7551755F" w:rsidR="001F220A" w:rsidRPr="00163BEF" w:rsidRDefault="001F220A" w:rsidP="00243FBE">
            <w:pPr>
              <w:pStyle w:val="UtilComBulletText"/>
              <w:numPr>
                <w:ilvl w:val="0"/>
                <w:numId w:val="18"/>
              </w:numPr>
              <w:tabs>
                <w:tab w:val="clear" w:pos="1106"/>
                <w:tab w:val="clear" w:pos="1134"/>
                <w:tab w:val="num" w:pos="601"/>
              </w:tabs>
              <w:ind w:left="601" w:hanging="425"/>
            </w:pPr>
            <w:r w:rsidRPr="00163BEF">
              <w:t xml:space="preserve">all regulations </w:t>
            </w:r>
            <w:r w:rsidR="007B0DFB">
              <w:t>and</w:t>
            </w:r>
            <w:r w:rsidRPr="00163BEF">
              <w:t xml:space="preserve"> determinations made under the </w:t>
            </w:r>
            <w:r w:rsidRPr="006957AB">
              <w:rPr>
                <w:i/>
              </w:rPr>
              <w:t>Utilities Commission Act</w:t>
            </w:r>
            <w:r w:rsidRPr="00163BEF">
              <w:t>; and</w:t>
            </w:r>
          </w:p>
          <w:p w14:paraId="386B8EFD" w14:textId="5B931774" w:rsidR="001F220A" w:rsidRPr="00163BEF" w:rsidRDefault="001F220A" w:rsidP="00243FBE">
            <w:pPr>
              <w:pStyle w:val="UtilComBulletText"/>
              <w:numPr>
                <w:ilvl w:val="0"/>
                <w:numId w:val="18"/>
              </w:numPr>
              <w:tabs>
                <w:tab w:val="clear" w:pos="1106"/>
                <w:tab w:val="clear" w:pos="1134"/>
                <w:tab w:val="num" w:pos="601"/>
              </w:tabs>
              <w:ind w:left="601" w:hanging="425"/>
            </w:pPr>
            <w:r w:rsidRPr="00163BEF">
              <w:t>all regulatory instruments applicable under the licences,</w:t>
            </w:r>
          </w:p>
          <w:p w14:paraId="6D6FD579" w14:textId="11595A80" w:rsidR="001F220A" w:rsidRPr="00163BEF" w:rsidRDefault="001F220A" w:rsidP="001F220A">
            <w:pPr>
              <w:rPr>
                <w:lang w:val="en-AU"/>
              </w:rPr>
            </w:pPr>
            <w:r w:rsidRPr="00163BEF">
              <w:t>but only to the extent that they regulate or contain terms and conditions relating to access to an electricity network, connection to an electricity network, the provision of regulated network access services, regulated network access service prices or extensions to an electricity network.</w:t>
            </w:r>
          </w:p>
        </w:tc>
      </w:tr>
      <w:tr w:rsidR="00DA17C6" w:rsidRPr="00163BEF" w14:paraId="3B33C239" w14:textId="77777777" w:rsidTr="006E364D">
        <w:trPr>
          <w:cantSplit/>
          <w:trHeight w:val="360"/>
        </w:trPr>
        <w:tc>
          <w:tcPr>
            <w:tcW w:w="2268" w:type="dxa"/>
          </w:tcPr>
          <w:p w14:paraId="04F19C7B" w14:textId="6D76CDAE" w:rsidR="00DA17C6" w:rsidRPr="00163BEF" w:rsidRDefault="00F1197B" w:rsidP="00F1197B">
            <w:pPr>
              <w:rPr>
                <w:lang w:val="en-AU"/>
              </w:rPr>
            </w:pPr>
            <w:r w:rsidRPr="00163BEF">
              <w:rPr>
                <w:lang w:val="en-AU"/>
              </w:rPr>
              <w:t>approved pass through amount</w:t>
            </w:r>
          </w:p>
        </w:tc>
        <w:tc>
          <w:tcPr>
            <w:tcW w:w="6946" w:type="dxa"/>
            <w:tcMar>
              <w:right w:w="567" w:type="dxa"/>
            </w:tcMar>
          </w:tcPr>
          <w:p w14:paraId="700EAC9D" w14:textId="77777777" w:rsidR="00F1197B" w:rsidRPr="00163BEF" w:rsidRDefault="00F1197B" w:rsidP="00F1197B">
            <w:pPr>
              <w:rPr>
                <w:lang w:val="en-AU"/>
              </w:rPr>
            </w:pPr>
            <w:r w:rsidRPr="00163BEF">
              <w:rPr>
                <w:lang w:val="en-AU"/>
              </w:rPr>
              <w:t>In respect of a positive change event for PWC Networks:</w:t>
            </w:r>
          </w:p>
          <w:p w14:paraId="7E00FFCA" w14:textId="7C79317E" w:rsidR="00F1197B" w:rsidRPr="00163BEF" w:rsidRDefault="00F1197B" w:rsidP="00243FBE">
            <w:pPr>
              <w:pStyle w:val="UtilComBulletText"/>
              <w:numPr>
                <w:ilvl w:val="0"/>
                <w:numId w:val="32"/>
              </w:numPr>
              <w:tabs>
                <w:tab w:val="clear" w:pos="1106"/>
                <w:tab w:val="clear" w:pos="1134"/>
                <w:tab w:val="num" w:pos="601"/>
              </w:tabs>
              <w:ind w:left="601" w:hanging="425"/>
            </w:pPr>
            <w:r w:rsidRPr="00163BEF">
              <w:t xml:space="preserve">the amount the </w:t>
            </w:r>
            <w:r w:rsidRPr="00163BEF">
              <w:rPr>
                <w:lang w:val="en-AU"/>
              </w:rPr>
              <w:t>Commission</w:t>
            </w:r>
            <w:r w:rsidRPr="00163BEF">
              <w:t xml:space="preserve"> determines should be passed through to </w:t>
            </w:r>
            <w:r w:rsidRPr="00163BEF">
              <w:rPr>
                <w:lang w:val="en-AU"/>
              </w:rPr>
              <w:t>network users</w:t>
            </w:r>
            <w:r w:rsidRPr="00163BEF">
              <w:t xml:space="preserve"> </w:t>
            </w:r>
            <w:r w:rsidR="00F934A5">
              <w:t xml:space="preserve">under clause 3.1.3(a)(ii) </w:t>
            </w:r>
            <w:r w:rsidRPr="00163BEF">
              <w:t xml:space="preserve">in the </w:t>
            </w:r>
            <w:r w:rsidRPr="00163BEF">
              <w:rPr>
                <w:lang w:val="en-AU"/>
              </w:rPr>
              <w:t>2014 Network Price Determination</w:t>
            </w:r>
            <w:r w:rsidRPr="00163BEF">
              <w:t>; or</w:t>
            </w:r>
          </w:p>
          <w:p w14:paraId="0761D2DC" w14:textId="506C9ABF" w:rsidR="00F1197B" w:rsidRPr="00163BEF" w:rsidRDefault="00F1197B" w:rsidP="00243FBE">
            <w:pPr>
              <w:pStyle w:val="UtilComBulletText"/>
              <w:numPr>
                <w:ilvl w:val="0"/>
                <w:numId w:val="32"/>
              </w:numPr>
              <w:tabs>
                <w:tab w:val="clear" w:pos="1134"/>
              </w:tabs>
              <w:ind w:left="601" w:hanging="425"/>
            </w:pPr>
            <w:r w:rsidRPr="00163BEF">
              <w:t xml:space="preserve">the amount the </w:t>
            </w:r>
            <w:r w:rsidRPr="00163BEF">
              <w:rPr>
                <w:lang w:val="en-AU"/>
              </w:rPr>
              <w:t>Commission</w:t>
            </w:r>
            <w:r w:rsidRPr="00163BEF">
              <w:t xml:space="preserve"> is taken to have determined under</w:t>
            </w:r>
            <w:r w:rsidR="00F934A5">
              <w:t xml:space="preserve"> clause 3.1.3(d)(i) of</w:t>
            </w:r>
            <w:r w:rsidRPr="00163BEF">
              <w:t xml:space="preserve"> the </w:t>
            </w:r>
            <w:r w:rsidRPr="00163BEF">
              <w:rPr>
                <w:lang w:val="en-AU"/>
              </w:rPr>
              <w:t>2014 Network Price Determination</w:t>
            </w:r>
            <w:r w:rsidRPr="00163BEF">
              <w:t xml:space="preserve">, </w:t>
            </w:r>
          </w:p>
          <w:p w14:paraId="440CD427" w14:textId="4EE2F9BE" w:rsidR="00DA17C6" w:rsidRPr="00163BEF" w:rsidRDefault="00F1197B" w:rsidP="00F1197B">
            <w:pPr>
              <w:rPr>
                <w:lang w:val="en-AU"/>
              </w:rPr>
            </w:pPr>
            <w:r w:rsidRPr="00163BEF">
              <w:rPr>
                <w:lang w:val="en-AU"/>
              </w:rPr>
              <w:t>as the case may be.</w:t>
            </w:r>
          </w:p>
        </w:tc>
      </w:tr>
      <w:tr w:rsidR="00F1197B" w:rsidRPr="00163BEF" w14:paraId="3B978063" w14:textId="77777777" w:rsidTr="006E364D">
        <w:trPr>
          <w:cantSplit/>
          <w:trHeight w:val="360"/>
        </w:trPr>
        <w:tc>
          <w:tcPr>
            <w:tcW w:w="2268" w:type="dxa"/>
          </w:tcPr>
          <w:p w14:paraId="207D7C37" w14:textId="51C3A509" w:rsidR="00F1197B" w:rsidRPr="00163BEF" w:rsidRDefault="00F1197B" w:rsidP="004F506A">
            <w:pPr>
              <w:rPr>
                <w:lang w:val="en-AU"/>
              </w:rPr>
            </w:pPr>
            <w:r w:rsidRPr="00163BEF">
              <w:t>Authority</w:t>
            </w:r>
          </w:p>
        </w:tc>
        <w:tc>
          <w:tcPr>
            <w:tcW w:w="6946" w:type="dxa"/>
            <w:tcMar>
              <w:right w:w="567" w:type="dxa"/>
            </w:tcMar>
          </w:tcPr>
          <w:p w14:paraId="0913119E" w14:textId="599F254E" w:rsidR="00F1197B" w:rsidRPr="00163BEF" w:rsidRDefault="00F1197B" w:rsidP="004F506A">
            <w:pPr>
              <w:rPr>
                <w:lang w:val="en-AU"/>
              </w:rPr>
            </w:pPr>
            <w:r w:rsidRPr="00163BEF">
              <w:t>Any government, government department, instrumentality, Minister, agency, statutory authority or other body in which a government has a controlling interest, and includes the Commission and its successors.</w:t>
            </w:r>
          </w:p>
        </w:tc>
      </w:tr>
      <w:tr w:rsidR="00DA4922" w:rsidRPr="00163BEF" w14:paraId="5AA696B9" w14:textId="77777777" w:rsidTr="006E364D">
        <w:trPr>
          <w:cantSplit/>
          <w:trHeight w:val="360"/>
        </w:trPr>
        <w:tc>
          <w:tcPr>
            <w:tcW w:w="2268" w:type="dxa"/>
          </w:tcPr>
          <w:p w14:paraId="0C1D3FAF" w14:textId="68D584CB" w:rsidR="00DA4922" w:rsidRPr="00163BEF" w:rsidRDefault="0023346A" w:rsidP="004F506A">
            <w:pPr>
              <w:rPr>
                <w:lang w:val="en-AU"/>
              </w:rPr>
            </w:pPr>
            <w:r w:rsidRPr="00163BEF">
              <w:rPr>
                <w:lang w:val="en-AU"/>
              </w:rPr>
              <w:t xml:space="preserve">building </w:t>
            </w:r>
            <w:r w:rsidR="00DA4922" w:rsidRPr="00163BEF">
              <w:rPr>
                <w:lang w:val="en-AU"/>
              </w:rPr>
              <w:t>block</w:t>
            </w:r>
          </w:p>
        </w:tc>
        <w:tc>
          <w:tcPr>
            <w:tcW w:w="6946" w:type="dxa"/>
            <w:tcMar>
              <w:right w:w="567" w:type="dxa"/>
            </w:tcMar>
          </w:tcPr>
          <w:p w14:paraId="5920CEB3" w14:textId="5811B48C" w:rsidR="00DA4922" w:rsidRPr="00163BEF" w:rsidRDefault="007F1CB8" w:rsidP="008E229D">
            <w:pPr>
              <w:rPr>
                <w:rFonts w:cs="Arial"/>
                <w:szCs w:val="22"/>
                <w:lang w:val="en-AU"/>
              </w:rPr>
            </w:pPr>
            <w:r w:rsidRPr="00163BEF">
              <w:rPr>
                <w:lang w:val="en-AU"/>
              </w:rPr>
              <w:t>T</w:t>
            </w:r>
            <w:r w:rsidR="00A91F2C" w:rsidRPr="00163BEF">
              <w:rPr>
                <w:lang w:val="en-AU"/>
              </w:rPr>
              <w:t xml:space="preserve">he sum of underlying components or </w:t>
            </w:r>
            <w:r w:rsidR="00BA785E" w:rsidRPr="00163BEF">
              <w:rPr>
                <w:lang w:val="en-AU"/>
              </w:rPr>
              <w:t>’</w:t>
            </w:r>
            <w:r w:rsidR="00A91F2C" w:rsidRPr="00163BEF">
              <w:rPr>
                <w:lang w:val="en-AU"/>
              </w:rPr>
              <w:t>building block</w:t>
            </w:r>
            <w:r w:rsidR="00BA785E" w:rsidRPr="00163BEF">
              <w:rPr>
                <w:lang w:val="en-AU"/>
              </w:rPr>
              <w:t xml:space="preserve">‘ </w:t>
            </w:r>
            <w:r w:rsidR="00A91F2C" w:rsidRPr="00163BEF">
              <w:rPr>
                <w:lang w:val="en-AU"/>
              </w:rPr>
              <w:t>consisting of return on capital, return of capital, operating expenditure, and various other components as a mechanisms for a forward looking review of expected reasonable expenditure</w:t>
            </w:r>
            <w:r w:rsidR="00E45BEB" w:rsidRPr="00163BEF">
              <w:rPr>
                <w:lang w:val="en-AU"/>
              </w:rPr>
              <w:t>.</w:t>
            </w:r>
          </w:p>
        </w:tc>
      </w:tr>
      <w:tr w:rsidR="005B1AF3" w:rsidRPr="00163BEF" w14:paraId="46C92EE0" w14:textId="77777777" w:rsidTr="006E364D">
        <w:trPr>
          <w:cantSplit/>
          <w:trHeight w:val="360"/>
        </w:trPr>
        <w:tc>
          <w:tcPr>
            <w:tcW w:w="2268" w:type="dxa"/>
          </w:tcPr>
          <w:p w14:paraId="461474D4" w14:textId="0EA7B8D7" w:rsidR="005B1AF3" w:rsidRPr="00163BEF" w:rsidRDefault="005B1AF3" w:rsidP="004F506A">
            <w:pPr>
              <w:rPr>
                <w:lang w:val="en-AU"/>
              </w:rPr>
            </w:pPr>
            <w:r>
              <w:rPr>
                <w:lang w:val="en-AU"/>
              </w:rPr>
              <w:t>business day</w:t>
            </w:r>
          </w:p>
        </w:tc>
        <w:tc>
          <w:tcPr>
            <w:tcW w:w="6946" w:type="dxa"/>
            <w:tcMar>
              <w:right w:w="567" w:type="dxa"/>
            </w:tcMar>
          </w:tcPr>
          <w:p w14:paraId="19D2CB2D" w14:textId="14275896" w:rsidR="005B1AF3" w:rsidRPr="00163BEF" w:rsidDel="006957AB" w:rsidRDefault="005B1AF3" w:rsidP="00BB4311">
            <w:pPr>
              <w:rPr>
                <w:rFonts w:cs="Arial"/>
                <w:szCs w:val="22"/>
                <w:lang w:val="en-AU"/>
              </w:rPr>
            </w:pPr>
            <w:r>
              <w:rPr>
                <w:lang w:val="en-AU"/>
              </w:rPr>
              <w:t>A day that is not a Saturday or Sunday or observed as a public holiday in the Territory</w:t>
            </w:r>
            <w:r w:rsidR="006A5F67">
              <w:rPr>
                <w:lang w:val="en-AU"/>
              </w:rPr>
              <w:t>.</w:t>
            </w:r>
          </w:p>
        </w:tc>
      </w:tr>
      <w:tr w:rsidR="00BD1077" w:rsidRPr="00163BEF" w14:paraId="60A43FAB" w14:textId="77777777" w:rsidTr="006E364D">
        <w:trPr>
          <w:cantSplit/>
          <w:trHeight w:val="360"/>
        </w:trPr>
        <w:tc>
          <w:tcPr>
            <w:tcW w:w="2268" w:type="dxa"/>
          </w:tcPr>
          <w:p w14:paraId="43F10E0D" w14:textId="3D6BCD55" w:rsidR="00BD1077" w:rsidRPr="00163BEF" w:rsidDel="007F1CB8" w:rsidRDefault="00BD1077" w:rsidP="004F506A">
            <w:pPr>
              <w:rPr>
                <w:lang w:val="en-AU"/>
              </w:rPr>
            </w:pPr>
            <w:r w:rsidRPr="00163BEF">
              <w:rPr>
                <w:lang w:val="en-AU"/>
              </w:rPr>
              <w:t>CAM</w:t>
            </w:r>
            <w:r w:rsidR="006957AB">
              <w:rPr>
                <w:lang w:val="en-AU"/>
              </w:rPr>
              <w:t xml:space="preserve"> or cost allocation methodology</w:t>
            </w:r>
          </w:p>
        </w:tc>
        <w:tc>
          <w:tcPr>
            <w:tcW w:w="6946" w:type="dxa"/>
            <w:tcMar>
              <w:right w:w="567" w:type="dxa"/>
            </w:tcMar>
          </w:tcPr>
          <w:p w14:paraId="11B4D035" w14:textId="7CA8DB42" w:rsidR="00BD1077" w:rsidRPr="00163BEF" w:rsidRDefault="006957AB" w:rsidP="007F1CB8">
            <w:pPr>
              <w:rPr>
                <w:lang w:val="en-AU"/>
              </w:rPr>
            </w:pPr>
            <w:r>
              <w:rPr>
                <w:lang w:val="en-AU"/>
              </w:rPr>
              <w:t>T</w:t>
            </w:r>
            <w:r w:rsidR="00E45BEB" w:rsidRPr="00163BEF">
              <w:rPr>
                <w:lang w:val="en-AU"/>
              </w:rPr>
              <w:t>he documented processes and procedures by which costs are allocated across lines of business, service classes and customer classes.</w:t>
            </w:r>
          </w:p>
        </w:tc>
      </w:tr>
      <w:tr w:rsidR="00486243" w:rsidRPr="00163BEF" w14:paraId="1E3B18DC" w14:textId="77777777" w:rsidTr="006E364D">
        <w:trPr>
          <w:cantSplit/>
          <w:trHeight w:val="360"/>
        </w:trPr>
        <w:tc>
          <w:tcPr>
            <w:tcW w:w="2268" w:type="dxa"/>
          </w:tcPr>
          <w:p w14:paraId="182B68BA" w14:textId="3A4835ED" w:rsidR="00486243" w:rsidRPr="00163BEF" w:rsidRDefault="00E45BEB" w:rsidP="004F506A">
            <w:pPr>
              <w:rPr>
                <w:lang w:val="en-AU"/>
              </w:rPr>
            </w:pPr>
            <w:r w:rsidRPr="00163BEF">
              <w:rPr>
                <w:lang w:val="en-AU"/>
              </w:rPr>
              <w:t>capex or capital expenditure</w:t>
            </w:r>
          </w:p>
        </w:tc>
        <w:tc>
          <w:tcPr>
            <w:tcW w:w="6946" w:type="dxa"/>
            <w:tcMar>
              <w:right w:w="567" w:type="dxa"/>
            </w:tcMar>
          </w:tcPr>
          <w:p w14:paraId="545D66BC" w14:textId="5110BB77" w:rsidR="00486243" w:rsidRPr="00163BEF" w:rsidRDefault="00152EC5" w:rsidP="007B0DFB">
            <w:pPr>
              <w:rPr>
                <w:lang w:val="en-AU"/>
              </w:rPr>
            </w:pPr>
            <w:r w:rsidRPr="00163BEF">
              <w:rPr>
                <w:lang w:val="en-AU"/>
              </w:rPr>
              <w:t xml:space="preserve">Expenditure on large cost items that are capitalised in </w:t>
            </w:r>
            <w:r w:rsidR="00E45BEB" w:rsidRPr="00163BEF">
              <w:rPr>
                <w:lang w:val="en-AU"/>
              </w:rPr>
              <w:t xml:space="preserve">PWC Networks’ </w:t>
            </w:r>
            <w:r w:rsidRPr="00163BEF">
              <w:rPr>
                <w:lang w:val="en-AU"/>
              </w:rPr>
              <w:t>accounts and for which PWC</w:t>
            </w:r>
            <w:r w:rsidR="00E45BEB" w:rsidRPr="00163BEF">
              <w:rPr>
                <w:lang w:val="en-AU"/>
              </w:rPr>
              <w:t> Networks</w:t>
            </w:r>
            <w:r w:rsidRPr="00163BEF">
              <w:rPr>
                <w:lang w:val="en-AU"/>
              </w:rPr>
              <w:t xml:space="preserve"> may expect to earn a rate of return on investment and of investment (</w:t>
            </w:r>
            <w:r w:rsidR="007F1CB8" w:rsidRPr="00163BEF">
              <w:rPr>
                <w:lang w:val="en-AU"/>
              </w:rPr>
              <w:t>depreciation</w:t>
            </w:r>
            <w:r w:rsidRPr="00163BEF">
              <w:rPr>
                <w:lang w:val="en-AU"/>
              </w:rPr>
              <w:t xml:space="preserve">). For example, capex may include expenditure on items such as plant and equipment, poles </w:t>
            </w:r>
            <w:r w:rsidR="00520A74" w:rsidRPr="00163BEF">
              <w:rPr>
                <w:lang w:val="en-AU"/>
              </w:rPr>
              <w:t>and</w:t>
            </w:r>
            <w:r w:rsidRPr="00163BEF">
              <w:rPr>
                <w:lang w:val="en-AU"/>
              </w:rPr>
              <w:t xml:space="preserve"> wires, vehicles and facilities</w:t>
            </w:r>
            <w:r w:rsidR="0093351A" w:rsidRPr="00163BEF">
              <w:rPr>
                <w:lang w:val="en-AU"/>
              </w:rPr>
              <w:t>.</w:t>
            </w:r>
            <w:r w:rsidRPr="00163BEF">
              <w:rPr>
                <w:lang w:val="en-AU"/>
              </w:rPr>
              <w:t xml:space="preserve">  </w:t>
            </w:r>
          </w:p>
        </w:tc>
      </w:tr>
      <w:tr w:rsidR="00E45BEB" w:rsidRPr="00163BEF" w14:paraId="4DB7DFEE" w14:textId="77777777" w:rsidTr="006E364D">
        <w:trPr>
          <w:cantSplit/>
          <w:trHeight w:val="360"/>
        </w:trPr>
        <w:tc>
          <w:tcPr>
            <w:tcW w:w="2268" w:type="dxa"/>
          </w:tcPr>
          <w:p w14:paraId="5898B296" w14:textId="05021041" w:rsidR="00E45BEB" w:rsidRPr="00163BEF" w:rsidRDefault="00A31DA6" w:rsidP="004F506A">
            <w:pPr>
              <w:rPr>
                <w:lang w:val="en-AU"/>
              </w:rPr>
            </w:pPr>
            <w:r w:rsidRPr="00163BEF">
              <w:rPr>
                <w:lang w:val="en-AU"/>
              </w:rPr>
              <w:t>capital expenditure criteria</w:t>
            </w:r>
          </w:p>
        </w:tc>
        <w:tc>
          <w:tcPr>
            <w:tcW w:w="6946" w:type="dxa"/>
            <w:tcMar>
              <w:right w:w="567" w:type="dxa"/>
            </w:tcMar>
          </w:tcPr>
          <w:p w14:paraId="655096D0" w14:textId="77777777" w:rsidR="00A31DA6" w:rsidRPr="00163BEF" w:rsidRDefault="00A31DA6" w:rsidP="00A31DA6">
            <w:pPr>
              <w:rPr>
                <w:lang w:val="en-AU"/>
              </w:rPr>
            </w:pPr>
            <w:r w:rsidRPr="00163BEF">
              <w:rPr>
                <w:lang w:val="en-AU"/>
              </w:rPr>
              <w:t>The capital expenditure criteria are as follows:</w:t>
            </w:r>
          </w:p>
          <w:p w14:paraId="5FB69ADA" w14:textId="244B7DA7" w:rsidR="00A31DA6" w:rsidRPr="00163BEF" w:rsidRDefault="00A31DA6" w:rsidP="00243FBE">
            <w:pPr>
              <w:pStyle w:val="UtilComBulletText"/>
              <w:numPr>
                <w:ilvl w:val="0"/>
                <w:numId w:val="33"/>
              </w:numPr>
              <w:tabs>
                <w:tab w:val="clear" w:pos="1106"/>
                <w:tab w:val="clear" w:pos="1134"/>
                <w:tab w:val="num" w:pos="459"/>
              </w:tabs>
              <w:ind w:left="459" w:hanging="425"/>
            </w:pPr>
            <w:r w:rsidRPr="00163BEF">
              <w:t>the efficient costs of achieving the capital expenditure objectives;</w:t>
            </w:r>
          </w:p>
          <w:p w14:paraId="7B5F8F9C" w14:textId="7F202AC8" w:rsidR="00A31DA6" w:rsidRPr="00163BEF" w:rsidRDefault="00A31DA6" w:rsidP="00243FBE">
            <w:pPr>
              <w:pStyle w:val="UtilComBulletText"/>
              <w:numPr>
                <w:ilvl w:val="0"/>
                <w:numId w:val="33"/>
              </w:numPr>
              <w:tabs>
                <w:tab w:val="clear" w:pos="1106"/>
                <w:tab w:val="clear" w:pos="1134"/>
                <w:tab w:val="num" w:pos="459"/>
              </w:tabs>
              <w:ind w:left="459" w:hanging="425"/>
            </w:pPr>
            <w:r w:rsidRPr="00163BEF">
              <w:t>the costs that a prudent operator would require to achieve the capital expenditure objectives; and</w:t>
            </w:r>
          </w:p>
          <w:p w14:paraId="7507F7BC" w14:textId="101646ED" w:rsidR="00E45BEB" w:rsidRPr="00163BEF" w:rsidRDefault="00A31DA6" w:rsidP="00243FBE">
            <w:pPr>
              <w:pStyle w:val="UtilComBulletText"/>
              <w:numPr>
                <w:ilvl w:val="0"/>
                <w:numId w:val="33"/>
              </w:numPr>
              <w:tabs>
                <w:tab w:val="clear" w:pos="1106"/>
                <w:tab w:val="clear" w:pos="1134"/>
                <w:tab w:val="num" w:pos="459"/>
              </w:tabs>
              <w:ind w:left="459" w:hanging="425"/>
              <w:rPr>
                <w:lang w:val="en-AU"/>
              </w:rPr>
            </w:pPr>
            <w:r w:rsidRPr="00163BEF">
              <w:t>a realistic expectation of the demand forecast and cost inputs required to achieve the capital expenditure objectives.</w:t>
            </w:r>
          </w:p>
        </w:tc>
      </w:tr>
      <w:tr w:rsidR="00E45BEB" w:rsidRPr="00163BEF" w14:paraId="2E28103C" w14:textId="77777777" w:rsidTr="006E364D">
        <w:trPr>
          <w:cantSplit/>
          <w:trHeight w:val="360"/>
        </w:trPr>
        <w:tc>
          <w:tcPr>
            <w:tcW w:w="2268" w:type="dxa"/>
          </w:tcPr>
          <w:p w14:paraId="61945EF7" w14:textId="59D5A5EA" w:rsidR="00E45BEB" w:rsidRPr="00163BEF" w:rsidRDefault="00A31DA6" w:rsidP="004F506A">
            <w:pPr>
              <w:rPr>
                <w:lang w:val="en-AU"/>
              </w:rPr>
            </w:pPr>
            <w:r w:rsidRPr="00163BEF">
              <w:rPr>
                <w:lang w:val="en-AU"/>
              </w:rPr>
              <w:t>capital expenditure factors</w:t>
            </w:r>
          </w:p>
        </w:tc>
        <w:tc>
          <w:tcPr>
            <w:tcW w:w="6946" w:type="dxa"/>
            <w:tcMar>
              <w:right w:w="567" w:type="dxa"/>
            </w:tcMar>
          </w:tcPr>
          <w:p w14:paraId="62B2572F" w14:textId="77777777" w:rsidR="00D57556" w:rsidRPr="00D57556" w:rsidRDefault="00D57556" w:rsidP="00D57556">
            <w:pPr>
              <w:pStyle w:val="UtilComBulletText"/>
              <w:numPr>
                <w:ilvl w:val="0"/>
                <w:numId w:val="0"/>
              </w:numPr>
              <w:tabs>
                <w:tab w:val="clear" w:pos="1134"/>
              </w:tabs>
              <w:ind w:left="34"/>
            </w:pPr>
            <w:r w:rsidRPr="00D57556">
              <w:t>The capital expenditure factors are as follows:</w:t>
            </w:r>
          </w:p>
          <w:p w14:paraId="6EC78C46" w14:textId="3234D3E5" w:rsidR="00D57556" w:rsidRPr="00D57556" w:rsidRDefault="00D57556" w:rsidP="00D57556">
            <w:pPr>
              <w:pStyle w:val="UtilComBulletText"/>
              <w:numPr>
                <w:ilvl w:val="0"/>
                <w:numId w:val="53"/>
              </w:numPr>
              <w:tabs>
                <w:tab w:val="clear" w:pos="1106"/>
                <w:tab w:val="clear" w:pos="1134"/>
                <w:tab w:val="num" w:pos="459"/>
              </w:tabs>
              <w:ind w:left="459" w:hanging="459"/>
            </w:pPr>
            <w:r w:rsidRPr="00D57556">
              <w:t>the most recent annual benchmarking report that has been published by the AER (or any equivalent benchmarking report that has been prepared by or for the Commission) and the benchmark capital expenditure that would be incurred by an efficient network service provider over the 2014-19 regulatory control period;</w:t>
            </w:r>
          </w:p>
          <w:p w14:paraId="785D5056" w14:textId="0EE8F7B4" w:rsidR="00D57556" w:rsidRPr="00D57556" w:rsidRDefault="00D57556" w:rsidP="00D57556">
            <w:pPr>
              <w:pStyle w:val="UtilComBulletText"/>
              <w:numPr>
                <w:ilvl w:val="0"/>
                <w:numId w:val="53"/>
              </w:numPr>
              <w:tabs>
                <w:tab w:val="clear" w:pos="1106"/>
                <w:tab w:val="clear" w:pos="1134"/>
                <w:tab w:val="num" w:pos="459"/>
              </w:tabs>
              <w:ind w:left="459" w:hanging="425"/>
            </w:pPr>
            <w:r w:rsidRPr="00D57556">
              <w:t>the actual and expected capital expenditure of PWC Networks during any preceding regulatory control period;</w:t>
            </w:r>
          </w:p>
          <w:p w14:paraId="2EDFFDA3" w14:textId="6F20DB84" w:rsidR="00D57556" w:rsidRPr="00D57556" w:rsidRDefault="00D57556" w:rsidP="00D57556">
            <w:pPr>
              <w:pStyle w:val="UtilComBulletText"/>
              <w:numPr>
                <w:ilvl w:val="0"/>
                <w:numId w:val="53"/>
              </w:numPr>
              <w:tabs>
                <w:tab w:val="clear" w:pos="1106"/>
                <w:tab w:val="clear" w:pos="1134"/>
                <w:tab w:val="num" w:pos="459"/>
              </w:tabs>
              <w:ind w:left="459" w:hanging="425"/>
            </w:pPr>
            <w:r w:rsidRPr="00D57556">
              <w:t>the extent to which the capital expenditure forecast includes expenditure to address the concerns of electricity retail customers as identified by PWC Networks in the course of its engagement with electricity retail customers;</w:t>
            </w:r>
          </w:p>
          <w:p w14:paraId="62121C92" w14:textId="3DFDE6DB" w:rsidR="00D57556" w:rsidRPr="00D57556" w:rsidRDefault="00D57556" w:rsidP="00D57556">
            <w:pPr>
              <w:pStyle w:val="UtilComBulletText"/>
              <w:numPr>
                <w:ilvl w:val="0"/>
                <w:numId w:val="53"/>
              </w:numPr>
              <w:tabs>
                <w:tab w:val="clear" w:pos="1106"/>
                <w:tab w:val="clear" w:pos="1134"/>
                <w:tab w:val="num" w:pos="459"/>
              </w:tabs>
              <w:ind w:left="459" w:hanging="425"/>
            </w:pPr>
            <w:r>
              <w:t>t</w:t>
            </w:r>
            <w:r w:rsidRPr="00D57556">
              <w:t>he relative prices of operating and capital inputs;</w:t>
            </w:r>
          </w:p>
          <w:p w14:paraId="6BDEFC61" w14:textId="47D0FC4C" w:rsidR="00D57556" w:rsidRPr="00D57556" w:rsidRDefault="00D57556" w:rsidP="00D57556">
            <w:pPr>
              <w:pStyle w:val="UtilComBulletText"/>
              <w:numPr>
                <w:ilvl w:val="0"/>
                <w:numId w:val="53"/>
              </w:numPr>
              <w:tabs>
                <w:tab w:val="clear" w:pos="1106"/>
                <w:tab w:val="clear" w:pos="1134"/>
                <w:tab w:val="num" w:pos="459"/>
              </w:tabs>
              <w:ind w:left="459" w:hanging="425"/>
            </w:pPr>
            <w:r w:rsidRPr="00D57556">
              <w:t>the substitution possibilities between operating and capital expenditure;</w:t>
            </w:r>
          </w:p>
          <w:p w14:paraId="6485124B" w14:textId="489036AE" w:rsidR="00D57556" w:rsidRPr="00D57556" w:rsidRDefault="00D57556" w:rsidP="00D57556">
            <w:pPr>
              <w:pStyle w:val="UtilComBulletText"/>
              <w:numPr>
                <w:ilvl w:val="0"/>
                <w:numId w:val="53"/>
              </w:numPr>
              <w:tabs>
                <w:tab w:val="clear" w:pos="1106"/>
                <w:tab w:val="clear" w:pos="1134"/>
                <w:tab w:val="num" w:pos="459"/>
              </w:tabs>
              <w:ind w:left="459" w:hanging="425"/>
            </w:pPr>
            <w:r w:rsidRPr="00D57556">
              <w:t>whether the capital expenditure forecast is consistent with any incentive scheme or schemes that apply to PWC Networks under the 2014 Network Price Determination;</w:t>
            </w:r>
          </w:p>
          <w:p w14:paraId="601BA73A" w14:textId="1CE91B36" w:rsidR="00D57556" w:rsidRPr="00D57556" w:rsidRDefault="00D57556" w:rsidP="00D57556">
            <w:pPr>
              <w:pStyle w:val="UtilComBulletText"/>
              <w:numPr>
                <w:ilvl w:val="0"/>
                <w:numId w:val="53"/>
              </w:numPr>
              <w:tabs>
                <w:tab w:val="clear" w:pos="1106"/>
                <w:tab w:val="clear" w:pos="1134"/>
                <w:tab w:val="num" w:pos="459"/>
              </w:tabs>
              <w:ind w:left="459" w:hanging="425"/>
            </w:pPr>
            <w:r w:rsidRPr="00D57556">
              <w:t>the extent the capital expenditure forecast is referable to arrangements with a person other than PWC Networks that, in the opinion of the Commission, do not reflect arm's length terms;</w:t>
            </w:r>
          </w:p>
          <w:p w14:paraId="1FEB5010" w14:textId="1D4F7732" w:rsidR="00D57556" w:rsidRPr="00D57556" w:rsidRDefault="00D57556" w:rsidP="00D57556">
            <w:pPr>
              <w:pStyle w:val="UtilComBulletText"/>
              <w:numPr>
                <w:ilvl w:val="0"/>
                <w:numId w:val="53"/>
              </w:numPr>
              <w:tabs>
                <w:tab w:val="clear" w:pos="1106"/>
                <w:tab w:val="clear" w:pos="1134"/>
                <w:tab w:val="num" w:pos="459"/>
              </w:tabs>
              <w:ind w:left="459" w:hanging="425"/>
            </w:pPr>
            <w:r w:rsidRPr="00D57556">
              <w:t>whether the capital expenditure forecast includes an amount relating to a project that should more appropriately be included as a contingent project under clause 2.5 and Chapter 3 of the 2014 Network Price Determination;</w:t>
            </w:r>
          </w:p>
          <w:p w14:paraId="216B302F" w14:textId="47557DD7" w:rsidR="00D57556" w:rsidRPr="00D57556" w:rsidRDefault="00D57556" w:rsidP="00D57556">
            <w:pPr>
              <w:pStyle w:val="UtilComBulletText"/>
              <w:numPr>
                <w:ilvl w:val="0"/>
                <w:numId w:val="53"/>
              </w:numPr>
              <w:tabs>
                <w:tab w:val="clear" w:pos="1106"/>
                <w:tab w:val="clear" w:pos="1134"/>
                <w:tab w:val="num" w:pos="459"/>
              </w:tabs>
              <w:ind w:left="459" w:hanging="425"/>
            </w:pPr>
            <w:r w:rsidRPr="00D57556">
              <w:t>the extent to which PWC Networks has considered, and made provision for, efficient and prudent non-network alternatives;</w:t>
            </w:r>
          </w:p>
          <w:p w14:paraId="282441A9" w14:textId="451A84AB" w:rsidR="00D57556" w:rsidRPr="00D57556" w:rsidRDefault="00D57556" w:rsidP="00D57556">
            <w:pPr>
              <w:pStyle w:val="UtilComBulletText"/>
              <w:numPr>
                <w:ilvl w:val="0"/>
                <w:numId w:val="53"/>
              </w:numPr>
              <w:tabs>
                <w:tab w:val="clear" w:pos="1106"/>
                <w:tab w:val="clear" w:pos="1134"/>
                <w:tab w:val="num" w:pos="459"/>
              </w:tabs>
              <w:ind w:left="459" w:hanging="425"/>
            </w:pPr>
            <w:r w:rsidRPr="00D57556">
              <w:t>any relevant final project assessment report relating to a regulatory investment test for distribution project published by PWC Networks; and</w:t>
            </w:r>
          </w:p>
          <w:p w14:paraId="140C1255" w14:textId="58A83DF5" w:rsidR="00E45BEB" w:rsidRPr="00163BEF" w:rsidRDefault="00D57556" w:rsidP="00D57556">
            <w:pPr>
              <w:pStyle w:val="UtilComBulletText"/>
              <w:numPr>
                <w:ilvl w:val="0"/>
                <w:numId w:val="53"/>
              </w:numPr>
              <w:tabs>
                <w:tab w:val="clear" w:pos="1106"/>
                <w:tab w:val="clear" w:pos="1134"/>
                <w:tab w:val="num" w:pos="459"/>
              </w:tabs>
              <w:ind w:left="459" w:hanging="425"/>
              <w:rPr>
                <w:lang w:val="en-AU"/>
              </w:rPr>
            </w:pPr>
            <w:r w:rsidRPr="00D57556">
              <w:t>any other factor the Commission considers relevant and which the Commission has notified to PWC Networks in writing, prior to the submission of its revised regulatory proposal, is a capital expenditure factor.</w:t>
            </w:r>
          </w:p>
        </w:tc>
      </w:tr>
      <w:tr w:rsidR="00E45BEB" w:rsidRPr="00163BEF" w14:paraId="6266F9F4" w14:textId="77777777" w:rsidTr="006E364D">
        <w:trPr>
          <w:cantSplit/>
          <w:trHeight w:val="360"/>
        </w:trPr>
        <w:tc>
          <w:tcPr>
            <w:tcW w:w="2268" w:type="dxa"/>
          </w:tcPr>
          <w:p w14:paraId="0CBBE2BD" w14:textId="787ED2E1" w:rsidR="00E45BEB" w:rsidRPr="00163BEF" w:rsidRDefault="00A31DA6" w:rsidP="00A31DA6">
            <w:pPr>
              <w:rPr>
                <w:lang w:val="en-AU"/>
              </w:rPr>
            </w:pPr>
            <w:r w:rsidRPr="00163BEF">
              <w:rPr>
                <w:lang w:val="en-AU"/>
              </w:rPr>
              <w:t>capital expenditure objectives</w:t>
            </w:r>
          </w:p>
        </w:tc>
        <w:tc>
          <w:tcPr>
            <w:tcW w:w="6946" w:type="dxa"/>
            <w:tcMar>
              <w:right w:w="567" w:type="dxa"/>
            </w:tcMar>
          </w:tcPr>
          <w:p w14:paraId="42322A40" w14:textId="77777777" w:rsidR="00A31DA6" w:rsidRPr="00163BEF" w:rsidRDefault="00A31DA6" w:rsidP="00A31DA6">
            <w:pPr>
              <w:rPr>
                <w:lang w:val="en-AU"/>
              </w:rPr>
            </w:pPr>
            <w:r w:rsidRPr="00163BEF">
              <w:rPr>
                <w:lang w:val="en-AU"/>
              </w:rPr>
              <w:t>The capital expenditure objectives are as follows:</w:t>
            </w:r>
          </w:p>
          <w:p w14:paraId="198BBD48" w14:textId="435B56A7" w:rsidR="00A31DA6" w:rsidRPr="00163BEF" w:rsidRDefault="00A31DA6" w:rsidP="00243FBE">
            <w:pPr>
              <w:pStyle w:val="UtilComBulletText"/>
              <w:numPr>
                <w:ilvl w:val="0"/>
                <w:numId w:val="34"/>
              </w:numPr>
              <w:tabs>
                <w:tab w:val="clear" w:pos="1106"/>
                <w:tab w:val="clear" w:pos="1134"/>
                <w:tab w:val="num" w:pos="459"/>
              </w:tabs>
              <w:ind w:left="459" w:hanging="459"/>
            </w:pPr>
            <w:r w:rsidRPr="00163BEF">
              <w:t>meet or manage the expected demand for regulated network access services over the regulatory control period;</w:t>
            </w:r>
          </w:p>
          <w:p w14:paraId="20E93971" w14:textId="22182D58" w:rsidR="00A31DA6" w:rsidRPr="00163BEF" w:rsidRDefault="00A31DA6" w:rsidP="00243FBE">
            <w:pPr>
              <w:pStyle w:val="UtilComBulletText"/>
              <w:numPr>
                <w:ilvl w:val="0"/>
                <w:numId w:val="34"/>
              </w:numPr>
              <w:tabs>
                <w:tab w:val="clear" w:pos="1106"/>
                <w:tab w:val="clear" w:pos="1134"/>
                <w:tab w:val="num" w:pos="459"/>
              </w:tabs>
              <w:ind w:left="459" w:hanging="459"/>
            </w:pPr>
            <w:r w:rsidRPr="00163BEF">
              <w:t>comply with all applicable regulatory obligations or requirements associated with the provision of regulated network access services;</w:t>
            </w:r>
          </w:p>
          <w:p w14:paraId="2E4D6610" w14:textId="1490594B" w:rsidR="00A31DA6" w:rsidRPr="00163BEF" w:rsidRDefault="00A31DA6" w:rsidP="00243FBE">
            <w:pPr>
              <w:pStyle w:val="UtilComBulletText"/>
              <w:numPr>
                <w:ilvl w:val="0"/>
                <w:numId w:val="34"/>
              </w:numPr>
              <w:tabs>
                <w:tab w:val="clear" w:pos="1106"/>
                <w:tab w:val="clear" w:pos="1134"/>
                <w:tab w:val="num" w:pos="459"/>
              </w:tabs>
              <w:ind w:left="459" w:hanging="459"/>
            </w:pPr>
            <w:r w:rsidRPr="00163BEF">
              <w:t>to the extent that there is no applicable regulatory obligation or requirement in relation to:</w:t>
            </w:r>
          </w:p>
          <w:p w14:paraId="6A514EA0" w14:textId="77777777" w:rsidR="00A31DA6" w:rsidRPr="00163BEF" w:rsidRDefault="00A31DA6" w:rsidP="008E229D">
            <w:pPr>
              <w:pStyle w:val="UtilComBulletText"/>
              <w:numPr>
                <w:ilvl w:val="0"/>
                <w:numId w:val="0"/>
              </w:numPr>
              <w:tabs>
                <w:tab w:val="clear" w:pos="1134"/>
                <w:tab w:val="num" w:pos="459"/>
              </w:tabs>
              <w:ind w:left="885" w:hanging="426"/>
            </w:pPr>
            <w:r w:rsidRPr="00163BEF">
              <w:t>(i)</w:t>
            </w:r>
            <w:r w:rsidRPr="00163BEF">
              <w:tab/>
              <w:t>the quality, reliability or security of supply of regulated network access services; or</w:t>
            </w:r>
          </w:p>
          <w:p w14:paraId="4C422FA8" w14:textId="77777777" w:rsidR="00A31DA6" w:rsidRPr="00163BEF" w:rsidRDefault="00A31DA6" w:rsidP="008E229D">
            <w:pPr>
              <w:pStyle w:val="UtilComBulletText"/>
              <w:numPr>
                <w:ilvl w:val="0"/>
                <w:numId w:val="0"/>
              </w:numPr>
              <w:tabs>
                <w:tab w:val="clear" w:pos="1134"/>
                <w:tab w:val="num" w:pos="459"/>
              </w:tabs>
              <w:ind w:left="885" w:hanging="426"/>
            </w:pPr>
            <w:r w:rsidRPr="00163BEF">
              <w:t>(ii)</w:t>
            </w:r>
            <w:r w:rsidRPr="00163BEF">
              <w:tab/>
              <w:t>the reliability or security of the electricity network through the supply of regulated network access services,</w:t>
            </w:r>
          </w:p>
          <w:p w14:paraId="222B3093" w14:textId="77777777" w:rsidR="00A31DA6" w:rsidRPr="00163BEF" w:rsidRDefault="00A31DA6" w:rsidP="00045AA3">
            <w:pPr>
              <w:pStyle w:val="UtilComBulletText"/>
              <w:numPr>
                <w:ilvl w:val="0"/>
                <w:numId w:val="0"/>
              </w:numPr>
              <w:tabs>
                <w:tab w:val="clear" w:pos="1134"/>
                <w:tab w:val="num" w:pos="459"/>
              </w:tabs>
              <w:ind w:left="885" w:hanging="426"/>
            </w:pPr>
            <w:r w:rsidRPr="00163BEF">
              <w:t>to the relevant extent:</w:t>
            </w:r>
          </w:p>
          <w:p w14:paraId="6DF34A7F" w14:textId="77777777" w:rsidR="00A31DA6" w:rsidRPr="00163BEF" w:rsidRDefault="00A31DA6" w:rsidP="00045AA3">
            <w:pPr>
              <w:pStyle w:val="UtilComBulletText"/>
              <w:numPr>
                <w:ilvl w:val="0"/>
                <w:numId w:val="0"/>
              </w:numPr>
              <w:tabs>
                <w:tab w:val="clear" w:pos="1134"/>
                <w:tab w:val="num" w:pos="459"/>
              </w:tabs>
              <w:ind w:left="885" w:hanging="426"/>
            </w:pPr>
            <w:r w:rsidRPr="00163BEF">
              <w:t>(iii)</w:t>
            </w:r>
            <w:r w:rsidRPr="00163BEF">
              <w:tab/>
              <w:t>maintain the quality, reliability and security of supply of regulated network access services; and</w:t>
            </w:r>
          </w:p>
          <w:p w14:paraId="297DD4D6" w14:textId="77777777" w:rsidR="00A31DA6" w:rsidRPr="00163BEF" w:rsidRDefault="00A31DA6" w:rsidP="00045AA3">
            <w:pPr>
              <w:pStyle w:val="UtilComBulletText"/>
              <w:numPr>
                <w:ilvl w:val="0"/>
                <w:numId w:val="0"/>
              </w:numPr>
              <w:tabs>
                <w:tab w:val="clear" w:pos="1134"/>
                <w:tab w:val="num" w:pos="459"/>
              </w:tabs>
              <w:ind w:left="885" w:hanging="426"/>
            </w:pPr>
            <w:r w:rsidRPr="00163BEF">
              <w:t>(iv)</w:t>
            </w:r>
            <w:r w:rsidRPr="00163BEF">
              <w:tab/>
              <w:t>maintain the reliability and security of the electricity network through the supply of regulated network access services; and</w:t>
            </w:r>
          </w:p>
          <w:p w14:paraId="1EF61A98" w14:textId="00BE614D" w:rsidR="00E45BEB" w:rsidRPr="00163BEF" w:rsidRDefault="00A31DA6" w:rsidP="00243FBE">
            <w:pPr>
              <w:pStyle w:val="UtilComBulletText"/>
              <w:numPr>
                <w:ilvl w:val="0"/>
                <w:numId w:val="34"/>
              </w:numPr>
              <w:tabs>
                <w:tab w:val="clear" w:pos="1106"/>
                <w:tab w:val="clear" w:pos="1134"/>
                <w:tab w:val="num" w:pos="459"/>
              </w:tabs>
              <w:ind w:left="459" w:hanging="459"/>
              <w:rPr>
                <w:lang w:val="en-AU"/>
              </w:rPr>
            </w:pPr>
            <w:r w:rsidRPr="00163BEF">
              <w:t>maintain the safety of the electricity network through the supply of regulated network access services.</w:t>
            </w:r>
          </w:p>
        </w:tc>
      </w:tr>
      <w:tr w:rsidR="00E45BEB" w:rsidRPr="00163BEF" w14:paraId="23DE830C" w14:textId="77777777" w:rsidTr="006E364D">
        <w:trPr>
          <w:cantSplit/>
          <w:trHeight w:val="360"/>
        </w:trPr>
        <w:tc>
          <w:tcPr>
            <w:tcW w:w="2268" w:type="dxa"/>
          </w:tcPr>
          <w:p w14:paraId="513AC3FB" w14:textId="522D2C1C" w:rsidR="00E45BEB" w:rsidRPr="00163BEF" w:rsidRDefault="00A31DA6" w:rsidP="004F506A">
            <w:pPr>
              <w:rPr>
                <w:lang w:val="en-AU"/>
              </w:rPr>
            </w:pPr>
            <w:r w:rsidRPr="00163BEF">
              <w:rPr>
                <w:lang w:val="en-AU"/>
              </w:rPr>
              <w:t>capital expenditure sharing scheme</w:t>
            </w:r>
          </w:p>
        </w:tc>
        <w:tc>
          <w:tcPr>
            <w:tcW w:w="6946" w:type="dxa"/>
            <w:tcMar>
              <w:right w:w="567" w:type="dxa"/>
            </w:tcMar>
          </w:tcPr>
          <w:p w14:paraId="567D66D3" w14:textId="43AB5758" w:rsidR="00E45BEB" w:rsidRPr="00163BEF" w:rsidRDefault="00A31DA6" w:rsidP="0093351A">
            <w:pPr>
              <w:rPr>
                <w:lang w:val="en-AU"/>
              </w:rPr>
            </w:pPr>
            <w:r w:rsidRPr="00163BEF">
              <w:rPr>
                <w:lang w:val="en-AU"/>
              </w:rPr>
              <w:t>A scheme of that name which is published by the Commission and substantially reflects the scheme developed and published by the AER under clause 6.5.8A of the NER at the relevant time.</w:t>
            </w:r>
          </w:p>
        </w:tc>
      </w:tr>
      <w:tr w:rsidR="00694B7B" w:rsidRPr="00163BEF" w14:paraId="21B0B50F" w14:textId="77777777" w:rsidTr="006E364D">
        <w:trPr>
          <w:cantSplit/>
          <w:trHeight w:val="360"/>
        </w:trPr>
        <w:tc>
          <w:tcPr>
            <w:tcW w:w="2268" w:type="dxa"/>
          </w:tcPr>
          <w:p w14:paraId="5C356C3D" w14:textId="77777777" w:rsidR="00694B7B" w:rsidRPr="00163BEF" w:rsidRDefault="00694B7B" w:rsidP="004F506A">
            <w:pPr>
              <w:rPr>
                <w:lang w:val="en-AU"/>
              </w:rPr>
            </w:pPr>
            <w:r w:rsidRPr="00163BEF">
              <w:rPr>
                <w:lang w:val="en-AU"/>
              </w:rPr>
              <w:t xml:space="preserve">Commission </w:t>
            </w:r>
          </w:p>
        </w:tc>
        <w:tc>
          <w:tcPr>
            <w:tcW w:w="6946" w:type="dxa"/>
            <w:tcMar>
              <w:right w:w="567" w:type="dxa"/>
            </w:tcMar>
          </w:tcPr>
          <w:p w14:paraId="08864278" w14:textId="3BA2D7AD" w:rsidR="00694B7B" w:rsidRPr="00163BEF" w:rsidRDefault="00610AA2" w:rsidP="0093351A">
            <w:pPr>
              <w:rPr>
                <w:lang w:val="en-AU"/>
              </w:rPr>
            </w:pPr>
            <w:r>
              <w:rPr>
                <w:lang w:val="en-AU"/>
              </w:rPr>
              <w:t xml:space="preserve">The </w:t>
            </w:r>
            <w:r w:rsidR="00694B7B" w:rsidRPr="00163BEF">
              <w:rPr>
                <w:lang w:val="en-AU"/>
              </w:rPr>
              <w:t xml:space="preserve">Utilities Commission of the Northern Territory established in April 2000 </w:t>
            </w:r>
            <w:r w:rsidR="0093351A" w:rsidRPr="00163BEF">
              <w:rPr>
                <w:lang w:val="en-AU"/>
              </w:rPr>
              <w:t xml:space="preserve">in accordance with </w:t>
            </w:r>
            <w:r w:rsidR="00694B7B" w:rsidRPr="00163BEF">
              <w:rPr>
                <w:lang w:val="en-AU"/>
              </w:rPr>
              <w:t xml:space="preserve">the </w:t>
            </w:r>
            <w:r w:rsidR="00694B7B" w:rsidRPr="006957AB">
              <w:rPr>
                <w:i/>
                <w:lang w:val="en-AU"/>
              </w:rPr>
              <w:t>Utilities Commission Act</w:t>
            </w:r>
            <w:r w:rsidR="00A96B9E" w:rsidRPr="00163BEF">
              <w:rPr>
                <w:lang w:val="en-AU"/>
              </w:rPr>
              <w:t>, or such other Authority who is responsible from time to time for the administration of the 2014 Network Price Determination.</w:t>
            </w:r>
            <w:r w:rsidR="00694B7B" w:rsidRPr="00163BEF">
              <w:rPr>
                <w:lang w:val="en-AU"/>
              </w:rPr>
              <w:t xml:space="preserve"> </w:t>
            </w:r>
          </w:p>
        </w:tc>
      </w:tr>
      <w:tr w:rsidR="00A96B9E" w:rsidRPr="00163BEF" w14:paraId="1D6195FE" w14:textId="77777777" w:rsidTr="006E364D">
        <w:trPr>
          <w:cantSplit/>
          <w:trHeight w:val="360"/>
        </w:trPr>
        <w:tc>
          <w:tcPr>
            <w:tcW w:w="2268" w:type="dxa"/>
          </w:tcPr>
          <w:p w14:paraId="0C8FAA01" w14:textId="6283E17C" w:rsidR="00A96B9E" w:rsidRPr="00163BEF" w:rsidRDefault="00A96B9E" w:rsidP="004F506A">
            <w:pPr>
              <w:rPr>
                <w:lang w:val="en-AU"/>
              </w:rPr>
            </w:pPr>
            <w:r w:rsidRPr="00163BEF">
              <w:t>connection point</w:t>
            </w:r>
          </w:p>
        </w:tc>
        <w:tc>
          <w:tcPr>
            <w:tcW w:w="6946" w:type="dxa"/>
            <w:tcMar>
              <w:right w:w="567" w:type="dxa"/>
            </w:tcMar>
          </w:tcPr>
          <w:p w14:paraId="7E79AFFE" w14:textId="0B639799" w:rsidR="00A96B9E" w:rsidRPr="00163BEF" w:rsidRDefault="00A96B9E" w:rsidP="008E229D">
            <w:pPr>
              <w:rPr>
                <w:rFonts w:cs="Arial"/>
                <w:szCs w:val="22"/>
                <w:lang w:val="en-AU"/>
              </w:rPr>
            </w:pPr>
            <w:r w:rsidRPr="00163BEF">
              <w:t>Has the meaning given in the Network Access Code.</w:t>
            </w:r>
          </w:p>
        </w:tc>
      </w:tr>
      <w:tr w:rsidR="00A96B9E" w:rsidRPr="00163BEF" w14:paraId="4EF3A660" w14:textId="77777777" w:rsidTr="006E364D">
        <w:trPr>
          <w:cantSplit/>
          <w:trHeight w:val="360"/>
        </w:trPr>
        <w:tc>
          <w:tcPr>
            <w:tcW w:w="2268" w:type="dxa"/>
          </w:tcPr>
          <w:p w14:paraId="74B48351" w14:textId="1D3D675E" w:rsidR="00A96B9E" w:rsidRPr="00163BEF" w:rsidRDefault="00A96B9E" w:rsidP="004F506A">
            <w:pPr>
              <w:rPr>
                <w:lang w:val="en-AU"/>
              </w:rPr>
            </w:pPr>
            <w:r w:rsidRPr="00163BEF">
              <w:t>connection services</w:t>
            </w:r>
          </w:p>
        </w:tc>
        <w:tc>
          <w:tcPr>
            <w:tcW w:w="6946" w:type="dxa"/>
            <w:tcMar>
              <w:right w:w="567" w:type="dxa"/>
            </w:tcMar>
          </w:tcPr>
          <w:p w14:paraId="4C1EA6D9" w14:textId="06BB7D2F" w:rsidR="00A96B9E" w:rsidRPr="00163BEF" w:rsidRDefault="00A96B9E" w:rsidP="008E229D">
            <w:pPr>
              <w:rPr>
                <w:rFonts w:cs="Arial"/>
                <w:szCs w:val="22"/>
                <w:lang w:val="en-AU"/>
              </w:rPr>
            </w:pPr>
            <w:r w:rsidRPr="00163BEF">
              <w:t>Has the meaning given in the Network Access Code.</w:t>
            </w:r>
          </w:p>
        </w:tc>
      </w:tr>
      <w:tr w:rsidR="00A96B9E" w:rsidRPr="00163BEF" w14:paraId="596E83D1" w14:textId="77777777" w:rsidTr="006E364D">
        <w:trPr>
          <w:cantSplit/>
          <w:trHeight w:val="360"/>
        </w:trPr>
        <w:tc>
          <w:tcPr>
            <w:tcW w:w="2268" w:type="dxa"/>
          </w:tcPr>
          <w:p w14:paraId="4256AA05" w14:textId="639A1974" w:rsidR="00A96B9E" w:rsidRPr="00163BEF" w:rsidRDefault="00A96B9E" w:rsidP="004F506A">
            <w:pPr>
              <w:rPr>
                <w:lang w:val="en-AU"/>
              </w:rPr>
            </w:pPr>
            <w:r w:rsidRPr="00163BEF">
              <w:t>contingent project</w:t>
            </w:r>
          </w:p>
        </w:tc>
        <w:tc>
          <w:tcPr>
            <w:tcW w:w="6946" w:type="dxa"/>
            <w:tcMar>
              <w:right w:w="567" w:type="dxa"/>
            </w:tcMar>
          </w:tcPr>
          <w:p w14:paraId="11C54ED9" w14:textId="53A6FA35" w:rsidR="00A96B9E" w:rsidRPr="00163BEF" w:rsidRDefault="00A96B9E" w:rsidP="00643A67">
            <w:pPr>
              <w:rPr>
                <w:lang w:val="en-AU"/>
              </w:rPr>
            </w:pPr>
            <w:r w:rsidRPr="00163BEF">
              <w:t>A project that is listed in clause 2.5 and Chapter 3 of the 2014 Network Price Determination as a 'contingent project' for the purposes of the 2014</w:t>
            </w:r>
            <w:r w:rsidR="000110A3" w:rsidRPr="00163BEF">
              <w:t xml:space="preserve"> </w:t>
            </w:r>
            <w:r w:rsidRPr="00163BEF">
              <w:t>Network Price Determination.</w:t>
            </w:r>
          </w:p>
        </w:tc>
      </w:tr>
      <w:tr w:rsidR="00A96B9E" w:rsidRPr="00163BEF" w14:paraId="2FB286B8" w14:textId="77777777" w:rsidTr="006E364D">
        <w:trPr>
          <w:cantSplit/>
          <w:trHeight w:val="360"/>
        </w:trPr>
        <w:tc>
          <w:tcPr>
            <w:tcW w:w="2268" w:type="dxa"/>
          </w:tcPr>
          <w:p w14:paraId="2C45FF07" w14:textId="11F51843" w:rsidR="00A96B9E" w:rsidRPr="00163BEF" w:rsidRDefault="00A96B9E" w:rsidP="004F506A">
            <w:pPr>
              <w:rPr>
                <w:lang w:val="en-AU"/>
              </w:rPr>
            </w:pPr>
            <w:r w:rsidRPr="00163BEF">
              <w:t xml:space="preserve">contingent project threshold </w:t>
            </w:r>
          </w:p>
        </w:tc>
        <w:tc>
          <w:tcPr>
            <w:tcW w:w="6946" w:type="dxa"/>
            <w:tcMar>
              <w:right w:w="567" w:type="dxa"/>
            </w:tcMar>
          </w:tcPr>
          <w:p w14:paraId="145583EB" w14:textId="1B279B0C" w:rsidR="00A96B9E" w:rsidRPr="00163BEF" w:rsidRDefault="00A96B9E" w:rsidP="006957AB">
            <w:pPr>
              <w:rPr>
                <w:lang w:val="en-AU"/>
              </w:rPr>
            </w:pPr>
            <w:r w:rsidRPr="00163BEF">
              <w:t xml:space="preserve">Either $15 million </w:t>
            </w:r>
            <w:r w:rsidR="00E149C6">
              <w:t>(nomi</w:t>
            </w:r>
            <w:r w:rsidR="0024347A">
              <w:t>n</w:t>
            </w:r>
            <w:r w:rsidR="00E149C6">
              <w:t xml:space="preserve">al) </w:t>
            </w:r>
            <w:r w:rsidRPr="00163BEF">
              <w:t>or 5</w:t>
            </w:r>
            <w:r w:rsidR="006957AB">
              <w:t> per cent</w:t>
            </w:r>
            <w:r w:rsidR="006957AB" w:rsidRPr="00163BEF">
              <w:t xml:space="preserve"> </w:t>
            </w:r>
            <w:r w:rsidRPr="00163BEF">
              <w:t>of the annual revenue requirement for the first regulatory year of the 2014</w:t>
            </w:r>
            <w:r w:rsidR="000110A3" w:rsidRPr="00163BEF">
              <w:t>-</w:t>
            </w:r>
            <w:r w:rsidRPr="00163BEF">
              <w:t>19 regulatory control period, whichever is the larger amount.</w:t>
            </w:r>
          </w:p>
        </w:tc>
      </w:tr>
      <w:tr w:rsidR="00694B7B" w:rsidRPr="00163BEF" w14:paraId="443EB965" w14:textId="77777777" w:rsidTr="006E364D">
        <w:trPr>
          <w:cantSplit/>
          <w:trHeight w:val="360"/>
        </w:trPr>
        <w:tc>
          <w:tcPr>
            <w:tcW w:w="2268" w:type="dxa"/>
          </w:tcPr>
          <w:p w14:paraId="131ED486" w14:textId="0A55BBF6" w:rsidR="00694B7B" w:rsidRPr="00163BEF" w:rsidRDefault="000110A3" w:rsidP="004F506A">
            <w:pPr>
              <w:rPr>
                <w:lang w:val="en-AU"/>
              </w:rPr>
            </w:pPr>
            <w:r w:rsidRPr="00163BEF">
              <w:rPr>
                <w:lang w:val="en-AU"/>
              </w:rPr>
              <w:t xml:space="preserve">consumer price index or </w:t>
            </w:r>
            <w:r w:rsidR="00694B7B" w:rsidRPr="00163BEF">
              <w:rPr>
                <w:lang w:val="en-AU"/>
              </w:rPr>
              <w:t xml:space="preserve">CPI </w:t>
            </w:r>
          </w:p>
        </w:tc>
        <w:tc>
          <w:tcPr>
            <w:tcW w:w="6946" w:type="dxa"/>
            <w:tcMar>
              <w:right w:w="567" w:type="dxa"/>
            </w:tcMar>
          </w:tcPr>
          <w:p w14:paraId="42735002" w14:textId="584E1275" w:rsidR="000110A3" w:rsidRPr="00163BEF" w:rsidRDefault="000110A3" w:rsidP="000110A3">
            <w:pPr>
              <w:rPr>
                <w:lang w:val="en-AU"/>
              </w:rPr>
            </w:pPr>
            <w:r w:rsidRPr="00163BEF">
              <w:rPr>
                <w:lang w:val="en-AU"/>
              </w:rPr>
              <w:t>As at a particular time, the Consumer Price Index: All Group Index Number, weighted average of eight capital cities published by the ABS for the most recent quarter that precedes that particular time and for which the index referred to has been published by the ABS as at that time.</w:t>
            </w:r>
          </w:p>
          <w:p w14:paraId="20CBC484" w14:textId="169812F0" w:rsidR="00694B7B" w:rsidRPr="00163BEF" w:rsidRDefault="000110A3" w:rsidP="000110A3">
            <w:pPr>
              <w:rPr>
                <w:lang w:val="en-AU"/>
              </w:rPr>
            </w:pPr>
            <w:r w:rsidRPr="00163BEF">
              <w:rPr>
                <w:lang w:val="en-AU"/>
              </w:rPr>
              <w:t>If that index ceases to be published or is substantially changed, CPI will be such other index as is determined by the Commission as a suitable benchmark for recording general movements in prices.</w:t>
            </w:r>
          </w:p>
        </w:tc>
      </w:tr>
      <w:tr w:rsidR="00524EA7" w:rsidRPr="00163BEF" w14:paraId="1AC443B8" w14:textId="77777777" w:rsidTr="006E364D">
        <w:trPr>
          <w:cantSplit/>
          <w:trHeight w:val="360"/>
        </w:trPr>
        <w:tc>
          <w:tcPr>
            <w:tcW w:w="2268" w:type="dxa"/>
          </w:tcPr>
          <w:p w14:paraId="355B2F6F" w14:textId="631B3E7A" w:rsidR="00524EA7" w:rsidRPr="00163BEF" w:rsidRDefault="000110A3" w:rsidP="00524EA7">
            <w:pPr>
              <w:rPr>
                <w:lang w:val="en-AU"/>
              </w:rPr>
            </w:pPr>
            <w:r w:rsidRPr="00163BEF">
              <w:rPr>
                <w:lang w:val="en-AU"/>
              </w:rPr>
              <w:t xml:space="preserve">cost </w:t>
            </w:r>
            <w:r w:rsidR="00524EA7" w:rsidRPr="00163BEF">
              <w:rPr>
                <w:lang w:val="en-AU"/>
              </w:rPr>
              <w:t>pass through</w:t>
            </w:r>
          </w:p>
        </w:tc>
        <w:tc>
          <w:tcPr>
            <w:tcW w:w="6946" w:type="dxa"/>
            <w:tcMar>
              <w:right w:w="567" w:type="dxa"/>
            </w:tcMar>
          </w:tcPr>
          <w:p w14:paraId="063783B4" w14:textId="2E2C48A1" w:rsidR="00524EA7" w:rsidRPr="00163BEF" w:rsidRDefault="000110A3" w:rsidP="00524EA7">
            <w:pPr>
              <w:rPr>
                <w:lang w:val="en-AU"/>
              </w:rPr>
            </w:pPr>
            <w:r w:rsidRPr="00163BEF">
              <w:t>The mechanism for reviewing and adjusting the 2014 Network Price Determination to pass through to network users an amount incurred</w:t>
            </w:r>
            <w:r w:rsidR="006A5F67">
              <w:t xml:space="preserve"> or saved</w:t>
            </w:r>
            <w:r w:rsidRPr="00163BEF">
              <w:t xml:space="preserve"> during the 2014-19 regulatory control period as a consequence </w:t>
            </w:r>
            <w:r w:rsidR="006A5F67">
              <w:t xml:space="preserve">of the occurrence </w:t>
            </w:r>
            <w:r w:rsidRPr="00163BEF">
              <w:t>of a pass through event.</w:t>
            </w:r>
          </w:p>
        </w:tc>
      </w:tr>
      <w:tr w:rsidR="000110A3" w:rsidRPr="00163BEF" w:rsidDel="000110A3" w14:paraId="7D754582" w14:textId="77777777" w:rsidTr="006E364D">
        <w:trPr>
          <w:cantSplit/>
          <w:trHeight w:val="360"/>
        </w:trPr>
        <w:tc>
          <w:tcPr>
            <w:tcW w:w="2268" w:type="dxa"/>
          </w:tcPr>
          <w:p w14:paraId="353BE201" w14:textId="4714F228" w:rsidR="000110A3" w:rsidRPr="00163BEF" w:rsidDel="000110A3" w:rsidRDefault="000110A3" w:rsidP="00524EA7">
            <w:pPr>
              <w:rPr>
                <w:lang w:val="en-AU"/>
              </w:rPr>
            </w:pPr>
            <w:r w:rsidRPr="00163BEF">
              <w:t>credit support</w:t>
            </w:r>
          </w:p>
        </w:tc>
        <w:tc>
          <w:tcPr>
            <w:tcW w:w="6946" w:type="dxa"/>
            <w:tcMar>
              <w:right w:w="567" w:type="dxa"/>
            </w:tcMar>
          </w:tcPr>
          <w:p w14:paraId="555A1F72" w14:textId="099AD076" w:rsidR="000110A3" w:rsidRPr="00163BEF" w:rsidDel="000110A3" w:rsidRDefault="000110A3" w:rsidP="007F1CB8">
            <w:pPr>
              <w:rPr>
                <w:lang w:val="en-AU"/>
              </w:rPr>
            </w:pPr>
            <w:r w:rsidRPr="00163BEF">
              <w:t xml:space="preserve">A security supporting the obligations of a retailer to PWC Networks. </w:t>
            </w:r>
          </w:p>
        </w:tc>
      </w:tr>
      <w:tr w:rsidR="00D8463F" w:rsidRPr="00163BEF" w14:paraId="779AEFD2" w14:textId="77777777" w:rsidTr="006E364D">
        <w:trPr>
          <w:cantSplit/>
          <w:trHeight w:val="360"/>
        </w:trPr>
        <w:tc>
          <w:tcPr>
            <w:tcW w:w="2268" w:type="dxa"/>
          </w:tcPr>
          <w:p w14:paraId="1F5F3A13" w14:textId="77777777" w:rsidR="00D8463F" w:rsidRPr="00163BEF" w:rsidRDefault="0044179E" w:rsidP="004F506A">
            <w:pPr>
              <w:rPr>
                <w:lang w:val="en-AU"/>
              </w:rPr>
            </w:pPr>
            <w:r w:rsidRPr="00163BEF">
              <w:rPr>
                <w:lang w:val="en-AU"/>
              </w:rPr>
              <w:t>Deloitte</w:t>
            </w:r>
          </w:p>
        </w:tc>
        <w:tc>
          <w:tcPr>
            <w:tcW w:w="6946" w:type="dxa"/>
            <w:tcMar>
              <w:right w:w="567" w:type="dxa"/>
            </w:tcMar>
          </w:tcPr>
          <w:p w14:paraId="2343B59C" w14:textId="07D51058" w:rsidR="00D8463F" w:rsidRPr="00163BEF" w:rsidRDefault="00D8463F" w:rsidP="004F506A">
            <w:pPr>
              <w:rPr>
                <w:lang w:val="en-AU"/>
              </w:rPr>
            </w:pPr>
            <w:r w:rsidRPr="00163BEF">
              <w:t>Deloitte Economics and Infrastructure Advisory</w:t>
            </w:r>
            <w:r w:rsidR="005148AF">
              <w:t>.</w:t>
            </w:r>
          </w:p>
        </w:tc>
      </w:tr>
      <w:tr w:rsidR="00D91A58" w:rsidRPr="00163BEF" w14:paraId="4C5E0A3F" w14:textId="77777777" w:rsidTr="006E364D">
        <w:trPr>
          <w:cantSplit/>
          <w:trHeight w:val="360"/>
        </w:trPr>
        <w:tc>
          <w:tcPr>
            <w:tcW w:w="2268" w:type="dxa"/>
          </w:tcPr>
          <w:p w14:paraId="2435E397" w14:textId="4A3653F0" w:rsidR="00D91A58" w:rsidRPr="00163BEF" w:rsidRDefault="00D91A58" w:rsidP="004F506A">
            <w:pPr>
              <w:rPr>
                <w:lang w:val="en-AU"/>
              </w:rPr>
            </w:pPr>
            <w:r w:rsidRPr="00163BEF">
              <w:t xml:space="preserve">demand management and embedded generation incentive scheme </w:t>
            </w:r>
          </w:p>
        </w:tc>
        <w:tc>
          <w:tcPr>
            <w:tcW w:w="6946" w:type="dxa"/>
            <w:tcMar>
              <w:right w:w="567" w:type="dxa"/>
            </w:tcMar>
          </w:tcPr>
          <w:p w14:paraId="4268DFC9" w14:textId="213EEF30" w:rsidR="00D91A58" w:rsidRPr="00163BEF" w:rsidRDefault="00D91A58" w:rsidP="004F506A">
            <w:pPr>
              <w:rPr>
                <w:lang w:val="en-AU"/>
              </w:rPr>
            </w:pPr>
            <w:r w:rsidRPr="00163BEF">
              <w:t xml:space="preserve">A scheme of that name which is published by the Commission and substantially reflects the scheme developed and published by the AER under clause 6.6.3 of the NER at the relevant time. </w:t>
            </w:r>
          </w:p>
        </w:tc>
      </w:tr>
      <w:tr w:rsidR="00694B7B" w:rsidRPr="00163BEF" w14:paraId="2F2A9D87" w14:textId="77777777" w:rsidTr="006E364D">
        <w:trPr>
          <w:cantSplit/>
          <w:trHeight w:val="360"/>
        </w:trPr>
        <w:tc>
          <w:tcPr>
            <w:tcW w:w="2268" w:type="dxa"/>
          </w:tcPr>
          <w:p w14:paraId="0DEF3671" w14:textId="066AC57B" w:rsidR="00694B7B" w:rsidRPr="00163BEF" w:rsidRDefault="00694B7B" w:rsidP="004F506A">
            <w:pPr>
              <w:rPr>
                <w:lang w:val="en-AU"/>
              </w:rPr>
            </w:pPr>
            <w:r w:rsidRPr="00163BEF">
              <w:rPr>
                <w:lang w:val="en-AU"/>
              </w:rPr>
              <w:t>DNSP</w:t>
            </w:r>
            <w:r w:rsidR="00D91A58" w:rsidRPr="00163BEF">
              <w:rPr>
                <w:lang w:val="en-AU"/>
              </w:rPr>
              <w:t xml:space="preserve"> or Distribution Network Service Provider</w:t>
            </w:r>
          </w:p>
        </w:tc>
        <w:tc>
          <w:tcPr>
            <w:tcW w:w="6946" w:type="dxa"/>
            <w:tcMar>
              <w:right w:w="567" w:type="dxa"/>
            </w:tcMar>
          </w:tcPr>
          <w:p w14:paraId="2D0836CA" w14:textId="2FFFCE5E" w:rsidR="00694B7B" w:rsidRPr="00163BEF" w:rsidRDefault="00D91A58" w:rsidP="004F506A">
            <w:pPr>
              <w:rPr>
                <w:lang w:val="en-AU"/>
              </w:rPr>
            </w:pPr>
            <w:r w:rsidRPr="00163BEF">
              <w:rPr>
                <w:lang w:val="en-AU"/>
              </w:rPr>
              <w:t>Has the meaning given in Chapter 10 of the NER.</w:t>
            </w:r>
          </w:p>
        </w:tc>
      </w:tr>
      <w:tr w:rsidR="00694B7B" w:rsidRPr="00163BEF" w14:paraId="54B9EFF1" w14:textId="77777777" w:rsidTr="006E364D">
        <w:trPr>
          <w:cantSplit/>
          <w:trHeight w:val="360"/>
        </w:trPr>
        <w:tc>
          <w:tcPr>
            <w:tcW w:w="2268" w:type="dxa"/>
          </w:tcPr>
          <w:p w14:paraId="10EA1C16" w14:textId="77777777" w:rsidR="00694B7B" w:rsidRPr="00163BEF" w:rsidRDefault="00694B7B" w:rsidP="004F506A">
            <w:pPr>
              <w:rPr>
                <w:lang w:val="en-AU"/>
              </w:rPr>
            </w:pPr>
            <w:r w:rsidRPr="00163BEF">
              <w:rPr>
                <w:lang w:val="en-AU"/>
              </w:rPr>
              <w:t>DORC</w:t>
            </w:r>
          </w:p>
        </w:tc>
        <w:tc>
          <w:tcPr>
            <w:tcW w:w="6946" w:type="dxa"/>
            <w:tcMar>
              <w:right w:w="567" w:type="dxa"/>
            </w:tcMar>
          </w:tcPr>
          <w:p w14:paraId="00443BE2" w14:textId="13E0C56E" w:rsidR="00694B7B" w:rsidRPr="00163BEF" w:rsidRDefault="00694B7B" w:rsidP="007F1CB8">
            <w:pPr>
              <w:rPr>
                <w:lang w:val="en-AU"/>
              </w:rPr>
            </w:pPr>
            <w:r w:rsidRPr="00163BEF">
              <w:rPr>
                <w:lang w:val="en-AU"/>
              </w:rPr>
              <w:t xml:space="preserve">Depreciated </w:t>
            </w:r>
            <w:r w:rsidR="007F1CB8" w:rsidRPr="00163BEF">
              <w:rPr>
                <w:lang w:val="en-AU"/>
              </w:rPr>
              <w:t xml:space="preserve">optimised replacement cost </w:t>
            </w:r>
            <w:r w:rsidRPr="00163BEF">
              <w:rPr>
                <w:lang w:val="en-AU"/>
              </w:rPr>
              <w:t>being the replacement cost of the existing fixed system assets with modern equivalent assets, depreciated by a straight-line depreciation methodology according to the age of the existing asset relative to the expected total life of the existing asset</w:t>
            </w:r>
            <w:r w:rsidR="005148AF">
              <w:rPr>
                <w:lang w:val="en-AU"/>
              </w:rPr>
              <w:t>.</w:t>
            </w:r>
          </w:p>
        </w:tc>
      </w:tr>
      <w:tr w:rsidR="009E5004" w:rsidRPr="00163BEF" w14:paraId="056916A8" w14:textId="77777777" w:rsidTr="006E364D">
        <w:trPr>
          <w:cantSplit/>
          <w:trHeight w:val="360"/>
        </w:trPr>
        <w:tc>
          <w:tcPr>
            <w:tcW w:w="2268" w:type="dxa"/>
          </w:tcPr>
          <w:p w14:paraId="355190D0" w14:textId="190E44D5" w:rsidR="009E5004" w:rsidRPr="00163BEF" w:rsidRDefault="009E5004" w:rsidP="004F506A">
            <w:pPr>
              <w:rPr>
                <w:lang w:val="en-AU"/>
              </w:rPr>
            </w:pPr>
            <w:r w:rsidRPr="00163BEF">
              <w:t xml:space="preserve">Draft Determination </w:t>
            </w:r>
          </w:p>
        </w:tc>
        <w:tc>
          <w:tcPr>
            <w:tcW w:w="6946" w:type="dxa"/>
            <w:tcMar>
              <w:right w:w="567" w:type="dxa"/>
            </w:tcMar>
          </w:tcPr>
          <w:p w14:paraId="152D497E" w14:textId="21AD04EE" w:rsidR="009E5004" w:rsidRPr="00163BEF" w:rsidRDefault="009E5004" w:rsidP="006B0E6D">
            <w:pPr>
              <w:rPr>
                <w:rFonts w:cs="Arial"/>
                <w:szCs w:val="22"/>
                <w:lang w:val="en-AU"/>
              </w:rPr>
            </w:pPr>
            <w:r w:rsidRPr="00163BEF">
              <w:t xml:space="preserve">The </w:t>
            </w:r>
            <w:r w:rsidR="006B0E6D">
              <w:t>‘</w:t>
            </w:r>
            <w:r w:rsidRPr="00163BEF">
              <w:t>2014-2019 Network Price Determination</w:t>
            </w:r>
            <w:r w:rsidR="00045AA3" w:rsidRPr="00163BEF">
              <w:t>’</w:t>
            </w:r>
            <w:r w:rsidRPr="00163BEF">
              <w:t xml:space="preserve"> draft determination published by the Commission in December 2013</w:t>
            </w:r>
            <w:r w:rsidR="006957AB">
              <w:rPr>
                <w:rStyle w:val="FootnoteReference"/>
              </w:rPr>
              <w:footnoteReference w:id="3"/>
            </w:r>
            <w:r w:rsidRPr="00163BEF">
              <w:t xml:space="preserve">. </w:t>
            </w:r>
          </w:p>
        </w:tc>
      </w:tr>
      <w:tr w:rsidR="00BD1077" w:rsidRPr="00163BEF" w14:paraId="5E3938B8" w14:textId="77777777" w:rsidTr="006E364D">
        <w:trPr>
          <w:cantSplit/>
          <w:trHeight w:val="360"/>
        </w:trPr>
        <w:tc>
          <w:tcPr>
            <w:tcW w:w="2268" w:type="dxa"/>
          </w:tcPr>
          <w:p w14:paraId="7C36DC25" w14:textId="77777777" w:rsidR="00BD1077" w:rsidRPr="00163BEF" w:rsidRDefault="00BD1077" w:rsidP="004F506A">
            <w:pPr>
              <w:rPr>
                <w:lang w:val="en-AU"/>
              </w:rPr>
            </w:pPr>
            <w:r w:rsidRPr="00163BEF">
              <w:rPr>
                <w:lang w:val="en-AU"/>
              </w:rPr>
              <w:t>DRP</w:t>
            </w:r>
          </w:p>
        </w:tc>
        <w:tc>
          <w:tcPr>
            <w:tcW w:w="6946" w:type="dxa"/>
            <w:tcMar>
              <w:right w:w="567" w:type="dxa"/>
            </w:tcMar>
          </w:tcPr>
          <w:p w14:paraId="5FA87FBC" w14:textId="3102CF0D" w:rsidR="00BD1077" w:rsidRPr="00163BEF" w:rsidRDefault="00BD1077" w:rsidP="004705A9">
            <w:pPr>
              <w:rPr>
                <w:lang w:val="en-AU"/>
              </w:rPr>
            </w:pPr>
            <w:r w:rsidRPr="00163BEF">
              <w:rPr>
                <w:lang w:val="en-AU"/>
              </w:rPr>
              <w:t>Debt risk premium</w:t>
            </w:r>
            <w:r w:rsidR="005148AF">
              <w:rPr>
                <w:lang w:val="en-AU"/>
              </w:rPr>
              <w:t>.</w:t>
            </w:r>
          </w:p>
        </w:tc>
      </w:tr>
      <w:tr w:rsidR="005B2AE4" w:rsidRPr="00163BEF" w14:paraId="55CBAE18" w14:textId="77777777" w:rsidTr="006E364D">
        <w:trPr>
          <w:cantSplit/>
          <w:trHeight w:val="360"/>
        </w:trPr>
        <w:tc>
          <w:tcPr>
            <w:tcW w:w="2268" w:type="dxa"/>
          </w:tcPr>
          <w:p w14:paraId="75565D8F" w14:textId="070E0F7C" w:rsidR="005B2AE4" w:rsidRPr="00163BEF" w:rsidRDefault="005B2AE4" w:rsidP="004F506A">
            <w:r w:rsidRPr="00163BEF">
              <w:t xml:space="preserve">efficiency benefit sharing scheme </w:t>
            </w:r>
          </w:p>
        </w:tc>
        <w:tc>
          <w:tcPr>
            <w:tcW w:w="6946" w:type="dxa"/>
            <w:tcMar>
              <w:right w:w="567" w:type="dxa"/>
            </w:tcMar>
          </w:tcPr>
          <w:p w14:paraId="0D501F41" w14:textId="4174C078" w:rsidR="005B2AE4" w:rsidRPr="00163BEF" w:rsidRDefault="005B2AE4" w:rsidP="00360B25">
            <w:r w:rsidRPr="00163BEF">
              <w:t xml:space="preserve">A scheme of that name which is published by the Commission and substantially reflects the scheme developed and published by the AER under clause 6.5.8 of the NER at the relevant time. </w:t>
            </w:r>
          </w:p>
        </w:tc>
      </w:tr>
      <w:tr w:rsidR="005B2AE4" w:rsidRPr="00163BEF" w14:paraId="71658643" w14:textId="77777777" w:rsidTr="006E364D">
        <w:trPr>
          <w:cantSplit/>
          <w:trHeight w:val="360"/>
        </w:trPr>
        <w:tc>
          <w:tcPr>
            <w:tcW w:w="2268" w:type="dxa"/>
          </w:tcPr>
          <w:p w14:paraId="68A423E5" w14:textId="0679050C" w:rsidR="005B2AE4" w:rsidRPr="00163BEF" w:rsidRDefault="005B2AE4" w:rsidP="004F506A">
            <w:pPr>
              <w:rPr>
                <w:lang w:val="en-AU"/>
              </w:rPr>
            </w:pPr>
            <w:r w:rsidRPr="00163BEF">
              <w:t xml:space="preserve">electricity network </w:t>
            </w:r>
          </w:p>
        </w:tc>
        <w:tc>
          <w:tcPr>
            <w:tcW w:w="6946" w:type="dxa"/>
            <w:tcMar>
              <w:right w:w="567" w:type="dxa"/>
            </w:tcMar>
          </w:tcPr>
          <w:p w14:paraId="7C01F01D" w14:textId="7C76650F" w:rsidR="005B2AE4" w:rsidRPr="00163BEF" w:rsidRDefault="005B2AE4" w:rsidP="0039640E">
            <w:pPr>
              <w:rPr>
                <w:rFonts w:cs="Arial"/>
                <w:szCs w:val="22"/>
                <w:lang w:val="en-AU"/>
              </w:rPr>
            </w:pPr>
            <w:r w:rsidRPr="00163BEF">
              <w:t>Has the meaning given in the Network Access Code (this term is equivalent to the term 'distribution system' when used in the</w:t>
            </w:r>
            <w:r w:rsidR="0039640E">
              <w:t> </w:t>
            </w:r>
            <w:r w:rsidRPr="00163BEF">
              <w:t>NER).</w:t>
            </w:r>
          </w:p>
        </w:tc>
      </w:tr>
      <w:tr w:rsidR="00F3258B" w:rsidRPr="00163BEF" w14:paraId="156D48F0" w14:textId="77777777" w:rsidTr="006E364D">
        <w:trPr>
          <w:cantSplit/>
          <w:trHeight w:val="360"/>
        </w:trPr>
        <w:tc>
          <w:tcPr>
            <w:tcW w:w="2268" w:type="dxa"/>
          </w:tcPr>
          <w:p w14:paraId="07DB6486" w14:textId="1C93D1FE" w:rsidR="00F3258B" w:rsidRPr="00D624BF" w:rsidRDefault="00F3258B" w:rsidP="004F506A">
            <w:r w:rsidRPr="00D624BF">
              <w:t>Electricity Pricing Order</w:t>
            </w:r>
          </w:p>
        </w:tc>
        <w:tc>
          <w:tcPr>
            <w:tcW w:w="6946" w:type="dxa"/>
            <w:tcMar>
              <w:right w:w="567" w:type="dxa"/>
            </w:tcMar>
          </w:tcPr>
          <w:p w14:paraId="06AC2753" w14:textId="36CE2967" w:rsidR="00F3258B" w:rsidRPr="00163BEF" w:rsidRDefault="00F3258B" w:rsidP="00D624BF">
            <w:r w:rsidRPr="00D624BF">
              <w:t xml:space="preserve">An order made by the Minister under section 44 of the </w:t>
            </w:r>
            <w:r w:rsidRPr="00D624BF">
              <w:rPr>
                <w:i/>
              </w:rPr>
              <w:t>Electricity Reform Act</w:t>
            </w:r>
            <w:r w:rsidRPr="00D624BF">
              <w:t xml:space="preserve"> regulating retail prices for </w:t>
            </w:r>
            <w:r w:rsidR="00D624BF">
              <w:t xml:space="preserve">the sale of </w:t>
            </w:r>
            <w:r w:rsidRPr="00D624BF">
              <w:t xml:space="preserve">electricity </w:t>
            </w:r>
            <w:r w:rsidR="00D624BF">
              <w:t>to retail</w:t>
            </w:r>
            <w:r w:rsidR="00D624BF" w:rsidRPr="00D624BF">
              <w:t xml:space="preserve"> </w:t>
            </w:r>
            <w:r w:rsidRPr="00D624BF">
              <w:t>customers of a prescribed class.</w:t>
            </w:r>
          </w:p>
        </w:tc>
      </w:tr>
      <w:tr w:rsidR="005B2AE4" w:rsidRPr="00163BEF" w14:paraId="37DCBC96" w14:textId="77777777" w:rsidTr="006E364D">
        <w:trPr>
          <w:cantSplit/>
          <w:trHeight w:val="360"/>
        </w:trPr>
        <w:tc>
          <w:tcPr>
            <w:tcW w:w="2268" w:type="dxa"/>
          </w:tcPr>
          <w:p w14:paraId="7C018D1D" w14:textId="3E06DEAA" w:rsidR="005B2AE4" w:rsidRPr="00163BEF" w:rsidRDefault="005B2AE4" w:rsidP="004F506A">
            <w:pPr>
              <w:rPr>
                <w:lang w:val="en-AU"/>
              </w:rPr>
            </w:pPr>
            <w:r w:rsidRPr="00163BEF">
              <w:t>eligible pass through amount</w:t>
            </w:r>
          </w:p>
        </w:tc>
        <w:tc>
          <w:tcPr>
            <w:tcW w:w="6946" w:type="dxa"/>
            <w:tcMar>
              <w:right w:w="567" w:type="dxa"/>
            </w:tcMar>
          </w:tcPr>
          <w:p w14:paraId="6CAE2F83" w14:textId="77777777" w:rsidR="005B2AE4" w:rsidRPr="00163BEF" w:rsidRDefault="005B2AE4" w:rsidP="005B2AE4">
            <w:r w:rsidRPr="00163BEF">
              <w:t>In respect of a positive change event, the increase in costs in the provision of regulated network access services that, as a result of that positive change event, PWC Networks has incurred and is likely to incur (as opposed to the revenue impact of that event) until:</w:t>
            </w:r>
          </w:p>
          <w:p w14:paraId="716198EB" w14:textId="42C0A48B" w:rsidR="005B2AE4" w:rsidRPr="00163BEF" w:rsidRDefault="005B2AE4" w:rsidP="00243FBE">
            <w:pPr>
              <w:pStyle w:val="UtilComBulletText"/>
              <w:numPr>
                <w:ilvl w:val="0"/>
                <w:numId w:val="35"/>
              </w:numPr>
              <w:tabs>
                <w:tab w:val="clear" w:pos="1106"/>
                <w:tab w:val="clear" w:pos="1134"/>
                <w:tab w:val="num" w:pos="459"/>
              </w:tabs>
              <w:ind w:left="459" w:hanging="425"/>
            </w:pPr>
            <w:r w:rsidRPr="00163BEF">
              <w:t>unless subparagraph (b) applies – the end of 2014</w:t>
            </w:r>
            <w:r w:rsidR="0039640E">
              <w:t>-</w:t>
            </w:r>
            <w:r w:rsidRPr="00163BEF">
              <w:t>19 regulatory control period;</w:t>
            </w:r>
            <w:r w:rsidR="006A5F67">
              <w:t xml:space="preserve"> or</w:t>
            </w:r>
          </w:p>
          <w:p w14:paraId="628F8B38" w14:textId="2C03B149" w:rsidR="005B2AE4" w:rsidRPr="00163BEF" w:rsidRDefault="005B2AE4" w:rsidP="0039640E">
            <w:pPr>
              <w:pStyle w:val="UtilComBulletText"/>
              <w:numPr>
                <w:ilvl w:val="0"/>
                <w:numId w:val="35"/>
              </w:numPr>
              <w:tabs>
                <w:tab w:val="clear" w:pos="1106"/>
                <w:tab w:val="clear" w:pos="1134"/>
                <w:tab w:val="num" w:pos="459"/>
              </w:tabs>
              <w:ind w:left="459" w:hanging="425"/>
              <w:rPr>
                <w:lang w:val="en-AU"/>
              </w:rPr>
            </w:pPr>
            <w:r w:rsidRPr="00163BEF">
              <w:t xml:space="preserve">if Post 2019 </w:t>
            </w:r>
            <w:r w:rsidR="0039640E">
              <w:t>Network Price Determination</w:t>
            </w:r>
            <w:r w:rsidRPr="00163BEF">
              <w:t xml:space="preserve"> does not make any allowance for the recovery of that increase in costs (whether or not in the forecast operating expenditure or forecast capital expenditure accepted or substituted by the Commission for the Post 2019 regulatory control period) – the end of the Post 2019 regulatory control period.</w:t>
            </w:r>
          </w:p>
        </w:tc>
      </w:tr>
      <w:tr w:rsidR="00694B7B" w:rsidRPr="00163BEF" w14:paraId="0F488B76" w14:textId="77777777" w:rsidTr="006E364D">
        <w:trPr>
          <w:cantSplit/>
          <w:trHeight w:val="360"/>
        </w:trPr>
        <w:tc>
          <w:tcPr>
            <w:tcW w:w="2268" w:type="dxa"/>
          </w:tcPr>
          <w:p w14:paraId="5441DA7C" w14:textId="77777777" w:rsidR="00694B7B" w:rsidRPr="00163BEF" w:rsidRDefault="00694B7B" w:rsidP="004F506A">
            <w:pPr>
              <w:rPr>
                <w:lang w:val="en-AU"/>
              </w:rPr>
            </w:pPr>
            <w:r w:rsidRPr="00163BEF">
              <w:rPr>
                <w:lang w:val="en-AU"/>
              </w:rPr>
              <w:t>ESS Code</w:t>
            </w:r>
          </w:p>
        </w:tc>
        <w:tc>
          <w:tcPr>
            <w:tcW w:w="6946" w:type="dxa"/>
            <w:tcMar>
              <w:right w:w="567" w:type="dxa"/>
            </w:tcMar>
          </w:tcPr>
          <w:p w14:paraId="7D67B99C" w14:textId="2ACD3764" w:rsidR="00694B7B" w:rsidRPr="00163BEF" w:rsidRDefault="00694B7B" w:rsidP="005B2AE4">
            <w:pPr>
              <w:rPr>
                <w:lang w:val="en-AU"/>
              </w:rPr>
            </w:pPr>
            <w:r w:rsidRPr="00163BEF">
              <w:rPr>
                <w:lang w:val="en-AU"/>
              </w:rPr>
              <w:t>Electricity Standards of Service Code</w:t>
            </w:r>
            <w:r w:rsidR="004705A9" w:rsidRPr="00163BEF">
              <w:rPr>
                <w:lang w:val="en-AU"/>
              </w:rPr>
              <w:t xml:space="preserve"> </w:t>
            </w:r>
            <w:r w:rsidR="005B2AE4" w:rsidRPr="00163BEF">
              <w:rPr>
                <w:lang w:val="en-AU"/>
              </w:rPr>
              <w:t>published by the Commission on</w:t>
            </w:r>
            <w:r w:rsidR="004705A9" w:rsidRPr="00163BEF">
              <w:rPr>
                <w:lang w:val="en-AU"/>
              </w:rPr>
              <w:t xml:space="preserve"> 1</w:t>
            </w:r>
            <w:r w:rsidR="00360B25" w:rsidRPr="00163BEF">
              <w:rPr>
                <w:lang w:val="en-AU"/>
              </w:rPr>
              <w:t> </w:t>
            </w:r>
            <w:r w:rsidR="004705A9" w:rsidRPr="00163BEF">
              <w:rPr>
                <w:lang w:val="en-AU"/>
              </w:rPr>
              <w:t xml:space="preserve">December 2012. </w:t>
            </w:r>
          </w:p>
        </w:tc>
      </w:tr>
      <w:tr w:rsidR="00FB2EC5" w:rsidRPr="00163BEF" w:rsidDel="005B2AE4" w14:paraId="36D92F25" w14:textId="77777777" w:rsidTr="006E364D">
        <w:trPr>
          <w:cantSplit/>
          <w:trHeight w:val="360"/>
        </w:trPr>
        <w:tc>
          <w:tcPr>
            <w:tcW w:w="2268" w:type="dxa"/>
          </w:tcPr>
          <w:p w14:paraId="789FC720" w14:textId="51FFFA17" w:rsidR="00FB2EC5" w:rsidRPr="00163BEF" w:rsidDel="005B2AE4" w:rsidRDefault="00FB2EC5" w:rsidP="004F506A">
            <w:pPr>
              <w:rPr>
                <w:lang w:val="en-AU"/>
              </w:rPr>
            </w:pPr>
            <w:r w:rsidRPr="00163BEF">
              <w:t>excluded network access services</w:t>
            </w:r>
          </w:p>
        </w:tc>
        <w:tc>
          <w:tcPr>
            <w:tcW w:w="6946" w:type="dxa"/>
            <w:tcMar>
              <w:right w:w="567" w:type="dxa"/>
            </w:tcMar>
          </w:tcPr>
          <w:p w14:paraId="24A7078B" w14:textId="7B75DEB6" w:rsidR="00FB2EC5" w:rsidRPr="00163BEF" w:rsidDel="005B2AE4" w:rsidRDefault="00FB2EC5" w:rsidP="00956103">
            <w:pPr>
              <w:rPr>
                <w:lang w:val="en-AU"/>
              </w:rPr>
            </w:pPr>
            <w:r w:rsidRPr="00163BEF">
              <w:t xml:space="preserve">The network access services specified in Schedule 3 </w:t>
            </w:r>
            <w:r w:rsidR="00956103">
              <w:t>of the 2014 Network Price Determination</w:t>
            </w:r>
            <w:r w:rsidRPr="00163BEF">
              <w:t xml:space="preserve"> which are services supplied by PWC Networks for which the associated costs and revenue are excluded from the 2014 Network Price Determination.</w:t>
            </w:r>
          </w:p>
        </w:tc>
      </w:tr>
      <w:tr w:rsidR="00FB2EC5" w:rsidRPr="00163BEF" w:rsidDel="005B2AE4" w14:paraId="5AF208F4" w14:textId="77777777" w:rsidTr="006E364D">
        <w:trPr>
          <w:cantSplit/>
          <w:trHeight w:val="360"/>
        </w:trPr>
        <w:tc>
          <w:tcPr>
            <w:tcW w:w="2268" w:type="dxa"/>
          </w:tcPr>
          <w:p w14:paraId="17757D1B" w14:textId="0A5513B6" w:rsidR="00FB2EC5" w:rsidRPr="00163BEF" w:rsidDel="005B2AE4" w:rsidRDefault="007B0DFB" w:rsidP="004F506A">
            <w:pPr>
              <w:rPr>
                <w:lang w:val="en-AU"/>
              </w:rPr>
            </w:pPr>
            <w:r>
              <w:t>e</w:t>
            </w:r>
            <w:r w:rsidR="00FB2EC5" w:rsidRPr="00163BEF">
              <w:t>xtension</w:t>
            </w:r>
          </w:p>
        </w:tc>
        <w:tc>
          <w:tcPr>
            <w:tcW w:w="6946" w:type="dxa"/>
            <w:tcMar>
              <w:right w:w="567" w:type="dxa"/>
            </w:tcMar>
          </w:tcPr>
          <w:p w14:paraId="114D3B8B" w14:textId="6493F5FD" w:rsidR="00FB2EC5" w:rsidRPr="00163BEF" w:rsidDel="005B2AE4" w:rsidRDefault="00FB2EC5" w:rsidP="007F1CB8">
            <w:pPr>
              <w:rPr>
                <w:lang w:val="en-AU"/>
              </w:rPr>
            </w:pPr>
            <w:r w:rsidRPr="00163BEF">
              <w:t>Has the meaning given in the Network Access Code.</w:t>
            </w:r>
          </w:p>
        </w:tc>
      </w:tr>
      <w:tr w:rsidR="005B2AE4" w:rsidRPr="00163BEF" w14:paraId="388FDF46" w14:textId="77777777" w:rsidTr="006E364D">
        <w:trPr>
          <w:cantSplit/>
          <w:trHeight w:val="360"/>
        </w:trPr>
        <w:tc>
          <w:tcPr>
            <w:tcW w:w="2268" w:type="dxa"/>
          </w:tcPr>
          <w:p w14:paraId="0ABEDC98" w14:textId="16C43607" w:rsidR="005B2AE4" w:rsidRPr="00163BEF" w:rsidRDefault="005B2AE4" w:rsidP="004F506A">
            <w:pPr>
              <w:rPr>
                <w:lang w:val="en-AU"/>
              </w:rPr>
            </w:pPr>
            <w:r w:rsidRPr="00163BEF">
              <w:t>Final Determination</w:t>
            </w:r>
          </w:p>
        </w:tc>
        <w:tc>
          <w:tcPr>
            <w:tcW w:w="6946" w:type="dxa"/>
            <w:tcMar>
              <w:right w:w="567" w:type="dxa"/>
            </w:tcMar>
          </w:tcPr>
          <w:p w14:paraId="57216E43" w14:textId="005976D3" w:rsidR="005B2AE4" w:rsidRPr="00163BEF" w:rsidRDefault="005B2AE4" w:rsidP="007F1CB8">
            <w:pPr>
              <w:rPr>
                <w:lang w:val="en-AU"/>
              </w:rPr>
            </w:pPr>
            <w:r w:rsidRPr="00163BEF">
              <w:t xml:space="preserve">The Statement of Reasons and the 2014 Network Price Determination. </w:t>
            </w:r>
          </w:p>
        </w:tc>
      </w:tr>
      <w:tr w:rsidR="00D21B92" w:rsidRPr="00163BEF" w14:paraId="7DD47CF7" w14:textId="77777777" w:rsidTr="006E364D">
        <w:trPr>
          <w:cantSplit/>
          <w:trHeight w:val="360"/>
        </w:trPr>
        <w:tc>
          <w:tcPr>
            <w:tcW w:w="2268" w:type="dxa"/>
          </w:tcPr>
          <w:p w14:paraId="0FA1B479" w14:textId="77777777" w:rsidR="00D21B92" w:rsidRPr="00163BEF" w:rsidRDefault="00D21B92" w:rsidP="004F506A">
            <w:pPr>
              <w:rPr>
                <w:lang w:val="en-AU"/>
              </w:rPr>
            </w:pPr>
            <w:r w:rsidRPr="00163BEF">
              <w:rPr>
                <w:lang w:val="en-AU"/>
              </w:rPr>
              <w:t>Framework statement</w:t>
            </w:r>
          </w:p>
        </w:tc>
        <w:tc>
          <w:tcPr>
            <w:tcW w:w="6946" w:type="dxa"/>
            <w:tcMar>
              <w:right w:w="567" w:type="dxa"/>
            </w:tcMar>
          </w:tcPr>
          <w:p w14:paraId="49954067" w14:textId="06C982FD" w:rsidR="00D21B92" w:rsidRPr="00163BEF" w:rsidRDefault="00D21B92" w:rsidP="007B0DFB">
            <w:pPr>
              <w:rPr>
                <w:rFonts w:cs="Arial"/>
                <w:szCs w:val="22"/>
                <w:lang w:val="en-AU"/>
              </w:rPr>
            </w:pPr>
            <w:r w:rsidRPr="00163BEF">
              <w:rPr>
                <w:lang w:val="en-AU"/>
              </w:rPr>
              <w:t xml:space="preserve">The </w:t>
            </w:r>
            <w:r w:rsidR="007B0DFB">
              <w:rPr>
                <w:lang w:val="en-AU"/>
              </w:rPr>
              <w:t>‘</w:t>
            </w:r>
            <w:r w:rsidR="005B2AE4" w:rsidRPr="00163BEF">
              <w:rPr>
                <w:lang w:val="en-AU"/>
              </w:rPr>
              <w:t>2014-2019 Network Price Determination – Framework and Approach</w:t>
            </w:r>
            <w:r w:rsidR="000B637D" w:rsidRPr="00163BEF">
              <w:rPr>
                <w:lang w:val="en-AU"/>
              </w:rPr>
              <w:t>’</w:t>
            </w:r>
            <w:r w:rsidR="005B2AE4" w:rsidRPr="00163BEF">
              <w:rPr>
                <w:lang w:val="en-AU"/>
              </w:rPr>
              <w:t xml:space="preserve"> decision paper published by the </w:t>
            </w:r>
            <w:r w:rsidRPr="00163BEF">
              <w:rPr>
                <w:lang w:val="en-AU"/>
              </w:rPr>
              <w:t>Commission</w:t>
            </w:r>
            <w:r w:rsidR="00905AF8">
              <w:rPr>
                <w:lang w:val="en-AU"/>
              </w:rPr>
              <w:t xml:space="preserve"> </w:t>
            </w:r>
            <w:r w:rsidR="005B2AE4" w:rsidRPr="00163BEF">
              <w:rPr>
                <w:lang w:val="en-AU"/>
              </w:rPr>
              <w:t>in</w:t>
            </w:r>
            <w:r w:rsidRPr="00163BEF">
              <w:rPr>
                <w:lang w:val="en-AU"/>
              </w:rPr>
              <w:t xml:space="preserve"> November 2012</w:t>
            </w:r>
            <w:r w:rsidR="00905AF8">
              <w:rPr>
                <w:lang w:val="en-AU"/>
              </w:rPr>
              <w:t>.</w:t>
            </w:r>
            <w:r w:rsidR="00905AF8">
              <w:rPr>
                <w:rStyle w:val="FootnoteReference"/>
                <w:lang w:val="en-AU"/>
              </w:rPr>
              <w:footnoteReference w:id="4"/>
            </w:r>
          </w:p>
        </w:tc>
      </w:tr>
      <w:tr w:rsidR="003145D9" w:rsidRPr="00163BEF" w14:paraId="35B3A11D" w14:textId="77777777" w:rsidTr="006E364D">
        <w:trPr>
          <w:cantSplit/>
          <w:trHeight w:val="360"/>
        </w:trPr>
        <w:tc>
          <w:tcPr>
            <w:tcW w:w="2268" w:type="dxa"/>
          </w:tcPr>
          <w:p w14:paraId="21E6ED41" w14:textId="51090E93" w:rsidR="003145D9" w:rsidRPr="00163BEF" w:rsidRDefault="003145D9" w:rsidP="0096684F">
            <w:pPr>
              <w:rPr>
                <w:lang w:val="en-AU"/>
              </w:rPr>
            </w:pPr>
            <w:r w:rsidRPr="00163BEF">
              <w:t>generally accepted regulatory practice</w:t>
            </w:r>
          </w:p>
        </w:tc>
        <w:tc>
          <w:tcPr>
            <w:tcW w:w="6946" w:type="dxa"/>
            <w:tcMar>
              <w:right w:w="567" w:type="dxa"/>
            </w:tcMar>
          </w:tcPr>
          <w:p w14:paraId="33288CF0" w14:textId="638103D4" w:rsidR="003145D9" w:rsidRPr="00163BEF" w:rsidRDefault="003145D9" w:rsidP="0096684F">
            <w:pPr>
              <w:rPr>
                <w:lang w:val="en-AU"/>
              </w:rPr>
            </w:pPr>
            <w:r w:rsidRPr="00163BEF">
              <w:t>The conventions, rules and procedures in use at a particular time by leading jurisdictional regulators in Australia when choosing and applying economic regulation methodologies to a power system for the generation, transmission, distribution and supply of electricity and consistent with applicable laws.</w:t>
            </w:r>
          </w:p>
        </w:tc>
      </w:tr>
      <w:tr w:rsidR="003145D9" w:rsidRPr="00163BEF" w14:paraId="3F1561CC" w14:textId="77777777" w:rsidTr="006E364D">
        <w:trPr>
          <w:cantSplit/>
          <w:trHeight w:val="360"/>
        </w:trPr>
        <w:tc>
          <w:tcPr>
            <w:tcW w:w="2268" w:type="dxa"/>
          </w:tcPr>
          <w:p w14:paraId="4B01C442" w14:textId="08D2E399" w:rsidR="003145D9" w:rsidRPr="00163BEF" w:rsidRDefault="005276EC" w:rsidP="0096684F">
            <w:pPr>
              <w:rPr>
                <w:lang w:val="en-AU"/>
              </w:rPr>
            </w:pPr>
            <w:r>
              <w:t>g</w:t>
            </w:r>
            <w:r w:rsidR="003145D9" w:rsidRPr="00163BEF">
              <w:t>enerator</w:t>
            </w:r>
          </w:p>
        </w:tc>
        <w:tc>
          <w:tcPr>
            <w:tcW w:w="6946" w:type="dxa"/>
            <w:tcMar>
              <w:right w:w="567" w:type="dxa"/>
            </w:tcMar>
          </w:tcPr>
          <w:p w14:paraId="1DD2E7DA" w14:textId="413D054E" w:rsidR="003145D9" w:rsidRPr="00163BEF" w:rsidRDefault="003145D9" w:rsidP="009468DE">
            <w:pPr>
              <w:rPr>
                <w:lang w:val="en-AU"/>
              </w:rPr>
            </w:pPr>
            <w:r w:rsidRPr="00163BEF">
              <w:t xml:space="preserve">A person who is authorised by licence to generate electricity under the </w:t>
            </w:r>
            <w:r w:rsidRPr="003419BE">
              <w:rPr>
                <w:i/>
              </w:rPr>
              <w:t>Electricity Reform Act</w:t>
            </w:r>
            <w:r w:rsidRPr="00163BEF">
              <w:t xml:space="preserve"> or is exempt from the requirement to be licenced to generate electricity under the </w:t>
            </w:r>
            <w:r w:rsidRPr="003419BE">
              <w:rPr>
                <w:i/>
              </w:rPr>
              <w:t>Electricity Reform Act</w:t>
            </w:r>
            <w:r w:rsidRPr="00163BEF">
              <w:t>.</w:t>
            </w:r>
          </w:p>
        </w:tc>
      </w:tr>
      <w:tr w:rsidR="00893266" w:rsidRPr="00163BEF" w14:paraId="331BD63B" w14:textId="77777777" w:rsidTr="006E364D">
        <w:trPr>
          <w:cantSplit/>
          <w:trHeight w:val="360"/>
        </w:trPr>
        <w:tc>
          <w:tcPr>
            <w:tcW w:w="2268" w:type="dxa"/>
          </w:tcPr>
          <w:p w14:paraId="1847F311" w14:textId="01E75012" w:rsidR="00893266" w:rsidRPr="00163BEF" w:rsidRDefault="00893266" w:rsidP="0096684F">
            <w:pPr>
              <w:rPr>
                <w:lang w:val="en-AU"/>
              </w:rPr>
            </w:pPr>
            <w:r w:rsidRPr="00163BEF">
              <w:rPr>
                <w:lang w:val="en-AU"/>
              </w:rPr>
              <w:t>GSL</w:t>
            </w:r>
            <w:r w:rsidR="009D17F7" w:rsidRPr="00163BEF">
              <w:rPr>
                <w:lang w:val="en-AU"/>
              </w:rPr>
              <w:t xml:space="preserve"> or guaranteed service level</w:t>
            </w:r>
          </w:p>
        </w:tc>
        <w:tc>
          <w:tcPr>
            <w:tcW w:w="6946" w:type="dxa"/>
            <w:tcMar>
              <w:right w:w="567" w:type="dxa"/>
            </w:tcMar>
          </w:tcPr>
          <w:p w14:paraId="1B44A287" w14:textId="412082FA" w:rsidR="00893266" w:rsidRPr="00163BEF" w:rsidRDefault="009D17F7" w:rsidP="0096684F">
            <w:pPr>
              <w:rPr>
                <w:lang w:val="en-AU"/>
              </w:rPr>
            </w:pPr>
            <w:r w:rsidRPr="00163BEF">
              <w:rPr>
                <w:lang w:val="en-AU"/>
              </w:rPr>
              <w:t>The minimum guaranteed service level which retail customers are entitled to receive from PWC Networks, as defined in the GSL Code.</w:t>
            </w:r>
          </w:p>
        </w:tc>
      </w:tr>
      <w:tr w:rsidR="00694B7B" w:rsidRPr="00163BEF" w14:paraId="678C634D" w14:textId="77777777" w:rsidTr="006E364D">
        <w:trPr>
          <w:cantSplit/>
          <w:trHeight w:val="360"/>
        </w:trPr>
        <w:tc>
          <w:tcPr>
            <w:tcW w:w="2268" w:type="dxa"/>
          </w:tcPr>
          <w:p w14:paraId="4DF67052" w14:textId="77777777" w:rsidR="00694B7B" w:rsidRPr="00163BEF" w:rsidRDefault="00694B7B" w:rsidP="004F506A">
            <w:pPr>
              <w:rPr>
                <w:lang w:val="en-AU"/>
              </w:rPr>
            </w:pPr>
            <w:r w:rsidRPr="00163BEF">
              <w:rPr>
                <w:lang w:val="en-AU"/>
              </w:rPr>
              <w:t>GSL</w:t>
            </w:r>
            <w:r w:rsidR="00893266" w:rsidRPr="00163BEF">
              <w:rPr>
                <w:lang w:val="en-AU"/>
              </w:rPr>
              <w:t xml:space="preserve"> Code</w:t>
            </w:r>
          </w:p>
        </w:tc>
        <w:tc>
          <w:tcPr>
            <w:tcW w:w="6946" w:type="dxa"/>
            <w:tcMar>
              <w:right w:w="567" w:type="dxa"/>
            </w:tcMar>
          </w:tcPr>
          <w:p w14:paraId="023FE04C" w14:textId="1B8687F1" w:rsidR="00694B7B" w:rsidRPr="00163BEF" w:rsidRDefault="00694B7B" w:rsidP="00360B25">
            <w:pPr>
              <w:rPr>
                <w:lang w:val="en-AU"/>
              </w:rPr>
            </w:pPr>
            <w:r w:rsidRPr="00163BEF">
              <w:rPr>
                <w:lang w:val="en-AU"/>
              </w:rPr>
              <w:t xml:space="preserve">Guaranteed </w:t>
            </w:r>
            <w:r w:rsidR="00893266" w:rsidRPr="00163BEF">
              <w:rPr>
                <w:lang w:val="en-AU"/>
              </w:rPr>
              <w:t>S</w:t>
            </w:r>
            <w:r w:rsidRPr="00163BEF">
              <w:rPr>
                <w:lang w:val="en-AU"/>
              </w:rPr>
              <w:t xml:space="preserve">ervice </w:t>
            </w:r>
            <w:r w:rsidR="00893266" w:rsidRPr="00163BEF">
              <w:rPr>
                <w:lang w:val="en-AU"/>
              </w:rPr>
              <w:t>L</w:t>
            </w:r>
            <w:r w:rsidRPr="00163BEF">
              <w:rPr>
                <w:lang w:val="en-AU"/>
              </w:rPr>
              <w:t>evel</w:t>
            </w:r>
            <w:r w:rsidR="00893266" w:rsidRPr="00163BEF">
              <w:rPr>
                <w:lang w:val="en-AU"/>
              </w:rPr>
              <w:t xml:space="preserve"> Code</w:t>
            </w:r>
            <w:r w:rsidR="00E149C6">
              <w:rPr>
                <w:lang w:val="en-AU"/>
              </w:rPr>
              <w:t>,</w:t>
            </w:r>
            <w:r w:rsidR="00893266" w:rsidRPr="00163BEF">
              <w:rPr>
                <w:lang w:val="en-AU"/>
              </w:rPr>
              <w:t xml:space="preserve"> which took effect from 1</w:t>
            </w:r>
            <w:r w:rsidR="00360B25" w:rsidRPr="00163BEF">
              <w:rPr>
                <w:lang w:val="en-AU"/>
              </w:rPr>
              <w:t> </w:t>
            </w:r>
            <w:r w:rsidR="00893266" w:rsidRPr="00163BEF">
              <w:rPr>
                <w:lang w:val="en-AU"/>
              </w:rPr>
              <w:t>January 2012</w:t>
            </w:r>
            <w:r w:rsidR="009D17F7" w:rsidRPr="00163BEF">
              <w:rPr>
                <w:lang w:val="en-AU"/>
              </w:rPr>
              <w:t xml:space="preserve"> </w:t>
            </w:r>
            <w:r w:rsidR="00E149C6">
              <w:rPr>
                <w:lang w:val="en-AU"/>
              </w:rPr>
              <w:t xml:space="preserve">and </w:t>
            </w:r>
            <w:r w:rsidR="009D17F7" w:rsidRPr="00163BEF">
              <w:rPr>
                <w:lang w:val="en-AU"/>
              </w:rPr>
              <w:t>as amended from time to time.</w:t>
            </w:r>
          </w:p>
        </w:tc>
      </w:tr>
      <w:tr w:rsidR="005B1AF3" w:rsidRPr="00163BEF" w14:paraId="07D236FC" w14:textId="77777777" w:rsidTr="006E364D">
        <w:trPr>
          <w:cantSplit/>
          <w:trHeight w:val="360"/>
        </w:trPr>
        <w:tc>
          <w:tcPr>
            <w:tcW w:w="2268" w:type="dxa"/>
          </w:tcPr>
          <w:p w14:paraId="70668116" w14:textId="269410C1" w:rsidR="005B1AF3" w:rsidRPr="00163BEF" w:rsidRDefault="005B1AF3" w:rsidP="004F506A">
            <w:pPr>
              <w:rPr>
                <w:lang w:val="en-AU"/>
              </w:rPr>
            </w:pPr>
            <w:r>
              <w:rPr>
                <w:lang w:val="en-AU"/>
              </w:rPr>
              <w:t>GSL payment</w:t>
            </w:r>
          </w:p>
        </w:tc>
        <w:tc>
          <w:tcPr>
            <w:tcW w:w="6946" w:type="dxa"/>
            <w:tcMar>
              <w:right w:w="567" w:type="dxa"/>
            </w:tcMar>
          </w:tcPr>
          <w:p w14:paraId="277327FF" w14:textId="272F12D2" w:rsidR="005B1AF3" w:rsidRPr="00163BEF" w:rsidRDefault="005B1AF3" w:rsidP="00F33BD0">
            <w:pPr>
              <w:rPr>
                <w:lang w:val="en-AU"/>
              </w:rPr>
            </w:pPr>
            <w:r w:rsidRPr="005B1AF3">
              <w:rPr>
                <w:lang w:val="en-AU"/>
              </w:rPr>
              <w:t>A payment made, or required to be made, by PWC Networks to a retail customer when the retail customer received service at a level worse than the prescribed GSL. PWC Networks must make GSL payments in accordance with the GSL Code.</w:t>
            </w:r>
          </w:p>
        </w:tc>
      </w:tr>
      <w:tr w:rsidR="00531287" w:rsidRPr="00163BEF" w14:paraId="64D681CB" w14:textId="77777777" w:rsidTr="006E364D">
        <w:trPr>
          <w:cantSplit/>
          <w:trHeight w:val="360"/>
        </w:trPr>
        <w:tc>
          <w:tcPr>
            <w:tcW w:w="2268" w:type="dxa"/>
          </w:tcPr>
          <w:p w14:paraId="0FCA7AD0" w14:textId="77777777" w:rsidR="00531287" w:rsidRPr="00163BEF" w:rsidRDefault="00531287" w:rsidP="004F506A">
            <w:pPr>
              <w:rPr>
                <w:lang w:val="en-AU"/>
              </w:rPr>
            </w:pPr>
            <w:r w:rsidRPr="00163BEF">
              <w:rPr>
                <w:lang w:val="en-AU"/>
              </w:rPr>
              <w:t>GWh</w:t>
            </w:r>
          </w:p>
        </w:tc>
        <w:tc>
          <w:tcPr>
            <w:tcW w:w="6946" w:type="dxa"/>
            <w:tcMar>
              <w:right w:w="567" w:type="dxa"/>
            </w:tcMar>
          </w:tcPr>
          <w:p w14:paraId="65D62F03" w14:textId="53CDE124" w:rsidR="00531287" w:rsidRPr="00163BEF" w:rsidRDefault="00531287" w:rsidP="00F33BD0">
            <w:pPr>
              <w:rPr>
                <w:lang w:val="en-AU"/>
              </w:rPr>
            </w:pPr>
            <w:r w:rsidRPr="00163BEF">
              <w:rPr>
                <w:lang w:val="en-AU"/>
              </w:rPr>
              <w:t>Gigawatt hour</w:t>
            </w:r>
            <w:r w:rsidR="005148AF">
              <w:rPr>
                <w:lang w:val="en-AU"/>
              </w:rPr>
              <w:t>.</w:t>
            </w:r>
          </w:p>
        </w:tc>
      </w:tr>
      <w:tr w:rsidR="005148AF" w:rsidRPr="00163BEF" w14:paraId="3168E8A6" w14:textId="77777777" w:rsidTr="005B1AF3">
        <w:trPr>
          <w:cantSplit/>
          <w:trHeight w:val="360"/>
        </w:trPr>
        <w:tc>
          <w:tcPr>
            <w:tcW w:w="2268" w:type="dxa"/>
          </w:tcPr>
          <w:p w14:paraId="7FD63AB3" w14:textId="7571C3AD" w:rsidR="005148AF" w:rsidRPr="00163BEF" w:rsidRDefault="005148AF" w:rsidP="005B1AF3">
            <w:pPr>
              <w:rPr>
                <w:lang w:val="en-AU"/>
              </w:rPr>
            </w:pPr>
            <w:r>
              <w:t>initial</w:t>
            </w:r>
            <w:r w:rsidRPr="00163BEF">
              <w:t xml:space="preserve"> regulatory proposal </w:t>
            </w:r>
          </w:p>
        </w:tc>
        <w:tc>
          <w:tcPr>
            <w:tcW w:w="6946" w:type="dxa"/>
            <w:tcMar>
              <w:right w:w="567" w:type="dxa"/>
            </w:tcMar>
          </w:tcPr>
          <w:p w14:paraId="5896EF58" w14:textId="2BFB9A8E" w:rsidR="005148AF" w:rsidRPr="00163BEF" w:rsidRDefault="005148AF" w:rsidP="005148AF">
            <w:pPr>
              <w:rPr>
                <w:lang w:val="en-AU"/>
              </w:rPr>
            </w:pPr>
            <w:r>
              <w:t>The initial regulatory proposal submitted by PWC Networks to the Commission in September 2013.</w:t>
            </w:r>
          </w:p>
        </w:tc>
      </w:tr>
      <w:tr w:rsidR="009D17F7" w:rsidRPr="00163BEF" w14:paraId="32B38269" w14:textId="77777777" w:rsidTr="006E364D">
        <w:trPr>
          <w:cantSplit/>
          <w:trHeight w:val="360"/>
        </w:trPr>
        <w:tc>
          <w:tcPr>
            <w:tcW w:w="2268" w:type="dxa"/>
          </w:tcPr>
          <w:p w14:paraId="4CFB73C7" w14:textId="73068B53" w:rsidR="009D17F7" w:rsidRPr="00163BEF" w:rsidRDefault="009D17F7" w:rsidP="004F506A">
            <w:pPr>
              <w:rPr>
                <w:lang w:val="en-AU"/>
              </w:rPr>
            </w:pPr>
            <w:r w:rsidRPr="00163BEF">
              <w:t>insurance event</w:t>
            </w:r>
          </w:p>
        </w:tc>
        <w:tc>
          <w:tcPr>
            <w:tcW w:w="6946" w:type="dxa"/>
            <w:tcMar>
              <w:right w:w="567" w:type="dxa"/>
            </w:tcMar>
          </w:tcPr>
          <w:p w14:paraId="65957B99" w14:textId="5D1BDA99" w:rsidR="009D17F7" w:rsidRPr="00163BEF" w:rsidRDefault="009D17F7" w:rsidP="007F1CB8">
            <w:pPr>
              <w:rPr>
                <w:lang w:val="en-AU"/>
              </w:rPr>
            </w:pPr>
            <w:r w:rsidRPr="00163BEF">
              <w:t>An insurer credit risk event or a liability above insurance cap event.</w:t>
            </w:r>
          </w:p>
        </w:tc>
      </w:tr>
      <w:tr w:rsidR="009D17F7" w:rsidRPr="00163BEF" w14:paraId="068F1A3C" w14:textId="77777777" w:rsidTr="006E364D">
        <w:trPr>
          <w:cantSplit/>
          <w:trHeight w:val="360"/>
        </w:trPr>
        <w:tc>
          <w:tcPr>
            <w:tcW w:w="2268" w:type="dxa"/>
          </w:tcPr>
          <w:p w14:paraId="3BAB8EA6" w14:textId="764ADCB2" w:rsidR="009D17F7" w:rsidRPr="00163BEF" w:rsidRDefault="009D17F7" w:rsidP="004F506A">
            <w:pPr>
              <w:rPr>
                <w:lang w:val="en-AU"/>
              </w:rPr>
            </w:pPr>
            <w:r w:rsidRPr="00163BEF">
              <w:rPr>
                <w:lang w:val="en-AU"/>
              </w:rPr>
              <w:t>insurer credit risk event</w:t>
            </w:r>
          </w:p>
        </w:tc>
        <w:tc>
          <w:tcPr>
            <w:tcW w:w="6946" w:type="dxa"/>
            <w:tcMar>
              <w:right w:w="567" w:type="dxa"/>
            </w:tcMar>
          </w:tcPr>
          <w:p w14:paraId="0CDD633F" w14:textId="77777777" w:rsidR="009D17F7" w:rsidRPr="00163BEF" w:rsidRDefault="009D17F7" w:rsidP="009D17F7">
            <w:pPr>
              <w:rPr>
                <w:lang w:val="en-AU"/>
              </w:rPr>
            </w:pPr>
            <w:r w:rsidRPr="00163BEF">
              <w:rPr>
                <w:lang w:val="en-AU"/>
              </w:rPr>
              <w:t>The insolvency of a nominated insurer of PWC Networks, as a result of which PWC Networks:</w:t>
            </w:r>
          </w:p>
          <w:p w14:paraId="24351C1D" w14:textId="788982C3" w:rsidR="009D17F7" w:rsidRPr="00163BEF" w:rsidRDefault="009D17F7" w:rsidP="00243FBE">
            <w:pPr>
              <w:pStyle w:val="UtilComBulletText"/>
              <w:numPr>
                <w:ilvl w:val="0"/>
                <w:numId w:val="36"/>
              </w:numPr>
              <w:tabs>
                <w:tab w:val="clear" w:pos="1106"/>
                <w:tab w:val="clear" w:pos="1134"/>
                <w:tab w:val="num" w:pos="459"/>
              </w:tabs>
              <w:ind w:left="459" w:hanging="459"/>
            </w:pPr>
            <w:r w:rsidRPr="00163BEF">
              <w:t>incurs materially higher or lower costs for insurance premiums than those allowed for in the 2014 Network Price Determination; and</w:t>
            </w:r>
          </w:p>
          <w:p w14:paraId="3F8C5B15" w14:textId="09F78266" w:rsidR="009D17F7" w:rsidRPr="00163BEF" w:rsidRDefault="009D17F7" w:rsidP="00243FBE">
            <w:pPr>
              <w:pStyle w:val="UtilComBulletText"/>
              <w:numPr>
                <w:ilvl w:val="0"/>
                <w:numId w:val="36"/>
              </w:numPr>
              <w:tabs>
                <w:tab w:val="clear" w:pos="1106"/>
                <w:tab w:val="clear" w:pos="1134"/>
                <w:tab w:val="num" w:pos="459"/>
              </w:tabs>
              <w:ind w:left="459" w:hanging="459"/>
              <w:rPr>
                <w:lang w:val="en-AU"/>
              </w:rPr>
            </w:pPr>
            <w:r w:rsidRPr="00163BEF">
              <w:t>(in respect of a claim for a risk that would have been insured by that insurer) is subject to a materially higher or lower claim limit or a materially higher or lower deductible than would have applied under the policy but for the insolvency of that insurer.</w:t>
            </w:r>
          </w:p>
        </w:tc>
      </w:tr>
      <w:tr w:rsidR="00BD1077" w:rsidRPr="00163BEF" w14:paraId="5536A6E6" w14:textId="77777777" w:rsidTr="006E364D">
        <w:trPr>
          <w:cantSplit/>
          <w:trHeight w:val="360"/>
        </w:trPr>
        <w:tc>
          <w:tcPr>
            <w:tcW w:w="2268" w:type="dxa"/>
          </w:tcPr>
          <w:p w14:paraId="143E44AE" w14:textId="77777777" w:rsidR="00BD1077" w:rsidRPr="00163BEF" w:rsidRDefault="00BD1077" w:rsidP="004F506A">
            <w:pPr>
              <w:rPr>
                <w:lang w:val="en-AU"/>
              </w:rPr>
            </w:pPr>
            <w:r w:rsidRPr="00163BEF">
              <w:rPr>
                <w:lang w:val="en-AU"/>
              </w:rPr>
              <w:t>kVA</w:t>
            </w:r>
          </w:p>
        </w:tc>
        <w:tc>
          <w:tcPr>
            <w:tcW w:w="6946" w:type="dxa"/>
            <w:tcMar>
              <w:right w:w="567" w:type="dxa"/>
            </w:tcMar>
          </w:tcPr>
          <w:p w14:paraId="33DD8B52" w14:textId="1C42FD7E" w:rsidR="00BD1077" w:rsidRPr="00163BEF" w:rsidRDefault="00BD1077" w:rsidP="007F1CB8">
            <w:pPr>
              <w:rPr>
                <w:lang w:val="en-AU"/>
              </w:rPr>
            </w:pPr>
            <w:r w:rsidRPr="00163BEF">
              <w:rPr>
                <w:lang w:val="en-AU"/>
              </w:rPr>
              <w:t>Kilo-volt amperes</w:t>
            </w:r>
            <w:r w:rsidR="005148AF">
              <w:rPr>
                <w:lang w:val="en-AU"/>
              </w:rPr>
              <w:t>.</w:t>
            </w:r>
          </w:p>
        </w:tc>
      </w:tr>
      <w:tr w:rsidR="00C770E9" w:rsidRPr="00163BEF" w14:paraId="01FD0C4E" w14:textId="77777777" w:rsidTr="006E364D">
        <w:trPr>
          <w:cantSplit/>
          <w:trHeight w:val="360"/>
        </w:trPr>
        <w:tc>
          <w:tcPr>
            <w:tcW w:w="2268" w:type="dxa"/>
          </w:tcPr>
          <w:p w14:paraId="2CADA4CA" w14:textId="77777777" w:rsidR="00C770E9" w:rsidRPr="00163BEF" w:rsidRDefault="00C770E9" w:rsidP="004F506A">
            <w:pPr>
              <w:rPr>
                <w:lang w:val="en-AU"/>
              </w:rPr>
            </w:pPr>
            <w:r w:rsidRPr="00163BEF">
              <w:rPr>
                <w:lang w:val="en-AU"/>
              </w:rPr>
              <w:t>kVAr</w:t>
            </w:r>
          </w:p>
        </w:tc>
        <w:tc>
          <w:tcPr>
            <w:tcW w:w="6946" w:type="dxa"/>
            <w:tcMar>
              <w:right w:w="567" w:type="dxa"/>
            </w:tcMar>
          </w:tcPr>
          <w:p w14:paraId="1C97AE0E" w14:textId="51039554" w:rsidR="00C770E9" w:rsidRPr="00163BEF" w:rsidRDefault="00C770E9" w:rsidP="007F1CB8">
            <w:pPr>
              <w:rPr>
                <w:lang w:val="en-AU"/>
              </w:rPr>
            </w:pPr>
            <w:r w:rsidRPr="00163BEF">
              <w:rPr>
                <w:lang w:val="en-AU"/>
              </w:rPr>
              <w:t>Kilo-volt amperes reactive</w:t>
            </w:r>
            <w:r w:rsidR="005148AF">
              <w:rPr>
                <w:lang w:val="en-AU"/>
              </w:rPr>
              <w:t>.</w:t>
            </w:r>
          </w:p>
        </w:tc>
      </w:tr>
      <w:tr w:rsidR="008A49BA" w:rsidRPr="00163BEF" w14:paraId="138F99C7" w14:textId="77777777" w:rsidTr="006E364D">
        <w:trPr>
          <w:cantSplit/>
          <w:trHeight w:val="360"/>
        </w:trPr>
        <w:tc>
          <w:tcPr>
            <w:tcW w:w="2268" w:type="dxa"/>
          </w:tcPr>
          <w:p w14:paraId="63CDCF2C" w14:textId="77777777" w:rsidR="008A49BA" w:rsidRPr="00163BEF" w:rsidRDefault="008A49BA" w:rsidP="004F506A">
            <w:pPr>
              <w:rPr>
                <w:lang w:val="en-AU"/>
              </w:rPr>
            </w:pPr>
            <w:r w:rsidRPr="00163BEF">
              <w:rPr>
                <w:lang w:val="en-AU"/>
              </w:rPr>
              <w:t>LGANT</w:t>
            </w:r>
          </w:p>
        </w:tc>
        <w:tc>
          <w:tcPr>
            <w:tcW w:w="6946" w:type="dxa"/>
            <w:tcMar>
              <w:right w:w="567" w:type="dxa"/>
            </w:tcMar>
          </w:tcPr>
          <w:p w14:paraId="6991A5B9" w14:textId="11848718" w:rsidR="008A49BA" w:rsidRPr="00163BEF" w:rsidRDefault="008A49BA" w:rsidP="007F1CB8">
            <w:pPr>
              <w:rPr>
                <w:lang w:val="en-AU"/>
              </w:rPr>
            </w:pPr>
            <w:r w:rsidRPr="00163BEF">
              <w:rPr>
                <w:lang w:val="en-AU"/>
              </w:rPr>
              <w:t>Local Government Association of the Northern Territory</w:t>
            </w:r>
            <w:r w:rsidR="005148AF">
              <w:rPr>
                <w:lang w:val="en-AU"/>
              </w:rPr>
              <w:t>.</w:t>
            </w:r>
          </w:p>
        </w:tc>
      </w:tr>
      <w:tr w:rsidR="009D17F7" w:rsidRPr="00163BEF" w14:paraId="184FE929" w14:textId="77777777" w:rsidTr="006E364D">
        <w:trPr>
          <w:cantSplit/>
          <w:trHeight w:val="360"/>
        </w:trPr>
        <w:tc>
          <w:tcPr>
            <w:tcW w:w="2268" w:type="dxa"/>
          </w:tcPr>
          <w:p w14:paraId="56213B46" w14:textId="1249557F" w:rsidR="009D17F7" w:rsidRPr="00163BEF" w:rsidRDefault="009D17F7" w:rsidP="004F506A">
            <w:pPr>
              <w:rPr>
                <w:lang w:val="en-AU"/>
              </w:rPr>
            </w:pPr>
            <w:r w:rsidRPr="00163BEF">
              <w:t>liability above insurance cap event</w:t>
            </w:r>
          </w:p>
        </w:tc>
        <w:tc>
          <w:tcPr>
            <w:tcW w:w="6946" w:type="dxa"/>
            <w:tcMar>
              <w:right w:w="567" w:type="dxa"/>
            </w:tcMar>
          </w:tcPr>
          <w:p w14:paraId="53EBCE23" w14:textId="22619772" w:rsidR="009D17F7" w:rsidRPr="00163BEF" w:rsidRDefault="009D17F7" w:rsidP="007F1CB8">
            <w:pPr>
              <w:rPr>
                <w:lang w:val="en-AU"/>
              </w:rPr>
            </w:pPr>
            <w:r w:rsidRPr="00163BEF">
              <w:t>Any event beyond the control of PWC Networks for which external insurance has been provided and the loss suffered by PWC Networks as a result of the occurrence of that event exceeds the policy limit under that insurance and the excess loss borne by PWC Networks materially increases the costs to PWC Networks of providing the regulated network access services.</w:t>
            </w:r>
          </w:p>
        </w:tc>
      </w:tr>
      <w:tr w:rsidR="00DD00BD" w:rsidRPr="00163BEF" w14:paraId="074F683E" w14:textId="77777777" w:rsidTr="00CB4726">
        <w:trPr>
          <w:cantSplit/>
          <w:trHeight w:val="360"/>
        </w:trPr>
        <w:tc>
          <w:tcPr>
            <w:tcW w:w="2268" w:type="dxa"/>
          </w:tcPr>
          <w:p w14:paraId="75CC7A78" w14:textId="15A7B208" w:rsidR="00DD00BD" w:rsidRPr="00163BEF" w:rsidRDefault="007B0DFB" w:rsidP="00CB4726">
            <w:r>
              <w:t>m</w:t>
            </w:r>
            <w:r w:rsidR="00DD00BD">
              <w:t>aintenance costs</w:t>
            </w:r>
          </w:p>
        </w:tc>
        <w:tc>
          <w:tcPr>
            <w:tcW w:w="6946" w:type="dxa"/>
            <w:tcMar>
              <w:right w:w="567" w:type="dxa"/>
            </w:tcMar>
          </w:tcPr>
          <w:p w14:paraId="40834734" w14:textId="77777777" w:rsidR="00DD00BD" w:rsidRPr="00163BEF" w:rsidRDefault="00DD00BD" w:rsidP="00CB4726">
            <w:r>
              <w:t>Expenditure relating to the maintenance of the PWC Network electricity network.</w:t>
            </w:r>
          </w:p>
        </w:tc>
      </w:tr>
      <w:tr w:rsidR="00C82700" w:rsidRPr="00163BEF" w14:paraId="04AA890C" w14:textId="77777777" w:rsidTr="006E364D">
        <w:trPr>
          <w:cantSplit/>
          <w:trHeight w:val="360"/>
        </w:trPr>
        <w:tc>
          <w:tcPr>
            <w:tcW w:w="2268" w:type="dxa"/>
          </w:tcPr>
          <w:p w14:paraId="57EBDC10" w14:textId="1B136047" w:rsidR="00C82700" w:rsidRPr="00163BEF" w:rsidRDefault="007B0DFB" w:rsidP="004F506A">
            <w:pPr>
              <w:rPr>
                <w:lang w:val="en-AU"/>
              </w:rPr>
            </w:pPr>
            <w:r>
              <w:t>m</w:t>
            </w:r>
            <w:r w:rsidR="00C82700" w:rsidRPr="00163BEF">
              <w:t>aterially</w:t>
            </w:r>
          </w:p>
        </w:tc>
        <w:tc>
          <w:tcPr>
            <w:tcW w:w="6946" w:type="dxa"/>
            <w:tcMar>
              <w:right w:w="567" w:type="dxa"/>
            </w:tcMar>
          </w:tcPr>
          <w:p w14:paraId="0E66467B" w14:textId="1C2745FF" w:rsidR="00C82700" w:rsidRPr="00163BEF" w:rsidRDefault="006A5F67" w:rsidP="007B0DFB">
            <w:pPr>
              <w:rPr>
                <w:rFonts w:cs="Arial"/>
                <w:szCs w:val="22"/>
                <w:lang w:val="en-AU"/>
              </w:rPr>
            </w:pPr>
            <w:r>
              <w:t>For the purposes of the application of clause 3.1 of the 2014</w:t>
            </w:r>
            <w:r w:rsidR="0039640E">
              <w:t> </w:t>
            </w:r>
            <w:r>
              <w:t>Network Price Determination, a</w:t>
            </w:r>
            <w:r w:rsidR="00C82700" w:rsidRPr="00163BEF">
              <w:t xml:space="preserve">n event </w:t>
            </w:r>
            <w:r w:rsidR="003419BE">
              <w:t xml:space="preserve">that </w:t>
            </w:r>
            <w:r w:rsidR="00C82700" w:rsidRPr="00163BEF">
              <w:t>results in PWC Networks incurring materially higher or materially lower costs if the change in costs (as opposed to the revenue impact) that PWC Networks incurred and is likely to incur in any regulatory year in the 2014</w:t>
            </w:r>
            <w:r w:rsidR="00867C47" w:rsidRPr="00163BEF">
              <w:t>-</w:t>
            </w:r>
            <w:r w:rsidR="00C82700" w:rsidRPr="00163BEF">
              <w:t>19 regulatory control period, as a result of that event, exceeds 1</w:t>
            </w:r>
            <w:r w:rsidR="00A9036F">
              <w:t> per cent</w:t>
            </w:r>
            <w:r w:rsidR="00A9036F" w:rsidRPr="00163BEF">
              <w:t xml:space="preserve"> </w:t>
            </w:r>
            <w:r w:rsidR="00C82700" w:rsidRPr="00163BEF">
              <w:t>of the annual revenue requirement for that regulatory year.</w:t>
            </w:r>
          </w:p>
        </w:tc>
      </w:tr>
      <w:tr w:rsidR="00531287" w:rsidRPr="00163BEF" w14:paraId="47E13A15" w14:textId="77777777" w:rsidTr="006E364D">
        <w:trPr>
          <w:cantSplit/>
          <w:trHeight w:val="360"/>
        </w:trPr>
        <w:tc>
          <w:tcPr>
            <w:tcW w:w="2268" w:type="dxa"/>
          </w:tcPr>
          <w:p w14:paraId="0053E982" w14:textId="77777777" w:rsidR="00531287" w:rsidRPr="00163BEF" w:rsidRDefault="00531287" w:rsidP="004F506A">
            <w:pPr>
              <w:rPr>
                <w:lang w:val="en-AU"/>
              </w:rPr>
            </w:pPr>
            <w:r w:rsidRPr="00163BEF">
              <w:rPr>
                <w:lang w:val="en-AU"/>
              </w:rPr>
              <w:t>MWh</w:t>
            </w:r>
          </w:p>
        </w:tc>
        <w:tc>
          <w:tcPr>
            <w:tcW w:w="6946" w:type="dxa"/>
            <w:tcMar>
              <w:right w:w="567" w:type="dxa"/>
            </w:tcMar>
          </w:tcPr>
          <w:p w14:paraId="2E31CF0F" w14:textId="243F5373" w:rsidR="00531287" w:rsidRPr="00163BEF" w:rsidRDefault="00531287" w:rsidP="00833C02">
            <w:pPr>
              <w:rPr>
                <w:lang w:val="en-AU"/>
              </w:rPr>
            </w:pPr>
            <w:r w:rsidRPr="00163BEF">
              <w:rPr>
                <w:lang w:val="en-AU"/>
              </w:rPr>
              <w:t>Megawatt hour</w:t>
            </w:r>
            <w:r w:rsidR="005148AF">
              <w:rPr>
                <w:lang w:val="en-AU"/>
              </w:rPr>
              <w:t>.</w:t>
            </w:r>
          </w:p>
        </w:tc>
      </w:tr>
      <w:tr w:rsidR="00867C47" w:rsidRPr="00163BEF" w14:paraId="4892AF08" w14:textId="77777777" w:rsidTr="006E364D">
        <w:trPr>
          <w:cantSplit/>
          <w:trHeight w:val="360"/>
        </w:trPr>
        <w:tc>
          <w:tcPr>
            <w:tcW w:w="2268" w:type="dxa"/>
          </w:tcPr>
          <w:p w14:paraId="507933E9" w14:textId="1E992A4C" w:rsidR="00867C47" w:rsidRPr="00163BEF" w:rsidRDefault="00867C47" w:rsidP="004F506A">
            <w:pPr>
              <w:rPr>
                <w:lang w:val="en-AU"/>
              </w:rPr>
            </w:pPr>
            <w:r w:rsidRPr="00163BEF">
              <w:t>natural disaster event</w:t>
            </w:r>
          </w:p>
        </w:tc>
        <w:tc>
          <w:tcPr>
            <w:tcW w:w="6946" w:type="dxa"/>
            <w:tcMar>
              <w:right w:w="567" w:type="dxa"/>
            </w:tcMar>
          </w:tcPr>
          <w:p w14:paraId="54C94616" w14:textId="29B505E7" w:rsidR="00867C47" w:rsidRPr="00163BEF" w:rsidRDefault="00867C47" w:rsidP="00867C47">
            <w:pPr>
              <w:rPr>
                <w:lang w:val="en-AU"/>
              </w:rPr>
            </w:pPr>
            <w:r w:rsidRPr="00163BEF">
              <w:t xml:space="preserve">Any major fire, flood, earthquake or other natural disaster beyond the reasonable control of PWC Networks (but excluding those events for which external insurance or self-insurance has been included within PWC Networks' forecast operating expenditure) that occurs during the 2014-19 regulatory control period and materially increases the costs to </w:t>
            </w:r>
            <w:r w:rsidR="007B0DFB">
              <w:t xml:space="preserve">PWC Networks </w:t>
            </w:r>
            <w:r w:rsidRPr="00163BEF">
              <w:t xml:space="preserve">of providing the regulated network access services.  </w:t>
            </w:r>
          </w:p>
        </w:tc>
      </w:tr>
      <w:tr w:rsidR="00833C02" w:rsidRPr="00163BEF" w14:paraId="2D8AD2C8" w14:textId="77777777" w:rsidTr="006E364D">
        <w:trPr>
          <w:cantSplit/>
          <w:trHeight w:val="360"/>
        </w:trPr>
        <w:tc>
          <w:tcPr>
            <w:tcW w:w="2268" w:type="dxa"/>
          </w:tcPr>
          <w:p w14:paraId="267E125E" w14:textId="10C92E2C" w:rsidR="00833C02" w:rsidRPr="00163BEF" w:rsidRDefault="00833C02" w:rsidP="004F506A">
            <w:pPr>
              <w:rPr>
                <w:lang w:val="en-AU"/>
              </w:rPr>
            </w:pPr>
            <w:r w:rsidRPr="00163BEF">
              <w:rPr>
                <w:lang w:val="en-AU"/>
              </w:rPr>
              <w:t>NCCP</w:t>
            </w:r>
            <w:r w:rsidR="00A9036F">
              <w:rPr>
                <w:lang w:val="en-AU"/>
              </w:rPr>
              <w:t xml:space="preserve"> or Networks Capital Contributions Policy</w:t>
            </w:r>
          </w:p>
        </w:tc>
        <w:tc>
          <w:tcPr>
            <w:tcW w:w="6946" w:type="dxa"/>
            <w:tcMar>
              <w:right w:w="567" w:type="dxa"/>
            </w:tcMar>
          </w:tcPr>
          <w:p w14:paraId="4D9378B7" w14:textId="14227F5F" w:rsidR="00833C02" w:rsidRPr="00163BEF" w:rsidRDefault="00A9036F" w:rsidP="00A9036F">
            <w:pPr>
              <w:rPr>
                <w:rFonts w:cs="Arial"/>
                <w:szCs w:val="22"/>
                <w:lang w:val="en-AU"/>
              </w:rPr>
            </w:pPr>
            <w:r>
              <w:rPr>
                <w:lang w:val="en-AU"/>
              </w:rPr>
              <w:t>A</w:t>
            </w:r>
            <w:r w:rsidR="00087986" w:rsidRPr="00163BEF">
              <w:rPr>
                <w:lang w:val="en-AU"/>
              </w:rPr>
              <w:t xml:space="preserve"> policy statement providing details of principles and methods for establishing capital contributions</w:t>
            </w:r>
            <w:r w:rsidR="007F08C3" w:rsidRPr="00163BEF">
              <w:rPr>
                <w:lang w:val="en-AU"/>
              </w:rPr>
              <w:t xml:space="preserve"> as submitted by </w:t>
            </w:r>
            <w:r>
              <w:rPr>
                <w:lang w:val="en-AU"/>
              </w:rPr>
              <w:t>PWC Networks</w:t>
            </w:r>
            <w:r w:rsidR="007F08C3" w:rsidRPr="00163BEF">
              <w:rPr>
                <w:lang w:val="en-AU"/>
              </w:rPr>
              <w:t xml:space="preserve"> and approved by the Commission in accordance with clause 81(</w:t>
            </w:r>
            <w:r w:rsidR="00FD5181" w:rsidRPr="00163BEF">
              <w:rPr>
                <w:lang w:val="en-AU"/>
              </w:rPr>
              <w:t>3</w:t>
            </w:r>
            <w:r w:rsidR="007F08C3" w:rsidRPr="00163BEF">
              <w:rPr>
                <w:lang w:val="en-AU"/>
              </w:rPr>
              <w:t>) of the Network Access Code.</w:t>
            </w:r>
          </w:p>
        </w:tc>
      </w:tr>
      <w:tr w:rsidR="00867C47" w:rsidRPr="00163BEF" w14:paraId="5E9E830D" w14:textId="77777777" w:rsidTr="006E364D">
        <w:trPr>
          <w:cantSplit/>
          <w:trHeight w:val="360"/>
        </w:trPr>
        <w:tc>
          <w:tcPr>
            <w:tcW w:w="2268" w:type="dxa"/>
          </w:tcPr>
          <w:p w14:paraId="105BDBDE" w14:textId="44E4F86B" w:rsidR="00867C47" w:rsidRPr="00163BEF" w:rsidRDefault="00867C47" w:rsidP="004F506A">
            <w:pPr>
              <w:rPr>
                <w:lang w:val="en-AU"/>
              </w:rPr>
            </w:pPr>
            <w:r w:rsidRPr="00163BEF">
              <w:t>negative change event</w:t>
            </w:r>
          </w:p>
        </w:tc>
        <w:tc>
          <w:tcPr>
            <w:tcW w:w="6946" w:type="dxa"/>
            <w:tcMar>
              <w:right w:w="567" w:type="dxa"/>
            </w:tcMar>
          </w:tcPr>
          <w:p w14:paraId="2F0E9CB4" w14:textId="6200EB61" w:rsidR="00867C47" w:rsidRPr="00163BEF" w:rsidRDefault="00867C47" w:rsidP="00E149C6">
            <w:pPr>
              <w:rPr>
                <w:lang w:val="en-AU"/>
              </w:rPr>
            </w:pPr>
            <w:r w:rsidRPr="00163BEF">
              <w:t xml:space="preserve">A pass through event </w:t>
            </w:r>
            <w:r w:rsidR="00E149C6">
              <w:t>that</w:t>
            </w:r>
            <w:r w:rsidRPr="00163BEF">
              <w:t xml:space="preserve"> entails PWC Networks incurring materially lower costs in providing the regulated network access services than it would have incurred but for that event.</w:t>
            </w:r>
          </w:p>
        </w:tc>
      </w:tr>
      <w:tr w:rsidR="00867C47" w:rsidRPr="00163BEF" w14:paraId="35D1C69E" w14:textId="77777777" w:rsidTr="006E364D">
        <w:trPr>
          <w:cantSplit/>
          <w:trHeight w:val="360"/>
        </w:trPr>
        <w:tc>
          <w:tcPr>
            <w:tcW w:w="2268" w:type="dxa"/>
          </w:tcPr>
          <w:p w14:paraId="0EA9B823" w14:textId="6695A65E" w:rsidR="00867C47" w:rsidRPr="00163BEF" w:rsidRDefault="00867C47" w:rsidP="004F506A">
            <w:pPr>
              <w:rPr>
                <w:lang w:val="en-AU"/>
              </w:rPr>
            </w:pPr>
            <w:r w:rsidRPr="00163BEF">
              <w:t>negative pass through amount</w:t>
            </w:r>
          </w:p>
        </w:tc>
        <w:tc>
          <w:tcPr>
            <w:tcW w:w="6946" w:type="dxa"/>
            <w:tcMar>
              <w:right w:w="567" w:type="dxa"/>
            </w:tcMar>
          </w:tcPr>
          <w:p w14:paraId="2009DF8C" w14:textId="161C59F0" w:rsidR="00867C47" w:rsidRPr="00163BEF" w:rsidRDefault="00867C47" w:rsidP="004F506A">
            <w:pPr>
              <w:rPr>
                <w:lang w:val="en-AU"/>
              </w:rPr>
            </w:pPr>
            <w:r w:rsidRPr="00163BEF">
              <w:t>In respect of a negative change event for PWC Networks, an amount that is not greater than a required pass through amount as determined by the Commission under clause 3.1.5(a) of the 2014 Network Price Determination.</w:t>
            </w:r>
          </w:p>
        </w:tc>
      </w:tr>
      <w:tr w:rsidR="00694B7B" w:rsidRPr="00163BEF" w14:paraId="514163FA" w14:textId="77777777" w:rsidTr="006E364D">
        <w:trPr>
          <w:cantSplit/>
          <w:trHeight w:val="360"/>
        </w:trPr>
        <w:tc>
          <w:tcPr>
            <w:tcW w:w="2268" w:type="dxa"/>
          </w:tcPr>
          <w:p w14:paraId="41C51561" w14:textId="77777777" w:rsidR="00694B7B" w:rsidRPr="00163BEF" w:rsidRDefault="00694B7B" w:rsidP="004F506A">
            <w:pPr>
              <w:rPr>
                <w:lang w:val="en-AU"/>
              </w:rPr>
            </w:pPr>
            <w:r w:rsidRPr="00163BEF">
              <w:rPr>
                <w:lang w:val="en-AU"/>
              </w:rPr>
              <w:t>NEL</w:t>
            </w:r>
          </w:p>
        </w:tc>
        <w:tc>
          <w:tcPr>
            <w:tcW w:w="6946" w:type="dxa"/>
            <w:tcMar>
              <w:right w:w="567" w:type="dxa"/>
            </w:tcMar>
          </w:tcPr>
          <w:p w14:paraId="40D1F218" w14:textId="174D76F5" w:rsidR="00694B7B" w:rsidRPr="00163BEF" w:rsidRDefault="00D91746" w:rsidP="004F506A">
            <w:pPr>
              <w:rPr>
                <w:lang w:val="en-AU"/>
              </w:rPr>
            </w:pPr>
            <w:r w:rsidRPr="00163BEF">
              <w:rPr>
                <w:lang w:val="en-AU"/>
              </w:rPr>
              <w:t xml:space="preserve">The National Electricity Law as set out in the schedule to the </w:t>
            </w:r>
            <w:r w:rsidRPr="00A9036F">
              <w:rPr>
                <w:i/>
                <w:lang w:val="en-AU"/>
              </w:rPr>
              <w:t>National Electricity (South Australia) Act 1996 (SA)</w:t>
            </w:r>
            <w:r w:rsidRPr="00163BEF">
              <w:rPr>
                <w:lang w:val="en-AU"/>
              </w:rPr>
              <w:t xml:space="preserve"> and as applied in each of the participating jurisdictions.</w:t>
            </w:r>
          </w:p>
        </w:tc>
      </w:tr>
      <w:tr w:rsidR="00B27F3B" w:rsidRPr="00163BEF" w14:paraId="1E009E33" w14:textId="77777777" w:rsidTr="006E364D">
        <w:trPr>
          <w:cantSplit/>
          <w:trHeight w:val="360"/>
        </w:trPr>
        <w:tc>
          <w:tcPr>
            <w:tcW w:w="2268" w:type="dxa"/>
          </w:tcPr>
          <w:p w14:paraId="799BA89D" w14:textId="606E5FD8" w:rsidR="00B27F3B" w:rsidRPr="00163BEF" w:rsidRDefault="00B27F3B" w:rsidP="004F506A">
            <w:pPr>
              <w:rPr>
                <w:lang w:val="en-AU"/>
              </w:rPr>
            </w:pPr>
            <w:r>
              <w:rPr>
                <w:lang w:val="en-AU"/>
              </w:rPr>
              <w:t>NEM or national electricity market</w:t>
            </w:r>
          </w:p>
        </w:tc>
        <w:tc>
          <w:tcPr>
            <w:tcW w:w="6946" w:type="dxa"/>
            <w:tcMar>
              <w:right w:w="567" w:type="dxa"/>
            </w:tcMar>
          </w:tcPr>
          <w:p w14:paraId="63A076F6" w14:textId="2F5B6640" w:rsidR="00B27F3B" w:rsidRPr="00163BEF" w:rsidRDefault="00B27F3B" w:rsidP="00D91746">
            <w:pPr>
              <w:rPr>
                <w:lang w:val="en-AU"/>
              </w:rPr>
            </w:pPr>
            <w:r w:rsidRPr="00163BEF">
              <w:rPr>
                <w:lang w:val="en-AU"/>
              </w:rPr>
              <w:t>Has the meaning given in Chapter 10 of the NER.</w:t>
            </w:r>
          </w:p>
        </w:tc>
      </w:tr>
      <w:tr w:rsidR="00694B7B" w:rsidRPr="00163BEF" w14:paraId="59BA9180" w14:textId="77777777" w:rsidTr="006E364D">
        <w:trPr>
          <w:cantSplit/>
          <w:trHeight w:val="360"/>
        </w:trPr>
        <w:tc>
          <w:tcPr>
            <w:tcW w:w="2268" w:type="dxa"/>
          </w:tcPr>
          <w:p w14:paraId="1481B1FA" w14:textId="11F9674A" w:rsidR="00694B7B" w:rsidRPr="00163BEF" w:rsidRDefault="00694B7B" w:rsidP="004F506A">
            <w:pPr>
              <w:rPr>
                <w:lang w:val="en-AU"/>
              </w:rPr>
            </w:pPr>
            <w:r w:rsidRPr="00163BEF">
              <w:rPr>
                <w:lang w:val="en-AU"/>
              </w:rPr>
              <w:t>NER</w:t>
            </w:r>
            <w:r w:rsidR="00D91746" w:rsidRPr="00163BEF">
              <w:rPr>
                <w:lang w:val="en-AU"/>
              </w:rPr>
              <w:t xml:space="preserve"> or Rules</w:t>
            </w:r>
          </w:p>
        </w:tc>
        <w:tc>
          <w:tcPr>
            <w:tcW w:w="6946" w:type="dxa"/>
            <w:tcMar>
              <w:right w:w="567" w:type="dxa"/>
            </w:tcMar>
          </w:tcPr>
          <w:p w14:paraId="4E958921" w14:textId="587EDB27" w:rsidR="00694B7B" w:rsidRPr="00163BEF" w:rsidRDefault="0039640E" w:rsidP="00D91746">
            <w:pPr>
              <w:rPr>
                <w:lang w:val="en-AU"/>
              </w:rPr>
            </w:pPr>
            <w:r>
              <w:rPr>
                <w:lang w:val="en-AU"/>
              </w:rPr>
              <w:t xml:space="preserve">National Electricity Rules. </w:t>
            </w:r>
            <w:r w:rsidR="00D91746" w:rsidRPr="00163BEF">
              <w:rPr>
                <w:lang w:val="en-AU"/>
              </w:rPr>
              <w:t>Has the meaning given in the NEL and when used in the 2014 Network Price Determination and this Statement of Reasons will mean version 61 of the NER.</w:t>
            </w:r>
          </w:p>
        </w:tc>
      </w:tr>
      <w:tr w:rsidR="00FB2EC5" w:rsidRPr="00163BEF" w14:paraId="12E98E21" w14:textId="77777777" w:rsidTr="006E364D">
        <w:trPr>
          <w:cantSplit/>
          <w:trHeight w:val="360"/>
        </w:trPr>
        <w:tc>
          <w:tcPr>
            <w:tcW w:w="2268" w:type="dxa"/>
          </w:tcPr>
          <w:p w14:paraId="0E3DC742" w14:textId="1395A00E" w:rsidR="00FB2EC5" w:rsidRPr="00163BEF" w:rsidRDefault="00FB2EC5" w:rsidP="004F506A">
            <w:pPr>
              <w:rPr>
                <w:lang w:val="en-AU"/>
              </w:rPr>
            </w:pPr>
            <w:r w:rsidRPr="00163BEF">
              <w:t>Network Access Code</w:t>
            </w:r>
          </w:p>
        </w:tc>
        <w:tc>
          <w:tcPr>
            <w:tcW w:w="6946" w:type="dxa"/>
            <w:tcMar>
              <w:right w:w="567" w:type="dxa"/>
            </w:tcMar>
          </w:tcPr>
          <w:p w14:paraId="7311F4CF" w14:textId="6E2A01B0" w:rsidR="00FB2EC5" w:rsidRPr="00163BEF" w:rsidRDefault="00FB2EC5" w:rsidP="004F506A">
            <w:pPr>
              <w:rPr>
                <w:lang w:val="en-AU"/>
              </w:rPr>
            </w:pPr>
            <w:r w:rsidRPr="00163BEF">
              <w:t xml:space="preserve">The Electricity Networks (Third Party Access) Code, which is a schedule to the </w:t>
            </w:r>
            <w:r w:rsidRPr="00A9036F">
              <w:rPr>
                <w:i/>
              </w:rPr>
              <w:t>Electricity Networks (Third Party Access) Act</w:t>
            </w:r>
            <w:r w:rsidRPr="00163BEF">
              <w:t>.</w:t>
            </w:r>
          </w:p>
        </w:tc>
      </w:tr>
      <w:tr w:rsidR="00FB2EC5" w:rsidRPr="00163BEF" w14:paraId="0B5C34D2" w14:textId="77777777" w:rsidTr="006E364D">
        <w:trPr>
          <w:cantSplit/>
          <w:trHeight w:val="360"/>
        </w:trPr>
        <w:tc>
          <w:tcPr>
            <w:tcW w:w="2268" w:type="dxa"/>
          </w:tcPr>
          <w:p w14:paraId="3722B938" w14:textId="5C8FBD83" w:rsidR="00FB2EC5" w:rsidRPr="00163BEF" w:rsidRDefault="00FB2EC5" w:rsidP="004F506A">
            <w:pPr>
              <w:rPr>
                <w:lang w:val="en-AU"/>
              </w:rPr>
            </w:pPr>
            <w:r w:rsidRPr="00163BEF">
              <w:t>network access service</w:t>
            </w:r>
          </w:p>
        </w:tc>
        <w:tc>
          <w:tcPr>
            <w:tcW w:w="6946" w:type="dxa"/>
            <w:tcMar>
              <w:right w:w="567" w:type="dxa"/>
            </w:tcMar>
          </w:tcPr>
          <w:p w14:paraId="4A28694B" w14:textId="090E0F97" w:rsidR="00FB2EC5" w:rsidRPr="00163BEF" w:rsidRDefault="00FB2EC5" w:rsidP="00FB2EC5">
            <w:pPr>
              <w:rPr>
                <w:lang w:val="en-AU"/>
              </w:rPr>
            </w:pPr>
            <w:r w:rsidRPr="00163BEF">
              <w:t>Has the meaning given in the Network Access Code and includes regulated network access services and excluded network access services.</w:t>
            </w:r>
          </w:p>
        </w:tc>
      </w:tr>
      <w:tr w:rsidR="00FB2EC5" w:rsidRPr="00163BEF" w14:paraId="51F7C10C" w14:textId="77777777" w:rsidTr="006E364D">
        <w:trPr>
          <w:cantSplit/>
          <w:trHeight w:val="360"/>
        </w:trPr>
        <w:tc>
          <w:tcPr>
            <w:tcW w:w="2268" w:type="dxa"/>
          </w:tcPr>
          <w:p w14:paraId="73ED0EDE" w14:textId="1A8FB398" w:rsidR="00FB2EC5" w:rsidRPr="00163BEF" w:rsidRDefault="00FB2EC5" w:rsidP="004F506A">
            <w:pPr>
              <w:rPr>
                <w:lang w:val="en-AU"/>
              </w:rPr>
            </w:pPr>
            <w:r w:rsidRPr="00163BEF">
              <w:t>Network Price Determination</w:t>
            </w:r>
          </w:p>
        </w:tc>
        <w:tc>
          <w:tcPr>
            <w:tcW w:w="6946" w:type="dxa"/>
            <w:tcMar>
              <w:right w:w="567" w:type="dxa"/>
            </w:tcMar>
          </w:tcPr>
          <w:p w14:paraId="6860505C" w14:textId="050EA620" w:rsidR="00FB2EC5" w:rsidRPr="00163BEF" w:rsidRDefault="00FB2EC5" w:rsidP="00FB2EC5">
            <w:pPr>
              <w:rPr>
                <w:lang w:val="en-AU"/>
              </w:rPr>
            </w:pPr>
            <w:r w:rsidRPr="00163BEF">
              <w:t xml:space="preserve">A determination made by the Commission relating to the prices of regulated network access services under sections 20 and 21 of the </w:t>
            </w:r>
            <w:r w:rsidRPr="00A9036F">
              <w:rPr>
                <w:i/>
              </w:rPr>
              <w:t>Utilities Commission Act</w:t>
            </w:r>
            <w:r w:rsidRPr="00163BEF">
              <w:t xml:space="preserve">, section 43 of the </w:t>
            </w:r>
            <w:r w:rsidRPr="00A9036F">
              <w:rPr>
                <w:i/>
              </w:rPr>
              <w:t>Electricity Reform Act</w:t>
            </w:r>
            <w:r w:rsidRPr="00163BEF">
              <w:t xml:space="preserve"> and clause 66 of the Network Access Code.</w:t>
            </w:r>
          </w:p>
        </w:tc>
      </w:tr>
      <w:tr w:rsidR="00FB2EC5" w:rsidRPr="00163BEF" w14:paraId="27367E5C" w14:textId="77777777" w:rsidTr="006E364D">
        <w:trPr>
          <w:cantSplit/>
          <w:trHeight w:val="360"/>
        </w:trPr>
        <w:tc>
          <w:tcPr>
            <w:tcW w:w="2268" w:type="dxa"/>
          </w:tcPr>
          <w:p w14:paraId="2B2C9E04" w14:textId="72631BD8" w:rsidR="00FB2EC5" w:rsidRPr="00163BEF" w:rsidRDefault="00FB2EC5" w:rsidP="004F506A">
            <w:pPr>
              <w:rPr>
                <w:lang w:val="en-AU"/>
              </w:rPr>
            </w:pPr>
            <w:r w:rsidRPr="00163BEF">
              <w:t xml:space="preserve">network </w:t>
            </w:r>
            <w:r w:rsidR="00D624BF">
              <w:t xml:space="preserve">service </w:t>
            </w:r>
            <w:r w:rsidRPr="00163BEF">
              <w:t>provider</w:t>
            </w:r>
          </w:p>
        </w:tc>
        <w:tc>
          <w:tcPr>
            <w:tcW w:w="6946" w:type="dxa"/>
            <w:tcMar>
              <w:right w:w="567" w:type="dxa"/>
            </w:tcMar>
          </w:tcPr>
          <w:p w14:paraId="69B6DC83" w14:textId="0AFA073F" w:rsidR="00FB2EC5" w:rsidRPr="00163BEF" w:rsidRDefault="00DD00BD" w:rsidP="00BB4311">
            <w:pPr>
              <w:rPr>
                <w:rFonts w:cs="Arial"/>
                <w:szCs w:val="22"/>
                <w:lang w:val="en-AU"/>
              </w:rPr>
            </w:pPr>
            <w:r>
              <w:t xml:space="preserve">Has the meaning given to the term ‘network provider’ in the Network Access Code. </w:t>
            </w:r>
          </w:p>
        </w:tc>
      </w:tr>
      <w:tr w:rsidR="00FB2EC5" w:rsidRPr="00163BEF" w14:paraId="4EA4A32C" w14:textId="77777777" w:rsidTr="006E364D">
        <w:trPr>
          <w:cantSplit/>
          <w:trHeight w:val="360"/>
        </w:trPr>
        <w:tc>
          <w:tcPr>
            <w:tcW w:w="2268" w:type="dxa"/>
          </w:tcPr>
          <w:p w14:paraId="121FB819" w14:textId="5AA58188" w:rsidR="00FB2EC5" w:rsidRPr="00163BEF" w:rsidRDefault="00FB2EC5" w:rsidP="004F506A">
            <w:pPr>
              <w:rPr>
                <w:lang w:val="en-AU"/>
              </w:rPr>
            </w:pPr>
            <w:r w:rsidRPr="00163BEF">
              <w:t>Network Technical Code</w:t>
            </w:r>
          </w:p>
        </w:tc>
        <w:tc>
          <w:tcPr>
            <w:tcW w:w="6946" w:type="dxa"/>
            <w:tcMar>
              <w:right w:w="567" w:type="dxa"/>
            </w:tcMar>
          </w:tcPr>
          <w:p w14:paraId="65E649A8" w14:textId="1A672DFA" w:rsidR="00FB2EC5" w:rsidRPr="00163BEF" w:rsidRDefault="00FB2EC5" w:rsidP="004F506A">
            <w:pPr>
              <w:rPr>
                <w:lang w:val="en-AU"/>
              </w:rPr>
            </w:pPr>
            <w:r w:rsidRPr="00163BEF">
              <w:t>The Network Technical Code and Network Planning Criteria (version 3.1) dated December 2013 included as Attachment 2 to PWC Networks' revised regulatory proposal.</w:t>
            </w:r>
          </w:p>
        </w:tc>
      </w:tr>
      <w:tr w:rsidR="00FB2EC5" w:rsidRPr="00163BEF" w14:paraId="2032C48D" w14:textId="77777777" w:rsidTr="006E364D">
        <w:trPr>
          <w:cantSplit/>
          <w:trHeight w:val="360"/>
        </w:trPr>
        <w:tc>
          <w:tcPr>
            <w:tcW w:w="2268" w:type="dxa"/>
          </w:tcPr>
          <w:p w14:paraId="7960F974" w14:textId="035B950F" w:rsidR="00FB2EC5" w:rsidRPr="00163BEF" w:rsidRDefault="00FB2EC5" w:rsidP="004F506A">
            <w:pPr>
              <w:rPr>
                <w:lang w:val="en-AU"/>
              </w:rPr>
            </w:pPr>
            <w:r w:rsidRPr="00163BEF">
              <w:t>network user</w:t>
            </w:r>
          </w:p>
        </w:tc>
        <w:tc>
          <w:tcPr>
            <w:tcW w:w="6946" w:type="dxa"/>
            <w:tcMar>
              <w:right w:w="567" w:type="dxa"/>
            </w:tcMar>
          </w:tcPr>
          <w:p w14:paraId="184EC045" w14:textId="79C96595" w:rsidR="00FB2EC5" w:rsidRPr="00163BEF" w:rsidRDefault="00FB2EC5" w:rsidP="00E149C6">
            <w:pPr>
              <w:rPr>
                <w:lang w:val="en-AU"/>
              </w:rPr>
            </w:pPr>
            <w:r w:rsidRPr="00163BEF">
              <w:t>A generator, retailer or retail customer.</w:t>
            </w:r>
          </w:p>
        </w:tc>
      </w:tr>
      <w:tr w:rsidR="00833C02" w:rsidRPr="00163BEF" w14:paraId="44628191" w14:textId="77777777" w:rsidTr="006E364D">
        <w:trPr>
          <w:cantSplit/>
          <w:trHeight w:val="360"/>
        </w:trPr>
        <w:tc>
          <w:tcPr>
            <w:tcW w:w="2268" w:type="dxa"/>
          </w:tcPr>
          <w:p w14:paraId="656CC586" w14:textId="70FF7B37" w:rsidR="00833C02" w:rsidRPr="00163BEF" w:rsidRDefault="00833C02" w:rsidP="00262201">
            <w:pPr>
              <w:rPr>
                <w:lang w:val="en-AU"/>
              </w:rPr>
            </w:pPr>
            <w:r w:rsidRPr="00163BEF">
              <w:rPr>
                <w:lang w:val="en-AU"/>
              </w:rPr>
              <w:t>NPPS</w:t>
            </w:r>
            <w:r w:rsidR="00262201">
              <w:rPr>
                <w:lang w:val="en-AU"/>
              </w:rPr>
              <w:t xml:space="preserve"> or Network Pricing Principles Statement</w:t>
            </w:r>
          </w:p>
        </w:tc>
        <w:tc>
          <w:tcPr>
            <w:tcW w:w="6946" w:type="dxa"/>
            <w:tcMar>
              <w:right w:w="567" w:type="dxa"/>
            </w:tcMar>
          </w:tcPr>
          <w:p w14:paraId="18E28058" w14:textId="1106470B" w:rsidR="00833C02" w:rsidRPr="00163BEF" w:rsidRDefault="00262201" w:rsidP="00262201">
            <w:pPr>
              <w:rPr>
                <w:lang w:val="en-AU"/>
              </w:rPr>
            </w:pPr>
            <w:r>
              <w:rPr>
                <w:lang w:val="en-AU"/>
              </w:rPr>
              <w:t>A</w:t>
            </w:r>
            <w:r w:rsidR="002C7723" w:rsidRPr="00163BEF">
              <w:rPr>
                <w:lang w:val="en-AU"/>
              </w:rPr>
              <w:t xml:space="preserve"> statement setting out the details of the principles and methods to be used for defining the individual standard network access services to be supplied by </w:t>
            </w:r>
            <w:r>
              <w:rPr>
                <w:lang w:val="en-AU"/>
              </w:rPr>
              <w:t>PWC Networks</w:t>
            </w:r>
            <w:r w:rsidR="002C7723" w:rsidRPr="00163BEF">
              <w:rPr>
                <w:lang w:val="en-AU"/>
              </w:rPr>
              <w:t xml:space="preserve"> and for establishing the reference tariffs to apply to those services</w:t>
            </w:r>
            <w:r w:rsidR="007F08C3" w:rsidRPr="00163BEF">
              <w:rPr>
                <w:lang w:val="en-AU"/>
              </w:rPr>
              <w:t xml:space="preserve">, as submitted </w:t>
            </w:r>
            <w:r w:rsidR="00E17F83">
              <w:rPr>
                <w:lang w:val="en-AU"/>
              </w:rPr>
              <w:t xml:space="preserve">by </w:t>
            </w:r>
            <w:r>
              <w:rPr>
                <w:lang w:val="en-AU"/>
              </w:rPr>
              <w:t>PWC Networks</w:t>
            </w:r>
            <w:r w:rsidR="007F08C3" w:rsidRPr="00163BEF">
              <w:rPr>
                <w:lang w:val="en-AU"/>
              </w:rPr>
              <w:t xml:space="preserve"> and approved by the Commission in accordance with clause 78(1) of the Network Access Code.</w:t>
            </w:r>
          </w:p>
        </w:tc>
      </w:tr>
      <w:tr w:rsidR="001F42BA" w:rsidRPr="00163BEF" w14:paraId="06962E58" w14:textId="77777777" w:rsidTr="006E364D">
        <w:trPr>
          <w:cantSplit/>
          <w:trHeight w:val="360"/>
        </w:trPr>
        <w:tc>
          <w:tcPr>
            <w:tcW w:w="2268" w:type="dxa"/>
          </w:tcPr>
          <w:p w14:paraId="12116A1A" w14:textId="77777777" w:rsidR="001F42BA" w:rsidRPr="00163BEF" w:rsidRDefault="001F42BA" w:rsidP="004F506A">
            <w:pPr>
              <w:rPr>
                <w:lang w:val="en-AU"/>
              </w:rPr>
            </w:pPr>
            <w:r w:rsidRPr="00163BEF">
              <w:rPr>
                <w:lang w:val="en-AU"/>
              </w:rPr>
              <w:t>NPV</w:t>
            </w:r>
          </w:p>
        </w:tc>
        <w:tc>
          <w:tcPr>
            <w:tcW w:w="6946" w:type="dxa"/>
            <w:tcMar>
              <w:right w:w="567" w:type="dxa"/>
            </w:tcMar>
          </w:tcPr>
          <w:p w14:paraId="4120136E" w14:textId="172D354A" w:rsidR="001F42BA" w:rsidRPr="00163BEF" w:rsidRDefault="00B13B47" w:rsidP="007F1CB8">
            <w:pPr>
              <w:rPr>
                <w:lang w:val="en-AU"/>
              </w:rPr>
            </w:pPr>
            <w:r w:rsidRPr="00163BEF">
              <w:rPr>
                <w:lang w:val="en-AU"/>
              </w:rPr>
              <w:t xml:space="preserve">Net </w:t>
            </w:r>
            <w:r w:rsidR="007F1CB8" w:rsidRPr="00163BEF">
              <w:rPr>
                <w:lang w:val="en-AU"/>
              </w:rPr>
              <w:t>present value</w:t>
            </w:r>
            <w:r w:rsidR="005148AF">
              <w:rPr>
                <w:lang w:val="en-AU"/>
              </w:rPr>
              <w:t>.</w:t>
            </w:r>
          </w:p>
        </w:tc>
      </w:tr>
      <w:tr w:rsidR="00A44F35" w:rsidRPr="00163BEF" w14:paraId="130B1C79" w14:textId="77777777" w:rsidTr="006E364D">
        <w:trPr>
          <w:cantSplit/>
          <w:trHeight w:val="360"/>
        </w:trPr>
        <w:tc>
          <w:tcPr>
            <w:tcW w:w="2268" w:type="dxa"/>
          </w:tcPr>
          <w:p w14:paraId="4A7C8F1B" w14:textId="77777777" w:rsidR="00A44F35" w:rsidRPr="00163BEF" w:rsidRDefault="00A44F35" w:rsidP="004F506A">
            <w:pPr>
              <w:rPr>
                <w:lang w:val="en-AU"/>
              </w:rPr>
            </w:pPr>
            <w:r w:rsidRPr="00163BEF">
              <w:rPr>
                <w:lang w:val="en-AU"/>
              </w:rPr>
              <w:t>NTCOSS</w:t>
            </w:r>
          </w:p>
        </w:tc>
        <w:tc>
          <w:tcPr>
            <w:tcW w:w="6946" w:type="dxa"/>
            <w:tcMar>
              <w:right w:w="567" w:type="dxa"/>
            </w:tcMar>
          </w:tcPr>
          <w:p w14:paraId="278ACDEF" w14:textId="3C6209DC" w:rsidR="00A44F35" w:rsidRPr="00163BEF" w:rsidRDefault="00A44F35" w:rsidP="004F506A">
            <w:pPr>
              <w:rPr>
                <w:lang w:val="en-AU"/>
              </w:rPr>
            </w:pPr>
            <w:r w:rsidRPr="00163BEF">
              <w:rPr>
                <w:lang w:val="en-AU"/>
              </w:rPr>
              <w:t>Northern Territory Council of Social Services</w:t>
            </w:r>
            <w:r w:rsidR="005148AF">
              <w:rPr>
                <w:lang w:val="en-AU"/>
              </w:rPr>
              <w:t>.</w:t>
            </w:r>
          </w:p>
        </w:tc>
      </w:tr>
      <w:tr w:rsidR="00A44F35" w:rsidRPr="00163BEF" w14:paraId="09C1AA75" w14:textId="77777777" w:rsidTr="006E364D">
        <w:trPr>
          <w:cantSplit/>
          <w:trHeight w:val="360"/>
        </w:trPr>
        <w:tc>
          <w:tcPr>
            <w:tcW w:w="2268" w:type="dxa"/>
          </w:tcPr>
          <w:p w14:paraId="2C500ED9" w14:textId="77777777" w:rsidR="00A44F35" w:rsidRPr="00163BEF" w:rsidRDefault="00A44F35" w:rsidP="004F506A">
            <w:pPr>
              <w:rPr>
                <w:lang w:val="en-AU"/>
              </w:rPr>
            </w:pPr>
            <w:r w:rsidRPr="00163BEF">
              <w:rPr>
                <w:lang w:val="en-AU"/>
              </w:rPr>
              <w:t>NTMEU</w:t>
            </w:r>
          </w:p>
        </w:tc>
        <w:tc>
          <w:tcPr>
            <w:tcW w:w="6946" w:type="dxa"/>
            <w:tcMar>
              <w:right w:w="567" w:type="dxa"/>
            </w:tcMar>
          </w:tcPr>
          <w:p w14:paraId="165659D9" w14:textId="18211CAF" w:rsidR="00A44F35" w:rsidRPr="00163BEF" w:rsidRDefault="00A44F35" w:rsidP="004F506A">
            <w:pPr>
              <w:rPr>
                <w:lang w:val="en-AU"/>
              </w:rPr>
            </w:pPr>
            <w:r w:rsidRPr="00163BEF">
              <w:rPr>
                <w:lang w:val="en-AU"/>
              </w:rPr>
              <w:t>Northern Territory Major Energy Users</w:t>
            </w:r>
            <w:r w:rsidR="005148AF">
              <w:rPr>
                <w:lang w:val="en-AU"/>
              </w:rPr>
              <w:t>.</w:t>
            </w:r>
          </w:p>
        </w:tc>
      </w:tr>
      <w:tr w:rsidR="00D11BCF" w:rsidRPr="00163BEF" w14:paraId="35664ACE" w14:textId="77777777" w:rsidTr="006E364D">
        <w:trPr>
          <w:cantSplit/>
          <w:trHeight w:val="360"/>
        </w:trPr>
        <w:tc>
          <w:tcPr>
            <w:tcW w:w="2268" w:type="dxa"/>
          </w:tcPr>
          <w:p w14:paraId="42FAB7CF" w14:textId="28F38C2C" w:rsidR="00D11BCF" w:rsidRPr="00163BEF" w:rsidRDefault="00D11BCF" w:rsidP="004F506A">
            <w:pPr>
              <w:rPr>
                <w:lang w:val="en-AU"/>
              </w:rPr>
            </w:pPr>
            <w:r w:rsidRPr="00163BEF">
              <w:rPr>
                <w:lang w:val="en-AU"/>
              </w:rPr>
              <w:t>NTRM</w:t>
            </w:r>
            <w:r w:rsidR="00AC27F8" w:rsidRPr="00163BEF">
              <w:rPr>
                <w:lang w:val="en-AU"/>
              </w:rPr>
              <w:t xml:space="preserve"> or Northern Territory Revenue Model</w:t>
            </w:r>
          </w:p>
        </w:tc>
        <w:tc>
          <w:tcPr>
            <w:tcW w:w="6946" w:type="dxa"/>
            <w:tcMar>
              <w:right w:w="567" w:type="dxa"/>
            </w:tcMar>
          </w:tcPr>
          <w:p w14:paraId="276A55B2" w14:textId="7742BACA" w:rsidR="00D11BCF" w:rsidRPr="00163BEF" w:rsidRDefault="00AC27F8" w:rsidP="00AC27F8">
            <w:pPr>
              <w:rPr>
                <w:lang w:val="en-AU"/>
              </w:rPr>
            </w:pPr>
            <w:r w:rsidRPr="00163BEF">
              <w:rPr>
                <w:lang w:val="en-AU"/>
              </w:rPr>
              <w:t>The</w:t>
            </w:r>
            <w:r w:rsidR="00D11BCF" w:rsidRPr="00163BEF">
              <w:rPr>
                <w:lang w:val="en-AU"/>
              </w:rPr>
              <w:t xml:space="preserve"> AER’s </w:t>
            </w:r>
            <w:r w:rsidRPr="00163BEF">
              <w:rPr>
                <w:lang w:val="en-AU"/>
              </w:rPr>
              <w:t xml:space="preserve">Post Tax Revenue Model </w:t>
            </w:r>
            <w:r w:rsidR="00DD00BD">
              <w:rPr>
                <w:lang w:val="en-AU"/>
              </w:rPr>
              <w:t xml:space="preserve">as </w:t>
            </w:r>
            <w:r w:rsidR="00D11BCF" w:rsidRPr="00163BEF">
              <w:rPr>
                <w:lang w:val="en-AU"/>
              </w:rPr>
              <w:t xml:space="preserve">modified </w:t>
            </w:r>
            <w:r w:rsidR="00956103">
              <w:rPr>
                <w:lang w:val="en-AU"/>
              </w:rPr>
              <w:t xml:space="preserve">by the Commission </w:t>
            </w:r>
            <w:r w:rsidR="00D11BCF" w:rsidRPr="00163BEF">
              <w:rPr>
                <w:lang w:val="en-AU"/>
              </w:rPr>
              <w:t xml:space="preserve">to the minimum extent </w:t>
            </w:r>
            <w:r w:rsidR="00956103">
              <w:rPr>
                <w:lang w:val="en-AU"/>
              </w:rPr>
              <w:t xml:space="preserve">the Commission considered </w:t>
            </w:r>
            <w:r w:rsidR="00D11BCF" w:rsidRPr="00163BEF">
              <w:rPr>
                <w:lang w:val="en-AU"/>
              </w:rPr>
              <w:t>necessary to use a pre-tax approach</w:t>
            </w:r>
            <w:r w:rsidR="005148AF">
              <w:rPr>
                <w:lang w:val="en-AU"/>
              </w:rPr>
              <w:t>.</w:t>
            </w:r>
          </w:p>
        </w:tc>
      </w:tr>
      <w:tr w:rsidR="00DD00BD" w:rsidRPr="00163BEF" w14:paraId="2F02E5AD" w14:textId="77777777" w:rsidTr="006E364D">
        <w:trPr>
          <w:cantSplit/>
          <w:trHeight w:val="360"/>
        </w:trPr>
        <w:tc>
          <w:tcPr>
            <w:tcW w:w="2268" w:type="dxa"/>
          </w:tcPr>
          <w:p w14:paraId="3BDD8DCC" w14:textId="2590AFE7" w:rsidR="00DD00BD" w:rsidRPr="00163BEF" w:rsidRDefault="007B0DFB" w:rsidP="00524EA7">
            <w:pPr>
              <w:rPr>
                <w:lang w:val="en-AU"/>
              </w:rPr>
            </w:pPr>
            <w:r>
              <w:rPr>
                <w:lang w:val="en-AU"/>
              </w:rPr>
              <w:t>o</w:t>
            </w:r>
            <w:r w:rsidR="00DD00BD">
              <w:rPr>
                <w:lang w:val="en-AU"/>
              </w:rPr>
              <w:t>perating costs</w:t>
            </w:r>
          </w:p>
        </w:tc>
        <w:tc>
          <w:tcPr>
            <w:tcW w:w="6946" w:type="dxa"/>
            <w:tcMar>
              <w:right w:w="567" w:type="dxa"/>
            </w:tcMar>
          </w:tcPr>
          <w:p w14:paraId="3D95985C" w14:textId="41382E4C" w:rsidR="00DD00BD" w:rsidRPr="00163BEF" w:rsidRDefault="007B0DFB" w:rsidP="007B0DFB">
            <w:pPr>
              <w:rPr>
                <w:lang w:val="en-AU"/>
              </w:rPr>
            </w:pPr>
            <w:r>
              <w:rPr>
                <w:lang w:val="en-AU"/>
              </w:rPr>
              <w:t>O</w:t>
            </w:r>
            <w:r w:rsidR="00DD00BD">
              <w:rPr>
                <w:lang w:val="en-AU"/>
              </w:rPr>
              <w:t>pex minus expenditure relating to the maintenance of the PWC Network</w:t>
            </w:r>
            <w:r>
              <w:rPr>
                <w:lang w:val="en-AU"/>
              </w:rPr>
              <w:t>s’</w:t>
            </w:r>
            <w:r w:rsidR="00DD00BD">
              <w:rPr>
                <w:lang w:val="en-AU"/>
              </w:rPr>
              <w:t xml:space="preserve"> electricity network.</w:t>
            </w:r>
          </w:p>
        </w:tc>
      </w:tr>
      <w:tr w:rsidR="00486243" w:rsidRPr="00163BEF" w14:paraId="4E310B76" w14:textId="77777777" w:rsidTr="006E364D">
        <w:trPr>
          <w:cantSplit/>
          <w:trHeight w:val="360"/>
        </w:trPr>
        <w:tc>
          <w:tcPr>
            <w:tcW w:w="2268" w:type="dxa"/>
          </w:tcPr>
          <w:p w14:paraId="3050A311" w14:textId="2354E19E" w:rsidR="00486243" w:rsidRPr="00163BEF" w:rsidRDefault="00377611" w:rsidP="00524EA7">
            <w:pPr>
              <w:rPr>
                <w:lang w:val="en-AU"/>
              </w:rPr>
            </w:pPr>
            <w:r w:rsidRPr="00163BEF">
              <w:rPr>
                <w:lang w:val="en-AU"/>
              </w:rPr>
              <w:t xml:space="preserve">opex </w:t>
            </w:r>
            <w:r w:rsidR="00AC27F8" w:rsidRPr="00163BEF">
              <w:rPr>
                <w:lang w:val="en-AU"/>
              </w:rPr>
              <w:t>or operating and maintenance expenditure</w:t>
            </w:r>
            <w:r w:rsidR="007B0DFB">
              <w:rPr>
                <w:lang w:val="en-AU"/>
              </w:rPr>
              <w:t xml:space="preserve"> or operating expenditure</w:t>
            </w:r>
          </w:p>
        </w:tc>
        <w:tc>
          <w:tcPr>
            <w:tcW w:w="6946" w:type="dxa"/>
            <w:tcMar>
              <w:right w:w="567" w:type="dxa"/>
            </w:tcMar>
          </w:tcPr>
          <w:p w14:paraId="208CA20A" w14:textId="271E7BE2" w:rsidR="00486243" w:rsidRPr="00163BEF" w:rsidRDefault="00AC27F8" w:rsidP="00AC27F8">
            <w:pPr>
              <w:rPr>
                <w:lang w:val="en-AU"/>
              </w:rPr>
            </w:pPr>
            <w:r w:rsidRPr="00163BEF">
              <w:rPr>
                <w:lang w:val="en-AU"/>
              </w:rPr>
              <w:t>E</w:t>
            </w:r>
            <w:r w:rsidR="00152EC5" w:rsidRPr="00163BEF">
              <w:rPr>
                <w:lang w:val="en-AU"/>
              </w:rPr>
              <w:t xml:space="preserve">xpenditure on the delivery of </w:t>
            </w:r>
            <w:r w:rsidRPr="00163BEF">
              <w:rPr>
                <w:lang w:val="en-AU"/>
              </w:rPr>
              <w:t xml:space="preserve">regulated network access </w:t>
            </w:r>
            <w:r w:rsidR="00152EC5" w:rsidRPr="00163BEF">
              <w:rPr>
                <w:lang w:val="en-AU"/>
              </w:rPr>
              <w:t xml:space="preserve">services using the </w:t>
            </w:r>
            <w:r w:rsidRPr="00163BEF">
              <w:rPr>
                <w:lang w:val="en-AU"/>
              </w:rPr>
              <w:t xml:space="preserve">electricity </w:t>
            </w:r>
            <w:r w:rsidR="00152EC5" w:rsidRPr="00163BEF">
              <w:rPr>
                <w:lang w:val="en-AU"/>
              </w:rPr>
              <w:t>network and may include such items as staff costs, repairs and maintenance of plant and equipment, taxes and financing fees and charges</w:t>
            </w:r>
            <w:r w:rsidR="00360B25" w:rsidRPr="00163BEF">
              <w:rPr>
                <w:lang w:val="en-AU"/>
              </w:rPr>
              <w:t>.</w:t>
            </w:r>
          </w:p>
        </w:tc>
      </w:tr>
      <w:tr w:rsidR="00BA0F7C" w:rsidRPr="00163BEF" w14:paraId="3A47545F" w14:textId="77777777" w:rsidTr="006E364D">
        <w:trPr>
          <w:cantSplit/>
          <w:trHeight w:val="360"/>
        </w:trPr>
        <w:tc>
          <w:tcPr>
            <w:tcW w:w="2268" w:type="dxa"/>
          </w:tcPr>
          <w:p w14:paraId="09013007" w14:textId="48247929" w:rsidR="00BA0F7C" w:rsidRPr="00163BEF" w:rsidRDefault="00377611" w:rsidP="00524EA7">
            <w:pPr>
              <w:rPr>
                <w:lang w:val="en-AU"/>
              </w:rPr>
            </w:pPr>
            <w:r w:rsidRPr="00163BEF">
              <w:rPr>
                <w:lang w:val="en-AU"/>
              </w:rPr>
              <w:t>o</w:t>
            </w:r>
            <w:r w:rsidR="00BA0F7C" w:rsidRPr="00163BEF">
              <w:rPr>
                <w:lang w:val="en-AU"/>
              </w:rPr>
              <w:t>perating expenditure criteria</w:t>
            </w:r>
          </w:p>
        </w:tc>
        <w:tc>
          <w:tcPr>
            <w:tcW w:w="6946" w:type="dxa"/>
            <w:tcMar>
              <w:right w:w="567" w:type="dxa"/>
            </w:tcMar>
          </w:tcPr>
          <w:p w14:paraId="6A726978" w14:textId="77777777" w:rsidR="00BA0F7C" w:rsidRPr="00163BEF" w:rsidRDefault="00BA0F7C" w:rsidP="00BA0F7C">
            <w:pPr>
              <w:rPr>
                <w:lang w:val="en-AU"/>
              </w:rPr>
            </w:pPr>
            <w:r w:rsidRPr="00163BEF">
              <w:rPr>
                <w:lang w:val="en-AU"/>
              </w:rPr>
              <w:t>The operating expenditure criteria are as follows:</w:t>
            </w:r>
          </w:p>
          <w:p w14:paraId="42451A81" w14:textId="424DCA80" w:rsidR="00BA0F7C" w:rsidRPr="00163BEF" w:rsidRDefault="00BA0F7C" w:rsidP="00243FBE">
            <w:pPr>
              <w:pStyle w:val="UtilComBulletText"/>
              <w:numPr>
                <w:ilvl w:val="0"/>
                <w:numId w:val="37"/>
              </w:numPr>
              <w:tabs>
                <w:tab w:val="clear" w:pos="1106"/>
                <w:tab w:val="clear" w:pos="1134"/>
                <w:tab w:val="num" w:pos="459"/>
              </w:tabs>
              <w:ind w:left="459" w:hanging="425"/>
            </w:pPr>
            <w:r w:rsidRPr="00163BEF">
              <w:t>the efficient costs of achieving the operating expenditure objectives;</w:t>
            </w:r>
          </w:p>
          <w:p w14:paraId="70168EA4" w14:textId="1E24E889" w:rsidR="00BA0F7C" w:rsidRPr="00163BEF" w:rsidRDefault="00BA0F7C" w:rsidP="00243FBE">
            <w:pPr>
              <w:pStyle w:val="UtilComBulletText"/>
              <w:numPr>
                <w:ilvl w:val="0"/>
                <w:numId w:val="37"/>
              </w:numPr>
              <w:tabs>
                <w:tab w:val="clear" w:pos="1106"/>
                <w:tab w:val="clear" w:pos="1134"/>
                <w:tab w:val="num" w:pos="459"/>
              </w:tabs>
              <w:ind w:left="459" w:hanging="425"/>
            </w:pPr>
            <w:r w:rsidRPr="00163BEF">
              <w:t>the costs that a prudent operator would require to achieve the operating expenditure objectives; and</w:t>
            </w:r>
          </w:p>
          <w:p w14:paraId="0D9C2515" w14:textId="0C342A03" w:rsidR="00BA0F7C" w:rsidRPr="00163BEF" w:rsidRDefault="00BA0F7C" w:rsidP="00243FBE">
            <w:pPr>
              <w:pStyle w:val="UtilComBulletText"/>
              <w:numPr>
                <w:ilvl w:val="0"/>
                <w:numId w:val="37"/>
              </w:numPr>
              <w:tabs>
                <w:tab w:val="clear" w:pos="1106"/>
                <w:tab w:val="clear" w:pos="1134"/>
                <w:tab w:val="num" w:pos="459"/>
              </w:tabs>
              <w:ind w:left="459" w:hanging="425"/>
              <w:rPr>
                <w:lang w:val="en-AU"/>
              </w:rPr>
            </w:pPr>
            <w:r w:rsidRPr="00163BEF">
              <w:t>a realistic expectation of the demand forecast and cost inputs required to achieve the operating expenditure objectives</w:t>
            </w:r>
            <w:r w:rsidRPr="00163BEF">
              <w:rPr>
                <w:lang w:val="en-AU"/>
              </w:rPr>
              <w:t>.</w:t>
            </w:r>
          </w:p>
        </w:tc>
      </w:tr>
      <w:tr w:rsidR="00BA0F7C" w:rsidRPr="00163BEF" w14:paraId="035ACFA2" w14:textId="77777777" w:rsidTr="006E364D">
        <w:trPr>
          <w:cantSplit/>
          <w:trHeight w:val="360"/>
        </w:trPr>
        <w:tc>
          <w:tcPr>
            <w:tcW w:w="2268" w:type="dxa"/>
          </w:tcPr>
          <w:p w14:paraId="05EEF30E" w14:textId="1D4DB2DE" w:rsidR="00BA0F7C" w:rsidRPr="00163BEF" w:rsidRDefault="00377611" w:rsidP="00524EA7">
            <w:pPr>
              <w:rPr>
                <w:lang w:val="en-AU"/>
              </w:rPr>
            </w:pPr>
            <w:r w:rsidRPr="00163BEF">
              <w:rPr>
                <w:lang w:val="en-AU"/>
              </w:rPr>
              <w:t>operating expenditure factors</w:t>
            </w:r>
          </w:p>
        </w:tc>
        <w:tc>
          <w:tcPr>
            <w:tcW w:w="6946" w:type="dxa"/>
            <w:tcMar>
              <w:right w:w="567" w:type="dxa"/>
            </w:tcMar>
          </w:tcPr>
          <w:p w14:paraId="343795DC" w14:textId="77777777" w:rsidR="00375609" w:rsidRPr="00375609" w:rsidRDefault="00375609" w:rsidP="00375609">
            <w:pPr>
              <w:rPr>
                <w:lang w:val="en-AU"/>
              </w:rPr>
            </w:pPr>
            <w:r w:rsidRPr="00375609">
              <w:rPr>
                <w:lang w:val="en-AU"/>
              </w:rPr>
              <w:t>The operating expenditure factors are as follows:</w:t>
            </w:r>
          </w:p>
          <w:p w14:paraId="537CFA41" w14:textId="77777777" w:rsidR="00375609" w:rsidRPr="00375609" w:rsidRDefault="00375609" w:rsidP="00375609">
            <w:pPr>
              <w:widowControl w:val="0"/>
              <w:ind w:left="459" w:hanging="425"/>
              <w:rPr>
                <w:lang w:val="en-AU"/>
              </w:rPr>
            </w:pPr>
            <w:r w:rsidRPr="00375609">
              <w:rPr>
                <w:lang w:val="en-AU"/>
              </w:rPr>
              <w:t>a)</w:t>
            </w:r>
            <w:r w:rsidRPr="00375609">
              <w:rPr>
                <w:lang w:val="en-AU"/>
              </w:rPr>
              <w:tab/>
              <w:t>the most recent annual benchmarking report that has been published by the AER (or any equivalent benchmarking report that has been prepared by or for the Commission) and the benchmark operating expenditure that would be incurred by an efficient network service provider over the 2014-19 regulatory control period;</w:t>
            </w:r>
          </w:p>
          <w:p w14:paraId="7C996793" w14:textId="77777777" w:rsidR="00375609" w:rsidRPr="00375609" w:rsidRDefault="00375609" w:rsidP="00375609">
            <w:pPr>
              <w:ind w:left="459" w:hanging="425"/>
              <w:rPr>
                <w:lang w:val="en-AU"/>
              </w:rPr>
            </w:pPr>
            <w:r w:rsidRPr="00375609">
              <w:rPr>
                <w:lang w:val="en-AU"/>
              </w:rPr>
              <w:t>b)</w:t>
            </w:r>
            <w:r w:rsidRPr="00375609">
              <w:rPr>
                <w:lang w:val="en-AU"/>
              </w:rPr>
              <w:tab/>
              <w:t>the actual and expected operating expenditure of PWC Networks during any preceding regulatory control period;</w:t>
            </w:r>
          </w:p>
          <w:p w14:paraId="24277C0C" w14:textId="77777777" w:rsidR="00375609" w:rsidRPr="00375609" w:rsidRDefault="00375609" w:rsidP="00375609">
            <w:pPr>
              <w:ind w:left="459" w:hanging="425"/>
              <w:rPr>
                <w:lang w:val="en-AU"/>
              </w:rPr>
            </w:pPr>
            <w:r w:rsidRPr="00375609">
              <w:rPr>
                <w:lang w:val="en-AU"/>
              </w:rPr>
              <w:t>c)</w:t>
            </w:r>
            <w:r w:rsidRPr="00375609">
              <w:rPr>
                <w:lang w:val="en-AU"/>
              </w:rPr>
              <w:tab/>
              <w:t>the extent to which the operating expenditure forecast includes expenditure to address the concerns of electricity retail customers as identified by PWC Networks in the course of its engagement with electricity retail customers;</w:t>
            </w:r>
          </w:p>
          <w:p w14:paraId="19CEA5C3" w14:textId="77777777" w:rsidR="00375609" w:rsidRPr="00375609" w:rsidRDefault="00375609" w:rsidP="00375609">
            <w:pPr>
              <w:ind w:left="459" w:hanging="425"/>
              <w:rPr>
                <w:lang w:val="en-AU"/>
              </w:rPr>
            </w:pPr>
            <w:r w:rsidRPr="00375609">
              <w:rPr>
                <w:lang w:val="en-AU"/>
              </w:rPr>
              <w:t>d)</w:t>
            </w:r>
            <w:r w:rsidRPr="00375609">
              <w:rPr>
                <w:lang w:val="en-AU"/>
              </w:rPr>
              <w:tab/>
              <w:t>the relative prices of operating and capital inputs;</w:t>
            </w:r>
          </w:p>
          <w:p w14:paraId="27B9F5AB" w14:textId="77777777" w:rsidR="00375609" w:rsidRPr="00375609" w:rsidRDefault="00375609" w:rsidP="00375609">
            <w:pPr>
              <w:ind w:left="459" w:hanging="425"/>
              <w:rPr>
                <w:lang w:val="en-AU"/>
              </w:rPr>
            </w:pPr>
            <w:r w:rsidRPr="00375609">
              <w:rPr>
                <w:lang w:val="en-AU"/>
              </w:rPr>
              <w:t>e)</w:t>
            </w:r>
            <w:r w:rsidRPr="00375609">
              <w:rPr>
                <w:lang w:val="en-AU"/>
              </w:rPr>
              <w:tab/>
              <w:t>the substitution possibilities between operating and capital expenditure;</w:t>
            </w:r>
          </w:p>
          <w:p w14:paraId="24127412" w14:textId="77777777" w:rsidR="00375609" w:rsidRPr="00375609" w:rsidRDefault="00375609" w:rsidP="00375609">
            <w:pPr>
              <w:ind w:left="459" w:hanging="425"/>
              <w:rPr>
                <w:lang w:val="en-AU"/>
              </w:rPr>
            </w:pPr>
            <w:r w:rsidRPr="00375609">
              <w:rPr>
                <w:lang w:val="en-AU"/>
              </w:rPr>
              <w:t>f)</w:t>
            </w:r>
            <w:r w:rsidRPr="00375609">
              <w:rPr>
                <w:lang w:val="en-AU"/>
              </w:rPr>
              <w:tab/>
              <w:t>whether the operating expenditure forecast is consistent with any incentive scheme or schemes that apply to PWC Networks under the 2014 Network Price Determination;</w:t>
            </w:r>
          </w:p>
          <w:p w14:paraId="72FB8CEF" w14:textId="77777777" w:rsidR="00375609" w:rsidRPr="00375609" w:rsidRDefault="00375609" w:rsidP="00375609">
            <w:pPr>
              <w:ind w:left="459" w:hanging="425"/>
              <w:rPr>
                <w:lang w:val="en-AU"/>
              </w:rPr>
            </w:pPr>
            <w:r w:rsidRPr="00375609">
              <w:rPr>
                <w:lang w:val="en-AU"/>
              </w:rPr>
              <w:t>g)</w:t>
            </w:r>
            <w:r w:rsidRPr="00375609">
              <w:rPr>
                <w:lang w:val="en-AU"/>
              </w:rPr>
              <w:tab/>
              <w:t>the extent the operating expenditure forecast is referable to arrangements with a person other than PWC Networks that, in the opinion of the Commission, do not reflect arm's length terms;</w:t>
            </w:r>
          </w:p>
          <w:p w14:paraId="375AA815" w14:textId="77777777" w:rsidR="00375609" w:rsidRPr="00375609" w:rsidRDefault="00375609" w:rsidP="00375609">
            <w:pPr>
              <w:ind w:left="459" w:hanging="425"/>
              <w:rPr>
                <w:lang w:val="en-AU"/>
              </w:rPr>
            </w:pPr>
            <w:r w:rsidRPr="00375609">
              <w:rPr>
                <w:lang w:val="en-AU"/>
              </w:rPr>
              <w:t>h)</w:t>
            </w:r>
            <w:r w:rsidRPr="00375609">
              <w:rPr>
                <w:lang w:val="en-AU"/>
              </w:rPr>
              <w:tab/>
              <w:t>whether the operating expenditure forecast includes an amount relating to a project that should more appropriately be included as a contingent project under clause 2.5 and Chapter 3 of the 2014 Network Price Determination;</w:t>
            </w:r>
          </w:p>
          <w:p w14:paraId="2BEEFFD4" w14:textId="77777777" w:rsidR="00375609" w:rsidRPr="00375609" w:rsidRDefault="00375609" w:rsidP="00375609">
            <w:pPr>
              <w:ind w:left="459" w:hanging="425"/>
              <w:rPr>
                <w:lang w:val="en-AU"/>
              </w:rPr>
            </w:pPr>
            <w:r w:rsidRPr="00375609">
              <w:rPr>
                <w:lang w:val="en-AU"/>
              </w:rPr>
              <w:t>i)</w:t>
            </w:r>
            <w:r w:rsidRPr="00375609">
              <w:rPr>
                <w:lang w:val="en-AU"/>
              </w:rPr>
              <w:tab/>
              <w:t>the extent to which PWC Networks has considered, and made provision for, efficient and prudent non-network alternatives;</w:t>
            </w:r>
          </w:p>
          <w:p w14:paraId="0AD92576" w14:textId="77777777" w:rsidR="00375609" w:rsidRPr="00375609" w:rsidRDefault="00375609" w:rsidP="00375609">
            <w:pPr>
              <w:ind w:left="459" w:hanging="425"/>
              <w:rPr>
                <w:lang w:val="en-AU"/>
              </w:rPr>
            </w:pPr>
            <w:r w:rsidRPr="00375609">
              <w:rPr>
                <w:lang w:val="en-AU"/>
              </w:rPr>
              <w:t>j)</w:t>
            </w:r>
            <w:r w:rsidRPr="00375609">
              <w:rPr>
                <w:lang w:val="en-AU"/>
              </w:rPr>
              <w:tab/>
              <w:t>any relevant final project assessment report relating to a regulatory investment test for distribution project published by PWC Networks; and</w:t>
            </w:r>
          </w:p>
          <w:p w14:paraId="3AEF2492" w14:textId="6C2F47FE" w:rsidR="00BA0F7C" w:rsidRPr="00163BEF" w:rsidRDefault="00375609" w:rsidP="00375609">
            <w:pPr>
              <w:ind w:left="459" w:hanging="425"/>
              <w:rPr>
                <w:lang w:val="en-AU"/>
              </w:rPr>
            </w:pPr>
            <w:r w:rsidRPr="00375609">
              <w:rPr>
                <w:lang w:val="en-AU"/>
              </w:rPr>
              <w:t>k)</w:t>
            </w:r>
            <w:r w:rsidRPr="00375609">
              <w:rPr>
                <w:lang w:val="en-AU"/>
              </w:rPr>
              <w:tab/>
              <w:t>any other factor the Commission considers relevant and which the Commission has notified to PWC Networks in writing, prior to the submission of its revised regulatory proposal, is an operating expenditure factor.</w:t>
            </w:r>
          </w:p>
        </w:tc>
      </w:tr>
      <w:tr w:rsidR="00BA0F7C" w:rsidRPr="00163BEF" w14:paraId="1BCE421C" w14:textId="77777777" w:rsidTr="006E364D">
        <w:trPr>
          <w:cantSplit/>
          <w:trHeight w:val="360"/>
        </w:trPr>
        <w:tc>
          <w:tcPr>
            <w:tcW w:w="2268" w:type="dxa"/>
          </w:tcPr>
          <w:p w14:paraId="55415577" w14:textId="05CE7C70" w:rsidR="00BA0F7C" w:rsidRPr="00163BEF" w:rsidRDefault="00377611" w:rsidP="00524EA7">
            <w:pPr>
              <w:rPr>
                <w:lang w:val="en-AU"/>
              </w:rPr>
            </w:pPr>
            <w:r w:rsidRPr="00163BEF">
              <w:rPr>
                <w:lang w:val="en-AU"/>
              </w:rPr>
              <w:t>operating expenditure objectives</w:t>
            </w:r>
          </w:p>
        </w:tc>
        <w:tc>
          <w:tcPr>
            <w:tcW w:w="6946" w:type="dxa"/>
            <w:tcMar>
              <w:right w:w="567" w:type="dxa"/>
            </w:tcMar>
          </w:tcPr>
          <w:p w14:paraId="2C0306C8" w14:textId="77777777" w:rsidR="00377611" w:rsidRPr="00163BEF" w:rsidRDefault="00377611" w:rsidP="00377611">
            <w:pPr>
              <w:rPr>
                <w:lang w:val="en-AU"/>
              </w:rPr>
            </w:pPr>
            <w:r w:rsidRPr="00163BEF">
              <w:rPr>
                <w:lang w:val="en-AU"/>
              </w:rPr>
              <w:t>The operating expenditure objectives are as follows:</w:t>
            </w:r>
          </w:p>
          <w:p w14:paraId="0B27DE55" w14:textId="0A2DF3ED" w:rsidR="00377611" w:rsidRPr="00163BEF" w:rsidRDefault="00377611" w:rsidP="00243FBE">
            <w:pPr>
              <w:pStyle w:val="UtilComBulletText"/>
              <w:numPr>
                <w:ilvl w:val="0"/>
                <w:numId w:val="38"/>
              </w:numPr>
              <w:tabs>
                <w:tab w:val="clear" w:pos="1106"/>
                <w:tab w:val="clear" w:pos="1134"/>
                <w:tab w:val="num" w:pos="601"/>
              </w:tabs>
              <w:ind w:left="601" w:hanging="601"/>
            </w:pPr>
            <w:r w:rsidRPr="00163BEF">
              <w:t>meet or manage the expected demand for regulated network access services over the regulatory control period;</w:t>
            </w:r>
          </w:p>
          <w:p w14:paraId="138914C9" w14:textId="1FF3840C" w:rsidR="00377611" w:rsidRPr="00163BEF" w:rsidRDefault="00377611" w:rsidP="00243FBE">
            <w:pPr>
              <w:pStyle w:val="UtilComBulletText"/>
              <w:numPr>
                <w:ilvl w:val="0"/>
                <w:numId w:val="38"/>
              </w:numPr>
              <w:tabs>
                <w:tab w:val="clear" w:pos="1134"/>
              </w:tabs>
              <w:ind w:left="601" w:hanging="567"/>
            </w:pPr>
            <w:r w:rsidRPr="00163BEF">
              <w:t>comply with all applicable regulatory obligations or requirements associated with the provision of regulated network access services;</w:t>
            </w:r>
          </w:p>
          <w:p w14:paraId="0CEF1573" w14:textId="5C1D75A2" w:rsidR="00377611" w:rsidRPr="00163BEF" w:rsidRDefault="00377611" w:rsidP="00243FBE">
            <w:pPr>
              <w:pStyle w:val="UtilComBulletText"/>
              <w:numPr>
                <w:ilvl w:val="0"/>
                <w:numId w:val="38"/>
              </w:numPr>
              <w:tabs>
                <w:tab w:val="clear" w:pos="1134"/>
              </w:tabs>
              <w:ind w:left="601" w:hanging="567"/>
            </w:pPr>
            <w:r w:rsidRPr="00163BEF">
              <w:t>to the extent that there is no applicable regulatory obligation or requirement in relation to:</w:t>
            </w:r>
          </w:p>
          <w:p w14:paraId="4B16999E" w14:textId="77777777" w:rsidR="00377611" w:rsidRPr="00163BEF" w:rsidRDefault="00377611" w:rsidP="00045AA3">
            <w:pPr>
              <w:pStyle w:val="UtilComBulletText"/>
              <w:numPr>
                <w:ilvl w:val="0"/>
                <w:numId w:val="0"/>
              </w:numPr>
              <w:tabs>
                <w:tab w:val="clear" w:pos="1134"/>
                <w:tab w:val="num" w:pos="1026"/>
              </w:tabs>
              <w:ind w:left="1026" w:hanging="425"/>
            </w:pPr>
            <w:r w:rsidRPr="00163BEF">
              <w:t>(i)</w:t>
            </w:r>
            <w:r w:rsidRPr="00163BEF">
              <w:tab/>
              <w:t>the quality, reliability or security of supply of regulated network access services; or</w:t>
            </w:r>
          </w:p>
          <w:p w14:paraId="3D102F1F" w14:textId="77777777" w:rsidR="00377611" w:rsidRPr="00163BEF" w:rsidRDefault="00377611" w:rsidP="00045AA3">
            <w:pPr>
              <w:pStyle w:val="UtilComBulletText"/>
              <w:numPr>
                <w:ilvl w:val="0"/>
                <w:numId w:val="0"/>
              </w:numPr>
              <w:tabs>
                <w:tab w:val="clear" w:pos="1134"/>
                <w:tab w:val="num" w:pos="1026"/>
              </w:tabs>
              <w:ind w:left="1026" w:hanging="425"/>
            </w:pPr>
            <w:r w:rsidRPr="00163BEF">
              <w:t>(ii)</w:t>
            </w:r>
            <w:r w:rsidRPr="00163BEF">
              <w:tab/>
              <w:t>the reliability or security of the electricity network through the supply of regulated network access services,</w:t>
            </w:r>
          </w:p>
          <w:p w14:paraId="30EC813E" w14:textId="77777777" w:rsidR="00377611" w:rsidRPr="00163BEF" w:rsidRDefault="00377611" w:rsidP="00045AA3">
            <w:pPr>
              <w:pStyle w:val="UtilComBulletText"/>
              <w:numPr>
                <w:ilvl w:val="0"/>
                <w:numId w:val="0"/>
              </w:numPr>
              <w:tabs>
                <w:tab w:val="clear" w:pos="1134"/>
                <w:tab w:val="num" w:pos="601"/>
              </w:tabs>
              <w:ind w:left="601" w:hanging="567"/>
            </w:pPr>
            <w:r w:rsidRPr="00163BEF">
              <w:t>to the relevant extent:</w:t>
            </w:r>
          </w:p>
          <w:p w14:paraId="7C26FE36" w14:textId="77777777" w:rsidR="00377611" w:rsidRPr="00163BEF" w:rsidRDefault="00377611" w:rsidP="00045AA3">
            <w:pPr>
              <w:pStyle w:val="UtilComBulletText"/>
              <w:numPr>
                <w:ilvl w:val="0"/>
                <w:numId w:val="0"/>
              </w:numPr>
              <w:tabs>
                <w:tab w:val="clear" w:pos="1134"/>
                <w:tab w:val="num" w:pos="1026"/>
              </w:tabs>
              <w:ind w:left="1026" w:hanging="425"/>
            </w:pPr>
            <w:r w:rsidRPr="00163BEF">
              <w:t>(iii)</w:t>
            </w:r>
            <w:r w:rsidRPr="00163BEF">
              <w:tab/>
              <w:t>maintain the quality, reliability and security of supply of regulated network access services; and</w:t>
            </w:r>
          </w:p>
          <w:p w14:paraId="7EF363E3" w14:textId="77777777" w:rsidR="00377611" w:rsidRPr="00163BEF" w:rsidRDefault="00377611" w:rsidP="00045AA3">
            <w:pPr>
              <w:pStyle w:val="UtilComBulletText"/>
              <w:numPr>
                <w:ilvl w:val="0"/>
                <w:numId w:val="0"/>
              </w:numPr>
              <w:tabs>
                <w:tab w:val="clear" w:pos="1134"/>
                <w:tab w:val="num" w:pos="1026"/>
              </w:tabs>
              <w:ind w:left="1026" w:hanging="425"/>
            </w:pPr>
            <w:r w:rsidRPr="00163BEF">
              <w:t>(iv)</w:t>
            </w:r>
            <w:r w:rsidRPr="00163BEF">
              <w:tab/>
              <w:t>maintain the reliability and security of the electricity network through the supply of regulated network access services; and</w:t>
            </w:r>
          </w:p>
          <w:p w14:paraId="46789A8F" w14:textId="7136A74F" w:rsidR="00BA0F7C" w:rsidRPr="00163BEF" w:rsidRDefault="00377611" w:rsidP="00243FBE">
            <w:pPr>
              <w:pStyle w:val="UtilComBulletText"/>
              <w:numPr>
                <w:ilvl w:val="0"/>
                <w:numId w:val="38"/>
              </w:numPr>
              <w:tabs>
                <w:tab w:val="clear" w:pos="1134"/>
              </w:tabs>
              <w:ind w:left="601" w:hanging="567"/>
              <w:rPr>
                <w:lang w:val="en-AU"/>
              </w:rPr>
            </w:pPr>
            <w:r w:rsidRPr="00163BEF">
              <w:t>maintain the safety of the electricity network through the supply of regulated network access services.</w:t>
            </w:r>
          </w:p>
        </w:tc>
      </w:tr>
      <w:tr w:rsidR="00377611" w:rsidRPr="00163BEF" w14:paraId="7D1D0C0B" w14:textId="77777777" w:rsidTr="006E364D">
        <w:trPr>
          <w:cantSplit/>
          <w:trHeight w:val="360"/>
        </w:trPr>
        <w:tc>
          <w:tcPr>
            <w:tcW w:w="2268" w:type="dxa"/>
          </w:tcPr>
          <w:p w14:paraId="6830ECA2" w14:textId="383FCF95" w:rsidR="00377611" w:rsidRPr="00163BEF" w:rsidRDefault="00377611" w:rsidP="00524EA7">
            <w:pPr>
              <w:rPr>
                <w:lang w:val="en-AU"/>
              </w:rPr>
            </w:pPr>
            <w:r w:rsidRPr="00163BEF">
              <w:t>overs</w:t>
            </w:r>
          </w:p>
        </w:tc>
        <w:tc>
          <w:tcPr>
            <w:tcW w:w="6946" w:type="dxa"/>
            <w:tcMar>
              <w:right w:w="567" w:type="dxa"/>
            </w:tcMar>
          </w:tcPr>
          <w:p w14:paraId="37F2EA8E" w14:textId="030B4912" w:rsidR="00377611" w:rsidRPr="00163BEF" w:rsidRDefault="00377611" w:rsidP="00524EA7">
            <w:pPr>
              <w:rPr>
                <w:lang w:val="en-AU"/>
              </w:rPr>
            </w:pPr>
            <w:r w:rsidRPr="00163BEF">
              <w:t xml:space="preserve">Where the sum of the revenue received by PWC Networks for the supply of regulated network access services during a regulatory year exceeds the annual revenue requirement for that regulatory year. </w:t>
            </w:r>
          </w:p>
        </w:tc>
      </w:tr>
      <w:tr w:rsidR="00377611" w:rsidRPr="00163BEF" w14:paraId="71AE77E0" w14:textId="77777777" w:rsidTr="006E364D">
        <w:trPr>
          <w:cantSplit/>
          <w:trHeight w:val="360"/>
        </w:trPr>
        <w:tc>
          <w:tcPr>
            <w:tcW w:w="2268" w:type="dxa"/>
          </w:tcPr>
          <w:p w14:paraId="397806C4" w14:textId="51FE8BFF" w:rsidR="00377611" w:rsidRPr="00163BEF" w:rsidRDefault="00377611" w:rsidP="00524EA7">
            <w:pPr>
              <w:rPr>
                <w:lang w:val="en-AU"/>
              </w:rPr>
            </w:pPr>
            <w:r w:rsidRPr="00163BEF">
              <w:t>pass through event</w:t>
            </w:r>
          </w:p>
        </w:tc>
        <w:tc>
          <w:tcPr>
            <w:tcW w:w="6946" w:type="dxa"/>
            <w:tcMar>
              <w:right w:w="567" w:type="dxa"/>
            </w:tcMar>
          </w:tcPr>
          <w:p w14:paraId="4CA85AC1" w14:textId="2D4D9266" w:rsidR="00377611" w:rsidRPr="00163BEF" w:rsidRDefault="00377611" w:rsidP="00524EA7">
            <w:pPr>
              <w:rPr>
                <w:lang w:val="en-AU"/>
              </w:rPr>
            </w:pPr>
            <w:r w:rsidRPr="00163BEF">
              <w:t>An event defined as such by the Commission under Chapter 3 of the 2014 Network Price Determination.</w:t>
            </w:r>
          </w:p>
        </w:tc>
      </w:tr>
      <w:tr w:rsidR="00D8463F" w:rsidRPr="00163BEF" w14:paraId="04E578B1" w14:textId="77777777" w:rsidTr="006E364D">
        <w:trPr>
          <w:cantSplit/>
          <w:trHeight w:val="360"/>
        </w:trPr>
        <w:tc>
          <w:tcPr>
            <w:tcW w:w="2268" w:type="dxa"/>
          </w:tcPr>
          <w:p w14:paraId="4A917FB0" w14:textId="77777777" w:rsidR="00D8463F" w:rsidRPr="00163BEF" w:rsidRDefault="00D8463F" w:rsidP="00524EA7">
            <w:pPr>
              <w:rPr>
                <w:lang w:val="en-AU"/>
              </w:rPr>
            </w:pPr>
            <w:r w:rsidRPr="00163BEF">
              <w:rPr>
                <w:lang w:val="en-AU"/>
              </w:rPr>
              <w:t>PB</w:t>
            </w:r>
          </w:p>
        </w:tc>
        <w:tc>
          <w:tcPr>
            <w:tcW w:w="6946" w:type="dxa"/>
            <w:tcMar>
              <w:right w:w="567" w:type="dxa"/>
            </w:tcMar>
          </w:tcPr>
          <w:p w14:paraId="4ADC6A43" w14:textId="2C71314E" w:rsidR="00D8463F" w:rsidRPr="00163BEF" w:rsidRDefault="00D8463F" w:rsidP="00524EA7">
            <w:pPr>
              <w:rPr>
                <w:lang w:val="en-AU"/>
              </w:rPr>
            </w:pPr>
            <w:r w:rsidRPr="00163BEF">
              <w:rPr>
                <w:lang w:val="en-AU"/>
              </w:rPr>
              <w:t>Parsons Brin</w:t>
            </w:r>
            <w:r w:rsidR="002771EC" w:rsidRPr="00163BEF">
              <w:rPr>
                <w:lang w:val="en-AU"/>
              </w:rPr>
              <w:t>c</w:t>
            </w:r>
            <w:r w:rsidRPr="00163BEF">
              <w:rPr>
                <w:lang w:val="en-AU"/>
              </w:rPr>
              <w:t>kerhoff</w:t>
            </w:r>
            <w:r w:rsidR="00E72404" w:rsidRPr="00163BEF">
              <w:rPr>
                <w:lang w:val="en-AU"/>
              </w:rPr>
              <w:t xml:space="preserve"> Strategic Consulting</w:t>
            </w:r>
            <w:r w:rsidR="005148AF">
              <w:rPr>
                <w:lang w:val="en-AU"/>
              </w:rPr>
              <w:t>.</w:t>
            </w:r>
          </w:p>
        </w:tc>
      </w:tr>
      <w:tr w:rsidR="00A44F35" w:rsidRPr="00163BEF" w14:paraId="35078C95" w14:textId="77777777" w:rsidTr="006E364D">
        <w:trPr>
          <w:cantSplit/>
          <w:trHeight w:val="360"/>
        </w:trPr>
        <w:tc>
          <w:tcPr>
            <w:tcW w:w="2268" w:type="dxa"/>
          </w:tcPr>
          <w:p w14:paraId="7253C470" w14:textId="77777777" w:rsidR="00A44F35" w:rsidRPr="00163BEF" w:rsidRDefault="00A44F35" w:rsidP="00524EA7">
            <w:pPr>
              <w:rPr>
                <w:lang w:val="en-AU"/>
              </w:rPr>
            </w:pPr>
            <w:r w:rsidRPr="00163BEF">
              <w:rPr>
                <w:lang w:val="en-AU"/>
              </w:rPr>
              <w:t>PCNT</w:t>
            </w:r>
          </w:p>
        </w:tc>
        <w:tc>
          <w:tcPr>
            <w:tcW w:w="6946" w:type="dxa"/>
            <w:tcMar>
              <w:right w:w="567" w:type="dxa"/>
            </w:tcMar>
          </w:tcPr>
          <w:p w14:paraId="12A3E7FD" w14:textId="0D7D3E9A" w:rsidR="00A44F35" w:rsidRPr="00163BEF" w:rsidRDefault="00A44F35" w:rsidP="007F1CB8">
            <w:pPr>
              <w:rPr>
                <w:lang w:val="en-AU"/>
              </w:rPr>
            </w:pPr>
            <w:r w:rsidRPr="00163BEF">
              <w:rPr>
                <w:lang w:val="en-AU"/>
              </w:rPr>
              <w:t>Property Council of Australia – Northern Territory Division</w:t>
            </w:r>
            <w:r w:rsidR="005148AF">
              <w:rPr>
                <w:lang w:val="en-AU"/>
              </w:rPr>
              <w:t>.</w:t>
            </w:r>
          </w:p>
        </w:tc>
      </w:tr>
      <w:tr w:rsidR="00586E64" w:rsidRPr="00163BEF" w14:paraId="46CBF355" w14:textId="77777777" w:rsidTr="006E364D">
        <w:trPr>
          <w:cantSplit/>
          <w:trHeight w:val="360"/>
        </w:trPr>
        <w:tc>
          <w:tcPr>
            <w:tcW w:w="2268" w:type="dxa"/>
          </w:tcPr>
          <w:p w14:paraId="03B6CF06" w14:textId="61426B01" w:rsidR="00586E64" w:rsidRPr="00163BEF" w:rsidRDefault="00586E64" w:rsidP="00524EA7">
            <w:pPr>
              <w:rPr>
                <w:lang w:val="en-AU"/>
              </w:rPr>
            </w:pPr>
            <w:r w:rsidRPr="00163BEF">
              <w:t>positive change event</w:t>
            </w:r>
          </w:p>
        </w:tc>
        <w:tc>
          <w:tcPr>
            <w:tcW w:w="6946" w:type="dxa"/>
            <w:tcMar>
              <w:right w:w="567" w:type="dxa"/>
            </w:tcMar>
          </w:tcPr>
          <w:p w14:paraId="1730D0EE" w14:textId="52F5DF24" w:rsidR="00586E64" w:rsidRPr="00163BEF" w:rsidRDefault="00586E64" w:rsidP="007B0DFB">
            <w:pPr>
              <w:rPr>
                <w:lang w:val="en-AU"/>
              </w:rPr>
            </w:pPr>
            <w:r w:rsidRPr="00163BEF">
              <w:t>A pass through event which entails PWC Networks incurring materially higher costs in providing the regulated network access services than</w:t>
            </w:r>
            <w:r w:rsidR="007B0DFB">
              <w:t xml:space="preserve"> it would have incurred but for </w:t>
            </w:r>
            <w:r w:rsidRPr="00163BEF">
              <w:t>that event, but does not include a contingent project or an associated trigger event.</w:t>
            </w:r>
          </w:p>
        </w:tc>
      </w:tr>
      <w:tr w:rsidR="00586E64" w:rsidRPr="00163BEF" w14:paraId="3319715B" w14:textId="77777777" w:rsidTr="006E364D">
        <w:trPr>
          <w:cantSplit/>
          <w:trHeight w:val="360"/>
        </w:trPr>
        <w:tc>
          <w:tcPr>
            <w:tcW w:w="2268" w:type="dxa"/>
          </w:tcPr>
          <w:p w14:paraId="5E3D538D" w14:textId="195FAF24" w:rsidR="00586E64" w:rsidRPr="00163BEF" w:rsidRDefault="00586E64" w:rsidP="00524EA7">
            <w:pPr>
              <w:rPr>
                <w:lang w:val="en-AU"/>
              </w:rPr>
            </w:pPr>
            <w:r w:rsidRPr="00163BEF">
              <w:t>positive pass through amount</w:t>
            </w:r>
          </w:p>
        </w:tc>
        <w:tc>
          <w:tcPr>
            <w:tcW w:w="6946" w:type="dxa"/>
            <w:tcMar>
              <w:right w:w="567" w:type="dxa"/>
            </w:tcMar>
          </w:tcPr>
          <w:p w14:paraId="71BB2222" w14:textId="5F16A079" w:rsidR="00586E64" w:rsidRPr="00163BEF" w:rsidRDefault="00586E64" w:rsidP="0039640E">
            <w:pPr>
              <w:rPr>
                <w:lang w:val="en-AU"/>
              </w:rPr>
            </w:pPr>
            <w:r w:rsidRPr="00163BEF">
              <w:t>An amount (not exceeding the eligible pass through amount) proposed by PWC Networks under clause 3.1.2(b) of the 2014</w:t>
            </w:r>
            <w:r w:rsidR="0039640E">
              <w:t> </w:t>
            </w:r>
            <w:r w:rsidRPr="00163BEF">
              <w:t>Network Price Determination.</w:t>
            </w:r>
          </w:p>
        </w:tc>
      </w:tr>
      <w:tr w:rsidR="00586E64" w:rsidRPr="00163BEF" w14:paraId="28BA80BD" w14:textId="77777777" w:rsidTr="006E364D">
        <w:trPr>
          <w:cantSplit/>
          <w:trHeight w:val="360"/>
        </w:trPr>
        <w:tc>
          <w:tcPr>
            <w:tcW w:w="2268" w:type="dxa"/>
          </w:tcPr>
          <w:p w14:paraId="33E42292" w14:textId="4395015E" w:rsidR="00586E64" w:rsidRPr="00163BEF" w:rsidRDefault="00586E64" w:rsidP="00524EA7">
            <w:pPr>
              <w:rPr>
                <w:lang w:val="en-AU"/>
              </w:rPr>
            </w:pPr>
            <w:r w:rsidRPr="00163BEF">
              <w:t>Post 2019 Network Price Determination</w:t>
            </w:r>
          </w:p>
        </w:tc>
        <w:tc>
          <w:tcPr>
            <w:tcW w:w="6946" w:type="dxa"/>
            <w:tcMar>
              <w:right w:w="567" w:type="dxa"/>
            </w:tcMar>
          </w:tcPr>
          <w:p w14:paraId="520F1C38" w14:textId="76D9A5D6" w:rsidR="00586E64" w:rsidRPr="00163BEF" w:rsidRDefault="00586E64" w:rsidP="00586E64">
            <w:pPr>
              <w:rPr>
                <w:lang w:val="en-AU"/>
              </w:rPr>
            </w:pPr>
            <w:r w:rsidRPr="00163BEF">
              <w:t>The Network Price Determination for the regulatory control period following the 2014-19 regulatory control period.</w:t>
            </w:r>
          </w:p>
        </w:tc>
      </w:tr>
      <w:tr w:rsidR="00586E64" w:rsidRPr="00163BEF" w14:paraId="0B5F70A5" w14:textId="77777777" w:rsidTr="006E364D">
        <w:trPr>
          <w:cantSplit/>
          <w:trHeight w:val="360"/>
        </w:trPr>
        <w:tc>
          <w:tcPr>
            <w:tcW w:w="2268" w:type="dxa"/>
          </w:tcPr>
          <w:p w14:paraId="6B06C3D0" w14:textId="17881578" w:rsidR="00586E64" w:rsidRPr="00163BEF" w:rsidRDefault="00586E64" w:rsidP="00524EA7">
            <w:pPr>
              <w:rPr>
                <w:lang w:val="en-AU"/>
              </w:rPr>
            </w:pPr>
            <w:r w:rsidRPr="00163BEF">
              <w:t>Post 2019 regulatory control period</w:t>
            </w:r>
          </w:p>
        </w:tc>
        <w:tc>
          <w:tcPr>
            <w:tcW w:w="6946" w:type="dxa"/>
            <w:tcMar>
              <w:right w:w="567" w:type="dxa"/>
            </w:tcMar>
          </w:tcPr>
          <w:p w14:paraId="7D92FF77" w14:textId="471D0066" w:rsidR="00586E64" w:rsidRPr="00163BEF" w:rsidRDefault="00586E64" w:rsidP="00586E64">
            <w:pPr>
              <w:rPr>
                <w:lang w:val="en-AU"/>
              </w:rPr>
            </w:pPr>
            <w:r w:rsidRPr="00163BEF">
              <w:t>The regulatory control period following the 2014-19 regulatory control period.</w:t>
            </w:r>
          </w:p>
        </w:tc>
      </w:tr>
      <w:tr w:rsidR="00586E64" w:rsidRPr="00163BEF" w14:paraId="7249B078" w14:textId="77777777" w:rsidTr="006E364D">
        <w:trPr>
          <w:cantSplit/>
          <w:trHeight w:val="360"/>
        </w:trPr>
        <w:tc>
          <w:tcPr>
            <w:tcW w:w="2268" w:type="dxa"/>
          </w:tcPr>
          <w:p w14:paraId="2063E0AA" w14:textId="7DE8A16B" w:rsidR="00586E64" w:rsidRPr="00163BEF" w:rsidRDefault="00586E64" w:rsidP="004F506A">
            <w:pPr>
              <w:rPr>
                <w:lang w:val="en-AU"/>
              </w:rPr>
            </w:pPr>
            <w:r w:rsidRPr="00163BEF">
              <w:t>price cap</w:t>
            </w:r>
          </w:p>
        </w:tc>
        <w:tc>
          <w:tcPr>
            <w:tcW w:w="6946" w:type="dxa"/>
            <w:tcMar>
              <w:right w:w="567" w:type="dxa"/>
            </w:tcMar>
          </w:tcPr>
          <w:p w14:paraId="32AEADAE" w14:textId="57835029" w:rsidR="00586E64" w:rsidRPr="00163BEF" w:rsidRDefault="00586E64" w:rsidP="008E229D">
            <w:pPr>
              <w:rPr>
                <w:rFonts w:cs="Arial"/>
                <w:szCs w:val="22"/>
                <w:lang w:val="en-AU"/>
              </w:rPr>
            </w:pPr>
            <w:r w:rsidRPr="00163BEF">
              <w:t>Has the meaning given in the Network Access Code.</w:t>
            </w:r>
          </w:p>
        </w:tc>
      </w:tr>
      <w:tr w:rsidR="00694B7B" w:rsidRPr="00163BEF" w14:paraId="27A522D8" w14:textId="77777777" w:rsidTr="006E364D">
        <w:trPr>
          <w:cantSplit/>
          <w:trHeight w:val="360"/>
        </w:trPr>
        <w:tc>
          <w:tcPr>
            <w:tcW w:w="2268" w:type="dxa"/>
          </w:tcPr>
          <w:p w14:paraId="6C6C790E" w14:textId="7E97AB82" w:rsidR="00694B7B" w:rsidRPr="00163BEF" w:rsidRDefault="00694B7B" w:rsidP="004F506A">
            <w:pPr>
              <w:rPr>
                <w:lang w:val="en-AU"/>
              </w:rPr>
            </w:pPr>
            <w:r w:rsidRPr="00163BEF">
              <w:rPr>
                <w:lang w:val="en-AU"/>
              </w:rPr>
              <w:t>PTRM</w:t>
            </w:r>
            <w:r w:rsidR="00586E64" w:rsidRPr="00163BEF">
              <w:rPr>
                <w:lang w:val="en-AU"/>
              </w:rPr>
              <w:t xml:space="preserve"> or Post Tax Revenue Model</w:t>
            </w:r>
          </w:p>
        </w:tc>
        <w:tc>
          <w:tcPr>
            <w:tcW w:w="6946" w:type="dxa"/>
            <w:tcMar>
              <w:right w:w="567" w:type="dxa"/>
            </w:tcMar>
          </w:tcPr>
          <w:p w14:paraId="186CF950" w14:textId="42BB2AF0" w:rsidR="00694B7B" w:rsidRPr="00163BEF" w:rsidRDefault="00586E64" w:rsidP="005148AF">
            <w:pPr>
              <w:rPr>
                <w:lang w:val="en-AU"/>
              </w:rPr>
            </w:pPr>
            <w:r w:rsidRPr="00163BEF">
              <w:rPr>
                <w:lang w:val="en-AU"/>
              </w:rPr>
              <w:t xml:space="preserve">The Post Tax Revenue Model published by the AER on </w:t>
            </w:r>
            <w:r w:rsidR="005148AF" w:rsidRPr="00163BEF">
              <w:rPr>
                <w:lang w:val="en-AU"/>
              </w:rPr>
              <w:t>1</w:t>
            </w:r>
            <w:r w:rsidR="005148AF">
              <w:rPr>
                <w:lang w:val="en-AU"/>
              </w:rPr>
              <w:t> </w:t>
            </w:r>
            <w:r w:rsidR="005148AF" w:rsidRPr="00163BEF">
              <w:rPr>
                <w:lang w:val="en-AU"/>
              </w:rPr>
              <w:t>December</w:t>
            </w:r>
            <w:r w:rsidR="005148AF">
              <w:rPr>
                <w:lang w:val="en-AU"/>
              </w:rPr>
              <w:t> </w:t>
            </w:r>
            <w:r w:rsidRPr="00163BEF">
              <w:rPr>
                <w:lang w:val="en-AU"/>
              </w:rPr>
              <w:t>2010.</w:t>
            </w:r>
          </w:p>
        </w:tc>
      </w:tr>
      <w:tr w:rsidR="00694B7B" w:rsidRPr="00163BEF" w14:paraId="13BD8000" w14:textId="77777777" w:rsidTr="006E364D">
        <w:trPr>
          <w:cantSplit/>
          <w:trHeight w:val="360"/>
        </w:trPr>
        <w:tc>
          <w:tcPr>
            <w:tcW w:w="2268" w:type="dxa"/>
          </w:tcPr>
          <w:p w14:paraId="05367577" w14:textId="77777777" w:rsidR="00694B7B" w:rsidRPr="00163BEF" w:rsidRDefault="00694B7B" w:rsidP="004F506A">
            <w:pPr>
              <w:rPr>
                <w:lang w:val="en-AU"/>
              </w:rPr>
            </w:pPr>
            <w:r w:rsidRPr="00163BEF">
              <w:rPr>
                <w:lang w:val="en-AU"/>
              </w:rPr>
              <w:t>PWC</w:t>
            </w:r>
          </w:p>
        </w:tc>
        <w:tc>
          <w:tcPr>
            <w:tcW w:w="6946" w:type="dxa"/>
            <w:tcMar>
              <w:right w:w="567" w:type="dxa"/>
            </w:tcMar>
          </w:tcPr>
          <w:p w14:paraId="1545042A" w14:textId="540E5341" w:rsidR="00694B7B" w:rsidRPr="00163BEF" w:rsidRDefault="008C6E82" w:rsidP="004F506A">
            <w:pPr>
              <w:rPr>
                <w:lang w:val="en-AU"/>
              </w:rPr>
            </w:pPr>
            <w:r w:rsidRPr="00163BEF">
              <w:rPr>
                <w:lang w:val="en-AU"/>
              </w:rPr>
              <w:t xml:space="preserve">The </w:t>
            </w:r>
            <w:r w:rsidR="00694B7B" w:rsidRPr="00163BEF">
              <w:rPr>
                <w:lang w:val="en-AU"/>
              </w:rPr>
              <w:t>Power and Water Corporation</w:t>
            </w:r>
            <w:r w:rsidRPr="00163BEF">
              <w:rPr>
                <w:lang w:val="en-AU"/>
              </w:rPr>
              <w:t xml:space="preserve">, the government owned corporation established under the </w:t>
            </w:r>
            <w:r w:rsidRPr="005148AF">
              <w:rPr>
                <w:i/>
                <w:lang w:val="en-AU"/>
              </w:rPr>
              <w:t>Power and Water Corporation Act</w:t>
            </w:r>
            <w:r w:rsidRPr="00163BEF">
              <w:rPr>
                <w:lang w:val="en-AU"/>
              </w:rPr>
              <w:t>.</w:t>
            </w:r>
          </w:p>
        </w:tc>
      </w:tr>
      <w:tr w:rsidR="00A44F35" w:rsidRPr="00163BEF" w14:paraId="633ACD29" w14:textId="77777777" w:rsidTr="00484786">
        <w:trPr>
          <w:cantSplit/>
          <w:trHeight w:val="360"/>
        </w:trPr>
        <w:tc>
          <w:tcPr>
            <w:tcW w:w="2268" w:type="dxa"/>
          </w:tcPr>
          <w:p w14:paraId="67E43113" w14:textId="77777777" w:rsidR="00A44F35" w:rsidRPr="00163BEF" w:rsidRDefault="00A44F35" w:rsidP="00484786">
            <w:pPr>
              <w:rPr>
                <w:lang w:val="en-AU"/>
              </w:rPr>
            </w:pPr>
            <w:r w:rsidRPr="00163BEF">
              <w:rPr>
                <w:lang w:val="en-AU"/>
              </w:rPr>
              <w:t>PWC Generation</w:t>
            </w:r>
          </w:p>
        </w:tc>
        <w:tc>
          <w:tcPr>
            <w:tcW w:w="6946" w:type="dxa"/>
            <w:tcMar>
              <w:right w:w="567" w:type="dxa"/>
            </w:tcMar>
          </w:tcPr>
          <w:p w14:paraId="383BA522" w14:textId="5E6E6AFE" w:rsidR="00A44F35" w:rsidRPr="00163BEF" w:rsidRDefault="008C6E82" w:rsidP="008C6E82">
            <w:pPr>
              <w:rPr>
                <w:lang w:val="en-AU"/>
              </w:rPr>
            </w:pPr>
            <w:r w:rsidRPr="00163BEF">
              <w:rPr>
                <w:lang w:val="en-AU"/>
              </w:rPr>
              <w:t xml:space="preserve">The generation </w:t>
            </w:r>
            <w:r w:rsidR="00A44F35" w:rsidRPr="00163BEF">
              <w:rPr>
                <w:lang w:val="en-AU"/>
              </w:rPr>
              <w:t>business division of PWC</w:t>
            </w:r>
            <w:r w:rsidR="005148AF">
              <w:rPr>
                <w:lang w:val="en-AU"/>
              </w:rPr>
              <w:t>.</w:t>
            </w:r>
          </w:p>
        </w:tc>
      </w:tr>
      <w:tr w:rsidR="00694B7B" w:rsidRPr="00163BEF" w14:paraId="0B90D7F3" w14:textId="77777777" w:rsidTr="006E364D">
        <w:trPr>
          <w:cantSplit/>
          <w:trHeight w:val="360"/>
        </w:trPr>
        <w:tc>
          <w:tcPr>
            <w:tcW w:w="2268" w:type="dxa"/>
          </w:tcPr>
          <w:p w14:paraId="61DD867E" w14:textId="77777777" w:rsidR="00694B7B" w:rsidRPr="00163BEF" w:rsidRDefault="00694B7B" w:rsidP="004F506A">
            <w:pPr>
              <w:rPr>
                <w:lang w:val="en-AU"/>
              </w:rPr>
            </w:pPr>
            <w:r w:rsidRPr="00163BEF">
              <w:rPr>
                <w:lang w:val="en-AU"/>
              </w:rPr>
              <w:t>PWC Networks</w:t>
            </w:r>
          </w:p>
        </w:tc>
        <w:tc>
          <w:tcPr>
            <w:tcW w:w="6946" w:type="dxa"/>
            <w:tcMar>
              <w:right w:w="567" w:type="dxa"/>
            </w:tcMar>
          </w:tcPr>
          <w:p w14:paraId="0A7D7F7F" w14:textId="72C4D01C" w:rsidR="00694B7B" w:rsidRPr="00163BEF" w:rsidRDefault="008C6E82" w:rsidP="005148AF">
            <w:pPr>
              <w:rPr>
                <w:lang w:val="en-AU"/>
              </w:rPr>
            </w:pPr>
            <w:r w:rsidRPr="00163BEF">
              <w:rPr>
                <w:lang w:val="en-AU"/>
              </w:rPr>
              <w:t xml:space="preserve">The </w:t>
            </w:r>
            <w:r w:rsidR="005148AF">
              <w:rPr>
                <w:lang w:val="en-AU"/>
              </w:rPr>
              <w:t>n</w:t>
            </w:r>
            <w:r w:rsidR="005148AF" w:rsidRPr="00163BEF">
              <w:rPr>
                <w:lang w:val="en-AU"/>
              </w:rPr>
              <w:t xml:space="preserve">etworks </w:t>
            </w:r>
            <w:r w:rsidR="00694B7B" w:rsidRPr="00163BEF">
              <w:rPr>
                <w:lang w:val="en-AU"/>
              </w:rPr>
              <w:t>business division of PWC</w:t>
            </w:r>
            <w:r w:rsidR="005148AF">
              <w:rPr>
                <w:lang w:val="en-AU"/>
              </w:rPr>
              <w:t>.</w:t>
            </w:r>
          </w:p>
        </w:tc>
      </w:tr>
      <w:tr w:rsidR="00694B7B" w:rsidRPr="00163BEF" w14:paraId="6FCB5A9E" w14:textId="77777777" w:rsidTr="006E364D">
        <w:trPr>
          <w:cantSplit/>
          <w:trHeight w:val="360"/>
        </w:trPr>
        <w:tc>
          <w:tcPr>
            <w:tcW w:w="2268" w:type="dxa"/>
          </w:tcPr>
          <w:p w14:paraId="4EB92A37" w14:textId="77777777" w:rsidR="00694B7B" w:rsidRPr="00163BEF" w:rsidRDefault="00694B7B" w:rsidP="00A44F35">
            <w:pPr>
              <w:rPr>
                <w:lang w:val="en-AU"/>
              </w:rPr>
            </w:pPr>
            <w:r w:rsidRPr="00163BEF">
              <w:rPr>
                <w:lang w:val="en-AU"/>
              </w:rPr>
              <w:t xml:space="preserve">PWC </w:t>
            </w:r>
            <w:r w:rsidR="00A44F35" w:rsidRPr="00163BEF">
              <w:rPr>
                <w:lang w:val="en-AU"/>
              </w:rPr>
              <w:t>Retail</w:t>
            </w:r>
          </w:p>
        </w:tc>
        <w:tc>
          <w:tcPr>
            <w:tcW w:w="6946" w:type="dxa"/>
            <w:tcMar>
              <w:right w:w="567" w:type="dxa"/>
            </w:tcMar>
          </w:tcPr>
          <w:p w14:paraId="30956EE0" w14:textId="4F192E56" w:rsidR="00694B7B" w:rsidRPr="00163BEF" w:rsidRDefault="008C6E82" w:rsidP="008C6E82">
            <w:pPr>
              <w:rPr>
                <w:lang w:val="en-AU"/>
              </w:rPr>
            </w:pPr>
            <w:r w:rsidRPr="00163BEF">
              <w:rPr>
                <w:lang w:val="en-AU"/>
              </w:rPr>
              <w:t xml:space="preserve">The retail </w:t>
            </w:r>
            <w:r w:rsidR="00694B7B" w:rsidRPr="00163BEF">
              <w:rPr>
                <w:lang w:val="en-AU"/>
              </w:rPr>
              <w:t>business division of PWC</w:t>
            </w:r>
            <w:r w:rsidR="005148AF">
              <w:rPr>
                <w:lang w:val="en-AU"/>
              </w:rPr>
              <w:t>.</w:t>
            </w:r>
          </w:p>
        </w:tc>
      </w:tr>
      <w:tr w:rsidR="00A44F35" w:rsidRPr="00163BEF" w14:paraId="7B3287D4" w14:textId="77777777" w:rsidTr="00484786">
        <w:trPr>
          <w:cantSplit/>
          <w:trHeight w:val="360"/>
        </w:trPr>
        <w:tc>
          <w:tcPr>
            <w:tcW w:w="2268" w:type="dxa"/>
          </w:tcPr>
          <w:p w14:paraId="67605808" w14:textId="77777777" w:rsidR="00A44F35" w:rsidRPr="00163BEF" w:rsidRDefault="00A44F35" w:rsidP="00A44F35">
            <w:pPr>
              <w:rPr>
                <w:lang w:val="en-AU"/>
              </w:rPr>
            </w:pPr>
            <w:r w:rsidRPr="00163BEF">
              <w:rPr>
                <w:lang w:val="en-AU"/>
              </w:rPr>
              <w:t>PWC System Control</w:t>
            </w:r>
          </w:p>
        </w:tc>
        <w:tc>
          <w:tcPr>
            <w:tcW w:w="6946" w:type="dxa"/>
            <w:tcMar>
              <w:right w:w="567" w:type="dxa"/>
            </w:tcMar>
          </w:tcPr>
          <w:p w14:paraId="761E15AD" w14:textId="1413896A" w:rsidR="00A44F35" w:rsidRPr="00163BEF" w:rsidRDefault="008C6E82" w:rsidP="008C6E82">
            <w:pPr>
              <w:rPr>
                <w:lang w:val="en-AU"/>
              </w:rPr>
            </w:pPr>
            <w:r w:rsidRPr="00163BEF">
              <w:rPr>
                <w:lang w:val="en-AU"/>
              </w:rPr>
              <w:t xml:space="preserve">The system </w:t>
            </w:r>
            <w:r w:rsidR="00A44F35" w:rsidRPr="00163BEF">
              <w:rPr>
                <w:lang w:val="en-AU"/>
              </w:rPr>
              <w:t>control business division of PWC</w:t>
            </w:r>
            <w:r w:rsidR="005148AF">
              <w:rPr>
                <w:lang w:val="en-AU"/>
              </w:rPr>
              <w:t>.</w:t>
            </w:r>
          </w:p>
        </w:tc>
      </w:tr>
      <w:tr w:rsidR="00694B7B" w:rsidRPr="00163BEF" w14:paraId="5C2008E5" w14:textId="77777777" w:rsidTr="006E364D">
        <w:trPr>
          <w:cantSplit/>
          <w:trHeight w:val="360"/>
        </w:trPr>
        <w:tc>
          <w:tcPr>
            <w:tcW w:w="2268" w:type="dxa"/>
          </w:tcPr>
          <w:p w14:paraId="5C91C521" w14:textId="77777777" w:rsidR="00694B7B" w:rsidRPr="00163BEF" w:rsidRDefault="00694B7B" w:rsidP="004F506A">
            <w:pPr>
              <w:rPr>
                <w:lang w:val="en-AU"/>
              </w:rPr>
            </w:pPr>
            <w:r w:rsidRPr="00163BEF">
              <w:rPr>
                <w:lang w:val="en-AU"/>
              </w:rPr>
              <w:t>RAB</w:t>
            </w:r>
          </w:p>
        </w:tc>
        <w:tc>
          <w:tcPr>
            <w:tcW w:w="6946" w:type="dxa"/>
            <w:tcMar>
              <w:right w:w="567" w:type="dxa"/>
            </w:tcMar>
          </w:tcPr>
          <w:p w14:paraId="5F44593B" w14:textId="4959A559" w:rsidR="00694B7B" w:rsidRPr="00163BEF" w:rsidRDefault="008C6E82" w:rsidP="008C6E82">
            <w:pPr>
              <w:rPr>
                <w:lang w:val="en-AU"/>
              </w:rPr>
            </w:pPr>
            <w:r w:rsidRPr="00163BEF">
              <w:rPr>
                <w:lang w:val="en-AU"/>
              </w:rPr>
              <w:t xml:space="preserve">The regulatory </w:t>
            </w:r>
            <w:r w:rsidR="007F1CB8" w:rsidRPr="00163BEF">
              <w:rPr>
                <w:lang w:val="en-AU"/>
              </w:rPr>
              <w:t>asset base</w:t>
            </w:r>
            <w:r w:rsidRPr="00163BEF">
              <w:rPr>
                <w:lang w:val="en-AU"/>
              </w:rPr>
              <w:t xml:space="preserve"> maintained by PWC Networks relating to the provision of regulated network access services.</w:t>
            </w:r>
          </w:p>
        </w:tc>
      </w:tr>
      <w:tr w:rsidR="008C6E82" w:rsidRPr="00163BEF" w14:paraId="540F28D4" w14:textId="77777777" w:rsidTr="006E364D">
        <w:trPr>
          <w:cantSplit/>
          <w:trHeight w:val="360"/>
        </w:trPr>
        <w:tc>
          <w:tcPr>
            <w:tcW w:w="2268" w:type="dxa"/>
          </w:tcPr>
          <w:p w14:paraId="73F9C0D5" w14:textId="6D4DB427" w:rsidR="008C6E82" w:rsidRPr="00163BEF" w:rsidRDefault="008C6E82" w:rsidP="004F506A">
            <w:pPr>
              <w:rPr>
                <w:lang w:val="en-AU"/>
              </w:rPr>
            </w:pPr>
            <w:r w:rsidRPr="00163BEF">
              <w:t>reference tariff</w:t>
            </w:r>
          </w:p>
        </w:tc>
        <w:tc>
          <w:tcPr>
            <w:tcW w:w="6946" w:type="dxa"/>
            <w:tcMar>
              <w:right w:w="567" w:type="dxa"/>
            </w:tcMar>
          </w:tcPr>
          <w:p w14:paraId="4F6796C0" w14:textId="685255D0" w:rsidR="008C6E82" w:rsidRPr="00163BEF" w:rsidRDefault="008C6E82" w:rsidP="008C6E82">
            <w:pPr>
              <w:rPr>
                <w:lang w:val="en-AU"/>
              </w:rPr>
            </w:pPr>
            <w:r w:rsidRPr="00163BEF">
              <w:t>Has the meaning given in the Network Access Code.</w:t>
            </w:r>
          </w:p>
        </w:tc>
      </w:tr>
      <w:tr w:rsidR="008C6E82" w:rsidRPr="00163BEF" w14:paraId="135EF092" w14:textId="77777777" w:rsidTr="006E364D">
        <w:trPr>
          <w:cantSplit/>
          <w:trHeight w:val="360"/>
        </w:trPr>
        <w:tc>
          <w:tcPr>
            <w:tcW w:w="2268" w:type="dxa"/>
          </w:tcPr>
          <w:p w14:paraId="4B906862" w14:textId="35F2FC67" w:rsidR="008C6E82" w:rsidRPr="00163BEF" w:rsidRDefault="008C6E82" w:rsidP="004F506A">
            <w:pPr>
              <w:rPr>
                <w:lang w:val="en-AU"/>
              </w:rPr>
            </w:pPr>
            <w:r w:rsidRPr="00163BEF">
              <w:t>regulated network access services</w:t>
            </w:r>
          </w:p>
        </w:tc>
        <w:tc>
          <w:tcPr>
            <w:tcW w:w="6946" w:type="dxa"/>
            <w:tcMar>
              <w:right w:w="567" w:type="dxa"/>
            </w:tcMar>
          </w:tcPr>
          <w:p w14:paraId="7E014FCA" w14:textId="39B3080C" w:rsidR="008C6E82" w:rsidRPr="00163BEF" w:rsidRDefault="008C6E82" w:rsidP="008C6E82">
            <w:pPr>
              <w:rPr>
                <w:lang w:val="en-AU"/>
              </w:rPr>
            </w:pPr>
            <w:r w:rsidRPr="00163BEF">
              <w:t>Has the meaning given in the Network Access Code.</w:t>
            </w:r>
          </w:p>
        </w:tc>
      </w:tr>
      <w:tr w:rsidR="008C6E82" w:rsidRPr="00163BEF" w14:paraId="55E54EF6" w14:textId="77777777" w:rsidTr="006E364D">
        <w:trPr>
          <w:cantSplit/>
          <w:trHeight w:val="360"/>
        </w:trPr>
        <w:tc>
          <w:tcPr>
            <w:tcW w:w="2268" w:type="dxa"/>
          </w:tcPr>
          <w:p w14:paraId="5984F391" w14:textId="7E391927" w:rsidR="008C6E82" w:rsidRPr="00163BEF" w:rsidRDefault="008C6E82" w:rsidP="004F506A">
            <w:pPr>
              <w:rPr>
                <w:lang w:val="en-AU"/>
              </w:rPr>
            </w:pPr>
            <w:r w:rsidRPr="00163BEF">
              <w:rPr>
                <w:lang w:val="en-AU"/>
              </w:rPr>
              <w:t>regulatory change event</w:t>
            </w:r>
          </w:p>
        </w:tc>
        <w:tc>
          <w:tcPr>
            <w:tcW w:w="6946" w:type="dxa"/>
            <w:tcMar>
              <w:right w:w="567" w:type="dxa"/>
            </w:tcMar>
          </w:tcPr>
          <w:p w14:paraId="33F9CE96" w14:textId="77777777" w:rsidR="008C6E82" w:rsidRPr="00163BEF" w:rsidRDefault="008C6E82" w:rsidP="008C6E82">
            <w:pPr>
              <w:rPr>
                <w:lang w:val="en-AU"/>
              </w:rPr>
            </w:pPr>
            <w:r w:rsidRPr="00163BEF">
              <w:rPr>
                <w:lang w:val="en-AU"/>
              </w:rPr>
              <w:t>A change in a regulatory obligation or requirement that:</w:t>
            </w:r>
          </w:p>
          <w:p w14:paraId="11770CBD" w14:textId="20B2F865" w:rsidR="008C6E82" w:rsidRPr="00163BEF" w:rsidRDefault="008C6E82" w:rsidP="00243FBE">
            <w:pPr>
              <w:pStyle w:val="UtilComBulletText"/>
              <w:numPr>
                <w:ilvl w:val="0"/>
                <w:numId w:val="39"/>
              </w:numPr>
              <w:tabs>
                <w:tab w:val="clear" w:pos="1106"/>
                <w:tab w:val="clear" w:pos="1134"/>
                <w:tab w:val="num" w:pos="459"/>
              </w:tabs>
              <w:ind w:left="459" w:hanging="459"/>
            </w:pPr>
            <w:r w:rsidRPr="00163BEF">
              <w:t>falls within no other category of pass through event; and</w:t>
            </w:r>
          </w:p>
          <w:p w14:paraId="1F3063A3" w14:textId="6D905FDD" w:rsidR="008C6E82" w:rsidRPr="00163BEF" w:rsidRDefault="008C6E82" w:rsidP="00243FBE">
            <w:pPr>
              <w:pStyle w:val="UtilComBulletText"/>
              <w:numPr>
                <w:ilvl w:val="0"/>
                <w:numId w:val="39"/>
              </w:numPr>
              <w:tabs>
                <w:tab w:val="clear" w:pos="1106"/>
                <w:tab w:val="clear" w:pos="1134"/>
                <w:tab w:val="num" w:pos="459"/>
              </w:tabs>
              <w:ind w:left="459" w:hanging="459"/>
            </w:pPr>
            <w:r w:rsidRPr="00163BEF">
              <w:t>occurs during the course of the 2014-19 regulatory control period; and</w:t>
            </w:r>
          </w:p>
          <w:p w14:paraId="1E6B27CD" w14:textId="6FAC37D5" w:rsidR="008C6E82" w:rsidRPr="00163BEF" w:rsidRDefault="008C6E82" w:rsidP="00243FBE">
            <w:pPr>
              <w:pStyle w:val="UtilComBulletText"/>
              <w:numPr>
                <w:ilvl w:val="0"/>
                <w:numId w:val="39"/>
              </w:numPr>
              <w:tabs>
                <w:tab w:val="clear" w:pos="1106"/>
                <w:tab w:val="clear" w:pos="1134"/>
                <w:tab w:val="num" w:pos="459"/>
              </w:tabs>
              <w:ind w:left="459" w:hanging="459"/>
            </w:pPr>
            <w:r w:rsidRPr="00163BEF">
              <w:t>substantially affects the manner in which PWC Networks provides regulated network access services; and</w:t>
            </w:r>
          </w:p>
          <w:p w14:paraId="5C80D7D8" w14:textId="7CA28159" w:rsidR="008C6E82" w:rsidRPr="00163BEF" w:rsidRDefault="008C6E82" w:rsidP="00243FBE">
            <w:pPr>
              <w:pStyle w:val="UtilComBulletText"/>
              <w:numPr>
                <w:ilvl w:val="0"/>
                <w:numId w:val="39"/>
              </w:numPr>
              <w:tabs>
                <w:tab w:val="clear" w:pos="1106"/>
                <w:tab w:val="clear" w:pos="1134"/>
                <w:tab w:val="num" w:pos="459"/>
              </w:tabs>
              <w:ind w:left="459" w:hanging="459"/>
              <w:rPr>
                <w:lang w:val="en-AU"/>
              </w:rPr>
            </w:pPr>
            <w:r w:rsidRPr="00163BEF">
              <w:t>materially increases or materially decreases the costs to PWC Networks of providing the regulated network access services.</w:t>
            </w:r>
          </w:p>
        </w:tc>
      </w:tr>
      <w:tr w:rsidR="00694B7B" w:rsidRPr="00163BEF" w14:paraId="0ED50211" w14:textId="77777777" w:rsidTr="006E364D">
        <w:trPr>
          <w:cantSplit/>
          <w:trHeight w:val="360"/>
        </w:trPr>
        <w:tc>
          <w:tcPr>
            <w:tcW w:w="2268" w:type="dxa"/>
          </w:tcPr>
          <w:p w14:paraId="54021893" w14:textId="0F2923CC" w:rsidR="00694B7B" w:rsidRPr="00163BEF" w:rsidRDefault="00B43B89" w:rsidP="004F506A">
            <w:pPr>
              <w:rPr>
                <w:lang w:val="en-AU"/>
              </w:rPr>
            </w:pPr>
            <w:r w:rsidRPr="00163BEF">
              <w:rPr>
                <w:lang w:val="en-AU"/>
              </w:rPr>
              <w:t xml:space="preserve">regulatory </w:t>
            </w:r>
            <w:r w:rsidR="00694B7B" w:rsidRPr="00163BEF">
              <w:rPr>
                <w:lang w:val="en-AU"/>
              </w:rPr>
              <w:t>control period</w:t>
            </w:r>
          </w:p>
        </w:tc>
        <w:tc>
          <w:tcPr>
            <w:tcW w:w="6946" w:type="dxa"/>
            <w:tcMar>
              <w:right w:w="567" w:type="dxa"/>
            </w:tcMar>
          </w:tcPr>
          <w:p w14:paraId="6F75A201" w14:textId="4C8B57C3" w:rsidR="00524EA7" w:rsidRPr="00163BEF" w:rsidRDefault="00694B7B" w:rsidP="007F1CB8">
            <w:pPr>
              <w:rPr>
                <w:lang w:val="en-AU"/>
              </w:rPr>
            </w:pPr>
            <w:r w:rsidRPr="00163BEF">
              <w:rPr>
                <w:lang w:val="en-AU"/>
              </w:rPr>
              <w:t xml:space="preserve">The period between major </w:t>
            </w:r>
            <w:r w:rsidR="00B43B89" w:rsidRPr="00163BEF">
              <w:rPr>
                <w:lang w:val="en-AU"/>
              </w:rPr>
              <w:t xml:space="preserve">network access service </w:t>
            </w:r>
            <w:r w:rsidRPr="00163BEF">
              <w:rPr>
                <w:lang w:val="en-AU"/>
              </w:rPr>
              <w:t xml:space="preserve">price reviews during which time the methodology used in setting prices </w:t>
            </w:r>
            <w:r w:rsidR="00B43B89" w:rsidRPr="00163BEF">
              <w:rPr>
                <w:lang w:val="en-AU"/>
              </w:rPr>
              <w:t xml:space="preserve">for regulated network access services </w:t>
            </w:r>
            <w:r w:rsidRPr="00163BEF">
              <w:rPr>
                <w:lang w:val="en-AU"/>
              </w:rPr>
              <w:t>is held constant</w:t>
            </w:r>
            <w:r w:rsidR="005148AF">
              <w:rPr>
                <w:lang w:val="en-AU"/>
              </w:rPr>
              <w:t>.</w:t>
            </w:r>
          </w:p>
        </w:tc>
      </w:tr>
      <w:tr w:rsidR="00E12652" w:rsidRPr="00163BEF" w14:paraId="3E0D295D" w14:textId="77777777" w:rsidTr="006E364D">
        <w:trPr>
          <w:cantSplit/>
          <w:trHeight w:val="360"/>
        </w:trPr>
        <w:tc>
          <w:tcPr>
            <w:tcW w:w="2268" w:type="dxa"/>
          </w:tcPr>
          <w:p w14:paraId="23D2A86C" w14:textId="1E791532" w:rsidR="00E12652" w:rsidRPr="00163BEF" w:rsidRDefault="00E12652" w:rsidP="004F506A">
            <w:pPr>
              <w:rPr>
                <w:lang w:val="en-AU"/>
              </w:rPr>
            </w:pPr>
            <w:r w:rsidRPr="00163BEF">
              <w:t>regulatory obligation or requirement</w:t>
            </w:r>
          </w:p>
        </w:tc>
        <w:tc>
          <w:tcPr>
            <w:tcW w:w="6946" w:type="dxa"/>
            <w:tcMar>
              <w:right w:w="567" w:type="dxa"/>
            </w:tcMar>
          </w:tcPr>
          <w:p w14:paraId="6393F439" w14:textId="262EEA3E" w:rsidR="00E12652" w:rsidRPr="00163BEF" w:rsidRDefault="00E12652" w:rsidP="007F1CB8">
            <w:pPr>
              <w:rPr>
                <w:lang w:val="en-AU"/>
              </w:rPr>
            </w:pPr>
            <w:r w:rsidRPr="00163BEF">
              <w:t>Any obligation or requirement applicable to PWC Networks under an applicable regulatory instrument.</w:t>
            </w:r>
          </w:p>
        </w:tc>
      </w:tr>
      <w:tr w:rsidR="005B1AF3" w:rsidRPr="00163BEF" w14:paraId="1F8BB01E" w14:textId="77777777" w:rsidTr="006E364D">
        <w:trPr>
          <w:cantSplit/>
          <w:trHeight w:val="360"/>
        </w:trPr>
        <w:tc>
          <w:tcPr>
            <w:tcW w:w="2268" w:type="dxa"/>
          </w:tcPr>
          <w:p w14:paraId="1B67A38C" w14:textId="29539FAB" w:rsidR="005B1AF3" w:rsidRPr="00163BEF" w:rsidRDefault="005B1AF3" w:rsidP="004F506A">
            <w:r>
              <w:t>regulatory proposal</w:t>
            </w:r>
          </w:p>
        </w:tc>
        <w:tc>
          <w:tcPr>
            <w:tcW w:w="6946" w:type="dxa"/>
            <w:tcMar>
              <w:right w:w="567" w:type="dxa"/>
            </w:tcMar>
          </w:tcPr>
          <w:p w14:paraId="71FA0481" w14:textId="07A0B631" w:rsidR="005B1AF3" w:rsidRPr="00163BEF" w:rsidRDefault="005B1AF3" w:rsidP="007F1CB8">
            <w:r w:rsidRPr="005B1AF3">
              <w:t>The regulatory proposal submitted by PWC Networks to the Commission in relation to the 2014 Network Price Determination which is comprised of the initial regulatory proposal, revised regulatory proposal and supporting information submitted by PWC Networks to the Commission in response to the RIN issued to PWC Networks for the purposes of the 2014 Network Price Determination.</w:t>
            </w:r>
          </w:p>
        </w:tc>
      </w:tr>
      <w:tr w:rsidR="00E12652" w:rsidRPr="00163BEF" w14:paraId="05DB9DF2" w14:textId="77777777" w:rsidTr="006E364D">
        <w:trPr>
          <w:cantSplit/>
          <w:trHeight w:val="360"/>
        </w:trPr>
        <w:tc>
          <w:tcPr>
            <w:tcW w:w="2268" w:type="dxa"/>
          </w:tcPr>
          <w:p w14:paraId="0C2FF861" w14:textId="70DD2682" w:rsidR="00E12652" w:rsidRPr="00163BEF" w:rsidRDefault="00E12652" w:rsidP="004F506A">
            <w:pPr>
              <w:rPr>
                <w:lang w:val="en-AU"/>
              </w:rPr>
            </w:pPr>
            <w:r w:rsidRPr="00163BEF">
              <w:t>regulatory year</w:t>
            </w:r>
          </w:p>
        </w:tc>
        <w:tc>
          <w:tcPr>
            <w:tcW w:w="6946" w:type="dxa"/>
            <w:tcMar>
              <w:right w:w="567" w:type="dxa"/>
            </w:tcMar>
          </w:tcPr>
          <w:p w14:paraId="275869B2" w14:textId="3F1EF8A6" w:rsidR="00E12652" w:rsidRPr="00163BEF" w:rsidRDefault="00E12652" w:rsidP="00E149C6">
            <w:pPr>
              <w:rPr>
                <w:lang w:val="en-AU"/>
              </w:rPr>
            </w:pPr>
            <w:r w:rsidRPr="00163BEF">
              <w:t>Each consecutive period of 12 calendar months in a regulatory control period, the first such 12</w:t>
            </w:r>
            <w:r w:rsidR="00E149C6">
              <w:t>-</w:t>
            </w:r>
            <w:r w:rsidRPr="00163BEF">
              <w:t xml:space="preserve">month period commencing at the beginning of the regulatory control period and the final </w:t>
            </w:r>
            <w:r w:rsidR="00E149C6">
              <w:br/>
            </w:r>
            <w:r w:rsidRPr="00163BEF">
              <w:t>12</w:t>
            </w:r>
            <w:r w:rsidR="00E149C6">
              <w:t>-m</w:t>
            </w:r>
            <w:r w:rsidRPr="00163BEF">
              <w:t>onth period ending at the end of the regulatory control period.</w:t>
            </w:r>
          </w:p>
        </w:tc>
      </w:tr>
      <w:tr w:rsidR="00353133" w:rsidRPr="00163BEF" w14:paraId="48CB1CC8" w14:textId="77777777" w:rsidTr="006E364D">
        <w:trPr>
          <w:cantSplit/>
          <w:trHeight w:val="360"/>
        </w:trPr>
        <w:tc>
          <w:tcPr>
            <w:tcW w:w="2268" w:type="dxa"/>
          </w:tcPr>
          <w:p w14:paraId="7C280082" w14:textId="5454B948" w:rsidR="00353133" w:rsidRPr="00163BEF" w:rsidRDefault="00353133" w:rsidP="004F506A">
            <w:pPr>
              <w:rPr>
                <w:lang w:val="en-AU"/>
              </w:rPr>
            </w:pPr>
            <w:r w:rsidRPr="00163BEF">
              <w:rPr>
                <w:lang w:val="en-AU"/>
              </w:rPr>
              <w:t>relevant tax</w:t>
            </w:r>
          </w:p>
        </w:tc>
        <w:tc>
          <w:tcPr>
            <w:tcW w:w="6946" w:type="dxa"/>
            <w:tcMar>
              <w:right w:w="567" w:type="dxa"/>
            </w:tcMar>
          </w:tcPr>
          <w:p w14:paraId="312509A1" w14:textId="6C608BC4" w:rsidR="00353133" w:rsidRPr="00163BEF" w:rsidRDefault="00353133" w:rsidP="00353133">
            <w:pPr>
              <w:rPr>
                <w:lang w:val="en-AU"/>
              </w:rPr>
            </w:pPr>
            <w:r w:rsidRPr="00163BEF">
              <w:rPr>
                <w:lang w:val="en-AU"/>
              </w:rPr>
              <w:t>Any tax</w:t>
            </w:r>
            <w:r w:rsidR="00CB5E5A">
              <w:rPr>
                <w:lang w:val="en-AU"/>
              </w:rPr>
              <w:t xml:space="preserve"> or tax equivalent</w:t>
            </w:r>
            <w:r w:rsidRPr="00163BEF">
              <w:rPr>
                <w:lang w:val="en-AU"/>
              </w:rPr>
              <w:t xml:space="preserve"> payable by PWC Networks other than:</w:t>
            </w:r>
          </w:p>
          <w:p w14:paraId="74EF319D" w14:textId="575D0C81" w:rsidR="00353133" w:rsidRPr="00163BEF" w:rsidRDefault="00353133" w:rsidP="00243FBE">
            <w:pPr>
              <w:pStyle w:val="UtilComBulletText"/>
              <w:numPr>
                <w:ilvl w:val="0"/>
                <w:numId w:val="40"/>
              </w:numPr>
              <w:tabs>
                <w:tab w:val="clear" w:pos="1134"/>
              </w:tabs>
              <w:ind w:left="601" w:hanging="567"/>
            </w:pPr>
            <w:r w:rsidRPr="00163BEF">
              <w:t>income tax and capital gains tax;</w:t>
            </w:r>
          </w:p>
          <w:p w14:paraId="174F42DB" w14:textId="2C0D8024" w:rsidR="00353133" w:rsidRPr="00163BEF" w:rsidRDefault="00353133" w:rsidP="00243FBE">
            <w:pPr>
              <w:pStyle w:val="UtilComBulletText"/>
              <w:numPr>
                <w:ilvl w:val="0"/>
                <w:numId w:val="40"/>
              </w:numPr>
              <w:tabs>
                <w:tab w:val="clear" w:pos="1134"/>
              </w:tabs>
              <w:ind w:left="601" w:hanging="567"/>
            </w:pPr>
            <w:r w:rsidRPr="00163BEF">
              <w:t>stamp duty, financial institutions duty and bank accounts debits tax;</w:t>
            </w:r>
          </w:p>
          <w:p w14:paraId="56C497E9" w14:textId="2F4CC39C" w:rsidR="00353133" w:rsidRPr="00163BEF" w:rsidRDefault="00353133" w:rsidP="00243FBE">
            <w:pPr>
              <w:pStyle w:val="UtilComBulletText"/>
              <w:numPr>
                <w:ilvl w:val="0"/>
                <w:numId w:val="40"/>
              </w:numPr>
              <w:tabs>
                <w:tab w:val="clear" w:pos="1134"/>
              </w:tabs>
              <w:ind w:left="601" w:hanging="567"/>
            </w:pPr>
            <w:r w:rsidRPr="00163BEF">
              <w:t>penalties, charges, fees and interest on late payments, or deficiencies in payments, relating to any tax; or</w:t>
            </w:r>
          </w:p>
          <w:p w14:paraId="25A868D9" w14:textId="51FB81D5" w:rsidR="00353133" w:rsidRPr="00163BEF" w:rsidRDefault="00353133" w:rsidP="00243FBE">
            <w:pPr>
              <w:pStyle w:val="UtilComBulletText"/>
              <w:numPr>
                <w:ilvl w:val="0"/>
                <w:numId w:val="40"/>
              </w:numPr>
              <w:tabs>
                <w:tab w:val="clear" w:pos="1134"/>
              </w:tabs>
              <w:ind w:left="601" w:hanging="567"/>
              <w:rPr>
                <w:lang w:val="en-AU"/>
              </w:rPr>
            </w:pPr>
            <w:r w:rsidRPr="00163BEF">
              <w:t>any tax that replaces or is the equivalent of or similar to any of the taxes referred to in subparagraphs (a) to (c)  (including any Northern Territory taxes).</w:t>
            </w:r>
          </w:p>
        </w:tc>
      </w:tr>
      <w:tr w:rsidR="00353133" w:rsidRPr="00163BEF" w14:paraId="7CC16C95" w14:textId="77777777" w:rsidTr="006E364D">
        <w:trPr>
          <w:cantSplit/>
          <w:trHeight w:val="360"/>
        </w:trPr>
        <w:tc>
          <w:tcPr>
            <w:tcW w:w="2268" w:type="dxa"/>
          </w:tcPr>
          <w:p w14:paraId="402D62CF" w14:textId="7C16FF54" w:rsidR="00353133" w:rsidRPr="00163BEF" w:rsidRDefault="00353133" w:rsidP="004F506A">
            <w:pPr>
              <w:rPr>
                <w:lang w:val="en-AU"/>
              </w:rPr>
            </w:pPr>
            <w:r w:rsidRPr="00163BEF">
              <w:rPr>
                <w:lang w:val="en-AU"/>
              </w:rPr>
              <w:t>required pass through amount</w:t>
            </w:r>
          </w:p>
        </w:tc>
        <w:tc>
          <w:tcPr>
            <w:tcW w:w="6946" w:type="dxa"/>
            <w:tcMar>
              <w:right w:w="567" w:type="dxa"/>
            </w:tcMar>
          </w:tcPr>
          <w:p w14:paraId="6D8CB0FF" w14:textId="77777777" w:rsidR="00353133" w:rsidRPr="00163BEF" w:rsidRDefault="00353133" w:rsidP="00353133">
            <w:pPr>
              <w:rPr>
                <w:lang w:val="en-AU"/>
              </w:rPr>
            </w:pPr>
            <w:r w:rsidRPr="00163BEF">
              <w:rPr>
                <w:lang w:val="en-AU"/>
              </w:rPr>
              <w:t>In respect of a negative change event for PWC Networks, the costs in the provision of the regulated network access services that PWC Networks has saved and is likely to save as a result of the negative change event until:</w:t>
            </w:r>
          </w:p>
          <w:p w14:paraId="496F1FA6" w14:textId="6ED3B966" w:rsidR="00353133" w:rsidRPr="00163BEF" w:rsidRDefault="00353133" w:rsidP="00243FBE">
            <w:pPr>
              <w:pStyle w:val="UtilComBulletText"/>
              <w:numPr>
                <w:ilvl w:val="0"/>
                <w:numId w:val="41"/>
              </w:numPr>
              <w:tabs>
                <w:tab w:val="clear" w:pos="1106"/>
                <w:tab w:val="clear" w:pos="1134"/>
                <w:tab w:val="num" w:pos="601"/>
              </w:tabs>
              <w:ind w:left="601" w:hanging="567"/>
            </w:pPr>
            <w:r w:rsidRPr="00163BEF">
              <w:t>unless subparagraph (b) applies – the end of the 2014-19 regulatory control period; or</w:t>
            </w:r>
          </w:p>
          <w:p w14:paraId="283462DC" w14:textId="4A118E98" w:rsidR="00353133" w:rsidRPr="00163BEF" w:rsidRDefault="00353133" w:rsidP="00243FBE">
            <w:pPr>
              <w:pStyle w:val="UtilComBulletText"/>
              <w:numPr>
                <w:ilvl w:val="0"/>
                <w:numId w:val="41"/>
              </w:numPr>
              <w:tabs>
                <w:tab w:val="clear" w:pos="1106"/>
                <w:tab w:val="clear" w:pos="1134"/>
                <w:tab w:val="num" w:pos="601"/>
              </w:tabs>
              <w:ind w:left="601" w:hanging="567"/>
              <w:rPr>
                <w:lang w:val="en-AU"/>
              </w:rPr>
            </w:pPr>
            <w:r w:rsidRPr="00163BEF">
              <w:t>if the Post 2019 NPD does not make any allowance for the pass through of the saved costs – the end of the Post 2019 regulatory control period.</w:t>
            </w:r>
          </w:p>
        </w:tc>
      </w:tr>
      <w:tr w:rsidR="00C63A61" w:rsidRPr="00163BEF" w14:paraId="5C121B19" w14:textId="77777777" w:rsidTr="006E364D">
        <w:trPr>
          <w:cantSplit/>
          <w:trHeight w:val="360"/>
        </w:trPr>
        <w:tc>
          <w:tcPr>
            <w:tcW w:w="2268" w:type="dxa"/>
          </w:tcPr>
          <w:p w14:paraId="4CEED248" w14:textId="746BAFE3" w:rsidR="00C63A61" w:rsidRPr="00163BEF" w:rsidRDefault="00C63A61" w:rsidP="004F506A">
            <w:pPr>
              <w:rPr>
                <w:lang w:val="en-AU"/>
              </w:rPr>
            </w:pPr>
            <w:r w:rsidRPr="00163BEF">
              <w:t>retailer</w:t>
            </w:r>
          </w:p>
        </w:tc>
        <w:tc>
          <w:tcPr>
            <w:tcW w:w="6946" w:type="dxa"/>
            <w:tcMar>
              <w:right w:w="567" w:type="dxa"/>
            </w:tcMar>
          </w:tcPr>
          <w:p w14:paraId="0105F199" w14:textId="624797AA" w:rsidR="00C63A61" w:rsidRPr="00163BEF" w:rsidRDefault="00C63A61" w:rsidP="007F1CB8">
            <w:pPr>
              <w:rPr>
                <w:lang w:val="en-AU"/>
              </w:rPr>
            </w:pPr>
            <w:r w:rsidRPr="00163BEF">
              <w:t xml:space="preserve">A person who is authorised by licence, or exempt from being licenced, to sell electricity under the </w:t>
            </w:r>
            <w:r w:rsidRPr="005148AF">
              <w:rPr>
                <w:i/>
              </w:rPr>
              <w:t>Electricity Reform Act</w:t>
            </w:r>
            <w:r w:rsidRPr="00163BEF">
              <w:t>.</w:t>
            </w:r>
          </w:p>
        </w:tc>
      </w:tr>
      <w:tr w:rsidR="00C63A61" w:rsidRPr="00163BEF" w14:paraId="3217320D" w14:textId="77777777" w:rsidTr="006E364D">
        <w:trPr>
          <w:cantSplit/>
          <w:trHeight w:val="360"/>
        </w:trPr>
        <w:tc>
          <w:tcPr>
            <w:tcW w:w="2268" w:type="dxa"/>
          </w:tcPr>
          <w:p w14:paraId="6A1F4D6E" w14:textId="6F924CDE" w:rsidR="00C63A61" w:rsidRPr="00163BEF" w:rsidRDefault="00C63A61" w:rsidP="004F506A">
            <w:pPr>
              <w:rPr>
                <w:lang w:val="en-AU"/>
              </w:rPr>
            </w:pPr>
            <w:r w:rsidRPr="00163BEF">
              <w:t>retail customer</w:t>
            </w:r>
          </w:p>
        </w:tc>
        <w:tc>
          <w:tcPr>
            <w:tcW w:w="6946" w:type="dxa"/>
            <w:tcMar>
              <w:right w:w="567" w:type="dxa"/>
            </w:tcMar>
          </w:tcPr>
          <w:p w14:paraId="4DEA56F7" w14:textId="4D1C8E8B" w:rsidR="00C63A61" w:rsidRPr="00163BEF" w:rsidRDefault="00C63A61" w:rsidP="00BB4311">
            <w:pPr>
              <w:rPr>
                <w:rFonts w:cs="Arial"/>
                <w:szCs w:val="22"/>
                <w:lang w:val="en-AU"/>
              </w:rPr>
            </w:pPr>
            <w:r w:rsidRPr="00163BEF">
              <w:t xml:space="preserve">A person to whom electricity is sold by a retailer </w:t>
            </w:r>
            <w:r w:rsidR="00CB5E5A">
              <w:t>at a premises that is connected to the PWC Networks</w:t>
            </w:r>
            <w:r w:rsidR="007B0DFB">
              <w:t>’</w:t>
            </w:r>
            <w:r w:rsidR="00CB5E5A">
              <w:t xml:space="preserve"> regulated electricity network. </w:t>
            </w:r>
          </w:p>
        </w:tc>
      </w:tr>
      <w:tr w:rsidR="00353133" w:rsidRPr="00163BEF" w14:paraId="06332FF7" w14:textId="77777777" w:rsidTr="006E364D">
        <w:trPr>
          <w:cantSplit/>
          <w:trHeight w:val="360"/>
        </w:trPr>
        <w:tc>
          <w:tcPr>
            <w:tcW w:w="2268" w:type="dxa"/>
          </w:tcPr>
          <w:p w14:paraId="4E87155F" w14:textId="107A1BD2" w:rsidR="00353133" w:rsidRPr="00163BEF" w:rsidRDefault="00F1726C" w:rsidP="004F506A">
            <w:pPr>
              <w:rPr>
                <w:lang w:val="en-AU"/>
              </w:rPr>
            </w:pPr>
            <w:r w:rsidRPr="00163BEF">
              <w:rPr>
                <w:lang w:val="en-AU"/>
              </w:rPr>
              <w:t>retailer insolvency event</w:t>
            </w:r>
          </w:p>
        </w:tc>
        <w:tc>
          <w:tcPr>
            <w:tcW w:w="6946" w:type="dxa"/>
            <w:tcMar>
              <w:right w:w="567" w:type="dxa"/>
            </w:tcMar>
          </w:tcPr>
          <w:p w14:paraId="68850BF9" w14:textId="208DFD21" w:rsidR="00F1726C" w:rsidRPr="00163BEF" w:rsidRDefault="00F1726C" w:rsidP="00F1726C">
            <w:pPr>
              <w:rPr>
                <w:lang w:val="en-AU"/>
              </w:rPr>
            </w:pPr>
            <w:r w:rsidRPr="00163BEF">
              <w:rPr>
                <w:lang w:val="en-AU"/>
              </w:rPr>
              <w:t>The failure of a retailer during the 2014-19 regulatory control period, to pay PWC Networks an amount to which PWC Networks is entitled for the provision of regulated network access services, if:</w:t>
            </w:r>
          </w:p>
          <w:p w14:paraId="53293EF3" w14:textId="6EC41B49" w:rsidR="00F1726C" w:rsidRPr="00163BEF" w:rsidRDefault="00F1726C" w:rsidP="00243FBE">
            <w:pPr>
              <w:pStyle w:val="UtilComBulletText"/>
              <w:numPr>
                <w:ilvl w:val="0"/>
                <w:numId w:val="42"/>
              </w:numPr>
              <w:tabs>
                <w:tab w:val="clear" w:pos="1134"/>
              </w:tabs>
              <w:ind w:left="459" w:hanging="425"/>
            </w:pPr>
            <w:r w:rsidRPr="00163BEF">
              <w:t>a receiver, receiver and manager, administrator, provisional liquidator, liquidator, trustee in bankruptcy or person having a similar or analogous function has been appointed in respect of that retailer; and</w:t>
            </w:r>
          </w:p>
          <w:p w14:paraId="2F4BB388" w14:textId="0B9248B2" w:rsidR="00353133" w:rsidRPr="00163BEF" w:rsidRDefault="00F1726C" w:rsidP="00243FBE">
            <w:pPr>
              <w:pStyle w:val="UtilComBulletText"/>
              <w:numPr>
                <w:ilvl w:val="0"/>
                <w:numId w:val="42"/>
              </w:numPr>
              <w:tabs>
                <w:tab w:val="clear" w:pos="1134"/>
              </w:tabs>
              <w:ind w:left="459" w:hanging="425"/>
              <w:rPr>
                <w:lang w:val="en-AU"/>
              </w:rPr>
            </w:pPr>
            <w:r w:rsidRPr="00163BEF">
              <w:t>PWC Networks is not entitled to payment of that amount in full under the terms of any credit support provided in respect of that retailer.</w:t>
            </w:r>
          </w:p>
        </w:tc>
      </w:tr>
      <w:tr w:rsidR="00F53614" w:rsidRPr="00163BEF" w14:paraId="2622CFEA" w14:textId="77777777" w:rsidTr="006E364D">
        <w:trPr>
          <w:cantSplit/>
          <w:trHeight w:val="360"/>
        </w:trPr>
        <w:tc>
          <w:tcPr>
            <w:tcW w:w="2268" w:type="dxa"/>
          </w:tcPr>
          <w:p w14:paraId="5AF2E8DD" w14:textId="00C25E50" w:rsidR="00F53614" w:rsidRPr="00163BEF" w:rsidRDefault="00F53614" w:rsidP="004F506A">
            <w:pPr>
              <w:rPr>
                <w:lang w:val="en-AU"/>
              </w:rPr>
            </w:pPr>
            <w:r w:rsidRPr="00163BEF">
              <w:t>revenue cap</w:t>
            </w:r>
          </w:p>
        </w:tc>
        <w:tc>
          <w:tcPr>
            <w:tcW w:w="6946" w:type="dxa"/>
            <w:tcMar>
              <w:right w:w="567" w:type="dxa"/>
            </w:tcMar>
          </w:tcPr>
          <w:p w14:paraId="33DC512C" w14:textId="1E98388F" w:rsidR="00F53614" w:rsidRPr="00163BEF" w:rsidRDefault="00F53614" w:rsidP="008E229D">
            <w:pPr>
              <w:rPr>
                <w:rFonts w:cs="Arial"/>
                <w:szCs w:val="22"/>
                <w:lang w:val="en-AU"/>
              </w:rPr>
            </w:pPr>
            <w:r w:rsidRPr="00163BEF">
              <w:t>Has the meaning given in the Network Access Code.</w:t>
            </w:r>
          </w:p>
        </w:tc>
      </w:tr>
      <w:tr w:rsidR="00F53614" w:rsidRPr="00163BEF" w14:paraId="014317B8" w14:textId="77777777" w:rsidTr="006E364D">
        <w:trPr>
          <w:cantSplit/>
          <w:trHeight w:val="360"/>
        </w:trPr>
        <w:tc>
          <w:tcPr>
            <w:tcW w:w="2268" w:type="dxa"/>
          </w:tcPr>
          <w:p w14:paraId="3D138F30" w14:textId="57AB58C3" w:rsidR="00F53614" w:rsidRPr="00163BEF" w:rsidRDefault="00F53614" w:rsidP="004F506A">
            <w:pPr>
              <w:rPr>
                <w:lang w:val="en-AU"/>
              </w:rPr>
            </w:pPr>
            <w:r w:rsidRPr="00163BEF">
              <w:t xml:space="preserve">revised regulatory proposal </w:t>
            </w:r>
          </w:p>
        </w:tc>
        <w:tc>
          <w:tcPr>
            <w:tcW w:w="6946" w:type="dxa"/>
            <w:tcMar>
              <w:right w:w="567" w:type="dxa"/>
            </w:tcMar>
          </w:tcPr>
          <w:p w14:paraId="32690073" w14:textId="0370A767" w:rsidR="00F53614" w:rsidRPr="00163BEF" w:rsidRDefault="005148AF" w:rsidP="007F1CB8">
            <w:pPr>
              <w:rPr>
                <w:lang w:val="en-AU"/>
              </w:rPr>
            </w:pPr>
            <w:r>
              <w:t>The revised regulatory proposal submitted by PWC Networks to the Commission in January 2014.</w:t>
            </w:r>
          </w:p>
        </w:tc>
      </w:tr>
      <w:tr w:rsidR="00694B7B" w:rsidRPr="00163BEF" w14:paraId="7C873460" w14:textId="77777777" w:rsidTr="006E364D">
        <w:trPr>
          <w:cantSplit/>
          <w:trHeight w:val="360"/>
        </w:trPr>
        <w:tc>
          <w:tcPr>
            <w:tcW w:w="2268" w:type="dxa"/>
          </w:tcPr>
          <w:p w14:paraId="1CBD09D7" w14:textId="04BCFE33" w:rsidR="00694B7B" w:rsidRPr="00163BEF" w:rsidRDefault="00694B7B" w:rsidP="004F506A">
            <w:pPr>
              <w:rPr>
                <w:lang w:val="en-AU"/>
              </w:rPr>
            </w:pPr>
            <w:r w:rsidRPr="00163BEF">
              <w:rPr>
                <w:lang w:val="en-AU"/>
              </w:rPr>
              <w:t>RFM</w:t>
            </w:r>
            <w:r w:rsidR="00442E2F" w:rsidRPr="00163BEF">
              <w:rPr>
                <w:lang w:val="en-AU"/>
              </w:rPr>
              <w:t xml:space="preserve"> or Roll Forward Model</w:t>
            </w:r>
          </w:p>
        </w:tc>
        <w:tc>
          <w:tcPr>
            <w:tcW w:w="6946" w:type="dxa"/>
            <w:tcMar>
              <w:right w:w="567" w:type="dxa"/>
            </w:tcMar>
          </w:tcPr>
          <w:p w14:paraId="1B2F3168" w14:textId="77D7E03B" w:rsidR="00694B7B" w:rsidRPr="00163BEF" w:rsidRDefault="00442E2F" w:rsidP="005148AF">
            <w:pPr>
              <w:rPr>
                <w:lang w:val="en-AU"/>
              </w:rPr>
            </w:pPr>
            <w:r w:rsidRPr="00163BEF">
              <w:rPr>
                <w:lang w:val="en-AU"/>
              </w:rPr>
              <w:t xml:space="preserve">The AER's roll forward model (for distributors) published on </w:t>
            </w:r>
            <w:r w:rsidR="005148AF" w:rsidRPr="00163BEF">
              <w:rPr>
                <w:lang w:val="en-AU"/>
              </w:rPr>
              <w:t>26</w:t>
            </w:r>
            <w:r w:rsidR="005148AF">
              <w:rPr>
                <w:lang w:val="en-AU"/>
              </w:rPr>
              <w:t> </w:t>
            </w:r>
            <w:r w:rsidR="005148AF" w:rsidRPr="00163BEF">
              <w:rPr>
                <w:lang w:val="en-AU"/>
              </w:rPr>
              <w:t>July</w:t>
            </w:r>
            <w:r w:rsidR="005148AF">
              <w:rPr>
                <w:lang w:val="en-AU"/>
              </w:rPr>
              <w:t> </w:t>
            </w:r>
            <w:r w:rsidRPr="00163BEF">
              <w:rPr>
                <w:lang w:val="en-AU"/>
              </w:rPr>
              <w:t>2008.</w:t>
            </w:r>
          </w:p>
        </w:tc>
      </w:tr>
      <w:tr w:rsidR="00694B7B" w:rsidRPr="00163BEF" w14:paraId="6C702C66" w14:textId="77777777" w:rsidTr="006E364D">
        <w:trPr>
          <w:cantSplit/>
          <w:trHeight w:val="360"/>
        </w:trPr>
        <w:tc>
          <w:tcPr>
            <w:tcW w:w="2268" w:type="dxa"/>
          </w:tcPr>
          <w:p w14:paraId="69F13FA8" w14:textId="12D1DE32" w:rsidR="00694B7B" w:rsidRPr="00163BEF" w:rsidRDefault="00694B7B" w:rsidP="004F506A">
            <w:pPr>
              <w:rPr>
                <w:lang w:val="en-AU"/>
              </w:rPr>
            </w:pPr>
            <w:r w:rsidRPr="00163BEF">
              <w:rPr>
                <w:lang w:val="en-AU"/>
              </w:rPr>
              <w:t>RIN</w:t>
            </w:r>
            <w:r w:rsidR="00442E2F" w:rsidRPr="00163BEF">
              <w:rPr>
                <w:lang w:val="en-AU"/>
              </w:rPr>
              <w:t xml:space="preserve"> </w:t>
            </w:r>
            <w:r w:rsidR="00442E2F" w:rsidRPr="00163BEF">
              <w:t>or regulatory information notice</w:t>
            </w:r>
          </w:p>
        </w:tc>
        <w:tc>
          <w:tcPr>
            <w:tcW w:w="6946" w:type="dxa"/>
            <w:tcMar>
              <w:right w:w="567" w:type="dxa"/>
            </w:tcMar>
          </w:tcPr>
          <w:p w14:paraId="672408BD" w14:textId="4893FD81" w:rsidR="00694B7B" w:rsidRPr="00163BEF" w:rsidRDefault="00442E2F" w:rsidP="00BB4311">
            <w:pPr>
              <w:rPr>
                <w:rFonts w:cs="Arial"/>
                <w:szCs w:val="22"/>
                <w:lang w:val="en-AU"/>
              </w:rPr>
            </w:pPr>
            <w:r w:rsidRPr="00163BEF">
              <w:t xml:space="preserve">A notice prepared and served by the Commission on PWC Networks under section 25 of the </w:t>
            </w:r>
            <w:r w:rsidRPr="005148AF">
              <w:rPr>
                <w:i/>
              </w:rPr>
              <w:t>Utilities Commission Act</w:t>
            </w:r>
            <w:r w:rsidRPr="00163BEF">
              <w:t xml:space="preserve"> (or any other relevant applicable regulatory instrument) that requires PWC Networks to provide </w:t>
            </w:r>
            <w:r w:rsidR="00CB5E5A">
              <w:t xml:space="preserve">to </w:t>
            </w:r>
            <w:r w:rsidRPr="00163BEF">
              <w:t>the Commission the information specified in the notice</w:t>
            </w:r>
            <w:r w:rsidR="00CB5E5A">
              <w:t xml:space="preserve">, </w:t>
            </w:r>
            <w:r w:rsidRPr="00163BEF">
              <w:t>prepare</w:t>
            </w:r>
            <w:r w:rsidR="00CB5E5A">
              <w:t>d</w:t>
            </w:r>
            <w:r w:rsidRPr="00163BEF">
              <w:t>, maintain</w:t>
            </w:r>
            <w:r w:rsidR="00CB5E5A">
              <w:t>ed</w:t>
            </w:r>
            <w:r w:rsidRPr="00163BEF">
              <w:t xml:space="preserve"> or kep</w:t>
            </w:r>
            <w:r w:rsidR="00CB5E5A">
              <w:t>t</w:t>
            </w:r>
            <w:r w:rsidRPr="00163BEF">
              <w:t xml:space="preserve"> in a manner and form specified in the notice.</w:t>
            </w:r>
          </w:p>
        </w:tc>
      </w:tr>
      <w:tr w:rsidR="00AC1AA1" w:rsidRPr="00163BEF" w14:paraId="02918447" w14:textId="77777777" w:rsidTr="006E364D">
        <w:trPr>
          <w:cantSplit/>
          <w:trHeight w:val="360"/>
        </w:trPr>
        <w:tc>
          <w:tcPr>
            <w:tcW w:w="2268" w:type="dxa"/>
          </w:tcPr>
          <w:p w14:paraId="2A866441" w14:textId="116A6E07" w:rsidR="00AC1AA1" w:rsidRPr="00163BEF" w:rsidRDefault="00AC1AA1" w:rsidP="004F506A">
            <w:r w:rsidRPr="00163BEF">
              <w:t>service standard event</w:t>
            </w:r>
          </w:p>
        </w:tc>
        <w:tc>
          <w:tcPr>
            <w:tcW w:w="6946" w:type="dxa"/>
            <w:tcMar>
              <w:right w:w="567" w:type="dxa"/>
            </w:tcMar>
          </w:tcPr>
          <w:p w14:paraId="1F86C5F8" w14:textId="77777777" w:rsidR="00AC1AA1" w:rsidRPr="00163BEF" w:rsidRDefault="00AC1AA1" w:rsidP="00AC1AA1">
            <w:pPr>
              <w:rPr>
                <w:lang w:val="en-AU"/>
              </w:rPr>
            </w:pPr>
            <w:r w:rsidRPr="00163BEF">
              <w:rPr>
                <w:lang w:val="en-AU"/>
              </w:rPr>
              <w:t>A legislative or administrative act or decision that:</w:t>
            </w:r>
          </w:p>
          <w:p w14:paraId="106572BB" w14:textId="1CD519DC" w:rsidR="00AC1AA1" w:rsidRPr="00163BEF" w:rsidRDefault="00AC1AA1" w:rsidP="00243FBE">
            <w:pPr>
              <w:pStyle w:val="UtilComBulletText"/>
              <w:numPr>
                <w:ilvl w:val="0"/>
                <w:numId w:val="43"/>
              </w:numPr>
              <w:tabs>
                <w:tab w:val="clear" w:pos="1106"/>
                <w:tab w:val="clear" w:pos="1134"/>
                <w:tab w:val="num" w:pos="601"/>
              </w:tabs>
              <w:ind w:left="601" w:hanging="567"/>
            </w:pPr>
            <w:r w:rsidRPr="00163BEF">
              <w:t>has the effect of:</w:t>
            </w:r>
          </w:p>
          <w:p w14:paraId="1EEF3189" w14:textId="1885183E" w:rsidR="00AC1AA1" w:rsidRPr="00163BEF" w:rsidRDefault="00AC1AA1" w:rsidP="00476205">
            <w:pPr>
              <w:pStyle w:val="UtilComBulletText"/>
              <w:numPr>
                <w:ilvl w:val="0"/>
                <w:numId w:val="0"/>
              </w:numPr>
              <w:tabs>
                <w:tab w:val="clear" w:pos="1134"/>
                <w:tab w:val="num" w:pos="885"/>
              </w:tabs>
              <w:ind w:left="885" w:hanging="426"/>
            </w:pPr>
            <w:r w:rsidRPr="00163BEF">
              <w:t>(i)</w:t>
            </w:r>
            <w:r w:rsidRPr="00163BEF">
              <w:tab/>
              <w:t>substantially varying, during the course of the 2014-19 regulatory control period, the manner in which PWC Networks is required to provide a regulated network access service; or</w:t>
            </w:r>
          </w:p>
          <w:p w14:paraId="594C1C70" w14:textId="1356E02C" w:rsidR="00AC1AA1" w:rsidRPr="00163BEF" w:rsidRDefault="00AC1AA1" w:rsidP="00476205">
            <w:pPr>
              <w:pStyle w:val="UtilComBulletText"/>
              <w:numPr>
                <w:ilvl w:val="0"/>
                <w:numId w:val="0"/>
              </w:numPr>
              <w:tabs>
                <w:tab w:val="clear" w:pos="1134"/>
                <w:tab w:val="num" w:pos="885"/>
              </w:tabs>
              <w:ind w:left="885" w:hanging="426"/>
            </w:pPr>
            <w:r w:rsidRPr="00163BEF">
              <w:t>(ii)</w:t>
            </w:r>
            <w:r w:rsidRPr="00163BEF">
              <w:tab/>
              <w:t>imposing, removing or varying, during the course of the 2014-19 regulatory control period, minimum service standards applicable to the regulated network access services; or</w:t>
            </w:r>
          </w:p>
          <w:p w14:paraId="57EBD7B4" w14:textId="41BBB553" w:rsidR="00AC1AA1" w:rsidRPr="00163BEF" w:rsidRDefault="00AC1AA1" w:rsidP="00476205">
            <w:pPr>
              <w:pStyle w:val="UtilComBulletText"/>
              <w:numPr>
                <w:ilvl w:val="0"/>
                <w:numId w:val="0"/>
              </w:numPr>
              <w:tabs>
                <w:tab w:val="clear" w:pos="1134"/>
                <w:tab w:val="num" w:pos="885"/>
              </w:tabs>
              <w:ind w:left="885" w:hanging="426"/>
            </w:pPr>
            <w:r w:rsidRPr="00163BEF">
              <w:t>(iii)</w:t>
            </w:r>
            <w:r w:rsidRPr="00163BEF">
              <w:tab/>
              <w:t>altering, during the course of the 2014-19 regulatory control period, the nature or scope of the regulated network access services provided by PWC Networks; and</w:t>
            </w:r>
          </w:p>
          <w:p w14:paraId="00C0E157" w14:textId="364DDF0B" w:rsidR="00AC1AA1" w:rsidRPr="00163BEF" w:rsidRDefault="00AC1AA1" w:rsidP="00243FBE">
            <w:pPr>
              <w:pStyle w:val="UtilComBulletText"/>
              <w:numPr>
                <w:ilvl w:val="0"/>
                <w:numId w:val="43"/>
              </w:numPr>
              <w:tabs>
                <w:tab w:val="clear" w:pos="1134"/>
              </w:tabs>
              <w:ind w:left="601" w:hanging="567"/>
              <w:rPr>
                <w:lang w:val="en-AU"/>
              </w:rPr>
            </w:pPr>
            <w:r w:rsidRPr="00163BEF">
              <w:t>materially increases or materially decreases the costs to PWC Networks of providing the regulated network access services.</w:t>
            </w:r>
          </w:p>
        </w:tc>
      </w:tr>
      <w:tr w:rsidR="004F213A" w:rsidRPr="00163BEF" w14:paraId="3739389A" w14:textId="77777777" w:rsidTr="006E364D">
        <w:trPr>
          <w:cantSplit/>
          <w:trHeight w:val="360"/>
        </w:trPr>
        <w:tc>
          <w:tcPr>
            <w:tcW w:w="2268" w:type="dxa"/>
          </w:tcPr>
          <w:p w14:paraId="039D7F5A" w14:textId="0ECF02B7" w:rsidR="004F213A" w:rsidRPr="00163BEF" w:rsidRDefault="004F213A" w:rsidP="004F506A">
            <w:r w:rsidRPr="00163BEF">
              <w:t>service target performance incentive scheme</w:t>
            </w:r>
          </w:p>
        </w:tc>
        <w:tc>
          <w:tcPr>
            <w:tcW w:w="6946" w:type="dxa"/>
            <w:tcMar>
              <w:right w:w="567" w:type="dxa"/>
            </w:tcMar>
          </w:tcPr>
          <w:p w14:paraId="4C2B611B" w14:textId="36A7CD12" w:rsidR="004F213A" w:rsidRPr="00163BEF" w:rsidRDefault="004F213A" w:rsidP="004F506A">
            <w:pPr>
              <w:rPr>
                <w:lang w:val="en-AU"/>
              </w:rPr>
            </w:pPr>
            <w:r w:rsidRPr="00163BEF">
              <w:t xml:space="preserve">A scheme of that name which is published by the Commission and which substantially reflects the scheme developed and published by the AER under clause 6.6.2 of the NER at the relevant time. </w:t>
            </w:r>
          </w:p>
        </w:tc>
      </w:tr>
      <w:tr w:rsidR="00EB2780" w:rsidRPr="00163BEF" w14:paraId="6877CFC1" w14:textId="77777777" w:rsidTr="006E364D">
        <w:trPr>
          <w:cantSplit/>
          <w:trHeight w:val="360"/>
        </w:trPr>
        <w:tc>
          <w:tcPr>
            <w:tcW w:w="2268" w:type="dxa"/>
          </w:tcPr>
          <w:p w14:paraId="66641948" w14:textId="01D69BCE" w:rsidR="00EB2780" w:rsidRPr="00163BEF" w:rsidRDefault="004F213A" w:rsidP="004F506A">
            <w:r w:rsidRPr="00163BEF">
              <w:t xml:space="preserve">side </w:t>
            </w:r>
            <w:r w:rsidR="00EB2780" w:rsidRPr="00163BEF">
              <w:t>constraint</w:t>
            </w:r>
          </w:p>
        </w:tc>
        <w:tc>
          <w:tcPr>
            <w:tcW w:w="6946" w:type="dxa"/>
            <w:tcMar>
              <w:right w:w="567" w:type="dxa"/>
            </w:tcMar>
          </w:tcPr>
          <w:p w14:paraId="292AC296" w14:textId="70711B99" w:rsidR="00EB2780" w:rsidRPr="00163BEF" w:rsidRDefault="00A91F2C" w:rsidP="00BB4311">
            <w:pPr>
              <w:rPr>
                <w:rFonts w:cs="Arial"/>
                <w:szCs w:val="22"/>
                <w:lang w:val="en-AU"/>
              </w:rPr>
            </w:pPr>
            <w:r w:rsidRPr="00163BEF">
              <w:rPr>
                <w:lang w:val="en-AU"/>
              </w:rPr>
              <w:t xml:space="preserve">A controlling effect on </w:t>
            </w:r>
            <w:r w:rsidR="00CB5E5A">
              <w:rPr>
                <w:lang w:val="en-AU"/>
              </w:rPr>
              <w:t xml:space="preserve">tariff </w:t>
            </w:r>
            <w:r w:rsidRPr="00163BEF">
              <w:rPr>
                <w:lang w:val="en-AU"/>
              </w:rPr>
              <w:t xml:space="preserve">movements to minimise the volatility and reduce the commercial uncertainty for </w:t>
            </w:r>
            <w:r w:rsidR="004F213A" w:rsidRPr="00163BEF">
              <w:rPr>
                <w:lang w:val="en-AU"/>
              </w:rPr>
              <w:t xml:space="preserve">network </w:t>
            </w:r>
            <w:r w:rsidRPr="00163BEF">
              <w:rPr>
                <w:lang w:val="en-AU"/>
              </w:rPr>
              <w:t xml:space="preserve">users. </w:t>
            </w:r>
            <w:r w:rsidR="004F213A" w:rsidRPr="00163BEF">
              <w:rPr>
                <w:lang w:val="en-AU"/>
              </w:rPr>
              <w:t xml:space="preserve">A side constraint is effectively </w:t>
            </w:r>
            <w:r w:rsidRPr="00163BEF">
              <w:rPr>
                <w:lang w:val="en-AU"/>
              </w:rPr>
              <w:t xml:space="preserve">a limit on </w:t>
            </w:r>
            <w:r w:rsidR="004F213A" w:rsidRPr="00163BEF">
              <w:rPr>
                <w:lang w:val="en-AU"/>
              </w:rPr>
              <w:t>the amount by which reference tariffs can change from regulatory year to regulatory year.</w:t>
            </w:r>
          </w:p>
        </w:tc>
      </w:tr>
      <w:tr w:rsidR="00A44F35" w:rsidRPr="00163BEF" w:rsidDel="00A44F35" w14:paraId="446F9F1D" w14:textId="77777777" w:rsidTr="006E364D">
        <w:trPr>
          <w:cantSplit/>
          <w:trHeight w:val="360"/>
        </w:trPr>
        <w:tc>
          <w:tcPr>
            <w:tcW w:w="2268" w:type="dxa"/>
          </w:tcPr>
          <w:p w14:paraId="576A0218" w14:textId="77777777" w:rsidR="00A44F35" w:rsidRPr="00163BEF" w:rsidDel="00A44F35" w:rsidRDefault="00A44F35" w:rsidP="004F506A">
            <w:r w:rsidRPr="00163BEF">
              <w:t>SKM</w:t>
            </w:r>
          </w:p>
        </w:tc>
        <w:tc>
          <w:tcPr>
            <w:tcW w:w="6946" w:type="dxa"/>
            <w:tcMar>
              <w:right w:w="567" w:type="dxa"/>
            </w:tcMar>
          </w:tcPr>
          <w:p w14:paraId="18DF2A8A" w14:textId="2FC22AE6" w:rsidR="00A44F35" w:rsidRPr="00163BEF" w:rsidDel="00A44F35" w:rsidRDefault="00A44F35" w:rsidP="002771EC">
            <w:pPr>
              <w:rPr>
                <w:lang w:val="en-AU"/>
              </w:rPr>
            </w:pPr>
            <w:r w:rsidRPr="00163BEF">
              <w:rPr>
                <w:lang w:val="en-AU"/>
              </w:rPr>
              <w:t>Sinclair Knight Mertz</w:t>
            </w:r>
            <w:r w:rsidR="005148AF">
              <w:rPr>
                <w:lang w:val="en-AU"/>
              </w:rPr>
              <w:t>.</w:t>
            </w:r>
          </w:p>
        </w:tc>
      </w:tr>
      <w:tr w:rsidR="00A44F35" w:rsidRPr="00163BEF" w:rsidDel="00A44F35" w14:paraId="47DE817B" w14:textId="77777777" w:rsidTr="006E364D">
        <w:trPr>
          <w:cantSplit/>
          <w:trHeight w:val="360"/>
        </w:trPr>
        <w:tc>
          <w:tcPr>
            <w:tcW w:w="2268" w:type="dxa"/>
          </w:tcPr>
          <w:p w14:paraId="0937F11B" w14:textId="77777777" w:rsidR="00A44F35" w:rsidRPr="00163BEF" w:rsidDel="00A44F35" w:rsidRDefault="00A44F35" w:rsidP="004F506A">
            <w:r w:rsidRPr="00163BEF">
              <w:t>SLA</w:t>
            </w:r>
          </w:p>
        </w:tc>
        <w:tc>
          <w:tcPr>
            <w:tcW w:w="6946" w:type="dxa"/>
            <w:tcMar>
              <w:right w:w="567" w:type="dxa"/>
            </w:tcMar>
          </w:tcPr>
          <w:p w14:paraId="42295CEB" w14:textId="46F48FF2" w:rsidR="00A44F35" w:rsidRPr="00163BEF" w:rsidDel="00A44F35" w:rsidRDefault="00A44F35" w:rsidP="002771EC">
            <w:pPr>
              <w:rPr>
                <w:lang w:val="en-AU"/>
              </w:rPr>
            </w:pPr>
            <w:r w:rsidRPr="00163BEF">
              <w:rPr>
                <w:lang w:val="en-AU"/>
              </w:rPr>
              <w:t>Service level agreement</w:t>
            </w:r>
            <w:r w:rsidR="005148AF">
              <w:rPr>
                <w:lang w:val="en-AU"/>
              </w:rPr>
              <w:t>.</w:t>
            </w:r>
          </w:p>
        </w:tc>
      </w:tr>
      <w:tr w:rsidR="004F213A" w:rsidRPr="00163BEF" w14:paraId="3A3B68B2" w14:textId="77777777" w:rsidTr="006E364D">
        <w:trPr>
          <w:cantSplit/>
          <w:trHeight w:val="360"/>
        </w:trPr>
        <w:tc>
          <w:tcPr>
            <w:tcW w:w="2268" w:type="dxa"/>
          </w:tcPr>
          <w:p w14:paraId="4EA4DFF7" w14:textId="1187F3EE" w:rsidR="004F213A" w:rsidRPr="00163BEF" w:rsidRDefault="004F213A" w:rsidP="004F506A">
            <w:r w:rsidRPr="00163BEF">
              <w:t>small-scale incentive scheme</w:t>
            </w:r>
          </w:p>
        </w:tc>
        <w:tc>
          <w:tcPr>
            <w:tcW w:w="6946" w:type="dxa"/>
            <w:tcMar>
              <w:right w:w="567" w:type="dxa"/>
            </w:tcMar>
          </w:tcPr>
          <w:p w14:paraId="2630D3D5" w14:textId="2235BBD1" w:rsidR="004F213A" w:rsidRPr="00163BEF" w:rsidRDefault="004F213A" w:rsidP="00E149C6">
            <w:r w:rsidRPr="00163BEF">
              <w:t xml:space="preserve">A scheme of that name published by the Commission and which substantially reflects the scheme developed and published by the AER under clause 6.6.4 of the NER at the relevant time. </w:t>
            </w:r>
          </w:p>
        </w:tc>
      </w:tr>
      <w:tr w:rsidR="004F213A" w:rsidRPr="00163BEF" w14:paraId="0AC359AA" w14:textId="77777777" w:rsidTr="006E364D">
        <w:trPr>
          <w:cantSplit/>
          <w:trHeight w:val="360"/>
        </w:trPr>
        <w:tc>
          <w:tcPr>
            <w:tcW w:w="2268" w:type="dxa"/>
          </w:tcPr>
          <w:p w14:paraId="4F1FAF75" w14:textId="73286C7F" w:rsidR="004F213A" w:rsidRPr="00163BEF" w:rsidRDefault="004F213A" w:rsidP="004F506A">
            <w:r w:rsidRPr="00163BEF">
              <w:t xml:space="preserve">standard network access services  </w:t>
            </w:r>
          </w:p>
        </w:tc>
        <w:tc>
          <w:tcPr>
            <w:tcW w:w="6946" w:type="dxa"/>
            <w:tcMar>
              <w:right w:w="567" w:type="dxa"/>
            </w:tcMar>
          </w:tcPr>
          <w:p w14:paraId="0D9AE802" w14:textId="2DA7616D" w:rsidR="004F213A" w:rsidRPr="00163BEF" w:rsidRDefault="004F213A" w:rsidP="004F213A">
            <w:pPr>
              <w:rPr>
                <w:lang w:val="en-AU"/>
              </w:rPr>
            </w:pPr>
            <w:r w:rsidRPr="00163BEF">
              <w:t>Has the meaning given in the Network Access Code.</w:t>
            </w:r>
          </w:p>
        </w:tc>
      </w:tr>
      <w:tr w:rsidR="004F213A" w:rsidRPr="00163BEF" w14:paraId="7CA0BD8F" w14:textId="77777777" w:rsidTr="006E364D">
        <w:trPr>
          <w:cantSplit/>
          <w:trHeight w:val="360"/>
        </w:trPr>
        <w:tc>
          <w:tcPr>
            <w:tcW w:w="2268" w:type="dxa"/>
          </w:tcPr>
          <w:p w14:paraId="232952AC" w14:textId="014EE8C8" w:rsidR="004F213A" w:rsidRPr="00163BEF" w:rsidRDefault="004F213A" w:rsidP="004F506A">
            <w:r w:rsidRPr="00163BEF">
              <w:t>Statement of Reasons</w:t>
            </w:r>
          </w:p>
        </w:tc>
        <w:tc>
          <w:tcPr>
            <w:tcW w:w="6946" w:type="dxa"/>
            <w:tcMar>
              <w:right w:w="567" w:type="dxa"/>
            </w:tcMar>
          </w:tcPr>
          <w:p w14:paraId="03555B6B" w14:textId="2710E1E7" w:rsidR="004F213A" w:rsidRPr="00163BEF" w:rsidRDefault="004F213A" w:rsidP="00E149C6">
            <w:pPr>
              <w:rPr>
                <w:lang w:val="en-AU"/>
              </w:rPr>
            </w:pPr>
            <w:r w:rsidRPr="00163BEF">
              <w:t>This document headed '</w:t>
            </w:r>
            <w:r w:rsidR="007B0DFB">
              <w:t xml:space="preserve">Final Determination: </w:t>
            </w:r>
            <w:r w:rsidRPr="00163BEF">
              <w:t>Part A – Statement of Reasons</w:t>
            </w:r>
            <w:r w:rsidR="007B0DFB">
              <w:t>’</w:t>
            </w:r>
            <w:r w:rsidRPr="00163BEF">
              <w:t xml:space="preserve"> </w:t>
            </w:r>
            <w:r w:rsidR="00E149C6">
              <w:t>that</w:t>
            </w:r>
            <w:r w:rsidRPr="00163BEF">
              <w:t xml:space="preserve"> accompanies the 2014 Network Price Determination and sets out the reasons for the determinations made by the Commission in the 2014 Network Price Determination.</w:t>
            </w:r>
          </w:p>
        </w:tc>
      </w:tr>
      <w:tr w:rsidR="007040D6" w:rsidRPr="00163BEF" w14:paraId="58274477" w14:textId="77777777" w:rsidTr="006E364D">
        <w:trPr>
          <w:cantSplit/>
          <w:trHeight w:val="360"/>
        </w:trPr>
        <w:tc>
          <w:tcPr>
            <w:tcW w:w="2268" w:type="dxa"/>
          </w:tcPr>
          <w:p w14:paraId="38F3FCB9" w14:textId="168C7753" w:rsidR="007040D6" w:rsidRPr="00163BEF" w:rsidRDefault="007040D6" w:rsidP="004F506A">
            <w:r w:rsidRPr="00163BEF">
              <w:t>structural separation event</w:t>
            </w:r>
          </w:p>
        </w:tc>
        <w:tc>
          <w:tcPr>
            <w:tcW w:w="6946" w:type="dxa"/>
            <w:tcMar>
              <w:right w:w="567" w:type="dxa"/>
            </w:tcMar>
          </w:tcPr>
          <w:p w14:paraId="03330A85" w14:textId="02730DA8" w:rsidR="007040D6" w:rsidRPr="00163BEF" w:rsidRDefault="007040D6" w:rsidP="00781407">
            <w:pPr>
              <w:rPr>
                <w:lang w:val="en-AU"/>
              </w:rPr>
            </w:pPr>
            <w:r w:rsidRPr="00163BEF">
              <w:t>The legal separation of PWC Generation, PWC Retail or PWC System Control from PWC Networks after the date on which the 2014 Network Price Determination is published by the Commission or during the 2014</w:t>
            </w:r>
            <w:r w:rsidR="00781407" w:rsidRPr="00163BEF">
              <w:t>-</w:t>
            </w:r>
            <w:r w:rsidRPr="00163BEF">
              <w:t>19 regulatory control period</w:t>
            </w:r>
            <w:r w:rsidR="00E149C6">
              <w:t>,</w:t>
            </w:r>
            <w:r w:rsidRPr="00163BEF">
              <w:t xml:space="preserve"> which substantially affects the manner in which PWC Networks provides regulated network access services and materially increases or materially decreases the costs to PWC Networks of providing regulated network access services.</w:t>
            </w:r>
          </w:p>
        </w:tc>
      </w:tr>
      <w:tr w:rsidR="007040D6" w:rsidRPr="00163BEF" w14:paraId="23E455C5" w14:textId="77777777" w:rsidTr="006E364D">
        <w:trPr>
          <w:cantSplit/>
          <w:trHeight w:val="360"/>
        </w:trPr>
        <w:tc>
          <w:tcPr>
            <w:tcW w:w="2268" w:type="dxa"/>
          </w:tcPr>
          <w:p w14:paraId="1879CEF4" w14:textId="62ED1202" w:rsidR="007040D6" w:rsidRPr="00163BEF" w:rsidRDefault="007040D6" w:rsidP="004F506A">
            <w:r w:rsidRPr="00163BEF">
              <w:t>tariff class</w:t>
            </w:r>
          </w:p>
        </w:tc>
        <w:tc>
          <w:tcPr>
            <w:tcW w:w="6946" w:type="dxa"/>
            <w:tcMar>
              <w:right w:w="567" w:type="dxa"/>
            </w:tcMar>
          </w:tcPr>
          <w:p w14:paraId="1405218A" w14:textId="3BD8BC08" w:rsidR="007040D6" w:rsidRPr="00163BEF" w:rsidRDefault="007040D6" w:rsidP="009F6D85">
            <w:pPr>
              <w:rPr>
                <w:lang w:val="en-AU"/>
              </w:rPr>
            </w:pPr>
            <w:r w:rsidRPr="00163BEF">
              <w:t>A class of retail customers for one or more regulated network access services who are subject to a particular reference tariff or particular reference tariffs.</w:t>
            </w:r>
          </w:p>
        </w:tc>
      </w:tr>
      <w:tr w:rsidR="007040D6" w:rsidRPr="00163BEF" w14:paraId="4BB20016" w14:textId="77777777" w:rsidTr="006E364D">
        <w:trPr>
          <w:cantSplit/>
          <w:trHeight w:val="360"/>
        </w:trPr>
        <w:tc>
          <w:tcPr>
            <w:tcW w:w="2268" w:type="dxa"/>
          </w:tcPr>
          <w:p w14:paraId="21C0C9FD" w14:textId="04B24891" w:rsidR="007040D6" w:rsidRPr="00163BEF" w:rsidRDefault="007040D6" w:rsidP="004F506A">
            <w:r w:rsidRPr="00163BEF">
              <w:t>tax</w:t>
            </w:r>
          </w:p>
        </w:tc>
        <w:tc>
          <w:tcPr>
            <w:tcW w:w="6946" w:type="dxa"/>
            <w:tcMar>
              <w:right w:w="567" w:type="dxa"/>
            </w:tcMar>
          </w:tcPr>
          <w:p w14:paraId="7C11A348" w14:textId="469684FE" w:rsidR="007040D6" w:rsidRPr="00163BEF" w:rsidRDefault="007040D6" w:rsidP="009F6D85">
            <w:pPr>
              <w:rPr>
                <w:lang w:val="en-AU"/>
              </w:rPr>
            </w:pPr>
            <w:r w:rsidRPr="00163BEF">
              <w:t>Any tax, levy, impost, deduction, charge, rate, rebate, duty, fee or withholding which is levied or imposed by an Authority.</w:t>
            </w:r>
          </w:p>
        </w:tc>
      </w:tr>
      <w:tr w:rsidR="007040D6" w:rsidRPr="00163BEF" w14:paraId="3F17BD5A" w14:textId="77777777" w:rsidTr="006E364D">
        <w:trPr>
          <w:cantSplit/>
          <w:trHeight w:val="360"/>
        </w:trPr>
        <w:tc>
          <w:tcPr>
            <w:tcW w:w="2268" w:type="dxa"/>
          </w:tcPr>
          <w:p w14:paraId="2547E763" w14:textId="4491A2F0" w:rsidR="007040D6" w:rsidRPr="00163BEF" w:rsidRDefault="00AB50E4" w:rsidP="004F506A">
            <w:r w:rsidRPr="00163BEF">
              <w:t>tax change event</w:t>
            </w:r>
          </w:p>
        </w:tc>
        <w:tc>
          <w:tcPr>
            <w:tcW w:w="6946" w:type="dxa"/>
            <w:tcMar>
              <w:right w:w="567" w:type="dxa"/>
            </w:tcMar>
          </w:tcPr>
          <w:p w14:paraId="7DE4BC0B" w14:textId="77777777" w:rsidR="00AB50E4" w:rsidRPr="00163BEF" w:rsidRDefault="00AB50E4" w:rsidP="00AB50E4">
            <w:pPr>
              <w:rPr>
                <w:lang w:val="en-AU"/>
              </w:rPr>
            </w:pPr>
            <w:r w:rsidRPr="00163BEF">
              <w:rPr>
                <w:lang w:val="en-AU"/>
              </w:rPr>
              <w:t>A tax change event occurs if:</w:t>
            </w:r>
          </w:p>
          <w:p w14:paraId="4B0EF485" w14:textId="4C332F83" w:rsidR="00AB50E4" w:rsidRPr="00163BEF" w:rsidRDefault="00AB50E4" w:rsidP="00243FBE">
            <w:pPr>
              <w:pStyle w:val="UtilComBulletText"/>
              <w:numPr>
                <w:ilvl w:val="0"/>
                <w:numId w:val="44"/>
              </w:numPr>
              <w:tabs>
                <w:tab w:val="clear" w:pos="1106"/>
                <w:tab w:val="clear" w:pos="1134"/>
                <w:tab w:val="num" w:pos="459"/>
              </w:tabs>
              <w:ind w:left="459" w:right="-284" w:hanging="459"/>
            </w:pPr>
            <w:r w:rsidRPr="00163BEF">
              <w:t>any of the following occurs during the course of the 2014-</w:t>
            </w:r>
            <w:r w:rsidR="00476205" w:rsidRPr="00163BEF">
              <w:t>1</w:t>
            </w:r>
            <w:r w:rsidRPr="00163BEF">
              <w:t>9 regulatory control period for PWC Networks:</w:t>
            </w:r>
          </w:p>
          <w:p w14:paraId="17C77C31" w14:textId="77777777" w:rsidR="00AB50E4" w:rsidRPr="00163BEF" w:rsidRDefault="00AB50E4" w:rsidP="008E229D">
            <w:pPr>
              <w:pStyle w:val="UtilComBulletText"/>
              <w:numPr>
                <w:ilvl w:val="0"/>
                <w:numId w:val="0"/>
              </w:numPr>
              <w:tabs>
                <w:tab w:val="clear" w:pos="1134"/>
                <w:tab w:val="num" w:pos="885"/>
              </w:tabs>
              <w:ind w:left="885" w:hanging="426"/>
            </w:pPr>
            <w:r w:rsidRPr="00163BEF">
              <w:t>(i)</w:t>
            </w:r>
            <w:r w:rsidRPr="00163BEF">
              <w:tab/>
              <w:t>a change in a relevant tax, in the application or official interpretation of a relevant tax, in the rate of a relevant tax, or in the way a relevant tax is calculated;</w:t>
            </w:r>
          </w:p>
          <w:p w14:paraId="5AF43087" w14:textId="77777777" w:rsidR="00AB50E4" w:rsidRPr="00163BEF" w:rsidRDefault="00AB50E4" w:rsidP="00476205">
            <w:pPr>
              <w:pStyle w:val="UtilComBulletText"/>
              <w:numPr>
                <w:ilvl w:val="0"/>
                <w:numId w:val="0"/>
              </w:numPr>
              <w:tabs>
                <w:tab w:val="clear" w:pos="1134"/>
                <w:tab w:val="num" w:pos="885"/>
              </w:tabs>
              <w:ind w:left="885" w:hanging="426"/>
            </w:pPr>
            <w:r w:rsidRPr="00163BEF">
              <w:t>(ii)</w:t>
            </w:r>
            <w:r w:rsidRPr="00163BEF">
              <w:tab/>
              <w:t>the removal of a relevant tax;</w:t>
            </w:r>
          </w:p>
          <w:p w14:paraId="64F684E1" w14:textId="77777777" w:rsidR="00AB50E4" w:rsidRPr="00163BEF" w:rsidRDefault="00AB50E4" w:rsidP="00476205">
            <w:pPr>
              <w:pStyle w:val="UtilComBulletText"/>
              <w:numPr>
                <w:ilvl w:val="0"/>
                <w:numId w:val="0"/>
              </w:numPr>
              <w:tabs>
                <w:tab w:val="clear" w:pos="1134"/>
                <w:tab w:val="num" w:pos="885"/>
              </w:tabs>
              <w:ind w:left="885" w:hanging="426"/>
            </w:pPr>
            <w:r w:rsidRPr="00163BEF">
              <w:t>(iii)</w:t>
            </w:r>
            <w:r w:rsidRPr="00163BEF">
              <w:tab/>
              <w:t>the imposition of a relevant tax; and</w:t>
            </w:r>
          </w:p>
          <w:p w14:paraId="528478B6" w14:textId="6BCEAE03" w:rsidR="007040D6" w:rsidRPr="00163BEF" w:rsidRDefault="00AB50E4" w:rsidP="00243FBE">
            <w:pPr>
              <w:pStyle w:val="UtilComBulletText"/>
              <w:numPr>
                <w:ilvl w:val="0"/>
                <w:numId w:val="44"/>
              </w:numPr>
              <w:tabs>
                <w:tab w:val="clear" w:pos="1106"/>
                <w:tab w:val="clear" w:pos="1134"/>
                <w:tab w:val="num" w:pos="459"/>
              </w:tabs>
              <w:ind w:left="459" w:hanging="459"/>
              <w:rPr>
                <w:lang w:val="en-AU"/>
              </w:rPr>
            </w:pPr>
            <w:r w:rsidRPr="00163BEF">
              <w:t>in consequence, the costs to PWC Networks of providing the regulated network access services are materially increased or materially decreased.</w:t>
            </w:r>
          </w:p>
        </w:tc>
      </w:tr>
      <w:tr w:rsidR="00242685" w:rsidRPr="00163BEF" w14:paraId="468E27D4" w14:textId="77777777" w:rsidTr="006E364D">
        <w:trPr>
          <w:cantSplit/>
          <w:trHeight w:val="360"/>
        </w:trPr>
        <w:tc>
          <w:tcPr>
            <w:tcW w:w="2268" w:type="dxa"/>
          </w:tcPr>
          <w:p w14:paraId="584CAC34" w14:textId="6EB11451" w:rsidR="00242685" w:rsidRPr="00163BEF" w:rsidRDefault="00242685" w:rsidP="004F506A">
            <w:r w:rsidRPr="00163BEF">
              <w:t>Territory or Northern Territory</w:t>
            </w:r>
          </w:p>
        </w:tc>
        <w:tc>
          <w:tcPr>
            <w:tcW w:w="6946" w:type="dxa"/>
            <w:tcMar>
              <w:right w:w="567" w:type="dxa"/>
            </w:tcMar>
          </w:tcPr>
          <w:p w14:paraId="107729E0" w14:textId="1A655858" w:rsidR="00242685" w:rsidRPr="00163BEF" w:rsidRDefault="00242685" w:rsidP="009F6D85">
            <w:pPr>
              <w:rPr>
                <w:lang w:val="en-AU"/>
              </w:rPr>
            </w:pPr>
            <w:r w:rsidRPr="00163BEF">
              <w:t>The Northern Territory of Australia.</w:t>
            </w:r>
          </w:p>
        </w:tc>
      </w:tr>
      <w:tr w:rsidR="00242685" w:rsidRPr="00163BEF" w14:paraId="32D8E57A" w14:textId="77777777" w:rsidTr="006E364D">
        <w:trPr>
          <w:cantSplit/>
          <w:trHeight w:val="360"/>
        </w:trPr>
        <w:tc>
          <w:tcPr>
            <w:tcW w:w="2268" w:type="dxa"/>
          </w:tcPr>
          <w:p w14:paraId="785F86AB" w14:textId="3CFAF79E" w:rsidR="00242685" w:rsidRPr="00163BEF" w:rsidRDefault="00242685" w:rsidP="004F506A">
            <w:r w:rsidRPr="00163BEF">
              <w:t>terrorism event</w:t>
            </w:r>
          </w:p>
        </w:tc>
        <w:tc>
          <w:tcPr>
            <w:tcW w:w="6946" w:type="dxa"/>
            <w:tcMar>
              <w:right w:w="567" w:type="dxa"/>
            </w:tcMar>
          </w:tcPr>
          <w:p w14:paraId="03BE33E1" w14:textId="38E039E7" w:rsidR="00242685" w:rsidRPr="00163BEF" w:rsidRDefault="00242685" w:rsidP="00BB4311">
            <w:pPr>
              <w:rPr>
                <w:rFonts w:cs="Arial"/>
                <w:szCs w:val="22"/>
                <w:lang w:val="en-AU"/>
              </w:rPr>
            </w:pPr>
            <w:r w:rsidRPr="00163BEF">
              <w:t>An act (including,</w:t>
            </w:r>
            <w:r w:rsidR="00E17F83">
              <w:t xml:space="preserve"> </w:t>
            </w:r>
            <w:r w:rsidRPr="00163BEF">
              <w:t>the use of force or violence or the threat of force or violence) of any person or group of persons (whether acting alone or on behalf of or in connection with any organisation or government), which from its nature or context is done for, or in connection with, political, religious, ideological, ethnic or similar purposes or reasons (including the intention to influence or intimidate any government and/or put the public, or any section of the public, in fear) and which materially increases the costs to PWC Networks of providing the regulated network access services.</w:t>
            </w:r>
          </w:p>
        </w:tc>
      </w:tr>
      <w:tr w:rsidR="00694B7B" w:rsidRPr="00163BEF" w14:paraId="72F5EB52" w14:textId="77777777" w:rsidTr="006E364D">
        <w:trPr>
          <w:cantSplit/>
          <w:trHeight w:val="360"/>
        </w:trPr>
        <w:tc>
          <w:tcPr>
            <w:tcW w:w="2268" w:type="dxa"/>
          </w:tcPr>
          <w:p w14:paraId="1CE935D2" w14:textId="77777777" w:rsidR="00694B7B" w:rsidRPr="00163BEF" w:rsidRDefault="00694B7B" w:rsidP="004F506A">
            <w:pPr>
              <w:rPr>
                <w:lang w:val="en-AU"/>
              </w:rPr>
            </w:pPr>
            <w:r w:rsidRPr="00163BEF">
              <w:t>TFP</w:t>
            </w:r>
          </w:p>
        </w:tc>
        <w:tc>
          <w:tcPr>
            <w:tcW w:w="6946" w:type="dxa"/>
            <w:tcMar>
              <w:right w:w="567" w:type="dxa"/>
            </w:tcMar>
          </w:tcPr>
          <w:p w14:paraId="39C26DAA" w14:textId="4C0C5C7C" w:rsidR="00694B7B" w:rsidRPr="00163BEF" w:rsidRDefault="00694B7B" w:rsidP="007B0DFB">
            <w:pPr>
              <w:rPr>
                <w:lang w:val="en-AU"/>
              </w:rPr>
            </w:pPr>
            <w:r w:rsidRPr="00163BEF">
              <w:rPr>
                <w:lang w:val="en-AU"/>
              </w:rPr>
              <w:t xml:space="preserve">Total </w:t>
            </w:r>
            <w:r w:rsidR="009F6D85" w:rsidRPr="00163BEF">
              <w:rPr>
                <w:lang w:val="en-AU"/>
              </w:rPr>
              <w:t>factor productivity</w:t>
            </w:r>
            <w:r w:rsidR="007B0DFB">
              <w:rPr>
                <w:lang w:val="en-AU"/>
              </w:rPr>
              <w:t xml:space="preserve">. TFP </w:t>
            </w:r>
            <w:r w:rsidRPr="00163BEF">
              <w:rPr>
                <w:lang w:val="en-AU"/>
              </w:rPr>
              <w:t>approaches rely on the estimation of industry wide productivity trends to determine the X</w:t>
            </w:r>
            <w:r w:rsidR="005F3A85">
              <w:rPr>
                <w:lang w:val="en-AU"/>
              </w:rPr>
              <w:t xml:space="preserve"> </w:t>
            </w:r>
            <w:r w:rsidRPr="00163BEF">
              <w:rPr>
                <w:lang w:val="en-AU"/>
              </w:rPr>
              <w:t>factor under a CPI</w:t>
            </w:r>
            <w:r w:rsidR="00D63D79">
              <w:rPr>
                <w:lang w:val="en-AU"/>
              </w:rPr>
              <w:t xml:space="preserve"> minus </w:t>
            </w:r>
            <w:r w:rsidRPr="00163BEF">
              <w:rPr>
                <w:lang w:val="en-AU"/>
              </w:rPr>
              <w:t>X approach as part of</w:t>
            </w:r>
            <w:r w:rsidR="00360B25" w:rsidRPr="00163BEF">
              <w:rPr>
                <w:lang w:val="en-AU"/>
              </w:rPr>
              <w:t xml:space="preserve"> price cap incentive regulation</w:t>
            </w:r>
            <w:r w:rsidR="0039640E">
              <w:rPr>
                <w:lang w:val="en-AU"/>
              </w:rPr>
              <w:t>.</w:t>
            </w:r>
            <w:r w:rsidRPr="00163BEF">
              <w:rPr>
                <w:lang w:val="en-AU"/>
              </w:rPr>
              <w:t xml:space="preserve"> </w:t>
            </w:r>
          </w:p>
        </w:tc>
      </w:tr>
      <w:tr w:rsidR="00242685" w:rsidRPr="00163BEF" w14:paraId="79D3C9C9" w14:textId="77777777" w:rsidTr="006E364D">
        <w:trPr>
          <w:cantSplit/>
          <w:trHeight w:val="360"/>
        </w:trPr>
        <w:tc>
          <w:tcPr>
            <w:tcW w:w="2268" w:type="dxa"/>
          </w:tcPr>
          <w:p w14:paraId="3B567477" w14:textId="1FBD632A" w:rsidR="00242685" w:rsidRPr="00163BEF" w:rsidRDefault="00242685" w:rsidP="004F506A">
            <w:pPr>
              <w:rPr>
                <w:lang w:val="en-AU"/>
              </w:rPr>
            </w:pPr>
            <w:r w:rsidRPr="00163BEF">
              <w:t>total revenue requirement</w:t>
            </w:r>
          </w:p>
        </w:tc>
        <w:tc>
          <w:tcPr>
            <w:tcW w:w="6946" w:type="dxa"/>
            <w:tcMar>
              <w:right w:w="567" w:type="dxa"/>
            </w:tcMar>
          </w:tcPr>
          <w:p w14:paraId="7EBED3E4" w14:textId="50CE19B8" w:rsidR="00242685" w:rsidRPr="00163BEF" w:rsidRDefault="00242685" w:rsidP="00242685">
            <w:pPr>
              <w:rPr>
                <w:lang w:val="en-AU"/>
              </w:rPr>
            </w:pPr>
            <w:r w:rsidRPr="00163BEF">
              <w:t>An amount representing the revenue calculated for the whole of the 2014</w:t>
            </w:r>
            <w:r w:rsidR="00643A67">
              <w:t>-</w:t>
            </w:r>
            <w:r w:rsidRPr="00163BEF">
              <w:t>19 regulatory control period in accordance with the 2014 Network Price Determination.</w:t>
            </w:r>
          </w:p>
        </w:tc>
      </w:tr>
      <w:tr w:rsidR="00242685" w:rsidRPr="00163BEF" w14:paraId="51C44CF6" w14:textId="77777777" w:rsidTr="006E364D">
        <w:trPr>
          <w:cantSplit/>
          <w:trHeight w:val="360"/>
        </w:trPr>
        <w:tc>
          <w:tcPr>
            <w:tcW w:w="2268" w:type="dxa"/>
          </w:tcPr>
          <w:p w14:paraId="6AE8BE83" w14:textId="5E33B777" w:rsidR="00242685" w:rsidRPr="00163BEF" w:rsidRDefault="00242685" w:rsidP="004F506A">
            <w:pPr>
              <w:rPr>
                <w:lang w:val="en-AU"/>
              </w:rPr>
            </w:pPr>
            <w:r w:rsidRPr="00163BEF">
              <w:t>trigger event</w:t>
            </w:r>
          </w:p>
        </w:tc>
        <w:tc>
          <w:tcPr>
            <w:tcW w:w="6946" w:type="dxa"/>
            <w:tcMar>
              <w:right w:w="567" w:type="dxa"/>
            </w:tcMar>
          </w:tcPr>
          <w:p w14:paraId="7DE192A9" w14:textId="0D1A22A5" w:rsidR="00242685" w:rsidRPr="00163BEF" w:rsidRDefault="00242685" w:rsidP="00E17F83">
            <w:pPr>
              <w:rPr>
                <w:lang w:val="en-AU"/>
              </w:rPr>
            </w:pPr>
            <w:r w:rsidRPr="00163BEF">
              <w:t>In relation to a contingent project, a specific condition or event described in clause 3.2.2 of the 2014 Network Price Determination, the occurrence of which, during the 2014-19 regulatory control period, may result in the amendment of the 2014 Network Price Determination under Chapter 3 of the 2014 Network Price Determination.</w:t>
            </w:r>
          </w:p>
        </w:tc>
      </w:tr>
      <w:tr w:rsidR="00EB3199" w:rsidRPr="00163BEF" w14:paraId="2BDEEF03" w14:textId="77777777" w:rsidTr="006E364D">
        <w:trPr>
          <w:cantSplit/>
          <w:trHeight w:val="360"/>
        </w:trPr>
        <w:tc>
          <w:tcPr>
            <w:tcW w:w="2268" w:type="dxa"/>
          </w:tcPr>
          <w:p w14:paraId="5F519D73" w14:textId="77777777" w:rsidR="00EB3199" w:rsidRPr="00163BEF" w:rsidRDefault="00EB3199" w:rsidP="004F506A">
            <w:pPr>
              <w:rPr>
                <w:lang w:val="en-AU"/>
              </w:rPr>
            </w:pPr>
            <w:r w:rsidRPr="00163BEF">
              <w:rPr>
                <w:lang w:val="en-AU"/>
              </w:rPr>
              <w:t>TTEG</w:t>
            </w:r>
          </w:p>
        </w:tc>
        <w:tc>
          <w:tcPr>
            <w:tcW w:w="6946" w:type="dxa"/>
            <w:tcMar>
              <w:right w:w="567" w:type="dxa"/>
            </w:tcMar>
          </w:tcPr>
          <w:p w14:paraId="59123DEF" w14:textId="6CB5A467" w:rsidR="00EB3199" w:rsidRPr="00163BEF" w:rsidRDefault="00EB3199" w:rsidP="004F506A">
            <w:pPr>
              <w:rPr>
                <w:lang w:val="en-AU"/>
              </w:rPr>
            </w:pPr>
            <w:r w:rsidRPr="00163BEF">
              <w:rPr>
                <w:lang w:val="en-AU"/>
              </w:rPr>
              <w:t>Trans Tasman Energy Group</w:t>
            </w:r>
            <w:r w:rsidR="00F30BC0">
              <w:rPr>
                <w:lang w:val="en-AU"/>
              </w:rPr>
              <w:t>.</w:t>
            </w:r>
          </w:p>
        </w:tc>
      </w:tr>
      <w:tr w:rsidR="00242685" w:rsidRPr="00163BEF" w14:paraId="04568DFA" w14:textId="77777777" w:rsidTr="006E364D">
        <w:trPr>
          <w:cantSplit/>
          <w:trHeight w:val="360"/>
        </w:trPr>
        <w:tc>
          <w:tcPr>
            <w:tcW w:w="2268" w:type="dxa"/>
          </w:tcPr>
          <w:p w14:paraId="732B2765" w14:textId="71CC453E" w:rsidR="00242685" w:rsidRPr="00163BEF" w:rsidRDefault="00242685" w:rsidP="004F506A">
            <w:pPr>
              <w:rPr>
                <w:lang w:val="en-AU"/>
              </w:rPr>
            </w:pPr>
            <w:r w:rsidRPr="00163BEF">
              <w:t>unders</w:t>
            </w:r>
          </w:p>
        </w:tc>
        <w:tc>
          <w:tcPr>
            <w:tcW w:w="6946" w:type="dxa"/>
            <w:tcMar>
              <w:right w:w="567" w:type="dxa"/>
            </w:tcMar>
          </w:tcPr>
          <w:p w14:paraId="599355FC" w14:textId="4489404D" w:rsidR="00242685" w:rsidRPr="00163BEF" w:rsidRDefault="00242685" w:rsidP="004F506A">
            <w:pPr>
              <w:rPr>
                <w:lang w:val="en-AU"/>
              </w:rPr>
            </w:pPr>
            <w:r w:rsidRPr="00163BEF">
              <w:t xml:space="preserve">Where the sum of the revenue received by PWC Networks for the supply of regulated network access services during a regulatory year is less than the annual revenue requirement for that regulatory year. </w:t>
            </w:r>
          </w:p>
        </w:tc>
      </w:tr>
      <w:tr w:rsidR="00242685" w:rsidRPr="00163BEF" w14:paraId="6A000822" w14:textId="77777777" w:rsidTr="006E364D">
        <w:trPr>
          <w:cantSplit/>
          <w:trHeight w:val="360"/>
        </w:trPr>
        <w:tc>
          <w:tcPr>
            <w:tcW w:w="2268" w:type="dxa"/>
          </w:tcPr>
          <w:p w14:paraId="796F675E" w14:textId="6074AFA6" w:rsidR="00242685" w:rsidRPr="00163BEF" w:rsidRDefault="00242685" w:rsidP="004F506A">
            <w:pPr>
              <w:rPr>
                <w:lang w:val="en-AU"/>
              </w:rPr>
            </w:pPr>
            <w:r w:rsidRPr="00163BEF">
              <w:t>unders and overs account</w:t>
            </w:r>
          </w:p>
        </w:tc>
        <w:tc>
          <w:tcPr>
            <w:tcW w:w="6946" w:type="dxa"/>
            <w:tcMar>
              <w:right w:w="567" w:type="dxa"/>
            </w:tcMar>
          </w:tcPr>
          <w:p w14:paraId="41DD8339" w14:textId="77835FCC" w:rsidR="00242685" w:rsidRPr="00163BEF" w:rsidRDefault="00242685" w:rsidP="004F506A">
            <w:pPr>
              <w:rPr>
                <w:lang w:val="en-AU"/>
              </w:rPr>
            </w:pPr>
            <w:r w:rsidRPr="00163BEF">
              <w:t xml:space="preserve">The account that is required to be maintained by PWC Networks in which any overs or unders are recorded, verified and reconciled. </w:t>
            </w:r>
          </w:p>
        </w:tc>
      </w:tr>
      <w:tr w:rsidR="00242685" w:rsidRPr="00163BEF" w14:paraId="15A63D21" w14:textId="77777777" w:rsidTr="006E364D">
        <w:trPr>
          <w:cantSplit/>
          <w:trHeight w:val="360"/>
        </w:trPr>
        <w:tc>
          <w:tcPr>
            <w:tcW w:w="2268" w:type="dxa"/>
          </w:tcPr>
          <w:p w14:paraId="38FA4C01" w14:textId="05FF15EA" w:rsidR="00242685" w:rsidRPr="00163BEF" w:rsidRDefault="00242685" w:rsidP="004F506A">
            <w:pPr>
              <w:rPr>
                <w:lang w:val="en-AU"/>
              </w:rPr>
            </w:pPr>
            <w:r w:rsidRPr="00163BEF">
              <w:t>use of network services</w:t>
            </w:r>
          </w:p>
        </w:tc>
        <w:tc>
          <w:tcPr>
            <w:tcW w:w="6946" w:type="dxa"/>
            <w:tcMar>
              <w:right w:w="567" w:type="dxa"/>
            </w:tcMar>
          </w:tcPr>
          <w:p w14:paraId="75429049" w14:textId="62B2897B" w:rsidR="00242685" w:rsidRPr="00163BEF" w:rsidRDefault="00242685" w:rsidP="008E229D">
            <w:pPr>
              <w:rPr>
                <w:rFonts w:cs="Arial"/>
                <w:szCs w:val="22"/>
                <w:lang w:val="en-AU"/>
              </w:rPr>
            </w:pPr>
            <w:r w:rsidRPr="00163BEF">
              <w:t>Has the meaning given in the Network Access Code.</w:t>
            </w:r>
          </w:p>
        </w:tc>
      </w:tr>
      <w:tr w:rsidR="00694B7B" w:rsidRPr="00163BEF" w14:paraId="67D087EE" w14:textId="77777777" w:rsidTr="006E364D">
        <w:trPr>
          <w:cantSplit/>
          <w:trHeight w:val="360"/>
        </w:trPr>
        <w:tc>
          <w:tcPr>
            <w:tcW w:w="2268" w:type="dxa"/>
          </w:tcPr>
          <w:p w14:paraId="2284233A" w14:textId="2813C6D8" w:rsidR="00694B7B" w:rsidRPr="00163BEF" w:rsidRDefault="00694B7B" w:rsidP="00F30BC0">
            <w:pPr>
              <w:rPr>
                <w:lang w:val="en-AU"/>
              </w:rPr>
            </w:pPr>
            <w:r w:rsidRPr="00163BEF">
              <w:rPr>
                <w:lang w:val="en-AU"/>
              </w:rPr>
              <w:t>X</w:t>
            </w:r>
            <w:r w:rsidR="00242685" w:rsidRPr="00163BEF">
              <w:rPr>
                <w:lang w:val="en-AU"/>
              </w:rPr>
              <w:t xml:space="preserve"> f</w:t>
            </w:r>
            <w:r w:rsidRPr="00163BEF">
              <w:rPr>
                <w:lang w:val="en-AU"/>
              </w:rPr>
              <w:t>actor</w:t>
            </w:r>
          </w:p>
        </w:tc>
        <w:tc>
          <w:tcPr>
            <w:tcW w:w="6946" w:type="dxa"/>
            <w:tcMar>
              <w:right w:w="567" w:type="dxa"/>
            </w:tcMar>
          </w:tcPr>
          <w:p w14:paraId="42483971" w14:textId="4EA5CF58" w:rsidR="00694B7B" w:rsidRPr="00163BEF" w:rsidRDefault="00694B7B" w:rsidP="00F709A9">
            <w:pPr>
              <w:rPr>
                <w:lang w:val="en-AU"/>
              </w:rPr>
            </w:pPr>
            <w:r w:rsidRPr="00163BEF">
              <w:rPr>
                <w:lang w:val="en-AU"/>
              </w:rPr>
              <w:t xml:space="preserve">Amount by which a DNSP is allowed to escalate </w:t>
            </w:r>
            <w:r w:rsidR="00F709A9">
              <w:rPr>
                <w:lang w:val="en-AU"/>
              </w:rPr>
              <w:t>reference</w:t>
            </w:r>
            <w:r w:rsidRPr="00163BEF">
              <w:rPr>
                <w:lang w:val="en-AU"/>
              </w:rPr>
              <w:t xml:space="preserve"> tariffs (on average) relative to the rate of consumer price inflation. The X</w:t>
            </w:r>
            <w:r w:rsidR="00B52ECB">
              <w:rPr>
                <w:lang w:val="en-AU"/>
              </w:rPr>
              <w:t xml:space="preserve"> </w:t>
            </w:r>
            <w:r w:rsidRPr="00163BEF">
              <w:rPr>
                <w:lang w:val="en-AU"/>
              </w:rPr>
              <w:t>factor is often referred to as a productivity or efficiency factor</w:t>
            </w:r>
            <w:r w:rsidR="0039640E">
              <w:rPr>
                <w:lang w:val="en-AU"/>
              </w:rPr>
              <w:t>.</w:t>
            </w:r>
          </w:p>
        </w:tc>
      </w:tr>
      <w:tr w:rsidR="00694B7B" w:rsidRPr="00163BEF" w14:paraId="6C77CC39" w14:textId="77777777" w:rsidTr="006E364D">
        <w:trPr>
          <w:cantSplit/>
          <w:trHeight w:val="360"/>
        </w:trPr>
        <w:tc>
          <w:tcPr>
            <w:tcW w:w="2268" w:type="dxa"/>
          </w:tcPr>
          <w:p w14:paraId="45FB942C" w14:textId="205A4F47" w:rsidR="00694B7B" w:rsidRPr="00163BEF" w:rsidRDefault="00694B7B" w:rsidP="004F506A">
            <w:pPr>
              <w:rPr>
                <w:lang w:val="en-AU"/>
              </w:rPr>
            </w:pPr>
            <w:r w:rsidRPr="00163BEF">
              <w:rPr>
                <w:lang w:val="en-AU"/>
              </w:rPr>
              <w:t>WACC</w:t>
            </w:r>
            <w:r w:rsidR="00242685" w:rsidRPr="00163BEF">
              <w:rPr>
                <w:lang w:val="en-AU"/>
              </w:rPr>
              <w:t xml:space="preserve"> or weighted average cost of capital</w:t>
            </w:r>
          </w:p>
        </w:tc>
        <w:tc>
          <w:tcPr>
            <w:tcW w:w="6946" w:type="dxa"/>
            <w:tcMar>
              <w:right w:w="567" w:type="dxa"/>
            </w:tcMar>
          </w:tcPr>
          <w:p w14:paraId="5F70263D" w14:textId="1571D613" w:rsidR="00694B7B" w:rsidRPr="00163BEF" w:rsidRDefault="00242685" w:rsidP="00242685">
            <w:pPr>
              <w:rPr>
                <w:lang w:val="en-AU"/>
              </w:rPr>
            </w:pPr>
            <w:r w:rsidRPr="00163BEF">
              <w:rPr>
                <w:lang w:val="en-AU"/>
              </w:rPr>
              <w:t>The</w:t>
            </w:r>
            <w:r w:rsidR="00694B7B" w:rsidRPr="00163BEF">
              <w:rPr>
                <w:lang w:val="en-AU"/>
              </w:rPr>
              <w:t xml:space="preserve"> cost of capital as measured by the return required by investors in a commercial enterprise with a similar nature and degree of non-diversifiable risk as that faced by the </w:t>
            </w:r>
            <w:r w:rsidRPr="00163BEF">
              <w:rPr>
                <w:lang w:val="en-AU"/>
              </w:rPr>
              <w:t>PWC Networks.</w:t>
            </w:r>
          </w:p>
        </w:tc>
      </w:tr>
    </w:tbl>
    <w:p w14:paraId="4AE28D49" w14:textId="77777777" w:rsidR="00694B7B" w:rsidRDefault="00694B7B" w:rsidP="004B577B"/>
    <w:p w14:paraId="7052F69E" w14:textId="77777777" w:rsidR="00984DBC" w:rsidRDefault="00984DBC" w:rsidP="00984DBC"/>
    <w:p w14:paraId="39CC0814" w14:textId="77777777" w:rsidR="00984DBC" w:rsidRDefault="00984DBC" w:rsidP="00984DBC">
      <w:pPr>
        <w:sectPr w:rsidR="00984DBC" w:rsidSect="008A599D">
          <w:footerReference w:type="default" r:id="rId20"/>
          <w:headerReference w:type="first" r:id="rId21"/>
          <w:footerReference w:type="first" r:id="rId22"/>
          <w:pgSz w:w="11907" w:h="16840" w:code="9"/>
          <w:pgMar w:top="851" w:right="1134" w:bottom="1134" w:left="1701" w:header="567" w:footer="567" w:gutter="0"/>
          <w:pgNumType w:fmt="lowerRoman" w:start="1"/>
          <w:cols w:space="720"/>
          <w:titlePg/>
        </w:sectPr>
      </w:pPr>
    </w:p>
    <w:tbl>
      <w:tblPr>
        <w:tblW w:w="0" w:type="auto"/>
        <w:tblLayout w:type="fixed"/>
        <w:tblLook w:val="01E0" w:firstRow="1" w:lastRow="1" w:firstColumn="1" w:lastColumn="1" w:noHBand="0" w:noVBand="0"/>
      </w:tblPr>
      <w:tblGrid>
        <w:gridCol w:w="9288"/>
      </w:tblGrid>
      <w:tr w:rsidR="00D11BCF" w14:paraId="4692E9ED" w14:textId="77777777" w:rsidTr="00BF50ED">
        <w:tc>
          <w:tcPr>
            <w:tcW w:w="9288" w:type="dxa"/>
          </w:tcPr>
          <w:p w14:paraId="635ECAB2" w14:textId="77777777" w:rsidR="00D11BCF" w:rsidRPr="004D52BF" w:rsidRDefault="00D11BCF" w:rsidP="00EF320F">
            <w:pPr>
              <w:pStyle w:val="NumberLevel1"/>
              <w:pageBreakBefore/>
              <w:numPr>
                <w:ilvl w:val="0"/>
                <w:numId w:val="4"/>
              </w:numPr>
              <w:ind w:left="431" w:hanging="431"/>
            </w:pPr>
          </w:p>
        </w:tc>
      </w:tr>
      <w:tr w:rsidR="00E12C4B" w14:paraId="614D3314" w14:textId="77777777" w:rsidTr="00E12C4B">
        <w:tc>
          <w:tcPr>
            <w:tcW w:w="9288" w:type="dxa"/>
          </w:tcPr>
          <w:p w14:paraId="0D250C15" w14:textId="77777777" w:rsidR="00E12C4B" w:rsidRDefault="00127B06" w:rsidP="00457A43">
            <w:pPr>
              <w:pStyle w:val="UtilComChapterHeading"/>
              <w:outlineLvl w:val="0"/>
            </w:pPr>
            <w:bookmarkStart w:id="8" w:name="_Toc385241431"/>
            <w:bookmarkStart w:id="9" w:name="_Toc386012983"/>
            <w:r>
              <w:t>Executive Summary</w:t>
            </w:r>
            <w:bookmarkEnd w:id="8"/>
            <w:bookmarkEnd w:id="9"/>
          </w:p>
        </w:tc>
      </w:tr>
    </w:tbl>
    <w:p w14:paraId="69AD81F8" w14:textId="5CF917FE" w:rsidR="00452059" w:rsidRDefault="00452059" w:rsidP="000E6AF3">
      <w:pPr>
        <w:pStyle w:val="NumberLevel2"/>
        <w:numPr>
          <w:ilvl w:val="1"/>
          <w:numId w:val="5"/>
        </w:numPr>
        <w:tabs>
          <w:tab w:val="num" w:pos="709"/>
        </w:tabs>
        <w:ind w:left="709" w:hanging="709"/>
      </w:pPr>
      <w:r>
        <w:rPr>
          <w:lang w:val="en-AU"/>
        </w:rPr>
        <w:t>Under</w:t>
      </w:r>
      <w:r w:rsidRPr="00C63267">
        <w:rPr>
          <w:lang w:val="en-AU"/>
        </w:rPr>
        <w:t xml:space="preserve"> the </w:t>
      </w:r>
      <w:r w:rsidR="00FB2EC5">
        <w:rPr>
          <w:lang w:val="en-AU"/>
        </w:rPr>
        <w:t>Network Access Code</w:t>
      </w:r>
      <w:r>
        <w:rPr>
          <w:lang w:val="en-AU"/>
        </w:rPr>
        <w:t>, t</w:t>
      </w:r>
      <w:r w:rsidRPr="00C63267">
        <w:rPr>
          <w:lang w:val="en-AU"/>
        </w:rPr>
        <w:t xml:space="preserve">he </w:t>
      </w:r>
      <w:r w:rsidR="00835E0E">
        <w:rPr>
          <w:lang w:val="en-AU"/>
        </w:rPr>
        <w:t xml:space="preserve">Commission </w:t>
      </w:r>
      <w:r>
        <w:rPr>
          <w:lang w:val="en-AU"/>
        </w:rPr>
        <w:t>is required</w:t>
      </w:r>
      <w:r w:rsidRPr="00C63267">
        <w:rPr>
          <w:lang w:val="en-AU"/>
        </w:rPr>
        <w:t xml:space="preserve"> to set the </w:t>
      </w:r>
      <w:r w:rsidR="00F9672D">
        <w:rPr>
          <w:lang w:val="en-AU"/>
        </w:rPr>
        <w:t xml:space="preserve">maximum allowed </w:t>
      </w:r>
      <w:r w:rsidRPr="00C63267">
        <w:rPr>
          <w:lang w:val="en-AU"/>
        </w:rPr>
        <w:t xml:space="preserve">revenue that </w:t>
      </w:r>
      <w:r w:rsidR="00F9672D">
        <w:rPr>
          <w:lang w:val="en-AU"/>
        </w:rPr>
        <w:t>PWC Networks</w:t>
      </w:r>
      <w:r w:rsidRPr="00C63267">
        <w:rPr>
          <w:lang w:val="en-AU"/>
        </w:rPr>
        <w:t xml:space="preserve"> can recover</w:t>
      </w:r>
      <w:r w:rsidR="00A116A9">
        <w:rPr>
          <w:lang w:val="en-AU"/>
        </w:rPr>
        <w:t>,</w:t>
      </w:r>
      <w:r w:rsidRPr="00C63267">
        <w:rPr>
          <w:lang w:val="en-AU"/>
        </w:rPr>
        <w:t xml:space="preserve"> or </w:t>
      </w:r>
      <w:r w:rsidR="00F9672D">
        <w:rPr>
          <w:lang w:val="en-AU"/>
        </w:rPr>
        <w:t xml:space="preserve">maximum average annual </w:t>
      </w:r>
      <w:r w:rsidRPr="00C63267">
        <w:rPr>
          <w:lang w:val="en-AU"/>
        </w:rPr>
        <w:t xml:space="preserve">price that </w:t>
      </w:r>
      <w:r w:rsidR="00F9672D">
        <w:rPr>
          <w:lang w:val="en-AU"/>
        </w:rPr>
        <w:t>PWC Networks can</w:t>
      </w:r>
      <w:r>
        <w:rPr>
          <w:lang w:val="en-AU"/>
        </w:rPr>
        <w:t xml:space="preserve"> </w:t>
      </w:r>
      <w:r w:rsidRPr="00C63267">
        <w:rPr>
          <w:lang w:val="en-AU"/>
        </w:rPr>
        <w:t>charge</w:t>
      </w:r>
      <w:r w:rsidR="00A116A9">
        <w:rPr>
          <w:lang w:val="en-AU"/>
        </w:rPr>
        <w:t>,</w:t>
      </w:r>
      <w:r w:rsidRPr="00C63267">
        <w:rPr>
          <w:lang w:val="en-AU"/>
        </w:rPr>
        <w:t xml:space="preserve"> f</w:t>
      </w:r>
      <w:r>
        <w:rPr>
          <w:lang w:val="en-AU"/>
        </w:rPr>
        <w:t>or</w:t>
      </w:r>
      <w:r w:rsidRPr="00C63267">
        <w:rPr>
          <w:lang w:val="en-AU"/>
        </w:rPr>
        <w:t xml:space="preserve"> the</w:t>
      </w:r>
      <w:r>
        <w:t xml:space="preserve"> provision of regulated network access services</w:t>
      </w:r>
      <w:r w:rsidR="00F9672D">
        <w:t xml:space="preserve"> during a </w:t>
      </w:r>
      <w:r w:rsidR="00E149C6">
        <w:t xml:space="preserve">regulatory </w:t>
      </w:r>
      <w:r w:rsidR="00F9672D">
        <w:t>year</w:t>
      </w:r>
      <w:r>
        <w:t>.</w:t>
      </w:r>
    </w:p>
    <w:p w14:paraId="47027450" w14:textId="35C3E90E" w:rsidR="00F9672D" w:rsidRDefault="00452059" w:rsidP="000E6AF3">
      <w:pPr>
        <w:pStyle w:val="NumberLevel2"/>
        <w:numPr>
          <w:ilvl w:val="1"/>
          <w:numId w:val="5"/>
        </w:numPr>
        <w:tabs>
          <w:tab w:val="num" w:pos="709"/>
        </w:tabs>
        <w:ind w:left="709" w:hanging="709"/>
      </w:pPr>
      <w:r>
        <w:t xml:space="preserve">This </w:t>
      </w:r>
      <w:r w:rsidR="00A8175E">
        <w:t>Statement of Reasons</w:t>
      </w:r>
      <w:r w:rsidR="00F9672D">
        <w:t>, together with the 2014 Network Price Determination set out in Part B,</w:t>
      </w:r>
      <w:r w:rsidR="00A8175E">
        <w:t xml:space="preserve"> </w:t>
      </w:r>
      <w:r w:rsidR="00F9672D">
        <w:t>comprises the Commission’s Final Determination under clause 66 of the Network Access Code in relation to the maximum allowed revenue that PWC Networks can recover from the provision of regulated network access services during the 2014-19 regulatory control period.</w:t>
      </w:r>
    </w:p>
    <w:p w14:paraId="1E708AA9" w14:textId="12429809" w:rsidR="00F9672D" w:rsidRDefault="00F9672D" w:rsidP="000E6AF3">
      <w:pPr>
        <w:pStyle w:val="NumberLevel2"/>
        <w:numPr>
          <w:ilvl w:val="1"/>
          <w:numId w:val="5"/>
        </w:numPr>
        <w:tabs>
          <w:tab w:val="num" w:pos="709"/>
        </w:tabs>
        <w:ind w:left="709" w:hanging="709"/>
      </w:pPr>
      <w:r>
        <w:t xml:space="preserve">In particular, this Statement of Reasons sets out the Commission’s basis and rationale for the 2014 Network Price Determination. The 2014 Network Price Determination sets out the Commission’s </w:t>
      </w:r>
      <w:r w:rsidR="00A116A9">
        <w:t xml:space="preserve">constituent </w:t>
      </w:r>
      <w:r w:rsidR="00452059">
        <w:t xml:space="preserve">decisions </w:t>
      </w:r>
      <w:r>
        <w:t>in relation to the revenue cap which will apply to t</w:t>
      </w:r>
      <w:r w:rsidR="000B637D">
        <w:t>h</w:t>
      </w:r>
      <w:r>
        <w:t xml:space="preserve">e supply of regulated network access services by PWC Networks during </w:t>
      </w:r>
      <w:r w:rsidR="00452059">
        <w:t xml:space="preserve">the </w:t>
      </w:r>
      <w:r w:rsidR="000715E0">
        <w:t xml:space="preserve">2014-19 </w:t>
      </w:r>
      <w:r w:rsidR="00452059">
        <w:t xml:space="preserve">regulatory </w:t>
      </w:r>
      <w:r w:rsidR="001F0FFB">
        <w:t xml:space="preserve">control </w:t>
      </w:r>
      <w:r w:rsidR="00452059">
        <w:t xml:space="preserve">period. </w:t>
      </w:r>
    </w:p>
    <w:p w14:paraId="3E60E7A7" w14:textId="15F33293" w:rsidR="00452059" w:rsidRDefault="00F9672D" w:rsidP="000E6AF3">
      <w:pPr>
        <w:pStyle w:val="NumberLevel2"/>
        <w:numPr>
          <w:ilvl w:val="1"/>
          <w:numId w:val="5"/>
        </w:numPr>
        <w:tabs>
          <w:tab w:val="num" w:pos="709"/>
        </w:tabs>
        <w:ind w:left="709" w:hanging="709"/>
      </w:pPr>
      <w:r>
        <w:t xml:space="preserve">The 2014-19 regulatory control period </w:t>
      </w:r>
      <w:r w:rsidR="00452059">
        <w:t xml:space="preserve">is the fourth regulatory control period for which the Commission has made a </w:t>
      </w:r>
      <w:r>
        <w:t xml:space="preserve">network price </w:t>
      </w:r>
      <w:r w:rsidR="00452059">
        <w:t xml:space="preserve">determination in accordance with the </w:t>
      </w:r>
      <w:r w:rsidR="00FB2EC5">
        <w:t>Network Access Code</w:t>
      </w:r>
      <w:r w:rsidR="00452059">
        <w:t>.</w:t>
      </w:r>
      <w:r w:rsidR="00452059">
        <w:rPr>
          <w:rStyle w:val="FootnoteReference"/>
        </w:rPr>
        <w:footnoteReference w:id="5"/>
      </w:r>
    </w:p>
    <w:p w14:paraId="26A3CFC8" w14:textId="56D24385" w:rsidR="00452059" w:rsidRPr="00D81BE2" w:rsidRDefault="00452059" w:rsidP="000E6AF3">
      <w:pPr>
        <w:pStyle w:val="NumberLevel2"/>
        <w:numPr>
          <w:ilvl w:val="1"/>
          <w:numId w:val="5"/>
        </w:numPr>
        <w:tabs>
          <w:tab w:val="num" w:pos="709"/>
        </w:tabs>
        <w:ind w:left="709" w:hanging="709"/>
      </w:pPr>
      <w:r w:rsidRPr="00947C91">
        <w:rPr>
          <w:lang w:val="en-AU"/>
        </w:rPr>
        <w:t xml:space="preserve">The </w:t>
      </w:r>
      <w:r w:rsidR="00FB2EC5">
        <w:rPr>
          <w:lang w:val="en-AU"/>
        </w:rPr>
        <w:t>Network Access Code</w:t>
      </w:r>
      <w:r w:rsidRPr="00947C91">
        <w:rPr>
          <w:lang w:val="en-AU"/>
        </w:rPr>
        <w:t xml:space="preserve"> requires the Commission to determine the revenue</w:t>
      </w:r>
      <w:r w:rsidR="00441CE6">
        <w:rPr>
          <w:lang w:val="en-AU"/>
        </w:rPr>
        <w:t xml:space="preserve"> cap</w:t>
      </w:r>
      <w:r w:rsidRPr="00947C91">
        <w:rPr>
          <w:lang w:val="en-AU"/>
        </w:rPr>
        <w:t xml:space="preserve"> or price cap to apply during the </w:t>
      </w:r>
      <w:r w:rsidR="00306D82">
        <w:rPr>
          <w:lang w:val="en-AU"/>
        </w:rPr>
        <w:t>2014-19</w:t>
      </w:r>
      <w:r w:rsidR="00306D82" w:rsidRPr="00947C91">
        <w:rPr>
          <w:lang w:val="en-AU"/>
        </w:rPr>
        <w:t xml:space="preserve"> </w:t>
      </w:r>
      <w:r w:rsidRPr="00947C91">
        <w:rPr>
          <w:lang w:val="en-AU"/>
        </w:rPr>
        <w:t xml:space="preserve">regulatory control period in a manner that, in the Commission’s opinion, most </w:t>
      </w:r>
      <w:r w:rsidRPr="00F372B8">
        <w:rPr>
          <w:lang w:val="en-AU"/>
        </w:rPr>
        <w:t>effectively achieves the desired outcomes set</w:t>
      </w:r>
      <w:r w:rsidRPr="00947C91">
        <w:rPr>
          <w:i/>
          <w:lang w:val="en-AU"/>
        </w:rPr>
        <w:t xml:space="preserve"> </w:t>
      </w:r>
      <w:r w:rsidRPr="00947C91">
        <w:rPr>
          <w:lang w:val="en-AU"/>
        </w:rPr>
        <w:t xml:space="preserve">out in </w:t>
      </w:r>
      <w:r w:rsidR="00540053">
        <w:rPr>
          <w:lang w:val="en-AU"/>
        </w:rPr>
        <w:t xml:space="preserve">clause 63 of </w:t>
      </w:r>
      <w:r w:rsidRPr="00947C91">
        <w:rPr>
          <w:lang w:val="en-AU"/>
        </w:rPr>
        <w:t xml:space="preserve">the </w:t>
      </w:r>
      <w:r w:rsidR="00540053">
        <w:rPr>
          <w:lang w:val="en-AU"/>
        </w:rPr>
        <w:t xml:space="preserve">Network Access </w:t>
      </w:r>
      <w:r w:rsidRPr="00947C91">
        <w:rPr>
          <w:lang w:val="en-AU"/>
        </w:rPr>
        <w:t xml:space="preserve">Code and is consistent with generally accepted regulatory practice at this time. </w:t>
      </w:r>
    </w:p>
    <w:p w14:paraId="7E735E90" w14:textId="5B6BAEE5" w:rsidR="00540053" w:rsidRPr="007746CD" w:rsidRDefault="00452059" w:rsidP="000E6AF3">
      <w:pPr>
        <w:pStyle w:val="NumberLevel2"/>
        <w:numPr>
          <w:ilvl w:val="1"/>
          <w:numId w:val="5"/>
        </w:numPr>
        <w:tabs>
          <w:tab w:val="num" w:pos="709"/>
        </w:tabs>
        <w:ind w:left="709" w:hanging="709"/>
      </w:pPr>
      <w:r w:rsidRPr="004B2FF0">
        <w:rPr>
          <w:lang w:val="en-AU"/>
        </w:rPr>
        <w:t xml:space="preserve">In the Commission's opinion, generally accepted regulatory practice for </w:t>
      </w:r>
      <w:r w:rsidR="00B322B6">
        <w:rPr>
          <w:lang w:val="en-AU"/>
        </w:rPr>
        <w:t>distribution</w:t>
      </w:r>
      <w:r w:rsidR="00B322B6" w:rsidRPr="004B2FF0">
        <w:rPr>
          <w:lang w:val="en-AU"/>
        </w:rPr>
        <w:t xml:space="preserve"> </w:t>
      </w:r>
      <w:r w:rsidRPr="004B2FF0">
        <w:rPr>
          <w:lang w:val="en-AU"/>
        </w:rPr>
        <w:t xml:space="preserve">network price determinations </w:t>
      </w:r>
      <w:r>
        <w:rPr>
          <w:lang w:val="en-AU"/>
        </w:rPr>
        <w:t xml:space="preserve">in Australia </w:t>
      </w:r>
      <w:r w:rsidR="00540053">
        <w:rPr>
          <w:lang w:val="en-AU"/>
        </w:rPr>
        <w:t xml:space="preserve">comprises the conventions, rules and procedures applied </w:t>
      </w:r>
      <w:r w:rsidRPr="004B2FF0">
        <w:rPr>
          <w:lang w:val="en-AU"/>
        </w:rPr>
        <w:t xml:space="preserve">by the AER in accordance with the NEL and </w:t>
      </w:r>
      <w:r>
        <w:t>Chapter 6 of the NER</w:t>
      </w:r>
      <w:r w:rsidRPr="004B2FF0">
        <w:rPr>
          <w:lang w:val="en-AU"/>
        </w:rPr>
        <w:t xml:space="preserve">. </w:t>
      </w:r>
    </w:p>
    <w:p w14:paraId="7566E486" w14:textId="635EAE45" w:rsidR="00452059" w:rsidRPr="004B2FF0" w:rsidRDefault="00540053" w:rsidP="000E6AF3">
      <w:pPr>
        <w:pStyle w:val="NumberLevel2"/>
        <w:numPr>
          <w:ilvl w:val="1"/>
          <w:numId w:val="5"/>
        </w:numPr>
        <w:tabs>
          <w:tab w:val="num" w:pos="709"/>
        </w:tabs>
        <w:ind w:left="709" w:hanging="709"/>
      </w:pPr>
      <w:r>
        <w:rPr>
          <w:lang w:val="en-AU"/>
        </w:rPr>
        <w:t>T</w:t>
      </w:r>
      <w:r w:rsidR="00452059" w:rsidRPr="004B2FF0">
        <w:rPr>
          <w:lang w:val="en-AU"/>
        </w:rPr>
        <w:t xml:space="preserve">he </w:t>
      </w:r>
      <w:r w:rsidR="00452059" w:rsidRPr="00565C45">
        <w:rPr>
          <w:lang w:val="en-AU"/>
        </w:rPr>
        <w:t xml:space="preserve">Commission has made </w:t>
      </w:r>
      <w:r>
        <w:rPr>
          <w:lang w:val="en-AU"/>
        </w:rPr>
        <w:t>the Final</w:t>
      </w:r>
      <w:r w:rsidRPr="00565C45">
        <w:rPr>
          <w:lang w:val="en-AU"/>
        </w:rPr>
        <w:t xml:space="preserve"> </w:t>
      </w:r>
      <w:r>
        <w:rPr>
          <w:lang w:val="en-AU"/>
        </w:rPr>
        <w:t>D</w:t>
      </w:r>
      <w:r w:rsidRPr="00565C45">
        <w:rPr>
          <w:lang w:val="en-AU"/>
        </w:rPr>
        <w:t xml:space="preserve">etermination </w:t>
      </w:r>
      <w:r w:rsidR="00452059" w:rsidRPr="00565C45">
        <w:rPr>
          <w:lang w:val="en-AU"/>
        </w:rPr>
        <w:t xml:space="preserve">having </w:t>
      </w:r>
      <w:r w:rsidR="00452059" w:rsidRPr="004B2FF0">
        <w:rPr>
          <w:lang w:val="en-AU"/>
        </w:rPr>
        <w:t xml:space="preserve">regard to </w:t>
      </w:r>
      <w:r w:rsidR="00452059">
        <w:rPr>
          <w:lang w:val="en-AU"/>
        </w:rPr>
        <w:t xml:space="preserve">those </w:t>
      </w:r>
      <w:r>
        <w:rPr>
          <w:lang w:val="en-AU"/>
        </w:rPr>
        <w:t>conventions, rules and procedures</w:t>
      </w:r>
      <w:r w:rsidR="002846C8">
        <w:rPr>
          <w:lang w:val="en-AU"/>
        </w:rPr>
        <w:t>.</w:t>
      </w:r>
    </w:p>
    <w:p w14:paraId="4EB29BAB" w14:textId="42C8159F" w:rsidR="007746CD" w:rsidRPr="007746CD" w:rsidRDefault="001A7D56" w:rsidP="000E6AF3">
      <w:pPr>
        <w:pStyle w:val="NumberLevel2"/>
        <w:numPr>
          <w:ilvl w:val="1"/>
          <w:numId w:val="5"/>
        </w:numPr>
        <w:tabs>
          <w:tab w:val="num" w:pos="709"/>
        </w:tabs>
        <w:ind w:left="709" w:hanging="709"/>
      </w:pPr>
      <w:r>
        <w:rPr>
          <w:lang w:val="en-AU"/>
        </w:rPr>
        <w:t xml:space="preserve">The Commission acknowledges that resourcing </w:t>
      </w:r>
      <w:r w:rsidR="00452059">
        <w:rPr>
          <w:lang w:val="en-AU"/>
        </w:rPr>
        <w:t xml:space="preserve">constraints for PWC Networks and economies of scale have meant that full adoption of the </w:t>
      </w:r>
      <w:r>
        <w:rPr>
          <w:lang w:val="en-AU"/>
        </w:rPr>
        <w:t xml:space="preserve">relevant </w:t>
      </w:r>
      <w:r w:rsidR="00452059">
        <w:rPr>
          <w:lang w:val="en-AU"/>
        </w:rPr>
        <w:t xml:space="preserve">NER </w:t>
      </w:r>
      <w:r>
        <w:rPr>
          <w:lang w:val="en-AU"/>
        </w:rPr>
        <w:t>conventions, rules and procedures</w:t>
      </w:r>
      <w:r w:rsidR="00452059">
        <w:rPr>
          <w:lang w:val="en-AU"/>
        </w:rPr>
        <w:t xml:space="preserve"> has not been practicable for the </w:t>
      </w:r>
      <w:r w:rsidR="000447E0">
        <w:rPr>
          <w:lang w:val="en-AU"/>
        </w:rPr>
        <w:t xml:space="preserve">2014-19 </w:t>
      </w:r>
      <w:r w:rsidR="00452059">
        <w:rPr>
          <w:lang w:val="en-AU"/>
        </w:rPr>
        <w:t xml:space="preserve">regulatory </w:t>
      </w:r>
      <w:r w:rsidR="008E0D8A">
        <w:rPr>
          <w:lang w:val="en-AU"/>
        </w:rPr>
        <w:t xml:space="preserve">control </w:t>
      </w:r>
      <w:r w:rsidR="00452059">
        <w:rPr>
          <w:lang w:val="en-AU"/>
        </w:rPr>
        <w:t>period</w:t>
      </w:r>
      <w:r w:rsidR="00452059">
        <w:rPr>
          <w:i/>
          <w:lang w:val="en-AU"/>
        </w:rPr>
        <w:t xml:space="preserve">. </w:t>
      </w:r>
      <w:r w:rsidR="00452059" w:rsidRPr="00565C45">
        <w:rPr>
          <w:lang w:val="en-AU"/>
        </w:rPr>
        <w:t xml:space="preserve">However, the Commission </w:t>
      </w:r>
      <w:r w:rsidR="00452059">
        <w:rPr>
          <w:lang w:val="en-AU"/>
        </w:rPr>
        <w:t xml:space="preserve">believes that full compliance with </w:t>
      </w:r>
      <w:r>
        <w:rPr>
          <w:lang w:val="en-AU"/>
        </w:rPr>
        <w:t>the relevant NER conventions, rules and procedures</w:t>
      </w:r>
      <w:r w:rsidR="00452059">
        <w:rPr>
          <w:lang w:val="en-AU"/>
        </w:rPr>
        <w:t xml:space="preserve"> is </w:t>
      </w:r>
      <w:r>
        <w:rPr>
          <w:lang w:val="en-AU"/>
        </w:rPr>
        <w:t>practicable</w:t>
      </w:r>
      <w:r w:rsidR="00452059">
        <w:rPr>
          <w:lang w:val="en-AU"/>
        </w:rPr>
        <w:t xml:space="preserve"> for </w:t>
      </w:r>
      <w:r w:rsidR="00165CDF">
        <w:rPr>
          <w:lang w:val="en-AU"/>
        </w:rPr>
        <w:t xml:space="preserve">the </w:t>
      </w:r>
      <w:r>
        <w:rPr>
          <w:lang w:val="en-AU"/>
        </w:rPr>
        <w:t xml:space="preserve">Post 2019 </w:t>
      </w:r>
      <w:r w:rsidR="00165CDF">
        <w:rPr>
          <w:lang w:val="en-AU"/>
        </w:rPr>
        <w:t>regulatory control period</w:t>
      </w:r>
      <w:r w:rsidR="00452059">
        <w:rPr>
          <w:lang w:val="en-AU"/>
        </w:rPr>
        <w:t xml:space="preserve">. </w:t>
      </w:r>
    </w:p>
    <w:p w14:paraId="0759E3B7" w14:textId="7AB5126F" w:rsidR="00452059" w:rsidRDefault="007746CD" w:rsidP="000E6AF3">
      <w:pPr>
        <w:pStyle w:val="NumberLevel2"/>
        <w:numPr>
          <w:ilvl w:val="1"/>
          <w:numId w:val="5"/>
        </w:numPr>
        <w:tabs>
          <w:tab w:val="num" w:pos="709"/>
        </w:tabs>
        <w:ind w:left="709" w:hanging="709"/>
      </w:pPr>
      <w:r>
        <w:rPr>
          <w:lang w:val="en-AU"/>
        </w:rPr>
        <w:t xml:space="preserve">In particular, the </w:t>
      </w:r>
      <w:r w:rsidR="00452059">
        <w:rPr>
          <w:lang w:val="en-AU"/>
        </w:rPr>
        <w:t xml:space="preserve">Commission considers that working towards alignment with </w:t>
      </w:r>
      <w:r w:rsidR="002846C8">
        <w:rPr>
          <w:lang w:val="en-AU"/>
        </w:rPr>
        <w:t xml:space="preserve">industry best practice </w:t>
      </w:r>
      <w:r>
        <w:rPr>
          <w:lang w:val="en-AU"/>
        </w:rPr>
        <w:t xml:space="preserve">(as </w:t>
      </w:r>
      <w:r w:rsidR="002846C8">
        <w:rPr>
          <w:lang w:val="en-AU"/>
        </w:rPr>
        <w:t xml:space="preserve">demonstrated in </w:t>
      </w:r>
      <w:r>
        <w:rPr>
          <w:lang w:val="en-AU"/>
        </w:rPr>
        <w:t xml:space="preserve">NER </w:t>
      </w:r>
      <w:r w:rsidR="00452059">
        <w:rPr>
          <w:lang w:val="en-AU"/>
        </w:rPr>
        <w:t xml:space="preserve">arrangements for </w:t>
      </w:r>
      <w:r>
        <w:rPr>
          <w:lang w:val="en-AU"/>
        </w:rPr>
        <w:t xml:space="preserve">distribution </w:t>
      </w:r>
      <w:r w:rsidR="00452059">
        <w:rPr>
          <w:lang w:val="en-AU"/>
        </w:rPr>
        <w:t>network price determinations</w:t>
      </w:r>
      <w:r>
        <w:rPr>
          <w:lang w:val="en-AU"/>
        </w:rPr>
        <w:t>)</w:t>
      </w:r>
      <w:r w:rsidR="00452059">
        <w:rPr>
          <w:lang w:val="en-AU"/>
        </w:rPr>
        <w:t xml:space="preserve"> is in the long-term interest of Territory electricity </w:t>
      </w:r>
      <w:r w:rsidR="004F7D97">
        <w:rPr>
          <w:lang w:val="en-AU"/>
        </w:rPr>
        <w:t>customers</w:t>
      </w:r>
      <w:r w:rsidR="00452059">
        <w:rPr>
          <w:lang w:val="en-AU"/>
        </w:rPr>
        <w:t>.</w:t>
      </w:r>
    </w:p>
    <w:p w14:paraId="1E81A0B3" w14:textId="0F2D4E30" w:rsidR="00452059" w:rsidRPr="004B2FF0" w:rsidRDefault="00452059" w:rsidP="00452059">
      <w:pPr>
        <w:pStyle w:val="UtilComHeading2"/>
        <w:rPr>
          <w:lang w:val="en-AU"/>
        </w:rPr>
      </w:pPr>
      <w:bookmarkStart w:id="10" w:name="_Toc385241432"/>
      <w:bookmarkStart w:id="11" w:name="_Toc386012984"/>
      <w:r w:rsidRPr="004B2FF0">
        <w:rPr>
          <w:lang w:val="en-AU"/>
        </w:rPr>
        <w:t xml:space="preserve">Review </w:t>
      </w:r>
      <w:bookmarkEnd w:id="10"/>
      <w:r w:rsidR="00E14863">
        <w:rPr>
          <w:lang w:val="en-AU"/>
        </w:rPr>
        <w:t>P</w:t>
      </w:r>
      <w:r w:rsidR="00E14863" w:rsidRPr="004B2FF0">
        <w:rPr>
          <w:lang w:val="en-AU"/>
        </w:rPr>
        <w:t>rocess</w:t>
      </w:r>
      <w:bookmarkEnd w:id="11"/>
    </w:p>
    <w:p w14:paraId="5CE5E272" w14:textId="36909153" w:rsidR="00A7447C" w:rsidRDefault="00452059" w:rsidP="000E6AF3">
      <w:pPr>
        <w:pStyle w:val="NumberLevel2"/>
        <w:numPr>
          <w:ilvl w:val="1"/>
          <w:numId w:val="5"/>
        </w:numPr>
        <w:tabs>
          <w:tab w:val="num" w:pos="709"/>
        </w:tabs>
        <w:ind w:left="709" w:hanging="709"/>
        <w:rPr>
          <w:lang w:val="en-AU"/>
        </w:rPr>
      </w:pPr>
      <w:r w:rsidRPr="004B2FF0">
        <w:rPr>
          <w:lang w:val="en-AU"/>
        </w:rPr>
        <w:t xml:space="preserve">The review process commenced with the release of </w:t>
      </w:r>
      <w:r w:rsidR="00A7447C">
        <w:rPr>
          <w:lang w:val="en-AU"/>
        </w:rPr>
        <w:t>the Commission’s</w:t>
      </w:r>
      <w:r w:rsidR="00A7447C" w:rsidRPr="004B2FF0">
        <w:rPr>
          <w:lang w:val="en-AU"/>
        </w:rPr>
        <w:t xml:space="preserve"> </w:t>
      </w:r>
      <w:r w:rsidRPr="004B2FF0">
        <w:rPr>
          <w:lang w:val="en-AU"/>
        </w:rPr>
        <w:t>Consultation Paper in June</w:t>
      </w:r>
      <w:r w:rsidR="000E6AF3">
        <w:rPr>
          <w:lang w:val="en-AU"/>
        </w:rPr>
        <w:t> </w:t>
      </w:r>
      <w:r w:rsidRPr="004B2FF0">
        <w:rPr>
          <w:lang w:val="en-AU"/>
        </w:rPr>
        <w:t>2012</w:t>
      </w:r>
      <w:r w:rsidR="00E15DC7">
        <w:rPr>
          <w:rStyle w:val="FootnoteReference"/>
          <w:lang w:val="en-AU"/>
        </w:rPr>
        <w:footnoteReference w:id="6"/>
      </w:r>
      <w:r w:rsidRPr="004B2FF0">
        <w:rPr>
          <w:lang w:val="en-AU"/>
        </w:rPr>
        <w:t xml:space="preserve"> </w:t>
      </w:r>
      <w:r w:rsidR="00A7447C">
        <w:rPr>
          <w:lang w:val="en-AU"/>
        </w:rPr>
        <w:t>dealing with</w:t>
      </w:r>
      <w:r w:rsidR="00A7447C" w:rsidRPr="004B2FF0">
        <w:rPr>
          <w:lang w:val="en-AU"/>
        </w:rPr>
        <w:t xml:space="preserve"> </w:t>
      </w:r>
      <w:r w:rsidRPr="004B2FF0">
        <w:rPr>
          <w:lang w:val="en-AU"/>
        </w:rPr>
        <w:t xml:space="preserve">the possible options underlying the </w:t>
      </w:r>
      <w:r w:rsidR="00A7447C">
        <w:rPr>
          <w:lang w:val="en-AU"/>
        </w:rPr>
        <w:t xml:space="preserve">network price </w:t>
      </w:r>
      <w:r w:rsidRPr="004B2FF0">
        <w:rPr>
          <w:lang w:val="en-AU"/>
        </w:rPr>
        <w:t>determination process, and providing the Commission’</w:t>
      </w:r>
      <w:r w:rsidRPr="002C1C56">
        <w:rPr>
          <w:lang w:val="en-AU"/>
        </w:rPr>
        <w:t>s preliminary position with respect to various aspects of the framework and approach</w:t>
      </w:r>
      <w:r w:rsidR="00A7447C">
        <w:rPr>
          <w:lang w:val="en-AU"/>
        </w:rPr>
        <w:t xml:space="preserve"> to the 2014-19 network price determination process</w:t>
      </w:r>
      <w:r w:rsidRPr="002C1C56">
        <w:rPr>
          <w:lang w:val="en-AU"/>
        </w:rPr>
        <w:t>.</w:t>
      </w:r>
      <w:r>
        <w:rPr>
          <w:lang w:val="en-AU"/>
        </w:rPr>
        <w:t xml:space="preserve"> </w:t>
      </w:r>
    </w:p>
    <w:p w14:paraId="6DFEB5DC" w14:textId="6323F0C5" w:rsidR="00452059" w:rsidRPr="002C1C56" w:rsidRDefault="00452059" w:rsidP="000E6AF3">
      <w:pPr>
        <w:pStyle w:val="NumberLevel2"/>
        <w:numPr>
          <w:ilvl w:val="1"/>
          <w:numId w:val="5"/>
        </w:numPr>
        <w:tabs>
          <w:tab w:val="num" w:pos="709"/>
        </w:tabs>
        <w:ind w:left="709" w:hanging="709"/>
        <w:rPr>
          <w:lang w:val="en-AU"/>
        </w:rPr>
      </w:pPr>
      <w:r w:rsidRPr="002C1C56">
        <w:rPr>
          <w:lang w:val="en-AU"/>
        </w:rPr>
        <w:t xml:space="preserve">The Commission’s </w:t>
      </w:r>
      <w:r>
        <w:rPr>
          <w:lang w:val="en-AU"/>
        </w:rPr>
        <w:t xml:space="preserve">Framework Statement setting out its </w:t>
      </w:r>
      <w:r w:rsidRPr="002C1C56">
        <w:rPr>
          <w:lang w:val="en-AU"/>
        </w:rPr>
        <w:t xml:space="preserve">final decision </w:t>
      </w:r>
      <w:r w:rsidR="00A7447C">
        <w:rPr>
          <w:lang w:val="en-AU"/>
        </w:rPr>
        <w:t xml:space="preserve">in relation to its proposed </w:t>
      </w:r>
      <w:r w:rsidRPr="002C1C56">
        <w:rPr>
          <w:lang w:val="en-AU"/>
        </w:rPr>
        <w:t xml:space="preserve">framework and approach </w:t>
      </w:r>
      <w:r w:rsidR="00A7447C">
        <w:rPr>
          <w:lang w:val="en-AU"/>
        </w:rPr>
        <w:t>to the 2014-19 network price determination process</w:t>
      </w:r>
      <w:r w:rsidR="00A7447C" w:rsidRPr="002C1C56">
        <w:rPr>
          <w:lang w:val="en-AU"/>
        </w:rPr>
        <w:t xml:space="preserve"> </w:t>
      </w:r>
      <w:r w:rsidRPr="002C1C56">
        <w:rPr>
          <w:lang w:val="en-AU"/>
        </w:rPr>
        <w:t xml:space="preserve">was released in </w:t>
      </w:r>
      <w:r w:rsidR="006A4864" w:rsidRPr="002C1C56">
        <w:rPr>
          <w:lang w:val="en-AU"/>
        </w:rPr>
        <w:t>November</w:t>
      </w:r>
      <w:r w:rsidR="006A4864">
        <w:rPr>
          <w:lang w:val="en-AU"/>
        </w:rPr>
        <w:t> </w:t>
      </w:r>
      <w:r w:rsidRPr="002C1C56">
        <w:rPr>
          <w:lang w:val="en-AU"/>
        </w:rPr>
        <w:t>2012</w:t>
      </w:r>
      <w:r>
        <w:rPr>
          <w:lang w:val="en-AU"/>
        </w:rPr>
        <w:t>.</w:t>
      </w:r>
      <w:r w:rsidRPr="004B2FF0">
        <w:rPr>
          <w:rStyle w:val="FootnoteReference"/>
          <w:lang w:val="en-AU"/>
        </w:rPr>
        <w:footnoteReference w:id="7"/>
      </w:r>
    </w:p>
    <w:p w14:paraId="5F93BA06" w14:textId="4DFCA2FE" w:rsidR="00452059" w:rsidRPr="00CE6F2D" w:rsidRDefault="00452059" w:rsidP="000E6AF3">
      <w:pPr>
        <w:pStyle w:val="NumberLevel2"/>
        <w:numPr>
          <w:ilvl w:val="1"/>
          <w:numId w:val="5"/>
        </w:numPr>
        <w:tabs>
          <w:tab w:val="num" w:pos="709"/>
        </w:tabs>
        <w:ind w:left="709" w:hanging="709"/>
        <w:rPr>
          <w:lang w:val="en-AU"/>
        </w:rPr>
      </w:pPr>
      <w:r w:rsidRPr="00CE6F2D">
        <w:rPr>
          <w:lang w:val="en-AU"/>
        </w:rPr>
        <w:t xml:space="preserve">Following the publication of the </w:t>
      </w:r>
      <w:r>
        <w:rPr>
          <w:lang w:val="en-AU"/>
        </w:rPr>
        <w:t>Commission</w:t>
      </w:r>
      <w:r w:rsidRPr="00CE6F2D">
        <w:rPr>
          <w:lang w:val="en-AU"/>
        </w:rPr>
        <w:t xml:space="preserve">’s </w:t>
      </w:r>
      <w:r>
        <w:rPr>
          <w:lang w:val="en-AU"/>
        </w:rPr>
        <w:t>Framework Statement</w:t>
      </w:r>
      <w:r w:rsidRPr="00CE6F2D">
        <w:rPr>
          <w:lang w:val="en-AU"/>
        </w:rPr>
        <w:t xml:space="preserve">, the </w:t>
      </w:r>
      <w:r>
        <w:rPr>
          <w:lang w:val="en-AU"/>
        </w:rPr>
        <w:t>Commission</w:t>
      </w:r>
      <w:r w:rsidRPr="00CE6F2D">
        <w:rPr>
          <w:lang w:val="en-AU"/>
        </w:rPr>
        <w:t xml:space="preserve"> </w:t>
      </w:r>
      <w:r>
        <w:rPr>
          <w:lang w:val="en-AU"/>
        </w:rPr>
        <w:t xml:space="preserve">worked closely </w:t>
      </w:r>
      <w:r w:rsidRPr="00CE6F2D">
        <w:rPr>
          <w:lang w:val="en-AU"/>
        </w:rPr>
        <w:t xml:space="preserve">with </w:t>
      </w:r>
      <w:r>
        <w:rPr>
          <w:lang w:val="en-AU"/>
        </w:rPr>
        <w:t>PWC Networks</w:t>
      </w:r>
      <w:r w:rsidRPr="00CE6F2D">
        <w:rPr>
          <w:lang w:val="en-AU"/>
        </w:rPr>
        <w:t xml:space="preserve"> to develop a</w:t>
      </w:r>
      <w:r>
        <w:rPr>
          <w:lang w:val="en-AU"/>
        </w:rPr>
        <w:t xml:space="preserve">n appropriate set of information to be provided by PWC Networks </w:t>
      </w:r>
      <w:r w:rsidRPr="00CE6F2D">
        <w:rPr>
          <w:lang w:val="en-AU"/>
        </w:rPr>
        <w:t xml:space="preserve">to </w:t>
      </w:r>
      <w:r>
        <w:rPr>
          <w:lang w:val="en-AU"/>
        </w:rPr>
        <w:t>enable</w:t>
      </w:r>
      <w:r w:rsidRPr="00CE6F2D">
        <w:rPr>
          <w:lang w:val="en-AU"/>
        </w:rPr>
        <w:t xml:space="preserve"> the </w:t>
      </w:r>
      <w:r>
        <w:rPr>
          <w:lang w:val="en-AU"/>
        </w:rPr>
        <w:t>Commission</w:t>
      </w:r>
      <w:r w:rsidRPr="00CE6F2D">
        <w:rPr>
          <w:lang w:val="en-AU"/>
        </w:rPr>
        <w:t xml:space="preserve"> </w:t>
      </w:r>
      <w:r>
        <w:rPr>
          <w:lang w:val="en-AU"/>
        </w:rPr>
        <w:t xml:space="preserve">to assess </w:t>
      </w:r>
      <w:r w:rsidR="00EA5A1D">
        <w:rPr>
          <w:lang w:val="en-AU"/>
        </w:rPr>
        <w:t>its</w:t>
      </w:r>
      <w:r w:rsidR="00A116A9">
        <w:rPr>
          <w:lang w:val="en-AU"/>
        </w:rPr>
        <w:t xml:space="preserve"> regulatory proposal</w:t>
      </w:r>
      <w:r>
        <w:rPr>
          <w:lang w:val="en-AU"/>
        </w:rPr>
        <w:t xml:space="preserve"> </w:t>
      </w:r>
      <w:r w:rsidRPr="00CE6F2D">
        <w:rPr>
          <w:lang w:val="en-AU"/>
        </w:rPr>
        <w:t xml:space="preserve">against the requirements of the </w:t>
      </w:r>
      <w:r w:rsidR="00FB2EC5">
        <w:rPr>
          <w:lang w:val="en-AU"/>
        </w:rPr>
        <w:t>Network Access Code</w:t>
      </w:r>
      <w:r>
        <w:rPr>
          <w:lang w:val="en-AU"/>
        </w:rPr>
        <w:t xml:space="preserve"> and the</w:t>
      </w:r>
      <w:r w:rsidR="00035DCE">
        <w:rPr>
          <w:lang w:val="en-AU"/>
        </w:rPr>
        <w:t> </w:t>
      </w:r>
      <w:r w:rsidRPr="00CE6F2D">
        <w:rPr>
          <w:lang w:val="en-AU"/>
        </w:rPr>
        <w:t>NER.</w:t>
      </w:r>
    </w:p>
    <w:p w14:paraId="415450D2" w14:textId="06114371" w:rsidR="00452059" w:rsidRPr="00CE6F2D" w:rsidRDefault="00165CDF" w:rsidP="000E6AF3">
      <w:pPr>
        <w:pStyle w:val="NumberLevel2"/>
        <w:numPr>
          <w:ilvl w:val="1"/>
          <w:numId w:val="5"/>
        </w:numPr>
        <w:tabs>
          <w:tab w:val="num" w:pos="709"/>
        </w:tabs>
        <w:ind w:left="709" w:hanging="709"/>
        <w:rPr>
          <w:lang w:val="en-AU"/>
        </w:rPr>
      </w:pPr>
      <w:r>
        <w:rPr>
          <w:lang w:val="en-AU"/>
        </w:rPr>
        <w:t xml:space="preserve">Due to PWC </w:t>
      </w:r>
      <w:r w:rsidR="00A82085">
        <w:rPr>
          <w:lang w:val="en-AU"/>
        </w:rPr>
        <w:t xml:space="preserve">Networks’ resourcing </w:t>
      </w:r>
      <w:r w:rsidR="001C5658">
        <w:rPr>
          <w:lang w:val="en-AU"/>
        </w:rPr>
        <w:t>constraints</w:t>
      </w:r>
      <w:r>
        <w:rPr>
          <w:lang w:val="en-AU"/>
        </w:rPr>
        <w:t>, the</w:t>
      </w:r>
      <w:r w:rsidR="00452059">
        <w:rPr>
          <w:lang w:val="en-AU"/>
        </w:rPr>
        <w:t xml:space="preserve"> </w:t>
      </w:r>
      <w:r w:rsidR="00452059" w:rsidRPr="003F31D9">
        <w:rPr>
          <w:lang w:val="en-AU"/>
        </w:rPr>
        <w:t xml:space="preserve">Commission agreed to a staged provision of information </w:t>
      </w:r>
      <w:r w:rsidR="00A82085">
        <w:rPr>
          <w:lang w:val="en-AU"/>
        </w:rPr>
        <w:t>by</w:t>
      </w:r>
      <w:r w:rsidR="00452059" w:rsidRPr="003F31D9">
        <w:rPr>
          <w:lang w:val="en-AU"/>
        </w:rPr>
        <w:t xml:space="preserve"> </w:t>
      </w:r>
      <w:r w:rsidR="00A116A9" w:rsidRPr="003F31D9">
        <w:rPr>
          <w:lang w:val="en-AU"/>
        </w:rPr>
        <w:t>PWC</w:t>
      </w:r>
      <w:r w:rsidR="00A116A9">
        <w:rPr>
          <w:lang w:val="en-AU"/>
        </w:rPr>
        <w:t> </w:t>
      </w:r>
      <w:r w:rsidR="00452059">
        <w:rPr>
          <w:lang w:val="en-AU"/>
        </w:rPr>
        <w:t xml:space="preserve">Networks </w:t>
      </w:r>
      <w:r w:rsidR="00A82085">
        <w:rPr>
          <w:lang w:val="en-AU"/>
        </w:rPr>
        <w:t xml:space="preserve">as part of its </w:t>
      </w:r>
      <w:r w:rsidR="00A116A9">
        <w:rPr>
          <w:lang w:val="en-AU"/>
        </w:rPr>
        <w:t>r</w:t>
      </w:r>
      <w:r w:rsidR="00A116A9" w:rsidRPr="003F31D9">
        <w:rPr>
          <w:lang w:val="en-AU"/>
        </w:rPr>
        <w:t xml:space="preserve">egulatory </w:t>
      </w:r>
      <w:r w:rsidR="00A116A9">
        <w:rPr>
          <w:lang w:val="en-AU"/>
        </w:rPr>
        <w:t>p</w:t>
      </w:r>
      <w:r w:rsidR="00A116A9" w:rsidRPr="003F31D9">
        <w:rPr>
          <w:lang w:val="en-AU"/>
        </w:rPr>
        <w:t>roposal</w:t>
      </w:r>
      <w:r w:rsidR="00452059">
        <w:rPr>
          <w:lang w:val="en-AU"/>
        </w:rPr>
        <w:t xml:space="preserve">. PWC Networks provided information progressively from </w:t>
      </w:r>
      <w:r w:rsidR="006A4864">
        <w:rPr>
          <w:lang w:val="en-AU"/>
        </w:rPr>
        <w:t>May </w:t>
      </w:r>
      <w:r w:rsidR="00452059">
        <w:rPr>
          <w:lang w:val="en-AU"/>
        </w:rPr>
        <w:t xml:space="preserve">2013, with the </w:t>
      </w:r>
      <w:r w:rsidR="00A82085">
        <w:rPr>
          <w:lang w:val="en-AU"/>
        </w:rPr>
        <w:t xml:space="preserve">initial </w:t>
      </w:r>
      <w:r w:rsidR="00A116A9">
        <w:rPr>
          <w:lang w:val="en-AU"/>
        </w:rPr>
        <w:t xml:space="preserve">regulatory proposal </w:t>
      </w:r>
      <w:r w:rsidR="00452059">
        <w:rPr>
          <w:lang w:val="en-AU"/>
        </w:rPr>
        <w:t xml:space="preserve">being submitted </w:t>
      </w:r>
      <w:r w:rsidR="00A82085">
        <w:rPr>
          <w:lang w:val="en-AU"/>
        </w:rPr>
        <w:t xml:space="preserve">and published on the Commission’s website </w:t>
      </w:r>
      <w:r w:rsidR="00452059">
        <w:rPr>
          <w:lang w:val="en-AU"/>
        </w:rPr>
        <w:t xml:space="preserve">in </w:t>
      </w:r>
      <w:r w:rsidR="006A4864">
        <w:rPr>
          <w:lang w:val="en-AU"/>
        </w:rPr>
        <w:t>September </w:t>
      </w:r>
      <w:r w:rsidR="00452059">
        <w:rPr>
          <w:lang w:val="en-AU"/>
        </w:rPr>
        <w:t xml:space="preserve">2013. </w:t>
      </w:r>
      <w:r w:rsidR="00A82085">
        <w:rPr>
          <w:lang w:val="en-AU"/>
        </w:rPr>
        <w:t xml:space="preserve">The Commission sought </w:t>
      </w:r>
      <w:r w:rsidR="00BD4251">
        <w:rPr>
          <w:lang w:val="en-AU"/>
        </w:rPr>
        <w:t xml:space="preserve">comment </w:t>
      </w:r>
      <w:r w:rsidR="00A82085">
        <w:rPr>
          <w:lang w:val="en-AU"/>
        </w:rPr>
        <w:t xml:space="preserve">on PWC Networks’ initial regulatory proposal </w:t>
      </w:r>
      <w:r w:rsidR="00BD4251">
        <w:rPr>
          <w:lang w:val="en-AU"/>
        </w:rPr>
        <w:t>from stakeholders</w:t>
      </w:r>
      <w:r w:rsidR="00A82085">
        <w:rPr>
          <w:lang w:val="en-AU"/>
        </w:rPr>
        <w:t xml:space="preserve"> and</w:t>
      </w:r>
      <w:r w:rsidR="00452059" w:rsidRPr="00CE6F2D">
        <w:rPr>
          <w:lang w:val="en-AU"/>
        </w:rPr>
        <w:t xml:space="preserve"> </w:t>
      </w:r>
      <w:r w:rsidR="00E15DC7">
        <w:rPr>
          <w:lang w:val="en-AU"/>
        </w:rPr>
        <w:t xml:space="preserve">five </w:t>
      </w:r>
      <w:r w:rsidR="00452059" w:rsidRPr="00CE6F2D">
        <w:rPr>
          <w:lang w:val="en-AU"/>
        </w:rPr>
        <w:t>submissions</w:t>
      </w:r>
      <w:r w:rsidR="00090A5C">
        <w:rPr>
          <w:lang w:val="en-AU"/>
        </w:rPr>
        <w:t xml:space="preserve"> were received</w:t>
      </w:r>
      <w:r w:rsidR="00E149C6">
        <w:rPr>
          <w:lang w:val="en-AU"/>
        </w:rPr>
        <w:t>.</w:t>
      </w:r>
      <w:r w:rsidR="00035DCE">
        <w:rPr>
          <w:rStyle w:val="FootnoteReference"/>
          <w:lang w:val="en-AU"/>
        </w:rPr>
        <w:footnoteReference w:id="8"/>
      </w:r>
    </w:p>
    <w:p w14:paraId="5AAD5D8E" w14:textId="67E7ACD4" w:rsidR="00452059" w:rsidRPr="0019585F" w:rsidRDefault="0019585F" w:rsidP="0019585F">
      <w:pPr>
        <w:pStyle w:val="NumberLevel2"/>
        <w:numPr>
          <w:ilvl w:val="1"/>
          <w:numId w:val="5"/>
        </w:numPr>
        <w:tabs>
          <w:tab w:val="num" w:pos="709"/>
        </w:tabs>
        <w:ind w:left="709" w:hanging="709"/>
        <w:rPr>
          <w:lang w:val="en-AU"/>
        </w:rPr>
      </w:pPr>
      <w:r w:rsidRPr="0019585F">
        <w:rPr>
          <w:lang w:val="en-AU"/>
        </w:rPr>
        <w:t>Following consideration of issues raised in submissions</w:t>
      </w:r>
      <w:r w:rsidR="00056708">
        <w:rPr>
          <w:lang w:val="en-AU"/>
        </w:rPr>
        <w:t xml:space="preserve"> and </w:t>
      </w:r>
      <w:r w:rsidR="00917AB7">
        <w:rPr>
          <w:lang w:val="en-AU"/>
        </w:rPr>
        <w:t xml:space="preserve">the Commission’s </w:t>
      </w:r>
      <w:r w:rsidR="00056708">
        <w:rPr>
          <w:lang w:val="en-AU"/>
        </w:rPr>
        <w:t xml:space="preserve">own analysis of PWC Networks’ </w:t>
      </w:r>
      <w:r w:rsidR="00917AB7">
        <w:rPr>
          <w:lang w:val="en-AU"/>
        </w:rPr>
        <w:t xml:space="preserve">initial regulatory </w:t>
      </w:r>
      <w:r w:rsidR="00056708">
        <w:rPr>
          <w:lang w:val="en-AU"/>
        </w:rPr>
        <w:t>proposal</w:t>
      </w:r>
      <w:r w:rsidRPr="0019585F">
        <w:rPr>
          <w:lang w:val="en-AU"/>
        </w:rPr>
        <w:t>, the Commission released its Draft Determination in December</w:t>
      </w:r>
      <w:r w:rsidR="006A4864">
        <w:rPr>
          <w:lang w:val="en-AU"/>
        </w:rPr>
        <w:t> </w:t>
      </w:r>
      <w:r w:rsidRPr="0019585F">
        <w:rPr>
          <w:lang w:val="en-AU"/>
        </w:rPr>
        <w:t xml:space="preserve">2013. </w:t>
      </w:r>
      <w:r w:rsidR="00452059" w:rsidRPr="0019585F">
        <w:rPr>
          <w:lang w:val="en-AU"/>
        </w:rPr>
        <w:t xml:space="preserve">The Commission’s </w:t>
      </w:r>
      <w:r>
        <w:rPr>
          <w:lang w:val="en-AU"/>
        </w:rPr>
        <w:t xml:space="preserve">considerations and its </w:t>
      </w:r>
      <w:r w:rsidR="00452059" w:rsidRPr="0019585F">
        <w:rPr>
          <w:lang w:val="en-AU"/>
        </w:rPr>
        <w:t>examination of the PWC Networks</w:t>
      </w:r>
      <w:r w:rsidR="00E15DC7" w:rsidRPr="0019585F">
        <w:rPr>
          <w:lang w:val="en-AU"/>
        </w:rPr>
        <w:t>’</w:t>
      </w:r>
      <w:r w:rsidR="00452059" w:rsidRPr="0019585F">
        <w:rPr>
          <w:lang w:val="en-AU"/>
        </w:rPr>
        <w:t xml:space="preserve"> </w:t>
      </w:r>
      <w:r w:rsidR="00917AB7">
        <w:rPr>
          <w:lang w:val="en-AU"/>
        </w:rPr>
        <w:t xml:space="preserve">initial </w:t>
      </w:r>
      <w:r w:rsidR="00452059" w:rsidRPr="0019585F">
        <w:rPr>
          <w:lang w:val="en-AU"/>
        </w:rPr>
        <w:t xml:space="preserve">regulatory proposal </w:t>
      </w:r>
      <w:r>
        <w:rPr>
          <w:lang w:val="en-AU"/>
        </w:rPr>
        <w:t>was</w:t>
      </w:r>
      <w:r w:rsidRPr="0019585F">
        <w:rPr>
          <w:lang w:val="en-AU"/>
        </w:rPr>
        <w:t xml:space="preserve"> </w:t>
      </w:r>
      <w:r w:rsidR="00452059" w:rsidRPr="0019585F">
        <w:rPr>
          <w:lang w:val="en-AU"/>
        </w:rPr>
        <w:t xml:space="preserve">also informed by consultant advice and supporting data supplied by </w:t>
      </w:r>
      <w:r w:rsidR="00452059" w:rsidRPr="002554E3">
        <w:rPr>
          <w:lang w:val="en-AU"/>
        </w:rPr>
        <w:t>PWC Networks</w:t>
      </w:r>
      <w:r w:rsidR="00A116A9" w:rsidRPr="0019585F">
        <w:rPr>
          <w:lang w:val="en-AU"/>
        </w:rPr>
        <w:t>.</w:t>
      </w:r>
      <w:r w:rsidR="00452059" w:rsidRPr="0019585F">
        <w:rPr>
          <w:lang w:val="en-AU"/>
        </w:rPr>
        <w:t xml:space="preserve"> </w:t>
      </w:r>
    </w:p>
    <w:p w14:paraId="47EB058D" w14:textId="4DC85254" w:rsidR="0019585F" w:rsidRDefault="0019585F" w:rsidP="000E6AF3">
      <w:pPr>
        <w:pStyle w:val="NumberLevel2"/>
        <w:numPr>
          <w:ilvl w:val="1"/>
          <w:numId w:val="5"/>
        </w:numPr>
        <w:tabs>
          <w:tab w:val="num" w:pos="709"/>
        </w:tabs>
        <w:ind w:left="709" w:hanging="709"/>
        <w:rPr>
          <w:lang w:val="en-AU"/>
        </w:rPr>
      </w:pPr>
      <w:r>
        <w:rPr>
          <w:lang w:val="en-AU"/>
        </w:rPr>
        <w:t>PWC Networks submitted a revised regulatory proposal in January</w:t>
      </w:r>
      <w:r w:rsidR="006A4864">
        <w:rPr>
          <w:lang w:val="en-AU"/>
        </w:rPr>
        <w:t> </w:t>
      </w:r>
      <w:r>
        <w:rPr>
          <w:lang w:val="en-AU"/>
        </w:rPr>
        <w:t xml:space="preserve">2014. </w:t>
      </w:r>
      <w:r w:rsidR="00165CDF">
        <w:rPr>
          <w:lang w:val="en-AU"/>
        </w:rPr>
        <w:t xml:space="preserve">This revised </w:t>
      </w:r>
      <w:r w:rsidR="00917AB7">
        <w:rPr>
          <w:lang w:val="en-AU"/>
        </w:rPr>
        <w:t xml:space="preserve">regulatory </w:t>
      </w:r>
      <w:r w:rsidR="00165CDF">
        <w:rPr>
          <w:lang w:val="en-AU"/>
        </w:rPr>
        <w:t>proposal was published on the Commission</w:t>
      </w:r>
      <w:r w:rsidR="00E37C5D">
        <w:rPr>
          <w:lang w:val="en-AU"/>
        </w:rPr>
        <w:t>’</w:t>
      </w:r>
      <w:r w:rsidR="00165CDF">
        <w:rPr>
          <w:lang w:val="en-AU"/>
        </w:rPr>
        <w:t xml:space="preserve">s website and comments sought from stakeholders. </w:t>
      </w:r>
      <w:r>
        <w:rPr>
          <w:lang w:val="en-AU"/>
        </w:rPr>
        <w:t xml:space="preserve">The Commission received four submissions in response to its Draft Determination and the revised </w:t>
      </w:r>
      <w:r w:rsidR="00917AB7">
        <w:rPr>
          <w:lang w:val="en-AU"/>
        </w:rPr>
        <w:t xml:space="preserve">regulatory </w:t>
      </w:r>
      <w:r>
        <w:rPr>
          <w:lang w:val="en-AU"/>
        </w:rPr>
        <w:t>proposal from PWC Networks.</w:t>
      </w:r>
    </w:p>
    <w:p w14:paraId="1E40BA75" w14:textId="194F1389" w:rsidR="00452059" w:rsidRDefault="00452059" w:rsidP="000E6AF3">
      <w:pPr>
        <w:pStyle w:val="NumberLevel2"/>
        <w:numPr>
          <w:ilvl w:val="1"/>
          <w:numId w:val="5"/>
        </w:numPr>
        <w:tabs>
          <w:tab w:val="num" w:pos="709"/>
        </w:tabs>
        <w:ind w:left="709" w:hanging="709"/>
        <w:rPr>
          <w:lang w:val="en-AU"/>
        </w:rPr>
      </w:pPr>
      <w:r w:rsidRPr="00CE6F2D">
        <w:rPr>
          <w:lang w:val="en-AU"/>
        </w:rPr>
        <w:t xml:space="preserve">In making </w:t>
      </w:r>
      <w:r w:rsidR="00917AB7">
        <w:rPr>
          <w:lang w:val="en-AU"/>
        </w:rPr>
        <w:t>the 2014 Network Price Determination</w:t>
      </w:r>
      <w:r w:rsidRPr="00CE6F2D">
        <w:rPr>
          <w:lang w:val="en-AU"/>
        </w:rPr>
        <w:t xml:space="preserve">, the </w:t>
      </w:r>
      <w:r>
        <w:rPr>
          <w:lang w:val="en-AU"/>
        </w:rPr>
        <w:t>Commission</w:t>
      </w:r>
      <w:r w:rsidRPr="00CE6F2D">
        <w:rPr>
          <w:lang w:val="en-AU"/>
        </w:rPr>
        <w:t xml:space="preserve"> </w:t>
      </w:r>
      <w:r>
        <w:rPr>
          <w:lang w:val="en-AU"/>
        </w:rPr>
        <w:t xml:space="preserve">has </w:t>
      </w:r>
      <w:r w:rsidRPr="00CE6F2D">
        <w:rPr>
          <w:lang w:val="en-AU"/>
        </w:rPr>
        <w:t xml:space="preserve">assessed </w:t>
      </w:r>
      <w:r>
        <w:rPr>
          <w:lang w:val="en-AU"/>
        </w:rPr>
        <w:t>PWC Networks</w:t>
      </w:r>
      <w:r w:rsidR="00A116A9">
        <w:rPr>
          <w:lang w:val="en-AU"/>
        </w:rPr>
        <w:t xml:space="preserve">’ </w:t>
      </w:r>
      <w:r w:rsidR="00917AB7">
        <w:rPr>
          <w:lang w:val="en-AU"/>
        </w:rPr>
        <w:t xml:space="preserve">initial and revised </w:t>
      </w:r>
      <w:r w:rsidR="00A116A9">
        <w:rPr>
          <w:lang w:val="en-AU"/>
        </w:rPr>
        <w:t>regulatory proposal</w:t>
      </w:r>
      <w:r w:rsidR="00035DCE">
        <w:rPr>
          <w:lang w:val="en-AU"/>
        </w:rPr>
        <w:t>s</w:t>
      </w:r>
      <w:r>
        <w:rPr>
          <w:lang w:val="en-AU"/>
        </w:rPr>
        <w:t xml:space="preserve"> </w:t>
      </w:r>
      <w:r w:rsidRPr="00CE6F2D">
        <w:rPr>
          <w:lang w:val="en-AU"/>
        </w:rPr>
        <w:t xml:space="preserve">in accordance with the requirements of the </w:t>
      </w:r>
      <w:r w:rsidR="00FB2EC5">
        <w:rPr>
          <w:lang w:val="en-AU"/>
        </w:rPr>
        <w:t>Network Access Code</w:t>
      </w:r>
      <w:r>
        <w:rPr>
          <w:lang w:val="en-AU"/>
        </w:rPr>
        <w:t xml:space="preserve"> and </w:t>
      </w:r>
      <w:r w:rsidR="00917AB7">
        <w:rPr>
          <w:lang w:val="en-AU"/>
        </w:rPr>
        <w:t xml:space="preserve">the </w:t>
      </w:r>
      <w:r>
        <w:rPr>
          <w:lang w:val="en-AU"/>
        </w:rPr>
        <w:t xml:space="preserve">relevant provisions of the </w:t>
      </w:r>
      <w:r w:rsidRPr="00CE6F2D">
        <w:rPr>
          <w:lang w:val="en-AU"/>
        </w:rPr>
        <w:t>NER</w:t>
      </w:r>
      <w:r w:rsidR="00917AB7">
        <w:rPr>
          <w:lang w:val="en-AU"/>
        </w:rPr>
        <w:t xml:space="preserve"> and the conventions, rules and procedures currently applied by the AER in relation to the economic regulation of </w:t>
      </w:r>
      <w:r w:rsidR="00B322B6">
        <w:rPr>
          <w:lang w:val="en-AU"/>
        </w:rPr>
        <w:t>electricity distribution network businesses in Australia</w:t>
      </w:r>
      <w:r w:rsidRPr="00CE6F2D">
        <w:rPr>
          <w:lang w:val="en-AU"/>
        </w:rPr>
        <w:t xml:space="preserve">. The </w:t>
      </w:r>
      <w:r>
        <w:rPr>
          <w:lang w:val="en-AU"/>
        </w:rPr>
        <w:t>Commission</w:t>
      </w:r>
      <w:r w:rsidRPr="00CE6F2D">
        <w:rPr>
          <w:lang w:val="en-AU"/>
        </w:rPr>
        <w:t xml:space="preserve"> also considered the past performance of </w:t>
      </w:r>
      <w:r>
        <w:rPr>
          <w:lang w:val="en-AU"/>
        </w:rPr>
        <w:t>PWC Networks</w:t>
      </w:r>
      <w:r w:rsidRPr="00CE6F2D">
        <w:rPr>
          <w:lang w:val="en-AU"/>
        </w:rPr>
        <w:t xml:space="preserve"> and the effectiveness of </w:t>
      </w:r>
      <w:r>
        <w:rPr>
          <w:lang w:val="en-AU"/>
        </w:rPr>
        <w:t>its</w:t>
      </w:r>
      <w:r w:rsidRPr="00CE6F2D">
        <w:rPr>
          <w:lang w:val="en-AU"/>
        </w:rPr>
        <w:t xml:space="preserve"> policies and procedures in the development of </w:t>
      </w:r>
      <w:r>
        <w:rPr>
          <w:lang w:val="en-AU"/>
        </w:rPr>
        <w:t>its</w:t>
      </w:r>
      <w:r w:rsidRPr="00CE6F2D">
        <w:rPr>
          <w:lang w:val="en-AU"/>
        </w:rPr>
        <w:t xml:space="preserve"> regulatory proposal</w:t>
      </w:r>
      <w:r>
        <w:rPr>
          <w:lang w:val="en-AU"/>
        </w:rPr>
        <w:t>.</w:t>
      </w:r>
    </w:p>
    <w:p w14:paraId="343DD1E1" w14:textId="670767E8" w:rsidR="00452059" w:rsidRDefault="00452059" w:rsidP="000E6AF3">
      <w:pPr>
        <w:pStyle w:val="NumberLevel2"/>
        <w:numPr>
          <w:ilvl w:val="1"/>
          <w:numId w:val="5"/>
        </w:numPr>
        <w:tabs>
          <w:tab w:val="num" w:pos="709"/>
        </w:tabs>
        <w:ind w:left="709" w:hanging="709"/>
        <w:rPr>
          <w:lang w:val="en-AU"/>
        </w:rPr>
      </w:pPr>
      <w:r>
        <w:rPr>
          <w:lang w:val="en-AU"/>
        </w:rPr>
        <w:t xml:space="preserve">In accordance with the NER and as identified in the Framework Statement, the Commission has applied a forward-looking building block approach in </w:t>
      </w:r>
      <w:r w:rsidR="00B322B6">
        <w:rPr>
          <w:lang w:val="en-AU"/>
        </w:rPr>
        <w:t>determining</w:t>
      </w:r>
      <w:r>
        <w:rPr>
          <w:lang w:val="en-AU"/>
        </w:rPr>
        <w:t xml:space="preserve"> the </w:t>
      </w:r>
      <w:r w:rsidR="00B322B6">
        <w:rPr>
          <w:lang w:val="en-AU"/>
        </w:rPr>
        <w:t xml:space="preserve">annual </w:t>
      </w:r>
      <w:r>
        <w:rPr>
          <w:lang w:val="en-AU"/>
        </w:rPr>
        <w:t xml:space="preserve">revenue requirement </w:t>
      </w:r>
      <w:r w:rsidR="00B322B6">
        <w:rPr>
          <w:lang w:val="en-AU"/>
        </w:rPr>
        <w:t>to apply to</w:t>
      </w:r>
      <w:r>
        <w:rPr>
          <w:lang w:val="en-AU"/>
        </w:rPr>
        <w:t xml:space="preserve"> PWC Networks for the </w:t>
      </w:r>
      <w:r w:rsidR="00CB7ACE">
        <w:rPr>
          <w:lang w:val="en-AU"/>
        </w:rPr>
        <w:t xml:space="preserve">2014-19 </w:t>
      </w:r>
      <w:r>
        <w:rPr>
          <w:lang w:val="en-AU"/>
        </w:rPr>
        <w:t>regulatory con</w:t>
      </w:r>
      <w:r w:rsidR="00C4401D">
        <w:rPr>
          <w:lang w:val="en-AU"/>
        </w:rPr>
        <w:t>trol period. The building block</w:t>
      </w:r>
      <w:r>
        <w:rPr>
          <w:lang w:val="en-AU"/>
        </w:rPr>
        <w:t xml:space="preserve"> </w:t>
      </w:r>
      <w:r w:rsidR="00E15DC7">
        <w:rPr>
          <w:lang w:val="en-AU"/>
        </w:rPr>
        <w:t xml:space="preserve">approach </w:t>
      </w:r>
      <w:r>
        <w:rPr>
          <w:lang w:val="en-AU"/>
        </w:rPr>
        <w:t>include</w:t>
      </w:r>
      <w:r w:rsidR="00E15DC7">
        <w:rPr>
          <w:lang w:val="en-AU"/>
        </w:rPr>
        <w:t>s</w:t>
      </w:r>
      <w:r>
        <w:rPr>
          <w:lang w:val="en-AU"/>
        </w:rPr>
        <w:t xml:space="preserve"> an allowance for operating </w:t>
      </w:r>
      <w:r w:rsidR="00EA5A1D">
        <w:rPr>
          <w:lang w:val="en-AU"/>
        </w:rPr>
        <w:t xml:space="preserve">and maintenance </w:t>
      </w:r>
      <w:r>
        <w:rPr>
          <w:lang w:val="en-AU"/>
        </w:rPr>
        <w:t xml:space="preserve">expenditure, </w:t>
      </w:r>
      <w:r w:rsidR="00B322B6">
        <w:rPr>
          <w:lang w:val="en-AU"/>
        </w:rPr>
        <w:t xml:space="preserve">return on capital </w:t>
      </w:r>
      <w:r>
        <w:rPr>
          <w:lang w:val="en-AU"/>
        </w:rPr>
        <w:t xml:space="preserve">(which includes an allowance for capital expenditure), and regulatory depreciation. The Commission’s expenditure assessments are based on tests of </w:t>
      </w:r>
      <w:r w:rsidR="00B322B6">
        <w:rPr>
          <w:lang w:val="en-AU"/>
        </w:rPr>
        <w:t xml:space="preserve">prudency </w:t>
      </w:r>
      <w:r>
        <w:rPr>
          <w:lang w:val="en-AU"/>
        </w:rPr>
        <w:t>and efficiency.</w:t>
      </w:r>
    </w:p>
    <w:p w14:paraId="42A96121" w14:textId="43140BC5" w:rsidR="00452059" w:rsidRDefault="00452059" w:rsidP="000E6AF3">
      <w:pPr>
        <w:pStyle w:val="NumberLevel2"/>
        <w:numPr>
          <w:ilvl w:val="1"/>
          <w:numId w:val="5"/>
        </w:numPr>
        <w:tabs>
          <w:tab w:val="num" w:pos="709"/>
        </w:tabs>
        <w:ind w:left="709" w:hanging="709"/>
        <w:rPr>
          <w:lang w:val="en-AU"/>
        </w:rPr>
      </w:pPr>
      <w:r>
        <w:rPr>
          <w:lang w:val="en-AU"/>
        </w:rPr>
        <w:t xml:space="preserve">The Commission’s determination includes the </w:t>
      </w:r>
      <w:r w:rsidR="00E15DC7">
        <w:rPr>
          <w:lang w:val="en-AU"/>
        </w:rPr>
        <w:t xml:space="preserve">three </w:t>
      </w:r>
      <w:r w:rsidR="00B322B6">
        <w:rPr>
          <w:lang w:val="en-AU"/>
        </w:rPr>
        <w:t>distribution systems</w:t>
      </w:r>
      <w:r>
        <w:rPr>
          <w:lang w:val="en-AU"/>
        </w:rPr>
        <w:t xml:space="preserve"> of Darwin</w:t>
      </w:r>
      <w:r w:rsidR="00A116A9">
        <w:rPr>
          <w:lang w:val="en-AU"/>
        </w:rPr>
        <w:noBreakHyphen/>
      </w:r>
      <w:r>
        <w:rPr>
          <w:lang w:val="en-AU"/>
        </w:rPr>
        <w:t>Katherine, Alice Springs, and Tennant Creek</w:t>
      </w:r>
      <w:r w:rsidR="00B322B6">
        <w:rPr>
          <w:lang w:val="en-AU"/>
        </w:rPr>
        <w:t>.</w:t>
      </w:r>
      <w:r w:rsidR="00B322B6">
        <w:rPr>
          <w:rStyle w:val="FootnoteReference"/>
          <w:lang w:val="en-AU"/>
        </w:rPr>
        <w:footnoteReference w:id="9"/>
      </w:r>
      <w:r>
        <w:rPr>
          <w:lang w:val="en-AU"/>
        </w:rPr>
        <w:t xml:space="preserve"> </w:t>
      </w:r>
    </w:p>
    <w:p w14:paraId="77001842" w14:textId="40A43EEE" w:rsidR="00452059" w:rsidRPr="00F02511" w:rsidRDefault="00452059" w:rsidP="00452059">
      <w:pPr>
        <w:pStyle w:val="UtilComHeading2"/>
      </w:pPr>
      <w:bookmarkStart w:id="12" w:name="_Toc385241433"/>
      <w:bookmarkStart w:id="13" w:name="_Toc386012985"/>
      <w:r w:rsidRPr="00F02511">
        <w:t>Outcome of</w:t>
      </w:r>
      <w:r w:rsidR="009F6688">
        <w:t xml:space="preserve"> the</w:t>
      </w:r>
      <w:r w:rsidRPr="00F02511">
        <w:t xml:space="preserve"> </w:t>
      </w:r>
      <w:r w:rsidR="00E14863">
        <w:t>R</w:t>
      </w:r>
      <w:r w:rsidR="00E14863" w:rsidRPr="00F02511">
        <w:t xml:space="preserve">egulatory </w:t>
      </w:r>
      <w:bookmarkEnd w:id="12"/>
      <w:r w:rsidR="00E14863">
        <w:t>P</w:t>
      </w:r>
      <w:r w:rsidR="00E14863" w:rsidRPr="00F02511">
        <w:t>rocess</w:t>
      </w:r>
      <w:bookmarkEnd w:id="13"/>
    </w:p>
    <w:p w14:paraId="423534CE" w14:textId="3AB70AFC" w:rsidR="00452059" w:rsidRPr="00B93AAB" w:rsidRDefault="00452059" w:rsidP="000E6AF3">
      <w:pPr>
        <w:pStyle w:val="NumberLevel2"/>
        <w:numPr>
          <w:ilvl w:val="1"/>
          <w:numId w:val="5"/>
        </w:numPr>
        <w:tabs>
          <w:tab w:val="num" w:pos="709"/>
        </w:tabs>
        <w:ind w:left="709" w:hanging="709"/>
        <w:rPr>
          <w:lang w:val="en-AU"/>
        </w:rPr>
      </w:pPr>
      <w:r>
        <w:rPr>
          <w:lang w:val="en-AU"/>
        </w:rPr>
        <w:t xml:space="preserve">The Commission’s </w:t>
      </w:r>
      <w:r w:rsidR="00C70BE4">
        <w:rPr>
          <w:lang w:val="en-AU"/>
        </w:rPr>
        <w:t xml:space="preserve">Final Determination </w:t>
      </w:r>
      <w:r w:rsidR="00ED23D2">
        <w:rPr>
          <w:lang w:val="en-AU"/>
        </w:rPr>
        <w:t>on the</w:t>
      </w:r>
      <w:r w:rsidR="00201FD2">
        <w:rPr>
          <w:lang w:val="en-AU"/>
        </w:rPr>
        <w:t xml:space="preserve"> </w:t>
      </w:r>
      <w:r w:rsidRPr="005820F4">
        <w:rPr>
          <w:lang w:val="en-AU"/>
        </w:rPr>
        <w:t xml:space="preserve">total revenue </w:t>
      </w:r>
      <w:r w:rsidR="00ED23D2">
        <w:rPr>
          <w:lang w:val="en-AU"/>
        </w:rPr>
        <w:t xml:space="preserve">requirement to apply to PWC Networks </w:t>
      </w:r>
      <w:r w:rsidRPr="005820F4">
        <w:rPr>
          <w:lang w:val="en-AU"/>
        </w:rPr>
        <w:t xml:space="preserve">for the </w:t>
      </w:r>
      <w:r w:rsidR="00056708">
        <w:rPr>
          <w:lang w:val="en-AU"/>
        </w:rPr>
        <w:t>2014-19</w:t>
      </w:r>
      <w:r w:rsidR="00056708" w:rsidRPr="005820F4">
        <w:rPr>
          <w:lang w:val="en-AU"/>
        </w:rPr>
        <w:t xml:space="preserve"> </w:t>
      </w:r>
      <w:r w:rsidRPr="005820F4">
        <w:rPr>
          <w:lang w:val="en-AU"/>
        </w:rPr>
        <w:t xml:space="preserve">regulatory control period </w:t>
      </w:r>
      <w:r>
        <w:rPr>
          <w:lang w:val="en-AU"/>
        </w:rPr>
        <w:t xml:space="preserve">for </w:t>
      </w:r>
      <w:r w:rsidR="00ED23D2">
        <w:rPr>
          <w:lang w:val="en-AU"/>
        </w:rPr>
        <w:t xml:space="preserve">the supply of regulated network access </w:t>
      </w:r>
      <w:r>
        <w:rPr>
          <w:lang w:val="en-AU"/>
        </w:rPr>
        <w:t xml:space="preserve">services </w:t>
      </w:r>
      <w:r w:rsidRPr="005820F4">
        <w:rPr>
          <w:lang w:val="en-AU"/>
        </w:rPr>
        <w:t>is</w:t>
      </w:r>
      <w:r w:rsidR="001C5658">
        <w:rPr>
          <w:lang w:val="en-AU"/>
        </w:rPr>
        <w:t xml:space="preserve"> </w:t>
      </w:r>
      <w:r w:rsidR="003261B8">
        <w:rPr>
          <w:lang w:val="en-AU"/>
        </w:rPr>
        <w:t>$</w:t>
      </w:r>
      <w:r w:rsidR="00035DCE">
        <w:rPr>
          <w:lang w:val="en-AU"/>
        </w:rPr>
        <w:t>1 034.2</w:t>
      </w:r>
      <w:r w:rsidR="00834FA2" w:rsidRPr="00B93AAB">
        <w:rPr>
          <w:lang w:val="en-AU"/>
        </w:rPr>
        <w:t> </w:t>
      </w:r>
      <w:r w:rsidRPr="00B93AAB">
        <w:rPr>
          <w:lang w:val="en-AU"/>
        </w:rPr>
        <w:t xml:space="preserve">million (nominal), </w:t>
      </w:r>
      <w:r w:rsidR="00035DCE">
        <w:rPr>
          <w:lang w:val="en-AU"/>
        </w:rPr>
        <w:t xml:space="preserve">inclusive of </w:t>
      </w:r>
      <w:r w:rsidR="002E120A" w:rsidRPr="00B93AAB">
        <w:rPr>
          <w:lang w:val="en-AU"/>
        </w:rPr>
        <w:t>$42.0</w:t>
      </w:r>
      <w:r w:rsidR="00C4401D" w:rsidRPr="00B93AAB">
        <w:rPr>
          <w:lang w:val="en-AU"/>
        </w:rPr>
        <w:t> </w:t>
      </w:r>
      <w:r w:rsidRPr="00B93AAB">
        <w:rPr>
          <w:lang w:val="en-AU"/>
        </w:rPr>
        <w:t xml:space="preserve">million (nominal) carried over from the </w:t>
      </w:r>
      <w:r w:rsidR="00ED23D2" w:rsidRPr="00B93AAB">
        <w:rPr>
          <w:lang w:val="en-AU"/>
        </w:rPr>
        <w:t xml:space="preserve">cost </w:t>
      </w:r>
      <w:r w:rsidRPr="00B93AAB">
        <w:rPr>
          <w:lang w:val="en-AU"/>
        </w:rPr>
        <w:t>pass through f</w:t>
      </w:r>
      <w:r w:rsidR="00441CE6">
        <w:rPr>
          <w:lang w:val="en-AU"/>
        </w:rPr>
        <w:t>or</w:t>
      </w:r>
      <w:r w:rsidRPr="00B93AAB">
        <w:rPr>
          <w:lang w:val="en-AU"/>
        </w:rPr>
        <w:t xml:space="preserve"> the implementation of the Davies Review recommendations approved by the Commission in </w:t>
      </w:r>
      <w:r w:rsidR="006A4864" w:rsidRPr="00B93AAB">
        <w:rPr>
          <w:lang w:val="en-AU"/>
        </w:rPr>
        <w:t>May </w:t>
      </w:r>
      <w:r w:rsidRPr="00C64801">
        <w:rPr>
          <w:lang w:val="en-AU"/>
        </w:rPr>
        <w:t>2013</w:t>
      </w:r>
      <w:r w:rsidR="00035DCE" w:rsidRPr="00B93AAB">
        <w:rPr>
          <w:rStyle w:val="FootnoteReference"/>
          <w:lang w:val="en-AU"/>
        </w:rPr>
        <w:footnoteReference w:id="10"/>
      </w:r>
      <w:r w:rsidR="009D0F4D">
        <w:rPr>
          <w:lang w:val="en-AU"/>
        </w:rPr>
        <w:t>.</w:t>
      </w:r>
    </w:p>
    <w:p w14:paraId="0E379184" w14:textId="067BB743" w:rsidR="00452059" w:rsidRPr="004F7D97" w:rsidRDefault="00452059" w:rsidP="000E6AF3">
      <w:pPr>
        <w:pStyle w:val="NumberLevel2"/>
        <w:numPr>
          <w:ilvl w:val="1"/>
          <w:numId w:val="5"/>
        </w:numPr>
        <w:tabs>
          <w:tab w:val="num" w:pos="709"/>
        </w:tabs>
        <w:ind w:left="709" w:hanging="709"/>
        <w:rPr>
          <w:lang w:val="en-AU"/>
        </w:rPr>
      </w:pPr>
      <w:r w:rsidRPr="00C64801">
        <w:rPr>
          <w:lang w:val="en-AU"/>
        </w:rPr>
        <w:t xml:space="preserve">The approved total revenue </w:t>
      </w:r>
      <w:r w:rsidR="00ED23D2" w:rsidRPr="00B52ECB">
        <w:rPr>
          <w:lang w:val="en-AU"/>
        </w:rPr>
        <w:t xml:space="preserve">requirement </w:t>
      </w:r>
      <w:r w:rsidRPr="00B52ECB">
        <w:rPr>
          <w:lang w:val="en-AU"/>
        </w:rPr>
        <w:t xml:space="preserve">is </w:t>
      </w:r>
      <w:r w:rsidR="003261B8">
        <w:rPr>
          <w:lang w:val="en-AU"/>
        </w:rPr>
        <w:t>$181.</w:t>
      </w:r>
      <w:r w:rsidR="00035DCE">
        <w:rPr>
          <w:lang w:val="en-AU"/>
        </w:rPr>
        <w:t>3</w:t>
      </w:r>
      <w:r w:rsidR="00834FA2" w:rsidRPr="00B93AAB">
        <w:rPr>
          <w:lang w:val="en-AU"/>
        </w:rPr>
        <w:t> </w:t>
      </w:r>
      <w:r w:rsidRPr="00B93AAB">
        <w:rPr>
          <w:lang w:val="en-AU"/>
        </w:rPr>
        <w:t xml:space="preserve">million less than the </w:t>
      </w:r>
      <w:r w:rsidR="00056708" w:rsidRPr="00B93AAB">
        <w:rPr>
          <w:lang w:val="en-AU"/>
        </w:rPr>
        <w:t>$1</w:t>
      </w:r>
      <w:r w:rsidR="00035DCE">
        <w:rPr>
          <w:lang w:val="en-AU"/>
        </w:rPr>
        <w:t> 215.6</w:t>
      </w:r>
      <w:r w:rsidR="00834FA2" w:rsidRPr="00C64801">
        <w:rPr>
          <w:lang w:val="en-AU"/>
        </w:rPr>
        <w:t> </w:t>
      </w:r>
      <w:r w:rsidRPr="00B52ECB">
        <w:rPr>
          <w:lang w:val="en-AU"/>
        </w:rPr>
        <w:t>million (</w:t>
      </w:r>
      <w:r w:rsidR="00035DCE">
        <w:rPr>
          <w:lang w:val="en-AU"/>
        </w:rPr>
        <w:t>in</w:t>
      </w:r>
      <w:r w:rsidRPr="00B52ECB">
        <w:rPr>
          <w:lang w:val="en-AU"/>
        </w:rPr>
        <w:t xml:space="preserve">clusive of the </w:t>
      </w:r>
      <w:r w:rsidR="00ED23D2" w:rsidRPr="00B52ECB">
        <w:rPr>
          <w:lang w:val="en-AU"/>
        </w:rPr>
        <w:t xml:space="preserve">May 2013 </w:t>
      </w:r>
      <w:r w:rsidRPr="00B52ECB">
        <w:rPr>
          <w:lang w:val="en-AU"/>
        </w:rPr>
        <w:t>cost pass through) sought by</w:t>
      </w:r>
      <w:r w:rsidRPr="00AE72B5">
        <w:rPr>
          <w:lang w:val="en-AU"/>
        </w:rPr>
        <w:t xml:space="preserve"> </w:t>
      </w:r>
      <w:r w:rsidR="00056708" w:rsidRPr="00AE72B5">
        <w:rPr>
          <w:lang w:val="en-AU"/>
        </w:rPr>
        <w:t>PWC</w:t>
      </w:r>
      <w:r w:rsidR="00056708" w:rsidRPr="005B1AF3">
        <w:rPr>
          <w:lang w:val="en-AU"/>
        </w:rPr>
        <w:t> </w:t>
      </w:r>
      <w:r w:rsidRPr="005B1AF3">
        <w:rPr>
          <w:lang w:val="en-AU"/>
        </w:rPr>
        <w:t xml:space="preserve">Networks in its </w:t>
      </w:r>
      <w:r w:rsidR="00834FA2" w:rsidRPr="00795AEF">
        <w:rPr>
          <w:lang w:val="en-AU"/>
        </w:rPr>
        <w:t xml:space="preserve">revised </w:t>
      </w:r>
      <w:r w:rsidRPr="004F7D97">
        <w:rPr>
          <w:lang w:val="en-AU"/>
        </w:rPr>
        <w:t xml:space="preserve">regulatory proposal. </w:t>
      </w:r>
    </w:p>
    <w:p w14:paraId="04D61DCB" w14:textId="11EDA4FC" w:rsidR="006E370C" w:rsidRDefault="00452059" w:rsidP="000E6AF3">
      <w:pPr>
        <w:pStyle w:val="NumberLevel2"/>
        <w:numPr>
          <w:ilvl w:val="1"/>
          <w:numId w:val="5"/>
        </w:numPr>
        <w:tabs>
          <w:tab w:val="num" w:pos="709"/>
        </w:tabs>
        <w:ind w:left="709" w:hanging="709"/>
        <w:rPr>
          <w:lang w:val="en-AU"/>
        </w:rPr>
      </w:pPr>
      <w:r>
        <w:rPr>
          <w:lang w:val="en-AU"/>
        </w:rPr>
        <w:t>The Commission has established a revenue path, of the CPI</w:t>
      </w:r>
      <w:r w:rsidR="00D63D79">
        <w:rPr>
          <w:lang w:val="en-AU"/>
        </w:rPr>
        <w:t xml:space="preserve"> minus </w:t>
      </w:r>
      <w:r>
        <w:rPr>
          <w:lang w:val="en-AU"/>
        </w:rPr>
        <w:t>X form,</w:t>
      </w:r>
      <w:r w:rsidR="00E149C6">
        <w:rPr>
          <w:lang w:val="en-AU"/>
        </w:rPr>
        <w:t xml:space="preserve"> which </w:t>
      </w:r>
      <w:r>
        <w:rPr>
          <w:lang w:val="en-AU"/>
        </w:rPr>
        <w:t xml:space="preserve">is consistent with the approved total revenue </w:t>
      </w:r>
      <w:r w:rsidR="00ED23D2">
        <w:rPr>
          <w:lang w:val="en-AU"/>
        </w:rPr>
        <w:t>requirement</w:t>
      </w:r>
      <w:r>
        <w:rPr>
          <w:lang w:val="en-AU"/>
        </w:rPr>
        <w:t xml:space="preserve">. </w:t>
      </w:r>
      <w:r w:rsidR="006E370C">
        <w:rPr>
          <w:lang w:val="en-AU"/>
        </w:rPr>
        <w:t xml:space="preserve">To minimise the price shock for </w:t>
      </w:r>
      <w:r w:rsidR="00ED23D2">
        <w:rPr>
          <w:lang w:val="en-AU"/>
        </w:rPr>
        <w:t>retail customers</w:t>
      </w:r>
      <w:r w:rsidR="006E370C">
        <w:rPr>
          <w:lang w:val="en-AU"/>
        </w:rPr>
        <w:t xml:space="preserve">, the revenue path has been set to phase in the required </w:t>
      </w:r>
      <w:r w:rsidR="00ED23D2">
        <w:rPr>
          <w:lang w:val="en-AU"/>
        </w:rPr>
        <w:t xml:space="preserve">reference </w:t>
      </w:r>
      <w:r w:rsidR="006E370C">
        <w:rPr>
          <w:lang w:val="en-AU"/>
        </w:rPr>
        <w:t xml:space="preserve">tariff increases over the initial </w:t>
      </w:r>
      <w:r w:rsidR="00ED23D2">
        <w:rPr>
          <w:lang w:val="en-AU"/>
        </w:rPr>
        <w:t xml:space="preserve">regulatory </w:t>
      </w:r>
      <w:r w:rsidR="006E370C">
        <w:rPr>
          <w:lang w:val="en-AU"/>
        </w:rPr>
        <w:t xml:space="preserve">years of the </w:t>
      </w:r>
      <w:r w:rsidR="00ED23D2">
        <w:rPr>
          <w:lang w:val="en-AU"/>
        </w:rPr>
        <w:t xml:space="preserve">2014-19 </w:t>
      </w:r>
      <w:r w:rsidR="006E370C">
        <w:rPr>
          <w:lang w:val="en-AU"/>
        </w:rPr>
        <w:t xml:space="preserve">regulatory control period. </w:t>
      </w:r>
    </w:p>
    <w:p w14:paraId="2541A800" w14:textId="3EAFD19C" w:rsidR="00452059" w:rsidRPr="00E93CA6" w:rsidRDefault="00452059" w:rsidP="000E6AF3">
      <w:pPr>
        <w:pStyle w:val="NumberLevel2"/>
        <w:numPr>
          <w:ilvl w:val="1"/>
          <w:numId w:val="5"/>
        </w:numPr>
        <w:tabs>
          <w:tab w:val="num" w:pos="709"/>
        </w:tabs>
        <w:ind w:left="709" w:hanging="709"/>
        <w:rPr>
          <w:lang w:val="en-AU"/>
        </w:rPr>
      </w:pPr>
      <w:r>
        <w:rPr>
          <w:lang w:val="en-AU"/>
        </w:rPr>
        <w:t xml:space="preserve">Under the approved revenue path, </w:t>
      </w:r>
      <w:r w:rsidR="00E36181">
        <w:rPr>
          <w:lang w:val="en-AU"/>
        </w:rPr>
        <w:t>PWC </w:t>
      </w:r>
      <w:r>
        <w:rPr>
          <w:lang w:val="en-AU"/>
        </w:rPr>
        <w:t>Networks’</w:t>
      </w:r>
      <w:r w:rsidRPr="00CE6F2D">
        <w:rPr>
          <w:lang w:val="en-AU"/>
        </w:rPr>
        <w:t xml:space="preserve"> </w:t>
      </w:r>
      <w:r w:rsidR="000012AA">
        <w:rPr>
          <w:lang w:val="en-AU"/>
        </w:rPr>
        <w:t xml:space="preserve">annual revenue </w:t>
      </w:r>
      <w:r w:rsidR="00090A5C">
        <w:rPr>
          <w:lang w:val="en-AU"/>
        </w:rPr>
        <w:t>requirement</w:t>
      </w:r>
      <w:r w:rsidRPr="00CE6F2D">
        <w:rPr>
          <w:lang w:val="en-AU"/>
        </w:rPr>
        <w:t xml:space="preserve"> </w:t>
      </w:r>
      <w:r w:rsidR="006E370C">
        <w:rPr>
          <w:lang w:val="en-AU"/>
        </w:rPr>
        <w:t>will</w:t>
      </w:r>
      <w:r w:rsidR="006E370C" w:rsidRPr="00CE6F2D">
        <w:rPr>
          <w:lang w:val="en-AU"/>
        </w:rPr>
        <w:t xml:space="preserve"> </w:t>
      </w:r>
      <w:r w:rsidRPr="00CE6F2D">
        <w:rPr>
          <w:lang w:val="en-AU"/>
        </w:rPr>
        <w:t xml:space="preserve">increase in nominal terms </w:t>
      </w:r>
      <w:r w:rsidRPr="00353169">
        <w:rPr>
          <w:lang w:val="en-AU"/>
        </w:rPr>
        <w:t xml:space="preserve">by </w:t>
      </w:r>
      <w:r w:rsidR="006E370C">
        <w:rPr>
          <w:lang w:val="en-AU"/>
        </w:rPr>
        <w:t>CPI plus</w:t>
      </w:r>
      <w:r w:rsidR="002E120A">
        <w:rPr>
          <w:lang w:val="en-AU"/>
        </w:rPr>
        <w:t xml:space="preserve"> </w:t>
      </w:r>
      <w:r w:rsidR="00B93AAB">
        <w:rPr>
          <w:lang w:val="en-AU"/>
        </w:rPr>
        <w:t>29.8 </w:t>
      </w:r>
      <w:r w:rsidR="006A4864" w:rsidRPr="00353169">
        <w:rPr>
          <w:lang w:val="en-AU"/>
        </w:rPr>
        <w:t>per</w:t>
      </w:r>
      <w:r w:rsidR="006A4864">
        <w:rPr>
          <w:lang w:val="en-AU"/>
        </w:rPr>
        <w:t> </w:t>
      </w:r>
      <w:r w:rsidRPr="00CE6F2D">
        <w:rPr>
          <w:lang w:val="en-AU"/>
        </w:rPr>
        <w:t xml:space="preserve">cent </w:t>
      </w:r>
      <w:r>
        <w:rPr>
          <w:lang w:val="en-AU"/>
        </w:rPr>
        <w:t xml:space="preserve">in </w:t>
      </w:r>
      <w:r w:rsidR="000012AA">
        <w:rPr>
          <w:lang w:val="en-AU"/>
        </w:rPr>
        <w:t xml:space="preserve">the </w:t>
      </w:r>
      <w:r>
        <w:rPr>
          <w:lang w:val="en-AU"/>
        </w:rPr>
        <w:t>2014</w:t>
      </w:r>
      <w:r w:rsidR="00971EC0">
        <w:rPr>
          <w:lang w:val="en-AU"/>
        </w:rPr>
        <w:t>-</w:t>
      </w:r>
      <w:r>
        <w:rPr>
          <w:lang w:val="en-AU"/>
        </w:rPr>
        <w:t xml:space="preserve">15 </w:t>
      </w:r>
      <w:r w:rsidR="000012AA">
        <w:rPr>
          <w:lang w:val="en-AU"/>
        </w:rPr>
        <w:t xml:space="preserve">regulatory year </w:t>
      </w:r>
      <w:r w:rsidRPr="00CE6F2D">
        <w:rPr>
          <w:lang w:val="en-AU"/>
        </w:rPr>
        <w:t xml:space="preserve">compared to the </w:t>
      </w:r>
      <w:r w:rsidR="000012AA">
        <w:rPr>
          <w:lang w:val="en-AU"/>
        </w:rPr>
        <w:t>2013-14 regulatory</w:t>
      </w:r>
      <w:r w:rsidR="000012AA" w:rsidRPr="00CE6F2D">
        <w:rPr>
          <w:lang w:val="en-AU"/>
        </w:rPr>
        <w:t xml:space="preserve"> </w:t>
      </w:r>
      <w:r w:rsidRPr="00CE6F2D">
        <w:rPr>
          <w:lang w:val="en-AU"/>
        </w:rPr>
        <w:t xml:space="preserve">year. For the remaining four </w:t>
      </w:r>
      <w:r w:rsidR="000012AA">
        <w:rPr>
          <w:lang w:val="en-AU"/>
        </w:rPr>
        <w:t xml:space="preserve">regulatory </w:t>
      </w:r>
      <w:r w:rsidRPr="00CE6F2D">
        <w:rPr>
          <w:lang w:val="en-AU"/>
        </w:rPr>
        <w:t xml:space="preserve">years of the </w:t>
      </w:r>
      <w:r w:rsidR="000012AA">
        <w:rPr>
          <w:lang w:val="en-AU"/>
        </w:rPr>
        <w:t xml:space="preserve">2014-19 </w:t>
      </w:r>
      <w:r w:rsidRPr="00CE6F2D">
        <w:rPr>
          <w:lang w:val="en-AU"/>
        </w:rPr>
        <w:t xml:space="preserve">regulatory </w:t>
      </w:r>
      <w:r w:rsidR="00E36181">
        <w:rPr>
          <w:lang w:val="en-AU"/>
        </w:rPr>
        <w:t xml:space="preserve">control </w:t>
      </w:r>
      <w:r w:rsidRPr="00CE6F2D">
        <w:rPr>
          <w:lang w:val="en-AU"/>
        </w:rPr>
        <w:t xml:space="preserve">period, </w:t>
      </w:r>
      <w:r>
        <w:rPr>
          <w:lang w:val="en-AU"/>
        </w:rPr>
        <w:t>PWC Networks’</w:t>
      </w:r>
      <w:r w:rsidRPr="00CE6F2D">
        <w:rPr>
          <w:lang w:val="en-AU"/>
        </w:rPr>
        <w:t xml:space="preserve"> </w:t>
      </w:r>
      <w:r w:rsidR="000012AA">
        <w:rPr>
          <w:lang w:val="en-AU"/>
        </w:rPr>
        <w:t>annual revenue requirement</w:t>
      </w:r>
      <w:r w:rsidR="000012AA" w:rsidRPr="00CE6F2D">
        <w:rPr>
          <w:lang w:val="en-AU"/>
        </w:rPr>
        <w:t xml:space="preserve"> </w:t>
      </w:r>
      <w:r w:rsidR="002C29BF">
        <w:rPr>
          <w:lang w:val="en-AU"/>
        </w:rPr>
        <w:t>will</w:t>
      </w:r>
      <w:r w:rsidR="002C29BF" w:rsidRPr="00CE6F2D">
        <w:rPr>
          <w:lang w:val="en-AU"/>
        </w:rPr>
        <w:t xml:space="preserve"> </w:t>
      </w:r>
      <w:r w:rsidRPr="00CE6F2D">
        <w:rPr>
          <w:lang w:val="en-AU"/>
        </w:rPr>
        <w:t xml:space="preserve">increase in nominal </w:t>
      </w:r>
      <w:r w:rsidRPr="002E120A">
        <w:rPr>
          <w:lang w:val="en-AU"/>
        </w:rPr>
        <w:t xml:space="preserve">terms by CPI plus </w:t>
      </w:r>
      <w:r w:rsidR="003261B8">
        <w:rPr>
          <w:lang w:val="en-AU"/>
        </w:rPr>
        <w:t>8</w:t>
      </w:r>
      <w:r w:rsidR="003261B8" w:rsidRPr="002E120A">
        <w:rPr>
          <w:lang w:val="en-AU"/>
        </w:rPr>
        <w:t> </w:t>
      </w:r>
      <w:r w:rsidR="00971EC0" w:rsidRPr="002E120A">
        <w:rPr>
          <w:lang w:val="en-AU"/>
        </w:rPr>
        <w:t>per </w:t>
      </w:r>
      <w:r w:rsidRPr="002E120A">
        <w:rPr>
          <w:lang w:val="en-AU"/>
        </w:rPr>
        <w:t xml:space="preserve">cent </w:t>
      </w:r>
      <w:r w:rsidR="002C29BF" w:rsidRPr="002E120A">
        <w:rPr>
          <w:lang w:val="en-AU"/>
        </w:rPr>
        <w:t xml:space="preserve">in </w:t>
      </w:r>
      <w:r w:rsidR="000012AA">
        <w:rPr>
          <w:lang w:val="en-AU"/>
        </w:rPr>
        <w:t xml:space="preserve">the </w:t>
      </w:r>
      <w:r w:rsidR="002C29BF" w:rsidRPr="002E120A">
        <w:rPr>
          <w:lang w:val="en-AU"/>
        </w:rPr>
        <w:t xml:space="preserve">2015-16 </w:t>
      </w:r>
      <w:r w:rsidR="000012AA">
        <w:rPr>
          <w:lang w:val="en-AU"/>
        </w:rPr>
        <w:t xml:space="preserve">regulatory year </w:t>
      </w:r>
      <w:r w:rsidR="002C29BF" w:rsidRPr="002E120A">
        <w:rPr>
          <w:lang w:val="en-AU"/>
        </w:rPr>
        <w:t>and CPI plus 3</w:t>
      </w:r>
      <w:r w:rsidR="006A4864" w:rsidRPr="002E120A">
        <w:rPr>
          <w:lang w:val="en-AU"/>
        </w:rPr>
        <w:t> </w:t>
      </w:r>
      <w:r w:rsidR="002C29BF" w:rsidRPr="002E120A">
        <w:rPr>
          <w:lang w:val="en-AU"/>
        </w:rPr>
        <w:t>per</w:t>
      </w:r>
      <w:r w:rsidR="006A4864" w:rsidRPr="002E120A">
        <w:rPr>
          <w:lang w:val="en-AU"/>
        </w:rPr>
        <w:t> </w:t>
      </w:r>
      <w:r w:rsidR="002C29BF" w:rsidRPr="002E120A">
        <w:rPr>
          <w:lang w:val="en-AU"/>
        </w:rPr>
        <w:t xml:space="preserve">cent in </w:t>
      </w:r>
      <w:r w:rsidR="000012AA">
        <w:rPr>
          <w:lang w:val="en-AU"/>
        </w:rPr>
        <w:t xml:space="preserve">the </w:t>
      </w:r>
      <w:r w:rsidR="002C29BF" w:rsidRPr="002E120A">
        <w:rPr>
          <w:lang w:val="en-AU"/>
        </w:rPr>
        <w:t>2016-17</w:t>
      </w:r>
      <w:r w:rsidR="000012AA">
        <w:rPr>
          <w:lang w:val="en-AU"/>
        </w:rPr>
        <w:t xml:space="preserve"> regulatory year</w:t>
      </w:r>
      <w:r w:rsidR="00056708" w:rsidRPr="002E120A">
        <w:rPr>
          <w:lang w:val="en-AU"/>
        </w:rPr>
        <w:t>.</w:t>
      </w:r>
      <w:r w:rsidR="004F77B0" w:rsidRPr="002E120A">
        <w:rPr>
          <w:lang w:val="en-AU"/>
        </w:rPr>
        <w:t xml:space="preserve"> </w:t>
      </w:r>
      <w:r w:rsidR="00056708" w:rsidRPr="002A426A">
        <w:rPr>
          <w:lang w:val="en-AU"/>
        </w:rPr>
        <w:t>F</w:t>
      </w:r>
      <w:r w:rsidR="002C29BF" w:rsidRPr="0079238C">
        <w:rPr>
          <w:lang w:val="en-AU"/>
        </w:rPr>
        <w:t xml:space="preserve">or </w:t>
      </w:r>
      <w:r w:rsidR="000012AA">
        <w:rPr>
          <w:lang w:val="en-AU"/>
        </w:rPr>
        <w:t xml:space="preserve">the </w:t>
      </w:r>
      <w:r w:rsidR="002C29BF" w:rsidRPr="0079238C">
        <w:rPr>
          <w:lang w:val="en-AU"/>
        </w:rPr>
        <w:t>2017-18 and 2018-19</w:t>
      </w:r>
      <w:r w:rsidR="000012AA">
        <w:rPr>
          <w:lang w:val="en-AU"/>
        </w:rPr>
        <w:t xml:space="preserve"> regulatory years</w:t>
      </w:r>
      <w:r w:rsidR="002C29BF" w:rsidRPr="0079238C">
        <w:rPr>
          <w:lang w:val="en-AU"/>
        </w:rPr>
        <w:t>, PWC Networks</w:t>
      </w:r>
      <w:r w:rsidR="000012AA">
        <w:rPr>
          <w:lang w:val="en-AU"/>
        </w:rPr>
        <w:t>’</w:t>
      </w:r>
      <w:r w:rsidR="002C29BF" w:rsidRPr="0079238C">
        <w:rPr>
          <w:lang w:val="en-AU"/>
        </w:rPr>
        <w:t xml:space="preserve"> </w:t>
      </w:r>
      <w:r w:rsidR="000012AA">
        <w:rPr>
          <w:lang w:val="en-AU"/>
        </w:rPr>
        <w:t>annual revenue requirement</w:t>
      </w:r>
      <w:r w:rsidR="000012AA" w:rsidRPr="00CA459B">
        <w:rPr>
          <w:lang w:val="en-AU"/>
        </w:rPr>
        <w:t xml:space="preserve"> </w:t>
      </w:r>
      <w:r w:rsidR="0073173B" w:rsidRPr="009D184D">
        <w:rPr>
          <w:lang w:val="en-AU"/>
        </w:rPr>
        <w:t xml:space="preserve">will </w:t>
      </w:r>
      <w:r w:rsidR="002C29BF" w:rsidRPr="000C6589">
        <w:rPr>
          <w:lang w:val="en-AU"/>
        </w:rPr>
        <w:t xml:space="preserve">decrease in real terms, with nominal revenues </w:t>
      </w:r>
      <w:r w:rsidR="00176446" w:rsidRPr="000C6589">
        <w:rPr>
          <w:lang w:val="en-AU"/>
        </w:rPr>
        <w:t xml:space="preserve">to be </w:t>
      </w:r>
      <w:r w:rsidR="002C29BF" w:rsidRPr="000C6589">
        <w:rPr>
          <w:lang w:val="en-AU"/>
        </w:rPr>
        <w:t xml:space="preserve">adjusted by CPI </w:t>
      </w:r>
      <w:r w:rsidR="002C29BF" w:rsidRPr="00FD3193">
        <w:rPr>
          <w:lang w:val="en-AU"/>
        </w:rPr>
        <w:t xml:space="preserve">minus </w:t>
      </w:r>
      <w:r w:rsidR="002C29BF" w:rsidRPr="002E120A">
        <w:rPr>
          <w:lang w:val="en-AU"/>
        </w:rPr>
        <w:t>2</w:t>
      </w:r>
      <w:r w:rsidR="006A4864" w:rsidRPr="002E120A">
        <w:rPr>
          <w:lang w:val="en-AU"/>
        </w:rPr>
        <w:t> </w:t>
      </w:r>
      <w:r w:rsidR="002C29BF" w:rsidRPr="002E120A">
        <w:rPr>
          <w:lang w:val="en-AU"/>
        </w:rPr>
        <w:t>per</w:t>
      </w:r>
      <w:r w:rsidR="006A4864" w:rsidRPr="002E120A">
        <w:rPr>
          <w:lang w:val="en-AU"/>
        </w:rPr>
        <w:t> </w:t>
      </w:r>
      <w:r w:rsidR="002C29BF" w:rsidRPr="002E120A">
        <w:rPr>
          <w:lang w:val="en-AU"/>
        </w:rPr>
        <w:t xml:space="preserve">cent </w:t>
      </w:r>
      <w:r w:rsidR="000012AA">
        <w:rPr>
          <w:lang w:val="en-AU"/>
        </w:rPr>
        <w:t xml:space="preserve">for </w:t>
      </w:r>
      <w:r w:rsidR="002C29BF" w:rsidRPr="002E120A">
        <w:rPr>
          <w:lang w:val="en-AU"/>
        </w:rPr>
        <w:t xml:space="preserve">each </w:t>
      </w:r>
      <w:r w:rsidR="000012AA">
        <w:rPr>
          <w:lang w:val="en-AU"/>
        </w:rPr>
        <w:t xml:space="preserve">regulatory </w:t>
      </w:r>
      <w:r w:rsidR="002C29BF" w:rsidRPr="002E120A">
        <w:rPr>
          <w:lang w:val="en-AU"/>
        </w:rPr>
        <w:t>year</w:t>
      </w:r>
      <w:r w:rsidRPr="002E120A">
        <w:rPr>
          <w:lang w:val="en-AU"/>
        </w:rPr>
        <w:t xml:space="preserve">. </w:t>
      </w:r>
      <w:r w:rsidR="000012AA">
        <w:rPr>
          <w:lang w:val="en-AU"/>
        </w:rPr>
        <w:t>Reference tariffs</w:t>
      </w:r>
      <w:r w:rsidRPr="002E120A">
        <w:rPr>
          <w:lang w:val="en-AU"/>
        </w:rPr>
        <w:t xml:space="preserve"> </w:t>
      </w:r>
      <w:r w:rsidR="002846C8" w:rsidRPr="002E120A">
        <w:rPr>
          <w:lang w:val="en-AU"/>
        </w:rPr>
        <w:t>are expected to</w:t>
      </w:r>
      <w:r w:rsidR="002846C8" w:rsidRPr="002A426A">
        <w:rPr>
          <w:lang w:val="en-AU"/>
        </w:rPr>
        <w:t xml:space="preserve"> </w:t>
      </w:r>
      <w:r w:rsidRPr="0079238C">
        <w:rPr>
          <w:lang w:val="en-AU"/>
        </w:rPr>
        <w:t>increase on average by a</w:t>
      </w:r>
      <w:r w:rsidRPr="00CE6F2D">
        <w:rPr>
          <w:lang w:val="en-AU"/>
        </w:rPr>
        <w:t xml:space="preserve"> lower rate</w:t>
      </w:r>
      <w:r w:rsidR="00971EC0">
        <w:rPr>
          <w:lang w:val="en-AU"/>
        </w:rPr>
        <w:t>,</w:t>
      </w:r>
      <w:r w:rsidRPr="00CE6F2D">
        <w:rPr>
          <w:lang w:val="en-AU"/>
        </w:rPr>
        <w:t xml:space="preserve"> reflecting the partially offsetting effect of higher energy consumption.</w:t>
      </w:r>
    </w:p>
    <w:p w14:paraId="62D6C4C4" w14:textId="5C5A8F7B" w:rsidR="00452059" w:rsidRDefault="00452059" w:rsidP="000E6AF3">
      <w:pPr>
        <w:pStyle w:val="NumberLevel2"/>
        <w:numPr>
          <w:ilvl w:val="1"/>
          <w:numId w:val="5"/>
        </w:numPr>
        <w:tabs>
          <w:tab w:val="num" w:pos="709"/>
        </w:tabs>
        <w:ind w:left="709" w:hanging="709"/>
        <w:rPr>
          <w:lang w:val="en-AU"/>
        </w:rPr>
      </w:pPr>
      <w:r w:rsidRPr="00E93CA6">
        <w:rPr>
          <w:lang w:val="en-AU"/>
        </w:rPr>
        <w:t xml:space="preserve">The specific circumstances faced by </w:t>
      </w:r>
      <w:r>
        <w:rPr>
          <w:lang w:val="en-AU"/>
        </w:rPr>
        <w:t>PWC Networks</w:t>
      </w:r>
      <w:r w:rsidR="00E149C6">
        <w:rPr>
          <w:lang w:val="en-AU"/>
        </w:rPr>
        <w:t>,</w:t>
      </w:r>
      <w:r w:rsidRPr="00E93CA6">
        <w:rPr>
          <w:lang w:val="en-AU"/>
        </w:rPr>
        <w:t xml:space="preserve"> which justify these </w:t>
      </w:r>
      <w:r w:rsidR="000012AA">
        <w:rPr>
          <w:lang w:val="en-AU"/>
        </w:rPr>
        <w:t>revenue</w:t>
      </w:r>
      <w:r w:rsidR="000012AA" w:rsidRPr="00E93CA6">
        <w:rPr>
          <w:lang w:val="en-AU"/>
        </w:rPr>
        <w:t xml:space="preserve"> </w:t>
      </w:r>
      <w:r w:rsidRPr="00E93CA6">
        <w:rPr>
          <w:lang w:val="en-AU"/>
        </w:rPr>
        <w:t>increases</w:t>
      </w:r>
      <w:r w:rsidR="00E149C6">
        <w:rPr>
          <w:lang w:val="en-AU"/>
        </w:rPr>
        <w:t>,</w:t>
      </w:r>
      <w:r w:rsidRPr="00E93CA6">
        <w:rPr>
          <w:lang w:val="en-AU"/>
        </w:rPr>
        <w:t xml:space="preserve"> are discussed in this </w:t>
      </w:r>
      <w:r w:rsidR="000012AA">
        <w:rPr>
          <w:lang w:val="en-AU"/>
        </w:rPr>
        <w:t>Statement of Reasons</w:t>
      </w:r>
      <w:r w:rsidRPr="00E93CA6">
        <w:rPr>
          <w:lang w:val="en-AU"/>
        </w:rPr>
        <w:t>.</w:t>
      </w:r>
    </w:p>
    <w:p w14:paraId="784FDD03" w14:textId="6373B86E" w:rsidR="00C45FA4" w:rsidRDefault="00452059" w:rsidP="000E6AF3">
      <w:pPr>
        <w:pStyle w:val="NumberLevel2"/>
        <w:numPr>
          <w:ilvl w:val="1"/>
          <w:numId w:val="5"/>
        </w:numPr>
        <w:tabs>
          <w:tab w:val="num" w:pos="709"/>
        </w:tabs>
        <w:ind w:left="709" w:hanging="709"/>
        <w:rPr>
          <w:lang w:val="en-AU"/>
        </w:rPr>
      </w:pPr>
      <w:r>
        <w:rPr>
          <w:lang w:val="en-AU"/>
        </w:rPr>
        <w:t xml:space="preserve">The Commission has considered individual projects and lines of expenditure in determining PWC Networks’ efficient </w:t>
      </w:r>
      <w:r w:rsidR="00C45FA4">
        <w:rPr>
          <w:lang w:val="en-AU"/>
        </w:rPr>
        <w:t xml:space="preserve">annual revenue </w:t>
      </w:r>
      <w:r>
        <w:rPr>
          <w:lang w:val="en-AU"/>
        </w:rPr>
        <w:t xml:space="preserve">requirements for the </w:t>
      </w:r>
      <w:r w:rsidR="00056708">
        <w:rPr>
          <w:lang w:val="en-AU"/>
        </w:rPr>
        <w:t xml:space="preserve">2014-19 </w:t>
      </w:r>
      <w:r>
        <w:rPr>
          <w:lang w:val="en-AU"/>
        </w:rPr>
        <w:t xml:space="preserve">regulatory control period. </w:t>
      </w:r>
    </w:p>
    <w:p w14:paraId="644778F4" w14:textId="611A59E2" w:rsidR="00452059" w:rsidRDefault="00CB7ACE" w:rsidP="000E6AF3">
      <w:pPr>
        <w:pStyle w:val="NumberLevel2"/>
        <w:numPr>
          <w:ilvl w:val="1"/>
          <w:numId w:val="5"/>
        </w:numPr>
        <w:tabs>
          <w:tab w:val="num" w:pos="709"/>
        </w:tabs>
        <w:ind w:left="709" w:hanging="709"/>
        <w:rPr>
          <w:lang w:val="en-AU"/>
        </w:rPr>
      </w:pPr>
      <w:r>
        <w:rPr>
          <w:lang w:val="en-AU"/>
        </w:rPr>
        <w:t>T</w:t>
      </w:r>
      <w:r w:rsidR="00452059">
        <w:rPr>
          <w:lang w:val="en-AU"/>
        </w:rPr>
        <w:t xml:space="preserve">he </w:t>
      </w:r>
      <w:r w:rsidR="00C45FA4">
        <w:rPr>
          <w:lang w:val="en-AU"/>
        </w:rPr>
        <w:t>2014 Network Price</w:t>
      </w:r>
      <w:r>
        <w:rPr>
          <w:lang w:val="en-AU"/>
        </w:rPr>
        <w:t xml:space="preserve"> D</w:t>
      </w:r>
      <w:r w:rsidR="00452059">
        <w:rPr>
          <w:lang w:val="en-AU"/>
        </w:rPr>
        <w:t xml:space="preserve">etermination </w:t>
      </w:r>
      <w:r w:rsidR="00C45FA4">
        <w:rPr>
          <w:lang w:val="en-AU"/>
        </w:rPr>
        <w:t>establishes</w:t>
      </w:r>
      <w:r w:rsidR="00452059">
        <w:rPr>
          <w:lang w:val="en-AU"/>
        </w:rPr>
        <w:t xml:space="preserve"> the total revenue </w:t>
      </w:r>
      <w:r w:rsidR="00C45FA4">
        <w:rPr>
          <w:lang w:val="en-AU"/>
        </w:rPr>
        <w:t xml:space="preserve">requirement </w:t>
      </w:r>
      <w:r w:rsidR="00452059">
        <w:rPr>
          <w:lang w:val="en-AU"/>
        </w:rPr>
        <w:t xml:space="preserve">that </w:t>
      </w:r>
      <w:r w:rsidR="00C45FA4">
        <w:rPr>
          <w:lang w:val="en-AU"/>
        </w:rPr>
        <w:t xml:space="preserve">PWC Networks </w:t>
      </w:r>
      <w:r w:rsidR="00452059">
        <w:rPr>
          <w:lang w:val="en-AU"/>
        </w:rPr>
        <w:t xml:space="preserve">can recover from </w:t>
      </w:r>
      <w:r w:rsidR="00F5108F">
        <w:rPr>
          <w:lang w:val="en-AU"/>
        </w:rPr>
        <w:t xml:space="preserve">retail </w:t>
      </w:r>
      <w:r w:rsidR="00452059">
        <w:rPr>
          <w:lang w:val="en-AU"/>
        </w:rPr>
        <w:t>customers</w:t>
      </w:r>
      <w:r w:rsidR="00C45FA4">
        <w:rPr>
          <w:lang w:val="en-AU"/>
        </w:rPr>
        <w:t xml:space="preserve"> during the 2014-19 regulatory control period</w:t>
      </w:r>
      <w:r w:rsidR="00452059">
        <w:rPr>
          <w:lang w:val="en-AU"/>
        </w:rPr>
        <w:t xml:space="preserve">. It is a matter for PWC Networks to </w:t>
      </w:r>
      <w:r w:rsidR="00C45FA4">
        <w:rPr>
          <w:lang w:val="en-AU"/>
        </w:rPr>
        <w:t xml:space="preserve">efficiently </w:t>
      </w:r>
      <w:r w:rsidR="00452059">
        <w:rPr>
          <w:lang w:val="en-AU"/>
        </w:rPr>
        <w:t xml:space="preserve">manage its expenditures to ensure that it maintains </w:t>
      </w:r>
      <w:r w:rsidR="00C45FA4">
        <w:rPr>
          <w:lang w:val="en-AU"/>
        </w:rPr>
        <w:t xml:space="preserve">the </w:t>
      </w:r>
      <w:r w:rsidR="00452059">
        <w:rPr>
          <w:lang w:val="en-AU"/>
        </w:rPr>
        <w:t xml:space="preserve">quality, reliability, safety and security of electricity supply, and complies with </w:t>
      </w:r>
      <w:r w:rsidR="00C45FA4">
        <w:rPr>
          <w:lang w:val="en-AU"/>
        </w:rPr>
        <w:t xml:space="preserve">all applicable </w:t>
      </w:r>
      <w:r w:rsidR="00452059">
        <w:rPr>
          <w:lang w:val="en-AU"/>
        </w:rPr>
        <w:t xml:space="preserve">regulatory </w:t>
      </w:r>
      <w:r w:rsidR="00441CE6">
        <w:rPr>
          <w:lang w:val="en-AU"/>
        </w:rPr>
        <w:t xml:space="preserve">obligations and requirements. </w:t>
      </w:r>
    </w:p>
    <w:p w14:paraId="6B388311" w14:textId="6866AD4C" w:rsidR="00314C89" w:rsidRDefault="00452059" w:rsidP="000E6AF3">
      <w:pPr>
        <w:pStyle w:val="NumberLevel2"/>
        <w:numPr>
          <w:ilvl w:val="1"/>
          <w:numId w:val="5"/>
        </w:numPr>
        <w:tabs>
          <w:tab w:val="num" w:pos="709"/>
        </w:tabs>
        <w:ind w:left="709" w:hanging="709"/>
        <w:rPr>
          <w:lang w:val="en-AU"/>
        </w:rPr>
      </w:pPr>
      <w:r>
        <w:rPr>
          <w:lang w:val="en-AU"/>
        </w:rPr>
        <w:t xml:space="preserve">A summary of the </w:t>
      </w:r>
      <w:r w:rsidR="00971EC0">
        <w:rPr>
          <w:lang w:val="en-AU"/>
        </w:rPr>
        <w:t>constituent</w:t>
      </w:r>
      <w:r>
        <w:rPr>
          <w:lang w:val="en-AU"/>
        </w:rPr>
        <w:t xml:space="preserve"> decisions</w:t>
      </w:r>
      <w:r w:rsidR="00441CE6">
        <w:rPr>
          <w:lang w:val="en-AU"/>
        </w:rPr>
        <w:t xml:space="preserve"> made by the Commission</w:t>
      </w:r>
      <w:r w:rsidR="00A32B7A">
        <w:rPr>
          <w:lang w:val="en-AU"/>
        </w:rPr>
        <w:t xml:space="preserve"> in the </w:t>
      </w:r>
      <w:r w:rsidR="00314C89">
        <w:rPr>
          <w:lang w:val="en-AU"/>
        </w:rPr>
        <w:t>2014</w:t>
      </w:r>
      <w:r w:rsidR="00441CE6">
        <w:rPr>
          <w:lang w:val="en-AU"/>
        </w:rPr>
        <w:t> </w:t>
      </w:r>
      <w:r w:rsidR="00314C89">
        <w:rPr>
          <w:lang w:val="en-AU"/>
        </w:rPr>
        <w:t>Network Price</w:t>
      </w:r>
      <w:r w:rsidR="001745AE">
        <w:rPr>
          <w:lang w:val="en-AU"/>
        </w:rPr>
        <w:t xml:space="preserve"> </w:t>
      </w:r>
      <w:r w:rsidR="00201FD2">
        <w:rPr>
          <w:lang w:val="en-AU"/>
        </w:rPr>
        <w:t xml:space="preserve">Determination </w:t>
      </w:r>
      <w:r>
        <w:rPr>
          <w:lang w:val="en-AU"/>
        </w:rPr>
        <w:t>is outlined later in this Executive Summary. Fu</w:t>
      </w:r>
      <w:r w:rsidR="00C4401D">
        <w:rPr>
          <w:lang w:val="en-AU"/>
        </w:rPr>
        <w:t xml:space="preserve">rther </w:t>
      </w:r>
      <w:r>
        <w:rPr>
          <w:lang w:val="en-AU"/>
        </w:rPr>
        <w:t xml:space="preserve">details are provided in relevant chapters of this </w:t>
      </w:r>
      <w:r w:rsidR="00314C89">
        <w:rPr>
          <w:lang w:val="en-AU"/>
        </w:rPr>
        <w:t>Statement of Reasons</w:t>
      </w:r>
      <w:r w:rsidRPr="001C5658">
        <w:rPr>
          <w:lang w:val="en-AU"/>
        </w:rPr>
        <w:t xml:space="preserve">. </w:t>
      </w:r>
    </w:p>
    <w:p w14:paraId="432F6750" w14:textId="6451DC94" w:rsidR="00F94EB4" w:rsidRDefault="00F94EB4" w:rsidP="000E6AF3">
      <w:pPr>
        <w:pStyle w:val="NumberLevel2"/>
        <w:numPr>
          <w:ilvl w:val="1"/>
          <w:numId w:val="5"/>
        </w:numPr>
        <w:tabs>
          <w:tab w:val="num" w:pos="709"/>
        </w:tabs>
        <w:ind w:left="709" w:hanging="709"/>
        <w:rPr>
          <w:lang w:val="en-AU"/>
        </w:rPr>
      </w:pPr>
      <w:r>
        <w:rPr>
          <w:lang w:val="en-AU"/>
        </w:rPr>
        <w:t>This Statement of Reasons</w:t>
      </w:r>
      <w:r w:rsidR="00201FD2" w:rsidRPr="001C5658">
        <w:rPr>
          <w:lang w:val="en-AU"/>
        </w:rPr>
        <w:t xml:space="preserve"> </w:t>
      </w:r>
      <w:r w:rsidR="00452059" w:rsidRPr="001C5658">
        <w:rPr>
          <w:lang w:val="en-AU"/>
        </w:rPr>
        <w:t xml:space="preserve">also </w:t>
      </w:r>
      <w:r>
        <w:rPr>
          <w:lang w:val="en-AU"/>
        </w:rPr>
        <w:t>considers:</w:t>
      </w:r>
    </w:p>
    <w:p w14:paraId="31616D36" w14:textId="058DDD69" w:rsidR="00F94EB4" w:rsidRPr="00B93AAB" w:rsidRDefault="00F94EB4" w:rsidP="00B93AAB">
      <w:pPr>
        <w:pStyle w:val="UtilComBulletText"/>
        <w:tabs>
          <w:tab w:val="clear" w:pos="964"/>
          <w:tab w:val="num" w:pos="1134"/>
        </w:tabs>
        <w:ind w:left="1134" w:hanging="425"/>
      </w:pPr>
      <w:r w:rsidRPr="00B93AAB">
        <w:t>the</w:t>
      </w:r>
      <w:r w:rsidR="00452059" w:rsidRPr="00B93AAB">
        <w:t xml:space="preserve"> pricing principles and secondary price controls </w:t>
      </w:r>
      <w:r w:rsidRPr="00B93AAB">
        <w:t xml:space="preserve">that are proposed </w:t>
      </w:r>
      <w:r w:rsidR="00452059" w:rsidRPr="00B93AAB">
        <w:t xml:space="preserve">to be applied by </w:t>
      </w:r>
      <w:r w:rsidR="00E36181" w:rsidRPr="00B93AAB">
        <w:t>PWC </w:t>
      </w:r>
      <w:r w:rsidR="00452059" w:rsidRPr="00B93AAB">
        <w:t xml:space="preserve">Networks </w:t>
      </w:r>
      <w:r w:rsidRPr="00B93AAB">
        <w:t>in relation to the determination of its annual reference tariffs;</w:t>
      </w:r>
      <w:r w:rsidR="00452059" w:rsidRPr="00B93AAB">
        <w:t xml:space="preserve"> and </w:t>
      </w:r>
    </w:p>
    <w:p w14:paraId="24F81C1B" w14:textId="345328FE" w:rsidR="00452059" w:rsidRPr="00B93AAB" w:rsidRDefault="00F94EB4" w:rsidP="00B93AAB">
      <w:pPr>
        <w:pStyle w:val="UtilComBulletText"/>
        <w:tabs>
          <w:tab w:val="clear" w:pos="964"/>
          <w:tab w:val="num" w:pos="1134"/>
        </w:tabs>
        <w:ind w:left="1134" w:hanging="425"/>
      </w:pPr>
      <w:r w:rsidRPr="00B93AAB">
        <w:t xml:space="preserve">the </w:t>
      </w:r>
      <w:r w:rsidR="00452059" w:rsidRPr="00B93AAB">
        <w:t xml:space="preserve">procedures </w:t>
      </w:r>
      <w:r w:rsidRPr="00B93AAB">
        <w:t xml:space="preserve">that are proposed </w:t>
      </w:r>
      <w:r w:rsidR="00452059" w:rsidRPr="00B93AAB">
        <w:t xml:space="preserve">to be used </w:t>
      </w:r>
      <w:r w:rsidRPr="00B93AAB">
        <w:t xml:space="preserve">by PWC Networks </w:t>
      </w:r>
      <w:r w:rsidR="00452059" w:rsidRPr="00B93AAB">
        <w:t xml:space="preserve">in </w:t>
      </w:r>
      <w:r w:rsidRPr="00B93AAB">
        <w:t xml:space="preserve">relation to </w:t>
      </w:r>
      <w:r w:rsidR="00452059" w:rsidRPr="00B93AAB">
        <w:t xml:space="preserve">the determination of charges for network extensions and augmentations. </w:t>
      </w:r>
    </w:p>
    <w:p w14:paraId="5D5B0E20" w14:textId="003FACFE" w:rsidR="00452059" w:rsidRPr="006E6161" w:rsidRDefault="00452059" w:rsidP="00452059">
      <w:pPr>
        <w:pStyle w:val="UtilComHeading2"/>
      </w:pPr>
      <w:bookmarkStart w:id="14" w:name="_Toc385241434"/>
      <w:bookmarkStart w:id="15" w:name="_Toc386012986"/>
      <w:r w:rsidRPr="006E6161">
        <w:t xml:space="preserve">Impact on </w:t>
      </w:r>
      <w:r w:rsidR="00E14863">
        <w:t xml:space="preserve">Retail </w:t>
      </w:r>
      <w:bookmarkEnd w:id="14"/>
      <w:r w:rsidR="00E14863">
        <w:t>C</w:t>
      </w:r>
      <w:r w:rsidR="00E14863" w:rsidRPr="006E6161">
        <w:t>ustomers</w:t>
      </w:r>
      <w:bookmarkEnd w:id="15"/>
    </w:p>
    <w:p w14:paraId="0939C50F" w14:textId="7D8CF1AC" w:rsidR="00452059" w:rsidRPr="00F17C50" w:rsidRDefault="003A41E6" w:rsidP="004B63D8">
      <w:pPr>
        <w:pStyle w:val="NumberLevel2"/>
        <w:numPr>
          <w:ilvl w:val="1"/>
          <w:numId w:val="5"/>
        </w:numPr>
        <w:tabs>
          <w:tab w:val="num" w:pos="709"/>
        </w:tabs>
        <w:ind w:left="709" w:hanging="709"/>
        <w:rPr>
          <w:lang w:val="en-AU"/>
        </w:rPr>
      </w:pPr>
      <w:r>
        <w:rPr>
          <w:lang w:val="en-AU"/>
        </w:rPr>
        <w:t>Reference tariffs</w:t>
      </w:r>
      <w:r w:rsidR="00452059" w:rsidRPr="00F17C50">
        <w:rPr>
          <w:lang w:val="en-AU"/>
        </w:rPr>
        <w:t xml:space="preserve"> are generally paid by </w:t>
      </w:r>
      <w:r w:rsidR="00C64801">
        <w:rPr>
          <w:lang w:val="en-AU"/>
        </w:rPr>
        <w:t xml:space="preserve">electricity retailers </w:t>
      </w:r>
      <w:r w:rsidR="00452059">
        <w:rPr>
          <w:lang w:val="en-AU"/>
        </w:rPr>
        <w:t xml:space="preserve">(including </w:t>
      </w:r>
      <w:r w:rsidR="006A4864">
        <w:rPr>
          <w:lang w:val="en-AU"/>
        </w:rPr>
        <w:t>PWC </w:t>
      </w:r>
      <w:r w:rsidR="00452059">
        <w:rPr>
          <w:lang w:val="en-AU"/>
        </w:rPr>
        <w:t xml:space="preserve">Retail) to </w:t>
      </w:r>
      <w:r w:rsidR="006A4864">
        <w:rPr>
          <w:lang w:val="en-AU"/>
        </w:rPr>
        <w:t>PWC </w:t>
      </w:r>
      <w:r w:rsidR="00452059">
        <w:rPr>
          <w:lang w:val="en-AU"/>
        </w:rPr>
        <w:t xml:space="preserve">Networks, </w:t>
      </w:r>
      <w:r w:rsidR="00452059" w:rsidRPr="00F17C50">
        <w:rPr>
          <w:lang w:val="en-AU"/>
        </w:rPr>
        <w:t xml:space="preserve">and </w:t>
      </w:r>
      <w:r w:rsidR="00452059">
        <w:rPr>
          <w:lang w:val="en-AU"/>
        </w:rPr>
        <w:t xml:space="preserve">represent one component of </w:t>
      </w:r>
      <w:r w:rsidR="00452059" w:rsidRPr="00F17C50">
        <w:rPr>
          <w:lang w:val="en-AU"/>
        </w:rPr>
        <w:t>bundled electricity charges</w:t>
      </w:r>
      <w:r w:rsidR="00452059">
        <w:rPr>
          <w:lang w:val="en-AU"/>
        </w:rPr>
        <w:t>,</w:t>
      </w:r>
      <w:r w:rsidR="00452059" w:rsidRPr="00F17C50">
        <w:rPr>
          <w:lang w:val="en-AU"/>
        </w:rPr>
        <w:t xml:space="preserve"> which also include generation, system operation and retail charges.</w:t>
      </w:r>
    </w:p>
    <w:p w14:paraId="0849855A" w14:textId="4529F52E" w:rsidR="00452059" w:rsidRPr="00F17C50" w:rsidRDefault="00452059" w:rsidP="00A765A2">
      <w:pPr>
        <w:pStyle w:val="NumberLevel2"/>
        <w:numPr>
          <w:ilvl w:val="1"/>
          <w:numId w:val="5"/>
        </w:numPr>
        <w:tabs>
          <w:tab w:val="num" w:pos="709"/>
        </w:tabs>
        <w:ind w:left="709" w:hanging="709"/>
        <w:rPr>
          <w:lang w:val="en-AU"/>
        </w:rPr>
      </w:pPr>
      <w:r w:rsidRPr="00F17C50">
        <w:rPr>
          <w:lang w:val="en-AU"/>
        </w:rPr>
        <w:t xml:space="preserve">For small and medium size </w:t>
      </w:r>
      <w:r w:rsidR="003A41E6">
        <w:rPr>
          <w:lang w:val="en-AU"/>
        </w:rPr>
        <w:t xml:space="preserve">retail </w:t>
      </w:r>
      <w:r w:rsidRPr="00F17C50">
        <w:rPr>
          <w:lang w:val="en-AU"/>
        </w:rPr>
        <w:t>customers (those consuming less than 750</w:t>
      </w:r>
      <w:r w:rsidR="006A4864">
        <w:rPr>
          <w:lang w:val="en-AU"/>
        </w:rPr>
        <w:t> </w:t>
      </w:r>
      <w:r w:rsidRPr="00F17C50">
        <w:rPr>
          <w:lang w:val="en-AU"/>
        </w:rPr>
        <w:t xml:space="preserve">MWh of electricity per annum), retail </w:t>
      </w:r>
      <w:r w:rsidR="00F709A9">
        <w:rPr>
          <w:lang w:val="en-AU"/>
        </w:rPr>
        <w:t>prices</w:t>
      </w:r>
      <w:r w:rsidR="00F709A9" w:rsidRPr="00F17C50">
        <w:rPr>
          <w:lang w:val="en-AU"/>
        </w:rPr>
        <w:t xml:space="preserve"> </w:t>
      </w:r>
      <w:r w:rsidRPr="00F17C50">
        <w:rPr>
          <w:lang w:val="en-AU"/>
        </w:rPr>
        <w:t xml:space="preserve">are regulated by a </w:t>
      </w:r>
      <w:r w:rsidR="00C64801">
        <w:rPr>
          <w:lang w:val="en-AU"/>
        </w:rPr>
        <w:t xml:space="preserve">Territory Government </w:t>
      </w:r>
      <w:r w:rsidRPr="00F17C50">
        <w:rPr>
          <w:lang w:val="en-AU"/>
        </w:rPr>
        <w:t xml:space="preserve">Pricing Order which sets the maximum amount that </w:t>
      </w:r>
      <w:r w:rsidR="006A4864" w:rsidRPr="00F17C50">
        <w:rPr>
          <w:lang w:val="en-AU"/>
        </w:rPr>
        <w:t>PWC</w:t>
      </w:r>
      <w:r w:rsidR="006A4864">
        <w:rPr>
          <w:lang w:val="en-AU"/>
        </w:rPr>
        <w:t> </w:t>
      </w:r>
      <w:r>
        <w:rPr>
          <w:lang w:val="en-AU"/>
        </w:rPr>
        <w:t xml:space="preserve">Retail </w:t>
      </w:r>
      <w:r w:rsidRPr="00F17C50">
        <w:rPr>
          <w:lang w:val="en-AU"/>
        </w:rPr>
        <w:t xml:space="preserve">is able to charge these categories of </w:t>
      </w:r>
      <w:r w:rsidR="003A41E6">
        <w:rPr>
          <w:lang w:val="en-AU"/>
        </w:rPr>
        <w:t xml:space="preserve">retail </w:t>
      </w:r>
      <w:r w:rsidRPr="00F17C50">
        <w:rPr>
          <w:lang w:val="en-AU"/>
        </w:rPr>
        <w:t xml:space="preserve">customers. A change to the </w:t>
      </w:r>
      <w:r w:rsidR="003A41E6">
        <w:rPr>
          <w:lang w:val="en-AU"/>
        </w:rPr>
        <w:t>reference tariff</w:t>
      </w:r>
      <w:r w:rsidRPr="00F17C50">
        <w:rPr>
          <w:lang w:val="en-AU"/>
        </w:rPr>
        <w:t xml:space="preserve"> as a result of the </w:t>
      </w:r>
      <w:r w:rsidR="003A41E6">
        <w:rPr>
          <w:lang w:val="en-AU"/>
        </w:rPr>
        <w:t>2014 Network Price Determination</w:t>
      </w:r>
      <w:r>
        <w:rPr>
          <w:lang w:val="en-AU"/>
        </w:rPr>
        <w:t xml:space="preserve"> </w:t>
      </w:r>
      <w:r w:rsidRPr="00F17C50">
        <w:rPr>
          <w:lang w:val="en-AU"/>
        </w:rPr>
        <w:t>will not impact the current Pricing Order</w:t>
      </w:r>
      <w:r w:rsidR="003A41E6">
        <w:rPr>
          <w:lang w:val="en-AU"/>
        </w:rPr>
        <w:t xml:space="preserve"> or the retail </w:t>
      </w:r>
      <w:r w:rsidR="00F709A9">
        <w:rPr>
          <w:lang w:val="en-AU"/>
        </w:rPr>
        <w:t xml:space="preserve">prices </w:t>
      </w:r>
      <w:r w:rsidR="003A41E6">
        <w:rPr>
          <w:lang w:val="en-AU"/>
        </w:rPr>
        <w:t xml:space="preserve">that </w:t>
      </w:r>
      <w:r w:rsidR="00A32B7A">
        <w:rPr>
          <w:lang w:val="en-AU"/>
        </w:rPr>
        <w:t xml:space="preserve">PWC </w:t>
      </w:r>
      <w:r w:rsidR="003A41E6">
        <w:rPr>
          <w:lang w:val="en-AU"/>
        </w:rPr>
        <w:t>can charge these categories of retail customers</w:t>
      </w:r>
      <w:r w:rsidRPr="00F17C50">
        <w:rPr>
          <w:lang w:val="en-AU"/>
        </w:rPr>
        <w:t xml:space="preserve">. </w:t>
      </w:r>
    </w:p>
    <w:p w14:paraId="078D8A51" w14:textId="4AF70AEB" w:rsidR="00452059" w:rsidRDefault="00452059" w:rsidP="00A765A2">
      <w:pPr>
        <w:pStyle w:val="NumberLevel2"/>
        <w:numPr>
          <w:ilvl w:val="1"/>
          <w:numId w:val="5"/>
        </w:numPr>
        <w:tabs>
          <w:tab w:val="num" w:pos="709"/>
        </w:tabs>
        <w:ind w:left="709" w:hanging="709"/>
        <w:rPr>
          <w:lang w:val="en-AU"/>
        </w:rPr>
      </w:pPr>
      <w:r w:rsidRPr="00F17C50">
        <w:rPr>
          <w:lang w:val="en-AU"/>
        </w:rPr>
        <w:t xml:space="preserve">For </w:t>
      </w:r>
      <w:r w:rsidR="003A41E6">
        <w:rPr>
          <w:lang w:val="en-AU"/>
        </w:rPr>
        <w:t xml:space="preserve">retail </w:t>
      </w:r>
      <w:r w:rsidRPr="00F17C50">
        <w:rPr>
          <w:lang w:val="en-AU"/>
        </w:rPr>
        <w:t>customers on negotiated contracts (</w:t>
      </w:r>
      <w:r w:rsidR="00971EC0">
        <w:rPr>
          <w:lang w:val="en-AU"/>
        </w:rPr>
        <w:t>for example,</w:t>
      </w:r>
      <w:r w:rsidR="00971EC0" w:rsidRPr="00F17C50">
        <w:rPr>
          <w:lang w:val="en-AU"/>
        </w:rPr>
        <w:t xml:space="preserve"> </w:t>
      </w:r>
      <w:r w:rsidR="003A41E6">
        <w:rPr>
          <w:lang w:val="en-AU"/>
        </w:rPr>
        <w:t>retail</w:t>
      </w:r>
      <w:r w:rsidR="003A41E6" w:rsidRPr="00F17C50">
        <w:rPr>
          <w:lang w:val="en-AU"/>
        </w:rPr>
        <w:t xml:space="preserve"> </w:t>
      </w:r>
      <w:r w:rsidRPr="00F17C50">
        <w:rPr>
          <w:lang w:val="en-AU"/>
        </w:rPr>
        <w:t>customers consuming more than 750</w:t>
      </w:r>
      <w:r w:rsidR="006A4864">
        <w:rPr>
          <w:lang w:val="en-AU"/>
        </w:rPr>
        <w:t> </w:t>
      </w:r>
      <w:r w:rsidRPr="00F17C50">
        <w:rPr>
          <w:lang w:val="en-AU"/>
        </w:rPr>
        <w:t xml:space="preserve">MWh of electricity per annum), the size and timing of the impact </w:t>
      </w:r>
      <w:r>
        <w:rPr>
          <w:lang w:val="en-AU"/>
        </w:rPr>
        <w:t xml:space="preserve">of changes in </w:t>
      </w:r>
      <w:r w:rsidR="003A41E6">
        <w:rPr>
          <w:lang w:val="en-AU"/>
        </w:rPr>
        <w:t>reference tariffs</w:t>
      </w:r>
      <w:r>
        <w:rPr>
          <w:lang w:val="en-AU"/>
        </w:rPr>
        <w:t xml:space="preserve"> </w:t>
      </w:r>
      <w:r w:rsidRPr="00F17C50">
        <w:rPr>
          <w:lang w:val="en-AU"/>
        </w:rPr>
        <w:t xml:space="preserve">on </w:t>
      </w:r>
      <w:r w:rsidR="003A41E6">
        <w:rPr>
          <w:lang w:val="en-AU"/>
        </w:rPr>
        <w:t xml:space="preserve">the </w:t>
      </w:r>
      <w:r w:rsidRPr="00F17C50">
        <w:rPr>
          <w:lang w:val="en-AU"/>
        </w:rPr>
        <w:t xml:space="preserve">retail </w:t>
      </w:r>
      <w:r w:rsidR="00F709A9">
        <w:rPr>
          <w:lang w:val="en-AU"/>
        </w:rPr>
        <w:t>prices</w:t>
      </w:r>
      <w:r w:rsidR="00F709A9" w:rsidRPr="00F17C50">
        <w:rPr>
          <w:lang w:val="en-AU"/>
        </w:rPr>
        <w:t xml:space="preserve"> </w:t>
      </w:r>
      <w:r w:rsidR="003A41E6">
        <w:rPr>
          <w:lang w:val="en-AU"/>
        </w:rPr>
        <w:t xml:space="preserve">payable by those retail customers </w:t>
      </w:r>
      <w:r w:rsidRPr="00F17C50">
        <w:rPr>
          <w:lang w:val="en-AU"/>
        </w:rPr>
        <w:t xml:space="preserve">will </w:t>
      </w:r>
      <w:r w:rsidR="002846C8">
        <w:rPr>
          <w:lang w:val="en-AU"/>
        </w:rPr>
        <w:t xml:space="preserve">generally </w:t>
      </w:r>
      <w:r w:rsidRPr="00F17C50">
        <w:rPr>
          <w:lang w:val="en-AU"/>
        </w:rPr>
        <w:t xml:space="preserve">depend on </w:t>
      </w:r>
      <w:r w:rsidR="003A41E6">
        <w:rPr>
          <w:lang w:val="en-AU"/>
        </w:rPr>
        <w:t xml:space="preserve">the terms and conditions of each </w:t>
      </w:r>
      <w:r w:rsidRPr="00F17C50">
        <w:rPr>
          <w:lang w:val="en-AU"/>
        </w:rPr>
        <w:t xml:space="preserve">individual </w:t>
      </w:r>
      <w:r w:rsidR="003A41E6">
        <w:rPr>
          <w:lang w:val="en-AU"/>
        </w:rPr>
        <w:t xml:space="preserve">negotiated </w:t>
      </w:r>
      <w:r w:rsidRPr="00F17C50">
        <w:rPr>
          <w:lang w:val="en-AU"/>
        </w:rPr>
        <w:t>contract.</w:t>
      </w:r>
      <w:r w:rsidR="002846C8">
        <w:rPr>
          <w:lang w:val="en-AU"/>
        </w:rPr>
        <w:t xml:space="preserve"> However, f</w:t>
      </w:r>
      <w:r w:rsidR="002846C8" w:rsidRPr="002846C8">
        <w:rPr>
          <w:lang w:val="en-AU"/>
        </w:rPr>
        <w:t xml:space="preserve">or </w:t>
      </w:r>
      <w:r w:rsidR="003A41E6">
        <w:rPr>
          <w:lang w:val="en-AU"/>
        </w:rPr>
        <w:t xml:space="preserve">retail </w:t>
      </w:r>
      <w:r w:rsidR="002846C8" w:rsidRPr="002846C8">
        <w:rPr>
          <w:lang w:val="en-AU"/>
        </w:rPr>
        <w:t>customers using between 750</w:t>
      </w:r>
      <w:r w:rsidR="006A4864">
        <w:rPr>
          <w:lang w:val="en-AU"/>
        </w:rPr>
        <w:t> </w:t>
      </w:r>
      <w:r w:rsidR="002846C8" w:rsidRPr="002846C8">
        <w:rPr>
          <w:lang w:val="en-AU"/>
        </w:rPr>
        <w:t>MWh and 2</w:t>
      </w:r>
      <w:r w:rsidR="006A4864">
        <w:rPr>
          <w:lang w:val="en-AU"/>
        </w:rPr>
        <w:t> </w:t>
      </w:r>
      <w:r w:rsidR="002846C8" w:rsidRPr="002846C8">
        <w:rPr>
          <w:lang w:val="en-AU"/>
        </w:rPr>
        <w:t xml:space="preserve">GWh per annum, there is currently a </w:t>
      </w:r>
      <w:r w:rsidR="00F5108F">
        <w:rPr>
          <w:lang w:val="en-AU"/>
        </w:rPr>
        <w:t xml:space="preserve">Territory Government </w:t>
      </w:r>
      <w:r w:rsidR="002846C8" w:rsidRPr="002846C8">
        <w:rPr>
          <w:lang w:val="en-AU"/>
        </w:rPr>
        <w:t xml:space="preserve">Pricing Order in place that limits the rate at which PWC </w:t>
      </w:r>
      <w:r w:rsidR="003A41E6">
        <w:rPr>
          <w:lang w:val="en-AU"/>
        </w:rPr>
        <w:t xml:space="preserve">Retail </w:t>
      </w:r>
      <w:r w:rsidR="002846C8" w:rsidRPr="002846C8">
        <w:rPr>
          <w:lang w:val="en-AU"/>
        </w:rPr>
        <w:t xml:space="preserve">can increase an individual </w:t>
      </w:r>
      <w:r w:rsidR="003A41E6">
        <w:rPr>
          <w:lang w:val="en-AU"/>
        </w:rPr>
        <w:t xml:space="preserve">retail </w:t>
      </w:r>
      <w:r w:rsidR="002846C8" w:rsidRPr="002846C8">
        <w:rPr>
          <w:lang w:val="en-AU"/>
        </w:rPr>
        <w:t xml:space="preserve">customer’s retail </w:t>
      </w:r>
      <w:r w:rsidR="00F709A9">
        <w:rPr>
          <w:lang w:val="en-AU"/>
        </w:rPr>
        <w:t>price</w:t>
      </w:r>
      <w:r w:rsidR="002846C8">
        <w:rPr>
          <w:lang w:val="en-AU"/>
        </w:rPr>
        <w:t>.</w:t>
      </w:r>
    </w:p>
    <w:p w14:paraId="5BFFF6E1" w14:textId="05DA7B9E" w:rsidR="00452059" w:rsidRDefault="00452059" w:rsidP="00452059">
      <w:pPr>
        <w:pStyle w:val="UtilComHeading2"/>
      </w:pPr>
      <w:bookmarkStart w:id="16" w:name="_Toc385241435"/>
      <w:bookmarkStart w:id="17" w:name="_Toc386012987"/>
      <w:r w:rsidRPr="00F02511">
        <w:t xml:space="preserve">Key </w:t>
      </w:r>
      <w:r w:rsidR="009D0F4D">
        <w:t>E</w:t>
      </w:r>
      <w:r w:rsidR="009D0F4D" w:rsidRPr="00F02511">
        <w:t xml:space="preserve">xpenditure </w:t>
      </w:r>
      <w:r w:rsidR="009D0F4D">
        <w:t>D</w:t>
      </w:r>
      <w:r w:rsidR="009D0F4D" w:rsidRPr="00F02511">
        <w:t xml:space="preserve">rivers </w:t>
      </w:r>
      <w:r w:rsidRPr="00F02511">
        <w:t xml:space="preserve">and </w:t>
      </w:r>
      <w:bookmarkEnd w:id="16"/>
      <w:r w:rsidR="009D0F4D">
        <w:t>C</w:t>
      </w:r>
      <w:r w:rsidR="009D0F4D" w:rsidRPr="00F02511">
        <w:t>onsiderations</w:t>
      </w:r>
      <w:bookmarkEnd w:id="17"/>
    </w:p>
    <w:p w14:paraId="05AEEB16" w14:textId="625948FC" w:rsidR="00452059" w:rsidRDefault="00452059" w:rsidP="00A765A2">
      <w:pPr>
        <w:pStyle w:val="NumberLevel2"/>
        <w:numPr>
          <w:ilvl w:val="1"/>
          <w:numId w:val="5"/>
        </w:numPr>
        <w:tabs>
          <w:tab w:val="num" w:pos="709"/>
        </w:tabs>
        <w:ind w:left="709" w:hanging="709"/>
        <w:rPr>
          <w:lang w:val="en-AU"/>
        </w:rPr>
      </w:pPr>
      <w:r>
        <w:rPr>
          <w:lang w:val="en-AU"/>
        </w:rPr>
        <w:t>The main driver</w:t>
      </w:r>
      <w:r w:rsidR="00FC6FC5">
        <w:rPr>
          <w:lang w:val="en-AU"/>
        </w:rPr>
        <w:t>s</w:t>
      </w:r>
      <w:r>
        <w:rPr>
          <w:lang w:val="en-AU"/>
        </w:rPr>
        <w:t xml:space="preserve"> </w:t>
      </w:r>
      <w:r w:rsidRPr="00C4297F">
        <w:rPr>
          <w:lang w:val="en-AU"/>
        </w:rPr>
        <w:t xml:space="preserve">of </w:t>
      </w:r>
      <w:r>
        <w:rPr>
          <w:lang w:val="en-AU"/>
        </w:rPr>
        <w:t xml:space="preserve">the </w:t>
      </w:r>
      <w:r w:rsidRPr="00C4297F">
        <w:rPr>
          <w:lang w:val="en-AU"/>
        </w:rPr>
        <w:t xml:space="preserve">increase in </w:t>
      </w:r>
      <w:r w:rsidR="001E6003">
        <w:rPr>
          <w:lang w:val="en-AU"/>
        </w:rPr>
        <w:t>annual revenue requirements</w:t>
      </w:r>
      <w:r w:rsidRPr="00C4297F">
        <w:rPr>
          <w:lang w:val="en-AU"/>
        </w:rPr>
        <w:t xml:space="preserve"> </w:t>
      </w:r>
      <w:r>
        <w:rPr>
          <w:lang w:val="en-AU"/>
        </w:rPr>
        <w:t xml:space="preserve">are </w:t>
      </w:r>
      <w:r w:rsidR="001E6003">
        <w:rPr>
          <w:lang w:val="en-AU"/>
        </w:rPr>
        <w:t xml:space="preserve">an increase in PWC Networks’ </w:t>
      </w:r>
      <w:r>
        <w:rPr>
          <w:lang w:val="en-AU"/>
        </w:rPr>
        <w:t xml:space="preserve">operating and maintenance expenditure and </w:t>
      </w:r>
      <w:r w:rsidR="001E6003">
        <w:rPr>
          <w:lang w:val="en-AU"/>
        </w:rPr>
        <w:t xml:space="preserve">regulatory </w:t>
      </w:r>
      <w:r>
        <w:rPr>
          <w:lang w:val="en-AU"/>
        </w:rPr>
        <w:t xml:space="preserve">depreciation </w:t>
      </w:r>
      <w:r w:rsidR="001E6003">
        <w:rPr>
          <w:lang w:val="en-AU"/>
        </w:rPr>
        <w:t>allowance</w:t>
      </w:r>
      <w:r>
        <w:rPr>
          <w:lang w:val="en-AU"/>
        </w:rPr>
        <w:t>.</w:t>
      </w:r>
    </w:p>
    <w:p w14:paraId="227D5A33" w14:textId="198F3DF9" w:rsidR="00452059" w:rsidRDefault="001E6003" w:rsidP="00A765A2">
      <w:pPr>
        <w:pStyle w:val="NumberLevel2"/>
        <w:numPr>
          <w:ilvl w:val="1"/>
          <w:numId w:val="5"/>
        </w:numPr>
        <w:tabs>
          <w:tab w:val="num" w:pos="709"/>
        </w:tabs>
        <w:ind w:left="709" w:hanging="709"/>
        <w:rPr>
          <w:lang w:val="en-AU"/>
        </w:rPr>
      </w:pPr>
      <w:r>
        <w:rPr>
          <w:lang w:val="en-AU"/>
        </w:rPr>
        <w:t>In relation to the first driver, the</w:t>
      </w:r>
      <w:r w:rsidRPr="00B10826">
        <w:rPr>
          <w:lang w:val="en-AU"/>
        </w:rPr>
        <w:t xml:space="preserve"> </w:t>
      </w:r>
      <w:r w:rsidR="00452059" w:rsidRPr="00B10826">
        <w:rPr>
          <w:lang w:val="en-AU"/>
        </w:rPr>
        <w:t>Commission consider</w:t>
      </w:r>
      <w:r w:rsidR="00452059">
        <w:rPr>
          <w:lang w:val="en-AU"/>
        </w:rPr>
        <w:t xml:space="preserve">ed </w:t>
      </w:r>
      <w:r w:rsidR="00452059" w:rsidRPr="00B10826">
        <w:rPr>
          <w:lang w:val="en-AU"/>
        </w:rPr>
        <w:t xml:space="preserve">that the </w:t>
      </w:r>
      <w:r>
        <w:rPr>
          <w:lang w:val="en-AU"/>
        </w:rPr>
        <w:t>total revenue requirement</w:t>
      </w:r>
      <w:r w:rsidRPr="00B10826">
        <w:rPr>
          <w:lang w:val="en-AU"/>
        </w:rPr>
        <w:t xml:space="preserve"> </w:t>
      </w:r>
      <w:r w:rsidR="00452059" w:rsidRPr="00B10826">
        <w:rPr>
          <w:lang w:val="en-AU"/>
        </w:rPr>
        <w:t xml:space="preserve">approved in </w:t>
      </w:r>
      <w:r w:rsidR="006A4864" w:rsidRPr="00B10826">
        <w:rPr>
          <w:lang w:val="en-AU"/>
        </w:rPr>
        <w:t>March</w:t>
      </w:r>
      <w:r w:rsidR="006A4864">
        <w:rPr>
          <w:lang w:val="en-AU"/>
        </w:rPr>
        <w:t> </w:t>
      </w:r>
      <w:r w:rsidR="00452059" w:rsidRPr="00B10826">
        <w:rPr>
          <w:lang w:val="en-AU"/>
        </w:rPr>
        <w:t xml:space="preserve">2009 for the </w:t>
      </w:r>
      <w:r w:rsidR="002F6164">
        <w:rPr>
          <w:lang w:val="en-AU"/>
        </w:rPr>
        <w:t>2009-14</w:t>
      </w:r>
      <w:r w:rsidR="002F6164" w:rsidRPr="00B10826">
        <w:rPr>
          <w:lang w:val="en-AU"/>
        </w:rPr>
        <w:t xml:space="preserve"> </w:t>
      </w:r>
      <w:r w:rsidR="00452059" w:rsidRPr="00B10826">
        <w:rPr>
          <w:lang w:val="en-AU"/>
        </w:rPr>
        <w:t xml:space="preserve">regulatory control period provided sufficient funding for </w:t>
      </w:r>
      <w:r w:rsidR="002F6164" w:rsidRPr="00B10826">
        <w:rPr>
          <w:lang w:val="en-AU"/>
        </w:rPr>
        <w:t>PWC</w:t>
      </w:r>
      <w:r w:rsidR="002F6164">
        <w:rPr>
          <w:lang w:val="en-AU"/>
        </w:rPr>
        <w:t> </w:t>
      </w:r>
      <w:r w:rsidR="00452059" w:rsidRPr="00B10826">
        <w:rPr>
          <w:lang w:val="en-AU"/>
        </w:rPr>
        <w:t>Networks</w:t>
      </w:r>
      <w:r w:rsidR="00452059">
        <w:rPr>
          <w:lang w:val="en-AU"/>
        </w:rPr>
        <w:t xml:space="preserve"> </w:t>
      </w:r>
      <w:r w:rsidR="00452059" w:rsidRPr="00B10826">
        <w:rPr>
          <w:lang w:val="en-AU"/>
        </w:rPr>
        <w:t xml:space="preserve">to operate and maintain </w:t>
      </w:r>
      <w:r>
        <w:rPr>
          <w:lang w:val="en-AU"/>
        </w:rPr>
        <w:t>its electricity</w:t>
      </w:r>
      <w:r w:rsidRPr="00EB724C">
        <w:rPr>
          <w:lang w:val="en-AU"/>
        </w:rPr>
        <w:t xml:space="preserve"> </w:t>
      </w:r>
      <w:r w:rsidR="00452059" w:rsidRPr="00EB724C">
        <w:rPr>
          <w:lang w:val="en-AU"/>
        </w:rPr>
        <w:t xml:space="preserve">network, based on </w:t>
      </w:r>
      <w:r w:rsidR="006A4864" w:rsidRPr="00EB724C">
        <w:rPr>
          <w:lang w:val="en-AU"/>
        </w:rPr>
        <w:t>PWC</w:t>
      </w:r>
      <w:r w:rsidR="006A4864">
        <w:rPr>
          <w:lang w:val="en-AU"/>
        </w:rPr>
        <w:t> </w:t>
      </w:r>
      <w:r w:rsidR="00452059" w:rsidRPr="00EB724C">
        <w:rPr>
          <w:lang w:val="en-AU"/>
        </w:rPr>
        <w:t>Networks</w:t>
      </w:r>
      <w:r w:rsidR="00452059">
        <w:rPr>
          <w:lang w:val="en-AU"/>
        </w:rPr>
        <w:t>’</w:t>
      </w:r>
      <w:r w:rsidR="00452059" w:rsidRPr="00EB724C">
        <w:rPr>
          <w:lang w:val="en-AU"/>
        </w:rPr>
        <w:t xml:space="preserve"> practices at the time.</w:t>
      </w:r>
      <w:r w:rsidR="00452059">
        <w:rPr>
          <w:lang w:val="en-AU"/>
        </w:rPr>
        <w:t xml:space="preserve"> </w:t>
      </w:r>
      <w:r w:rsidR="00452059" w:rsidRPr="00B10826">
        <w:rPr>
          <w:lang w:val="en-AU"/>
        </w:rPr>
        <w:t xml:space="preserve">However, since that time, </w:t>
      </w:r>
      <w:r w:rsidR="00427DE3">
        <w:rPr>
          <w:lang w:val="en-AU"/>
        </w:rPr>
        <w:t xml:space="preserve">various </w:t>
      </w:r>
      <w:r w:rsidR="00452059" w:rsidRPr="00B10826">
        <w:rPr>
          <w:lang w:val="en-AU"/>
        </w:rPr>
        <w:t xml:space="preserve">shortcomings in </w:t>
      </w:r>
      <w:r w:rsidR="006A4864" w:rsidRPr="00B10826">
        <w:rPr>
          <w:lang w:val="en-AU"/>
        </w:rPr>
        <w:t>PWC</w:t>
      </w:r>
      <w:r w:rsidR="006A4864">
        <w:rPr>
          <w:lang w:val="en-AU"/>
        </w:rPr>
        <w:t> </w:t>
      </w:r>
      <w:r w:rsidR="00452059" w:rsidRPr="00B10826">
        <w:rPr>
          <w:lang w:val="en-AU"/>
        </w:rPr>
        <w:t>Networks</w:t>
      </w:r>
      <w:r w:rsidR="00452059">
        <w:rPr>
          <w:lang w:val="en-AU"/>
        </w:rPr>
        <w:t>’</w:t>
      </w:r>
      <w:r w:rsidR="00452059" w:rsidRPr="00B10826">
        <w:rPr>
          <w:lang w:val="en-AU"/>
        </w:rPr>
        <w:t xml:space="preserve"> policies, practices and procedures have been identified. </w:t>
      </w:r>
    </w:p>
    <w:p w14:paraId="3DFA1AA3" w14:textId="24A2439B" w:rsidR="00452059" w:rsidRPr="00D51D4B" w:rsidRDefault="00452059" w:rsidP="00A765A2">
      <w:pPr>
        <w:pStyle w:val="NumberLevel2"/>
        <w:numPr>
          <w:ilvl w:val="1"/>
          <w:numId w:val="5"/>
        </w:numPr>
        <w:tabs>
          <w:tab w:val="num" w:pos="709"/>
        </w:tabs>
        <w:ind w:left="709" w:hanging="709"/>
        <w:rPr>
          <w:lang w:val="en-AU"/>
        </w:rPr>
      </w:pPr>
      <w:r w:rsidRPr="00B10826">
        <w:rPr>
          <w:lang w:val="en-AU"/>
        </w:rPr>
        <w:t>The Davies Review</w:t>
      </w:r>
      <w:r>
        <w:rPr>
          <w:rStyle w:val="FootnoteReference"/>
          <w:lang w:val="en-AU"/>
        </w:rPr>
        <w:footnoteReference w:id="11"/>
      </w:r>
      <w:r w:rsidRPr="00B10826">
        <w:rPr>
          <w:lang w:val="en-AU"/>
        </w:rPr>
        <w:t xml:space="preserve">, found that </w:t>
      </w:r>
      <w:r w:rsidR="006A4864" w:rsidRPr="00B10826">
        <w:rPr>
          <w:lang w:val="en-AU"/>
        </w:rPr>
        <w:t>PWC</w:t>
      </w:r>
      <w:r w:rsidR="006A4864">
        <w:rPr>
          <w:lang w:val="en-AU"/>
        </w:rPr>
        <w:t> </w:t>
      </w:r>
      <w:r w:rsidRPr="00B10826">
        <w:rPr>
          <w:lang w:val="en-AU"/>
        </w:rPr>
        <w:t>Networks did not have in place systems and processes to co</w:t>
      </w:r>
      <w:r w:rsidRPr="00EB724C">
        <w:rPr>
          <w:lang w:val="en-AU"/>
        </w:rPr>
        <w:t xml:space="preserve">llect and analyse the information </w:t>
      </w:r>
      <w:r w:rsidR="001E6003">
        <w:rPr>
          <w:lang w:val="en-AU"/>
        </w:rPr>
        <w:t xml:space="preserve">necessary </w:t>
      </w:r>
      <w:r w:rsidRPr="00EB724C">
        <w:rPr>
          <w:lang w:val="en-AU"/>
        </w:rPr>
        <w:t xml:space="preserve">to allow it to appropriately manage and maintain its </w:t>
      </w:r>
      <w:r w:rsidR="001E6003">
        <w:rPr>
          <w:lang w:val="en-AU"/>
        </w:rPr>
        <w:t xml:space="preserve">electricity </w:t>
      </w:r>
      <w:r w:rsidRPr="00EB724C">
        <w:rPr>
          <w:lang w:val="en-AU"/>
        </w:rPr>
        <w:t xml:space="preserve">network assets, and thus lacked the systems and knowhow required to implement alternative approaches being adopted </w:t>
      </w:r>
      <w:r w:rsidR="001E6003">
        <w:rPr>
          <w:lang w:val="en-AU"/>
        </w:rPr>
        <w:t xml:space="preserve">elsewhere </w:t>
      </w:r>
      <w:r w:rsidRPr="00EB724C">
        <w:rPr>
          <w:lang w:val="en-AU"/>
        </w:rPr>
        <w:t xml:space="preserve">throughout the </w:t>
      </w:r>
      <w:r w:rsidR="001E6003">
        <w:rPr>
          <w:lang w:val="en-AU"/>
        </w:rPr>
        <w:t xml:space="preserve">electricity </w:t>
      </w:r>
      <w:r w:rsidRPr="00EB724C">
        <w:rPr>
          <w:lang w:val="en-AU"/>
        </w:rPr>
        <w:t>industry.</w:t>
      </w:r>
      <w:r>
        <w:rPr>
          <w:lang w:val="en-AU"/>
        </w:rPr>
        <w:t xml:space="preserve"> </w:t>
      </w:r>
      <w:r w:rsidRPr="00D77E3B">
        <w:rPr>
          <w:lang w:val="en-AU"/>
        </w:rPr>
        <w:t xml:space="preserve">During the </w:t>
      </w:r>
      <w:r w:rsidR="002F6164">
        <w:rPr>
          <w:lang w:val="en-AU"/>
        </w:rPr>
        <w:t>2009-14</w:t>
      </w:r>
      <w:r w:rsidR="002F6164" w:rsidRPr="00D77E3B">
        <w:rPr>
          <w:lang w:val="en-AU"/>
        </w:rPr>
        <w:t xml:space="preserve"> </w:t>
      </w:r>
      <w:r w:rsidRPr="00D77E3B">
        <w:rPr>
          <w:lang w:val="en-AU"/>
        </w:rPr>
        <w:t xml:space="preserve">regulatory control period, </w:t>
      </w:r>
      <w:r w:rsidR="006A4864" w:rsidRPr="00D77E3B">
        <w:rPr>
          <w:lang w:val="en-AU"/>
        </w:rPr>
        <w:t>PWC</w:t>
      </w:r>
      <w:r w:rsidR="006A4864">
        <w:rPr>
          <w:lang w:val="en-AU"/>
        </w:rPr>
        <w:t> </w:t>
      </w:r>
      <w:r w:rsidRPr="00D77E3B">
        <w:rPr>
          <w:lang w:val="en-AU"/>
        </w:rPr>
        <w:t xml:space="preserve">Networks </w:t>
      </w:r>
      <w:r w:rsidRPr="00896063">
        <w:rPr>
          <w:lang w:val="en-AU"/>
        </w:rPr>
        <w:t>increase</w:t>
      </w:r>
      <w:r>
        <w:rPr>
          <w:lang w:val="en-AU"/>
        </w:rPr>
        <w:t>d</w:t>
      </w:r>
      <w:r w:rsidRPr="00896063">
        <w:rPr>
          <w:lang w:val="en-AU"/>
        </w:rPr>
        <w:t xml:space="preserve"> i</w:t>
      </w:r>
      <w:r>
        <w:rPr>
          <w:lang w:val="en-AU"/>
        </w:rPr>
        <w:t>ts</w:t>
      </w:r>
      <w:r w:rsidRPr="00896063">
        <w:rPr>
          <w:lang w:val="en-AU"/>
        </w:rPr>
        <w:t xml:space="preserve"> operating and maintenance expenditure as </w:t>
      </w:r>
      <w:r w:rsidRPr="00D51D4B">
        <w:rPr>
          <w:lang w:val="en-AU"/>
        </w:rPr>
        <w:t>it move</w:t>
      </w:r>
      <w:r w:rsidR="00A32B7A">
        <w:rPr>
          <w:lang w:val="en-AU"/>
        </w:rPr>
        <w:t>d</w:t>
      </w:r>
      <w:r w:rsidRPr="00D51D4B">
        <w:rPr>
          <w:lang w:val="en-AU"/>
        </w:rPr>
        <w:t xml:space="preserve"> from a ‘run to fail’ asset management regime to a </w:t>
      </w:r>
      <w:r w:rsidR="00971EC0" w:rsidRPr="00D51D4B">
        <w:rPr>
          <w:lang w:val="en-AU"/>
        </w:rPr>
        <w:t>condition</w:t>
      </w:r>
      <w:r w:rsidR="00971EC0">
        <w:rPr>
          <w:lang w:val="en-AU"/>
        </w:rPr>
        <w:t>-</w:t>
      </w:r>
      <w:r w:rsidRPr="00D51D4B">
        <w:rPr>
          <w:lang w:val="en-AU"/>
        </w:rPr>
        <w:t xml:space="preserve">based asset management regime with increased focus on condition monitoring and preventative maintenance. </w:t>
      </w:r>
    </w:p>
    <w:p w14:paraId="3EDCBD53" w14:textId="026AAEB8" w:rsidR="00452059" w:rsidRDefault="00452059" w:rsidP="00A765A2">
      <w:pPr>
        <w:pStyle w:val="NumberLevel2"/>
        <w:numPr>
          <w:ilvl w:val="1"/>
          <w:numId w:val="5"/>
        </w:numPr>
        <w:tabs>
          <w:tab w:val="num" w:pos="709"/>
        </w:tabs>
        <w:ind w:left="709" w:hanging="709"/>
        <w:rPr>
          <w:lang w:val="en-AU"/>
        </w:rPr>
      </w:pPr>
      <w:r>
        <w:rPr>
          <w:lang w:val="en-AU"/>
        </w:rPr>
        <w:t xml:space="preserve">The Commission made some allowance for </w:t>
      </w:r>
      <w:r w:rsidR="00650C34">
        <w:rPr>
          <w:lang w:val="en-AU"/>
        </w:rPr>
        <w:t xml:space="preserve">increased </w:t>
      </w:r>
      <w:r>
        <w:rPr>
          <w:lang w:val="en-AU"/>
        </w:rPr>
        <w:t>capital</w:t>
      </w:r>
      <w:r w:rsidR="00650C34">
        <w:rPr>
          <w:lang w:val="en-AU"/>
        </w:rPr>
        <w:t xml:space="preserve"> expenditure and</w:t>
      </w:r>
      <w:r>
        <w:rPr>
          <w:lang w:val="en-AU"/>
        </w:rPr>
        <w:t xml:space="preserve"> operating and maintenance expenditure associated with implementation of the Davies Review recommendations through </w:t>
      </w:r>
      <w:r w:rsidR="00E36181">
        <w:rPr>
          <w:lang w:val="en-AU"/>
        </w:rPr>
        <w:t xml:space="preserve">the </w:t>
      </w:r>
      <w:r>
        <w:rPr>
          <w:lang w:val="en-AU"/>
        </w:rPr>
        <w:t xml:space="preserve">cost pass through approved in </w:t>
      </w:r>
      <w:r w:rsidR="00D814DB">
        <w:rPr>
          <w:lang w:val="en-AU"/>
        </w:rPr>
        <w:t>May </w:t>
      </w:r>
      <w:r>
        <w:rPr>
          <w:lang w:val="en-AU"/>
        </w:rPr>
        <w:t xml:space="preserve">2013. The Commission did not, however, approve the full amount sought by </w:t>
      </w:r>
      <w:r w:rsidR="00D814DB">
        <w:rPr>
          <w:lang w:val="en-AU"/>
        </w:rPr>
        <w:t>PWC </w:t>
      </w:r>
      <w:r>
        <w:rPr>
          <w:lang w:val="en-AU"/>
        </w:rPr>
        <w:t>Networks for what it claimed were</w:t>
      </w:r>
      <w:r w:rsidR="00F5108F">
        <w:rPr>
          <w:lang w:val="en-AU"/>
        </w:rPr>
        <w:t>:</w:t>
      </w:r>
      <w:r>
        <w:rPr>
          <w:lang w:val="en-AU"/>
        </w:rPr>
        <w:t xml:space="preserve"> </w:t>
      </w:r>
    </w:p>
    <w:p w14:paraId="3557F863" w14:textId="77777777" w:rsidR="00452059" w:rsidRDefault="00971EC0" w:rsidP="004B63D8">
      <w:pPr>
        <w:pStyle w:val="UtilComQuotationText"/>
        <w:ind w:left="1440"/>
        <w:rPr>
          <w:lang w:val="en-AU"/>
        </w:rPr>
      </w:pPr>
      <w:r>
        <w:rPr>
          <w:lang w:val="en-AU"/>
        </w:rPr>
        <w:t>…</w:t>
      </w:r>
      <w:r w:rsidR="00452059" w:rsidRPr="00B10826">
        <w:rPr>
          <w:lang w:val="en-AU"/>
        </w:rPr>
        <w:t>substantial enhancements made to the network asset management regime and the embedding of an improved maintenance cycle culture within PWC, as espoused in the Davies Review recommendations</w:t>
      </w:r>
      <w:r>
        <w:rPr>
          <w:lang w:val="en-AU"/>
        </w:rPr>
        <w:t>.</w:t>
      </w:r>
      <w:r w:rsidR="00477514">
        <w:rPr>
          <w:rStyle w:val="FootnoteReference"/>
          <w:lang w:val="en-AU"/>
        </w:rPr>
        <w:footnoteReference w:id="12"/>
      </w:r>
    </w:p>
    <w:p w14:paraId="0AE0C2A3" w14:textId="77777777" w:rsidR="00452059" w:rsidRPr="00B10826" w:rsidRDefault="00452059" w:rsidP="00A765A2">
      <w:pPr>
        <w:pStyle w:val="NumberLevel2"/>
        <w:numPr>
          <w:ilvl w:val="1"/>
          <w:numId w:val="5"/>
        </w:numPr>
        <w:tabs>
          <w:tab w:val="num" w:pos="709"/>
        </w:tabs>
        <w:ind w:left="709" w:hanging="709"/>
        <w:rPr>
          <w:lang w:val="en-AU"/>
        </w:rPr>
      </w:pPr>
      <w:r>
        <w:rPr>
          <w:lang w:val="en-AU"/>
        </w:rPr>
        <w:t xml:space="preserve">The Commission considered that </w:t>
      </w:r>
      <w:r w:rsidR="00D814DB">
        <w:rPr>
          <w:lang w:val="en-AU"/>
        </w:rPr>
        <w:t>PWC </w:t>
      </w:r>
      <w:r>
        <w:rPr>
          <w:lang w:val="en-AU"/>
        </w:rPr>
        <w:t>Networks had not provided the</w:t>
      </w:r>
      <w:r w:rsidRPr="00B10826">
        <w:rPr>
          <w:lang w:val="en-AU"/>
        </w:rPr>
        <w:t xml:space="preserve"> rigorous and detailed analysis of the actual activities undertaken, the issues these activities are </w:t>
      </w:r>
      <w:r>
        <w:rPr>
          <w:lang w:val="en-AU"/>
        </w:rPr>
        <w:t>intended</w:t>
      </w:r>
      <w:r w:rsidRPr="00B10826">
        <w:rPr>
          <w:lang w:val="en-AU"/>
        </w:rPr>
        <w:t xml:space="preserve"> to address and an assessment as to whether the objectives have been, or are likely to be, achieved</w:t>
      </w:r>
      <w:r w:rsidR="00445EE5">
        <w:rPr>
          <w:lang w:val="en-AU"/>
        </w:rPr>
        <w:t>.</w:t>
      </w:r>
    </w:p>
    <w:p w14:paraId="6B97A46E" w14:textId="66EEF8D3" w:rsidR="00452059" w:rsidRDefault="00452059" w:rsidP="00A765A2">
      <w:pPr>
        <w:pStyle w:val="NumberLevel2"/>
        <w:numPr>
          <w:ilvl w:val="1"/>
          <w:numId w:val="5"/>
        </w:numPr>
        <w:tabs>
          <w:tab w:val="num" w:pos="709"/>
        </w:tabs>
        <w:ind w:left="709" w:hanging="709"/>
        <w:rPr>
          <w:lang w:val="en-AU"/>
        </w:rPr>
      </w:pPr>
      <w:r>
        <w:rPr>
          <w:lang w:val="en-AU"/>
        </w:rPr>
        <w:t xml:space="preserve">In its </w:t>
      </w:r>
      <w:r w:rsidR="00650C34">
        <w:rPr>
          <w:lang w:val="en-AU"/>
        </w:rPr>
        <w:t xml:space="preserve">initial and revised </w:t>
      </w:r>
      <w:r>
        <w:rPr>
          <w:lang w:val="en-AU"/>
        </w:rPr>
        <w:t>regulatory proposal</w:t>
      </w:r>
      <w:r w:rsidR="00441CE6">
        <w:rPr>
          <w:lang w:val="en-AU"/>
        </w:rPr>
        <w:t>s</w:t>
      </w:r>
      <w:r w:rsidR="00445EE5">
        <w:rPr>
          <w:lang w:val="en-AU"/>
        </w:rPr>
        <w:t>,</w:t>
      </w:r>
      <w:r>
        <w:rPr>
          <w:lang w:val="en-AU"/>
        </w:rPr>
        <w:t xml:space="preserve"> </w:t>
      </w:r>
      <w:r w:rsidR="00D814DB">
        <w:rPr>
          <w:lang w:val="en-AU"/>
        </w:rPr>
        <w:t>PWC </w:t>
      </w:r>
      <w:r>
        <w:rPr>
          <w:lang w:val="en-AU"/>
        </w:rPr>
        <w:t>Networks provided detailed justification for</w:t>
      </w:r>
      <w:r w:rsidR="00441CE6">
        <w:rPr>
          <w:lang w:val="en-AU"/>
        </w:rPr>
        <w:t xml:space="preserve"> the</w:t>
      </w:r>
      <w:r>
        <w:rPr>
          <w:lang w:val="en-AU"/>
        </w:rPr>
        <w:t xml:space="preserve"> increased resources </w:t>
      </w:r>
      <w:r w:rsidRPr="00B10826">
        <w:rPr>
          <w:lang w:val="en-AU"/>
        </w:rPr>
        <w:t xml:space="preserve">necessary to achieve a more strategic focus on </w:t>
      </w:r>
      <w:r>
        <w:rPr>
          <w:lang w:val="en-AU"/>
        </w:rPr>
        <w:t>its</w:t>
      </w:r>
      <w:r w:rsidRPr="00B10826">
        <w:rPr>
          <w:lang w:val="en-AU"/>
        </w:rPr>
        <w:t xml:space="preserve"> asset management function and </w:t>
      </w:r>
      <w:r w:rsidR="00650C34">
        <w:rPr>
          <w:lang w:val="en-AU"/>
        </w:rPr>
        <w:t xml:space="preserve">other </w:t>
      </w:r>
      <w:r w:rsidRPr="00B10826">
        <w:rPr>
          <w:lang w:val="en-AU"/>
        </w:rPr>
        <w:t>essential related matters</w:t>
      </w:r>
      <w:r w:rsidR="00445EE5">
        <w:rPr>
          <w:lang w:val="en-AU"/>
        </w:rPr>
        <w:t>,</w:t>
      </w:r>
      <w:r w:rsidRPr="00B10826">
        <w:rPr>
          <w:lang w:val="en-AU"/>
        </w:rPr>
        <w:t xml:space="preserve"> such as operating</w:t>
      </w:r>
      <w:r>
        <w:rPr>
          <w:lang w:val="en-AU"/>
        </w:rPr>
        <w:t xml:space="preserve"> requirements</w:t>
      </w:r>
      <w:r w:rsidRPr="00B10826">
        <w:rPr>
          <w:lang w:val="en-AU"/>
        </w:rPr>
        <w:t xml:space="preserve">, safety and training. </w:t>
      </w:r>
      <w:r w:rsidR="00D814DB" w:rsidRPr="00B10826">
        <w:rPr>
          <w:lang w:val="en-AU"/>
        </w:rPr>
        <w:t>PWC</w:t>
      </w:r>
      <w:r w:rsidR="00D814DB">
        <w:rPr>
          <w:lang w:val="en-AU"/>
        </w:rPr>
        <w:t> </w:t>
      </w:r>
      <w:r>
        <w:rPr>
          <w:lang w:val="en-AU"/>
        </w:rPr>
        <w:t xml:space="preserve">Networks </w:t>
      </w:r>
      <w:r w:rsidRPr="00B10826">
        <w:rPr>
          <w:lang w:val="en-AU"/>
        </w:rPr>
        <w:t>also noted that additional personnel were required to plan and deliver a robust condition</w:t>
      </w:r>
      <w:r>
        <w:rPr>
          <w:lang w:val="en-AU"/>
        </w:rPr>
        <w:t>-</w:t>
      </w:r>
      <w:r w:rsidRPr="00B10826">
        <w:rPr>
          <w:lang w:val="en-AU"/>
        </w:rPr>
        <w:t xml:space="preserve">based preventative maintenance program, consistent with the </w:t>
      </w:r>
      <w:r>
        <w:rPr>
          <w:lang w:val="en-AU"/>
        </w:rPr>
        <w:t xml:space="preserve">broader recommendations provided by the </w:t>
      </w:r>
      <w:r w:rsidRPr="00B10826">
        <w:rPr>
          <w:lang w:val="en-AU"/>
        </w:rPr>
        <w:t>Davies Review.</w:t>
      </w:r>
    </w:p>
    <w:p w14:paraId="338BF929" w14:textId="65FDC6E1" w:rsidR="00452059" w:rsidRDefault="00452059" w:rsidP="00A765A2">
      <w:pPr>
        <w:pStyle w:val="NumberLevel2"/>
        <w:numPr>
          <w:ilvl w:val="1"/>
          <w:numId w:val="5"/>
        </w:numPr>
        <w:tabs>
          <w:tab w:val="num" w:pos="709"/>
        </w:tabs>
        <w:ind w:left="709" w:hanging="709"/>
        <w:rPr>
          <w:lang w:val="en-AU"/>
        </w:rPr>
      </w:pPr>
      <w:r>
        <w:rPr>
          <w:lang w:val="en-AU"/>
        </w:rPr>
        <w:t xml:space="preserve">The Commission’s </w:t>
      </w:r>
      <w:r w:rsidR="00C70BE4">
        <w:rPr>
          <w:lang w:val="en-AU"/>
        </w:rPr>
        <w:t xml:space="preserve">Final Determination </w:t>
      </w:r>
      <w:r w:rsidR="00FC6FC5">
        <w:rPr>
          <w:lang w:val="en-AU"/>
        </w:rPr>
        <w:t xml:space="preserve">provides </w:t>
      </w:r>
      <w:r w:rsidR="00D814DB">
        <w:rPr>
          <w:lang w:val="en-AU"/>
        </w:rPr>
        <w:t>PWC </w:t>
      </w:r>
      <w:r w:rsidR="00FC6FC5">
        <w:rPr>
          <w:lang w:val="en-AU"/>
        </w:rPr>
        <w:t xml:space="preserve">Networks with </w:t>
      </w:r>
      <w:r>
        <w:rPr>
          <w:lang w:val="en-AU"/>
        </w:rPr>
        <w:t xml:space="preserve">operating </w:t>
      </w:r>
      <w:r w:rsidR="00650C34">
        <w:rPr>
          <w:lang w:val="en-AU"/>
        </w:rPr>
        <w:t xml:space="preserve">and maintenance </w:t>
      </w:r>
      <w:r>
        <w:rPr>
          <w:lang w:val="en-AU"/>
        </w:rPr>
        <w:t xml:space="preserve">expenditure at a similar level to </w:t>
      </w:r>
      <w:r w:rsidR="00FC6FC5">
        <w:rPr>
          <w:lang w:val="en-AU"/>
        </w:rPr>
        <w:t xml:space="preserve">its </w:t>
      </w:r>
      <w:r>
        <w:rPr>
          <w:lang w:val="en-AU"/>
        </w:rPr>
        <w:t xml:space="preserve">actual </w:t>
      </w:r>
      <w:r w:rsidR="00650C34">
        <w:rPr>
          <w:lang w:val="en-AU"/>
        </w:rPr>
        <w:t xml:space="preserve">operating and maintenance </w:t>
      </w:r>
      <w:r>
        <w:rPr>
          <w:lang w:val="en-AU"/>
        </w:rPr>
        <w:t xml:space="preserve">expenditure in the </w:t>
      </w:r>
      <w:r w:rsidR="00650C34">
        <w:rPr>
          <w:lang w:val="en-AU"/>
        </w:rPr>
        <w:t xml:space="preserve">2009-14 </w:t>
      </w:r>
      <w:r>
        <w:rPr>
          <w:lang w:val="en-AU"/>
        </w:rPr>
        <w:t xml:space="preserve">regulatory control period, recognising the step change that has occurred since 2009, but </w:t>
      </w:r>
      <w:r w:rsidR="00445EE5">
        <w:rPr>
          <w:lang w:val="en-AU"/>
        </w:rPr>
        <w:t xml:space="preserve">provides </w:t>
      </w:r>
      <w:r>
        <w:rPr>
          <w:lang w:val="en-AU"/>
        </w:rPr>
        <w:t>little further increase</w:t>
      </w:r>
      <w:r w:rsidR="00D814DB">
        <w:rPr>
          <w:lang w:val="en-AU"/>
        </w:rPr>
        <w:t xml:space="preserve"> in real terms</w:t>
      </w:r>
      <w:r>
        <w:rPr>
          <w:lang w:val="en-AU"/>
        </w:rPr>
        <w:t xml:space="preserve">. Any additional expenditure requirements </w:t>
      </w:r>
      <w:r w:rsidR="00D814DB">
        <w:rPr>
          <w:lang w:val="en-AU"/>
        </w:rPr>
        <w:t xml:space="preserve">will </w:t>
      </w:r>
      <w:r>
        <w:rPr>
          <w:lang w:val="en-AU"/>
        </w:rPr>
        <w:t>need to be funded through efficiency improvements</w:t>
      </w:r>
      <w:r w:rsidR="00FC6FC5">
        <w:rPr>
          <w:lang w:val="en-AU"/>
        </w:rPr>
        <w:t xml:space="preserve"> or by reallocation of funds from other</w:t>
      </w:r>
      <w:r w:rsidR="00882DC8">
        <w:rPr>
          <w:lang w:val="en-AU"/>
        </w:rPr>
        <w:t xml:space="preserve"> areas</w:t>
      </w:r>
      <w:r w:rsidR="00CB7ACE">
        <w:rPr>
          <w:lang w:val="en-AU"/>
        </w:rPr>
        <w:t xml:space="preserve"> with</w:t>
      </w:r>
      <w:r w:rsidR="00AA7346">
        <w:rPr>
          <w:lang w:val="en-AU"/>
        </w:rPr>
        <w:t>in</w:t>
      </w:r>
      <w:r w:rsidR="00CB7ACE">
        <w:rPr>
          <w:lang w:val="en-AU"/>
        </w:rPr>
        <w:t xml:space="preserve"> PWC</w:t>
      </w:r>
      <w:r w:rsidR="00650C34">
        <w:rPr>
          <w:lang w:val="en-AU"/>
        </w:rPr>
        <w:t xml:space="preserve"> Networks</w:t>
      </w:r>
      <w:r>
        <w:rPr>
          <w:lang w:val="en-AU"/>
        </w:rPr>
        <w:t>.</w:t>
      </w:r>
    </w:p>
    <w:p w14:paraId="43CD53B0" w14:textId="77777777" w:rsidR="00661526" w:rsidRDefault="00661526">
      <w:pPr>
        <w:spacing w:before="0" w:after="0" w:line="240" w:lineRule="auto"/>
        <w:rPr>
          <w:rFonts w:cs="Arial"/>
          <w:spacing w:val="-14"/>
          <w:szCs w:val="22"/>
          <w:lang w:val="en-AU"/>
        </w:rPr>
      </w:pPr>
      <w:r>
        <w:rPr>
          <w:rFonts w:cs="Arial"/>
          <w:spacing w:val="-14"/>
          <w:szCs w:val="22"/>
          <w:lang w:val="en-AU"/>
        </w:rPr>
        <w:br w:type="page"/>
      </w:r>
    </w:p>
    <w:p w14:paraId="580C8837" w14:textId="78CCA46B" w:rsidR="00197E45" w:rsidRPr="00197E45" w:rsidRDefault="00197E45" w:rsidP="00197E45">
      <w:pPr>
        <w:rPr>
          <w:lang w:val="en-AU"/>
        </w:rPr>
      </w:pPr>
      <w:r w:rsidRPr="00FD5E9B">
        <w:rPr>
          <w:rFonts w:cs="Arial"/>
          <w:spacing w:val="-14"/>
          <w:szCs w:val="22"/>
          <w:lang w:val="en-AU"/>
        </w:rPr>
        <w:t xml:space="preserve">Figure </w:t>
      </w:r>
      <w:r>
        <w:rPr>
          <w:rFonts w:cs="Arial"/>
          <w:spacing w:val="-14"/>
          <w:szCs w:val="22"/>
          <w:lang w:val="en-AU"/>
        </w:rPr>
        <w:t>1</w:t>
      </w:r>
      <w:r w:rsidRPr="00FD5E9B">
        <w:rPr>
          <w:rFonts w:cs="Arial"/>
          <w:spacing w:val="-14"/>
          <w:szCs w:val="22"/>
          <w:lang w:val="en-AU"/>
        </w:rPr>
        <w:t>.1</w:t>
      </w:r>
      <w:r>
        <w:rPr>
          <w:rFonts w:cs="Arial"/>
          <w:spacing w:val="-14"/>
          <w:szCs w:val="22"/>
          <w:lang w:val="en-AU"/>
        </w:rPr>
        <w:t>:</w:t>
      </w:r>
      <w:r w:rsidRPr="00FD5E9B">
        <w:rPr>
          <w:rFonts w:cs="Arial"/>
          <w:spacing w:val="-14"/>
          <w:szCs w:val="22"/>
          <w:lang w:val="en-AU"/>
        </w:rPr>
        <w:t xml:space="preserve"> </w:t>
      </w:r>
      <w:r w:rsidR="00A32B7A">
        <w:rPr>
          <w:rFonts w:cs="Arial"/>
          <w:spacing w:val="-14"/>
          <w:szCs w:val="22"/>
          <w:lang w:val="en-AU"/>
        </w:rPr>
        <w:t>PWC Network</w:t>
      </w:r>
      <w:r w:rsidR="00661526">
        <w:rPr>
          <w:rFonts w:cs="Arial"/>
          <w:spacing w:val="-14"/>
          <w:szCs w:val="22"/>
          <w:lang w:val="en-AU"/>
        </w:rPr>
        <w:t>s</w:t>
      </w:r>
      <w:r w:rsidR="00A32B7A">
        <w:rPr>
          <w:rFonts w:cs="Arial"/>
          <w:spacing w:val="-14"/>
          <w:szCs w:val="22"/>
          <w:lang w:val="en-AU"/>
        </w:rPr>
        <w:t>’</w:t>
      </w:r>
      <w:r w:rsidR="00661526">
        <w:rPr>
          <w:rFonts w:cs="Arial"/>
          <w:spacing w:val="-14"/>
          <w:szCs w:val="22"/>
          <w:lang w:val="en-AU"/>
        </w:rPr>
        <w:t xml:space="preserve"> actual costs and revenues for the 2009-14 regulatory control period and </w:t>
      </w:r>
      <w:r w:rsidR="00441CE6">
        <w:rPr>
          <w:rFonts w:cs="Arial"/>
          <w:spacing w:val="-14"/>
          <w:szCs w:val="22"/>
          <w:lang w:val="en-AU"/>
        </w:rPr>
        <w:t xml:space="preserve">the </w:t>
      </w:r>
      <w:r w:rsidR="00661526">
        <w:rPr>
          <w:rFonts w:cs="Arial"/>
          <w:spacing w:val="-14"/>
          <w:szCs w:val="22"/>
          <w:lang w:val="en-AU"/>
        </w:rPr>
        <w:t xml:space="preserve">2014 Network Price Determination outcomes </w:t>
      </w:r>
    </w:p>
    <w:p w14:paraId="07774B16" w14:textId="50284550" w:rsidR="00661526" w:rsidRDefault="00A32B7A" w:rsidP="00661526">
      <w:pPr>
        <w:pStyle w:val="NumberLevel2"/>
        <w:tabs>
          <w:tab w:val="clear" w:pos="576"/>
          <w:tab w:val="num" w:pos="3270"/>
        </w:tabs>
        <w:ind w:left="0" w:firstLine="0"/>
        <w:rPr>
          <w:lang w:val="en-AU"/>
        </w:rPr>
      </w:pPr>
      <w:r>
        <w:rPr>
          <w:noProof/>
          <w:lang w:val="en-AU" w:eastAsia="en-AU"/>
        </w:rPr>
        <w:drawing>
          <wp:anchor distT="0" distB="0" distL="114300" distR="114300" simplePos="0" relativeHeight="251694080" behindDoc="0" locked="0" layoutInCell="1" allowOverlap="1" wp14:anchorId="2DF79A39" wp14:editId="0A791C20">
            <wp:simplePos x="0" y="0"/>
            <wp:positionH relativeFrom="column">
              <wp:posOffset>-4869</wp:posOffset>
            </wp:positionH>
            <wp:positionV relativeFrom="paragraph">
              <wp:posOffset>78105</wp:posOffset>
            </wp:positionV>
            <wp:extent cx="5858933" cy="2844800"/>
            <wp:effectExtent l="0" t="0" r="27940" b="12700"/>
            <wp:wrapNone/>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p>
    <w:p w14:paraId="18B32866" w14:textId="77777777" w:rsidR="003B273C" w:rsidRPr="003B273C" w:rsidRDefault="003B273C" w:rsidP="00BB4311">
      <w:pPr>
        <w:rPr>
          <w:lang w:val="en-AU"/>
        </w:rPr>
      </w:pPr>
    </w:p>
    <w:p w14:paraId="06883E52" w14:textId="77777777" w:rsidR="00661526" w:rsidRDefault="00661526" w:rsidP="00661526">
      <w:pPr>
        <w:pStyle w:val="NumberLevel2"/>
        <w:tabs>
          <w:tab w:val="clear" w:pos="576"/>
          <w:tab w:val="num" w:pos="3270"/>
        </w:tabs>
        <w:ind w:left="0" w:firstLine="0"/>
        <w:rPr>
          <w:lang w:val="en-AU"/>
        </w:rPr>
      </w:pPr>
    </w:p>
    <w:p w14:paraId="2474CE81" w14:textId="77777777" w:rsidR="003B273C" w:rsidRPr="003B273C" w:rsidRDefault="003B273C" w:rsidP="00BB4311">
      <w:pPr>
        <w:rPr>
          <w:lang w:val="en-AU"/>
        </w:rPr>
      </w:pPr>
    </w:p>
    <w:p w14:paraId="1230A070" w14:textId="7E1A4078" w:rsidR="003B273C" w:rsidRPr="003B273C" w:rsidRDefault="003B273C" w:rsidP="00BB4311">
      <w:pPr>
        <w:rPr>
          <w:lang w:val="en-AU"/>
        </w:rPr>
      </w:pPr>
    </w:p>
    <w:p w14:paraId="33CB9386" w14:textId="77777777" w:rsidR="00661526" w:rsidRDefault="00661526" w:rsidP="00661526">
      <w:pPr>
        <w:pStyle w:val="NumberLevel2"/>
        <w:tabs>
          <w:tab w:val="clear" w:pos="576"/>
          <w:tab w:val="num" w:pos="3270"/>
        </w:tabs>
        <w:ind w:left="0" w:firstLine="0"/>
        <w:rPr>
          <w:lang w:val="en-AU"/>
        </w:rPr>
      </w:pPr>
    </w:p>
    <w:p w14:paraId="23E75D50" w14:textId="77777777" w:rsidR="00661526" w:rsidRDefault="00661526" w:rsidP="00661526">
      <w:pPr>
        <w:pStyle w:val="NumberLevel2"/>
        <w:tabs>
          <w:tab w:val="clear" w:pos="576"/>
          <w:tab w:val="num" w:pos="3270"/>
        </w:tabs>
        <w:ind w:left="0" w:firstLine="0"/>
        <w:rPr>
          <w:lang w:val="en-AU"/>
        </w:rPr>
      </w:pPr>
    </w:p>
    <w:p w14:paraId="7DF39389" w14:textId="77777777" w:rsidR="00661526" w:rsidRDefault="00661526" w:rsidP="00661526">
      <w:pPr>
        <w:pStyle w:val="NumberLevel2"/>
        <w:tabs>
          <w:tab w:val="clear" w:pos="576"/>
          <w:tab w:val="num" w:pos="3270"/>
        </w:tabs>
        <w:ind w:left="0" w:firstLine="0"/>
        <w:rPr>
          <w:lang w:val="en-AU"/>
        </w:rPr>
      </w:pPr>
    </w:p>
    <w:p w14:paraId="046FE7EF" w14:textId="20FB3AB9" w:rsidR="00661526" w:rsidRDefault="00661526" w:rsidP="00661526">
      <w:pPr>
        <w:pStyle w:val="NumberLevel2"/>
        <w:tabs>
          <w:tab w:val="clear" w:pos="576"/>
          <w:tab w:val="num" w:pos="3270"/>
        </w:tabs>
        <w:ind w:left="0" w:firstLine="0"/>
        <w:rPr>
          <w:lang w:val="en-AU"/>
        </w:rPr>
      </w:pPr>
    </w:p>
    <w:p w14:paraId="5421645C" w14:textId="4F42B614" w:rsidR="00661526" w:rsidRDefault="00661526" w:rsidP="00661526">
      <w:pPr>
        <w:pStyle w:val="NumberLevel2"/>
        <w:tabs>
          <w:tab w:val="clear" w:pos="576"/>
          <w:tab w:val="num" w:pos="3270"/>
        </w:tabs>
        <w:ind w:left="0" w:firstLine="0"/>
        <w:rPr>
          <w:lang w:val="en-AU"/>
        </w:rPr>
      </w:pPr>
    </w:p>
    <w:p w14:paraId="20140187" w14:textId="77777777" w:rsidR="00661526" w:rsidRDefault="00661526" w:rsidP="00661526">
      <w:pPr>
        <w:pStyle w:val="NumberLevel2"/>
        <w:tabs>
          <w:tab w:val="clear" w:pos="576"/>
          <w:tab w:val="num" w:pos="3270"/>
        </w:tabs>
        <w:ind w:left="0" w:firstLine="0"/>
        <w:rPr>
          <w:lang w:val="en-AU"/>
        </w:rPr>
      </w:pPr>
    </w:p>
    <w:p w14:paraId="1E8CC50F" w14:textId="77777777" w:rsidR="004E487C" w:rsidRPr="004E487C" w:rsidRDefault="004E487C" w:rsidP="00BB4311">
      <w:pPr>
        <w:rPr>
          <w:lang w:val="en-AU"/>
        </w:rPr>
      </w:pPr>
    </w:p>
    <w:p w14:paraId="65CBA2B4" w14:textId="77777777" w:rsidR="005A3A31" w:rsidRDefault="005A3A31" w:rsidP="00BB4311">
      <w:pPr>
        <w:spacing w:before="0" w:after="0" w:line="240" w:lineRule="auto"/>
        <w:rPr>
          <w:sz w:val="16"/>
          <w:szCs w:val="16"/>
          <w:lang w:val="en-AU"/>
        </w:rPr>
      </w:pPr>
    </w:p>
    <w:p w14:paraId="14E5C598" w14:textId="6943D5B9" w:rsidR="003B273C" w:rsidRPr="00BB4311" w:rsidRDefault="004E487C" w:rsidP="00BB4311">
      <w:pPr>
        <w:rPr>
          <w:sz w:val="16"/>
          <w:szCs w:val="16"/>
          <w:lang w:val="en-AU"/>
        </w:rPr>
      </w:pPr>
      <w:r w:rsidRPr="00BB4311">
        <w:rPr>
          <w:sz w:val="16"/>
          <w:szCs w:val="16"/>
          <w:lang w:val="en-AU"/>
        </w:rPr>
        <w:t>Source: Utilities Commission</w:t>
      </w:r>
    </w:p>
    <w:p w14:paraId="6E08F8F6" w14:textId="77777777" w:rsidR="004E487C" w:rsidRPr="003B273C" w:rsidRDefault="004E487C" w:rsidP="00BB4311">
      <w:pPr>
        <w:spacing w:before="0" w:after="0" w:line="240" w:lineRule="auto"/>
        <w:rPr>
          <w:lang w:val="en-AU"/>
        </w:rPr>
      </w:pPr>
    </w:p>
    <w:p w14:paraId="1AA42E2C" w14:textId="51BD780C" w:rsidR="00452059" w:rsidRDefault="00452059" w:rsidP="00A765A2">
      <w:pPr>
        <w:pStyle w:val="NumberLevel2"/>
        <w:numPr>
          <w:ilvl w:val="1"/>
          <w:numId w:val="5"/>
        </w:numPr>
        <w:tabs>
          <w:tab w:val="num" w:pos="709"/>
        </w:tabs>
        <w:ind w:left="709" w:hanging="709"/>
        <w:rPr>
          <w:lang w:val="en-AU"/>
        </w:rPr>
      </w:pPr>
      <w:r>
        <w:rPr>
          <w:lang w:val="en-AU"/>
        </w:rPr>
        <w:t xml:space="preserve">The second </w:t>
      </w:r>
      <w:r w:rsidR="00650C34">
        <w:rPr>
          <w:lang w:val="en-AU"/>
        </w:rPr>
        <w:t>driver</w:t>
      </w:r>
      <w:r>
        <w:rPr>
          <w:lang w:val="en-AU"/>
        </w:rPr>
        <w:t xml:space="preserve"> of the increase in </w:t>
      </w:r>
      <w:r w:rsidR="00650C34">
        <w:rPr>
          <w:lang w:val="en-AU"/>
        </w:rPr>
        <w:t>the annual revenue requirement</w:t>
      </w:r>
      <w:r w:rsidR="00441CE6">
        <w:rPr>
          <w:lang w:val="en-AU"/>
        </w:rPr>
        <w:t>s</w:t>
      </w:r>
      <w:r>
        <w:rPr>
          <w:lang w:val="en-AU"/>
        </w:rPr>
        <w:t xml:space="preserve"> is the </w:t>
      </w:r>
      <w:r w:rsidR="00F5108F">
        <w:rPr>
          <w:lang w:val="en-AU"/>
        </w:rPr>
        <w:t xml:space="preserve">regulatory </w:t>
      </w:r>
      <w:r>
        <w:rPr>
          <w:lang w:val="en-AU"/>
        </w:rPr>
        <w:t xml:space="preserve">depreciation allowance. In the 2009 Network Price Determination, the annual </w:t>
      </w:r>
      <w:r w:rsidR="00650C34">
        <w:rPr>
          <w:lang w:val="en-AU"/>
        </w:rPr>
        <w:t xml:space="preserve">CPI </w:t>
      </w:r>
      <w:r>
        <w:rPr>
          <w:lang w:val="en-AU"/>
        </w:rPr>
        <w:t>effect on the opening RAB was greater than nominal straight</w:t>
      </w:r>
      <w:r w:rsidR="009F6688">
        <w:rPr>
          <w:lang w:val="en-AU"/>
        </w:rPr>
        <w:t>-</w:t>
      </w:r>
      <w:r>
        <w:rPr>
          <w:lang w:val="en-AU"/>
        </w:rPr>
        <w:t xml:space="preserve">line depreciation, so </w:t>
      </w:r>
      <w:r w:rsidR="00881921">
        <w:rPr>
          <w:lang w:val="en-AU"/>
        </w:rPr>
        <w:t xml:space="preserve">the </w:t>
      </w:r>
      <w:r>
        <w:rPr>
          <w:lang w:val="en-AU"/>
        </w:rPr>
        <w:t xml:space="preserve">regulatory depreciation </w:t>
      </w:r>
      <w:r w:rsidR="00650C34">
        <w:rPr>
          <w:lang w:val="en-AU"/>
        </w:rPr>
        <w:t xml:space="preserve">allowance </w:t>
      </w:r>
      <w:r>
        <w:rPr>
          <w:lang w:val="en-AU"/>
        </w:rPr>
        <w:t xml:space="preserve">resulted in a reduction in revenue. This effectively assumed that </w:t>
      </w:r>
      <w:r w:rsidR="00D814DB">
        <w:rPr>
          <w:lang w:val="en-AU"/>
        </w:rPr>
        <w:t>PWC </w:t>
      </w:r>
      <w:r>
        <w:rPr>
          <w:lang w:val="en-AU"/>
        </w:rPr>
        <w:t xml:space="preserve">Networks’ RAB </w:t>
      </w:r>
      <w:r w:rsidR="00650C34">
        <w:rPr>
          <w:lang w:val="en-AU"/>
        </w:rPr>
        <w:t xml:space="preserve">had </w:t>
      </w:r>
      <w:r>
        <w:rPr>
          <w:lang w:val="en-AU"/>
        </w:rPr>
        <w:t>a significant proportion of its economic life remaining.</w:t>
      </w:r>
    </w:p>
    <w:p w14:paraId="278C20B5" w14:textId="1D773E44" w:rsidR="00452059" w:rsidRPr="00C4297F" w:rsidRDefault="00D814DB" w:rsidP="00A765A2">
      <w:pPr>
        <w:pStyle w:val="NumberLevel2"/>
        <w:numPr>
          <w:ilvl w:val="1"/>
          <w:numId w:val="5"/>
        </w:numPr>
        <w:tabs>
          <w:tab w:val="num" w:pos="709"/>
        </w:tabs>
        <w:ind w:left="709" w:hanging="709"/>
        <w:rPr>
          <w:lang w:val="en-AU"/>
        </w:rPr>
      </w:pPr>
      <w:r>
        <w:rPr>
          <w:lang w:val="en-AU"/>
        </w:rPr>
        <w:t>PWC </w:t>
      </w:r>
      <w:r w:rsidR="00452059">
        <w:rPr>
          <w:lang w:val="en-AU"/>
        </w:rPr>
        <w:t xml:space="preserve">Networks has reviewed </w:t>
      </w:r>
      <w:r w:rsidR="00650C34">
        <w:rPr>
          <w:lang w:val="en-AU"/>
        </w:rPr>
        <w:t xml:space="preserve">and adjusted its </w:t>
      </w:r>
      <w:r w:rsidR="00452059" w:rsidRPr="00C4297F">
        <w:rPr>
          <w:lang w:val="en-AU"/>
        </w:rPr>
        <w:t>asset lives</w:t>
      </w:r>
      <w:r w:rsidR="00452059">
        <w:rPr>
          <w:lang w:val="en-AU"/>
        </w:rPr>
        <w:t>, with the assistance of technical consultants,</w:t>
      </w:r>
      <w:r w:rsidR="00452059" w:rsidRPr="00C4297F">
        <w:rPr>
          <w:lang w:val="en-AU"/>
        </w:rPr>
        <w:t xml:space="preserve"> to reflect a more appr</w:t>
      </w:r>
      <w:r w:rsidR="00452059">
        <w:rPr>
          <w:lang w:val="en-AU"/>
        </w:rPr>
        <w:t xml:space="preserve">opriate age profile for the RAB, resulting in an increase in the regulatory depreciation allowance to a level more consistent with </w:t>
      </w:r>
      <w:r w:rsidR="00FC6FC5">
        <w:rPr>
          <w:lang w:val="en-AU"/>
        </w:rPr>
        <w:t xml:space="preserve">that </w:t>
      </w:r>
      <w:r w:rsidR="00B61C0E">
        <w:rPr>
          <w:lang w:val="en-AU"/>
        </w:rPr>
        <w:t>allowed for</w:t>
      </w:r>
      <w:r w:rsidR="00FC6FC5">
        <w:rPr>
          <w:lang w:val="en-AU"/>
        </w:rPr>
        <w:t xml:space="preserve"> other DNSPs</w:t>
      </w:r>
      <w:r w:rsidR="00452059">
        <w:rPr>
          <w:lang w:val="en-AU"/>
        </w:rPr>
        <w:t>.</w:t>
      </w:r>
    </w:p>
    <w:p w14:paraId="45CF879C" w14:textId="1399A209" w:rsidR="00452059" w:rsidRDefault="00452059" w:rsidP="00452059">
      <w:pPr>
        <w:pStyle w:val="UtilComHeading2"/>
      </w:pPr>
      <w:bookmarkStart w:id="18" w:name="_Toc385241436"/>
      <w:bookmarkStart w:id="19" w:name="_Toc386012988"/>
      <w:r>
        <w:t xml:space="preserve">Summary of </w:t>
      </w:r>
      <w:r w:rsidR="009B51AB">
        <w:t xml:space="preserve">Constituent </w:t>
      </w:r>
      <w:bookmarkEnd w:id="18"/>
      <w:r w:rsidR="009B51AB">
        <w:t>Decisions</w:t>
      </w:r>
      <w:bookmarkEnd w:id="19"/>
      <w:r w:rsidR="009B51AB">
        <w:t xml:space="preserve"> </w:t>
      </w:r>
    </w:p>
    <w:p w14:paraId="45924CEE" w14:textId="77777777" w:rsidR="00452059" w:rsidRPr="00445EE5" w:rsidRDefault="00452059" w:rsidP="000134C4">
      <w:pPr>
        <w:pStyle w:val="UtilComHeading3"/>
        <w:rPr>
          <w:lang w:val="en-AU"/>
        </w:rPr>
      </w:pPr>
      <w:r w:rsidRPr="00445EE5">
        <w:rPr>
          <w:lang w:val="en-AU"/>
        </w:rPr>
        <w:t xml:space="preserve">Classification of services (refer Chapter </w:t>
      </w:r>
      <w:r w:rsidR="00176446">
        <w:rPr>
          <w:lang w:val="en-AU"/>
        </w:rPr>
        <w:t>3</w:t>
      </w:r>
      <w:r w:rsidR="00176446" w:rsidRPr="00445EE5">
        <w:rPr>
          <w:lang w:val="en-AU"/>
        </w:rPr>
        <w:t xml:space="preserve"> </w:t>
      </w:r>
      <w:r w:rsidRPr="00445EE5">
        <w:rPr>
          <w:lang w:val="en-AU"/>
        </w:rPr>
        <w:t>of this document)</w:t>
      </w:r>
    </w:p>
    <w:p w14:paraId="189E1776" w14:textId="22A9387C" w:rsidR="00452059" w:rsidRPr="00D77E3B" w:rsidRDefault="00B63669" w:rsidP="00307ECC">
      <w:pPr>
        <w:pStyle w:val="NumberLevel2"/>
        <w:numPr>
          <w:ilvl w:val="1"/>
          <w:numId w:val="5"/>
        </w:numPr>
        <w:tabs>
          <w:tab w:val="num" w:pos="709"/>
        </w:tabs>
        <w:ind w:left="709" w:hanging="709"/>
        <w:rPr>
          <w:lang w:val="en-AU"/>
        </w:rPr>
      </w:pPr>
      <w:r>
        <w:rPr>
          <w:lang w:val="en-AU"/>
        </w:rPr>
        <w:t xml:space="preserve">In its revised regulatory proposal, </w:t>
      </w:r>
      <w:r w:rsidR="00307ECC" w:rsidRPr="00307ECC">
        <w:rPr>
          <w:lang w:val="en-AU"/>
        </w:rPr>
        <w:t>PWC</w:t>
      </w:r>
      <w:r w:rsidR="00307ECC">
        <w:rPr>
          <w:lang w:val="en-AU"/>
        </w:rPr>
        <w:t> </w:t>
      </w:r>
      <w:r w:rsidR="00307ECC" w:rsidRPr="00307ECC">
        <w:rPr>
          <w:lang w:val="en-AU"/>
        </w:rPr>
        <w:t xml:space="preserve">Networks accepted the classification of </w:t>
      </w:r>
      <w:r w:rsidR="00895349">
        <w:rPr>
          <w:lang w:val="en-AU"/>
        </w:rPr>
        <w:t>network access</w:t>
      </w:r>
      <w:r w:rsidR="00895349" w:rsidRPr="00307ECC">
        <w:rPr>
          <w:lang w:val="en-AU"/>
        </w:rPr>
        <w:t xml:space="preserve"> </w:t>
      </w:r>
      <w:r w:rsidR="00307ECC" w:rsidRPr="00307ECC">
        <w:rPr>
          <w:lang w:val="en-AU"/>
        </w:rPr>
        <w:t>services set out in the</w:t>
      </w:r>
      <w:r>
        <w:rPr>
          <w:lang w:val="en-AU"/>
        </w:rPr>
        <w:t xml:space="preserve"> Commission’s</w:t>
      </w:r>
      <w:r w:rsidR="00307ECC" w:rsidRPr="00307ECC">
        <w:rPr>
          <w:lang w:val="en-AU"/>
        </w:rPr>
        <w:t xml:space="preserve"> </w:t>
      </w:r>
      <w:r w:rsidR="00895349">
        <w:rPr>
          <w:lang w:val="en-AU"/>
        </w:rPr>
        <w:t>Draft Determination</w:t>
      </w:r>
      <w:r w:rsidR="00307ECC" w:rsidRPr="00307ECC">
        <w:rPr>
          <w:lang w:val="en-AU"/>
        </w:rPr>
        <w:t xml:space="preserve"> except for the Commission’s decision not to classify the proposed </w:t>
      </w:r>
      <w:r w:rsidR="007B00C7">
        <w:rPr>
          <w:lang w:val="en-AU"/>
        </w:rPr>
        <w:t xml:space="preserve">charge for provision of network capacity in </w:t>
      </w:r>
      <w:r w:rsidR="00307ECC" w:rsidRPr="00307ECC">
        <w:rPr>
          <w:lang w:val="en-AU"/>
        </w:rPr>
        <w:t xml:space="preserve">excess </w:t>
      </w:r>
      <w:r w:rsidR="007B00C7">
        <w:rPr>
          <w:lang w:val="en-AU"/>
        </w:rPr>
        <w:t>of Network Technical Code requirements</w:t>
      </w:r>
      <w:r w:rsidR="00307ECC" w:rsidRPr="00307ECC">
        <w:rPr>
          <w:lang w:val="en-AU"/>
        </w:rPr>
        <w:t xml:space="preserve"> as an excluded </w:t>
      </w:r>
      <w:r w:rsidR="00895349">
        <w:rPr>
          <w:lang w:val="en-AU"/>
        </w:rPr>
        <w:t xml:space="preserve">network access </w:t>
      </w:r>
      <w:r w:rsidR="00307ECC" w:rsidRPr="00307ECC">
        <w:rPr>
          <w:lang w:val="en-AU"/>
        </w:rPr>
        <w:t xml:space="preserve">service. PWC Networks also made some modifications to the service descriptions to provide further clarification for </w:t>
      </w:r>
      <w:r w:rsidR="00895349">
        <w:rPr>
          <w:lang w:val="en-AU"/>
        </w:rPr>
        <w:t xml:space="preserve">retail </w:t>
      </w:r>
      <w:r w:rsidR="00307ECC" w:rsidRPr="00307ECC">
        <w:rPr>
          <w:lang w:val="en-AU"/>
        </w:rPr>
        <w:t>customers and improve transparency and certainty</w:t>
      </w:r>
      <w:r w:rsidR="009F6688">
        <w:rPr>
          <w:lang w:val="en-AU"/>
        </w:rPr>
        <w:t>.</w:t>
      </w:r>
    </w:p>
    <w:p w14:paraId="5C325CF0" w14:textId="411E7880" w:rsidR="007C14A7" w:rsidRDefault="007C14A7" w:rsidP="00A765A2">
      <w:pPr>
        <w:pStyle w:val="NumberLevel2"/>
        <w:numPr>
          <w:ilvl w:val="1"/>
          <w:numId w:val="5"/>
        </w:numPr>
        <w:tabs>
          <w:tab w:val="num" w:pos="709"/>
        </w:tabs>
        <w:ind w:left="709" w:hanging="709"/>
        <w:rPr>
          <w:lang w:val="en-AU"/>
        </w:rPr>
      </w:pPr>
      <w:r>
        <w:rPr>
          <w:lang w:val="en-AU"/>
        </w:rPr>
        <w:t>The Commission’s service classification</w:t>
      </w:r>
      <w:r w:rsidR="00BB2153">
        <w:rPr>
          <w:lang w:val="en-AU"/>
        </w:rPr>
        <w:t xml:space="preserve"> remains consistent with its draft decision and is set out Appendix A. Some modifications have been made to service descriptions to improve transparency and certainty.</w:t>
      </w:r>
    </w:p>
    <w:p w14:paraId="03F6CAE9" w14:textId="61F56574" w:rsidR="00452059" w:rsidRDefault="00452059" w:rsidP="00A765A2">
      <w:pPr>
        <w:pStyle w:val="NumberLevel2"/>
        <w:numPr>
          <w:ilvl w:val="1"/>
          <w:numId w:val="5"/>
        </w:numPr>
        <w:tabs>
          <w:tab w:val="num" w:pos="709"/>
        </w:tabs>
        <w:ind w:left="709" w:hanging="709"/>
        <w:rPr>
          <w:lang w:val="en-AU"/>
        </w:rPr>
      </w:pPr>
      <w:r>
        <w:rPr>
          <w:lang w:val="en-AU"/>
        </w:rPr>
        <w:t xml:space="preserve">The Commission does not accept </w:t>
      </w:r>
      <w:r w:rsidR="00151330">
        <w:rPr>
          <w:lang w:val="en-AU"/>
        </w:rPr>
        <w:t>PWC </w:t>
      </w:r>
      <w:r>
        <w:rPr>
          <w:lang w:val="en-AU"/>
        </w:rPr>
        <w:t xml:space="preserve">Networks’ proposal to </w:t>
      </w:r>
      <w:r w:rsidR="00895349">
        <w:rPr>
          <w:lang w:val="en-AU"/>
        </w:rPr>
        <w:t>classify the</w:t>
      </w:r>
      <w:r>
        <w:rPr>
          <w:lang w:val="en-AU"/>
        </w:rPr>
        <w:t xml:space="preserve"> provision of network capacity in excess of Network Technical Code requirements</w:t>
      </w:r>
      <w:r w:rsidR="00895349">
        <w:rPr>
          <w:lang w:val="en-AU"/>
        </w:rPr>
        <w:t xml:space="preserve"> as an excluded network access service</w:t>
      </w:r>
      <w:r>
        <w:rPr>
          <w:lang w:val="en-AU"/>
        </w:rPr>
        <w:t xml:space="preserve">, </w:t>
      </w:r>
      <w:r w:rsidR="00895349">
        <w:rPr>
          <w:lang w:val="en-AU"/>
        </w:rPr>
        <w:t xml:space="preserve">because </w:t>
      </w:r>
      <w:r>
        <w:rPr>
          <w:lang w:val="en-AU"/>
        </w:rPr>
        <w:t xml:space="preserve">the costs </w:t>
      </w:r>
      <w:r w:rsidR="00EF77D8">
        <w:rPr>
          <w:lang w:val="en-AU"/>
        </w:rPr>
        <w:t xml:space="preserve">associated with providing this </w:t>
      </w:r>
      <w:r w:rsidR="00895349">
        <w:rPr>
          <w:lang w:val="en-AU"/>
        </w:rPr>
        <w:t xml:space="preserve">network access </w:t>
      </w:r>
      <w:r w:rsidR="00EF77D8">
        <w:rPr>
          <w:lang w:val="en-AU"/>
        </w:rPr>
        <w:t xml:space="preserve">service </w:t>
      </w:r>
      <w:r w:rsidR="00895349">
        <w:rPr>
          <w:lang w:val="en-AU"/>
        </w:rPr>
        <w:t>cannot</w:t>
      </w:r>
      <w:r w:rsidR="00165CDF">
        <w:rPr>
          <w:lang w:val="en-AU"/>
        </w:rPr>
        <w:t xml:space="preserve"> be excluded from the </w:t>
      </w:r>
      <w:r w:rsidR="00895349">
        <w:rPr>
          <w:lang w:val="en-AU"/>
        </w:rPr>
        <w:t xml:space="preserve">cost </w:t>
      </w:r>
      <w:r w:rsidR="00165CDF">
        <w:rPr>
          <w:lang w:val="en-AU"/>
        </w:rPr>
        <w:t xml:space="preserve">base for the purposes of calculating the </w:t>
      </w:r>
      <w:r w:rsidR="00895349">
        <w:rPr>
          <w:lang w:val="en-AU"/>
        </w:rPr>
        <w:t xml:space="preserve">total revenue requirement </w:t>
      </w:r>
      <w:r w:rsidR="00165CDF">
        <w:rPr>
          <w:lang w:val="en-AU"/>
        </w:rPr>
        <w:t xml:space="preserve">applying </w:t>
      </w:r>
      <w:r w:rsidR="0022712C">
        <w:rPr>
          <w:lang w:val="en-AU"/>
        </w:rPr>
        <w:t xml:space="preserve">to </w:t>
      </w:r>
      <w:r w:rsidR="00165CDF">
        <w:rPr>
          <w:lang w:val="en-AU"/>
        </w:rPr>
        <w:t>regulated network access services.</w:t>
      </w:r>
    </w:p>
    <w:p w14:paraId="10CA0D2E" w14:textId="77777777" w:rsidR="00AB1AFD" w:rsidRPr="00445EE5" w:rsidRDefault="00AB1AFD" w:rsidP="000134C4">
      <w:pPr>
        <w:pStyle w:val="UtilComHeading3"/>
        <w:rPr>
          <w:lang w:val="en-AU"/>
        </w:rPr>
      </w:pPr>
      <w:r w:rsidRPr="00445EE5">
        <w:rPr>
          <w:lang w:val="en-AU"/>
        </w:rPr>
        <w:t xml:space="preserve">Control mechanism (refer Chapter </w:t>
      </w:r>
      <w:r w:rsidR="00176446">
        <w:rPr>
          <w:lang w:val="en-AU"/>
        </w:rPr>
        <w:t>4</w:t>
      </w:r>
      <w:r w:rsidR="00176446" w:rsidRPr="00445EE5">
        <w:rPr>
          <w:lang w:val="en-AU"/>
        </w:rPr>
        <w:t xml:space="preserve"> </w:t>
      </w:r>
      <w:r w:rsidRPr="00445EE5">
        <w:rPr>
          <w:lang w:val="en-AU"/>
        </w:rPr>
        <w:t>of this document)</w:t>
      </w:r>
    </w:p>
    <w:p w14:paraId="32686305" w14:textId="515FF20A" w:rsidR="00AB1AFD" w:rsidRDefault="00AB1AFD" w:rsidP="00A765A2">
      <w:pPr>
        <w:pStyle w:val="NumberLevel2"/>
        <w:numPr>
          <w:ilvl w:val="1"/>
          <w:numId w:val="4"/>
        </w:numPr>
        <w:tabs>
          <w:tab w:val="num" w:pos="709"/>
        </w:tabs>
        <w:ind w:left="709" w:hanging="709"/>
        <w:rPr>
          <w:lang w:val="en-AU"/>
        </w:rPr>
      </w:pPr>
      <w:r>
        <w:rPr>
          <w:lang w:val="en-AU"/>
        </w:rPr>
        <w:t>The Framework Statement specified that the Commission would apply a revenue cap control mechanism of a CPI</w:t>
      </w:r>
      <w:r w:rsidR="000E6907">
        <w:rPr>
          <w:lang w:val="en-AU"/>
        </w:rPr>
        <w:t xml:space="preserve"> minus </w:t>
      </w:r>
      <w:r>
        <w:rPr>
          <w:lang w:val="en-AU"/>
        </w:rPr>
        <w:t xml:space="preserve">X form to </w:t>
      </w:r>
      <w:r w:rsidR="000E6907">
        <w:rPr>
          <w:lang w:val="en-AU"/>
        </w:rPr>
        <w:t>the regulated network access</w:t>
      </w:r>
      <w:r>
        <w:rPr>
          <w:lang w:val="en-AU"/>
        </w:rPr>
        <w:t xml:space="preserve"> services provided by </w:t>
      </w:r>
      <w:r w:rsidR="00445EE5">
        <w:rPr>
          <w:lang w:val="en-AU"/>
        </w:rPr>
        <w:t>PWC </w:t>
      </w:r>
      <w:r>
        <w:rPr>
          <w:lang w:val="en-AU"/>
        </w:rPr>
        <w:t xml:space="preserve">Networks. It also indicated that annual adjustments to the annual revenue </w:t>
      </w:r>
      <w:r w:rsidR="000E6907">
        <w:rPr>
          <w:lang w:val="en-AU"/>
        </w:rPr>
        <w:t xml:space="preserve">requirement </w:t>
      </w:r>
      <w:r>
        <w:rPr>
          <w:lang w:val="en-AU"/>
        </w:rPr>
        <w:t>would be provided for</w:t>
      </w:r>
      <w:r w:rsidR="00FC6FC5">
        <w:rPr>
          <w:lang w:val="en-AU"/>
        </w:rPr>
        <w:t xml:space="preserve"> any</w:t>
      </w:r>
      <w:r>
        <w:rPr>
          <w:lang w:val="en-AU"/>
        </w:rPr>
        <w:t>:</w:t>
      </w:r>
    </w:p>
    <w:p w14:paraId="69AB9154" w14:textId="22BEC1CD" w:rsidR="00AB1AFD" w:rsidRPr="00D51D4B" w:rsidRDefault="00AB1AFD" w:rsidP="00A765A2">
      <w:pPr>
        <w:pStyle w:val="UtilComBulletText"/>
        <w:tabs>
          <w:tab w:val="clear" w:pos="964"/>
          <w:tab w:val="num" w:pos="1134"/>
        </w:tabs>
        <w:ind w:left="1134" w:hanging="425"/>
      </w:pPr>
      <w:r w:rsidRPr="00D51D4B">
        <w:t>under or over recoveries</w:t>
      </w:r>
      <w:r w:rsidR="000E6907">
        <w:t xml:space="preserve"> of revenue</w:t>
      </w:r>
      <w:r w:rsidRPr="00D51D4B">
        <w:t xml:space="preserve">; and </w:t>
      </w:r>
    </w:p>
    <w:p w14:paraId="75F32D89" w14:textId="77777777" w:rsidR="00AB1AFD" w:rsidRDefault="00AB1AFD" w:rsidP="00A765A2">
      <w:pPr>
        <w:pStyle w:val="UtilComBulletText"/>
        <w:tabs>
          <w:tab w:val="clear" w:pos="964"/>
          <w:tab w:val="num" w:pos="1134"/>
        </w:tabs>
        <w:ind w:left="1134" w:hanging="425"/>
      </w:pPr>
      <w:r>
        <w:t xml:space="preserve">cost </w:t>
      </w:r>
      <w:r w:rsidRPr="00D51D4B">
        <w:t xml:space="preserve">pass throughs approved by the Commission during the </w:t>
      </w:r>
      <w:r w:rsidR="00151330">
        <w:t>2014-19</w:t>
      </w:r>
      <w:r w:rsidR="00151330" w:rsidRPr="00D51D4B">
        <w:t xml:space="preserve"> </w:t>
      </w:r>
      <w:r w:rsidRPr="00D51D4B">
        <w:t>regulatory control period.</w:t>
      </w:r>
    </w:p>
    <w:p w14:paraId="0D26E1CD" w14:textId="0A3C0D83" w:rsidR="00DF074C" w:rsidRDefault="005B6305" w:rsidP="004B63D8">
      <w:pPr>
        <w:pStyle w:val="NumberLevel2"/>
        <w:numPr>
          <w:ilvl w:val="1"/>
          <w:numId w:val="4"/>
        </w:numPr>
        <w:tabs>
          <w:tab w:val="num" w:pos="709"/>
        </w:tabs>
        <w:ind w:left="709" w:hanging="709"/>
        <w:rPr>
          <w:lang w:val="en-AU"/>
        </w:rPr>
      </w:pPr>
      <w:r>
        <w:rPr>
          <w:lang w:val="en-AU"/>
        </w:rPr>
        <w:t>Following</w:t>
      </w:r>
      <w:r w:rsidR="00DF074C">
        <w:rPr>
          <w:lang w:val="en-AU"/>
        </w:rPr>
        <w:t xml:space="preserve"> consideration of PWC Networks</w:t>
      </w:r>
      <w:r w:rsidR="00D624BF">
        <w:rPr>
          <w:lang w:val="en-AU"/>
        </w:rPr>
        <w:t>’</w:t>
      </w:r>
      <w:r w:rsidR="00DF074C">
        <w:rPr>
          <w:lang w:val="en-AU"/>
        </w:rPr>
        <w:t xml:space="preserve"> initial regulatory proposal, provision </w:t>
      </w:r>
      <w:r>
        <w:rPr>
          <w:lang w:val="en-AU"/>
        </w:rPr>
        <w:t>w</w:t>
      </w:r>
      <w:r w:rsidR="00DF074C">
        <w:rPr>
          <w:lang w:val="en-AU"/>
        </w:rPr>
        <w:t>as also made for adjustments to</w:t>
      </w:r>
      <w:r w:rsidR="00441CE6">
        <w:rPr>
          <w:lang w:val="en-AU"/>
        </w:rPr>
        <w:t xml:space="preserve"> be made to </w:t>
      </w:r>
      <w:r w:rsidR="00DF074C">
        <w:rPr>
          <w:lang w:val="en-AU"/>
        </w:rPr>
        <w:t xml:space="preserve">the </w:t>
      </w:r>
      <w:r w:rsidR="00C62D47">
        <w:rPr>
          <w:lang w:val="en-AU"/>
        </w:rPr>
        <w:t>annual revenue requirement</w:t>
      </w:r>
      <w:r w:rsidR="00DF074C">
        <w:rPr>
          <w:lang w:val="en-AU"/>
        </w:rPr>
        <w:t xml:space="preserve"> for contingent projects if </w:t>
      </w:r>
      <w:r w:rsidR="00441CE6">
        <w:rPr>
          <w:lang w:val="en-AU"/>
        </w:rPr>
        <w:t>a</w:t>
      </w:r>
      <w:r w:rsidR="00DF074C">
        <w:rPr>
          <w:lang w:val="en-AU"/>
        </w:rPr>
        <w:t xml:space="preserve"> specified trigger event occurs.</w:t>
      </w:r>
    </w:p>
    <w:p w14:paraId="27B120B5" w14:textId="2A8183A1" w:rsidR="00AB1AFD" w:rsidRPr="004B63D8" w:rsidRDefault="00AB1AFD" w:rsidP="004B63D8">
      <w:pPr>
        <w:pStyle w:val="NumberLevel2"/>
        <w:numPr>
          <w:ilvl w:val="1"/>
          <w:numId w:val="4"/>
        </w:numPr>
        <w:tabs>
          <w:tab w:val="num" w:pos="709"/>
        </w:tabs>
        <w:ind w:left="709" w:hanging="709"/>
        <w:rPr>
          <w:lang w:val="en-AU"/>
        </w:rPr>
      </w:pPr>
      <w:r w:rsidRPr="004B63D8">
        <w:rPr>
          <w:lang w:val="en-AU"/>
        </w:rPr>
        <w:t xml:space="preserve">The </w:t>
      </w:r>
      <w:r w:rsidR="00C62D47">
        <w:rPr>
          <w:lang w:val="en-AU"/>
        </w:rPr>
        <w:t>2014 Network Price</w:t>
      </w:r>
      <w:r w:rsidR="00176446" w:rsidRPr="004B63D8">
        <w:rPr>
          <w:lang w:val="en-AU"/>
        </w:rPr>
        <w:t xml:space="preserve"> </w:t>
      </w:r>
      <w:r w:rsidRPr="004B63D8">
        <w:rPr>
          <w:lang w:val="en-AU"/>
        </w:rPr>
        <w:t>Determination has been developed on this basis.</w:t>
      </w:r>
    </w:p>
    <w:p w14:paraId="5140922D" w14:textId="3CDF012E" w:rsidR="00AB1AFD" w:rsidRDefault="00AB1AFD" w:rsidP="00A765A2">
      <w:pPr>
        <w:pStyle w:val="NumberLevel2"/>
        <w:numPr>
          <w:ilvl w:val="1"/>
          <w:numId w:val="4"/>
        </w:numPr>
        <w:tabs>
          <w:tab w:val="num" w:pos="709"/>
        </w:tabs>
        <w:ind w:left="709" w:hanging="709"/>
        <w:rPr>
          <w:lang w:val="en-AU"/>
        </w:rPr>
      </w:pPr>
      <w:r w:rsidRPr="007C4616">
        <w:rPr>
          <w:lang w:val="en-AU"/>
        </w:rPr>
        <w:t xml:space="preserve">As part of </w:t>
      </w:r>
      <w:r>
        <w:rPr>
          <w:lang w:val="en-AU"/>
        </w:rPr>
        <w:t>its</w:t>
      </w:r>
      <w:r w:rsidRPr="007C4616">
        <w:rPr>
          <w:lang w:val="en-AU"/>
        </w:rPr>
        <w:t xml:space="preserve"> pricing proposals</w:t>
      </w:r>
      <w:r>
        <w:rPr>
          <w:lang w:val="en-AU"/>
        </w:rPr>
        <w:t xml:space="preserve"> to be submitted in accordance with clause 78(1) of the </w:t>
      </w:r>
      <w:r w:rsidR="00FB2EC5">
        <w:rPr>
          <w:lang w:val="en-AU"/>
        </w:rPr>
        <w:t>Network Access Code</w:t>
      </w:r>
      <w:r>
        <w:rPr>
          <w:lang w:val="en-AU"/>
        </w:rPr>
        <w:t xml:space="preserve"> for each </w:t>
      </w:r>
      <w:r w:rsidR="00C62D47">
        <w:rPr>
          <w:lang w:val="en-AU"/>
        </w:rPr>
        <w:t xml:space="preserve">regulatory </w:t>
      </w:r>
      <w:r>
        <w:rPr>
          <w:lang w:val="en-AU"/>
        </w:rPr>
        <w:t xml:space="preserve">year of the </w:t>
      </w:r>
      <w:r w:rsidR="00C62D47">
        <w:rPr>
          <w:lang w:val="en-AU"/>
        </w:rPr>
        <w:t xml:space="preserve">2014-19 </w:t>
      </w:r>
      <w:r>
        <w:rPr>
          <w:lang w:val="en-AU"/>
        </w:rPr>
        <w:t>regulatory control period</w:t>
      </w:r>
      <w:r w:rsidRPr="007C4616">
        <w:rPr>
          <w:lang w:val="en-AU"/>
        </w:rPr>
        <w:t xml:space="preserve">, </w:t>
      </w:r>
      <w:r w:rsidR="00DF074C">
        <w:rPr>
          <w:lang w:val="en-AU"/>
        </w:rPr>
        <w:t>PWC </w:t>
      </w:r>
      <w:r>
        <w:rPr>
          <w:lang w:val="en-AU"/>
        </w:rPr>
        <w:t>Networks</w:t>
      </w:r>
      <w:r w:rsidRPr="007C4616">
        <w:rPr>
          <w:lang w:val="en-AU"/>
        </w:rPr>
        <w:t xml:space="preserve"> must submit to the </w:t>
      </w:r>
      <w:r>
        <w:rPr>
          <w:lang w:val="en-AU"/>
        </w:rPr>
        <w:t>Commission</w:t>
      </w:r>
      <w:r w:rsidRPr="007C4616">
        <w:rPr>
          <w:lang w:val="en-AU"/>
        </w:rPr>
        <w:t xml:space="preserve"> </w:t>
      </w:r>
      <w:r w:rsidR="00441CE6">
        <w:rPr>
          <w:lang w:val="en-AU"/>
        </w:rPr>
        <w:t xml:space="preserve">its </w:t>
      </w:r>
      <w:r w:rsidRPr="007C4616">
        <w:rPr>
          <w:lang w:val="en-AU"/>
        </w:rPr>
        <w:t xml:space="preserve">proposed </w:t>
      </w:r>
      <w:r w:rsidR="00C62D47">
        <w:rPr>
          <w:lang w:val="en-AU"/>
        </w:rPr>
        <w:t xml:space="preserve">reference </w:t>
      </w:r>
      <w:r w:rsidRPr="007C4616">
        <w:rPr>
          <w:lang w:val="en-AU"/>
        </w:rPr>
        <w:t xml:space="preserve">tariffs and charging parameters which lead to expected revenues consistent with the </w:t>
      </w:r>
      <w:r w:rsidR="0073107E">
        <w:rPr>
          <w:lang w:val="en-AU"/>
        </w:rPr>
        <w:t xml:space="preserve">Revenue Control </w:t>
      </w:r>
      <w:r w:rsidRPr="007C4616">
        <w:rPr>
          <w:lang w:val="en-AU"/>
        </w:rPr>
        <w:t>formula set out</w:t>
      </w:r>
      <w:r>
        <w:rPr>
          <w:lang w:val="en-AU"/>
        </w:rPr>
        <w:t xml:space="preserve"> </w:t>
      </w:r>
      <w:r w:rsidR="0073107E">
        <w:rPr>
          <w:lang w:val="en-AU"/>
        </w:rPr>
        <w:t xml:space="preserve">in </w:t>
      </w:r>
      <w:r w:rsidR="0073107E" w:rsidRPr="00C62D47">
        <w:rPr>
          <w:lang w:val="en-AU"/>
        </w:rPr>
        <w:t xml:space="preserve">Schedule 4 </w:t>
      </w:r>
      <w:r w:rsidR="0073107E">
        <w:rPr>
          <w:lang w:val="en-AU"/>
        </w:rPr>
        <w:t xml:space="preserve">of the </w:t>
      </w:r>
      <w:r w:rsidR="00C62D47">
        <w:rPr>
          <w:lang w:val="en-AU"/>
        </w:rPr>
        <w:t xml:space="preserve">2014 </w:t>
      </w:r>
      <w:r w:rsidR="0073107E">
        <w:rPr>
          <w:lang w:val="en-AU"/>
        </w:rPr>
        <w:t>Network Price Determination.</w:t>
      </w:r>
    </w:p>
    <w:p w14:paraId="35349AB2" w14:textId="2CDD6E47" w:rsidR="00176446" w:rsidRPr="0093504F" w:rsidRDefault="00DF074C" w:rsidP="0093504F">
      <w:pPr>
        <w:pStyle w:val="NumberLevel2"/>
        <w:numPr>
          <w:ilvl w:val="1"/>
          <w:numId w:val="5"/>
        </w:numPr>
        <w:tabs>
          <w:tab w:val="num" w:pos="709"/>
        </w:tabs>
        <w:ind w:left="709" w:hanging="709"/>
        <w:rPr>
          <w:lang w:val="en-AU"/>
        </w:rPr>
      </w:pPr>
      <w:r w:rsidRPr="0093504F">
        <w:rPr>
          <w:lang w:val="en-AU"/>
        </w:rPr>
        <w:t>PWC</w:t>
      </w:r>
      <w:r>
        <w:rPr>
          <w:lang w:val="en-AU"/>
        </w:rPr>
        <w:t> </w:t>
      </w:r>
      <w:r w:rsidR="00474092" w:rsidRPr="0093504F">
        <w:rPr>
          <w:lang w:val="en-AU"/>
        </w:rPr>
        <w:t xml:space="preserve">Networks proposed that a side constraint of </w:t>
      </w:r>
      <w:r w:rsidRPr="0093504F">
        <w:rPr>
          <w:lang w:val="en-AU"/>
        </w:rPr>
        <w:t>2</w:t>
      </w:r>
      <w:r>
        <w:rPr>
          <w:lang w:val="en-AU"/>
        </w:rPr>
        <w:t> </w:t>
      </w:r>
      <w:r w:rsidRPr="0093504F">
        <w:rPr>
          <w:lang w:val="en-AU"/>
        </w:rPr>
        <w:t>per</w:t>
      </w:r>
      <w:r>
        <w:rPr>
          <w:lang w:val="en-AU"/>
        </w:rPr>
        <w:t> </w:t>
      </w:r>
      <w:r w:rsidR="00474092" w:rsidRPr="0093504F">
        <w:rPr>
          <w:lang w:val="en-AU"/>
        </w:rPr>
        <w:t xml:space="preserve">cent on any increase in weighted average revenue of each </w:t>
      </w:r>
      <w:r w:rsidR="00C62D47">
        <w:rPr>
          <w:lang w:val="en-AU"/>
        </w:rPr>
        <w:t xml:space="preserve">reference </w:t>
      </w:r>
      <w:r w:rsidR="00474092" w:rsidRPr="0093504F">
        <w:rPr>
          <w:lang w:val="en-AU"/>
        </w:rPr>
        <w:t xml:space="preserve">tariff class would apply </w:t>
      </w:r>
      <w:r w:rsidR="00C62D47">
        <w:rPr>
          <w:lang w:val="en-AU"/>
        </w:rPr>
        <w:t>between</w:t>
      </w:r>
      <w:r w:rsidR="00474092" w:rsidRPr="0093504F">
        <w:rPr>
          <w:lang w:val="en-AU"/>
        </w:rPr>
        <w:t xml:space="preserve"> regulatory year</w:t>
      </w:r>
      <w:r w:rsidR="00C62D47">
        <w:rPr>
          <w:lang w:val="en-AU"/>
        </w:rPr>
        <w:t>s</w:t>
      </w:r>
      <w:r w:rsidR="00474092" w:rsidRPr="0093504F">
        <w:rPr>
          <w:lang w:val="en-AU"/>
        </w:rPr>
        <w:t>.</w:t>
      </w:r>
    </w:p>
    <w:p w14:paraId="3E1F6A0B" w14:textId="7642E70E" w:rsidR="00474092" w:rsidRPr="00474092" w:rsidRDefault="00455C2F" w:rsidP="00A765A2">
      <w:pPr>
        <w:pStyle w:val="NumberLevel2"/>
        <w:numPr>
          <w:ilvl w:val="1"/>
          <w:numId w:val="5"/>
        </w:numPr>
        <w:tabs>
          <w:tab w:val="num" w:pos="709"/>
        </w:tabs>
        <w:ind w:left="709" w:hanging="709"/>
        <w:rPr>
          <w:lang w:val="en-AU"/>
        </w:rPr>
      </w:pPr>
      <w:r>
        <w:rPr>
          <w:lang w:val="en-AU"/>
        </w:rPr>
        <w:t xml:space="preserve">The Commission’s </w:t>
      </w:r>
      <w:r w:rsidR="00176446">
        <w:rPr>
          <w:lang w:val="en-AU"/>
        </w:rPr>
        <w:t xml:space="preserve">final </w:t>
      </w:r>
      <w:r>
        <w:rPr>
          <w:lang w:val="en-AU"/>
        </w:rPr>
        <w:t xml:space="preserve">decision is that </w:t>
      </w:r>
      <w:r w:rsidR="00441CE6">
        <w:rPr>
          <w:lang w:val="en-AU"/>
        </w:rPr>
        <w:t xml:space="preserve">the </w:t>
      </w:r>
      <w:r w:rsidR="00474092">
        <w:rPr>
          <w:lang w:val="en-AU"/>
        </w:rPr>
        <w:t xml:space="preserve">side constraint of </w:t>
      </w:r>
      <w:r w:rsidR="00DF074C">
        <w:rPr>
          <w:lang w:val="en-AU"/>
        </w:rPr>
        <w:t>2 per </w:t>
      </w:r>
      <w:r>
        <w:rPr>
          <w:lang w:val="en-AU"/>
        </w:rPr>
        <w:t xml:space="preserve">cent proposed by </w:t>
      </w:r>
      <w:r w:rsidR="00DF074C">
        <w:rPr>
          <w:lang w:val="en-AU"/>
        </w:rPr>
        <w:t>PWC </w:t>
      </w:r>
      <w:r>
        <w:rPr>
          <w:lang w:val="en-AU"/>
        </w:rPr>
        <w:t xml:space="preserve">Networks is appropriate </w:t>
      </w:r>
      <w:r w:rsidR="00176446">
        <w:rPr>
          <w:lang w:val="en-AU"/>
        </w:rPr>
        <w:t xml:space="preserve">and that, consistent with the NER, </w:t>
      </w:r>
      <w:r w:rsidR="00474092">
        <w:rPr>
          <w:lang w:val="en-AU"/>
        </w:rPr>
        <w:t xml:space="preserve">the side constraint is to be applied </w:t>
      </w:r>
      <w:r w:rsidR="00176446">
        <w:rPr>
          <w:lang w:val="en-AU"/>
        </w:rPr>
        <w:t>to the weighted average revenue to be raised from a tariff class for a particular regulatory year</w:t>
      </w:r>
      <w:r w:rsidR="00474092">
        <w:rPr>
          <w:lang w:val="en-AU"/>
        </w:rPr>
        <w:t>.</w:t>
      </w:r>
    </w:p>
    <w:p w14:paraId="5633F77E" w14:textId="5336ABD8" w:rsidR="003D015A" w:rsidRPr="00AB1AFD" w:rsidRDefault="00AB1AFD" w:rsidP="00A765A2">
      <w:pPr>
        <w:pStyle w:val="NumberLevel2"/>
        <w:numPr>
          <w:ilvl w:val="1"/>
          <w:numId w:val="5"/>
        </w:numPr>
        <w:tabs>
          <w:tab w:val="num" w:pos="709"/>
        </w:tabs>
        <w:ind w:left="709" w:hanging="709"/>
        <w:rPr>
          <w:lang w:val="en-AU"/>
        </w:rPr>
      </w:pPr>
      <w:r w:rsidRPr="00AB1AFD">
        <w:rPr>
          <w:lang w:val="en-AU"/>
        </w:rPr>
        <w:t xml:space="preserve">In its annual pricing proposals, </w:t>
      </w:r>
      <w:r w:rsidR="00DF074C" w:rsidRPr="00AB1AFD">
        <w:rPr>
          <w:lang w:val="en-AU"/>
        </w:rPr>
        <w:t>PWC</w:t>
      </w:r>
      <w:r w:rsidR="00DF074C">
        <w:rPr>
          <w:lang w:val="en-AU"/>
        </w:rPr>
        <w:t> </w:t>
      </w:r>
      <w:r w:rsidRPr="00AB1AFD">
        <w:rPr>
          <w:lang w:val="en-AU"/>
        </w:rPr>
        <w:t xml:space="preserve">Networks will be required to demonstrate that its proposed </w:t>
      </w:r>
      <w:r w:rsidR="00F5108F">
        <w:rPr>
          <w:lang w:val="en-AU"/>
        </w:rPr>
        <w:t xml:space="preserve">tariffs and charges </w:t>
      </w:r>
      <w:r w:rsidRPr="00AB1AFD">
        <w:rPr>
          <w:lang w:val="en-AU"/>
        </w:rPr>
        <w:t xml:space="preserve">for the next </w:t>
      </w:r>
      <w:r w:rsidR="00C62D47">
        <w:rPr>
          <w:lang w:val="en-AU"/>
        </w:rPr>
        <w:t xml:space="preserve">regulatory </w:t>
      </w:r>
      <w:r w:rsidRPr="00AB1AFD">
        <w:rPr>
          <w:lang w:val="en-AU"/>
        </w:rPr>
        <w:t xml:space="preserve">year will meet the side constraint, as specified in </w:t>
      </w:r>
      <w:r w:rsidR="002554E3">
        <w:rPr>
          <w:lang w:val="en-AU"/>
        </w:rPr>
        <w:t xml:space="preserve">the </w:t>
      </w:r>
      <w:r w:rsidR="00C62D47">
        <w:rPr>
          <w:lang w:val="en-AU"/>
        </w:rPr>
        <w:t xml:space="preserve">2014 Network Price </w:t>
      </w:r>
      <w:r w:rsidR="002554E3">
        <w:rPr>
          <w:lang w:val="en-AU"/>
        </w:rPr>
        <w:t>Determination</w:t>
      </w:r>
      <w:r w:rsidR="00903271">
        <w:rPr>
          <w:lang w:val="en-AU"/>
        </w:rPr>
        <w:t xml:space="preserve"> </w:t>
      </w:r>
      <w:r w:rsidR="003D015A" w:rsidRPr="00AB1AFD">
        <w:rPr>
          <w:lang w:val="en-AU"/>
        </w:rPr>
        <w:t xml:space="preserve">and </w:t>
      </w:r>
      <w:r w:rsidR="00C62D47">
        <w:rPr>
          <w:lang w:val="en-AU"/>
        </w:rPr>
        <w:t xml:space="preserve">will be </w:t>
      </w:r>
      <w:r w:rsidR="003D015A" w:rsidRPr="00AB1AFD">
        <w:rPr>
          <w:lang w:val="en-AU"/>
        </w:rPr>
        <w:t xml:space="preserve">consistent with the </w:t>
      </w:r>
      <w:r w:rsidR="0073107E">
        <w:rPr>
          <w:lang w:val="en-AU"/>
        </w:rPr>
        <w:t xml:space="preserve">Side </w:t>
      </w:r>
      <w:r w:rsidR="0022712C">
        <w:rPr>
          <w:lang w:val="en-AU"/>
        </w:rPr>
        <w:t>Constraint</w:t>
      </w:r>
      <w:r w:rsidR="0073107E">
        <w:rPr>
          <w:lang w:val="en-AU"/>
        </w:rPr>
        <w:t xml:space="preserve"> </w:t>
      </w:r>
      <w:r w:rsidR="00C62D47">
        <w:rPr>
          <w:lang w:val="en-AU"/>
        </w:rPr>
        <w:t>F</w:t>
      </w:r>
      <w:r w:rsidR="00C62D47" w:rsidRPr="00AB1AFD">
        <w:rPr>
          <w:lang w:val="en-AU"/>
        </w:rPr>
        <w:t xml:space="preserve">ormula </w:t>
      </w:r>
      <w:r w:rsidR="003D015A" w:rsidRPr="00AB1AFD">
        <w:rPr>
          <w:lang w:val="en-AU"/>
        </w:rPr>
        <w:t xml:space="preserve">set out </w:t>
      </w:r>
      <w:r w:rsidR="0073107E">
        <w:rPr>
          <w:lang w:val="en-AU"/>
        </w:rPr>
        <w:t xml:space="preserve">in </w:t>
      </w:r>
      <w:r w:rsidR="0073107E" w:rsidRPr="00C62D47">
        <w:rPr>
          <w:lang w:val="en-AU"/>
        </w:rPr>
        <w:t xml:space="preserve">Schedule 4 </w:t>
      </w:r>
      <w:r w:rsidR="0073107E">
        <w:rPr>
          <w:lang w:val="en-AU"/>
        </w:rPr>
        <w:t xml:space="preserve">of the </w:t>
      </w:r>
      <w:r w:rsidR="00C62D47">
        <w:rPr>
          <w:lang w:val="en-AU"/>
        </w:rPr>
        <w:t xml:space="preserve">2014 </w:t>
      </w:r>
      <w:r w:rsidR="0073107E">
        <w:rPr>
          <w:lang w:val="en-AU"/>
        </w:rPr>
        <w:t>Network Price Determination.</w:t>
      </w:r>
    </w:p>
    <w:p w14:paraId="04B9E6FD" w14:textId="77777777" w:rsidR="00AB1AFD" w:rsidRPr="007E260A" w:rsidRDefault="00AB1AFD" w:rsidP="000134C4">
      <w:pPr>
        <w:pStyle w:val="UtilComHeading3"/>
        <w:rPr>
          <w:lang w:val="en-AU"/>
        </w:rPr>
      </w:pPr>
      <w:r w:rsidRPr="007E260A">
        <w:rPr>
          <w:lang w:val="en-AU"/>
        </w:rPr>
        <w:t xml:space="preserve">Opening RAB (refer Chapter </w:t>
      </w:r>
      <w:r w:rsidR="002554E3">
        <w:rPr>
          <w:lang w:val="en-AU"/>
        </w:rPr>
        <w:t>6</w:t>
      </w:r>
      <w:r w:rsidR="002554E3" w:rsidRPr="007E260A">
        <w:rPr>
          <w:lang w:val="en-AU"/>
        </w:rPr>
        <w:t xml:space="preserve"> </w:t>
      </w:r>
      <w:r w:rsidRPr="007E260A">
        <w:rPr>
          <w:lang w:val="en-AU"/>
        </w:rPr>
        <w:t>of this document)</w:t>
      </w:r>
    </w:p>
    <w:p w14:paraId="6ADF38CC" w14:textId="7855E578" w:rsidR="00AB1AFD" w:rsidRDefault="00DF074C" w:rsidP="00A765A2">
      <w:pPr>
        <w:pStyle w:val="NumberLevel2"/>
        <w:numPr>
          <w:ilvl w:val="1"/>
          <w:numId w:val="4"/>
        </w:numPr>
        <w:tabs>
          <w:tab w:val="num" w:pos="709"/>
        </w:tabs>
        <w:ind w:left="709" w:hanging="709"/>
        <w:rPr>
          <w:lang w:val="en-AU"/>
        </w:rPr>
      </w:pPr>
      <w:r>
        <w:rPr>
          <w:lang w:val="en-AU"/>
        </w:rPr>
        <w:t>PWC </w:t>
      </w:r>
      <w:r w:rsidR="00AB1AFD">
        <w:rPr>
          <w:lang w:val="en-AU"/>
        </w:rPr>
        <w:t xml:space="preserve">Networks proposed an opening RAB for the </w:t>
      </w:r>
      <w:r w:rsidR="001745AE">
        <w:rPr>
          <w:lang w:val="en-AU"/>
        </w:rPr>
        <w:t xml:space="preserve">2014-19 </w:t>
      </w:r>
      <w:r w:rsidR="00AB1AFD">
        <w:rPr>
          <w:lang w:val="en-AU"/>
        </w:rPr>
        <w:t>regulatory control period of $930.</w:t>
      </w:r>
      <w:r>
        <w:rPr>
          <w:lang w:val="en-AU"/>
        </w:rPr>
        <w:t>1 </w:t>
      </w:r>
      <w:r w:rsidR="00AB1AFD">
        <w:rPr>
          <w:lang w:val="en-AU"/>
        </w:rPr>
        <w:t xml:space="preserve">million as at </w:t>
      </w:r>
      <w:r>
        <w:rPr>
          <w:lang w:val="en-AU"/>
        </w:rPr>
        <w:t>1 July </w:t>
      </w:r>
      <w:r w:rsidR="00AB1AFD">
        <w:rPr>
          <w:lang w:val="en-AU"/>
        </w:rPr>
        <w:t xml:space="preserve">2014, </w:t>
      </w:r>
      <w:r w:rsidR="00AB1AFD" w:rsidRPr="00C924AD">
        <w:rPr>
          <w:lang w:val="en-AU"/>
        </w:rPr>
        <w:t xml:space="preserve">based on a </w:t>
      </w:r>
      <w:r w:rsidR="00E36181">
        <w:rPr>
          <w:lang w:val="en-AU"/>
        </w:rPr>
        <w:t xml:space="preserve">DORC </w:t>
      </w:r>
      <w:r w:rsidR="00AB1AFD" w:rsidRPr="00C924AD">
        <w:rPr>
          <w:lang w:val="en-AU"/>
        </w:rPr>
        <w:t>valuation of $856.</w:t>
      </w:r>
      <w:r>
        <w:rPr>
          <w:lang w:val="en-AU"/>
        </w:rPr>
        <w:t>2 </w:t>
      </w:r>
      <w:r w:rsidR="00AB1AFD" w:rsidRPr="00C924AD">
        <w:rPr>
          <w:lang w:val="en-AU"/>
        </w:rPr>
        <w:t xml:space="preserve">million as at </w:t>
      </w:r>
      <w:r w:rsidRPr="00C924AD">
        <w:rPr>
          <w:lang w:val="en-AU"/>
        </w:rPr>
        <w:t>1</w:t>
      </w:r>
      <w:r>
        <w:rPr>
          <w:lang w:val="en-AU"/>
        </w:rPr>
        <w:t> </w:t>
      </w:r>
      <w:r w:rsidRPr="00C924AD">
        <w:rPr>
          <w:lang w:val="en-AU"/>
        </w:rPr>
        <w:t>July</w:t>
      </w:r>
      <w:r>
        <w:rPr>
          <w:lang w:val="en-AU"/>
        </w:rPr>
        <w:t> </w:t>
      </w:r>
      <w:r w:rsidR="00AB1AFD" w:rsidRPr="00C924AD">
        <w:rPr>
          <w:lang w:val="en-AU"/>
        </w:rPr>
        <w:t>2013, rolled forward for one year.</w:t>
      </w:r>
    </w:p>
    <w:p w14:paraId="1092CF7E" w14:textId="736B5129" w:rsidR="00AB1AFD" w:rsidRPr="002554E3" w:rsidRDefault="00AB1AFD" w:rsidP="002554E3">
      <w:pPr>
        <w:pStyle w:val="NumberLevel2"/>
        <w:numPr>
          <w:ilvl w:val="1"/>
          <w:numId w:val="4"/>
        </w:numPr>
        <w:tabs>
          <w:tab w:val="num" w:pos="709"/>
        </w:tabs>
        <w:ind w:left="709" w:hanging="709"/>
        <w:rPr>
          <w:lang w:val="en-AU"/>
        </w:rPr>
      </w:pPr>
      <w:r w:rsidRPr="002554E3">
        <w:rPr>
          <w:lang w:val="en-AU"/>
        </w:rPr>
        <w:t xml:space="preserve">The Commission has </w:t>
      </w:r>
      <w:r w:rsidR="002554E3">
        <w:rPr>
          <w:lang w:val="en-AU"/>
        </w:rPr>
        <w:t>updated the revised roll forward model provided by PWC</w:t>
      </w:r>
      <w:r w:rsidR="00DF074C">
        <w:rPr>
          <w:lang w:val="en-AU"/>
        </w:rPr>
        <w:t> </w:t>
      </w:r>
      <w:r w:rsidR="002554E3">
        <w:rPr>
          <w:lang w:val="en-AU"/>
        </w:rPr>
        <w:t xml:space="preserve">Networks with </w:t>
      </w:r>
      <w:r w:rsidR="00853A71">
        <w:rPr>
          <w:lang w:val="en-AU"/>
        </w:rPr>
        <w:t xml:space="preserve">the </w:t>
      </w:r>
      <w:r w:rsidR="002554E3">
        <w:rPr>
          <w:lang w:val="en-AU"/>
        </w:rPr>
        <w:t>latest available CPI data from the ABS</w:t>
      </w:r>
      <w:r w:rsidR="0073173B">
        <w:rPr>
          <w:lang w:val="en-AU"/>
        </w:rPr>
        <w:t xml:space="preserve"> </w:t>
      </w:r>
      <w:r w:rsidR="00853A71">
        <w:rPr>
          <w:lang w:val="en-AU"/>
        </w:rPr>
        <w:t xml:space="preserve">used </w:t>
      </w:r>
      <w:r w:rsidR="0073173B">
        <w:rPr>
          <w:lang w:val="en-AU"/>
        </w:rPr>
        <w:t>for</w:t>
      </w:r>
      <w:r w:rsidR="002554E3">
        <w:rPr>
          <w:lang w:val="en-AU"/>
        </w:rPr>
        <w:t xml:space="preserve"> </w:t>
      </w:r>
      <w:r w:rsidR="00853A71">
        <w:rPr>
          <w:lang w:val="en-AU"/>
        </w:rPr>
        <w:t xml:space="preserve">determining </w:t>
      </w:r>
      <w:r w:rsidR="002554E3">
        <w:rPr>
          <w:lang w:val="en-AU"/>
        </w:rPr>
        <w:t>the inflation rate for</w:t>
      </w:r>
      <w:r w:rsidR="00F5108F">
        <w:rPr>
          <w:lang w:val="en-AU"/>
        </w:rPr>
        <w:t xml:space="preserve"> the</w:t>
      </w:r>
      <w:r w:rsidR="002554E3">
        <w:rPr>
          <w:lang w:val="en-AU"/>
        </w:rPr>
        <w:t xml:space="preserve"> indexation adjustment</w:t>
      </w:r>
      <w:r w:rsidR="0073173B">
        <w:rPr>
          <w:lang w:val="en-AU"/>
        </w:rPr>
        <w:t>.</w:t>
      </w:r>
      <w:r w:rsidR="002554E3">
        <w:rPr>
          <w:lang w:val="en-AU"/>
        </w:rPr>
        <w:t xml:space="preserve"> </w:t>
      </w:r>
      <w:r w:rsidR="0073173B">
        <w:rPr>
          <w:lang w:val="en-AU"/>
        </w:rPr>
        <w:t xml:space="preserve">The Commission has forecast </w:t>
      </w:r>
      <w:r w:rsidRPr="002554E3">
        <w:rPr>
          <w:lang w:val="en-AU"/>
        </w:rPr>
        <w:t xml:space="preserve">the opening RAB </w:t>
      </w:r>
      <w:r w:rsidR="0073173B">
        <w:rPr>
          <w:lang w:val="en-AU"/>
        </w:rPr>
        <w:t>for</w:t>
      </w:r>
      <w:r w:rsidRPr="002554E3">
        <w:rPr>
          <w:lang w:val="en-AU"/>
        </w:rPr>
        <w:t xml:space="preserve"> </w:t>
      </w:r>
      <w:r w:rsidR="00DF074C" w:rsidRPr="002554E3">
        <w:rPr>
          <w:lang w:val="en-AU"/>
        </w:rPr>
        <w:t>PWC</w:t>
      </w:r>
      <w:r w:rsidR="00DF074C">
        <w:rPr>
          <w:lang w:val="en-AU"/>
        </w:rPr>
        <w:t> </w:t>
      </w:r>
      <w:r w:rsidRPr="002554E3">
        <w:rPr>
          <w:lang w:val="en-AU"/>
        </w:rPr>
        <w:t>Networks</w:t>
      </w:r>
      <w:r w:rsidR="0073173B">
        <w:rPr>
          <w:lang w:val="en-AU"/>
        </w:rPr>
        <w:t xml:space="preserve"> to be</w:t>
      </w:r>
      <w:r w:rsidRPr="002554E3">
        <w:rPr>
          <w:lang w:val="en-AU"/>
        </w:rPr>
        <w:t xml:space="preserve"> </w:t>
      </w:r>
      <w:r w:rsidR="0073173B" w:rsidRPr="0073173B">
        <w:rPr>
          <w:lang w:val="en-AU"/>
        </w:rPr>
        <w:t>$928.3 </w:t>
      </w:r>
      <w:r w:rsidRPr="0073173B">
        <w:rPr>
          <w:lang w:val="en-AU"/>
        </w:rPr>
        <w:t>million</w:t>
      </w:r>
      <w:r w:rsidRPr="002554E3">
        <w:rPr>
          <w:lang w:val="en-AU"/>
        </w:rPr>
        <w:t xml:space="preserve"> </w:t>
      </w:r>
      <w:r w:rsidR="0073173B">
        <w:rPr>
          <w:lang w:val="en-AU"/>
        </w:rPr>
        <w:t xml:space="preserve">(nominal) </w:t>
      </w:r>
      <w:r w:rsidRPr="002554E3">
        <w:rPr>
          <w:lang w:val="en-AU"/>
        </w:rPr>
        <w:t xml:space="preserve">as at </w:t>
      </w:r>
      <w:r w:rsidR="00DF074C" w:rsidRPr="002554E3">
        <w:rPr>
          <w:lang w:val="en-AU"/>
        </w:rPr>
        <w:t>1</w:t>
      </w:r>
      <w:r w:rsidR="00DF074C">
        <w:rPr>
          <w:lang w:val="en-AU"/>
        </w:rPr>
        <w:t> </w:t>
      </w:r>
      <w:r w:rsidR="00DF074C" w:rsidRPr="002554E3">
        <w:rPr>
          <w:lang w:val="en-AU"/>
        </w:rPr>
        <w:t>July</w:t>
      </w:r>
      <w:r w:rsidR="00DF074C">
        <w:rPr>
          <w:lang w:val="en-AU"/>
        </w:rPr>
        <w:t> </w:t>
      </w:r>
      <w:r w:rsidRPr="002554E3">
        <w:rPr>
          <w:lang w:val="en-AU"/>
        </w:rPr>
        <w:t>2014.</w:t>
      </w:r>
      <w:r w:rsidR="002554E3" w:rsidRPr="002554E3">
        <w:rPr>
          <w:lang w:val="en-AU"/>
        </w:rPr>
        <w:t xml:space="preserve"> </w:t>
      </w:r>
    </w:p>
    <w:p w14:paraId="6B2EBF1B" w14:textId="77777777" w:rsidR="00AB1AFD" w:rsidRPr="007E260A" w:rsidRDefault="00AB1AFD" w:rsidP="000134C4">
      <w:pPr>
        <w:pStyle w:val="UtilComHeading3"/>
        <w:rPr>
          <w:lang w:val="en-AU"/>
        </w:rPr>
      </w:pPr>
      <w:r w:rsidRPr="007E260A">
        <w:rPr>
          <w:lang w:val="en-AU"/>
        </w:rPr>
        <w:t xml:space="preserve">Reliability standards (refer Chapter </w:t>
      </w:r>
      <w:r w:rsidR="0073173B">
        <w:rPr>
          <w:lang w:val="en-AU"/>
        </w:rPr>
        <w:t>8</w:t>
      </w:r>
      <w:r w:rsidR="0073173B" w:rsidRPr="007E260A">
        <w:rPr>
          <w:lang w:val="en-AU"/>
        </w:rPr>
        <w:t xml:space="preserve"> </w:t>
      </w:r>
      <w:r w:rsidRPr="007E260A">
        <w:rPr>
          <w:lang w:val="en-AU"/>
        </w:rPr>
        <w:t>of this document)</w:t>
      </w:r>
    </w:p>
    <w:p w14:paraId="7B6660B2" w14:textId="420982E9" w:rsidR="00AB1AFD" w:rsidRDefault="00AB1AFD" w:rsidP="00A765A2">
      <w:pPr>
        <w:pStyle w:val="NumberLevel2"/>
        <w:numPr>
          <w:ilvl w:val="1"/>
          <w:numId w:val="4"/>
        </w:numPr>
        <w:tabs>
          <w:tab w:val="num" w:pos="709"/>
        </w:tabs>
        <w:ind w:left="709" w:hanging="709"/>
        <w:rPr>
          <w:lang w:val="en-AU"/>
        </w:rPr>
      </w:pPr>
      <w:r w:rsidRPr="00A16B66">
        <w:rPr>
          <w:lang w:val="en-AU"/>
        </w:rPr>
        <w:t xml:space="preserve">PWC Networks’ </w:t>
      </w:r>
      <w:r w:rsidR="00853A71">
        <w:rPr>
          <w:lang w:val="en-AU"/>
        </w:rPr>
        <w:t xml:space="preserve">initial and revised </w:t>
      </w:r>
      <w:r w:rsidRPr="00A16B66">
        <w:rPr>
          <w:lang w:val="en-AU"/>
        </w:rPr>
        <w:t>regulatory proposal</w:t>
      </w:r>
      <w:r w:rsidR="00441CE6">
        <w:rPr>
          <w:lang w:val="en-AU"/>
        </w:rPr>
        <w:t>s</w:t>
      </w:r>
      <w:r w:rsidRPr="00A16B66">
        <w:rPr>
          <w:lang w:val="en-AU"/>
        </w:rPr>
        <w:t xml:space="preserve"> </w:t>
      </w:r>
      <w:r w:rsidR="00853A71" w:rsidRPr="00A16B66">
        <w:rPr>
          <w:lang w:val="en-AU"/>
        </w:rPr>
        <w:t>note</w:t>
      </w:r>
      <w:r w:rsidR="00853A71">
        <w:rPr>
          <w:lang w:val="en-AU"/>
        </w:rPr>
        <w:t>d</w:t>
      </w:r>
      <w:r w:rsidR="00853A71" w:rsidRPr="00A16B66">
        <w:rPr>
          <w:lang w:val="en-AU"/>
        </w:rPr>
        <w:t xml:space="preserve"> </w:t>
      </w:r>
      <w:r w:rsidRPr="00A16B66">
        <w:rPr>
          <w:lang w:val="en-AU"/>
        </w:rPr>
        <w:t xml:space="preserve">that the Commission approved </w:t>
      </w:r>
      <w:r>
        <w:rPr>
          <w:lang w:val="en-AU"/>
        </w:rPr>
        <w:t xml:space="preserve">network reliability </w:t>
      </w:r>
      <w:r w:rsidRPr="00A16B66">
        <w:rPr>
          <w:lang w:val="en-AU"/>
        </w:rPr>
        <w:t xml:space="preserve">targets required under the </w:t>
      </w:r>
      <w:r>
        <w:rPr>
          <w:lang w:val="en-AU"/>
        </w:rPr>
        <w:t xml:space="preserve">ESS </w:t>
      </w:r>
      <w:r w:rsidRPr="00A16B66">
        <w:rPr>
          <w:lang w:val="en-AU"/>
        </w:rPr>
        <w:t xml:space="preserve">Code </w:t>
      </w:r>
      <w:r w:rsidR="00903271">
        <w:rPr>
          <w:lang w:val="en-AU"/>
        </w:rPr>
        <w:t>in</w:t>
      </w:r>
      <w:r w:rsidRPr="00A16B66">
        <w:rPr>
          <w:lang w:val="en-AU"/>
        </w:rPr>
        <w:t xml:space="preserve"> </w:t>
      </w:r>
      <w:r w:rsidR="00DF074C" w:rsidRPr="00A16B66">
        <w:rPr>
          <w:lang w:val="en-AU"/>
        </w:rPr>
        <w:t>June</w:t>
      </w:r>
      <w:r w:rsidR="00DF074C">
        <w:rPr>
          <w:lang w:val="en-AU"/>
        </w:rPr>
        <w:t> </w:t>
      </w:r>
      <w:r w:rsidRPr="00A16B66">
        <w:rPr>
          <w:lang w:val="en-AU"/>
        </w:rPr>
        <w:t>2013</w:t>
      </w:r>
      <w:r>
        <w:rPr>
          <w:lang w:val="en-AU"/>
        </w:rPr>
        <w:t xml:space="preserve">. </w:t>
      </w:r>
    </w:p>
    <w:p w14:paraId="21989077" w14:textId="44E9FF40" w:rsidR="00AB1AFD" w:rsidRPr="0061614B" w:rsidRDefault="00AB1AFD" w:rsidP="00A765A2">
      <w:pPr>
        <w:pStyle w:val="NumberLevel2"/>
        <w:numPr>
          <w:ilvl w:val="1"/>
          <w:numId w:val="4"/>
        </w:numPr>
        <w:tabs>
          <w:tab w:val="num" w:pos="709"/>
        </w:tabs>
        <w:ind w:left="709" w:hanging="709"/>
        <w:rPr>
          <w:lang w:val="en-AU"/>
        </w:rPr>
      </w:pPr>
      <w:r>
        <w:rPr>
          <w:lang w:val="en-AU"/>
        </w:rPr>
        <w:t xml:space="preserve">The Commission considers that the targets established under the ESS Code and related obligations under the </w:t>
      </w:r>
      <w:r w:rsidR="00E36181">
        <w:rPr>
          <w:lang w:val="en-AU"/>
        </w:rPr>
        <w:t xml:space="preserve">GSL Code </w:t>
      </w:r>
      <w:r>
        <w:rPr>
          <w:lang w:val="en-AU"/>
        </w:rPr>
        <w:t xml:space="preserve">establish appropriate standards for the service element of the regulatory bargain and form an appropriate basis for determining the capital </w:t>
      </w:r>
      <w:r w:rsidR="00853A71">
        <w:rPr>
          <w:lang w:val="en-AU"/>
        </w:rPr>
        <w:t xml:space="preserve">expenditure </w:t>
      </w:r>
      <w:r>
        <w:rPr>
          <w:lang w:val="en-AU"/>
        </w:rPr>
        <w:t xml:space="preserve">and operating </w:t>
      </w:r>
      <w:r w:rsidR="00853A71">
        <w:rPr>
          <w:lang w:val="en-AU"/>
        </w:rPr>
        <w:t xml:space="preserve">and maintenance </w:t>
      </w:r>
      <w:r>
        <w:rPr>
          <w:lang w:val="en-AU"/>
        </w:rPr>
        <w:t xml:space="preserve">expenditure required in the </w:t>
      </w:r>
      <w:r w:rsidR="00853A71">
        <w:rPr>
          <w:lang w:val="en-AU"/>
        </w:rPr>
        <w:t xml:space="preserve">2014-19 </w:t>
      </w:r>
      <w:r>
        <w:rPr>
          <w:lang w:val="en-AU"/>
        </w:rPr>
        <w:t>regulatory control period</w:t>
      </w:r>
      <w:r w:rsidR="0061614B">
        <w:rPr>
          <w:lang w:val="en-AU"/>
        </w:rPr>
        <w:t>.</w:t>
      </w:r>
    </w:p>
    <w:p w14:paraId="74EAEC2F" w14:textId="77777777" w:rsidR="00AB1AFD" w:rsidRPr="0061614B" w:rsidRDefault="00AB1AFD" w:rsidP="000134C4">
      <w:pPr>
        <w:pStyle w:val="UtilComHeading3"/>
        <w:rPr>
          <w:lang w:val="en-AU"/>
        </w:rPr>
      </w:pPr>
      <w:r w:rsidRPr="0061614B">
        <w:rPr>
          <w:lang w:val="en-AU"/>
        </w:rPr>
        <w:t>Forecast cap</w:t>
      </w:r>
      <w:r w:rsidR="00A124CB" w:rsidRPr="0061614B">
        <w:rPr>
          <w:lang w:val="en-AU"/>
        </w:rPr>
        <w:t xml:space="preserve">ital </w:t>
      </w:r>
      <w:r w:rsidRPr="0061614B">
        <w:rPr>
          <w:lang w:val="en-AU"/>
        </w:rPr>
        <w:t>ex</w:t>
      </w:r>
      <w:r w:rsidR="00A124CB" w:rsidRPr="0061614B">
        <w:rPr>
          <w:lang w:val="en-AU"/>
        </w:rPr>
        <w:t>penditure</w:t>
      </w:r>
      <w:r w:rsidRPr="0061614B">
        <w:rPr>
          <w:lang w:val="en-AU"/>
        </w:rPr>
        <w:t xml:space="preserve"> (refer Chapter </w:t>
      </w:r>
      <w:r w:rsidR="0073173B">
        <w:rPr>
          <w:lang w:val="en-AU"/>
        </w:rPr>
        <w:t>9</w:t>
      </w:r>
      <w:r w:rsidR="0073173B" w:rsidRPr="0061614B">
        <w:rPr>
          <w:lang w:val="en-AU"/>
        </w:rPr>
        <w:t xml:space="preserve"> </w:t>
      </w:r>
      <w:r w:rsidRPr="0061614B">
        <w:rPr>
          <w:lang w:val="en-AU"/>
        </w:rPr>
        <w:t>of this document)</w:t>
      </w:r>
    </w:p>
    <w:p w14:paraId="7373C7CC" w14:textId="662A3A51" w:rsidR="00AB1AFD" w:rsidRPr="006D14AE" w:rsidRDefault="00DF074C" w:rsidP="00A765A2">
      <w:pPr>
        <w:pStyle w:val="NumberLevel2"/>
        <w:numPr>
          <w:ilvl w:val="1"/>
          <w:numId w:val="4"/>
        </w:numPr>
        <w:tabs>
          <w:tab w:val="num" w:pos="709"/>
        </w:tabs>
        <w:ind w:left="709" w:hanging="709"/>
        <w:rPr>
          <w:lang w:val="en-AU"/>
        </w:rPr>
      </w:pPr>
      <w:r w:rsidRPr="00565C45">
        <w:rPr>
          <w:lang w:val="en-AU"/>
        </w:rPr>
        <w:t>PWC</w:t>
      </w:r>
      <w:r>
        <w:rPr>
          <w:lang w:val="en-AU"/>
        </w:rPr>
        <w:t> </w:t>
      </w:r>
      <w:r w:rsidR="00AB1AFD" w:rsidRPr="00565C45">
        <w:rPr>
          <w:lang w:val="en-AU"/>
        </w:rPr>
        <w:t xml:space="preserve">Networks proposed </w:t>
      </w:r>
      <w:r w:rsidR="0073173B">
        <w:rPr>
          <w:lang w:val="en-AU"/>
        </w:rPr>
        <w:t xml:space="preserve">a revised total forecast for </w:t>
      </w:r>
      <w:r w:rsidR="00AB1AFD">
        <w:rPr>
          <w:lang w:val="en-AU"/>
        </w:rPr>
        <w:t xml:space="preserve">capital expenditure </w:t>
      </w:r>
      <w:r w:rsidR="00AB1AFD" w:rsidRPr="00565C45">
        <w:rPr>
          <w:lang w:val="en-AU"/>
        </w:rPr>
        <w:t xml:space="preserve">of </w:t>
      </w:r>
      <w:r w:rsidR="0073173B">
        <w:rPr>
          <w:lang w:val="en-AU"/>
        </w:rPr>
        <w:t>$292.5 </w:t>
      </w:r>
      <w:r w:rsidR="00AB1AFD" w:rsidRPr="00565C45">
        <w:rPr>
          <w:lang w:val="en-AU"/>
        </w:rPr>
        <w:t xml:space="preserve">million ($2013–14) for the </w:t>
      </w:r>
      <w:r>
        <w:rPr>
          <w:lang w:val="en-AU"/>
        </w:rPr>
        <w:t>2014-19</w:t>
      </w:r>
      <w:r w:rsidRPr="00565C45">
        <w:rPr>
          <w:lang w:val="en-AU"/>
        </w:rPr>
        <w:t xml:space="preserve"> </w:t>
      </w:r>
      <w:r w:rsidR="00AB1AFD" w:rsidRPr="00565C45">
        <w:rPr>
          <w:lang w:val="en-AU"/>
        </w:rPr>
        <w:t>regulatory control period</w:t>
      </w:r>
      <w:r w:rsidR="00960295">
        <w:rPr>
          <w:lang w:val="en-AU"/>
        </w:rPr>
        <w:t xml:space="preserve"> in its revised regulatory proposal</w:t>
      </w:r>
      <w:r w:rsidR="00AB1AFD" w:rsidRPr="00565C45">
        <w:rPr>
          <w:lang w:val="en-AU"/>
        </w:rPr>
        <w:t xml:space="preserve">. </w:t>
      </w:r>
    </w:p>
    <w:p w14:paraId="3BC4DF8F" w14:textId="16DD09F1" w:rsidR="00AB1AFD" w:rsidRDefault="00AB1AFD" w:rsidP="00A765A2">
      <w:pPr>
        <w:pStyle w:val="NumberLevel2"/>
        <w:numPr>
          <w:ilvl w:val="1"/>
          <w:numId w:val="4"/>
        </w:numPr>
        <w:tabs>
          <w:tab w:val="num" w:pos="709"/>
        </w:tabs>
        <w:ind w:left="709" w:hanging="709"/>
        <w:rPr>
          <w:lang w:val="en-AU"/>
        </w:rPr>
      </w:pPr>
      <w:r>
        <w:rPr>
          <w:lang w:val="en-AU"/>
        </w:rPr>
        <w:t xml:space="preserve">The Commission is not satisfied that the forecast capital expenditure proposed by </w:t>
      </w:r>
      <w:r w:rsidR="00DF074C">
        <w:rPr>
          <w:lang w:val="en-AU"/>
        </w:rPr>
        <w:t>PWC </w:t>
      </w:r>
      <w:r>
        <w:rPr>
          <w:lang w:val="en-AU"/>
        </w:rPr>
        <w:t xml:space="preserve">Networks </w:t>
      </w:r>
      <w:r w:rsidRPr="00517937">
        <w:rPr>
          <w:lang w:val="en-AU"/>
        </w:rPr>
        <w:t xml:space="preserve">reflects </w:t>
      </w:r>
      <w:r>
        <w:rPr>
          <w:lang w:val="en-AU"/>
        </w:rPr>
        <w:t xml:space="preserve">prudent and </w:t>
      </w:r>
      <w:r w:rsidRPr="00517937">
        <w:rPr>
          <w:lang w:val="en-AU"/>
        </w:rPr>
        <w:t xml:space="preserve">efficient capital investment required to be undertaken by </w:t>
      </w:r>
      <w:r w:rsidR="00DF074C" w:rsidRPr="00517937">
        <w:rPr>
          <w:lang w:val="en-AU"/>
        </w:rPr>
        <w:t>PWC</w:t>
      </w:r>
      <w:r w:rsidR="00DF074C">
        <w:rPr>
          <w:lang w:val="en-AU"/>
        </w:rPr>
        <w:t> </w:t>
      </w:r>
      <w:r w:rsidRPr="00517937">
        <w:rPr>
          <w:lang w:val="en-AU"/>
        </w:rPr>
        <w:t xml:space="preserve">Networks in the </w:t>
      </w:r>
      <w:r w:rsidR="00DF074C">
        <w:rPr>
          <w:lang w:val="en-AU"/>
        </w:rPr>
        <w:t>2014-19</w:t>
      </w:r>
      <w:r w:rsidR="00DF074C" w:rsidRPr="00517937">
        <w:rPr>
          <w:lang w:val="en-AU"/>
        </w:rPr>
        <w:t xml:space="preserve"> </w:t>
      </w:r>
      <w:r w:rsidRPr="00517937">
        <w:rPr>
          <w:lang w:val="en-AU"/>
        </w:rPr>
        <w:t>regulatory control period</w:t>
      </w:r>
      <w:r>
        <w:rPr>
          <w:lang w:val="en-AU"/>
        </w:rPr>
        <w:t xml:space="preserve"> </w:t>
      </w:r>
      <w:r w:rsidRPr="005B6B13">
        <w:rPr>
          <w:lang w:val="en-AU"/>
        </w:rPr>
        <w:t>in order to maintain or extend network capacity that is commensurate with the commercial and regulatory risks involved</w:t>
      </w:r>
      <w:r w:rsidR="000B106E">
        <w:rPr>
          <w:lang w:val="en-AU"/>
        </w:rPr>
        <w:t>, nor that PWC Networks’ forecast reasonably reflects the capital expenditure criteria set out in clause 6.5.7(c) of the NER</w:t>
      </w:r>
      <w:r>
        <w:rPr>
          <w:lang w:val="en-AU"/>
        </w:rPr>
        <w:t>.</w:t>
      </w:r>
      <w:r w:rsidR="00903271">
        <w:rPr>
          <w:lang w:val="en-AU"/>
        </w:rPr>
        <w:t xml:space="preserve"> </w:t>
      </w:r>
    </w:p>
    <w:p w14:paraId="0AC153EF" w14:textId="510D21C9" w:rsidR="00903271" w:rsidRDefault="00903271" w:rsidP="00A765A2">
      <w:pPr>
        <w:pStyle w:val="ListParagraph"/>
        <w:numPr>
          <w:ilvl w:val="1"/>
          <w:numId w:val="4"/>
        </w:numPr>
        <w:tabs>
          <w:tab w:val="num" w:pos="709"/>
        </w:tabs>
        <w:ind w:left="709" w:hanging="709"/>
        <w:rPr>
          <w:lang w:val="en-AU"/>
        </w:rPr>
      </w:pPr>
      <w:r>
        <w:rPr>
          <w:lang w:val="en-AU"/>
        </w:rPr>
        <w:t xml:space="preserve">This conclusion is based in part on the Commission’s assessment that the demand forecasts proposed by </w:t>
      </w:r>
      <w:r w:rsidR="00DF074C">
        <w:rPr>
          <w:lang w:val="en-AU"/>
        </w:rPr>
        <w:t>PWC </w:t>
      </w:r>
      <w:r>
        <w:rPr>
          <w:lang w:val="en-AU"/>
        </w:rPr>
        <w:t xml:space="preserve">Networks exhibit an upward bias </w:t>
      </w:r>
      <w:r w:rsidR="00881921">
        <w:rPr>
          <w:lang w:val="en-AU"/>
        </w:rPr>
        <w:t xml:space="preserve">that is not justified </w:t>
      </w:r>
      <w:r>
        <w:rPr>
          <w:lang w:val="en-AU"/>
        </w:rPr>
        <w:t xml:space="preserve">and that a deferral by two to three years of proposed forecast demand should be applied in considering </w:t>
      </w:r>
      <w:r w:rsidR="00A124CB">
        <w:rPr>
          <w:lang w:val="en-AU"/>
        </w:rPr>
        <w:t>capital expenditure proposals.</w:t>
      </w:r>
      <w:r>
        <w:rPr>
          <w:lang w:val="en-AU"/>
        </w:rPr>
        <w:t xml:space="preserve"> </w:t>
      </w:r>
    </w:p>
    <w:p w14:paraId="35BDA947" w14:textId="76B37B18" w:rsidR="00AB1AFD" w:rsidRPr="0044449C" w:rsidRDefault="00AB1AFD" w:rsidP="00A765A2">
      <w:pPr>
        <w:pStyle w:val="ListParagraph"/>
        <w:numPr>
          <w:ilvl w:val="1"/>
          <w:numId w:val="4"/>
        </w:numPr>
        <w:tabs>
          <w:tab w:val="num" w:pos="709"/>
        </w:tabs>
        <w:ind w:left="709" w:hanging="709"/>
        <w:rPr>
          <w:lang w:val="en-AU"/>
        </w:rPr>
      </w:pPr>
      <w:r w:rsidRPr="0044449C">
        <w:rPr>
          <w:lang w:val="en-AU"/>
        </w:rPr>
        <w:t xml:space="preserve">The Commission’s estimate of the total </w:t>
      </w:r>
      <w:r>
        <w:rPr>
          <w:lang w:val="en-AU"/>
        </w:rPr>
        <w:t xml:space="preserve">capital expenditure </w:t>
      </w:r>
      <w:r w:rsidRPr="0044449C">
        <w:rPr>
          <w:lang w:val="en-AU"/>
        </w:rPr>
        <w:t xml:space="preserve">required by </w:t>
      </w:r>
      <w:r w:rsidR="00E36181" w:rsidRPr="0044449C">
        <w:rPr>
          <w:lang w:val="en-AU"/>
        </w:rPr>
        <w:t>PWC</w:t>
      </w:r>
      <w:r w:rsidR="00E36181">
        <w:rPr>
          <w:lang w:val="en-AU"/>
        </w:rPr>
        <w:t> </w:t>
      </w:r>
      <w:r w:rsidRPr="0044449C">
        <w:rPr>
          <w:lang w:val="en-AU"/>
        </w:rPr>
        <w:t xml:space="preserve">Networks in the </w:t>
      </w:r>
      <w:r w:rsidR="00DF074C">
        <w:rPr>
          <w:lang w:val="en-AU"/>
        </w:rPr>
        <w:t>2014-19</w:t>
      </w:r>
      <w:r w:rsidR="00DF074C" w:rsidRPr="0044449C">
        <w:rPr>
          <w:lang w:val="en-AU"/>
        </w:rPr>
        <w:t xml:space="preserve"> </w:t>
      </w:r>
      <w:r w:rsidRPr="0044449C">
        <w:rPr>
          <w:lang w:val="en-AU"/>
        </w:rPr>
        <w:t>regulatory</w:t>
      </w:r>
      <w:r w:rsidR="001F0FFB">
        <w:rPr>
          <w:lang w:val="en-AU"/>
        </w:rPr>
        <w:t xml:space="preserve"> control</w:t>
      </w:r>
      <w:r w:rsidRPr="0044449C">
        <w:rPr>
          <w:lang w:val="en-AU"/>
        </w:rPr>
        <w:t xml:space="preserve"> period that reflects</w:t>
      </w:r>
      <w:r>
        <w:rPr>
          <w:lang w:val="en-AU"/>
        </w:rPr>
        <w:t xml:space="preserve"> prudent and</w:t>
      </w:r>
      <w:r w:rsidRPr="0044449C">
        <w:rPr>
          <w:lang w:val="en-AU"/>
        </w:rPr>
        <w:t xml:space="preserve"> efficient capital investment </w:t>
      </w:r>
      <w:r w:rsidRPr="000C6589">
        <w:rPr>
          <w:lang w:val="en-AU"/>
        </w:rPr>
        <w:t xml:space="preserve">is </w:t>
      </w:r>
      <w:r w:rsidR="002E120A" w:rsidRPr="00C64801">
        <w:rPr>
          <w:lang w:val="en-AU"/>
        </w:rPr>
        <w:t>$27</w:t>
      </w:r>
      <w:r w:rsidR="005E22AF" w:rsidRPr="00C64801">
        <w:rPr>
          <w:lang w:val="en-AU"/>
        </w:rPr>
        <w:t>4</w:t>
      </w:r>
      <w:r w:rsidR="002E120A" w:rsidRPr="00C64801">
        <w:rPr>
          <w:lang w:val="en-AU"/>
        </w:rPr>
        <w:t>.</w:t>
      </w:r>
      <w:r w:rsidR="005E22AF" w:rsidRPr="00C64801">
        <w:rPr>
          <w:lang w:val="en-AU"/>
        </w:rPr>
        <w:t>0</w:t>
      </w:r>
      <w:r w:rsidR="00FB54CD" w:rsidRPr="00C64801">
        <w:rPr>
          <w:lang w:val="en-AU"/>
        </w:rPr>
        <w:t> </w:t>
      </w:r>
      <w:r w:rsidRPr="00C64801">
        <w:rPr>
          <w:lang w:val="en-AU"/>
        </w:rPr>
        <w:t>million</w:t>
      </w:r>
      <w:r w:rsidR="002C1E0A">
        <w:rPr>
          <w:lang w:val="en-AU"/>
        </w:rPr>
        <w:t xml:space="preserve"> ($2013-14)</w:t>
      </w:r>
      <w:r>
        <w:rPr>
          <w:lang w:val="en-AU"/>
        </w:rPr>
        <w:t>.</w:t>
      </w:r>
      <w:r w:rsidR="000B106E">
        <w:rPr>
          <w:lang w:val="en-AU"/>
        </w:rPr>
        <w:t xml:space="preserve"> The Commission considers that this reasonably reflects the level of expenditure required to meet the capital expenditure objectives set out in clause 6.5.7(a) of the NER.</w:t>
      </w:r>
    </w:p>
    <w:p w14:paraId="4813DE23" w14:textId="77777777" w:rsidR="00AB1AFD" w:rsidRPr="0061614B" w:rsidRDefault="00AB1AFD" w:rsidP="000134C4">
      <w:pPr>
        <w:pStyle w:val="UtilComHeading3"/>
        <w:rPr>
          <w:lang w:val="en-AU"/>
        </w:rPr>
      </w:pPr>
      <w:r w:rsidRPr="0061614B">
        <w:rPr>
          <w:lang w:val="en-AU"/>
        </w:rPr>
        <w:t>Forecast op</w:t>
      </w:r>
      <w:r w:rsidR="00A124CB" w:rsidRPr="0061614B">
        <w:rPr>
          <w:lang w:val="en-AU"/>
        </w:rPr>
        <w:t xml:space="preserve">erating </w:t>
      </w:r>
      <w:r w:rsidRPr="0061614B">
        <w:rPr>
          <w:lang w:val="en-AU"/>
        </w:rPr>
        <w:t>ex</w:t>
      </w:r>
      <w:r w:rsidR="00A124CB" w:rsidRPr="0061614B">
        <w:rPr>
          <w:lang w:val="en-AU"/>
        </w:rPr>
        <w:t>penditure</w:t>
      </w:r>
      <w:r w:rsidRPr="0061614B">
        <w:rPr>
          <w:lang w:val="en-AU"/>
        </w:rPr>
        <w:t xml:space="preserve"> (refer Chapter </w:t>
      </w:r>
      <w:r w:rsidR="00AC4A96">
        <w:rPr>
          <w:lang w:val="en-AU"/>
        </w:rPr>
        <w:t>10</w:t>
      </w:r>
      <w:r w:rsidR="00AC4A96" w:rsidRPr="0061614B">
        <w:rPr>
          <w:lang w:val="en-AU"/>
        </w:rPr>
        <w:t xml:space="preserve"> </w:t>
      </w:r>
      <w:r w:rsidRPr="0061614B">
        <w:rPr>
          <w:lang w:val="en-AU"/>
        </w:rPr>
        <w:t>of this document)</w:t>
      </w:r>
    </w:p>
    <w:p w14:paraId="3D3DBA49" w14:textId="31A1CBAC" w:rsidR="00AB1AFD" w:rsidRDefault="00DF074C" w:rsidP="009A0EBC">
      <w:pPr>
        <w:pStyle w:val="ListParagraph"/>
        <w:numPr>
          <w:ilvl w:val="1"/>
          <w:numId w:val="4"/>
        </w:numPr>
        <w:tabs>
          <w:tab w:val="num" w:pos="709"/>
        </w:tabs>
        <w:ind w:left="709" w:hanging="709"/>
        <w:rPr>
          <w:lang w:val="en-AU"/>
        </w:rPr>
      </w:pPr>
      <w:r w:rsidRPr="002074D5">
        <w:rPr>
          <w:lang w:val="en-AU"/>
        </w:rPr>
        <w:t>PWC</w:t>
      </w:r>
      <w:r>
        <w:rPr>
          <w:lang w:val="en-AU"/>
        </w:rPr>
        <w:t> </w:t>
      </w:r>
      <w:r w:rsidR="00AB1AFD" w:rsidRPr="002074D5">
        <w:rPr>
          <w:lang w:val="en-AU"/>
        </w:rPr>
        <w:t xml:space="preserve">Networks </w:t>
      </w:r>
      <w:r w:rsidR="00AB1AFD">
        <w:rPr>
          <w:lang w:val="en-AU"/>
        </w:rPr>
        <w:t xml:space="preserve">proposed </w:t>
      </w:r>
      <w:r w:rsidR="000C1D76">
        <w:rPr>
          <w:lang w:val="en-AU"/>
        </w:rPr>
        <w:t xml:space="preserve">a revised total forecast for </w:t>
      </w:r>
      <w:r w:rsidR="00AB1AFD">
        <w:rPr>
          <w:lang w:val="en-AU"/>
        </w:rPr>
        <w:t xml:space="preserve">operating and maintenance expenditure </w:t>
      </w:r>
      <w:r w:rsidR="00AB1AFD" w:rsidRPr="002074D5">
        <w:rPr>
          <w:lang w:val="en-AU"/>
        </w:rPr>
        <w:t xml:space="preserve">of </w:t>
      </w:r>
      <w:r w:rsidR="000C1D76">
        <w:rPr>
          <w:lang w:val="en-AU"/>
        </w:rPr>
        <w:t>$528.1 </w:t>
      </w:r>
      <w:r w:rsidR="00AB1AFD" w:rsidRPr="002074D5">
        <w:rPr>
          <w:lang w:val="en-AU"/>
        </w:rPr>
        <w:t>million ($2013</w:t>
      </w:r>
      <w:r w:rsidR="00A765A2">
        <w:rPr>
          <w:lang w:val="en-AU"/>
        </w:rPr>
        <w:t>-</w:t>
      </w:r>
      <w:r w:rsidR="00AB1AFD" w:rsidRPr="002074D5">
        <w:rPr>
          <w:lang w:val="en-AU"/>
        </w:rPr>
        <w:t xml:space="preserve">14) for the </w:t>
      </w:r>
      <w:r>
        <w:rPr>
          <w:lang w:val="en-AU"/>
        </w:rPr>
        <w:t>2014-19</w:t>
      </w:r>
      <w:r w:rsidRPr="002074D5">
        <w:rPr>
          <w:lang w:val="en-AU"/>
        </w:rPr>
        <w:t xml:space="preserve"> </w:t>
      </w:r>
      <w:r w:rsidR="00AB1AFD" w:rsidRPr="002074D5">
        <w:rPr>
          <w:lang w:val="en-AU"/>
        </w:rPr>
        <w:t>regulatory control period</w:t>
      </w:r>
      <w:r w:rsidR="00960295">
        <w:rPr>
          <w:lang w:val="en-AU"/>
        </w:rPr>
        <w:t xml:space="preserve"> in its revised regulatory proposal</w:t>
      </w:r>
      <w:r w:rsidR="00AB1AFD" w:rsidRPr="002074D5">
        <w:rPr>
          <w:lang w:val="en-AU"/>
        </w:rPr>
        <w:t>.</w:t>
      </w:r>
    </w:p>
    <w:p w14:paraId="042046A2" w14:textId="3423F5CA" w:rsidR="00AB1AFD" w:rsidRDefault="00AB1AFD" w:rsidP="009A0EBC">
      <w:pPr>
        <w:pStyle w:val="NumberLevel2"/>
        <w:numPr>
          <w:ilvl w:val="1"/>
          <w:numId w:val="4"/>
        </w:numPr>
        <w:tabs>
          <w:tab w:val="num" w:pos="709"/>
        </w:tabs>
        <w:ind w:left="709" w:hanging="709"/>
        <w:rPr>
          <w:lang w:val="en-AU"/>
        </w:rPr>
      </w:pPr>
      <w:r>
        <w:rPr>
          <w:lang w:val="en-AU"/>
        </w:rPr>
        <w:t xml:space="preserve">The Commission is not satisfied that the operating and maintenance expenditure proposed by </w:t>
      </w:r>
      <w:r w:rsidR="00DF074C">
        <w:rPr>
          <w:lang w:val="en-AU"/>
        </w:rPr>
        <w:t>PWC </w:t>
      </w:r>
      <w:r>
        <w:rPr>
          <w:lang w:val="en-AU"/>
        </w:rPr>
        <w:t xml:space="preserve">Networks </w:t>
      </w:r>
      <w:r>
        <w:t xml:space="preserve">reflects </w:t>
      </w:r>
      <w:r>
        <w:rPr>
          <w:lang w:val="en-AU"/>
        </w:rPr>
        <w:t xml:space="preserve">efficient </w:t>
      </w:r>
      <w:r w:rsidRPr="009A3B67">
        <w:rPr>
          <w:lang w:val="en-AU"/>
        </w:rPr>
        <w:t xml:space="preserve">costs </w:t>
      </w:r>
      <w:r>
        <w:rPr>
          <w:lang w:val="en-AU"/>
        </w:rPr>
        <w:t xml:space="preserve">required to be </w:t>
      </w:r>
      <w:r w:rsidRPr="009A3B67">
        <w:rPr>
          <w:lang w:val="en-AU"/>
        </w:rPr>
        <w:t xml:space="preserve">incurred by </w:t>
      </w:r>
      <w:r w:rsidR="00E36181">
        <w:rPr>
          <w:lang w:val="en-AU"/>
        </w:rPr>
        <w:t>PWC </w:t>
      </w:r>
      <w:r>
        <w:rPr>
          <w:lang w:val="en-AU"/>
        </w:rPr>
        <w:t>Networks</w:t>
      </w:r>
      <w:r w:rsidRPr="009A3B67">
        <w:rPr>
          <w:lang w:val="en-AU"/>
        </w:rPr>
        <w:t xml:space="preserve"> in connection with the operation and maintenance of </w:t>
      </w:r>
      <w:r w:rsidR="00960295">
        <w:rPr>
          <w:lang w:val="en-AU"/>
        </w:rPr>
        <w:t>its</w:t>
      </w:r>
      <w:r w:rsidR="00960295" w:rsidRPr="009A3B67">
        <w:rPr>
          <w:lang w:val="en-AU"/>
        </w:rPr>
        <w:t xml:space="preserve"> </w:t>
      </w:r>
      <w:r w:rsidR="00960295">
        <w:rPr>
          <w:lang w:val="en-AU"/>
        </w:rPr>
        <w:t xml:space="preserve">electricity </w:t>
      </w:r>
      <w:r w:rsidRPr="009A3B67">
        <w:rPr>
          <w:lang w:val="en-AU"/>
        </w:rPr>
        <w:t>network</w:t>
      </w:r>
      <w:r w:rsidR="000B106E">
        <w:rPr>
          <w:lang w:val="en-AU"/>
        </w:rPr>
        <w:t>, nor that PWC Networks’ forecast reasonably reflects the operating expenditure criteria set out in clause 6.5.6(c) of the NER</w:t>
      </w:r>
      <w:r>
        <w:rPr>
          <w:lang w:val="en-AU"/>
        </w:rPr>
        <w:t>.</w:t>
      </w:r>
    </w:p>
    <w:p w14:paraId="65426C99" w14:textId="0B8BF867" w:rsidR="00AB1AFD" w:rsidRPr="004B63D8" w:rsidRDefault="00AB1AFD" w:rsidP="004B63D8">
      <w:pPr>
        <w:pStyle w:val="NumberLevel2"/>
        <w:numPr>
          <w:ilvl w:val="1"/>
          <w:numId w:val="4"/>
        </w:numPr>
        <w:tabs>
          <w:tab w:val="num" w:pos="709"/>
        </w:tabs>
        <w:ind w:left="709" w:hanging="709"/>
        <w:rPr>
          <w:lang w:val="en-AU"/>
        </w:rPr>
      </w:pPr>
      <w:r w:rsidRPr="002074D5">
        <w:rPr>
          <w:lang w:val="en-AU"/>
        </w:rPr>
        <w:t xml:space="preserve">The Commission’s estimate of </w:t>
      </w:r>
      <w:r w:rsidR="00441CE6">
        <w:rPr>
          <w:lang w:val="en-AU"/>
        </w:rPr>
        <w:t xml:space="preserve">the </w:t>
      </w:r>
      <w:r>
        <w:rPr>
          <w:lang w:val="en-AU"/>
        </w:rPr>
        <w:t>efficient</w:t>
      </w:r>
      <w:r w:rsidRPr="002074D5">
        <w:rPr>
          <w:lang w:val="en-AU"/>
        </w:rPr>
        <w:t xml:space="preserve"> op</w:t>
      </w:r>
      <w:r>
        <w:rPr>
          <w:lang w:val="en-AU"/>
        </w:rPr>
        <w:t xml:space="preserve">erating and maintenance </w:t>
      </w:r>
      <w:r w:rsidRPr="002074D5">
        <w:rPr>
          <w:lang w:val="en-AU"/>
        </w:rPr>
        <w:t>ex</w:t>
      </w:r>
      <w:r>
        <w:rPr>
          <w:lang w:val="en-AU"/>
        </w:rPr>
        <w:t>penditure</w:t>
      </w:r>
      <w:r w:rsidRPr="002074D5">
        <w:rPr>
          <w:lang w:val="en-AU"/>
        </w:rPr>
        <w:t xml:space="preserve"> </w:t>
      </w:r>
      <w:r w:rsidRPr="000C6589">
        <w:rPr>
          <w:lang w:val="en-AU"/>
        </w:rPr>
        <w:t xml:space="preserve">requirements </w:t>
      </w:r>
      <w:r w:rsidR="00441CE6">
        <w:rPr>
          <w:lang w:val="en-AU"/>
        </w:rPr>
        <w:t xml:space="preserve">for </w:t>
      </w:r>
      <w:r w:rsidR="00DF074C" w:rsidRPr="000C6589">
        <w:rPr>
          <w:lang w:val="en-AU"/>
        </w:rPr>
        <w:t>PWC </w:t>
      </w:r>
      <w:r w:rsidRPr="000C6589">
        <w:rPr>
          <w:lang w:val="en-AU"/>
        </w:rPr>
        <w:t xml:space="preserve">Networks in the </w:t>
      </w:r>
      <w:r w:rsidR="00DF074C" w:rsidRPr="000C6589">
        <w:rPr>
          <w:lang w:val="en-AU"/>
        </w:rPr>
        <w:t xml:space="preserve">2014-19 </w:t>
      </w:r>
      <w:r w:rsidRPr="00FD3193">
        <w:rPr>
          <w:lang w:val="en-AU"/>
        </w:rPr>
        <w:t xml:space="preserve">regulatory </w:t>
      </w:r>
      <w:r w:rsidR="001F0FFB" w:rsidRPr="000C6589">
        <w:rPr>
          <w:lang w:val="en-AU"/>
        </w:rPr>
        <w:t xml:space="preserve">control </w:t>
      </w:r>
      <w:r w:rsidRPr="000C6589">
        <w:rPr>
          <w:lang w:val="en-AU"/>
        </w:rPr>
        <w:t xml:space="preserve">period is </w:t>
      </w:r>
      <w:r w:rsidR="003261B8">
        <w:rPr>
          <w:lang w:val="en-AU"/>
        </w:rPr>
        <w:t>$431.1</w:t>
      </w:r>
      <w:r w:rsidR="00FB54CD">
        <w:rPr>
          <w:lang w:val="en-AU"/>
        </w:rPr>
        <w:t> </w:t>
      </w:r>
      <w:r w:rsidRPr="00CF21F0">
        <w:rPr>
          <w:lang w:val="en-AU"/>
        </w:rPr>
        <w:t>million</w:t>
      </w:r>
      <w:r w:rsidR="002C1E0A">
        <w:rPr>
          <w:lang w:val="en-AU"/>
        </w:rPr>
        <w:t xml:space="preserve"> ($2013-14)</w:t>
      </w:r>
      <w:r w:rsidRPr="00CF21F0">
        <w:rPr>
          <w:lang w:val="en-AU"/>
        </w:rPr>
        <w:t>.</w:t>
      </w:r>
      <w:r w:rsidR="000B106E">
        <w:rPr>
          <w:lang w:val="en-AU"/>
        </w:rPr>
        <w:t xml:space="preserve"> The Commission considers that this reasonably reflects the level of expenditure required to meet the operating expenditure objectives set out in clause 6.5.6(a) of the NER.</w:t>
      </w:r>
    </w:p>
    <w:p w14:paraId="404D08D1" w14:textId="77777777" w:rsidR="00AB1AFD" w:rsidRPr="0061614B" w:rsidRDefault="00AB1AFD" w:rsidP="000134C4">
      <w:pPr>
        <w:pStyle w:val="UtilComHeading3"/>
        <w:rPr>
          <w:lang w:val="en-AU"/>
        </w:rPr>
      </w:pPr>
      <w:r w:rsidRPr="0061614B">
        <w:rPr>
          <w:lang w:val="en-AU"/>
        </w:rPr>
        <w:t xml:space="preserve">Depreciation (refer Chapter </w:t>
      </w:r>
      <w:r w:rsidR="000C1D76">
        <w:rPr>
          <w:lang w:val="en-AU"/>
        </w:rPr>
        <w:t>11</w:t>
      </w:r>
      <w:r w:rsidR="000C1D76" w:rsidRPr="0061614B">
        <w:rPr>
          <w:lang w:val="en-AU"/>
        </w:rPr>
        <w:t xml:space="preserve"> </w:t>
      </w:r>
      <w:r w:rsidRPr="0061614B">
        <w:rPr>
          <w:lang w:val="en-AU"/>
        </w:rPr>
        <w:t>of this document)</w:t>
      </w:r>
    </w:p>
    <w:p w14:paraId="66580E98" w14:textId="13C54B9B" w:rsidR="00AB1AFD" w:rsidRDefault="00F13BDA" w:rsidP="009A0EBC">
      <w:pPr>
        <w:pStyle w:val="NumberLevel2"/>
        <w:numPr>
          <w:ilvl w:val="1"/>
          <w:numId w:val="4"/>
        </w:numPr>
        <w:tabs>
          <w:tab w:val="left" w:pos="709"/>
        </w:tabs>
        <w:ind w:left="709" w:hanging="709"/>
        <w:rPr>
          <w:lang w:val="en-AU"/>
        </w:rPr>
      </w:pPr>
      <w:r>
        <w:rPr>
          <w:lang w:val="en-AU"/>
        </w:rPr>
        <w:t>PWC </w:t>
      </w:r>
      <w:r w:rsidR="00AB1AFD">
        <w:rPr>
          <w:lang w:val="en-AU"/>
        </w:rPr>
        <w:t>Networks</w:t>
      </w:r>
      <w:r w:rsidR="000C1D76">
        <w:rPr>
          <w:lang w:val="en-AU"/>
        </w:rPr>
        <w:t>’ revised regulatory proposal calculated</w:t>
      </w:r>
      <w:r w:rsidR="00441CE6">
        <w:rPr>
          <w:lang w:val="en-AU"/>
        </w:rPr>
        <w:t xml:space="preserve"> a</w:t>
      </w:r>
      <w:r w:rsidR="00AB1AFD">
        <w:rPr>
          <w:lang w:val="en-AU"/>
        </w:rPr>
        <w:t xml:space="preserve"> regulatory depreciation </w:t>
      </w:r>
      <w:r w:rsidR="00960295">
        <w:rPr>
          <w:lang w:val="en-AU"/>
        </w:rPr>
        <w:t xml:space="preserve">allowance </w:t>
      </w:r>
      <w:r w:rsidR="00AB1AFD">
        <w:rPr>
          <w:lang w:val="en-AU"/>
        </w:rPr>
        <w:t xml:space="preserve">totalling </w:t>
      </w:r>
      <w:r w:rsidR="000C1D76">
        <w:rPr>
          <w:lang w:val="en-AU"/>
        </w:rPr>
        <w:t>$146.6 </w:t>
      </w:r>
      <w:r w:rsidR="00AB1AFD">
        <w:rPr>
          <w:lang w:val="en-AU"/>
        </w:rPr>
        <w:t xml:space="preserve">million (nominal) over the </w:t>
      </w:r>
      <w:r>
        <w:rPr>
          <w:lang w:val="en-AU"/>
        </w:rPr>
        <w:t xml:space="preserve">2014-19 </w:t>
      </w:r>
      <w:r w:rsidR="00AB1AFD">
        <w:rPr>
          <w:lang w:val="en-AU"/>
        </w:rPr>
        <w:t>regulatory control period</w:t>
      </w:r>
      <w:r w:rsidR="00AB1AFD" w:rsidRPr="00184F77">
        <w:rPr>
          <w:lang w:val="en-AU"/>
        </w:rPr>
        <w:t>.</w:t>
      </w:r>
    </w:p>
    <w:p w14:paraId="5B34C0CC" w14:textId="3B872FEA" w:rsidR="00AB1AFD" w:rsidRDefault="00AB1AFD" w:rsidP="009A0EBC">
      <w:pPr>
        <w:pStyle w:val="NumberLevel2"/>
        <w:numPr>
          <w:ilvl w:val="1"/>
          <w:numId w:val="4"/>
        </w:numPr>
        <w:tabs>
          <w:tab w:val="num" w:pos="709"/>
        </w:tabs>
        <w:ind w:left="709" w:hanging="709"/>
        <w:rPr>
          <w:lang w:val="en-AU"/>
        </w:rPr>
      </w:pPr>
      <w:r w:rsidRPr="0073149C">
        <w:rPr>
          <w:lang w:val="en-AU"/>
        </w:rPr>
        <w:t xml:space="preserve">On the basis of the </w:t>
      </w:r>
      <w:r>
        <w:rPr>
          <w:lang w:val="en-AU"/>
        </w:rPr>
        <w:t>Commission</w:t>
      </w:r>
      <w:r w:rsidRPr="0073149C">
        <w:rPr>
          <w:lang w:val="en-AU"/>
        </w:rPr>
        <w:t>’s approved asset lives, opening RAB, and forecast cap</w:t>
      </w:r>
      <w:r>
        <w:rPr>
          <w:lang w:val="en-AU"/>
        </w:rPr>
        <w:t xml:space="preserve">ital </w:t>
      </w:r>
      <w:r w:rsidRPr="0073149C">
        <w:rPr>
          <w:lang w:val="en-AU"/>
        </w:rPr>
        <w:t>ex</w:t>
      </w:r>
      <w:r>
        <w:rPr>
          <w:lang w:val="en-AU"/>
        </w:rPr>
        <w:t>penditure</w:t>
      </w:r>
      <w:r w:rsidRPr="0073149C">
        <w:rPr>
          <w:lang w:val="en-AU"/>
        </w:rPr>
        <w:t xml:space="preserve">, the </w:t>
      </w:r>
      <w:r>
        <w:rPr>
          <w:lang w:val="en-AU"/>
        </w:rPr>
        <w:t>Commission</w:t>
      </w:r>
      <w:r w:rsidRPr="0073149C">
        <w:rPr>
          <w:lang w:val="en-AU"/>
        </w:rPr>
        <w:t xml:space="preserve"> has determined </w:t>
      </w:r>
      <w:r w:rsidR="00960295">
        <w:rPr>
          <w:lang w:val="en-AU"/>
        </w:rPr>
        <w:t xml:space="preserve">a </w:t>
      </w:r>
      <w:r w:rsidRPr="0073149C">
        <w:rPr>
          <w:lang w:val="en-AU"/>
        </w:rPr>
        <w:t xml:space="preserve">regulatory depreciation </w:t>
      </w:r>
      <w:r w:rsidR="00960295">
        <w:rPr>
          <w:lang w:val="en-AU"/>
        </w:rPr>
        <w:t>allowance of</w:t>
      </w:r>
      <w:r w:rsidR="00960295" w:rsidRPr="000C6589">
        <w:rPr>
          <w:lang w:val="en-AU"/>
        </w:rPr>
        <w:t xml:space="preserve"> </w:t>
      </w:r>
      <w:r w:rsidR="00B52ECB">
        <w:rPr>
          <w:lang w:val="en-AU"/>
        </w:rPr>
        <w:t>$143.9</w:t>
      </w:r>
      <w:r w:rsidR="00FB54CD">
        <w:rPr>
          <w:lang w:val="en-AU"/>
        </w:rPr>
        <w:t> </w:t>
      </w:r>
      <w:r>
        <w:rPr>
          <w:lang w:val="en-AU"/>
        </w:rPr>
        <w:t>million</w:t>
      </w:r>
      <w:r w:rsidR="002C1E0A">
        <w:rPr>
          <w:lang w:val="en-AU"/>
        </w:rPr>
        <w:t xml:space="preserve"> (nominal)</w:t>
      </w:r>
      <w:r w:rsidRPr="0073149C">
        <w:rPr>
          <w:lang w:val="en-AU"/>
        </w:rPr>
        <w:t>.</w:t>
      </w:r>
    </w:p>
    <w:p w14:paraId="11D53B50" w14:textId="77777777" w:rsidR="00AB1AFD" w:rsidRPr="0061614B" w:rsidRDefault="00AB1AFD" w:rsidP="000134C4">
      <w:pPr>
        <w:pStyle w:val="UtilComHeading3"/>
        <w:rPr>
          <w:lang w:val="en-AU"/>
        </w:rPr>
      </w:pPr>
      <w:r w:rsidRPr="0061614B">
        <w:rPr>
          <w:lang w:val="en-AU"/>
        </w:rPr>
        <w:t xml:space="preserve">Cost of capital (refer Chapter </w:t>
      </w:r>
      <w:r w:rsidR="000C1D76">
        <w:rPr>
          <w:lang w:val="en-AU"/>
        </w:rPr>
        <w:t>12</w:t>
      </w:r>
      <w:r w:rsidR="000C1D76" w:rsidRPr="0061614B">
        <w:rPr>
          <w:lang w:val="en-AU"/>
        </w:rPr>
        <w:t xml:space="preserve"> </w:t>
      </w:r>
      <w:r w:rsidRPr="0061614B">
        <w:rPr>
          <w:lang w:val="en-AU"/>
        </w:rPr>
        <w:t>of this document)</w:t>
      </w:r>
    </w:p>
    <w:p w14:paraId="3C512070" w14:textId="61B5D567" w:rsidR="00AB1AFD" w:rsidRDefault="00F13BDA" w:rsidP="009A0EBC">
      <w:pPr>
        <w:pStyle w:val="NumberLevel2"/>
        <w:numPr>
          <w:ilvl w:val="1"/>
          <w:numId w:val="4"/>
        </w:numPr>
        <w:tabs>
          <w:tab w:val="num" w:pos="709"/>
        </w:tabs>
        <w:ind w:left="709" w:hanging="709"/>
        <w:rPr>
          <w:lang w:val="en-AU"/>
        </w:rPr>
      </w:pPr>
      <w:r>
        <w:rPr>
          <w:lang w:val="en-AU"/>
        </w:rPr>
        <w:t>PWC </w:t>
      </w:r>
      <w:r w:rsidR="00AB1AFD">
        <w:rPr>
          <w:lang w:val="en-AU"/>
        </w:rPr>
        <w:t>Networks</w:t>
      </w:r>
      <w:r w:rsidR="000C1D76">
        <w:rPr>
          <w:lang w:val="en-AU"/>
        </w:rPr>
        <w:t>’ revised regulatory proposal</w:t>
      </w:r>
      <w:r w:rsidR="00AB1AFD">
        <w:rPr>
          <w:lang w:val="en-AU"/>
        </w:rPr>
        <w:t xml:space="preserve"> proposed a</w:t>
      </w:r>
      <w:r w:rsidR="000C1D76">
        <w:rPr>
          <w:lang w:val="en-AU"/>
        </w:rPr>
        <w:t>n indicative</w:t>
      </w:r>
      <w:r w:rsidR="00AB1AFD">
        <w:rPr>
          <w:lang w:val="en-AU"/>
        </w:rPr>
        <w:t xml:space="preserve"> pre-tax nominal WACC of </w:t>
      </w:r>
      <w:r w:rsidR="0057210A">
        <w:rPr>
          <w:lang w:val="en-AU"/>
        </w:rPr>
        <w:t>9.05 per </w:t>
      </w:r>
      <w:r w:rsidR="00AB1AFD">
        <w:rPr>
          <w:lang w:val="en-AU"/>
        </w:rPr>
        <w:t xml:space="preserve">cent based on the </w:t>
      </w:r>
      <w:r w:rsidR="00165CDF">
        <w:rPr>
          <w:lang w:val="en-AU"/>
        </w:rPr>
        <w:t xml:space="preserve">parameters </w:t>
      </w:r>
      <w:r w:rsidR="000C1D76">
        <w:rPr>
          <w:lang w:val="en-AU"/>
        </w:rPr>
        <w:t>set out in the Commission’s Draft Determination and correcting for an inadvertent formula error</w:t>
      </w:r>
      <w:r w:rsidR="00FB54CD">
        <w:rPr>
          <w:lang w:val="en-AU"/>
        </w:rPr>
        <w:t xml:space="preserve"> in the calculation of the effective tax rate on equity</w:t>
      </w:r>
      <w:r w:rsidR="00AB1AFD">
        <w:rPr>
          <w:lang w:val="en-AU"/>
        </w:rPr>
        <w:t>.</w:t>
      </w:r>
    </w:p>
    <w:p w14:paraId="0F564142" w14:textId="3EEDA8B2" w:rsidR="00AB1AFD" w:rsidRPr="001E4D9A" w:rsidRDefault="000C1D76" w:rsidP="009A0EBC">
      <w:pPr>
        <w:pStyle w:val="NumberLevel2"/>
        <w:numPr>
          <w:ilvl w:val="1"/>
          <w:numId w:val="4"/>
        </w:numPr>
        <w:tabs>
          <w:tab w:val="num" w:pos="709"/>
        </w:tabs>
        <w:ind w:left="709" w:hanging="709"/>
        <w:rPr>
          <w:lang w:val="en-AU"/>
        </w:rPr>
      </w:pPr>
      <w:r>
        <w:rPr>
          <w:lang w:val="en-AU"/>
        </w:rPr>
        <w:t>The</w:t>
      </w:r>
      <w:r w:rsidR="00AB1AFD">
        <w:rPr>
          <w:lang w:val="en-AU"/>
        </w:rPr>
        <w:t xml:space="preserve"> Commission </w:t>
      </w:r>
      <w:r w:rsidR="00881921">
        <w:rPr>
          <w:lang w:val="en-AU"/>
        </w:rPr>
        <w:t>has determined</w:t>
      </w:r>
      <w:r>
        <w:rPr>
          <w:lang w:val="en-AU"/>
        </w:rPr>
        <w:t xml:space="preserve"> a</w:t>
      </w:r>
      <w:r w:rsidR="00AB1AFD">
        <w:rPr>
          <w:lang w:val="en-AU"/>
        </w:rPr>
        <w:t xml:space="preserve"> nominal pre-tax WACC of </w:t>
      </w:r>
      <w:r>
        <w:rPr>
          <w:lang w:val="en-AU"/>
        </w:rPr>
        <w:t>7.</w:t>
      </w:r>
      <w:r w:rsidR="0057210A">
        <w:rPr>
          <w:lang w:val="en-AU"/>
        </w:rPr>
        <w:t>86 per </w:t>
      </w:r>
      <w:r w:rsidR="00AB1AFD">
        <w:rPr>
          <w:lang w:val="en-AU"/>
        </w:rPr>
        <w:t>cent for PWC</w:t>
      </w:r>
      <w:r w:rsidR="00881921">
        <w:rPr>
          <w:lang w:val="en-AU"/>
        </w:rPr>
        <w:t> </w:t>
      </w:r>
      <w:r w:rsidR="00AB1AFD">
        <w:rPr>
          <w:lang w:val="en-AU"/>
        </w:rPr>
        <w:t>Networks.</w:t>
      </w:r>
    </w:p>
    <w:p w14:paraId="7B1228E9" w14:textId="12F23807" w:rsidR="00AB1AFD" w:rsidRDefault="00AB1AFD" w:rsidP="009A0EBC">
      <w:pPr>
        <w:pStyle w:val="NumberLevel2"/>
        <w:numPr>
          <w:ilvl w:val="1"/>
          <w:numId w:val="4"/>
        </w:numPr>
        <w:tabs>
          <w:tab w:val="num" w:pos="709"/>
        </w:tabs>
        <w:ind w:left="709" w:hanging="709"/>
        <w:rPr>
          <w:lang w:val="en-AU"/>
        </w:rPr>
      </w:pPr>
      <w:r>
        <w:rPr>
          <w:lang w:val="en-AU"/>
        </w:rPr>
        <w:t xml:space="preserve">This WACC is lower than that proposed by </w:t>
      </w:r>
      <w:r w:rsidR="00F13BDA">
        <w:rPr>
          <w:lang w:val="en-AU"/>
        </w:rPr>
        <w:t>PWC </w:t>
      </w:r>
      <w:r>
        <w:rPr>
          <w:lang w:val="en-AU"/>
        </w:rPr>
        <w:t xml:space="preserve">Networks because the Commission has adopted a </w:t>
      </w:r>
      <w:r w:rsidR="000C1D76">
        <w:rPr>
          <w:lang w:val="en-AU"/>
        </w:rPr>
        <w:t>higher utilisation of franking credits (gamma)</w:t>
      </w:r>
      <w:r w:rsidR="00FB54CD">
        <w:rPr>
          <w:lang w:val="en-AU"/>
        </w:rPr>
        <w:t xml:space="preserve"> </w:t>
      </w:r>
      <w:r w:rsidR="00F13BDA">
        <w:rPr>
          <w:lang w:val="en-AU"/>
        </w:rPr>
        <w:t xml:space="preserve">and </w:t>
      </w:r>
      <w:r w:rsidR="00DD7B29">
        <w:rPr>
          <w:lang w:val="en-AU"/>
        </w:rPr>
        <w:t>a</w:t>
      </w:r>
      <w:r w:rsidR="00F13BDA">
        <w:rPr>
          <w:lang w:val="en-AU"/>
        </w:rPr>
        <w:t xml:space="preserve"> corporate tax rate of 30</w:t>
      </w:r>
      <w:r w:rsidR="0057210A">
        <w:rPr>
          <w:lang w:val="en-AU"/>
        </w:rPr>
        <w:t> per cent</w:t>
      </w:r>
      <w:r w:rsidR="00F13BDA">
        <w:rPr>
          <w:lang w:val="en-AU"/>
        </w:rPr>
        <w:t xml:space="preserve">, </w:t>
      </w:r>
      <w:r>
        <w:rPr>
          <w:lang w:val="en-AU"/>
        </w:rPr>
        <w:t xml:space="preserve">and because market based parameters </w:t>
      </w:r>
      <w:r w:rsidR="00493A2A">
        <w:rPr>
          <w:lang w:val="en-AU"/>
        </w:rPr>
        <w:t>(</w:t>
      </w:r>
      <w:r w:rsidR="00441CE6">
        <w:rPr>
          <w:lang w:val="en-AU"/>
        </w:rPr>
        <w:t xml:space="preserve">that is, </w:t>
      </w:r>
      <w:r>
        <w:rPr>
          <w:lang w:val="en-AU"/>
        </w:rPr>
        <w:t>nominal risk free rate, DRP and expected inflation</w:t>
      </w:r>
      <w:r w:rsidR="00493A2A">
        <w:rPr>
          <w:lang w:val="en-AU"/>
        </w:rPr>
        <w:t>)</w:t>
      </w:r>
      <w:r>
        <w:rPr>
          <w:lang w:val="en-AU"/>
        </w:rPr>
        <w:t xml:space="preserve"> have changed since </w:t>
      </w:r>
      <w:r w:rsidR="00F13BDA">
        <w:rPr>
          <w:lang w:val="en-AU"/>
        </w:rPr>
        <w:t>PWC </w:t>
      </w:r>
      <w:r>
        <w:rPr>
          <w:lang w:val="en-AU"/>
        </w:rPr>
        <w:t xml:space="preserve">Networks prepared its </w:t>
      </w:r>
      <w:r w:rsidR="005B6305">
        <w:rPr>
          <w:lang w:val="en-AU"/>
        </w:rPr>
        <w:t xml:space="preserve">revised </w:t>
      </w:r>
      <w:r>
        <w:rPr>
          <w:lang w:val="en-AU"/>
        </w:rPr>
        <w:t xml:space="preserve">regulatory proposal. </w:t>
      </w:r>
    </w:p>
    <w:p w14:paraId="02B86BBC" w14:textId="77777777" w:rsidR="00AB1AFD" w:rsidRPr="00493A2A" w:rsidRDefault="00AB1AFD" w:rsidP="000134C4">
      <w:pPr>
        <w:pStyle w:val="UtilComHeading3"/>
        <w:rPr>
          <w:lang w:val="en-AU"/>
        </w:rPr>
      </w:pPr>
      <w:r w:rsidRPr="00493A2A">
        <w:rPr>
          <w:lang w:val="en-AU"/>
        </w:rPr>
        <w:t xml:space="preserve">Building block revenue requirement (refer Chapter </w:t>
      </w:r>
      <w:r w:rsidR="00F13BDA">
        <w:rPr>
          <w:lang w:val="en-AU"/>
        </w:rPr>
        <w:t>14</w:t>
      </w:r>
      <w:r w:rsidR="00F13BDA" w:rsidRPr="00493A2A">
        <w:rPr>
          <w:lang w:val="en-AU"/>
        </w:rPr>
        <w:t xml:space="preserve"> </w:t>
      </w:r>
      <w:r w:rsidRPr="00493A2A">
        <w:rPr>
          <w:lang w:val="en-AU"/>
        </w:rPr>
        <w:t>of this document)</w:t>
      </w:r>
    </w:p>
    <w:p w14:paraId="7809ACC9" w14:textId="69BCACF5" w:rsidR="00AB1AFD" w:rsidRDefault="00F13BDA" w:rsidP="009A0EBC">
      <w:pPr>
        <w:pStyle w:val="NumberLevel2"/>
        <w:numPr>
          <w:ilvl w:val="1"/>
          <w:numId w:val="4"/>
        </w:numPr>
        <w:ind w:left="709" w:hanging="709"/>
        <w:rPr>
          <w:lang w:val="en-AU"/>
        </w:rPr>
      </w:pPr>
      <w:r>
        <w:rPr>
          <w:lang w:val="en-AU"/>
        </w:rPr>
        <w:t>PWC </w:t>
      </w:r>
      <w:r w:rsidR="00AB1AFD">
        <w:rPr>
          <w:lang w:val="en-AU"/>
        </w:rPr>
        <w:t xml:space="preserve">Networks’ calculation of </w:t>
      </w:r>
      <w:r w:rsidR="00B2530C">
        <w:rPr>
          <w:lang w:val="en-AU"/>
        </w:rPr>
        <w:t xml:space="preserve">its </w:t>
      </w:r>
      <w:r w:rsidR="00AB1AFD">
        <w:rPr>
          <w:lang w:val="en-AU"/>
        </w:rPr>
        <w:t xml:space="preserve">annual revenue requirements and X factors, as presented in its </w:t>
      </w:r>
      <w:r>
        <w:rPr>
          <w:lang w:val="en-AU"/>
        </w:rPr>
        <w:t xml:space="preserve">revised </w:t>
      </w:r>
      <w:r w:rsidR="00493A2A">
        <w:rPr>
          <w:lang w:val="en-AU"/>
        </w:rPr>
        <w:t>regulatory proposal</w:t>
      </w:r>
      <w:r w:rsidR="00AB1AFD">
        <w:rPr>
          <w:lang w:val="en-AU"/>
        </w:rPr>
        <w:t xml:space="preserve">, </w:t>
      </w:r>
      <w:r w:rsidR="00AF63CA">
        <w:rPr>
          <w:lang w:val="en-AU"/>
        </w:rPr>
        <w:t xml:space="preserve">are </w:t>
      </w:r>
      <w:r w:rsidR="00AB1AFD">
        <w:rPr>
          <w:lang w:val="en-AU"/>
        </w:rPr>
        <w:t>summarised in Table 1.1.</w:t>
      </w:r>
    </w:p>
    <w:p w14:paraId="2636A2A5" w14:textId="7A0913F4" w:rsidR="00B601CF" w:rsidRDefault="00B601CF" w:rsidP="00B601CF">
      <w:pPr>
        <w:pStyle w:val="NumberLevel2"/>
        <w:numPr>
          <w:ilvl w:val="1"/>
          <w:numId w:val="4"/>
        </w:numPr>
        <w:ind w:left="709" w:hanging="709"/>
        <w:rPr>
          <w:lang w:val="en-AU"/>
        </w:rPr>
      </w:pPr>
      <w:r>
        <w:rPr>
          <w:lang w:val="en-AU"/>
        </w:rPr>
        <w:t xml:space="preserve">PWC Networks </w:t>
      </w:r>
      <w:r w:rsidR="005B6305">
        <w:rPr>
          <w:lang w:val="en-AU"/>
        </w:rPr>
        <w:t xml:space="preserve">also </w:t>
      </w:r>
      <w:r>
        <w:rPr>
          <w:lang w:val="en-AU"/>
        </w:rPr>
        <w:t xml:space="preserve">submitted a revised estimate for expected revenue in </w:t>
      </w:r>
      <w:r w:rsidR="00E17F83">
        <w:rPr>
          <w:lang w:val="en-AU"/>
        </w:rPr>
        <w:t xml:space="preserve">the </w:t>
      </w:r>
      <w:r w:rsidR="00E17F83">
        <w:rPr>
          <w:lang w:val="en-AU"/>
        </w:rPr>
        <w:br/>
      </w:r>
      <w:r>
        <w:rPr>
          <w:lang w:val="en-AU"/>
        </w:rPr>
        <w:t>2013-14</w:t>
      </w:r>
      <w:r w:rsidR="00AF63CA">
        <w:rPr>
          <w:lang w:val="en-AU"/>
        </w:rPr>
        <w:t xml:space="preserve"> regulatory year</w:t>
      </w:r>
      <w:r>
        <w:rPr>
          <w:lang w:val="en-AU"/>
        </w:rPr>
        <w:t xml:space="preserve">, which is a major contributor to the significant increase in the X factors underlying the proposed </w:t>
      </w:r>
      <w:r w:rsidR="00AF63CA">
        <w:rPr>
          <w:lang w:val="en-AU"/>
        </w:rPr>
        <w:t xml:space="preserve">revenue </w:t>
      </w:r>
      <w:r>
        <w:rPr>
          <w:lang w:val="en-AU"/>
        </w:rPr>
        <w:t>path.</w:t>
      </w:r>
    </w:p>
    <w:p w14:paraId="190A5582" w14:textId="109C9899" w:rsidR="00AB1AFD" w:rsidRDefault="00AB1AFD" w:rsidP="000D7AAB">
      <w:pPr>
        <w:pStyle w:val="UtilComTableTitle"/>
        <w:keepNext/>
        <w:spacing w:before="120" w:after="0" w:line="240" w:lineRule="exact"/>
      </w:pPr>
      <w:r>
        <w:t>Table 1.1</w:t>
      </w:r>
      <w:r w:rsidR="00B52ECB">
        <w:t xml:space="preserve">: </w:t>
      </w:r>
      <w:r>
        <w:t xml:space="preserve">PWC Networks </w:t>
      </w:r>
      <w:r w:rsidRPr="006A402B">
        <w:t>proposed annual revenue requirements and X factors ($</w:t>
      </w:r>
      <w:r w:rsidR="00484786">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B52ECB" w:rsidRPr="008A4655" w14:paraId="07329895" w14:textId="59A29B74" w:rsidTr="00A82507">
        <w:trPr>
          <w:cantSplit/>
          <w:trHeight w:val="360"/>
        </w:trPr>
        <w:tc>
          <w:tcPr>
            <w:tcW w:w="2410" w:type="dxa"/>
            <w:tcBorders>
              <w:top w:val="single" w:sz="4" w:space="0" w:color="999999"/>
              <w:bottom w:val="single" w:sz="4" w:space="0" w:color="auto"/>
            </w:tcBorders>
            <w:vAlign w:val="bottom"/>
          </w:tcPr>
          <w:p w14:paraId="3C7F0D3B" w14:textId="77777777" w:rsidR="00B52ECB" w:rsidRPr="00EE5A08" w:rsidRDefault="00B52ECB" w:rsidP="006E364D">
            <w:pPr>
              <w:pStyle w:val="UtilComTabletext"/>
              <w:rPr>
                <w:b/>
              </w:rPr>
            </w:pPr>
          </w:p>
        </w:tc>
        <w:tc>
          <w:tcPr>
            <w:tcW w:w="964" w:type="dxa"/>
            <w:tcBorders>
              <w:top w:val="single" w:sz="4" w:space="0" w:color="999999"/>
              <w:bottom w:val="single" w:sz="4" w:space="0" w:color="auto"/>
            </w:tcBorders>
            <w:vAlign w:val="bottom"/>
          </w:tcPr>
          <w:p w14:paraId="712B6254" w14:textId="77777777" w:rsidR="00B52ECB" w:rsidRPr="00EE5A08" w:rsidRDefault="00B52ECB" w:rsidP="006E364D">
            <w:pPr>
              <w:pStyle w:val="UtilComTabletext"/>
              <w:jc w:val="right"/>
              <w:rPr>
                <w:b/>
              </w:rPr>
            </w:pPr>
            <w:r>
              <w:rPr>
                <w:b/>
              </w:rPr>
              <w:t>2013-14</w:t>
            </w:r>
          </w:p>
        </w:tc>
        <w:tc>
          <w:tcPr>
            <w:tcW w:w="964" w:type="dxa"/>
            <w:tcBorders>
              <w:top w:val="single" w:sz="4" w:space="0" w:color="999999"/>
              <w:bottom w:val="single" w:sz="4" w:space="0" w:color="auto"/>
            </w:tcBorders>
            <w:vAlign w:val="bottom"/>
          </w:tcPr>
          <w:p w14:paraId="28681ED0" w14:textId="77777777" w:rsidR="00B52ECB" w:rsidRPr="00EE5A08" w:rsidRDefault="00B52ECB" w:rsidP="006E364D">
            <w:pPr>
              <w:pStyle w:val="UtilComTabletext"/>
              <w:jc w:val="right"/>
              <w:rPr>
                <w:b/>
              </w:rPr>
            </w:pPr>
            <w:r>
              <w:rPr>
                <w:b/>
              </w:rPr>
              <w:t>2014-15</w:t>
            </w:r>
          </w:p>
        </w:tc>
        <w:tc>
          <w:tcPr>
            <w:tcW w:w="964" w:type="dxa"/>
            <w:tcBorders>
              <w:top w:val="single" w:sz="4" w:space="0" w:color="999999"/>
              <w:bottom w:val="single" w:sz="4" w:space="0" w:color="auto"/>
            </w:tcBorders>
            <w:vAlign w:val="bottom"/>
          </w:tcPr>
          <w:p w14:paraId="3D72D36D" w14:textId="77777777" w:rsidR="00B52ECB" w:rsidRPr="00EE5A08" w:rsidRDefault="00B52ECB" w:rsidP="006E364D">
            <w:pPr>
              <w:pStyle w:val="UtilComTabletext"/>
              <w:jc w:val="right"/>
              <w:rPr>
                <w:b/>
              </w:rPr>
            </w:pPr>
            <w:r>
              <w:rPr>
                <w:b/>
              </w:rPr>
              <w:t>2015-16</w:t>
            </w:r>
          </w:p>
        </w:tc>
        <w:tc>
          <w:tcPr>
            <w:tcW w:w="964" w:type="dxa"/>
            <w:tcBorders>
              <w:top w:val="single" w:sz="4" w:space="0" w:color="999999"/>
              <w:bottom w:val="single" w:sz="4" w:space="0" w:color="auto"/>
            </w:tcBorders>
            <w:vAlign w:val="bottom"/>
          </w:tcPr>
          <w:p w14:paraId="7925C979" w14:textId="77777777" w:rsidR="00B52ECB" w:rsidRDefault="00B52ECB" w:rsidP="006E364D">
            <w:pPr>
              <w:pStyle w:val="UtilComTabletext"/>
              <w:jc w:val="right"/>
              <w:rPr>
                <w:b/>
              </w:rPr>
            </w:pPr>
            <w:r>
              <w:rPr>
                <w:b/>
              </w:rPr>
              <w:t>2016-17</w:t>
            </w:r>
          </w:p>
        </w:tc>
        <w:tc>
          <w:tcPr>
            <w:tcW w:w="964" w:type="dxa"/>
            <w:tcBorders>
              <w:top w:val="single" w:sz="4" w:space="0" w:color="999999"/>
              <w:bottom w:val="single" w:sz="4" w:space="0" w:color="auto"/>
            </w:tcBorders>
            <w:vAlign w:val="bottom"/>
          </w:tcPr>
          <w:p w14:paraId="39AF0EBC" w14:textId="77777777" w:rsidR="00B52ECB" w:rsidRDefault="00B52ECB" w:rsidP="006E364D">
            <w:pPr>
              <w:pStyle w:val="UtilComTabletext"/>
              <w:jc w:val="right"/>
              <w:rPr>
                <w:b/>
              </w:rPr>
            </w:pPr>
            <w:r>
              <w:rPr>
                <w:b/>
              </w:rPr>
              <w:t>2017-18</w:t>
            </w:r>
          </w:p>
        </w:tc>
        <w:tc>
          <w:tcPr>
            <w:tcW w:w="964" w:type="dxa"/>
            <w:tcBorders>
              <w:top w:val="single" w:sz="4" w:space="0" w:color="999999"/>
              <w:bottom w:val="single" w:sz="4" w:space="0" w:color="auto"/>
            </w:tcBorders>
            <w:vAlign w:val="bottom"/>
          </w:tcPr>
          <w:p w14:paraId="0BD50BCE" w14:textId="77777777" w:rsidR="00B52ECB" w:rsidRPr="00EE5A08" w:rsidRDefault="00B52ECB" w:rsidP="006E364D">
            <w:pPr>
              <w:pStyle w:val="UtilComTabletext"/>
              <w:jc w:val="right"/>
              <w:rPr>
                <w:b/>
              </w:rPr>
            </w:pPr>
            <w:r>
              <w:rPr>
                <w:b/>
              </w:rPr>
              <w:t>2018-19</w:t>
            </w:r>
          </w:p>
        </w:tc>
        <w:tc>
          <w:tcPr>
            <w:tcW w:w="1021" w:type="dxa"/>
            <w:tcBorders>
              <w:top w:val="single" w:sz="4" w:space="0" w:color="999999"/>
              <w:bottom w:val="single" w:sz="4" w:space="0" w:color="auto"/>
            </w:tcBorders>
          </w:tcPr>
          <w:p w14:paraId="4E329279" w14:textId="53FAADA3" w:rsidR="00B52ECB" w:rsidRDefault="00B52ECB" w:rsidP="006E364D">
            <w:pPr>
              <w:pStyle w:val="UtilComTabletext"/>
              <w:jc w:val="right"/>
              <w:rPr>
                <w:b/>
              </w:rPr>
            </w:pPr>
            <w:r>
              <w:rPr>
                <w:b/>
              </w:rPr>
              <w:t>Total</w:t>
            </w:r>
          </w:p>
        </w:tc>
      </w:tr>
      <w:tr w:rsidR="00B52ECB" w:rsidRPr="009E57A2" w14:paraId="0F76BA21" w14:textId="052A03ED" w:rsidTr="00A82507">
        <w:trPr>
          <w:cantSplit/>
          <w:trHeight w:val="360"/>
        </w:trPr>
        <w:tc>
          <w:tcPr>
            <w:tcW w:w="2410" w:type="dxa"/>
            <w:tcBorders>
              <w:top w:val="single" w:sz="4" w:space="0" w:color="auto"/>
              <w:bottom w:val="single" w:sz="4" w:space="0" w:color="999999"/>
            </w:tcBorders>
          </w:tcPr>
          <w:p w14:paraId="3B144F31" w14:textId="77777777" w:rsidR="00B52ECB" w:rsidRPr="009E57A2" w:rsidRDefault="00B52ECB" w:rsidP="006E364D">
            <w:pPr>
              <w:pStyle w:val="UtilComTabletext"/>
            </w:pPr>
            <w:r w:rsidRPr="009E57A2">
              <w:t>Return on capital</w:t>
            </w:r>
          </w:p>
        </w:tc>
        <w:tc>
          <w:tcPr>
            <w:tcW w:w="964" w:type="dxa"/>
            <w:tcBorders>
              <w:top w:val="single" w:sz="4" w:space="0" w:color="auto"/>
              <w:bottom w:val="single" w:sz="4" w:space="0" w:color="999999"/>
            </w:tcBorders>
          </w:tcPr>
          <w:p w14:paraId="152ED415" w14:textId="77777777" w:rsidR="00B52ECB" w:rsidRPr="009E57A2" w:rsidRDefault="00B52ECB" w:rsidP="006E364D">
            <w:pPr>
              <w:pStyle w:val="UtilComTabletext"/>
              <w:jc w:val="right"/>
            </w:pPr>
          </w:p>
        </w:tc>
        <w:tc>
          <w:tcPr>
            <w:tcW w:w="964" w:type="dxa"/>
            <w:tcBorders>
              <w:top w:val="single" w:sz="4" w:space="0" w:color="auto"/>
              <w:bottom w:val="single" w:sz="4" w:space="0" w:color="999999"/>
            </w:tcBorders>
          </w:tcPr>
          <w:p w14:paraId="408AF5D5" w14:textId="66E9EB8B" w:rsidR="00B52ECB" w:rsidRPr="009E57A2" w:rsidRDefault="00B52ECB" w:rsidP="0046764A">
            <w:pPr>
              <w:pStyle w:val="UtilComTabletext"/>
              <w:jc w:val="right"/>
            </w:pPr>
            <w:r>
              <w:t>84.14</w:t>
            </w:r>
          </w:p>
        </w:tc>
        <w:tc>
          <w:tcPr>
            <w:tcW w:w="964" w:type="dxa"/>
            <w:tcBorders>
              <w:top w:val="single" w:sz="4" w:space="0" w:color="auto"/>
              <w:bottom w:val="single" w:sz="4" w:space="0" w:color="999999"/>
            </w:tcBorders>
          </w:tcPr>
          <w:p w14:paraId="2E05BBCE" w14:textId="42C6EA56" w:rsidR="00B52ECB" w:rsidRPr="009E57A2" w:rsidRDefault="00B52ECB" w:rsidP="0055417A">
            <w:pPr>
              <w:pStyle w:val="UtilComTabletext"/>
              <w:jc w:val="right"/>
            </w:pPr>
            <w:r>
              <w:t>88.81</w:t>
            </w:r>
          </w:p>
        </w:tc>
        <w:tc>
          <w:tcPr>
            <w:tcW w:w="964" w:type="dxa"/>
            <w:tcBorders>
              <w:top w:val="single" w:sz="4" w:space="0" w:color="auto"/>
              <w:bottom w:val="single" w:sz="4" w:space="0" w:color="999999"/>
            </w:tcBorders>
          </w:tcPr>
          <w:p w14:paraId="2D0295FE" w14:textId="31F2FBC5" w:rsidR="00B52ECB" w:rsidRPr="009E57A2" w:rsidRDefault="00B52ECB" w:rsidP="0055417A">
            <w:pPr>
              <w:pStyle w:val="UtilComTabletext"/>
              <w:jc w:val="right"/>
            </w:pPr>
            <w:r>
              <w:t>92.20</w:t>
            </w:r>
          </w:p>
        </w:tc>
        <w:tc>
          <w:tcPr>
            <w:tcW w:w="964" w:type="dxa"/>
            <w:tcBorders>
              <w:top w:val="single" w:sz="4" w:space="0" w:color="auto"/>
              <w:bottom w:val="single" w:sz="4" w:space="0" w:color="999999"/>
            </w:tcBorders>
          </w:tcPr>
          <w:p w14:paraId="5741080A" w14:textId="77777777" w:rsidR="00B52ECB" w:rsidRPr="009E57A2" w:rsidRDefault="00B52ECB" w:rsidP="000134C4">
            <w:pPr>
              <w:pStyle w:val="UtilComTabletext"/>
              <w:jc w:val="right"/>
            </w:pPr>
            <w:r>
              <w:t>94.00</w:t>
            </w:r>
          </w:p>
        </w:tc>
        <w:tc>
          <w:tcPr>
            <w:tcW w:w="964" w:type="dxa"/>
            <w:tcBorders>
              <w:top w:val="single" w:sz="4" w:space="0" w:color="auto"/>
              <w:bottom w:val="single" w:sz="4" w:space="0" w:color="999999"/>
            </w:tcBorders>
          </w:tcPr>
          <w:p w14:paraId="74DE4E82" w14:textId="77777777" w:rsidR="00B52ECB" w:rsidRPr="009E57A2" w:rsidRDefault="00B52ECB" w:rsidP="00F163D5">
            <w:pPr>
              <w:pStyle w:val="UtilComTabletext"/>
              <w:jc w:val="right"/>
            </w:pPr>
            <w:r>
              <w:t>95.45</w:t>
            </w:r>
          </w:p>
        </w:tc>
        <w:tc>
          <w:tcPr>
            <w:tcW w:w="1021" w:type="dxa"/>
            <w:tcBorders>
              <w:top w:val="single" w:sz="4" w:space="0" w:color="auto"/>
              <w:bottom w:val="single" w:sz="4" w:space="0" w:color="999999"/>
            </w:tcBorders>
          </w:tcPr>
          <w:p w14:paraId="37E55804" w14:textId="6CCD8B00" w:rsidR="00B52ECB" w:rsidRDefault="00CF07A5" w:rsidP="00F163D5">
            <w:pPr>
              <w:pStyle w:val="UtilComTabletext"/>
              <w:jc w:val="right"/>
            </w:pPr>
            <w:r>
              <w:t>454.60</w:t>
            </w:r>
          </w:p>
        </w:tc>
      </w:tr>
      <w:tr w:rsidR="00B52ECB" w:rsidRPr="008A4655" w14:paraId="70DC1F7A" w14:textId="746E5EC7" w:rsidTr="00A82507">
        <w:trPr>
          <w:cantSplit/>
          <w:trHeight w:val="360"/>
        </w:trPr>
        <w:tc>
          <w:tcPr>
            <w:tcW w:w="2410" w:type="dxa"/>
            <w:tcBorders>
              <w:bottom w:val="single" w:sz="4" w:space="0" w:color="999999"/>
            </w:tcBorders>
          </w:tcPr>
          <w:p w14:paraId="58CF42DA" w14:textId="77777777" w:rsidR="00B52ECB" w:rsidRDefault="00B52ECB" w:rsidP="006E364D">
            <w:pPr>
              <w:pStyle w:val="UtilComTabletext"/>
            </w:pPr>
            <w:r>
              <w:t>Regulatory depreciation</w:t>
            </w:r>
          </w:p>
        </w:tc>
        <w:tc>
          <w:tcPr>
            <w:tcW w:w="964" w:type="dxa"/>
            <w:tcBorders>
              <w:bottom w:val="single" w:sz="4" w:space="0" w:color="999999"/>
            </w:tcBorders>
          </w:tcPr>
          <w:p w14:paraId="22448E3F" w14:textId="77777777" w:rsidR="00B52ECB" w:rsidRDefault="00B52ECB" w:rsidP="006E364D">
            <w:pPr>
              <w:pStyle w:val="UtilComTabletext"/>
              <w:jc w:val="right"/>
            </w:pPr>
          </w:p>
        </w:tc>
        <w:tc>
          <w:tcPr>
            <w:tcW w:w="964" w:type="dxa"/>
            <w:tcBorders>
              <w:bottom w:val="single" w:sz="4" w:space="0" w:color="999999"/>
            </w:tcBorders>
          </w:tcPr>
          <w:p w14:paraId="3B11D3B0" w14:textId="77777777" w:rsidR="00B52ECB" w:rsidRDefault="00B52ECB" w:rsidP="0046764A">
            <w:pPr>
              <w:pStyle w:val="UtilComTabletext"/>
              <w:jc w:val="right"/>
            </w:pPr>
            <w:r>
              <w:t>28.49</w:t>
            </w:r>
          </w:p>
        </w:tc>
        <w:tc>
          <w:tcPr>
            <w:tcW w:w="964" w:type="dxa"/>
            <w:tcBorders>
              <w:bottom w:val="single" w:sz="4" w:space="0" w:color="999999"/>
            </w:tcBorders>
          </w:tcPr>
          <w:p w14:paraId="35F2E7BF" w14:textId="77777777" w:rsidR="00B52ECB" w:rsidRDefault="00B52ECB" w:rsidP="0055417A">
            <w:pPr>
              <w:pStyle w:val="UtilComTabletext"/>
              <w:jc w:val="right"/>
            </w:pPr>
            <w:r>
              <w:t>31.15</w:t>
            </w:r>
          </w:p>
        </w:tc>
        <w:tc>
          <w:tcPr>
            <w:tcW w:w="964" w:type="dxa"/>
            <w:tcBorders>
              <w:bottom w:val="single" w:sz="4" w:space="0" w:color="999999"/>
            </w:tcBorders>
          </w:tcPr>
          <w:p w14:paraId="42B157F0" w14:textId="77777777" w:rsidR="00B52ECB" w:rsidRDefault="00B52ECB" w:rsidP="0055417A">
            <w:pPr>
              <w:pStyle w:val="UtilComTabletext"/>
              <w:jc w:val="right"/>
            </w:pPr>
            <w:r>
              <w:t>27.04</w:t>
            </w:r>
          </w:p>
        </w:tc>
        <w:tc>
          <w:tcPr>
            <w:tcW w:w="964" w:type="dxa"/>
            <w:tcBorders>
              <w:bottom w:val="single" w:sz="4" w:space="0" w:color="999999"/>
            </w:tcBorders>
          </w:tcPr>
          <w:p w14:paraId="28876BF4" w14:textId="77777777" w:rsidR="00B52ECB" w:rsidRDefault="00B52ECB" w:rsidP="000134C4">
            <w:pPr>
              <w:pStyle w:val="UtilComTabletext"/>
              <w:jc w:val="right"/>
            </w:pPr>
            <w:r>
              <w:t>28.81</w:t>
            </w:r>
          </w:p>
        </w:tc>
        <w:tc>
          <w:tcPr>
            <w:tcW w:w="964" w:type="dxa"/>
            <w:tcBorders>
              <w:bottom w:val="single" w:sz="4" w:space="0" w:color="999999"/>
            </w:tcBorders>
          </w:tcPr>
          <w:p w14:paraId="6E453A57" w14:textId="1C8FE86E" w:rsidR="00B52ECB" w:rsidRDefault="00B52ECB" w:rsidP="00A82507">
            <w:pPr>
              <w:pStyle w:val="UtilComTabletext"/>
              <w:jc w:val="right"/>
            </w:pPr>
            <w:r>
              <w:t>31.</w:t>
            </w:r>
            <w:r w:rsidR="00A82507">
              <w:t>15</w:t>
            </w:r>
          </w:p>
        </w:tc>
        <w:tc>
          <w:tcPr>
            <w:tcW w:w="1021" w:type="dxa"/>
            <w:tcBorders>
              <w:bottom w:val="single" w:sz="4" w:space="0" w:color="999999"/>
            </w:tcBorders>
          </w:tcPr>
          <w:p w14:paraId="4936E384" w14:textId="245A831A" w:rsidR="00B52ECB" w:rsidRDefault="00CF07A5" w:rsidP="00F163D5">
            <w:pPr>
              <w:pStyle w:val="UtilComTabletext"/>
              <w:jc w:val="right"/>
            </w:pPr>
            <w:r>
              <w:t>146.64</w:t>
            </w:r>
          </w:p>
        </w:tc>
      </w:tr>
      <w:tr w:rsidR="00B52ECB" w:rsidRPr="008A4655" w14:paraId="00C2A5DC" w14:textId="59C31618" w:rsidTr="00A82507">
        <w:trPr>
          <w:cantSplit/>
          <w:trHeight w:val="360"/>
        </w:trPr>
        <w:tc>
          <w:tcPr>
            <w:tcW w:w="2410" w:type="dxa"/>
            <w:tcBorders>
              <w:bottom w:val="single" w:sz="4" w:space="0" w:color="999999"/>
            </w:tcBorders>
          </w:tcPr>
          <w:p w14:paraId="47B07F89" w14:textId="77777777" w:rsidR="00B52ECB" w:rsidRDefault="00B52ECB" w:rsidP="006E364D">
            <w:pPr>
              <w:pStyle w:val="UtilComTabletext"/>
            </w:pPr>
            <w:r>
              <w:t>Operating and maintenance expenditure</w:t>
            </w:r>
          </w:p>
        </w:tc>
        <w:tc>
          <w:tcPr>
            <w:tcW w:w="964" w:type="dxa"/>
            <w:tcBorders>
              <w:bottom w:val="single" w:sz="4" w:space="0" w:color="999999"/>
            </w:tcBorders>
          </w:tcPr>
          <w:p w14:paraId="59197A1E" w14:textId="77777777" w:rsidR="00B52ECB" w:rsidRDefault="00B52ECB" w:rsidP="006E364D">
            <w:pPr>
              <w:pStyle w:val="UtilComTabletext"/>
              <w:jc w:val="right"/>
            </w:pPr>
          </w:p>
        </w:tc>
        <w:tc>
          <w:tcPr>
            <w:tcW w:w="964" w:type="dxa"/>
            <w:tcBorders>
              <w:bottom w:val="single" w:sz="4" w:space="0" w:color="999999"/>
            </w:tcBorders>
          </w:tcPr>
          <w:p w14:paraId="416EB873" w14:textId="77777777" w:rsidR="00B52ECB" w:rsidRDefault="00B52ECB" w:rsidP="0046764A">
            <w:pPr>
              <w:pStyle w:val="UtilComTabletext"/>
              <w:jc w:val="right"/>
            </w:pPr>
            <w:r>
              <w:t>109.64</w:t>
            </w:r>
          </w:p>
        </w:tc>
        <w:tc>
          <w:tcPr>
            <w:tcW w:w="964" w:type="dxa"/>
            <w:tcBorders>
              <w:bottom w:val="single" w:sz="4" w:space="0" w:color="999999"/>
            </w:tcBorders>
          </w:tcPr>
          <w:p w14:paraId="4FA6EEAA" w14:textId="77777777" w:rsidR="00B52ECB" w:rsidRDefault="00B52ECB" w:rsidP="0055417A">
            <w:pPr>
              <w:pStyle w:val="UtilComTabletext"/>
              <w:jc w:val="right"/>
            </w:pPr>
            <w:r>
              <w:t>111.21</w:t>
            </w:r>
          </w:p>
        </w:tc>
        <w:tc>
          <w:tcPr>
            <w:tcW w:w="964" w:type="dxa"/>
            <w:tcBorders>
              <w:bottom w:val="single" w:sz="4" w:space="0" w:color="999999"/>
            </w:tcBorders>
          </w:tcPr>
          <w:p w14:paraId="521ED642" w14:textId="77777777" w:rsidR="00B52ECB" w:rsidRDefault="00B52ECB" w:rsidP="0055417A">
            <w:pPr>
              <w:pStyle w:val="UtilComTabletext"/>
              <w:jc w:val="right"/>
            </w:pPr>
            <w:r>
              <w:t>115.98</w:t>
            </w:r>
          </w:p>
        </w:tc>
        <w:tc>
          <w:tcPr>
            <w:tcW w:w="964" w:type="dxa"/>
            <w:tcBorders>
              <w:bottom w:val="single" w:sz="4" w:space="0" w:color="999999"/>
            </w:tcBorders>
          </w:tcPr>
          <w:p w14:paraId="040E8E67" w14:textId="77777777" w:rsidR="00B52ECB" w:rsidRDefault="00B52ECB" w:rsidP="000134C4">
            <w:pPr>
              <w:pStyle w:val="UtilComTabletext"/>
              <w:jc w:val="right"/>
            </w:pPr>
            <w:r>
              <w:t>116.25</w:t>
            </w:r>
          </w:p>
        </w:tc>
        <w:tc>
          <w:tcPr>
            <w:tcW w:w="964" w:type="dxa"/>
            <w:tcBorders>
              <w:bottom w:val="single" w:sz="4" w:space="0" w:color="999999"/>
            </w:tcBorders>
          </w:tcPr>
          <w:p w14:paraId="3D79B286" w14:textId="77777777" w:rsidR="00B52ECB" w:rsidRDefault="00B52ECB" w:rsidP="00F163D5">
            <w:pPr>
              <w:pStyle w:val="UtilComTabletext"/>
              <w:jc w:val="right"/>
            </w:pPr>
            <w:r>
              <w:t>119.03</w:t>
            </w:r>
          </w:p>
        </w:tc>
        <w:tc>
          <w:tcPr>
            <w:tcW w:w="1021" w:type="dxa"/>
            <w:tcBorders>
              <w:bottom w:val="single" w:sz="4" w:space="0" w:color="999999"/>
            </w:tcBorders>
          </w:tcPr>
          <w:p w14:paraId="2C337A13" w14:textId="3F6438EA" w:rsidR="00B52ECB" w:rsidRDefault="00CF07A5" w:rsidP="00F163D5">
            <w:pPr>
              <w:pStyle w:val="UtilComTabletext"/>
              <w:jc w:val="right"/>
            </w:pPr>
            <w:r>
              <w:t>572.11</w:t>
            </w:r>
          </w:p>
        </w:tc>
      </w:tr>
      <w:tr w:rsidR="00B52ECB" w:rsidRPr="008A4655" w14:paraId="5E5616A8" w14:textId="4DDEFF32" w:rsidTr="00A82507">
        <w:trPr>
          <w:cantSplit/>
          <w:trHeight w:val="360"/>
        </w:trPr>
        <w:tc>
          <w:tcPr>
            <w:tcW w:w="2410" w:type="dxa"/>
            <w:tcBorders>
              <w:top w:val="single" w:sz="4" w:space="0" w:color="auto"/>
              <w:bottom w:val="single" w:sz="4" w:space="0" w:color="999999"/>
            </w:tcBorders>
          </w:tcPr>
          <w:p w14:paraId="4661A0F8" w14:textId="77777777" w:rsidR="00B52ECB" w:rsidRDefault="00B52ECB" w:rsidP="006E364D">
            <w:pPr>
              <w:pStyle w:val="UtilComTabletext"/>
            </w:pPr>
            <w:r>
              <w:t>Unsmoothed annual revenue requirement</w:t>
            </w:r>
          </w:p>
        </w:tc>
        <w:tc>
          <w:tcPr>
            <w:tcW w:w="964" w:type="dxa"/>
            <w:tcBorders>
              <w:top w:val="single" w:sz="4" w:space="0" w:color="auto"/>
              <w:bottom w:val="single" w:sz="4" w:space="0" w:color="999999"/>
            </w:tcBorders>
          </w:tcPr>
          <w:p w14:paraId="2A691ED7" w14:textId="77777777" w:rsidR="00B52ECB" w:rsidRDefault="00B52ECB" w:rsidP="006E364D">
            <w:pPr>
              <w:pStyle w:val="UtilComTabletext"/>
              <w:jc w:val="right"/>
            </w:pPr>
          </w:p>
        </w:tc>
        <w:tc>
          <w:tcPr>
            <w:tcW w:w="964" w:type="dxa"/>
            <w:tcBorders>
              <w:top w:val="single" w:sz="4" w:space="0" w:color="auto"/>
              <w:bottom w:val="single" w:sz="4" w:space="0" w:color="999999"/>
            </w:tcBorders>
          </w:tcPr>
          <w:p w14:paraId="1DD0EDC2" w14:textId="77777777" w:rsidR="00B52ECB" w:rsidRDefault="00B52ECB" w:rsidP="0046764A">
            <w:pPr>
              <w:pStyle w:val="UtilComTabletext"/>
              <w:jc w:val="right"/>
            </w:pPr>
            <w:r>
              <w:t>222.27</w:t>
            </w:r>
          </w:p>
        </w:tc>
        <w:tc>
          <w:tcPr>
            <w:tcW w:w="964" w:type="dxa"/>
            <w:tcBorders>
              <w:top w:val="single" w:sz="4" w:space="0" w:color="auto"/>
              <w:bottom w:val="single" w:sz="4" w:space="0" w:color="999999"/>
            </w:tcBorders>
          </w:tcPr>
          <w:p w14:paraId="733DE22C" w14:textId="77777777" w:rsidR="00B52ECB" w:rsidRDefault="00B52ECB" w:rsidP="0055417A">
            <w:pPr>
              <w:pStyle w:val="UtilComTabletext"/>
              <w:jc w:val="right"/>
            </w:pPr>
            <w:r>
              <w:t>231.17</w:t>
            </w:r>
          </w:p>
        </w:tc>
        <w:tc>
          <w:tcPr>
            <w:tcW w:w="964" w:type="dxa"/>
            <w:tcBorders>
              <w:top w:val="single" w:sz="4" w:space="0" w:color="auto"/>
              <w:bottom w:val="single" w:sz="4" w:space="0" w:color="999999"/>
            </w:tcBorders>
          </w:tcPr>
          <w:p w14:paraId="281AA2C1" w14:textId="77777777" w:rsidR="00B52ECB" w:rsidRDefault="00B52ECB" w:rsidP="0055417A">
            <w:pPr>
              <w:pStyle w:val="UtilComTabletext"/>
              <w:jc w:val="right"/>
            </w:pPr>
            <w:r>
              <w:t>235.22</w:t>
            </w:r>
          </w:p>
        </w:tc>
        <w:tc>
          <w:tcPr>
            <w:tcW w:w="964" w:type="dxa"/>
            <w:tcBorders>
              <w:top w:val="single" w:sz="4" w:space="0" w:color="auto"/>
              <w:bottom w:val="single" w:sz="4" w:space="0" w:color="999999"/>
            </w:tcBorders>
          </w:tcPr>
          <w:p w14:paraId="20E287D4" w14:textId="77777777" w:rsidR="00B52ECB" w:rsidRDefault="00B52ECB" w:rsidP="000134C4">
            <w:pPr>
              <w:pStyle w:val="UtilComTabletext"/>
              <w:jc w:val="right"/>
            </w:pPr>
            <w:r>
              <w:t>239.07</w:t>
            </w:r>
          </w:p>
        </w:tc>
        <w:tc>
          <w:tcPr>
            <w:tcW w:w="964" w:type="dxa"/>
            <w:tcBorders>
              <w:top w:val="single" w:sz="4" w:space="0" w:color="auto"/>
              <w:bottom w:val="single" w:sz="4" w:space="0" w:color="999999"/>
            </w:tcBorders>
          </w:tcPr>
          <w:p w14:paraId="2D818EF5" w14:textId="77777777" w:rsidR="00B52ECB" w:rsidRDefault="00B52ECB" w:rsidP="00F163D5">
            <w:pPr>
              <w:pStyle w:val="UtilComTabletext"/>
              <w:jc w:val="right"/>
            </w:pPr>
            <w:r>
              <w:t>245.62</w:t>
            </w:r>
          </w:p>
        </w:tc>
        <w:tc>
          <w:tcPr>
            <w:tcW w:w="1021" w:type="dxa"/>
            <w:tcBorders>
              <w:top w:val="single" w:sz="4" w:space="0" w:color="auto"/>
              <w:bottom w:val="single" w:sz="4" w:space="0" w:color="999999"/>
            </w:tcBorders>
          </w:tcPr>
          <w:p w14:paraId="7EF10843" w14:textId="57D48A9E" w:rsidR="00B52ECB" w:rsidRDefault="00CF07A5" w:rsidP="00A82507">
            <w:pPr>
              <w:pStyle w:val="UtilComTabletext"/>
              <w:jc w:val="right"/>
            </w:pPr>
            <w:r>
              <w:t>1 173.</w:t>
            </w:r>
            <w:r w:rsidR="00A82507">
              <w:t>35</w:t>
            </w:r>
          </w:p>
        </w:tc>
      </w:tr>
      <w:tr w:rsidR="00B52ECB" w:rsidRPr="008A4655" w14:paraId="0DB58DF1" w14:textId="7FD6F024" w:rsidTr="00A82507">
        <w:trPr>
          <w:cantSplit/>
          <w:trHeight w:val="360"/>
        </w:trPr>
        <w:tc>
          <w:tcPr>
            <w:tcW w:w="2410" w:type="dxa"/>
            <w:tcBorders>
              <w:bottom w:val="single" w:sz="4" w:space="0" w:color="999999"/>
            </w:tcBorders>
          </w:tcPr>
          <w:p w14:paraId="27B01A14" w14:textId="77777777" w:rsidR="00B52ECB" w:rsidRDefault="00B52ECB" w:rsidP="006E364D">
            <w:pPr>
              <w:pStyle w:val="UtilComTabletext"/>
            </w:pPr>
            <w:r>
              <w:t>Expected revenues (smoothed revenue)</w:t>
            </w:r>
          </w:p>
        </w:tc>
        <w:tc>
          <w:tcPr>
            <w:tcW w:w="964" w:type="dxa"/>
            <w:tcBorders>
              <w:bottom w:val="single" w:sz="4" w:space="0" w:color="999999"/>
            </w:tcBorders>
          </w:tcPr>
          <w:p w14:paraId="29E52C16" w14:textId="77777777" w:rsidR="00B52ECB" w:rsidRDefault="00B52ECB" w:rsidP="006E364D">
            <w:pPr>
              <w:pStyle w:val="UtilComTabletext"/>
              <w:jc w:val="right"/>
            </w:pPr>
            <w:r>
              <w:t>132.65</w:t>
            </w:r>
          </w:p>
        </w:tc>
        <w:tc>
          <w:tcPr>
            <w:tcW w:w="964" w:type="dxa"/>
            <w:tcBorders>
              <w:bottom w:val="single" w:sz="4" w:space="0" w:color="999999"/>
            </w:tcBorders>
          </w:tcPr>
          <w:p w14:paraId="57D91205" w14:textId="77777777" w:rsidR="00B52ECB" w:rsidRDefault="00B52ECB" w:rsidP="0046764A">
            <w:pPr>
              <w:pStyle w:val="UtilComTabletext"/>
              <w:jc w:val="right"/>
            </w:pPr>
            <w:r>
              <w:t>197.73</w:t>
            </w:r>
          </w:p>
        </w:tc>
        <w:tc>
          <w:tcPr>
            <w:tcW w:w="964" w:type="dxa"/>
            <w:tcBorders>
              <w:bottom w:val="single" w:sz="4" w:space="0" w:color="999999"/>
            </w:tcBorders>
          </w:tcPr>
          <w:p w14:paraId="3D953557" w14:textId="77777777" w:rsidR="00B52ECB" w:rsidRDefault="00B52ECB" w:rsidP="0055417A">
            <w:pPr>
              <w:pStyle w:val="UtilComTabletext"/>
              <w:jc w:val="right"/>
            </w:pPr>
            <w:r>
              <w:t>233.10</w:t>
            </w:r>
          </w:p>
        </w:tc>
        <w:tc>
          <w:tcPr>
            <w:tcW w:w="964" w:type="dxa"/>
            <w:tcBorders>
              <w:bottom w:val="single" w:sz="4" w:space="0" w:color="999999"/>
            </w:tcBorders>
          </w:tcPr>
          <w:p w14:paraId="202C172F" w14:textId="77777777" w:rsidR="00B52ECB" w:rsidRDefault="00B52ECB" w:rsidP="0055417A">
            <w:pPr>
              <w:pStyle w:val="UtilComTabletext"/>
              <w:jc w:val="right"/>
            </w:pPr>
            <w:r>
              <w:t>241.35</w:t>
            </w:r>
          </w:p>
        </w:tc>
        <w:tc>
          <w:tcPr>
            <w:tcW w:w="964" w:type="dxa"/>
            <w:tcBorders>
              <w:bottom w:val="single" w:sz="4" w:space="0" w:color="999999"/>
            </w:tcBorders>
          </w:tcPr>
          <w:p w14:paraId="568231FA" w14:textId="77777777" w:rsidR="00B52ECB" w:rsidRDefault="00B52ECB" w:rsidP="000134C4">
            <w:pPr>
              <w:pStyle w:val="UtilComTabletext"/>
              <w:jc w:val="right"/>
            </w:pPr>
            <w:r>
              <w:t>249.89</w:t>
            </w:r>
          </w:p>
        </w:tc>
        <w:tc>
          <w:tcPr>
            <w:tcW w:w="964" w:type="dxa"/>
            <w:tcBorders>
              <w:bottom w:val="single" w:sz="4" w:space="0" w:color="999999"/>
            </w:tcBorders>
          </w:tcPr>
          <w:p w14:paraId="5BC41DBC" w14:textId="77777777" w:rsidR="00B52ECB" w:rsidRDefault="00B52ECB" w:rsidP="00F163D5">
            <w:pPr>
              <w:pStyle w:val="UtilComTabletext"/>
              <w:jc w:val="right"/>
            </w:pPr>
            <w:r>
              <w:t>258.73</w:t>
            </w:r>
          </w:p>
        </w:tc>
        <w:tc>
          <w:tcPr>
            <w:tcW w:w="1021" w:type="dxa"/>
            <w:tcBorders>
              <w:bottom w:val="single" w:sz="4" w:space="0" w:color="999999"/>
            </w:tcBorders>
          </w:tcPr>
          <w:p w14:paraId="73C79461" w14:textId="77777777" w:rsidR="00B52ECB" w:rsidRDefault="00B52ECB" w:rsidP="00F163D5">
            <w:pPr>
              <w:pStyle w:val="UtilComTabletext"/>
              <w:jc w:val="right"/>
            </w:pPr>
          </w:p>
        </w:tc>
      </w:tr>
      <w:tr w:rsidR="00B52ECB" w:rsidRPr="008A4655" w14:paraId="385BF4AC" w14:textId="4A943E74" w:rsidTr="00A82507">
        <w:trPr>
          <w:cantSplit/>
          <w:trHeight w:val="360"/>
        </w:trPr>
        <w:tc>
          <w:tcPr>
            <w:tcW w:w="2410" w:type="dxa"/>
            <w:tcBorders>
              <w:bottom w:val="single" w:sz="4" w:space="0" w:color="999999"/>
            </w:tcBorders>
          </w:tcPr>
          <w:p w14:paraId="09130576" w14:textId="77777777" w:rsidR="00B52ECB" w:rsidRDefault="00B52ECB" w:rsidP="006E364D">
            <w:pPr>
              <w:pStyle w:val="UtilComTabletext"/>
            </w:pPr>
            <w:r>
              <w:t>Forecast CPI (%)</w:t>
            </w:r>
          </w:p>
        </w:tc>
        <w:tc>
          <w:tcPr>
            <w:tcW w:w="964" w:type="dxa"/>
            <w:tcBorders>
              <w:bottom w:val="single" w:sz="4" w:space="0" w:color="999999"/>
            </w:tcBorders>
          </w:tcPr>
          <w:p w14:paraId="39C5281B" w14:textId="77777777" w:rsidR="00B52ECB" w:rsidRDefault="00B52ECB" w:rsidP="006E364D">
            <w:pPr>
              <w:pStyle w:val="UtilComTabletext"/>
              <w:jc w:val="right"/>
            </w:pPr>
          </w:p>
        </w:tc>
        <w:tc>
          <w:tcPr>
            <w:tcW w:w="964" w:type="dxa"/>
            <w:tcBorders>
              <w:bottom w:val="single" w:sz="4" w:space="0" w:color="999999"/>
            </w:tcBorders>
          </w:tcPr>
          <w:p w14:paraId="5BA05C0A" w14:textId="77777777" w:rsidR="00B52ECB" w:rsidRDefault="00B52ECB" w:rsidP="0046764A">
            <w:pPr>
              <w:pStyle w:val="UtilComTabletext"/>
              <w:jc w:val="right"/>
            </w:pPr>
            <w:r>
              <w:t>2.51</w:t>
            </w:r>
          </w:p>
        </w:tc>
        <w:tc>
          <w:tcPr>
            <w:tcW w:w="964" w:type="dxa"/>
            <w:tcBorders>
              <w:bottom w:val="single" w:sz="4" w:space="0" w:color="999999"/>
            </w:tcBorders>
          </w:tcPr>
          <w:p w14:paraId="31F7C95F" w14:textId="77777777" w:rsidR="00B52ECB" w:rsidRDefault="00B52ECB" w:rsidP="0055417A">
            <w:pPr>
              <w:pStyle w:val="UtilComTabletext"/>
              <w:jc w:val="right"/>
            </w:pPr>
            <w:r>
              <w:t>2.51</w:t>
            </w:r>
          </w:p>
        </w:tc>
        <w:tc>
          <w:tcPr>
            <w:tcW w:w="964" w:type="dxa"/>
            <w:tcBorders>
              <w:bottom w:val="single" w:sz="4" w:space="0" w:color="999999"/>
            </w:tcBorders>
          </w:tcPr>
          <w:p w14:paraId="09F4FDE8" w14:textId="77777777" w:rsidR="00B52ECB" w:rsidRDefault="00B52ECB" w:rsidP="0055417A">
            <w:pPr>
              <w:pStyle w:val="UtilComTabletext"/>
              <w:jc w:val="right"/>
            </w:pPr>
            <w:r>
              <w:t>2.51</w:t>
            </w:r>
          </w:p>
        </w:tc>
        <w:tc>
          <w:tcPr>
            <w:tcW w:w="964" w:type="dxa"/>
            <w:tcBorders>
              <w:bottom w:val="single" w:sz="4" w:space="0" w:color="999999"/>
            </w:tcBorders>
          </w:tcPr>
          <w:p w14:paraId="16BD7032" w14:textId="77777777" w:rsidR="00B52ECB" w:rsidRDefault="00B52ECB" w:rsidP="000134C4">
            <w:pPr>
              <w:pStyle w:val="UtilComTabletext"/>
              <w:jc w:val="right"/>
            </w:pPr>
            <w:r>
              <w:t>2.51</w:t>
            </w:r>
          </w:p>
        </w:tc>
        <w:tc>
          <w:tcPr>
            <w:tcW w:w="964" w:type="dxa"/>
            <w:tcBorders>
              <w:bottom w:val="single" w:sz="4" w:space="0" w:color="999999"/>
            </w:tcBorders>
          </w:tcPr>
          <w:p w14:paraId="7C85E981" w14:textId="77777777" w:rsidR="00B52ECB" w:rsidRDefault="00B52ECB" w:rsidP="00F163D5">
            <w:pPr>
              <w:pStyle w:val="UtilComTabletext"/>
              <w:jc w:val="right"/>
            </w:pPr>
            <w:r>
              <w:t>2.51</w:t>
            </w:r>
          </w:p>
        </w:tc>
        <w:tc>
          <w:tcPr>
            <w:tcW w:w="1021" w:type="dxa"/>
            <w:tcBorders>
              <w:bottom w:val="single" w:sz="4" w:space="0" w:color="999999"/>
            </w:tcBorders>
          </w:tcPr>
          <w:p w14:paraId="342CD3AA" w14:textId="77777777" w:rsidR="00B52ECB" w:rsidRDefault="00B52ECB" w:rsidP="00F163D5">
            <w:pPr>
              <w:pStyle w:val="UtilComTabletext"/>
              <w:jc w:val="right"/>
            </w:pPr>
          </w:p>
        </w:tc>
      </w:tr>
      <w:tr w:rsidR="00B52ECB" w:rsidRPr="007C4959" w14:paraId="6AB96C98" w14:textId="36C0ED56" w:rsidTr="00A82507">
        <w:trPr>
          <w:cantSplit/>
          <w:trHeight w:val="360"/>
        </w:trPr>
        <w:tc>
          <w:tcPr>
            <w:tcW w:w="2410" w:type="dxa"/>
            <w:tcBorders>
              <w:bottom w:val="single" w:sz="4" w:space="0" w:color="auto"/>
            </w:tcBorders>
          </w:tcPr>
          <w:p w14:paraId="3AC6393C" w14:textId="77777777" w:rsidR="00B52ECB" w:rsidRPr="007C4959" w:rsidRDefault="00B52ECB" w:rsidP="006E364D">
            <w:pPr>
              <w:pStyle w:val="UtilComTabletext"/>
              <w:rPr>
                <w:b/>
              </w:rPr>
            </w:pPr>
            <w:r w:rsidRPr="007C4959">
              <w:rPr>
                <w:b/>
              </w:rPr>
              <w:t xml:space="preserve">X factors (%) </w:t>
            </w:r>
            <w:r w:rsidRPr="007C4959">
              <w:rPr>
                <w:b/>
                <w:vertAlign w:val="superscript"/>
              </w:rPr>
              <w:t>(a)</w:t>
            </w:r>
          </w:p>
        </w:tc>
        <w:tc>
          <w:tcPr>
            <w:tcW w:w="964" w:type="dxa"/>
            <w:tcBorders>
              <w:bottom w:val="single" w:sz="4" w:space="0" w:color="auto"/>
            </w:tcBorders>
          </w:tcPr>
          <w:p w14:paraId="618E88F6" w14:textId="77777777" w:rsidR="00B52ECB" w:rsidRPr="007C4959" w:rsidRDefault="00B52ECB" w:rsidP="006E364D">
            <w:pPr>
              <w:pStyle w:val="UtilComTabletext"/>
              <w:jc w:val="right"/>
              <w:rPr>
                <w:b/>
              </w:rPr>
            </w:pPr>
          </w:p>
        </w:tc>
        <w:tc>
          <w:tcPr>
            <w:tcW w:w="964" w:type="dxa"/>
            <w:tcBorders>
              <w:bottom w:val="single" w:sz="4" w:space="0" w:color="auto"/>
            </w:tcBorders>
          </w:tcPr>
          <w:p w14:paraId="3429413A" w14:textId="6752AA82" w:rsidR="00B52ECB" w:rsidRPr="007C4959" w:rsidRDefault="00B52ECB" w:rsidP="0046764A">
            <w:pPr>
              <w:pStyle w:val="UtilComTabletext"/>
              <w:jc w:val="right"/>
              <w:rPr>
                <w:b/>
              </w:rPr>
            </w:pPr>
            <w:r>
              <w:rPr>
                <w:b/>
              </w:rPr>
              <w:t>-</w:t>
            </w:r>
            <w:r w:rsidR="00A82507">
              <w:rPr>
                <w:b/>
              </w:rPr>
              <w:t xml:space="preserve"> </w:t>
            </w:r>
            <w:r>
              <w:rPr>
                <w:b/>
              </w:rPr>
              <w:t>45.41</w:t>
            </w:r>
          </w:p>
        </w:tc>
        <w:tc>
          <w:tcPr>
            <w:tcW w:w="964" w:type="dxa"/>
            <w:tcBorders>
              <w:bottom w:val="single" w:sz="4" w:space="0" w:color="auto"/>
            </w:tcBorders>
          </w:tcPr>
          <w:p w14:paraId="2DB80B37" w14:textId="696419E9" w:rsidR="00B52ECB" w:rsidRPr="007C4959" w:rsidRDefault="00B52ECB" w:rsidP="0055417A">
            <w:pPr>
              <w:pStyle w:val="UtilComTabletext"/>
              <w:jc w:val="right"/>
              <w:rPr>
                <w:b/>
              </w:rPr>
            </w:pPr>
            <w:r>
              <w:rPr>
                <w:b/>
              </w:rPr>
              <w:t>-</w:t>
            </w:r>
            <w:r w:rsidR="00A82507">
              <w:rPr>
                <w:b/>
              </w:rPr>
              <w:t xml:space="preserve"> </w:t>
            </w:r>
            <w:r>
              <w:rPr>
                <w:b/>
              </w:rPr>
              <w:t>15.00</w:t>
            </w:r>
          </w:p>
        </w:tc>
        <w:tc>
          <w:tcPr>
            <w:tcW w:w="964" w:type="dxa"/>
            <w:tcBorders>
              <w:bottom w:val="single" w:sz="4" w:space="0" w:color="auto"/>
            </w:tcBorders>
          </w:tcPr>
          <w:p w14:paraId="0892F8DA" w14:textId="77777777" w:rsidR="00B52ECB" w:rsidRPr="007C4959" w:rsidRDefault="00B52ECB" w:rsidP="0055417A">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09617BB2" w14:textId="77777777" w:rsidR="00B52ECB" w:rsidRPr="007C4959" w:rsidRDefault="00B52ECB" w:rsidP="000134C4">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7BD30D7D" w14:textId="77777777" w:rsidR="00B52ECB" w:rsidRPr="007C4959" w:rsidRDefault="00B52ECB" w:rsidP="00F163D5">
            <w:pPr>
              <w:pStyle w:val="UtilComTabletext"/>
              <w:jc w:val="right"/>
              <w:rPr>
                <w:b/>
              </w:rPr>
            </w:pPr>
            <w:r w:rsidRPr="007C4959">
              <w:rPr>
                <w:b/>
              </w:rPr>
              <w:t>-</w:t>
            </w:r>
            <w:r>
              <w:rPr>
                <w:b/>
              </w:rPr>
              <w:t xml:space="preserve"> </w:t>
            </w:r>
            <w:r w:rsidRPr="007C4959">
              <w:rPr>
                <w:b/>
              </w:rPr>
              <w:t>1.00</w:t>
            </w:r>
          </w:p>
        </w:tc>
        <w:tc>
          <w:tcPr>
            <w:tcW w:w="1021" w:type="dxa"/>
            <w:tcBorders>
              <w:bottom w:val="single" w:sz="4" w:space="0" w:color="auto"/>
            </w:tcBorders>
          </w:tcPr>
          <w:p w14:paraId="225DC826" w14:textId="77777777" w:rsidR="00B52ECB" w:rsidRPr="007C4959" w:rsidRDefault="00B52ECB" w:rsidP="00F163D5">
            <w:pPr>
              <w:pStyle w:val="UtilComTabletext"/>
              <w:jc w:val="right"/>
              <w:rPr>
                <w:b/>
              </w:rPr>
            </w:pPr>
          </w:p>
        </w:tc>
      </w:tr>
      <w:tr w:rsidR="00B52ECB" w:rsidRPr="008A4655" w14:paraId="65D286CB" w14:textId="02D40D5C" w:rsidTr="00A82507">
        <w:trPr>
          <w:cantSplit/>
          <w:trHeight w:val="360"/>
        </w:trPr>
        <w:tc>
          <w:tcPr>
            <w:tcW w:w="2410" w:type="dxa"/>
            <w:tcBorders>
              <w:bottom w:val="single" w:sz="4" w:space="0" w:color="auto"/>
            </w:tcBorders>
          </w:tcPr>
          <w:p w14:paraId="6687EA8B" w14:textId="77777777" w:rsidR="00B52ECB" w:rsidRDefault="00B52ECB" w:rsidP="006E364D">
            <w:pPr>
              <w:pStyle w:val="UtilComTabletext"/>
            </w:pPr>
            <w:r>
              <w:t>Carryover adjustment (2013 cost pass through)</w:t>
            </w:r>
          </w:p>
        </w:tc>
        <w:tc>
          <w:tcPr>
            <w:tcW w:w="964" w:type="dxa"/>
            <w:tcBorders>
              <w:bottom w:val="single" w:sz="4" w:space="0" w:color="auto"/>
            </w:tcBorders>
          </w:tcPr>
          <w:p w14:paraId="073DC2D9" w14:textId="77777777" w:rsidR="00B52ECB" w:rsidRDefault="00B52ECB" w:rsidP="006E364D">
            <w:pPr>
              <w:pStyle w:val="UtilComTabletext"/>
              <w:jc w:val="right"/>
            </w:pPr>
          </w:p>
        </w:tc>
        <w:tc>
          <w:tcPr>
            <w:tcW w:w="964" w:type="dxa"/>
            <w:tcBorders>
              <w:bottom w:val="single" w:sz="4" w:space="0" w:color="auto"/>
            </w:tcBorders>
          </w:tcPr>
          <w:p w14:paraId="6768A4F8" w14:textId="77777777" w:rsidR="00B52ECB" w:rsidRDefault="00B52ECB" w:rsidP="0046764A">
            <w:pPr>
              <w:pStyle w:val="UtilComTabletext"/>
              <w:jc w:val="right"/>
            </w:pPr>
            <w:r>
              <w:t>7.18</w:t>
            </w:r>
          </w:p>
        </w:tc>
        <w:tc>
          <w:tcPr>
            <w:tcW w:w="964" w:type="dxa"/>
            <w:tcBorders>
              <w:bottom w:val="single" w:sz="4" w:space="0" w:color="auto"/>
            </w:tcBorders>
          </w:tcPr>
          <w:p w14:paraId="348DA964" w14:textId="77777777" w:rsidR="00B52ECB" w:rsidRDefault="00B52ECB" w:rsidP="0055417A">
            <w:pPr>
              <w:pStyle w:val="UtilComTabletext"/>
              <w:jc w:val="right"/>
            </w:pPr>
            <w:r>
              <w:t>7.76</w:t>
            </w:r>
          </w:p>
        </w:tc>
        <w:tc>
          <w:tcPr>
            <w:tcW w:w="964" w:type="dxa"/>
            <w:tcBorders>
              <w:bottom w:val="single" w:sz="4" w:space="0" w:color="auto"/>
            </w:tcBorders>
          </w:tcPr>
          <w:p w14:paraId="39A83F5D" w14:textId="77777777" w:rsidR="00B52ECB" w:rsidRDefault="00B52ECB" w:rsidP="0055417A">
            <w:pPr>
              <w:pStyle w:val="UtilComTabletext"/>
              <w:jc w:val="right"/>
            </w:pPr>
            <w:r>
              <w:t>8.39</w:t>
            </w:r>
          </w:p>
        </w:tc>
        <w:tc>
          <w:tcPr>
            <w:tcW w:w="964" w:type="dxa"/>
            <w:tcBorders>
              <w:bottom w:val="single" w:sz="4" w:space="0" w:color="auto"/>
            </w:tcBorders>
          </w:tcPr>
          <w:p w14:paraId="0693AB0E" w14:textId="77777777" w:rsidR="00B52ECB" w:rsidRDefault="00B52ECB" w:rsidP="000134C4">
            <w:pPr>
              <w:pStyle w:val="UtilComTabletext"/>
              <w:jc w:val="right"/>
            </w:pPr>
            <w:r>
              <w:t>9.07</w:t>
            </w:r>
          </w:p>
        </w:tc>
        <w:tc>
          <w:tcPr>
            <w:tcW w:w="964" w:type="dxa"/>
            <w:tcBorders>
              <w:bottom w:val="single" w:sz="4" w:space="0" w:color="auto"/>
            </w:tcBorders>
          </w:tcPr>
          <w:p w14:paraId="6A15EA83" w14:textId="77777777" w:rsidR="00B52ECB" w:rsidRDefault="00B52ECB" w:rsidP="00F163D5">
            <w:pPr>
              <w:pStyle w:val="UtilComTabletext"/>
              <w:jc w:val="right"/>
            </w:pPr>
            <w:r>
              <w:t>9.81</w:t>
            </w:r>
          </w:p>
        </w:tc>
        <w:tc>
          <w:tcPr>
            <w:tcW w:w="1021" w:type="dxa"/>
            <w:tcBorders>
              <w:bottom w:val="single" w:sz="4" w:space="0" w:color="auto"/>
            </w:tcBorders>
          </w:tcPr>
          <w:p w14:paraId="1C1134B4" w14:textId="20F50C0D" w:rsidR="00B52ECB" w:rsidRDefault="00CF07A5" w:rsidP="00F163D5">
            <w:pPr>
              <w:pStyle w:val="UtilComTabletext"/>
              <w:jc w:val="right"/>
            </w:pPr>
            <w:r>
              <w:t>42.21</w:t>
            </w:r>
          </w:p>
        </w:tc>
      </w:tr>
      <w:tr w:rsidR="00B52ECB" w:rsidRPr="008A4655" w14:paraId="63DAAB55" w14:textId="5B1F8C4C" w:rsidTr="00A82507">
        <w:trPr>
          <w:cantSplit/>
          <w:trHeight w:val="360"/>
        </w:trPr>
        <w:tc>
          <w:tcPr>
            <w:tcW w:w="2410" w:type="dxa"/>
          </w:tcPr>
          <w:p w14:paraId="588A0677" w14:textId="77777777" w:rsidR="00B52ECB" w:rsidRDefault="00B52ECB" w:rsidP="006E364D">
            <w:pPr>
              <w:pStyle w:val="UtilComTabletext"/>
            </w:pPr>
            <w:r>
              <w:t>Total unsmoothed annual revenue requirement</w:t>
            </w:r>
          </w:p>
        </w:tc>
        <w:tc>
          <w:tcPr>
            <w:tcW w:w="964" w:type="dxa"/>
          </w:tcPr>
          <w:p w14:paraId="4226F293" w14:textId="77777777" w:rsidR="00B52ECB" w:rsidRPr="00DB64A7" w:rsidRDefault="00B52ECB" w:rsidP="006E364D">
            <w:pPr>
              <w:pStyle w:val="UtilComTabletext"/>
              <w:jc w:val="right"/>
            </w:pPr>
          </w:p>
        </w:tc>
        <w:tc>
          <w:tcPr>
            <w:tcW w:w="964" w:type="dxa"/>
          </w:tcPr>
          <w:p w14:paraId="6B34C818" w14:textId="4042F3EF" w:rsidR="00B52ECB" w:rsidRDefault="00B52ECB" w:rsidP="0046764A">
            <w:pPr>
              <w:pStyle w:val="UtilComTabletext"/>
              <w:jc w:val="right"/>
            </w:pPr>
            <w:r>
              <w:t>229</w:t>
            </w:r>
            <w:r w:rsidR="00A82507">
              <w:t>.</w:t>
            </w:r>
            <w:r>
              <w:t>,25</w:t>
            </w:r>
          </w:p>
        </w:tc>
        <w:tc>
          <w:tcPr>
            <w:tcW w:w="964" w:type="dxa"/>
          </w:tcPr>
          <w:p w14:paraId="62ED20A0" w14:textId="77777777" w:rsidR="00B52ECB" w:rsidRDefault="00B52ECB" w:rsidP="0055417A">
            <w:pPr>
              <w:pStyle w:val="UtilComTabletext"/>
              <w:jc w:val="right"/>
            </w:pPr>
            <w:r>
              <w:t>238.93</w:t>
            </w:r>
          </w:p>
        </w:tc>
        <w:tc>
          <w:tcPr>
            <w:tcW w:w="964" w:type="dxa"/>
          </w:tcPr>
          <w:p w14:paraId="3E098725" w14:textId="77777777" w:rsidR="00B52ECB" w:rsidRDefault="00B52ECB" w:rsidP="0055417A">
            <w:pPr>
              <w:pStyle w:val="UtilComTabletext"/>
              <w:jc w:val="right"/>
            </w:pPr>
            <w:r>
              <w:t>243.62</w:t>
            </w:r>
          </w:p>
        </w:tc>
        <w:tc>
          <w:tcPr>
            <w:tcW w:w="964" w:type="dxa"/>
          </w:tcPr>
          <w:p w14:paraId="0E927B4C" w14:textId="77777777" w:rsidR="00B52ECB" w:rsidRDefault="00B52ECB" w:rsidP="000134C4">
            <w:pPr>
              <w:pStyle w:val="UtilComTabletext"/>
              <w:jc w:val="right"/>
            </w:pPr>
            <w:r>
              <w:t>248.14</w:t>
            </w:r>
          </w:p>
        </w:tc>
        <w:tc>
          <w:tcPr>
            <w:tcW w:w="964" w:type="dxa"/>
          </w:tcPr>
          <w:p w14:paraId="2490D8D2" w14:textId="0FD6B441" w:rsidR="00B52ECB" w:rsidRDefault="00B52ECB" w:rsidP="00A82507">
            <w:pPr>
              <w:pStyle w:val="UtilComTabletext"/>
              <w:jc w:val="right"/>
            </w:pPr>
            <w:r>
              <w:t>255.</w:t>
            </w:r>
            <w:r w:rsidR="00A82507">
              <w:t>43</w:t>
            </w:r>
          </w:p>
        </w:tc>
        <w:tc>
          <w:tcPr>
            <w:tcW w:w="1021" w:type="dxa"/>
          </w:tcPr>
          <w:p w14:paraId="64562536" w14:textId="5F4C6DA7" w:rsidR="00B52ECB" w:rsidRDefault="00CF07A5" w:rsidP="00F163D5">
            <w:pPr>
              <w:pStyle w:val="UtilComTabletext"/>
              <w:jc w:val="right"/>
            </w:pPr>
            <w:r>
              <w:t>1 215.66</w:t>
            </w:r>
          </w:p>
        </w:tc>
      </w:tr>
      <w:tr w:rsidR="00B52ECB" w:rsidRPr="008A4655" w14:paraId="6ACA4D29" w14:textId="57DE6E25" w:rsidTr="00A82507">
        <w:trPr>
          <w:cantSplit/>
          <w:trHeight w:val="360"/>
        </w:trPr>
        <w:tc>
          <w:tcPr>
            <w:tcW w:w="2410" w:type="dxa"/>
            <w:tcBorders>
              <w:bottom w:val="single" w:sz="4" w:space="0" w:color="999999"/>
            </w:tcBorders>
          </w:tcPr>
          <w:p w14:paraId="56EBBAD0" w14:textId="77777777" w:rsidR="00B52ECB" w:rsidRDefault="00B52ECB" w:rsidP="006E364D">
            <w:pPr>
              <w:pStyle w:val="UtilComTabletext"/>
            </w:pPr>
            <w:r>
              <w:t>Expected revenues (smoothed revenue)</w:t>
            </w:r>
          </w:p>
        </w:tc>
        <w:tc>
          <w:tcPr>
            <w:tcW w:w="964" w:type="dxa"/>
            <w:tcBorders>
              <w:bottom w:val="single" w:sz="4" w:space="0" w:color="999999"/>
            </w:tcBorders>
          </w:tcPr>
          <w:p w14:paraId="2C6A9CB9" w14:textId="77777777" w:rsidR="00B52ECB" w:rsidRDefault="00B52ECB" w:rsidP="006E364D">
            <w:pPr>
              <w:pStyle w:val="UtilComTabletext"/>
              <w:jc w:val="right"/>
            </w:pPr>
            <w:r>
              <w:t>132.65</w:t>
            </w:r>
          </w:p>
        </w:tc>
        <w:tc>
          <w:tcPr>
            <w:tcW w:w="964" w:type="dxa"/>
            <w:tcBorders>
              <w:bottom w:val="single" w:sz="4" w:space="0" w:color="999999"/>
            </w:tcBorders>
          </w:tcPr>
          <w:p w14:paraId="110B32E9" w14:textId="77777777" w:rsidR="00B52ECB" w:rsidRPr="003C1833" w:rsidRDefault="00B52ECB" w:rsidP="0046764A">
            <w:pPr>
              <w:pStyle w:val="UtilComTabletext"/>
              <w:jc w:val="right"/>
            </w:pPr>
            <w:r>
              <w:t>204.77</w:t>
            </w:r>
            <w:r w:rsidRPr="003C1833">
              <w:t xml:space="preserve"> </w:t>
            </w:r>
          </w:p>
        </w:tc>
        <w:tc>
          <w:tcPr>
            <w:tcW w:w="964" w:type="dxa"/>
            <w:tcBorders>
              <w:bottom w:val="single" w:sz="4" w:space="0" w:color="999999"/>
            </w:tcBorders>
          </w:tcPr>
          <w:p w14:paraId="75ACD5FB" w14:textId="77777777" w:rsidR="00B52ECB" w:rsidRPr="003C1833" w:rsidRDefault="00B52ECB" w:rsidP="0055417A">
            <w:pPr>
              <w:pStyle w:val="UtilComTabletext"/>
              <w:jc w:val="right"/>
            </w:pPr>
            <w:r>
              <w:t>241.41</w:t>
            </w:r>
            <w:r w:rsidRPr="003C1833">
              <w:t xml:space="preserve"> </w:t>
            </w:r>
          </w:p>
        </w:tc>
        <w:tc>
          <w:tcPr>
            <w:tcW w:w="964" w:type="dxa"/>
            <w:tcBorders>
              <w:bottom w:val="single" w:sz="4" w:space="0" w:color="999999"/>
            </w:tcBorders>
          </w:tcPr>
          <w:p w14:paraId="0299E703" w14:textId="77777777" w:rsidR="00B52ECB" w:rsidRPr="003C1833" w:rsidRDefault="00B52ECB" w:rsidP="0055417A">
            <w:pPr>
              <w:pStyle w:val="UtilComTabletext"/>
              <w:jc w:val="right"/>
            </w:pPr>
            <w:r>
              <w:t>249.95</w:t>
            </w:r>
            <w:r w:rsidRPr="003C1833">
              <w:t xml:space="preserve"> </w:t>
            </w:r>
          </w:p>
        </w:tc>
        <w:tc>
          <w:tcPr>
            <w:tcW w:w="964" w:type="dxa"/>
            <w:tcBorders>
              <w:bottom w:val="single" w:sz="4" w:space="0" w:color="999999"/>
            </w:tcBorders>
          </w:tcPr>
          <w:p w14:paraId="6540160F" w14:textId="77777777" w:rsidR="00B52ECB" w:rsidRPr="003C1833" w:rsidRDefault="00B52ECB" w:rsidP="000134C4">
            <w:pPr>
              <w:pStyle w:val="UtilComTabletext"/>
              <w:jc w:val="right"/>
            </w:pPr>
            <w:r>
              <w:t>258.80</w:t>
            </w:r>
            <w:r w:rsidRPr="003C1833">
              <w:t xml:space="preserve"> </w:t>
            </w:r>
          </w:p>
        </w:tc>
        <w:tc>
          <w:tcPr>
            <w:tcW w:w="964" w:type="dxa"/>
            <w:tcBorders>
              <w:bottom w:val="single" w:sz="4" w:space="0" w:color="999999"/>
            </w:tcBorders>
          </w:tcPr>
          <w:p w14:paraId="669B3197" w14:textId="77777777" w:rsidR="00B52ECB" w:rsidRDefault="00B52ECB" w:rsidP="00F163D5">
            <w:pPr>
              <w:pStyle w:val="UtilComTabletext"/>
              <w:jc w:val="right"/>
            </w:pPr>
            <w:r>
              <w:t>267.95</w:t>
            </w:r>
            <w:r w:rsidRPr="003C1833">
              <w:t xml:space="preserve"> </w:t>
            </w:r>
          </w:p>
        </w:tc>
        <w:tc>
          <w:tcPr>
            <w:tcW w:w="1021" w:type="dxa"/>
            <w:tcBorders>
              <w:bottom w:val="single" w:sz="4" w:space="0" w:color="999999"/>
            </w:tcBorders>
          </w:tcPr>
          <w:p w14:paraId="0B346001" w14:textId="77777777" w:rsidR="00B52ECB" w:rsidRDefault="00B52ECB" w:rsidP="00F163D5">
            <w:pPr>
              <w:pStyle w:val="UtilComTabletext"/>
              <w:jc w:val="right"/>
            </w:pPr>
          </w:p>
        </w:tc>
      </w:tr>
      <w:tr w:rsidR="00B52ECB" w:rsidRPr="008A4655" w14:paraId="7B3B6D0A" w14:textId="7353C2AE" w:rsidTr="00A82507">
        <w:trPr>
          <w:cantSplit/>
          <w:trHeight w:val="360"/>
        </w:trPr>
        <w:tc>
          <w:tcPr>
            <w:tcW w:w="2410" w:type="dxa"/>
            <w:tcBorders>
              <w:bottom w:val="single" w:sz="4" w:space="0" w:color="999999"/>
            </w:tcBorders>
          </w:tcPr>
          <w:p w14:paraId="6DFF1FE5" w14:textId="77777777" w:rsidR="00B52ECB" w:rsidRDefault="00B52ECB" w:rsidP="006E364D">
            <w:pPr>
              <w:pStyle w:val="UtilComTabletext"/>
            </w:pPr>
            <w:r>
              <w:t>Forecast CPI (%)</w:t>
            </w:r>
          </w:p>
        </w:tc>
        <w:tc>
          <w:tcPr>
            <w:tcW w:w="964" w:type="dxa"/>
            <w:tcBorders>
              <w:bottom w:val="single" w:sz="4" w:space="0" w:color="999999"/>
            </w:tcBorders>
          </w:tcPr>
          <w:p w14:paraId="6F7773B9" w14:textId="77777777" w:rsidR="00B52ECB" w:rsidRDefault="00B52ECB" w:rsidP="006E364D">
            <w:pPr>
              <w:pStyle w:val="UtilComTabletext"/>
              <w:jc w:val="right"/>
            </w:pPr>
          </w:p>
        </w:tc>
        <w:tc>
          <w:tcPr>
            <w:tcW w:w="964" w:type="dxa"/>
            <w:tcBorders>
              <w:bottom w:val="single" w:sz="4" w:space="0" w:color="999999"/>
            </w:tcBorders>
          </w:tcPr>
          <w:p w14:paraId="549F70D3" w14:textId="77777777" w:rsidR="00B52ECB" w:rsidRDefault="00B52ECB" w:rsidP="0046764A">
            <w:pPr>
              <w:pStyle w:val="UtilComTabletext"/>
              <w:jc w:val="right"/>
            </w:pPr>
            <w:r>
              <w:t>2.51</w:t>
            </w:r>
          </w:p>
        </w:tc>
        <w:tc>
          <w:tcPr>
            <w:tcW w:w="964" w:type="dxa"/>
            <w:tcBorders>
              <w:bottom w:val="single" w:sz="4" w:space="0" w:color="999999"/>
            </w:tcBorders>
          </w:tcPr>
          <w:p w14:paraId="03B828CC" w14:textId="77777777" w:rsidR="00B52ECB" w:rsidRDefault="00B52ECB" w:rsidP="0055417A">
            <w:pPr>
              <w:pStyle w:val="UtilComTabletext"/>
              <w:jc w:val="right"/>
            </w:pPr>
            <w:r>
              <w:t>2.51</w:t>
            </w:r>
          </w:p>
        </w:tc>
        <w:tc>
          <w:tcPr>
            <w:tcW w:w="964" w:type="dxa"/>
            <w:tcBorders>
              <w:bottom w:val="single" w:sz="4" w:space="0" w:color="999999"/>
            </w:tcBorders>
          </w:tcPr>
          <w:p w14:paraId="4B01BAED" w14:textId="77777777" w:rsidR="00B52ECB" w:rsidRDefault="00B52ECB" w:rsidP="0055417A">
            <w:pPr>
              <w:pStyle w:val="UtilComTabletext"/>
              <w:jc w:val="right"/>
            </w:pPr>
            <w:r>
              <w:t>2.51</w:t>
            </w:r>
          </w:p>
        </w:tc>
        <w:tc>
          <w:tcPr>
            <w:tcW w:w="964" w:type="dxa"/>
            <w:tcBorders>
              <w:bottom w:val="single" w:sz="4" w:space="0" w:color="999999"/>
            </w:tcBorders>
          </w:tcPr>
          <w:p w14:paraId="1C6D055E" w14:textId="77777777" w:rsidR="00B52ECB" w:rsidRDefault="00B52ECB" w:rsidP="000134C4">
            <w:pPr>
              <w:pStyle w:val="UtilComTabletext"/>
              <w:jc w:val="right"/>
            </w:pPr>
            <w:r>
              <w:t>2.51</w:t>
            </w:r>
          </w:p>
        </w:tc>
        <w:tc>
          <w:tcPr>
            <w:tcW w:w="964" w:type="dxa"/>
            <w:tcBorders>
              <w:bottom w:val="single" w:sz="4" w:space="0" w:color="999999"/>
            </w:tcBorders>
          </w:tcPr>
          <w:p w14:paraId="1D73B6E0" w14:textId="77777777" w:rsidR="00B52ECB" w:rsidRDefault="00B52ECB" w:rsidP="00F163D5">
            <w:pPr>
              <w:pStyle w:val="UtilComTabletext"/>
              <w:jc w:val="right"/>
            </w:pPr>
            <w:r>
              <w:t>2.51</w:t>
            </w:r>
          </w:p>
        </w:tc>
        <w:tc>
          <w:tcPr>
            <w:tcW w:w="1021" w:type="dxa"/>
            <w:tcBorders>
              <w:bottom w:val="single" w:sz="4" w:space="0" w:color="999999"/>
            </w:tcBorders>
          </w:tcPr>
          <w:p w14:paraId="6F606F84" w14:textId="77777777" w:rsidR="00B52ECB" w:rsidRDefault="00B52ECB" w:rsidP="00F163D5">
            <w:pPr>
              <w:pStyle w:val="UtilComTabletext"/>
              <w:jc w:val="right"/>
            </w:pPr>
          </w:p>
        </w:tc>
      </w:tr>
      <w:tr w:rsidR="00B52ECB" w:rsidRPr="007C4959" w14:paraId="3EEFF408" w14:textId="61A300C7" w:rsidTr="00A82507">
        <w:trPr>
          <w:cantSplit/>
          <w:trHeight w:val="360"/>
        </w:trPr>
        <w:tc>
          <w:tcPr>
            <w:tcW w:w="2410" w:type="dxa"/>
          </w:tcPr>
          <w:p w14:paraId="31D30548" w14:textId="77777777" w:rsidR="00B52ECB" w:rsidRPr="007C4959" w:rsidRDefault="00B52ECB" w:rsidP="006E364D">
            <w:pPr>
              <w:pStyle w:val="UtilComTabletext"/>
              <w:rPr>
                <w:b/>
              </w:rPr>
            </w:pPr>
            <w:r w:rsidRPr="007C4959">
              <w:rPr>
                <w:b/>
              </w:rPr>
              <w:t xml:space="preserve">X factors (%) </w:t>
            </w:r>
            <w:r w:rsidRPr="007C4959">
              <w:rPr>
                <w:b/>
                <w:vertAlign w:val="superscript"/>
              </w:rPr>
              <w:t>(a)</w:t>
            </w:r>
          </w:p>
        </w:tc>
        <w:tc>
          <w:tcPr>
            <w:tcW w:w="964" w:type="dxa"/>
          </w:tcPr>
          <w:p w14:paraId="077E5D2C" w14:textId="77777777" w:rsidR="00B52ECB" w:rsidRPr="007C4959" w:rsidRDefault="00B52ECB" w:rsidP="006E364D">
            <w:pPr>
              <w:pStyle w:val="UtilComTabletext"/>
              <w:jc w:val="right"/>
              <w:rPr>
                <w:b/>
              </w:rPr>
            </w:pPr>
          </w:p>
        </w:tc>
        <w:tc>
          <w:tcPr>
            <w:tcW w:w="964" w:type="dxa"/>
          </w:tcPr>
          <w:p w14:paraId="15C91570" w14:textId="7FECEDEF" w:rsidR="00B52ECB" w:rsidRPr="007C4959" w:rsidRDefault="00B52ECB" w:rsidP="0046764A">
            <w:pPr>
              <w:pStyle w:val="UtilComTabletext"/>
              <w:jc w:val="right"/>
              <w:rPr>
                <w:b/>
              </w:rPr>
            </w:pPr>
            <w:r>
              <w:rPr>
                <w:b/>
              </w:rPr>
              <w:t>-</w:t>
            </w:r>
            <w:r w:rsidR="00A82507">
              <w:rPr>
                <w:b/>
              </w:rPr>
              <w:t xml:space="preserve"> </w:t>
            </w:r>
            <w:r>
              <w:rPr>
                <w:b/>
              </w:rPr>
              <w:t>50.59</w:t>
            </w:r>
          </w:p>
        </w:tc>
        <w:tc>
          <w:tcPr>
            <w:tcW w:w="964" w:type="dxa"/>
          </w:tcPr>
          <w:p w14:paraId="5E4822DB" w14:textId="3F70F724" w:rsidR="00B52ECB" w:rsidRPr="007C4959" w:rsidRDefault="00B52ECB" w:rsidP="0055417A">
            <w:pPr>
              <w:pStyle w:val="UtilComTabletext"/>
              <w:jc w:val="right"/>
              <w:rPr>
                <w:b/>
              </w:rPr>
            </w:pPr>
            <w:r>
              <w:rPr>
                <w:b/>
              </w:rPr>
              <w:t>-</w:t>
            </w:r>
            <w:r w:rsidR="00A82507">
              <w:rPr>
                <w:b/>
              </w:rPr>
              <w:t xml:space="preserve"> </w:t>
            </w:r>
            <w:r>
              <w:rPr>
                <w:b/>
              </w:rPr>
              <w:t>15.00</w:t>
            </w:r>
          </w:p>
        </w:tc>
        <w:tc>
          <w:tcPr>
            <w:tcW w:w="964" w:type="dxa"/>
          </w:tcPr>
          <w:p w14:paraId="106E1C1B" w14:textId="77777777" w:rsidR="00B52ECB" w:rsidRPr="007C4959" w:rsidRDefault="00B52ECB" w:rsidP="0055417A">
            <w:pPr>
              <w:pStyle w:val="UtilComTabletext"/>
              <w:jc w:val="right"/>
              <w:rPr>
                <w:b/>
              </w:rPr>
            </w:pPr>
            <w:r w:rsidRPr="007C4959">
              <w:rPr>
                <w:b/>
              </w:rPr>
              <w:t>-</w:t>
            </w:r>
            <w:r>
              <w:rPr>
                <w:b/>
              </w:rPr>
              <w:t xml:space="preserve"> </w:t>
            </w:r>
            <w:r w:rsidRPr="007C4959">
              <w:rPr>
                <w:b/>
              </w:rPr>
              <w:t>1.00</w:t>
            </w:r>
          </w:p>
        </w:tc>
        <w:tc>
          <w:tcPr>
            <w:tcW w:w="964" w:type="dxa"/>
          </w:tcPr>
          <w:p w14:paraId="6B38E48A" w14:textId="77777777" w:rsidR="00B52ECB" w:rsidRPr="007C4959" w:rsidRDefault="00B52ECB" w:rsidP="000134C4">
            <w:pPr>
              <w:pStyle w:val="UtilComTabletext"/>
              <w:jc w:val="right"/>
              <w:rPr>
                <w:b/>
              </w:rPr>
            </w:pPr>
            <w:r w:rsidRPr="007C4959">
              <w:rPr>
                <w:b/>
              </w:rPr>
              <w:t>-</w:t>
            </w:r>
            <w:r>
              <w:rPr>
                <w:b/>
              </w:rPr>
              <w:t xml:space="preserve"> </w:t>
            </w:r>
            <w:r w:rsidRPr="007C4959">
              <w:rPr>
                <w:b/>
              </w:rPr>
              <w:t>1.00</w:t>
            </w:r>
          </w:p>
        </w:tc>
        <w:tc>
          <w:tcPr>
            <w:tcW w:w="964" w:type="dxa"/>
          </w:tcPr>
          <w:p w14:paraId="00A46CD6" w14:textId="77777777" w:rsidR="00B52ECB" w:rsidRPr="007C4959" w:rsidRDefault="00B52ECB" w:rsidP="00F163D5">
            <w:pPr>
              <w:pStyle w:val="UtilComTabletext"/>
              <w:jc w:val="right"/>
              <w:rPr>
                <w:b/>
              </w:rPr>
            </w:pPr>
            <w:r w:rsidRPr="007C4959">
              <w:rPr>
                <w:b/>
              </w:rPr>
              <w:t>-</w:t>
            </w:r>
            <w:r>
              <w:rPr>
                <w:b/>
              </w:rPr>
              <w:t xml:space="preserve"> </w:t>
            </w:r>
            <w:r w:rsidRPr="007C4959">
              <w:rPr>
                <w:b/>
              </w:rPr>
              <w:t>1.00</w:t>
            </w:r>
          </w:p>
        </w:tc>
        <w:tc>
          <w:tcPr>
            <w:tcW w:w="1021" w:type="dxa"/>
          </w:tcPr>
          <w:p w14:paraId="4561CCCD" w14:textId="77777777" w:rsidR="00B52ECB" w:rsidRPr="007C4959" w:rsidRDefault="00B52ECB" w:rsidP="00F163D5">
            <w:pPr>
              <w:pStyle w:val="UtilComTabletext"/>
              <w:jc w:val="right"/>
              <w:rPr>
                <w:b/>
              </w:rPr>
            </w:pPr>
          </w:p>
        </w:tc>
      </w:tr>
    </w:tbl>
    <w:p w14:paraId="1671A9C8" w14:textId="3ACDE7D2" w:rsidR="00AB1AFD" w:rsidRDefault="00AB1AFD" w:rsidP="00AB1AFD">
      <w:pPr>
        <w:pStyle w:val="UtilComReferenceSource"/>
        <w:rPr>
          <w:lang w:val="en-AU"/>
        </w:rPr>
      </w:pPr>
      <w:r>
        <w:rPr>
          <w:lang w:val="en-AU"/>
        </w:rPr>
        <w:t>Source: PWC Networks</w:t>
      </w:r>
      <w:r w:rsidR="00A82507">
        <w:rPr>
          <w:lang w:val="en-AU"/>
        </w:rPr>
        <w:t>’</w:t>
      </w:r>
      <w:r w:rsidR="00BC3F41">
        <w:rPr>
          <w:lang w:val="en-AU"/>
        </w:rPr>
        <w:t xml:space="preserve"> </w:t>
      </w:r>
      <w:r w:rsidR="00A82507">
        <w:rPr>
          <w:lang w:val="en-AU"/>
        </w:rPr>
        <w:t>revised regulatory proposal</w:t>
      </w:r>
      <w:r>
        <w:rPr>
          <w:lang w:val="en-AU"/>
        </w:rPr>
        <w:t xml:space="preserve">, NTRM </w:t>
      </w:r>
      <w:r>
        <w:rPr>
          <w:lang w:val="en-AU"/>
        </w:rPr>
        <w:br/>
      </w:r>
      <w:r w:rsidRPr="00BB4311">
        <w:rPr>
          <w:rFonts w:cs="Arial"/>
          <w:vertAlign w:val="superscript"/>
          <w:lang w:val="en-AU"/>
        </w:rPr>
        <w:t>(a)</w:t>
      </w:r>
      <w:r w:rsidR="00E36181">
        <w:rPr>
          <w:lang w:val="en-AU"/>
        </w:rPr>
        <w:t xml:space="preserve"> </w:t>
      </w:r>
      <w:r w:rsidRPr="004A7FDA">
        <w:rPr>
          <w:lang w:val="en-AU"/>
        </w:rPr>
        <w:t>Negative values for X indicate real revenue increases under the CPI–X formula.</w:t>
      </w:r>
    </w:p>
    <w:p w14:paraId="7039AA38" w14:textId="5C2E3B0A" w:rsidR="00694054" w:rsidRDefault="00AB1AFD" w:rsidP="009A0EBC">
      <w:pPr>
        <w:pStyle w:val="NumberLevel2"/>
        <w:numPr>
          <w:ilvl w:val="1"/>
          <w:numId w:val="4"/>
        </w:numPr>
        <w:ind w:left="709" w:hanging="709"/>
        <w:rPr>
          <w:lang w:val="en-AU"/>
        </w:rPr>
      </w:pPr>
      <w:r>
        <w:rPr>
          <w:lang w:val="en-AU"/>
        </w:rPr>
        <w:t xml:space="preserve">The Commission has calculated </w:t>
      </w:r>
      <w:r w:rsidR="0057210A">
        <w:rPr>
          <w:lang w:val="en-AU"/>
        </w:rPr>
        <w:t>PWC </w:t>
      </w:r>
      <w:r>
        <w:rPr>
          <w:lang w:val="en-AU"/>
        </w:rPr>
        <w:t xml:space="preserve">Networks’ </w:t>
      </w:r>
      <w:r w:rsidR="00AF63CA">
        <w:rPr>
          <w:lang w:val="en-AU"/>
        </w:rPr>
        <w:t xml:space="preserve">annual </w:t>
      </w:r>
      <w:r>
        <w:rPr>
          <w:lang w:val="en-AU"/>
        </w:rPr>
        <w:t xml:space="preserve">revenue requirements and </w:t>
      </w:r>
      <w:r w:rsidR="00493A2A">
        <w:rPr>
          <w:lang w:val="en-AU"/>
        </w:rPr>
        <w:t>X </w:t>
      </w:r>
      <w:r>
        <w:rPr>
          <w:lang w:val="en-AU"/>
        </w:rPr>
        <w:t xml:space="preserve">factors based on its </w:t>
      </w:r>
      <w:r w:rsidR="00493A2A">
        <w:rPr>
          <w:lang w:val="en-AU"/>
        </w:rPr>
        <w:t>constituent</w:t>
      </w:r>
      <w:r>
        <w:rPr>
          <w:lang w:val="en-AU"/>
        </w:rPr>
        <w:t xml:space="preserve"> decisions regarding the various components of the building block (refer </w:t>
      </w:r>
      <w:r w:rsidR="0057210A">
        <w:rPr>
          <w:lang w:val="en-AU"/>
        </w:rPr>
        <w:t>Table </w:t>
      </w:r>
      <w:r>
        <w:rPr>
          <w:lang w:val="en-AU"/>
        </w:rPr>
        <w:t>1.2).</w:t>
      </w:r>
    </w:p>
    <w:p w14:paraId="749BE6D1" w14:textId="77777777" w:rsidR="00694054" w:rsidRDefault="00694054">
      <w:pPr>
        <w:spacing w:before="0" w:after="0" w:line="240" w:lineRule="auto"/>
        <w:rPr>
          <w:lang w:val="en-AU"/>
        </w:rPr>
      </w:pPr>
      <w:r>
        <w:rPr>
          <w:lang w:val="en-AU"/>
        </w:rPr>
        <w:br w:type="page"/>
      </w:r>
    </w:p>
    <w:p w14:paraId="36E3CCA2" w14:textId="77777777" w:rsidR="00AB1AFD" w:rsidRDefault="00AB1AFD" w:rsidP="00BB4311">
      <w:pPr>
        <w:pStyle w:val="NumberLevel2"/>
        <w:tabs>
          <w:tab w:val="clear" w:pos="576"/>
        </w:tabs>
        <w:ind w:left="709" w:firstLine="0"/>
        <w:rPr>
          <w:lang w:val="en-AU"/>
        </w:rPr>
      </w:pPr>
    </w:p>
    <w:p w14:paraId="6F440DBE" w14:textId="0F26F798" w:rsidR="00AB1AFD" w:rsidRPr="000C6589" w:rsidRDefault="00AB1AFD" w:rsidP="009A0EBC">
      <w:pPr>
        <w:pStyle w:val="NumberLevel2"/>
        <w:numPr>
          <w:ilvl w:val="1"/>
          <w:numId w:val="4"/>
        </w:numPr>
        <w:ind w:left="709" w:hanging="709"/>
        <w:rPr>
          <w:lang w:val="en-AU"/>
        </w:rPr>
      </w:pPr>
      <w:r w:rsidRPr="000B0B58">
        <w:rPr>
          <w:lang w:val="en-AU"/>
        </w:rPr>
        <w:t xml:space="preserve">The </w:t>
      </w:r>
      <w:r>
        <w:rPr>
          <w:lang w:val="en-AU"/>
        </w:rPr>
        <w:t>Commission</w:t>
      </w:r>
      <w:r w:rsidRPr="000B0B58">
        <w:rPr>
          <w:lang w:val="en-AU"/>
        </w:rPr>
        <w:t xml:space="preserve">’s </w:t>
      </w:r>
      <w:r w:rsidR="0057210A">
        <w:rPr>
          <w:lang w:val="en-AU"/>
        </w:rPr>
        <w:t>final</w:t>
      </w:r>
      <w:r w:rsidR="0057210A" w:rsidRPr="000B0B58">
        <w:rPr>
          <w:lang w:val="en-AU"/>
        </w:rPr>
        <w:t xml:space="preserve"> </w:t>
      </w:r>
      <w:r w:rsidRPr="000B0B58">
        <w:rPr>
          <w:lang w:val="en-AU"/>
        </w:rPr>
        <w:t xml:space="preserve">decision results in a total revenue requirement </w:t>
      </w:r>
      <w:r>
        <w:rPr>
          <w:lang w:val="en-AU"/>
        </w:rPr>
        <w:t xml:space="preserve">(exclusive of cost pass through carryovers) </w:t>
      </w:r>
      <w:r w:rsidRPr="000B0B58">
        <w:rPr>
          <w:lang w:val="en-AU"/>
        </w:rPr>
        <w:t xml:space="preserve">over the </w:t>
      </w:r>
      <w:r w:rsidR="001D102C" w:rsidRPr="000C6589">
        <w:rPr>
          <w:lang w:val="en-AU"/>
        </w:rPr>
        <w:t xml:space="preserve">2014-19 </w:t>
      </w:r>
      <w:r w:rsidRPr="000C6589">
        <w:rPr>
          <w:lang w:val="en-AU"/>
        </w:rPr>
        <w:t xml:space="preserve">regulatory control period of </w:t>
      </w:r>
      <w:r w:rsidR="00B62594">
        <w:rPr>
          <w:lang w:val="en-AU"/>
        </w:rPr>
        <w:t>$</w:t>
      </w:r>
      <w:r w:rsidR="00DD18D2">
        <w:rPr>
          <w:lang w:val="en-AU"/>
        </w:rPr>
        <w:t>992.2</w:t>
      </w:r>
      <w:r w:rsidR="0057210A" w:rsidRPr="000C6589">
        <w:rPr>
          <w:lang w:val="en-AU"/>
        </w:rPr>
        <w:t> </w:t>
      </w:r>
      <w:r w:rsidRPr="000C6589">
        <w:rPr>
          <w:lang w:val="en-AU"/>
        </w:rPr>
        <w:t xml:space="preserve">million, compared to </w:t>
      </w:r>
      <w:r w:rsidR="00441CE6">
        <w:rPr>
          <w:lang w:val="en-AU"/>
        </w:rPr>
        <w:t xml:space="preserve">the </w:t>
      </w:r>
      <w:r w:rsidR="0057210A" w:rsidRPr="000C6589">
        <w:rPr>
          <w:lang w:val="en-AU"/>
        </w:rPr>
        <w:t>$1</w:t>
      </w:r>
      <w:r w:rsidR="0056323D">
        <w:rPr>
          <w:lang w:val="en-AU"/>
        </w:rPr>
        <w:t> </w:t>
      </w:r>
      <w:r w:rsidR="0057210A" w:rsidRPr="000C6589">
        <w:rPr>
          <w:lang w:val="en-AU"/>
        </w:rPr>
        <w:t>173.</w:t>
      </w:r>
      <w:r w:rsidR="00CE288C">
        <w:rPr>
          <w:lang w:val="en-AU"/>
        </w:rPr>
        <w:t>4</w:t>
      </w:r>
      <w:r w:rsidR="0057210A" w:rsidRPr="000C6589">
        <w:rPr>
          <w:lang w:val="en-AU"/>
        </w:rPr>
        <w:t> </w:t>
      </w:r>
      <w:r w:rsidRPr="000C6589">
        <w:rPr>
          <w:lang w:val="en-AU"/>
        </w:rPr>
        <w:t xml:space="preserve">million proposed by </w:t>
      </w:r>
      <w:r w:rsidR="0057210A" w:rsidRPr="000C6589">
        <w:rPr>
          <w:lang w:val="en-AU"/>
        </w:rPr>
        <w:t>PWC </w:t>
      </w:r>
      <w:r w:rsidRPr="000C6589">
        <w:rPr>
          <w:lang w:val="en-AU"/>
        </w:rPr>
        <w:t>Networks</w:t>
      </w:r>
      <w:r w:rsidR="00F5108F">
        <w:rPr>
          <w:lang w:val="en-AU"/>
        </w:rPr>
        <w:t xml:space="preserve"> in its revised regulatory proposal</w:t>
      </w:r>
      <w:r w:rsidRPr="000C6589">
        <w:rPr>
          <w:lang w:val="en-AU"/>
        </w:rPr>
        <w:t xml:space="preserve">. Inclusion of the cost pass through carryover increases these figures to </w:t>
      </w:r>
      <w:r w:rsidR="00B62594">
        <w:rPr>
          <w:lang w:val="en-AU"/>
        </w:rPr>
        <w:t>$1 </w:t>
      </w:r>
      <w:r w:rsidR="00DD18D2">
        <w:rPr>
          <w:lang w:val="en-AU"/>
        </w:rPr>
        <w:t>034</w:t>
      </w:r>
      <w:r w:rsidR="00B62594">
        <w:rPr>
          <w:lang w:val="en-AU"/>
        </w:rPr>
        <w:t>.</w:t>
      </w:r>
      <w:r w:rsidR="00DD18D2">
        <w:rPr>
          <w:lang w:val="en-AU"/>
        </w:rPr>
        <w:t>2</w:t>
      </w:r>
      <w:r w:rsidR="0057210A" w:rsidRPr="000C6589">
        <w:rPr>
          <w:lang w:val="en-AU"/>
        </w:rPr>
        <w:t> </w:t>
      </w:r>
      <w:r w:rsidRPr="000C6589">
        <w:rPr>
          <w:lang w:val="en-AU"/>
        </w:rPr>
        <w:t xml:space="preserve">million and </w:t>
      </w:r>
      <w:r w:rsidR="0057210A" w:rsidRPr="000C6589">
        <w:rPr>
          <w:lang w:val="en-AU"/>
        </w:rPr>
        <w:t>$1 215.6 </w:t>
      </w:r>
      <w:r w:rsidRPr="000C6589">
        <w:rPr>
          <w:lang w:val="en-AU"/>
        </w:rPr>
        <w:t>million respectively. The main reasons for the difference between the Commission</w:t>
      </w:r>
      <w:r w:rsidR="00E36181" w:rsidRPr="000C6589">
        <w:rPr>
          <w:lang w:val="en-AU"/>
        </w:rPr>
        <w:t>’s</w:t>
      </w:r>
      <w:r w:rsidRPr="000C6589">
        <w:rPr>
          <w:lang w:val="en-AU"/>
        </w:rPr>
        <w:t xml:space="preserve"> </w:t>
      </w:r>
      <w:r w:rsidR="007D33D8" w:rsidRPr="000C6589">
        <w:rPr>
          <w:lang w:val="en-AU"/>
        </w:rPr>
        <w:t xml:space="preserve">final </w:t>
      </w:r>
      <w:r w:rsidRPr="000C6589">
        <w:rPr>
          <w:lang w:val="en-AU"/>
        </w:rPr>
        <w:t xml:space="preserve">decision and the </w:t>
      </w:r>
      <w:r w:rsidR="00B6231C" w:rsidRPr="000C6589">
        <w:rPr>
          <w:lang w:val="en-AU"/>
        </w:rPr>
        <w:t xml:space="preserve">revised </w:t>
      </w:r>
      <w:r w:rsidRPr="000C6589">
        <w:rPr>
          <w:lang w:val="en-AU"/>
        </w:rPr>
        <w:t xml:space="preserve">proposal of </w:t>
      </w:r>
      <w:r w:rsidR="007D33D8" w:rsidRPr="000C6589">
        <w:rPr>
          <w:lang w:val="en-AU"/>
        </w:rPr>
        <w:t>PWC </w:t>
      </w:r>
      <w:r w:rsidRPr="000C6589">
        <w:rPr>
          <w:lang w:val="en-AU"/>
        </w:rPr>
        <w:t>Networks are:</w:t>
      </w:r>
    </w:p>
    <w:p w14:paraId="20D02557" w14:textId="10F481DF" w:rsidR="00AB1AFD" w:rsidRPr="00B62594" w:rsidRDefault="00441CE6" w:rsidP="002D510D">
      <w:pPr>
        <w:pStyle w:val="UtilComBulletText"/>
        <w:numPr>
          <w:ilvl w:val="0"/>
          <w:numId w:val="6"/>
        </w:numPr>
        <w:tabs>
          <w:tab w:val="clear" w:pos="964"/>
          <w:tab w:val="num" w:pos="1134"/>
        </w:tabs>
        <w:ind w:left="1134" w:hanging="425"/>
      </w:pPr>
      <w:r>
        <w:t xml:space="preserve">the </w:t>
      </w:r>
      <w:r w:rsidR="00AB1AFD" w:rsidRPr="000C6589">
        <w:t xml:space="preserve">removal of </w:t>
      </w:r>
      <w:r w:rsidR="00B62594">
        <w:t>$18.4</w:t>
      </w:r>
      <w:r w:rsidR="0057210A" w:rsidRPr="00B62594">
        <w:t> </w:t>
      </w:r>
      <w:r w:rsidR="00AB1AFD" w:rsidRPr="00B62594">
        <w:t xml:space="preserve">million from </w:t>
      </w:r>
      <w:r w:rsidR="0057210A" w:rsidRPr="00B62594">
        <w:t>PWC </w:t>
      </w:r>
      <w:r w:rsidR="00AB1AFD" w:rsidRPr="00B62594">
        <w:t>Networks’ forecast cap</w:t>
      </w:r>
      <w:r w:rsidR="00A124CB" w:rsidRPr="00B62594">
        <w:t xml:space="preserve">ital </w:t>
      </w:r>
      <w:r w:rsidR="00AB1AFD" w:rsidRPr="00B62594">
        <w:t>ex</w:t>
      </w:r>
      <w:r w:rsidR="00A124CB" w:rsidRPr="00B62594">
        <w:t>penditure</w:t>
      </w:r>
      <w:r w:rsidR="00C41808" w:rsidRPr="00B62594">
        <w:t xml:space="preserve">, with two projects totaling </w:t>
      </w:r>
      <w:r w:rsidR="00B62594">
        <w:t>$31.</w:t>
      </w:r>
      <w:r w:rsidR="00F5108F">
        <w:t>0</w:t>
      </w:r>
      <w:r w:rsidR="00764CAF" w:rsidRPr="00B62594">
        <w:t> million approved as contingent projects (</w:t>
      </w:r>
      <w:r w:rsidR="00AF63CA" w:rsidRPr="00B62594">
        <w:t xml:space="preserve">that is, the </w:t>
      </w:r>
      <w:r w:rsidR="00764CAF" w:rsidRPr="00B62594">
        <w:t xml:space="preserve">Mitchell </w:t>
      </w:r>
      <w:r w:rsidR="00AF63CA" w:rsidRPr="00B62594">
        <w:t xml:space="preserve">Street </w:t>
      </w:r>
      <w:r w:rsidR="00764CAF" w:rsidRPr="00B62594">
        <w:t xml:space="preserve">switching station </w:t>
      </w:r>
      <w:r>
        <w:t xml:space="preserve">project which is forecast to cost </w:t>
      </w:r>
      <w:r w:rsidR="00764CAF" w:rsidRPr="00B62594">
        <w:t>$15.</w:t>
      </w:r>
      <w:r w:rsidR="00AF63CA" w:rsidRPr="00B62594">
        <w:t xml:space="preserve">2 million </w:t>
      </w:r>
      <w:r w:rsidR="0050701C">
        <w:t>and</w:t>
      </w:r>
      <w:r w:rsidR="0050701C" w:rsidRPr="00B62594">
        <w:t xml:space="preserve"> </w:t>
      </w:r>
      <w:r w:rsidR="00764CAF" w:rsidRPr="00B62594">
        <w:t xml:space="preserve">East Arm substation </w:t>
      </w:r>
      <w:r>
        <w:t>project which is forecast to cost</w:t>
      </w:r>
      <w:r w:rsidR="00AF63CA" w:rsidRPr="00AE72B5">
        <w:t xml:space="preserve"> </w:t>
      </w:r>
      <w:r w:rsidR="00C46AC2">
        <w:t>$15.8</w:t>
      </w:r>
      <w:r w:rsidR="00B62594" w:rsidRPr="00B62594">
        <w:t> </w:t>
      </w:r>
      <w:r w:rsidR="00AF63CA" w:rsidRPr="00B62594">
        <w:t>million</w:t>
      </w:r>
      <w:r w:rsidR="00764CAF" w:rsidRPr="00B62594">
        <w:t>)</w:t>
      </w:r>
      <w:r w:rsidR="00AB1AFD" w:rsidRPr="00B62594">
        <w:t>;</w:t>
      </w:r>
    </w:p>
    <w:p w14:paraId="6C35430F" w14:textId="3E3C5AEF" w:rsidR="00AB1AFD" w:rsidRPr="000C6589" w:rsidRDefault="00441CE6" w:rsidP="002D510D">
      <w:pPr>
        <w:pStyle w:val="UtilComBulletText"/>
        <w:numPr>
          <w:ilvl w:val="0"/>
          <w:numId w:val="6"/>
        </w:numPr>
        <w:tabs>
          <w:tab w:val="clear" w:pos="964"/>
          <w:tab w:val="num" w:pos="1134"/>
        </w:tabs>
        <w:ind w:left="1134" w:hanging="425"/>
      </w:pPr>
      <w:r>
        <w:t xml:space="preserve">the </w:t>
      </w:r>
      <w:r w:rsidR="00AB1AFD" w:rsidRPr="00B62594">
        <w:t xml:space="preserve">removal of </w:t>
      </w:r>
      <w:r w:rsidR="003261B8">
        <w:t>$97.0</w:t>
      </w:r>
      <w:r w:rsidR="0057210A" w:rsidRPr="00B62594">
        <w:t> </w:t>
      </w:r>
      <w:r w:rsidR="00AB1AFD" w:rsidRPr="00B62594">
        <w:t xml:space="preserve">million from </w:t>
      </w:r>
      <w:r w:rsidR="0057210A" w:rsidRPr="00B62594">
        <w:t>PWC </w:t>
      </w:r>
      <w:r w:rsidR="00AB1AFD" w:rsidRPr="00B62594">
        <w:t>Networks forecast op</w:t>
      </w:r>
      <w:r w:rsidR="00A124CB" w:rsidRPr="00B62594">
        <w:t xml:space="preserve">erating </w:t>
      </w:r>
      <w:r w:rsidR="00AB1AFD" w:rsidRPr="00B62594">
        <w:t>ex</w:t>
      </w:r>
      <w:r w:rsidR="00A124CB" w:rsidRPr="00B62594">
        <w:t>penditure</w:t>
      </w:r>
      <w:r w:rsidR="00AB1AFD" w:rsidRPr="00B62594">
        <w:t xml:space="preserve">, which includes </w:t>
      </w:r>
      <w:r w:rsidR="00E36181" w:rsidRPr="00B62594">
        <w:t>an unallocated</w:t>
      </w:r>
      <w:r w:rsidR="00AB1AFD" w:rsidRPr="00B62594">
        <w:t xml:space="preserve"> efficiency adjustment of </w:t>
      </w:r>
      <w:r w:rsidR="003261B8">
        <w:t>$78.2</w:t>
      </w:r>
      <w:r w:rsidR="0057210A" w:rsidRPr="00B62594">
        <w:t> </w:t>
      </w:r>
      <w:r w:rsidR="00AB1AFD" w:rsidRPr="00B62594">
        <w:t>million</w:t>
      </w:r>
      <w:r w:rsidR="00AB1AFD" w:rsidRPr="000C6589">
        <w:t xml:space="preserve"> to bring </w:t>
      </w:r>
      <w:r w:rsidR="0057210A" w:rsidRPr="000C6589">
        <w:t>PWC </w:t>
      </w:r>
      <w:r w:rsidR="00AB1AFD" w:rsidRPr="000C6589">
        <w:t xml:space="preserve">Networks to the average achieved by its </w:t>
      </w:r>
      <w:r w:rsidR="00AF63CA" w:rsidRPr="000C6589">
        <w:t>peer</w:t>
      </w:r>
      <w:r w:rsidR="00AF63CA">
        <w:t xml:space="preserve"> DNSPs </w:t>
      </w:r>
      <w:r w:rsidR="00036DA7">
        <w:t xml:space="preserve">by the end of the </w:t>
      </w:r>
      <w:r w:rsidR="00AF63CA">
        <w:t xml:space="preserve">2014-19 </w:t>
      </w:r>
      <w:r w:rsidR="00036DA7">
        <w:t>regulatory control period</w:t>
      </w:r>
      <w:r w:rsidR="00AB1AFD" w:rsidRPr="00FD3193">
        <w:t xml:space="preserve">; </w:t>
      </w:r>
      <w:r w:rsidR="00DD7B29" w:rsidRPr="000C6589">
        <w:t>and</w:t>
      </w:r>
    </w:p>
    <w:p w14:paraId="525A8917" w14:textId="416357EC" w:rsidR="00EE34AF" w:rsidRDefault="00AB1AFD" w:rsidP="002D510D">
      <w:pPr>
        <w:pStyle w:val="UtilComBulletText"/>
        <w:numPr>
          <w:ilvl w:val="0"/>
          <w:numId w:val="6"/>
        </w:numPr>
        <w:tabs>
          <w:tab w:val="clear" w:pos="964"/>
          <w:tab w:val="num" w:pos="1134"/>
        </w:tabs>
        <w:ind w:left="1134" w:hanging="425"/>
      </w:pPr>
      <w:r w:rsidRPr="000B0B58">
        <w:t>a</w:t>
      </w:r>
      <w:r>
        <w:t xml:space="preserve"> low</w:t>
      </w:r>
      <w:r w:rsidRPr="000B0B58">
        <w:t>er WACC</w:t>
      </w:r>
      <w:r>
        <w:t xml:space="preserve"> of </w:t>
      </w:r>
      <w:r w:rsidR="00DD7B29">
        <w:t>7.86</w:t>
      </w:r>
      <w:r w:rsidR="0057210A">
        <w:t> per </w:t>
      </w:r>
      <w:r w:rsidR="00493A2A">
        <w:t>cent</w:t>
      </w:r>
      <w:r w:rsidR="00493A2A" w:rsidRPr="000B0B58">
        <w:t xml:space="preserve"> </w:t>
      </w:r>
      <w:r w:rsidRPr="000B0B58">
        <w:t xml:space="preserve">than </w:t>
      </w:r>
      <w:r>
        <w:t xml:space="preserve">the </w:t>
      </w:r>
      <w:r w:rsidR="00DD7B29">
        <w:t>9.05</w:t>
      </w:r>
      <w:r w:rsidR="0057210A">
        <w:t> per </w:t>
      </w:r>
      <w:r w:rsidR="00493A2A">
        <w:t xml:space="preserve">cent </w:t>
      </w:r>
      <w:r w:rsidR="00441CE6" w:rsidRPr="000B0B58">
        <w:t xml:space="preserve">proposed </w:t>
      </w:r>
      <w:r w:rsidRPr="000B0B58">
        <w:t xml:space="preserve">by </w:t>
      </w:r>
      <w:r w:rsidR="00493A2A">
        <w:t>PWC </w:t>
      </w:r>
      <w:r>
        <w:t xml:space="preserve">Networks, due to the adoption of </w:t>
      </w:r>
      <w:r w:rsidR="00DD7B29">
        <w:rPr>
          <w:lang w:val="en-AU"/>
        </w:rPr>
        <w:t>a utilisation of franking credits (gamma) of 50 per cent and a corporate tax rate of 30 per cent,</w:t>
      </w:r>
      <w:r>
        <w:t xml:space="preserve"> and updating of </w:t>
      </w:r>
      <w:r w:rsidR="00441CE6">
        <w:t xml:space="preserve">the WACC </w:t>
      </w:r>
      <w:r>
        <w:t>parameters based on observed market data</w:t>
      </w:r>
      <w:r w:rsidR="00DD7B29">
        <w:t>.</w:t>
      </w:r>
    </w:p>
    <w:p w14:paraId="764A0DBF" w14:textId="689CE192" w:rsidR="007D33D8" w:rsidRPr="007D33D8" w:rsidRDefault="007D33D8" w:rsidP="007D33D8">
      <w:pPr>
        <w:pStyle w:val="NumberLevel2"/>
        <w:numPr>
          <w:ilvl w:val="1"/>
          <w:numId w:val="4"/>
        </w:numPr>
        <w:ind w:left="709" w:hanging="709"/>
        <w:rPr>
          <w:lang w:val="en-AU"/>
        </w:rPr>
      </w:pPr>
      <w:r>
        <w:rPr>
          <w:lang w:val="en-AU"/>
        </w:rPr>
        <w:t xml:space="preserve">The Commission has not accepted PWC Networks’ revised estimate </w:t>
      </w:r>
      <w:r w:rsidR="00AF63CA">
        <w:rPr>
          <w:lang w:val="en-AU"/>
        </w:rPr>
        <w:t xml:space="preserve">of the revenue to be recovered in the </w:t>
      </w:r>
      <w:r>
        <w:rPr>
          <w:lang w:val="en-AU"/>
        </w:rPr>
        <w:t xml:space="preserve">2013-14 </w:t>
      </w:r>
      <w:r w:rsidR="00AF63CA">
        <w:rPr>
          <w:lang w:val="en-AU"/>
        </w:rPr>
        <w:t xml:space="preserve">regulatory year </w:t>
      </w:r>
      <w:r>
        <w:rPr>
          <w:lang w:val="en-AU"/>
        </w:rPr>
        <w:t xml:space="preserve">and has substituted its own estimate. This does not affect the </w:t>
      </w:r>
      <w:r w:rsidR="00AF63CA">
        <w:rPr>
          <w:lang w:val="en-AU"/>
        </w:rPr>
        <w:t xml:space="preserve">total </w:t>
      </w:r>
      <w:r>
        <w:rPr>
          <w:lang w:val="en-AU"/>
        </w:rPr>
        <w:t xml:space="preserve">revenue </w:t>
      </w:r>
      <w:r w:rsidR="00AF63CA">
        <w:rPr>
          <w:lang w:val="en-AU"/>
        </w:rPr>
        <w:t xml:space="preserve">requirement </w:t>
      </w:r>
      <w:r>
        <w:rPr>
          <w:lang w:val="en-AU"/>
        </w:rPr>
        <w:t xml:space="preserve">for the 2014-19 regulatory control period but does impact in the X factors underlying the proposed </w:t>
      </w:r>
      <w:r w:rsidR="00AF63CA">
        <w:rPr>
          <w:lang w:val="en-AU"/>
        </w:rPr>
        <w:t xml:space="preserve">revenue </w:t>
      </w:r>
      <w:r>
        <w:rPr>
          <w:lang w:val="en-AU"/>
        </w:rPr>
        <w:t>path</w:t>
      </w:r>
      <w:r w:rsidR="00DD200F">
        <w:rPr>
          <w:lang w:val="en-AU"/>
        </w:rPr>
        <w:t>.</w:t>
      </w:r>
    </w:p>
    <w:p w14:paraId="1987A564" w14:textId="5953748B" w:rsidR="001426EE" w:rsidRDefault="001426EE" w:rsidP="001426EE">
      <w:pPr>
        <w:pStyle w:val="NumberLevel2"/>
        <w:numPr>
          <w:ilvl w:val="1"/>
          <w:numId w:val="4"/>
        </w:numPr>
        <w:ind w:left="709" w:hanging="709"/>
        <w:rPr>
          <w:lang w:val="en-AU"/>
        </w:rPr>
      </w:pPr>
      <w:r>
        <w:rPr>
          <w:lang w:val="en-AU"/>
        </w:rPr>
        <w:t>The Commission’s calculation of annual revenue requirements and X factors is summarised in Table 1.2.</w:t>
      </w:r>
    </w:p>
    <w:p w14:paraId="11FE42CA" w14:textId="751EA879" w:rsidR="00AB1AFD" w:rsidRPr="00A139AD" w:rsidRDefault="00AB1AFD" w:rsidP="000D7AAB">
      <w:pPr>
        <w:pStyle w:val="UtilComTableTitle"/>
        <w:keepNext/>
        <w:spacing w:before="120" w:after="0" w:line="240" w:lineRule="exact"/>
      </w:pPr>
      <w:r>
        <w:t>Table 1.2: Commission</w:t>
      </w:r>
      <w:r w:rsidR="00FB54CD">
        <w:t>’s determination</w:t>
      </w:r>
      <w:r>
        <w:t xml:space="preserve"> on PWC </w:t>
      </w:r>
      <w:r w:rsidR="00AF63CA">
        <w:t>Networks</w:t>
      </w:r>
      <w:r w:rsidR="00AF63CA" w:rsidRPr="006A402B">
        <w:t xml:space="preserve"> </w:t>
      </w:r>
      <w:r w:rsidRPr="006A402B">
        <w:t xml:space="preserve">annual revenue requirements and X factors </w:t>
      </w:r>
      <w:r w:rsidR="00FB54CD">
        <w:t xml:space="preserve">for regulated network access services </w:t>
      </w:r>
      <w:r w:rsidRPr="006A402B">
        <w:t>($</w:t>
      </w:r>
      <w:r w:rsidR="00484786">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B62594" w:rsidRPr="008A4655" w14:paraId="44468397" w14:textId="60D6EA93" w:rsidTr="00A82507">
        <w:trPr>
          <w:cantSplit/>
          <w:trHeight w:val="360"/>
        </w:trPr>
        <w:tc>
          <w:tcPr>
            <w:tcW w:w="2410" w:type="dxa"/>
            <w:tcBorders>
              <w:top w:val="single" w:sz="4" w:space="0" w:color="999999"/>
              <w:bottom w:val="single" w:sz="4" w:space="0" w:color="auto"/>
            </w:tcBorders>
            <w:vAlign w:val="bottom"/>
          </w:tcPr>
          <w:p w14:paraId="6254F029" w14:textId="77777777" w:rsidR="00B62594" w:rsidRPr="00EE5A08" w:rsidRDefault="00B62594" w:rsidP="006E364D">
            <w:pPr>
              <w:pStyle w:val="UtilComTabletext"/>
              <w:rPr>
                <w:b/>
              </w:rPr>
            </w:pPr>
          </w:p>
        </w:tc>
        <w:tc>
          <w:tcPr>
            <w:tcW w:w="964" w:type="dxa"/>
            <w:tcBorders>
              <w:top w:val="single" w:sz="4" w:space="0" w:color="999999"/>
              <w:bottom w:val="single" w:sz="4" w:space="0" w:color="auto"/>
            </w:tcBorders>
            <w:vAlign w:val="bottom"/>
          </w:tcPr>
          <w:p w14:paraId="6F8E383F" w14:textId="77777777" w:rsidR="00B62594" w:rsidRPr="00EE5A08" w:rsidRDefault="00B62594" w:rsidP="006E364D">
            <w:pPr>
              <w:pStyle w:val="UtilComTabletext"/>
              <w:jc w:val="right"/>
              <w:rPr>
                <w:b/>
              </w:rPr>
            </w:pPr>
            <w:r>
              <w:rPr>
                <w:b/>
              </w:rPr>
              <w:t>2013-14</w:t>
            </w:r>
          </w:p>
        </w:tc>
        <w:tc>
          <w:tcPr>
            <w:tcW w:w="964" w:type="dxa"/>
            <w:tcBorders>
              <w:top w:val="single" w:sz="4" w:space="0" w:color="999999"/>
              <w:bottom w:val="single" w:sz="4" w:space="0" w:color="auto"/>
            </w:tcBorders>
            <w:vAlign w:val="bottom"/>
          </w:tcPr>
          <w:p w14:paraId="3E10C38B" w14:textId="77777777" w:rsidR="00B62594" w:rsidRPr="00EE5A08" w:rsidRDefault="00B62594" w:rsidP="006E364D">
            <w:pPr>
              <w:pStyle w:val="UtilComTabletext"/>
              <w:jc w:val="right"/>
              <w:rPr>
                <w:b/>
              </w:rPr>
            </w:pPr>
            <w:r>
              <w:rPr>
                <w:b/>
              </w:rPr>
              <w:t>2014-15</w:t>
            </w:r>
          </w:p>
        </w:tc>
        <w:tc>
          <w:tcPr>
            <w:tcW w:w="964" w:type="dxa"/>
            <w:tcBorders>
              <w:top w:val="single" w:sz="4" w:space="0" w:color="999999"/>
              <w:bottom w:val="single" w:sz="4" w:space="0" w:color="auto"/>
            </w:tcBorders>
            <w:vAlign w:val="bottom"/>
          </w:tcPr>
          <w:p w14:paraId="242A92AD" w14:textId="77777777" w:rsidR="00B62594" w:rsidRPr="00EE5A08" w:rsidRDefault="00B62594" w:rsidP="006E364D">
            <w:pPr>
              <w:pStyle w:val="UtilComTabletext"/>
              <w:jc w:val="right"/>
              <w:rPr>
                <w:b/>
              </w:rPr>
            </w:pPr>
            <w:r>
              <w:rPr>
                <w:b/>
              </w:rPr>
              <w:t>2015-16</w:t>
            </w:r>
          </w:p>
        </w:tc>
        <w:tc>
          <w:tcPr>
            <w:tcW w:w="964" w:type="dxa"/>
            <w:tcBorders>
              <w:top w:val="single" w:sz="4" w:space="0" w:color="999999"/>
              <w:bottom w:val="single" w:sz="4" w:space="0" w:color="auto"/>
            </w:tcBorders>
            <w:vAlign w:val="bottom"/>
          </w:tcPr>
          <w:p w14:paraId="1049AEE6" w14:textId="77777777" w:rsidR="00B62594" w:rsidRDefault="00B62594" w:rsidP="006E364D">
            <w:pPr>
              <w:pStyle w:val="UtilComTabletext"/>
              <w:jc w:val="right"/>
              <w:rPr>
                <w:b/>
              </w:rPr>
            </w:pPr>
            <w:r>
              <w:rPr>
                <w:b/>
              </w:rPr>
              <w:t>2016-17</w:t>
            </w:r>
          </w:p>
        </w:tc>
        <w:tc>
          <w:tcPr>
            <w:tcW w:w="964" w:type="dxa"/>
            <w:tcBorders>
              <w:top w:val="single" w:sz="4" w:space="0" w:color="999999"/>
              <w:bottom w:val="single" w:sz="4" w:space="0" w:color="auto"/>
            </w:tcBorders>
            <w:vAlign w:val="bottom"/>
          </w:tcPr>
          <w:p w14:paraId="75C75BEF" w14:textId="77777777" w:rsidR="00B62594" w:rsidRDefault="00B62594" w:rsidP="006E364D">
            <w:pPr>
              <w:pStyle w:val="UtilComTabletext"/>
              <w:jc w:val="right"/>
              <w:rPr>
                <w:b/>
              </w:rPr>
            </w:pPr>
            <w:r>
              <w:rPr>
                <w:b/>
              </w:rPr>
              <w:t>2017-18</w:t>
            </w:r>
          </w:p>
        </w:tc>
        <w:tc>
          <w:tcPr>
            <w:tcW w:w="964" w:type="dxa"/>
            <w:tcBorders>
              <w:top w:val="single" w:sz="4" w:space="0" w:color="999999"/>
              <w:bottom w:val="single" w:sz="4" w:space="0" w:color="auto"/>
            </w:tcBorders>
            <w:vAlign w:val="bottom"/>
          </w:tcPr>
          <w:p w14:paraId="7C1ECA5E" w14:textId="77777777" w:rsidR="00B62594" w:rsidRPr="00EE5A08" w:rsidRDefault="00B62594" w:rsidP="006E364D">
            <w:pPr>
              <w:pStyle w:val="UtilComTabletext"/>
              <w:jc w:val="right"/>
              <w:rPr>
                <w:b/>
              </w:rPr>
            </w:pPr>
            <w:r>
              <w:rPr>
                <w:b/>
              </w:rPr>
              <w:t>2018-19</w:t>
            </w:r>
          </w:p>
        </w:tc>
        <w:tc>
          <w:tcPr>
            <w:tcW w:w="1021" w:type="dxa"/>
            <w:tcBorders>
              <w:top w:val="single" w:sz="4" w:space="0" w:color="999999"/>
              <w:bottom w:val="single" w:sz="4" w:space="0" w:color="auto"/>
            </w:tcBorders>
          </w:tcPr>
          <w:p w14:paraId="2FF1FB98" w14:textId="587FBC54" w:rsidR="00B62594" w:rsidRDefault="00B62594" w:rsidP="006E364D">
            <w:pPr>
              <w:pStyle w:val="UtilComTabletext"/>
              <w:jc w:val="right"/>
              <w:rPr>
                <w:b/>
              </w:rPr>
            </w:pPr>
            <w:r>
              <w:rPr>
                <w:b/>
              </w:rPr>
              <w:t>Total</w:t>
            </w:r>
          </w:p>
        </w:tc>
      </w:tr>
      <w:tr w:rsidR="00B62594" w:rsidRPr="00B62594" w14:paraId="0AC8E0C5" w14:textId="714DD4A0" w:rsidTr="00A82507">
        <w:trPr>
          <w:cantSplit/>
          <w:trHeight w:val="360"/>
        </w:trPr>
        <w:tc>
          <w:tcPr>
            <w:tcW w:w="2410" w:type="dxa"/>
            <w:tcBorders>
              <w:top w:val="single" w:sz="4" w:space="0" w:color="auto"/>
              <w:bottom w:val="single" w:sz="4" w:space="0" w:color="999999"/>
            </w:tcBorders>
          </w:tcPr>
          <w:p w14:paraId="6033130B" w14:textId="77777777" w:rsidR="00B62594" w:rsidRPr="00B62594" w:rsidRDefault="00B62594" w:rsidP="006E364D">
            <w:pPr>
              <w:pStyle w:val="UtilComTabletext"/>
            </w:pPr>
            <w:r w:rsidRPr="00B62594">
              <w:t>Return on capital</w:t>
            </w:r>
          </w:p>
        </w:tc>
        <w:tc>
          <w:tcPr>
            <w:tcW w:w="964" w:type="dxa"/>
            <w:tcBorders>
              <w:top w:val="single" w:sz="4" w:space="0" w:color="auto"/>
              <w:bottom w:val="single" w:sz="4" w:space="0" w:color="999999"/>
            </w:tcBorders>
          </w:tcPr>
          <w:p w14:paraId="226E6903" w14:textId="77777777" w:rsidR="00B62594" w:rsidRPr="00B62594" w:rsidRDefault="00B62594" w:rsidP="006E364D">
            <w:pPr>
              <w:pStyle w:val="UtilComTabletext"/>
              <w:jc w:val="right"/>
            </w:pPr>
          </w:p>
        </w:tc>
        <w:tc>
          <w:tcPr>
            <w:tcW w:w="964" w:type="dxa"/>
            <w:tcBorders>
              <w:top w:val="single" w:sz="4" w:space="0" w:color="auto"/>
              <w:bottom w:val="single" w:sz="4" w:space="0" w:color="999999"/>
            </w:tcBorders>
          </w:tcPr>
          <w:p w14:paraId="00BF4DAB" w14:textId="77777777" w:rsidR="00B62594" w:rsidRPr="00B62594" w:rsidRDefault="00B62594" w:rsidP="0046764A">
            <w:pPr>
              <w:pStyle w:val="UtilComTabletext"/>
              <w:tabs>
                <w:tab w:val="num" w:pos="522"/>
                <w:tab w:val="left" w:pos="993"/>
              </w:tabs>
              <w:ind w:left="522" w:hanging="450"/>
              <w:jc w:val="right"/>
            </w:pPr>
            <w:r w:rsidRPr="00B62594">
              <w:t>73.01</w:t>
            </w:r>
          </w:p>
        </w:tc>
        <w:tc>
          <w:tcPr>
            <w:tcW w:w="964" w:type="dxa"/>
            <w:tcBorders>
              <w:top w:val="single" w:sz="4" w:space="0" w:color="auto"/>
              <w:bottom w:val="single" w:sz="4" w:space="0" w:color="999999"/>
            </w:tcBorders>
          </w:tcPr>
          <w:p w14:paraId="461347BA" w14:textId="4652A51C" w:rsidR="00B62594" w:rsidRPr="00B62594" w:rsidRDefault="00B62594" w:rsidP="00B62594">
            <w:pPr>
              <w:pStyle w:val="UtilComTabletext"/>
              <w:tabs>
                <w:tab w:val="num" w:pos="522"/>
                <w:tab w:val="left" w:pos="993"/>
              </w:tabs>
              <w:ind w:left="522" w:hanging="450"/>
              <w:jc w:val="right"/>
            </w:pPr>
            <w:r w:rsidRPr="00B62594">
              <w:t>76.</w:t>
            </w:r>
            <w:r>
              <w:t>01</w:t>
            </w:r>
          </w:p>
        </w:tc>
        <w:tc>
          <w:tcPr>
            <w:tcW w:w="964" w:type="dxa"/>
            <w:tcBorders>
              <w:top w:val="single" w:sz="4" w:space="0" w:color="auto"/>
              <w:bottom w:val="single" w:sz="4" w:space="0" w:color="999999"/>
            </w:tcBorders>
          </w:tcPr>
          <w:p w14:paraId="6CB383A9" w14:textId="6B94F238" w:rsidR="00B62594" w:rsidRPr="00B62594" w:rsidRDefault="00B62594" w:rsidP="00B62594">
            <w:pPr>
              <w:pStyle w:val="UtilComTabletext"/>
              <w:tabs>
                <w:tab w:val="num" w:pos="522"/>
                <w:tab w:val="left" w:pos="993"/>
              </w:tabs>
              <w:ind w:left="522" w:hanging="450"/>
              <w:jc w:val="right"/>
            </w:pPr>
            <w:r w:rsidRPr="00B62594">
              <w:t>76.</w:t>
            </w:r>
            <w:r>
              <w:t>91</w:t>
            </w:r>
          </w:p>
        </w:tc>
        <w:tc>
          <w:tcPr>
            <w:tcW w:w="964" w:type="dxa"/>
            <w:tcBorders>
              <w:top w:val="single" w:sz="4" w:space="0" w:color="auto"/>
              <w:bottom w:val="single" w:sz="4" w:space="0" w:color="999999"/>
            </w:tcBorders>
          </w:tcPr>
          <w:p w14:paraId="3DCECE93" w14:textId="77777777" w:rsidR="00B62594" w:rsidRPr="00B62594" w:rsidRDefault="00B62594" w:rsidP="000134C4">
            <w:pPr>
              <w:pStyle w:val="UtilComTabletext"/>
              <w:tabs>
                <w:tab w:val="num" w:pos="522"/>
                <w:tab w:val="left" w:pos="993"/>
              </w:tabs>
              <w:ind w:left="522" w:hanging="450"/>
              <w:jc w:val="right"/>
            </w:pPr>
            <w:r w:rsidRPr="00B62594">
              <w:t>77.24</w:t>
            </w:r>
          </w:p>
        </w:tc>
        <w:tc>
          <w:tcPr>
            <w:tcW w:w="964" w:type="dxa"/>
            <w:tcBorders>
              <w:top w:val="single" w:sz="4" w:space="0" w:color="auto"/>
              <w:bottom w:val="single" w:sz="4" w:space="0" w:color="999999"/>
            </w:tcBorders>
          </w:tcPr>
          <w:p w14:paraId="41D7B1B2" w14:textId="4C1D4062" w:rsidR="00B62594" w:rsidRPr="00B62594" w:rsidRDefault="00B62594" w:rsidP="00B62594">
            <w:pPr>
              <w:pStyle w:val="UtilComTabletext"/>
              <w:tabs>
                <w:tab w:val="num" w:pos="522"/>
                <w:tab w:val="left" w:pos="993"/>
              </w:tabs>
              <w:ind w:left="522" w:hanging="450"/>
              <w:jc w:val="right"/>
            </w:pPr>
            <w:r w:rsidRPr="00B62594">
              <w:t>78.</w:t>
            </w:r>
            <w:r>
              <w:t>16</w:t>
            </w:r>
          </w:p>
        </w:tc>
        <w:tc>
          <w:tcPr>
            <w:tcW w:w="1021" w:type="dxa"/>
            <w:tcBorders>
              <w:top w:val="single" w:sz="4" w:space="0" w:color="auto"/>
              <w:bottom w:val="single" w:sz="4" w:space="0" w:color="999999"/>
            </w:tcBorders>
          </w:tcPr>
          <w:p w14:paraId="51E2F93B" w14:textId="695B244E" w:rsidR="00B62594" w:rsidRPr="00B62594" w:rsidRDefault="00B62594" w:rsidP="00F163D5">
            <w:pPr>
              <w:pStyle w:val="UtilComTabletext"/>
              <w:tabs>
                <w:tab w:val="num" w:pos="522"/>
                <w:tab w:val="left" w:pos="993"/>
              </w:tabs>
              <w:ind w:left="522" w:hanging="450"/>
              <w:jc w:val="right"/>
            </w:pPr>
            <w:r>
              <w:t>381.33</w:t>
            </w:r>
          </w:p>
        </w:tc>
      </w:tr>
      <w:tr w:rsidR="00B62594" w:rsidRPr="00B62594" w14:paraId="27E082C5" w14:textId="0B80370F" w:rsidTr="00A82507">
        <w:trPr>
          <w:cantSplit/>
          <w:trHeight w:val="360"/>
        </w:trPr>
        <w:tc>
          <w:tcPr>
            <w:tcW w:w="2410" w:type="dxa"/>
            <w:tcBorders>
              <w:bottom w:val="single" w:sz="4" w:space="0" w:color="999999"/>
            </w:tcBorders>
          </w:tcPr>
          <w:p w14:paraId="576396A5" w14:textId="77777777" w:rsidR="00B62594" w:rsidRPr="00B62594" w:rsidRDefault="00B62594" w:rsidP="006E364D">
            <w:pPr>
              <w:pStyle w:val="UtilComTabletext"/>
            </w:pPr>
            <w:r w:rsidRPr="00B62594">
              <w:t>Regulatory depreciation</w:t>
            </w:r>
          </w:p>
        </w:tc>
        <w:tc>
          <w:tcPr>
            <w:tcW w:w="964" w:type="dxa"/>
            <w:tcBorders>
              <w:bottom w:val="single" w:sz="4" w:space="0" w:color="999999"/>
            </w:tcBorders>
          </w:tcPr>
          <w:p w14:paraId="229710CF" w14:textId="77777777" w:rsidR="00B62594" w:rsidRPr="00B62594" w:rsidRDefault="00B62594" w:rsidP="006E364D">
            <w:pPr>
              <w:pStyle w:val="UtilComTabletext"/>
              <w:jc w:val="right"/>
            </w:pPr>
          </w:p>
        </w:tc>
        <w:tc>
          <w:tcPr>
            <w:tcW w:w="964" w:type="dxa"/>
            <w:tcBorders>
              <w:bottom w:val="single" w:sz="4" w:space="0" w:color="999999"/>
            </w:tcBorders>
          </w:tcPr>
          <w:p w14:paraId="186C9903" w14:textId="77777777" w:rsidR="00B62594" w:rsidRPr="00B62594" w:rsidRDefault="00B62594" w:rsidP="0046764A">
            <w:pPr>
              <w:pStyle w:val="UtilComTabletext"/>
              <w:tabs>
                <w:tab w:val="num" w:pos="522"/>
                <w:tab w:val="left" w:pos="993"/>
              </w:tabs>
              <w:ind w:left="522" w:hanging="450"/>
              <w:jc w:val="right"/>
            </w:pPr>
            <w:r w:rsidRPr="00B62594">
              <w:t>27.78</w:t>
            </w:r>
          </w:p>
        </w:tc>
        <w:tc>
          <w:tcPr>
            <w:tcW w:w="964" w:type="dxa"/>
            <w:tcBorders>
              <w:bottom w:val="single" w:sz="4" w:space="0" w:color="999999"/>
            </w:tcBorders>
          </w:tcPr>
          <w:p w14:paraId="1936CA54" w14:textId="193BDAFA" w:rsidR="00B62594" w:rsidRPr="00B62594" w:rsidRDefault="00B62594" w:rsidP="00B62594">
            <w:pPr>
              <w:pStyle w:val="UtilComTabletext"/>
              <w:tabs>
                <w:tab w:val="num" w:pos="522"/>
                <w:tab w:val="left" w:pos="993"/>
              </w:tabs>
              <w:ind w:left="522" w:hanging="450"/>
              <w:jc w:val="right"/>
            </w:pPr>
            <w:r w:rsidRPr="00B62594">
              <w:t>30.</w:t>
            </w:r>
            <w:r>
              <w:t>46</w:t>
            </w:r>
          </w:p>
        </w:tc>
        <w:tc>
          <w:tcPr>
            <w:tcW w:w="964" w:type="dxa"/>
            <w:tcBorders>
              <w:bottom w:val="single" w:sz="4" w:space="0" w:color="999999"/>
            </w:tcBorders>
          </w:tcPr>
          <w:p w14:paraId="65FCC1DE" w14:textId="284C6776" w:rsidR="00B62594" w:rsidRPr="00B62594" w:rsidRDefault="00B62594" w:rsidP="00B62594">
            <w:pPr>
              <w:pStyle w:val="UtilComTabletext"/>
              <w:tabs>
                <w:tab w:val="num" w:pos="522"/>
                <w:tab w:val="left" w:pos="993"/>
              </w:tabs>
              <w:ind w:left="522" w:hanging="450"/>
              <w:jc w:val="right"/>
            </w:pPr>
            <w:r w:rsidRPr="00B62594">
              <w:t>26.</w:t>
            </w:r>
            <w:r>
              <w:t>52</w:t>
            </w:r>
          </w:p>
        </w:tc>
        <w:tc>
          <w:tcPr>
            <w:tcW w:w="964" w:type="dxa"/>
            <w:tcBorders>
              <w:bottom w:val="single" w:sz="4" w:space="0" w:color="999999"/>
            </w:tcBorders>
          </w:tcPr>
          <w:p w14:paraId="2CA65B2F" w14:textId="1629EE04" w:rsidR="00B62594" w:rsidRPr="00B62594" w:rsidRDefault="00B62594" w:rsidP="00B62594">
            <w:pPr>
              <w:pStyle w:val="UtilComTabletext"/>
              <w:tabs>
                <w:tab w:val="num" w:pos="522"/>
                <w:tab w:val="left" w:pos="993"/>
              </w:tabs>
              <w:ind w:left="522" w:hanging="450"/>
              <w:jc w:val="right"/>
            </w:pPr>
            <w:r w:rsidRPr="00B62594">
              <w:t>28</w:t>
            </w:r>
            <w:r>
              <w:t>.39</w:t>
            </w:r>
          </w:p>
        </w:tc>
        <w:tc>
          <w:tcPr>
            <w:tcW w:w="964" w:type="dxa"/>
            <w:tcBorders>
              <w:bottom w:val="single" w:sz="4" w:space="0" w:color="999999"/>
            </w:tcBorders>
          </w:tcPr>
          <w:p w14:paraId="0504E562" w14:textId="619CC241" w:rsidR="00B62594" w:rsidRPr="00B62594" w:rsidRDefault="00B62594" w:rsidP="00B62594">
            <w:pPr>
              <w:pStyle w:val="UtilComTabletext"/>
              <w:tabs>
                <w:tab w:val="num" w:pos="522"/>
                <w:tab w:val="left" w:pos="993"/>
              </w:tabs>
              <w:ind w:left="522" w:hanging="450"/>
              <w:jc w:val="right"/>
            </w:pPr>
            <w:r w:rsidRPr="00B62594">
              <w:t>30.</w:t>
            </w:r>
            <w:r>
              <w:t>73</w:t>
            </w:r>
          </w:p>
        </w:tc>
        <w:tc>
          <w:tcPr>
            <w:tcW w:w="1021" w:type="dxa"/>
            <w:tcBorders>
              <w:bottom w:val="single" w:sz="4" w:space="0" w:color="999999"/>
            </w:tcBorders>
          </w:tcPr>
          <w:p w14:paraId="50CD0022" w14:textId="637E4EDD" w:rsidR="00B62594" w:rsidRPr="00B62594" w:rsidRDefault="00B62594" w:rsidP="00F163D5">
            <w:pPr>
              <w:pStyle w:val="UtilComTabletext"/>
              <w:tabs>
                <w:tab w:val="num" w:pos="522"/>
                <w:tab w:val="left" w:pos="993"/>
              </w:tabs>
              <w:ind w:left="522" w:hanging="450"/>
              <w:jc w:val="right"/>
            </w:pPr>
            <w:r>
              <w:t>143.88</w:t>
            </w:r>
          </w:p>
        </w:tc>
      </w:tr>
      <w:tr w:rsidR="00B62594" w:rsidRPr="00B62594" w14:paraId="589FD398" w14:textId="638AEF57" w:rsidTr="00A82507">
        <w:trPr>
          <w:cantSplit/>
          <w:trHeight w:val="360"/>
        </w:trPr>
        <w:tc>
          <w:tcPr>
            <w:tcW w:w="2410" w:type="dxa"/>
            <w:tcBorders>
              <w:bottom w:val="single" w:sz="4" w:space="0" w:color="999999"/>
            </w:tcBorders>
          </w:tcPr>
          <w:p w14:paraId="6B0592CF" w14:textId="7BDE577E" w:rsidR="00B62594" w:rsidRPr="00B62594" w:rsidRDefault="00B62594" w:rsidP="006E364D">
            <w:pPr>
              <w:pStyle w:val="UtilComTabletext"/>
            </w:pPr>
            <w:r w:rsidRPr="00B62594">
              <w:t>Operating and maintenance expenditure</w:t>
            </w:r>
            <w:r w:rsidR="00BA7FAD" w:rsidRPr="00B62594">
              <w:rPr>
                <w:b/>
              </w:rPr>
              <w:t xml:space="preserve"> </w:t>
            </w:r>
            <w:r w:rsidR="00BA7FAD" w:rsidRPr="00B62594">
              <w:rPr>
                <w:b/>
                <w:vertAlign w:val="superscript"/>
              </w:rPr>
              <w:t>(a)</w:t>
            </w:r>
          </w:p>
        </w:tc>
        <w:tc>
          <w:tcPr>
            <w:tcW w:w="964" w:type="dxa"/>
            <w:tcBorders>
              <w:bottom w:val="single" w:sz="4" w:space="0" w:color="999999"/>
            </w:tcBorders>
          </w:tcPr>
          <w:p w14:paraId="4FDE07D5" w14:textId="77777777" w:rsidR="00B62594" w:rsidRPr="00B62594" w:rsidRDefault="00B62594" w:rsidP="006E364D">
            <w:pPr>
              <w:pStyle w:val="UtilComTabletext"/>
              <w:jc w:val="right"/>
            </w:pPr>
          </w:p>
        </w:tc>
        <w:tc>
          <w:tcPr>
            <w:tcW w:w="964" w:type="dxa"/>
            <w:tcBorders>
              <w:bottom w:val="single" w:sz="4" w:space="0" w:color="999999"/>
            </w:tcBorders>
            <w:tcMar>
              <w:left w:w="0" w:type="dxa"/>
            </w:tcMar>
          </w:tcPr>
          <w:p w14:paraId="13DF6128" w14:textId="01C254FD" w:rsidR="00B62594" w:rsidRPr="00B62594" w:rsidRDefault="003261B8" w:rsidP="0046764A">
            <w:pPr>
              <w:pStyle w:val="UtilComTabletext"/>
              <w:tabs>
                <w:tab w:val="num" w:pos="522"/>
                <w:tab w:val="left" w:pos="993"/>
              </w:tabs>
              <w:ind w:left="522" w:hanging="450"/>
              <w:jc w:val="right"/>
            </w:pPr>
            <w:r>
              <w:t>100.63</w:t>
            </w:r>
          </w:p>
        </w:tc>
        <w:tc>
          <w:tcPr>
            <w:tcW w:w="964" w:type="dxa"/>
            <w:tcBorders>
              <w:bottom w:val="single" w:sz="4" w:space="0" w:color="999999"/>
            </w:tcBorders>
            <w:tcMar>
              <w:left w:w="0" w:type="dxa"/>
            </w:tcMar>
          </w:tcPr>
          <w:p w14:paraId="7B9EE8C9" w14:textId="174325A9" w:rsidR="00B62594" w:rsidRPr="00B62594" w:rsidRDefault="003261B8" w:rsidP="0055417A">
            <w:pPr>
              <w:pStyle w:val="UtilComTabletext"/>
              <w:tabs>
                <w:tab w:val="num" w:pos="522"/>
                <w:tab w:val="left" w:pos="993"/>
              </w:tabs>
              <w:ind w:left="522" w:hanging="450"/>
              <w:jc w:val="right"/>
            </w:pPr>
            <w:r>
              <w:t>96.74</w:t>
            </w:r>
          </w:p>
        </w:tc>
        <w:tc>
          <w:tcPr>
            <w:tcW w:w="964" w:type="dxa"/>
            <w:tcBorders>
              <w:bottom w:val="single" w:sz="4" w:space="0" w:color="999999"/>
            </w:tcBorders>
            <w:tcMar>
              <w:left w:w="0" w:type="dxa"/>
            </w:tcMar>
          </w:tcPr>
          <w:p w14:paraId="1A555C23" w14:textId="06087D45" w:rsidR="00B62594" w:rsidRPr="00B62594" w:rsidRDefault="003261B8" w:rsidP="0055417A">
            <w:pPr>
              <w:pStyle w:val="UtilComTabletext"/>
              <w:tabs>
                <w:tab w:val="num" w:pos="522"/>
                <w:tab w:val="left" w:pos="993"/>
              </w:tabs>
              <w:ind w:left="522" w:hanging="450"/>
              <w:jc w:val="right"/>
            </w:pPr>
            <w:r>
              <w:t>95.42</w:t>
            </w:r>
          </w:p>
        </w:tc>
        <w:tc>
          <w:tcPr>
            <w:tcW w:w="964" w:type="dxa"/>
            <w:tcBorders>
              <w:bottom w:val="single" w:sz="4" w:space="0" w:color="999999"/>
            </w:tcBorders>
            <w:tcMar>
              <w:left w:w="0" w:type="dxa"/>
            </w:tcMar>
          </w:tcPr>
          <w:p w14:paraId="57BC5A98" w14:textId="0EBA8561" w:rsidR="00B62594" w:rsidRPr="00B62594" w:rsidRDefault="003261B8" w:rsidP="000134C4">
            <w:pPr>
              <w:pStyle w:val="UtilComTabletext"/>
              <w:tabs>
                <w:tab w:val="num" w:pos="522"/>
                <w:tab w:val="left" w:pos="993"/>
              </w:tabs>
              <w:ind w:left="522" w:hanging="450"/>
              <w:jc w:val="right"/>
            </w:pPr>
            <w:r>
              <w:t>90.02</w:t>
            </w:r>
          </w:p>
        </w:tc>
        <w:tc>
          <w:tcPr>
            <w:tcW w:w="964" w:type="dxa"/>
            <w:tcBorders>
              <w:bottom w:val="single" w:sz="4" w:space="0" w:color="999999"/>
            </w:tcBorders>
            <w:tcMar>
              <w:left w:w="0" w:type="dxa"/>
            </w:tcMar>
          </w:tcPr>
          <w:p w14:paraId="6FEC55AD" w14:textId="249B8E64" w:rsidR="00B62594" w:rsidRPr="00B62594" w:rsidRDefault="003261B8" w:rsidP="00F163D5">
            <w:pPr>
              <w:pStyle w:val="UtilComTabletext"/>
              <w:tabs>
                <w:tab w:val="num" w:pos="522"/>
                <w:tab w:val="left" w:pos="993"/>
              </w:tabs>
              <w:ind w:left="522" w:hanging="450"/>
              <w:jc w:val="right"/>
            </w:pPr>
            <w:r>
              <w:t>84.19</w:t>
            </w:r>
          </w:p>
        </w:tc>
        <w:tc>
          <w:tcPr>
            <w:tcW w:w="1021" w:type="dxa"/>
            <w:tcBorders>
              <w:bottom w:val="single" w:sz="4" w:space="0" w:color="999999"/>
            </w:tcBorders>
            <w:tcMar>
              <w:left w:w="0" w:type="dxa"/>
            </w:tcMar>
          </w:tcPr>
          <w:p w14:paraId="640CD863" w14:textId="7EB255FC" w:rsidR="00B62594" w:rsidRPr="00B62594" w:rsidRDefault="003261B8" w:rsidP="00F163D5">
            <w:pPr>
              <w:pStyle w:val="UtilComTabletext"/>
              <w:tabs>
                <w:tab w:val="num" w:pos="522"/>
                <w:tab w:val="left" w:pos="993"/>
              </w:tabs>
              <w:ind w:left="522" w:hanging="450"/>
              <w:jc w:val="right"/>
            </w:pPr>
            <w:r>
              <w:t>466.99</w:t>
            </w:r>
          </w:p>
        </w:tc>
      </w:tr>
      <w:tr w:rsidR="00B62594" w:rsidRPr="00B62594" w14:paraId="0BD56CA4" w14:textId="5BD62A80" w:rsidTr="00A82507">
        <w:trPr>
          <w:cantSplit/>
          <w:trHeight w:val="360"/>
        </w:trPr>
        <w:tc>
          <w:tcPr>
            <w:tcW w:w="2410" w:type="dxa"/>
            <w:tcBorders>
              <w:top w:val="single" w:sz="4" w:space="0" w:color="auto"/>
              <w:bottom w:val="single" w:sz="4" w:space="0" w:color="999999"/>
            </w:tcBorders>
          </w:tcPr>
          <w:p w14:paraId="068550E7" w14:textId="77777777" w:rsidR="00B62594" w:rsidRPr="00B62594" w:rsidRDefault="00B62594" w:rsidP="006E364D">
            <w:pPr>
              <w:pStyle w:val="UtilComTabletext"/>
            </w:pPr>
            <w:r w:rsidRPr="00B62594">
              <w:t>Unsmoothed annual revenue requirement</w:t>
            </w:r>
          </w:p>
        </w:tc>
        <w:tc>
          <w:tcPr>
            <w:tcW w:w="964" w:type="dxa"/>
            <w:tcBorders>
              <w:top w:val="single" w:sz="4" w:space="0" w:color="auto"/>
              <w:bottom w:val="single" w:sz="4" w:space="0" w:color="999999"/>
            </w:tcBorders>
          </w:tcPr>
          <w:p w14:paraId="437D69DC" w14:textId="77777777" w:rsidR="00B62594" w:rsidRPr="00B62594" w:rsidRDefault="00B62594" w:rsidP="006E364D">
            <w:pPr>
              <w:pStyle w:val="UtilComTabletext"/>
              <w:jc w:val="right"/>
            </w:pPr>
          </w:p>
        </w:tc>
        <w:tc>
          <w:tcPr>
            <w:tcW w:w="964" w:type="dxa"/>
            <w:tcBorders>
              <w:top w:val="single" w:sz="4" w:space="0" w:color="auto"/>
              <w:bottom w:val="single" w:sz="4" w:space="0" w:color="999999"/>
            </w:tcBorders>
          </w:tcPr>
          <w:p w14:paraId="3D5302C0" w14:textId="1A99A593" w:rsidR="00B62594" w:rsidRPr="00B62594" w:rsidRDefault="003261B8" w:rsidP="0046764A">
            <w:pPr>
              <w:pStyle w:val="UtilComTabletext"/>
              <w:tabs>
                <w:tab w:val="num" w:pos="522"/>
                <w:tab w:val="left" w:pos="993"/>
              </w:tabs>
              <w:ind w:left="522" w:hanging="450"/>
              <w:jc w:val="right"/>
            </w:pPr>
            <w:r>
              <w:t>201.41</w:t>
            </w:r>
          </w:p>
        </w:tc>
        <w:tc>
          <w:tcPr>
            <w:tcW w:w="964" w:type="dxa"/>
            <w:tcBorders>
              <w:top w:val="single" w:sz="4" w:space="0" w:color="auto"/>
              <w:bottom w:val="single" w:sz="4" w:space="0" w:color="999999"/>
            </w:tcBorders>
          </w:tcPr>
          <w:p w14:paraId="349D53D2" w14:textId="1371CA27" w:rsidR="00B62594" w:rsidRPr="00B62594" w:rsidRDefault="003261B8" w:rsidP="0055417A">
            <w:pPr>
              <w:pStyle w:val="UtilComTabletext"/>
              <w:tabs>
                <w:tab w:val="num" w:pos="522"/>
                <w:tab w:val="left" w:pos="993"/>
              </w:tabs>
              <w:ind w:left="522" w:hanging="450"/>
              <w:jc w:val="right"/>
            </w:pPr>
            <w:r>
              <w:t>203.21</w:t>
            </w:r>
          </w:p>
        </w:tc>
        <w:tc>
          <w:tcPr>
            <w:tcW w:w="964" w:type="dxa"/>
            <w:tcBorders>
              <w:top w:val="single" w:sz="4" w:space="0" w:color="auto"/>
              <w:bottom w:val="single" w:sz="4" w:space="0" w:color="999999"/>
            </w:tcBorders>
          </w:tcPr>
          <w:p w14:paraId="12A5717D" w14:textId="2EF7B95D" w:rsidR="00B62594" w:rsidRPr="00B62594" w:rsidRDefault="003261B8" w:rsidP="00A82507">
            <w:pPr>
              <w:pStyle w:val="UtilComTabletext"/>
              <w:tabs>
                <w:tab w:val="num" w:pos="522"/>
                <w:tab w:val="left" w:pos="993"/>
              </w:tabs>
              <w:ind w:left="522" w:hanging="450"/>
              <w:jc w:val="right"/>
            </w:pPr>
            <w:r>
              <w:t>198.85</w:t>
            </w:r>
          </w:p>
        </w:tc>
        <w:tc>
          <w:tcPr>
            <w:tcW w:w="964" w:type="dxa"/>
            <w:tcBorders>
              <w:top w:val="single" w:sz="4" w:space="0" w:color="auto"/>
              <w:bottom w:val="single" w:sz="4" w:space="0" w:color="999999"/>
            </w:tcBorders>
          </w:tcPr>
          <w:p w14:paraId="6FFF85D9" w14:textId="708EF0E9" w:rsidR="00B62594" w:rsidRPr="00B62594" w:rsidRDefault="003261B8" w:rsidP="000134C4">
            <w:pPr>
              <w:pStyle w:val="UtilComTabletext"/>
              <w:tabs>
                <w:tab w:val="num" w:pos="522"/>
                <w:tab w:val="left" w:pos="993"/>
              </w:tabs>
              <w:ind w:left="522" w:hanging="450"/>
              <w:jc w:val="right"/>
            </w:pPr>
            <w:r>
              <w:t>195.64</w:t>
            </w:r>
          </w:p>
        </w:tc>
        <w:tc>
          <w:tcPr>
            <w:tcW w:w="964" w:type="dxa"/>
            <w:tcBorders>
              <w:top w:val="single" w:sz="4" w:space="0" w:color="auto"/>
              <w:bottom w:val="single" w:sz="4" w:space="0" w:color="999999"/>
            </w:tcBorders>
          </w:tcPr>
          <w:p w14:paraId="38BED3F0" w14:textId="36BD0977" w:rsidR="00B62594" w:rsidRPr="00B62594" w:rsidRDefault="003261B8" w:rsidP="00F163D5">
            <w:pPr>
              <w:pStyle w:val="UtilComTabletext"/>
              <w:tabs>
                <w:tab w:val="num" w:pos="522"/>
                <w:tab w:val="left" w:pos="993"/>
              </w:tabs>
              <w:ind w:left="522" w:hanging="450"/>
              <w:jc w:val="right"/>
            </w:pPr>
            <w:r>
              <w:t>193.08</w:t>
            </w:r>
          </w:p>
        </w:tc>
        <w:tc>
          <w:tcPr>
            <w:tcW w:w="1021" w:type="dxa"/>
            <w:tcBorders>
              <w:top w:val="single" w:sz="4" w:space="0" w:color="auto"/>
              <w:bottom w:val="single" w:sz="4" w:space="0" w:color="999999"/>
            </w:tcBorders>
          </w:tcPr>
          <w:p w14:paraId="422956DA" w14:textId="0D20E696" w:rsidR="00B62594" w:rsidRPr="00B62594" w:rsidRDefault="003261B8" w:rsidP="00F163D5">
            <w:pPr>
              <w:pStyle w:val="UtilComTabletext"/>
              <w:tabs>
                <w:tab w:val="num" w:pos="522"/>
                <w:tab w:val="left" w:pos="993"/>
              </w:tabs>
              <w:ind w:left="522" w:hanging="450"/>
              <w:jc w:val="right"/>
            </w:pPr>
            <w:r>
              <w:t>992.20</w:t>
            </w:r>
          </w:p>
        </w:tc>
      </w:tr>
      <w:tr w:rsidR="00B62594" w:rsidRPr="00B62594" w14:paraId="18DA976E" w14:textId="46F5C7AE" w:rsidTr="00A82507">
        <w:trPr>
          <w:cantSplit/>
          <w:trHeight w:val="360"/>
        </w:trPr>
        <w:tc>
          <w:tcPr>
            <w:tcW w:w="2410" w:type="dxa"/>
            <w:tcBorders>
              <w:bottom w:val="single" w:sz="4" w:space="0" w:color="999999"/>
            </w:tcBorders>
          </w:tcPr>
          <w:p w14:paraId="15B589E0" w14:textId="77777777" w:rsidR="00B62594" w:rsidRPr="00B62594" w:rsidRDefault="00B62594" w:rsidP="006E364D">
            <w:pPr>
              <w:pStyle w:val="UtilComTabletext"/>
            </w:pPr>
            <w:r w:rsidRPr="00B62594">
              <w:t>Expected revenues (smoothed revenue)</w:t>
            </w:r>
          </w:p>
        </w:tc>
        <w:tc>
          <w:tcPr>
            <w:tcW w:w="964" w:type="dxa"/>
            <w:tcBorders>
              <w:bottom w:val="single" w:sz="4" w:space="0" w:color="999999"/>
            </w:tcBorders>
          </w:tcPr>
          <w:p w14:paraId="707715FD" w14:textId="77777777" w:rsidR="00B62594" w:rsidRPr="00B62594" w:rsidRDefault="00B62594" w:rsidP="006E364D">
            <w:pPr>
              <w:pStyle w:val="UtilComTabletext"/>
              <w:jc w:val="right"/>
            </w:pPr>
            <w:r w:rsidRPr="00B62594">
              <w:t>138.75</w:t>
            </w:r>
          </w:p>
        </w:tc>
        <w:tc>
          <w:tcPr>
            <w:tcW w:w="964" w:type="dxa"/>
            <w:tcBorders>
              <w:bottom w:val="single" w:sz="4" w:space="0" w:color="999999"/>
            </w:tcBorders>
          </w:tcPr>
          <w:p w14:paraId="23936CEB" w14:textId="423ABF7D" w:rsidR="00B62594" w:rsidRPr="00B62594" w:rsidRDefault="003261B8" w:rsidP="0046764A">
            <w:pPr>
              <w:pStyle w:val="UtilComTabletext"/>
              <w:tabs>
                <w:tab w:val="num" w:pos="522"/>
                <w:tab w:val="left" w:pos="993"/>
              </w:tabs>
              <w:ind w:left="522" w:hanging="450"/>
              <w:jc w:val="right"/>
            </w:pPr>
            <w:r>
              <w:t>177.33</w:t>
            </w:r>
          </w:p>
        </w:tc>
        <w:tc>
          <w:tcPr>
            <w:tcW w:w="964" w:type="dxa"/>
            <w:tcBorders>
              <w:bottom w:val="single" w:sz="4" w:space="0" w:color="999999"/>
            </w:tcBorders>
          </w:tcPr>
          <w:p w14:paraId="69C63D53" w14:textId="07ADAB75" w:rsidR="00B62594" w:rsidRPr="00B62594" w:rsidRDefault="003261B8" w:rsidP="0055417A">
            <w:pPr>
              <w:pStyle w:val="UtilComTabletext"/>
              <w:tabs>
                <w:tab w:val="num" w:pos="522"/>
                <w:tab w:val="left" w:pos="993"/>
              </w:tabs>
              <w:ind w:left="522" w:hanging="450"/>
              <w:jc w:val="right"/>
            </w:pPr>
            <w:r>
              <w:t>196.47</w:t>
            </w:r>
          </w:p>
        </w:tc>
        <w:tc>
          <w:tcPr>
            <w:tcW w:w="964" w:type="dxa"/>
            <w:tcBorders>
              <w:bottom w:val="single" w:sz="4" w:space="0" w:color="999999"/>
            </w:tcBorders>
          </w:tcPr>
          <w:p w14:paraId="752B7DB4" w14:textId="2C9760FA" w:rsidR="00B62594" w:rsidRPr="00B62594" w:rsidRDefault="003261B8" w:rsidP="0055417A">
            <w:pPr>
              <w:pStyle w:val="UtilComTabletext"/>
              <w:tabs>
                <w:tab w:val="num" w:pos="522"/>
                <w:tab w:val="left" w:pos="993"/>
              </w:tabs>
              <w:ind w:left="522" w:hanging="450"/>
              <w:jc w:val="right"/>
            </w:pPr>
            <w:r>
              <w:t>207.61</w:t>
            </w:r>
          </w:p>
        </w:tc>
        <w:tc>
          <w:tcPr>
            <w:tcW w:w="964" w:type="dxa"/>
            <w:tcBorders>
              <w:bottom w:val="single" w:sz="4" w:space="0" w:color="999999"/>
            </w:tcBorders>
          </w:tcPr>
          <w:p w14:paraId="20825974" w14:textId="46701682" w:rsidR="00B62594" w:rsidRPr="00B62594" w:rsidRDefault="003261B8" w:rsidP="000134C4">
            <w:pPr>
              <w:pStyle w:val="UtilComTabletext"/>
              <w:tabs>
                <w:tab w:val="num" w:pos="522"/>
                <w:tab w:val="left" w:pos="993"/>
              </w:tabs>
              <w:ind w:left="522" w:hanging="450"/>
              <w:jc w:val="right"/>
            </w:pPr>
            <w:r>
              <w:t>208.72</w:t>
            </w:r>
          </w:p>
        </w:tc>
        <w:tc>
          <w:tcPr>
            <w:tcW w:w="964" w:type="dxa"/>
            <w:tcBorders>
              <w:bottom w:val="single" w:sz="4" w:space="0" w:color="999999"/>
            </w:tcBorders>
          </w:tcPr>
          <w:p w14:paraId="43AE82BE" w14:textId="551C6233" w:rsidR="00B62594" w:rsidRPr="00B62594" w:rsidRDefault="003261B8" w:rsidP="00F163D5">
            <w:pPr>
              <w:pStyle w:val="UtilComTabletext"/>
              <w:tabs>
                <w:tab w:val="num" w:pos="522"/>
                <w:tab w:val="left" w:pos="993"/>
              </w:tabs>
              <w:ind w:left="522" w:hanging="450"/>
              <w:jc w:val="right"/>
            </w:pPr>
            <w:r>
              <w:t>209.85</w:t>
            </w:r>
          </w:p>
        </w:tc>
        <w:tc>
          <w:tcPr>
            <w:tcW w:w="1021" w:type="dxa"/>
            <w:tcBorders>
              <w:bottom w:val="single" w:sz="4" w:space="0" w:color="999999"/>
            </w:tcBorders>
          </w:tcPr>
          <w:p w14:paraId="5DFA39EC" w14:textId="77777777" w:rsidR="00B62594" w:rsidRPr="00B62594" w:rsidRDefault="00B62594" w:rsidP="00F163D5">
            <w:pPr>
              <w:pStyle w:val="UtilComTabletext"/>
              <w:tabs>
                <w:tab w:val="num" w:pos="522"/>
                <w:tab w:val="left" w:pos="993"/>
              </w:tabs>
              <w:ind w:left="522" w:hanging="450"/>
              <w:jc w:val="right"/>
            </w:pPr>
          </w:p>
        </w:tc>
      </w:tr>
      <w:tr w:rsidR="00B62594" w:rsidRPr="00B62594" w14:paraId="1D5764E9" w14:textId="638CF929" w:rsidTr="00A82507">
        <w:trPr>
          <w:cantSplit/>
          <w:trHeight w:val="360"/>
        </w:trPr>
        <w:tc>
          <w:tcPr>
            <w:tcW w:w="2410" w:type="dxa"/>
            <w:tcBorders>
              <w:bottom w:val="single" w:sz="4" w:space="0" w:color="999999"/>
            </w:tcBorders>
          </w:tcPr>
          <w:p w14:paraId="14F019BA" w14:textId="77777777" w:rsidR="00B62594" w:rsidRPr="00B62594" w:rsidRDefault="00B62594" w:rsidP="006E364D">
            <w:pPr>
              <w:pStyle w:val="UtilComTabletext"/>
            </w:pPr>
            <w:r w:rsidRPr="00B62594">
              <w:t>Forecast CPI (%)</w:t>
            </w:r>
          </w:p>
        </w:tc>
        <w:tc>
          <w:tcPr>
            <w:tcW w:w="964" w:type="dxa"/>
            <w:tcBorders>
              <w:bottom w:val="single" w:sz="4" w:space="0" w:color="999999"/>
            </w:tcBorders>
          </w:tcPr>
          <w:p w14:paraId="5A17A1FA" w14:textId="77777777" w:rsidR="00B62594" w:rsidRPr="00B62594" w:rsidRDefault="00B62594" w:rsidP="006E364D">
            <w:pPr>
              <w:pStyle w:val="UtilComTabletext"/>
              <w:jc w:val="right"/>
            </w:pPr>
          </w:p>
        </w:tc>
        <w:tc>
          <w:tcPr>
            <w:tcW w:w="964" w:type="dxa"/>
            <w:tcBorders>
              <w:bottom w:val="single" w:sz="4" w:space="0" w:color="999999"/>
            </w:tcBorders>
          </w:tcPr>
          <w:p w14:paraId="57ADD081"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4224D927"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1AAB836A"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40DD2F9B"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00782CB2" w14:textId="77777777" w:rsidR="00B62594" w:rsidRPr="00B62594" w:rsidRDefault="00B62594" w:rsidP="00400FB3">
            <w:pPr>
              <w:pStyle w:val="UtilComTabletext"/>
              <w:tabs>
                <w:tab w:val="num" w:pos="522"/>
                <w:tab w:val="left" w:pos="993"/>
              </w:tabs>
              <w:ind w:left="522" w:hanging="450"/>
              <w:jc w:val="right"/>
            </w:pPr>
            <w:r w:rsidRPr="00B62594">
              <w:t>2.59</w:t>
            </w:r>
          </w:p>
        </w:tc>
        <w:tc>
          <w:tcPr>
            <w:tcW w:w="1021" w:type="dxa"/>
            <w:tcBorders>
              <w:bottom w:val="single" w:sz="4" w:space="0" w:color="999999"/>
            </w:tcBorders>
          </w:tcPr>
          <w:p w14:paraId="323F7F59" w14:textId="77777777" w:rsidR="00B62594" w:rsidRPr="00B62594" w:rsidRDefault="00B62594" w:rsidP="00400FB3">
            <w:pPr>
              <w:pStyle w:val="UtilComTabletext"/>
              <w:tabs>
                <w:tab w:val="num" w:pos="522"/>
                <w:tab w:val="left" w:pos="993"/>
              </w:tabs>
              <w:ind w:left="522" w:hanging="450"/>
              <w:jc w:val="right"/>
            </w:pPr>
          </w:p>
        </w:tc>
      </w:tr>
      <w:tr w:rsidR="00B62594" w:rsidRPr="00B62594" w14:paraId="0FD77694" w14:textId="490550EC" w:rsidTr="00A82507">
        <w:trPr>
          <w:cantSplit/>
          <w:trHeight w:val="360"/>
        </w:trPr>
        <w:tc>
          <w:tcPr>
            <w:tcW w:w="2410" w:type="dxa"/>
            <w:tcBorders>
              <w:bottom w:val="single" w:sz="4" w:space="0" w:color="auto"/>
            </w:tcBorders>
          </w:tcPr>
          <w:p w14:paraId="3CC6F39F" w14:textId="77777777" w:rsidR="00B62594" w:rsidRPr="00B62594" w:rsidRDefault="00B62594" w:rsidP="006E364D">
            <w:pPr>
              <w:pStyle w:val="UtilComTabletext"/>
              <w:rPr>
                <w:b/>
              </w:rPr>
            </w:pPr>
            <w:r w:rsidRPr="00B62594">
              <w:rPr>
                <w:b/>
              </w:rPr>
              <w:t xml:space="preserve">X factors (%) </w:t>
            </w:r>
            <w:r w:rsidRPr="00B62594">
              <w:rPr>
                <w:b/>
                <w:vertAlign w:val="superscript"/>
              </w:rPr>
              <w:t>(a)</w:t>
            </w:r>
          </w:p>
        </w:tc>
        <w:tc>
          <w:tcPr>
            <w:tcW w:w="964" w:type="dxa"/>
            <w:tcBorders>
              <w:bottom w:val="single" w:sz="4" w:space="0" w:color="auto"/>
            </w:tcBorders>
          </w:tcPr>
          <w:p w14:paraId="377CE9D9" w14:textId="77777777" w:rsidR="00B62594" w:rsidRPr="00B62594" w:rsidRDefault="00B62594" w:rsidP="006E364D">
            <w:pPr>
              <w:pStyle w:val="UtilComTabletext"/>
              <w:jc w:val="right"/>
              <w:rPr>
                <w:b/>
              </w:rPr>
            </w:pPr>
          </w:p>
        </w:tc>
        <w:tc>
          <w:tcPr>
            <w:tcW w:w="964" w:type="dxa"/>
            <w:tcBorders>
              <w:bottom w:val="single" w:sz="4" w:space="0" w:color="auto"/>
            </w:tcBorders>
          </w:tcPr>
          <w:p w14:paraId="4E240C36" w14:textId="3CF02AB9" w:rsidR="00B62594" w:rsidRPr="00B62594" w:rsidRDefault="00B62594" w:rsidP="003261B8">
            <w:pPr>
              <w:pStyle w:val="UtilComTabletext"/>
              <w:tabs>
                <w:tab w:val="num" w:pos="522"/>
                <w:tab w:val="left" w:pos="993"/>
              </w:tabs>
              <w:ind w:left="522" w:hanging="450"/>
              <w:jc w:val="right"/>
              <w:rPr>
                <w:b/>
              </w:rPr>
            </w:pPr>
            <w:r w:rsidRPr="00B62594">
              <w:rPr>
                <w:b/>
              </w:rPr>
              <w:t>-</w:t>
            </w:r>
            <w:r w:rsidR="00A82507">
              <w:rPr>
                <w:b/>
              </w:rPr>
              <w:t xml:space="preserve"> </w:t>
            </w:r>
            <w:r w:rsidR="003261B8">
              <w:rPr>
                <w:b/>
              </w:rPr>
              <w:t>24.58</w:t>
            </w:r>
          </w:p>
        </w:tc>
        <w:tc>
          <w:tcPr>
            <w:tcW w:w="964" w:type="dxa"/>
            <w:tcBorders>
              <w:bottom w:val="single" w:sz="4" w:space="0" w:color="auto"/>
            </w:tcBorders>
          </w:tcPr>
          <w:p w14:paraId="57F56069" w14:textId="64A3E022" w:rsidR="00B62594" w:rsidRPr="00B62594" w:rsidRDefault="00B62594" w:rsidP="003261B8">
            <w:pPr>
              <w:pStyle w:val="UtilComTabletext"/>
              <w:tabs>
                <w:tab w:val="num" w:pos="522"/>
                <w:tab w:val="left" w:pos="993"/>
              </w:tabs>
              <w:ind w:left="522" w:hanging="450"/>
              <w:jc w:val="right"/>
              <w:rPr>
                <w:b/>
              </w:rPr>
            </w:pPr>
            <w:r w:rsidRPr="00B62594">
              <w:rPr>
                <w:b/>
              </w:rPr>
              <w:t>-</w:t>
            </w:r>
            <w:r w:rsidR="00A82507">
              <w:rPr>
                <w:b/>
              </w:rPr>
              <w:t xml:space="preserve"> </w:t>
            </w:r>
            <w:r w:rsidR="003261B8">
              <w:rPr>
                <w:b/>
              </w:rPr>
              <w:t>8</w:t>
            </w:r>
            <w:r w:rsidRPr="00B62594">
              <w:rPr>
                <w:b/>
              </w:rPr>
              <w:t>.00</w:t>
            </w:r>
          </w:p>
        </w:tc>
        <w:tc>
          <w:tcPr>
            <w:tcW w:w="964" w:type="dxa"/>
            <w:tcBorders>
              <w:bottom w:val="single" w:sz="4" w:space="0" w:color="auto"/>
            </w:tcBorders>
          </w:tcPr>
          <w:p w14:paraId="7B809274" w14:textId="69390F26" w:rsidR="00B62594" w:rsidRPr="00B62594" w:rsidRDefault="00B62594" w:rsidP="0055417A">
            <w:pPr>
              <w:pStyle w:val="UtilComTabletext"/>
              <w:tabs>
                <w:tab w:val="num" w:pos="522"/>
                <w:tab w:val="left" w:pos="993"/>
              </w:tabs>
              <w:ind w:left="522" w:hanging="450"/>
              <w:jc w:val="right"/>
              <w:rPr>
                <w:b/>
              </w:rPr>
            </w:pPr>
            <w:r w:rsidRPr="00B62594">
              <w:rPr>
                <w:b/>
              </w:rPr>
              <w:t>-</w:t>
            </w:r>
            <w:r w:rsidR="00A82507">
              <w:rPr>
                <w:b/>
              </w:rPr>
              <w:t xml:space="preserve"> </w:t>
            </w:r>
            <w:r w:rsidRPr="00B62594">
              <w:rPr>
                <w:b/>
              </w:rPr>
              <w:t>3.00</w:t>
            </w:r>
          </w:p>
        </w:tc>
        <w:tc>
          <w:tcPr>
            <w:tcW w:w="964" w:type="dxa"/>
            <w:tcBorders>
              <w:bottom w:val="single" w:sz="4" w:space="0" w:color="auto"/>
            </w:tcBorders>
          </w:tcPr>
          <w:p w14:paraId="0E7F6514" w14:textId="77777777" w:rsidR="00B62594" w:rsidRPr="00B62594" w:rsidRDefault="00B62594" w:rsidP="000134C4">
            <w:pPr>
              <w:pStyle w:val="UtilComTabletext"/>
              <w:tabs>
                <w:tab w:val="num" w:pos="522"/>
                <w:tab w:val="left" w:pos="993"/>
              </w:tabs>
              <w:ind w:left="522" w:hanging="450"/>
              <w:jc w:val="right"/>
              <w:rPr>
                <w:b/>
              </w:rPr>
            </w:pPr>
            <w:r w:rsidRPr="00B62594">
              <w:rPr>
                <w:b/>
              </w:rPr>
              <w:t>2.00</w:t>
            </w:r>
          </w:p>
        </w:tc>
        <w:tc>
          <w:tcPr>
            <w:tcW w:w="964" w:type="dxa"/>
            <w:tcBorders>
              <w:bottom w:val="single" w:sz="4" w:space="0" w:color="auto"/>
            </w:tcBorders>
          </w:tcPr>
          <w:p w14:paraId="48556A2F" w14:textId="77777777" w:rsidR="00B62594" w:rsidRPr="00B62594" w:rsidRDefault="00B62594" w:rsidP="00F163D5">
            <w:pPr>
              <w:pStyle w:val="UtilComTabletext"/>
              <w:tabs>
                <w:tab w:val="num" w:pos="522"/>
                <w:tab w:val="left" w:pos="993"/>
              </w:tabs>
              <w:ind w:left="522" w:hanging="450"/>
              <w:jc w:val="right"/>
              <w:rPr>
                <w:b/>
              </w:rPr>
            </w:pPr>
            <w:r w:rsidRPr="00B62594">
              <w:rPr>
                <w:b/>
              </w:rPr>
              <w:t>2.00</w:t>
            </w:r>
          </w:p>
        </w:tc>
        <w:tc>
          <w:tcPr>
            <w:tcW w:w="1021" w:type="dxa"/>
            <w:tcBorders>
              <w:bottom w:val="single" w:sz="4" w:space="0" w:color="auto"/>
            </w:tcBorders>
          </w:tcPr>
          <w:p w14:paraId="6BFE5489" w14:textId="77777777" w:rsidR="00B62594" w:rsidRPr="00B62594" w:rsidRDefault="00B62594" w:rsidP="00F163D5">
            <w:pPr>
              <w:pStyle w:val="UtilComTabletext"/>
              <w:tabs>
                <w:tab w:val="num" w:pos="522"/>
                <w:tab w:val="left" w:pos="993"/>
              </w:tabs>
              <w:ind w:left="522" w:hanging="450"/>
              <w:jc w:val="right"/>
              <w:rPr>
                <w:b/>
              </w:rPr>
            </w:pPr>
          </w:p>
        </w:tc>
      </w:tr>
      <w:tr w:rsidR="00B62594" w:rsidRPr="00B62594" w14:paraId="24898956" w14:textId="16FDEDB4" w:rsidTr="00A82507">
        <w:trPr>
          <w:cantSplit/>
          <w:trHeight w:val="360"/>
        </w:trPr>
        <w:tc>
          <w:tcPr>
            <w:tcW w:w="2410" w:type="dxa"/>
            <w:tcBorders>
              <w:bottom w:val="single" w:sz="4" w:space="0" w:color="auto"/>
            </w:tcBorders>
          </w:tcPr>
          <w:p w14:paraId="57ECB5A6" w14:textId="6A640EF6" w:rsidR="00B62594" w:rsidRPr="00B62594" w:rsidRDefault="00B62594" w:rsidP="006E364D">
            <w:pPr>
              <w:pStyle w:val="UtilComTabletext"/>
            </w:pPr>
            <w:r w:rsidRPr="00B62594">
              <w:t>Carryover adjustment (2013 cost pass through)</w:t>
            </w:r>
            <w:r w:rsidR="00881921">
              <w:t xml:space="preserve"> </w:t>
            </w:r>
            <w:r w:rsidR="00881921" w:rsidRPr="00881921">
              <w:rPr>
                <w:color w:val="000000" w:themeColor="text1"/>
                <w:vertAlign w:val="superscript"/>
              </w:rPr>
              <w:t>(c)</w:t>
            </w:r>
          </w:p>
        </w:tc>
        <w:tc>
          <w:tcPr>
            <w:tcW w:w="964" w:type="dxa"/>
            <w:tcBorders>
              <w:bottom w:val="single" w:sz="4" w:space="0" w:color="auto"/>
            </w:tcBorders>
          </w:tcPr>
          <w:p w14:paraId="2F018FC0" w14:textId="77777777" w:rsidR="00B62594" w:rsidRPr="00B62594" w:rsidRDefault="00B62594" w:rsidP="006E364D">
            <w:pPr>
              <w:pStyle w:val="UtilComTabletext"/>
              <w:jc w:val="right"/>
            </w:pPr>
          </w:p>
        </w:tc>
        <w:tc>
          <w:tcPr>
            <w:tcW w:w="964" w:type="dxa"/>
            <w:tcBorders>
              <w:bottom w:val="single" w:sz="4" w:space="0" w:color="auto"/>
            </w:tcBorders>
          </w:tcPr>
          <w:p w14:paraId="69F4888C" w14:textId="77777777" w:rsidR="00B62594" w:rsidRPr="00B62594" w:rsidRDefault="00B62594" w:rsidP="0046764A">
            <w:pPr>
              <w:pStyle w:val="UtilComTabletext"/>
              <w:tabs>
                <w:tab w:val="num" w:pos="522"/>
                <w:tab w:val="left" w:pos="993"/>
              </w:tabs>
              <w:ind w:left="522" w:hanging="450"/>
              <w:jc w:val="right"/>
            </w:pPr>
            <w:r w:rsidRPr="00B62594">
              <w:t>7.18</w:t>
            </w:r>
          </w:p>
        </w:tc>
        <w:tc>
          <w:tcPr>
            <w:tcW w:w="964" w:type="dxa"/>
            <w:tcBorders>
              <w:bottom w:val="single" w:sz="4" w:space="0" w:color="auto"/>
            </w:tcBorders>
          </w:tcPr>
          <w:p w14:paraId="65274DDB" w14:textId="77777777" w:rsidR="00B62594" w:rsidRPr="00B62594" w:rsidRDefault="00B62594" w:rsidP="00400FB3">
            <w:pPr>
              <w:pStyle w:val="UtilComTabletext"/>
              <w:tabs>
                <w:tab w:val="num" w:pos="522"/>
                <w:tab w:val="left" w:pos="993"/>
              </w:tabs>
              <w:ind w:left="522" w:hanging="450"/>
              <w:jc w:val="right"/>
            </w:pPr>
            <w:r w:rsidRPr="00B62594">
              <w:t>7.75</w:t>
            </w:r>
          </w:p>
        </w:tc>
        <w:tc>
          <w:tcPr>
            <w:tcW w:w="964" w:type="dxa"/>
            <w:tcBorders>
              <w:bottom w:val="single" w:sz="4" w:space="0" w:color="auto"/>
            </w:tcBorders>
          </w:tcPr>
          <w:p w14:paraId="2FE2B316" w14:textId="77777777" w:rsidR="00B62594" w:rsidRPr="00B62594" w:rsidRDefault="00B62594" w:rsidP="00400FB3">
            <w:pPr>
              <w:pStyle w:val="UtilComTabletext"/>
              <w:tabs>
                <w:tab w:val="num" w:pos="522"/>
                <w:tab w:val="left" w:pos="993"/>
              </w:tabs>
              <w:ind w:left="522" w:hanging="450"/>
              <w:jc w:val="right"/>
            </w:pPr>
            <w:r w:rsidRPr="00B62594">
              <w:t>8.36</w:t>
            </w:r>
          </w:p>
        </w:tc>
        <w:tc>
          <w:tcPr>
            <w:tcW w:w="964" w:type="dxa"/>
            <w:tcBorders>
              <w:bottom w:val="single" w:sz="4" w:space="0" w:color="auto"/>
            </w:tcBorders>
          </w:tcPr>
          <w:p w14:paraId="26FD1561" w14:textId="77777777" w:rsidR="00B62594" w:rsidRPr="00B62594" w:rsidRDefault="00B62594" w:rsidP="00400FB3">
            <w:pPr>
              <w:pStyle w:val="UtilComTabletext"/>
              <w:tabs>
                <w:tab w:val="num" w:pos="522"/>
                <w:tab w:val="left" w:pos="993"/>
              </w:tabs>
              <w:ind w:left="522" w:hanging="450"/>
              <w:jc w:val="right"/>
            </w:pPr>
            <w:r w:rsidRPr="00B62594">
              <w:t>9.02</w:t>
            </w:r>
          </w:p>
        </w:tc>
        <w:tc>
          <w:tcPr>
            <w:tcW w:w="964" w:type="dxa"/>
            <w:tcBorders>
              <w:bottom w:val="single" w:sz="4" w:space="0" w:color="auto"/>
            </w:tcBorders>
          </w:tcPr>
          <w:p w14:paraId="562A0187" w14:textId="77777777" w:rsidR="00B62594" w:rsidRPr="00B62594" w:rsidRDefault="00B62594" w:rsidP="00400FB3">
            <w:pPr>
              <w:pStyle w:val="UtilComTabletext"/>
              <w:tabs>
                <w:tab w:val="num" w:pos="522"/>
                <w:tab w:val="left" w:pos="993"/>
              </w:tabs>
              <w:ind w:left="522" w:hanging="450"/>
              <w:jc w:val="right"/>
            </w:pPr>
            <w:r w:rsidRPr="00B62594">
              <w:t>9.72</w:t>
            </w:r>
          </w:p>
        </w:tc>
        <w:tc>
          <w:tcPr>
            <w:tcW w:w="1021" w:type="dxa"/>
            <w:tcBorders>
              <w:bottom w:val="single" w:sz="4" w:space="0" w:color="auto"/>
            </w:tcBorders>
          </w:tcPr>
          <w:p w14:paraId="2694D574" w14:textId="5D80258A" w:rsidR="00B62594" w:rsidRPr="00B62594" w:rsidRDefault="00BA7FAD" w:rsidP="00400FB3">
            <w:pPr>
              <w:pStyle w:val="UtilComTabletext"/>
              <w:tabs>
                <w:tab w:val="num" w:pos="522"/>
                <w:tab w:val="left" w:pos="993"/>
              </w:tabs>
              <w:ind w:left="522" w:hanging="450"/>
              <w:jc w:val="right"/>
            </w:pPr>
            <w:r>
              <w:t>42.03</w:t>
            </w:r>
          </w:p>
        </w:tc>
      </w:tr>
      <w:tr w:rsidR="00B62594" w:rsidRPr="00B62594" w14:paraId="1FB90A48" w14:textId="36CD8C6C" w:rsidTr="00A82507">
        <w:trPr>
          <w:cantSplit/>
          <w:trHeight w:val="360"/>
        </w:trPr>
        <w:tc>
          <w:tcPr>
            <w:tcW w:w="2410" w:type="dxa"/>
          </w:tcPr>
          <w:p w14:paraId="4B66744B" w14:textId="77777777" w:rsidR="00B62594" w:rsidRPr="00B62594" w:rsidRDefault="00B62594" w:rsidP="006E364D">
            <w:pPr>
              <w:pStyle w:val="UtilComTabletext"/>
            </w:pPr>
            <w:r w:rsidRPr="00B62594">
              <w:t>Total unsmoothed annual revenue requirement</w:t>
            </w:r>
          </w:p>
        </w:tc>
        <w:tc>
          <w:tcPr>
            <w:tcW w:w="964" w:type="dxa"/>
          </w:tcPr>
          <w:p w14:paraId="34884919" w14:textId="77777777" w:rsidR="00B62594" w:rsidRPr="00B62594" w:rsidRDefault="00B62594" w:rsidP="006E364D">
            <w:pPr>
              <w:pStyle w:val="UtilComTabletext"/>
              <w:jc w:val="right"/>
            </w:pPr>
          </w:p>
        </w:tc>
        <w:tc>
          <w:tcPr>
            <w:tcW w:w="964" w:type="dxa"/>
          </w:tcPr>
          <w:p w14:paraId="6B69147A" w14:textId="7DDA6BE3" w:rsidR="00B62594" w:rsidRPr="00B62594" w:rsidRDefault="00A254DD" w:rsidP="0046764A">
            <w:pPr>
              <w:pStyle w:val="UtilComTabletext"/>
              <w:tabs>
                <w:tab w:val="num" w:pos="522"/>
                <w:tab w:val="left" w:pos="993"/>
              </w:tabs>
              <w:ind w:left="522" w:hanging="450"/>
              <w:jc w:val="right"/>
            </w:pPr>
            <w:r>
              <w:t>208.60</w:t>
            </w:r>
          </w:p>
        </w:tc>
        <w:tc>
          <w:tcPr>
            <w:tcW w:w="964" w:type="dxa"/>
          </w:tcPr>
          <w:p w14:paraId="394388B4" w14:textId="5CD422EB" w:rsidR="00B62594" w:rsidRPr="00B62594" w:rsidRDefault="00A254DD" w:rsidP="00A82507">
            <w:pPr>
              <w:pStyle w:val="UtilComTabletext"/>
              <w:tabs>
                <w:tab w:val="num" w:pos="522"/>
                <w:tab w:val="left" w:pos="993"/>
              </w:tabs>
              <w:ind w:left="522" w:hanging="450"/>
              <w:jc w:val="right"/>
            </w:pPr>
            <w:r>
              <w:t>210.96</w:t>
            </w:r>
          </w:p>
        </w:tc>
        <w:tc>
          <w:tcPr>
            <w:tcW w:w="964" w:type="dxa"/>
          </w:tcPr>
          <w:p w14:paraId="6EE028F2" w14:textId="7D0A1928" w:rsidR="00B62594" w:rsidRPr="00B62594" w:rsidRDefault="00A254DD" w:rsidP="00A82507">
            <w:pPr>
              <w:pStyle w:val="UtilComTabletext"/>
              <w:tabs>
                <w:tab w:val="num" w:pos="522"/>
                <w:tab w:val="left" w:pos="993"/>
              </w:tabs>
              <w:ind w:left="522" w:hanging="450"/>
              <w:jc w:val="right"/>
            </w:pPr>
            <w:r>
              <w:t>207.21</w:t>
            </w:r>
          </w:p>
        </w:tc>
        <w:tc>
          <w:tcPr>
            <w:tcW w:w="964" w:type="dxa"/>
          </w:tcPr>
          <w:p w14:paraId="288FB7AA" w14:textId="0773FD7C" w:rsidR="00B62594" w:rsidRPr="00B62594" w:rsidRDefault="00A254DD" w:rsidP="000134C4">
            <w:pPr>
              <w:pStyle w:val="UtilComTabletext"/>
              <w:tabs>
                <w:tab w:val="num" w:pos="522"/>
                <w:tab w:val="left" w:pos="993"/>
              </w:tabs>
              <w:ind w:left="522" w:hanging="450"/>
              <w:jc w:val="right"/>
            </w:pPr>
            <w:r>
              <w:t>204.66</w:t>
            </w:r>
          </w:p>
        </w:tc>
        <w:tc>
          <w:tcPr>
            <w:tcW w:w="964" w:type="dxa"/>
          </w:tcPr>
          <w:p w14:paraId="2C85AFE1" w14:textId="07D02B88" w:rsidR="00B62594" w:rsidRPr="00B62594" w:rsidRDefault="00A254DD" w:rsidP="00F163D5">
            <w:pPr>
              <w:pStyle w:val="UtilComTabletext"/>
              <w:tabs>
                <w:tab w:val="num" w:pos="522"/>
                <w:tab w:val="left" w:pos="993"/>
              </w:tabs>
              <w:ind w:left="522" w:hanging="450"/>
              <w:jc w:val="right"/>
            </w:pPr>
            <w:r>
              <w:t>202.80</w:t>
            </w:r>
          </w:p>
        </w:tc>
        <w:tc>
          <w:tcPr>
            <w:tcW w:w="1021" w:type="dxa"/>
          </w:tcPr>
          <w:p w14:paraId="0690D771" w14:textId="5822BDB2" w:rsidR="00B62594" w:rsidRPr="00B62594" w:rsidRDefault="00A254DD" w:rsidP="00F163D5">
            <w:pPr>
              <w:pStyle w:val="UtilComTabletext"/>
              <w:tabs>
                <w:tab w:val="num" w:pos="522"/>
                <w:tab w:val="left" w:pos="993"/>
              </w:tabs>
              <w:ind w:left="522" w:hanging="450"/>
              <w:jc w:val="right"/>
            </w:pPr>
            <w:r>
              <w:t>1 034.23</w:t>
            </w:r>
          </w:p>
        </w:tc>
      </w:tr>
      <w:tr w:rsidR="00B62594" w:rsidRPr="00B62594" w14:paraId="546C9277" w14:textId="7DA5B31C" w:rsidTr="00A82507">
        <w:trPr>
          <w:cantSplit/>
          <w:trHeight w:val="360"/>
        </w:trPr>
        <w:tc>
          <w:tcPr>
            <w:tcW w:w="2410" w:type="dxa"/>
            <w:tcBorders>
              <w:bottom w:val="single" w:sz="4" w:space="0" w:color="999999"/>
            </w:tcBorders>
          </w:tcPr>
          <w:p w14:paraId="18CC20D5" w14:textId="77777777" w:rsidR="00B62594" w:rsidRPr="00B62594" w:rsidRDefault="00B62594" w:rsidP="006E364D">
            <w:pPr>
              <w:pStyle w:val="UtilComTabletext"/>
            </w:pPr>
            <w:r w:rsidRPr="00B62594">
              <w:t>Expected revenues (smoothed revenue)</w:t>
            </w:r>
          </w:p>
        </w:tc>
        <w:tc>
          <w:tcPr>
            <w:tcW w:w="964" w:type="dxa"/>
            <w:tcBorders>
              <w:bottom w:val="single" w:sz="4" w:space="0" w:color="999999"/>
            </w:tcBorders>
          </w:tcPr>
          <w:p w14:paraId="6A145974" w14:textId="77777777" w:rsidR="00B62594" w:rsidRPr="00B62594" w:rsidRDefault="00B62594" w:rsidP="006E364D">
            <w:pPr>
              <w:pStyle w:val="UtilComTabletext"/>
              <w:jc w:val="right"/>
            </w:pPr>
            <w:r w:rsidRPr="00B62594">
              <w:t>138.75</w:t>
            </w:r>
          </w:p>
        </w:tc>
        <w:tc>
          <w:tcPr>
            <w:tcW w:w="964" w:type="dxa"/>
            <w:tcBorders>
              <w:bottom w:val="single" w:sz="4" w:space="0" w:color="999999"/>
            </w:tcBorders>
          </w:tcPr>
          <w:p w14:paraId="29B89B52" w14:textId="47D445D5" w:rsidR="00B62594" w:rsidRPr="00B62594" w:rsidRDefault="00A254DD" w:rsidP="0046764A">
            <w:pPr>
              <w:pStyle w:val="UtilComTabletext"/>
              <w:tabs>
                <w:tab w:val="num" w:pos="522"/>
                <w:tab w:val="left" w:pos="993"/>
              </w:tabs>
              <w:ind w:left="522" w:hanging="450"/>
              <w:jc w:val="right"/>
            </w:pPr>
            <w:r>
              <w:t>184.74</w:t>
            </w:r>
          </w:p>
        </w:tc>
        <w:tc>
          <w:tcPr>
            <w:tcW w:w="964" w:type="dxa"/>
            <w:tcBorders>
              <w:bottom w:val="single" w:sz="4" w:space="0" w:color="999999"/>
            </w:tcBorders>
          </w:tcPr>
          <w:p w14:paraId="2A2B6D03" w14:textId="3587D2FF" w:rsidR="00B62594" w:rsidRPr="00B62594" w:rsidRDefault="00A254DD" w:rsidP="0055417A">
            <w:pPr>
              <w:pStyle w:val="UtilComTabletext"/>
              <w:tabs>
                <w:tab w:val="num" w:pos="522"/>
                <w:tab w:val="left" w:pos="993"/>
              </w:tabs>
              <w:ind w:left="522" w:hanging="450"/>
              <w:jc w:val="right"/>
            </w:pPr>
            <w:r>
              <w:t>204.68</w:t>
            </w:r>
          </w:p>
        </w:tc>
        <w:tc>
          <w:tcPr>
            <w:tcW w:w="964" w:type="dxa"/>
            <w:tcBorders>
              <w:bottom w:val="single" w:sz="4" w:space="0" w:color="999999"/>
            </w:tcBorders>
          </w:tcPr>
          <w:p w14:paraId="5F01C5DC" w14:textId="36B65994" w:rsidR="00B62594" w:rsidRPr="00B62594" w:rsidRDefault="00A254DD" w:rsidP="0055417A">
            <w:pPr>
              <w:pStyle w:val="UtilComTabletext"/>
              <w:tabs>
                <w:tab w:val="num" w:pos="522"/>
                <w:tab w:val="left" w:pos="993"/>
              </w:tabs>
              <w:ind w:left="522" w:hanging="450"/>
              <w:jc w:val="right"/>
            </w:pPr>
            <w:r>
              <w:t>216.29</w:t>
            </w:r>
          </w:p>
        </w:tc>
        <w:tc>
          <w:tcPr>
            <w:tcW w:w="964" w:type="dxa"/>
            <w:tcBorders>
              <w:bottom w:val="single" w:sz="4" w:space="0" w:color="999999"/>
            </w:tcBorders>
          </w:tcPr>
          <w:p w14:paraId="6210647C" w14:textId="0C974D8C" w:rsidR="00B62594" w:rsidRPr="00B62594" w:rsidRDefault="00A254DD" w:rsidP="000134C4">
            <w:pPr>
              <w:pStyle w:val="UtilComTabletext"/>
              <w:tabs>
                <w:tab w:val="num" w:pos="522"/>
                <w:tab w:val="left" w:pos="993"/>
              </w:tabs>
              <w:ind w:left="522" w:hanging="450"/>
              <w:jc w:val="right"/>
            </w:pPr>
            <w:r>
              <w:t>217.45</w:t>
            </w:r>
          </w:p>
        </w:tc>
        <w:tc>
          <w:tcPr>
            <w:tcW w:w="964" w:type="dxa"/>
            <w:tcBorders>
              <w:bottom w:val="single" w:sz="4" w:space="0" w:color="999999"/>
            </w:tcBorders>
          </w:tcPr>
          <w:p w14:paraId="29EBC18A" w14:textId="2386B1FA" w:rsidR="00B62594" w:rsidRPr="00B62594" w:rsidRDefault="00A254DD" w:rsidP="00F163D5">
            <w:pPr>
              <w:pStyle w:val="UtilComTabletext"/>
              <w:tabs>
                <w:tab w:val="num" w:pos="522"/>
                <w:tab w:val="left" w:pos="993"/>
              </w:tabs>
              <w:ind w:left="522" w:hanging="450"/>
              <w:jc w:val="right"/>
            </w:pPr>
            <w:r>
              <w:t>218.62</w:t>
            </w:r>
          </w:p>
        </w:tc>
        <w:tc>
          <w:tcPr>
            <w:tcW w:w="1021" w:type="dxa"/>
            <w:tcBorders>
              <w:bottom w:val="single" w:sz="4" w:space="0" w:color="999999"/>
            </w:tcBorders>
          </w:tcPr>
          <w:p w14:paraId="58D527B1" w14:textId="77777777" w:rsidR="00B62594" w:rsidRPr="00B62594" w:rsidRDefault="00B62594" w:rsidP="00F163D5">
            <w:pPr>
              <w:pStyle w:val="UtilComTabletext"/>
              <w:tabs>
                <w:tab w:val="num" w:pos="522"/>
                <w:tab w:val="left" w:pos="993"/>
              </w:tabs>
              <w:ind w:left="522" w:hanging="450"/>
              <w:jc w:val="right"/>
            </w:pPr>
          </w:p>
        </w:tc>
      </w:tr>
      <w:tr w:rsidR="00B62594" w:rsidRPr="00B62594" w14:paraId="317FE4F6" w14:textId="04608826" w:rsidTr="00A82507">
        <w:trPr>
          <w:cantSplit/>
          <w:trHeight w:val="360"/>
        </w:trPr>
        <w:tc>
          <w:tcPr>
            <w:tcW w:w="2410" w:type="dxa"/>
            <w:tcBorders>
              <w:bottom w:val="single" w:sz="4" w:space="0" w:color="999999"/>
            </w:tcBorders>
          </w:tcPr>
          <w:p w14:paraId="643BB612" w14:textId="77777777" w:rsidR="00B62594" w:rsidRPr="00B62594" w:rsidRDefault="00B62594" w:rsidP="006E364D">
            <w:pPr>
              <w:pStyle w:val="UtilComTabletext"/>
            </w:pPr>
            <w:r w:rsidRPr="00B62594">
              <w:t>Forecast CPI (%)</w:t>
            </w:r>
          </w:p>
        </w:tc>
        <w:tc>
          <w:tcPr>
            <w:tcW w:w="964" w:type="dxa"/>
            <w:tcBorders>
              <w:bottom w:val="single" w:sz="4" w:space="0" w:color="999999"/>
            </w:tcBorders>
          </w:tcPr>
          <w:p w14:paraId="61C4BE62" w14:textId="77777777" w:rsidR="00B62594" w:rsidRPr="00B62594" w:rsidRDefault="00B62594" w:rsidP="006E364D">
            <w:pPr>
              <w:pStyle w:val="UtilComTabletext"/>
              <w:jc w:val="right"/>
            </w:pPr>
          </w:p>
        </w:tc>
        <w:tc>
          <w:tcPr>
            <w:tcW w:w="964" w:type="dxa"/>
            <w:tcBorders>
              <w:bottom w:val="single" w:sz="4" w:space="0" w:color="999999"/>
            </w:tcBorders>
          </w:tcPr>
          <w:p w14:paraId="53C89A61"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51D760D7"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4EAAFDA2"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10D10E6A" w14:textId="77777777" w:rsidR="00B62594" w:rsidRPr="00B62594" w:rsidRDefault="00B62594" w:rsidP="00400FB3">
            <w:pPr>
              <w:pStyle w:val="UtilComTabletext"/>
              <w:tabs>
                <w:tab w:val="num" w:pos="522"/>
                <w:tab w:val="left" w:pos="993"/>
              </w:tabs>
              <w:ind w:left="522" w:hanging="450"/>
              <w:jc w:val="right"/>
            </w:pPr>
            <w:r w:rsidRPr="00B62594">
              <w:t>2.59</w:t>
            </w:r>
          </w:p>
        </w:tc>
        <w:tc>
          <w:tcPr>
            <w:tcW w:w="964" w:type="dxa"/>
            <w:tcBorders>
              <w:bottom w:val="single" w:sz="4" w:space="0" w:color="999999"/>
            </w:tcBorders>
          </w:tcPr>
          <w:p w14:paraId="3F22B4D3" w14:textId="77777777" w:rsidR="00B62594" w:rsidRPr="00B62594" w:rsidRDefault="00B62594" w:rsidP="00400FB3">
            <w:pPr>
              <w:pStyle w:val="UtilComTabletext"/>
              <w:tabs>
                <w:tab w:val="num" w:pos="522"/>
                <w:tab w:val="left" w:pos="993"/>
              </w:tabs>
              <w:ind w:left="522" w:hanging="450"/>
              <w:jc w:val="right"/>
            </w:pPr>
            <w:r w:rsidRPr="00B62594">
              <w:t>2.59</w:t>
            </w:r>
          </w:p>
        </w:tc>
        <w:tc>
          <w:tcPr>
            <w:tcW w:w="1021" w:type="dxa"/>
            <w:tcBorders>
              <w:bottom w:val="single" w:sz="4" w:space="0" w:color="999999"/>
            </w:tcBorders>
          </w:tcPr>
          <w:p w14:paraId="0653BAED" w14:textId="77777777" w:rsidR="00B62594" w:rsidRPr="00B62594" w:rsidRDefault="00B62594" w:rsidP="00400FB3">
            <w:pPr>
              <w:pStyle w:val="UtilComTabletext"/>
              <w:tabs>
                <w:tab w:val="num" w:pos="522"/>
                <w:tab w:val="left" w:pos="993"/>
              </w:tabs>
              <w:ind w:left="522" w:hanging="450"/>
              <w:jc w:val="right"/>
            </w:pPr>
          </w:p>
        </w:tc>
      </w:tr>
      <w:tr w:rsidR="00B62594" w:rsidRPr="007C4959" w14:paraId="1C4E2ED3" w14:textId="5536D483" w:rsidTr="00A82507">
        <w:trPr>
          <w:cantSplit/>
          <w:trHeight w:val="360"/>
        </w:trPr>
        <w:tc>
          <w:tcPr>
            <w:tcW w:w="2410" w:type="dxa"/>
          </w:tcPr>
          <w:p w14:paraId="127F70D6" w14:textId="1AB7F9DD" w:rsidR="00B62594" w:rsidRPr="00B62594" w:rsidRDefault="00B62594" w:rsidP="00BA7FAD">
            <w:pPr>
              <w:pStyle w:val="UtilComTabletext"/>
              <w:rPr>
                <w:b/>
              </w:rPr>
            </w:pPr>
            <w:r w:rsidRPr="00B62594">
              <w:rPr>
                <w:b/>
              </w:rPr>
              <w:t xml:space="preserve">X factors (%) </w:t>
            </w:r>
            <w:r w:rsidRPr="00B62594">
              <w:rPr>
                <w:b/>
                <w:vertAlign w:val="superscript"/>
              </w:rPr>
              <w:t>(</w:t>
            </w:r>
            <w:r w:rsidR="00BA7FAD">
              <w:rPr>
                <w:b/>
                <w:vertAlign w:val="superscript"/>
              </w:rPr>
              <w:t>b</w:t>
            </w:r>
            <w:r w:rsidRPr="00B62594">
              <w:rPr>
                <w:b/>
                <w:vertAlign w:val="superscript"/>
              </w:rPr>
              <w:t>)</w:t>
            </w:r>
          </w:p>
        </w:tc>
        <w:tc>
          <w:tcPr>
            <w:tcW w:w="964" w:type="dxa"/>
          </w:tcPr>
          <w:p w14:paraId="3E186F73" w14:textId="77777777" w:rsidR="00B62594" w:rsidRPr="00B62594" w:rsidRDefault="00B62594" w:rsidP="006E364D">
            <w:pPr>
              <w:pStyle w:val="UtilComTabletext"/>
              <w:jc w:val="right"/>
              <w:rPr>
                <w:b/>
              </w:rPr>
            </w:pPr>
          </w:p>
        </w:tc>
        <w:tc>
          <w:tcPr>
            <w:tcW w:w="964" w:type="dxa"/>
          </w:tcPr>
          <w:p w14:paraId="4A7860F9" w14:textId="01668D8E" w:rsidR="00B62594" w:rsidRPr="00B62594" w:rsidRDefault="00B62594" w:rsidP="00A254DD">
            <w:pPr>
              <w:pStyle w:val="UtilComTabletext"/>
              <w:tabs>
                <w:tab w:val="num" w:pos="522"/>
                <w:tab w:val="left" w:pos="993"/>
              </w:tabs>
              <w:ind w:left="522" w:hanging="450"/>
              <w:jc w:val="right"/>
              <w:rPr>
                <w:b/>
              </w:rPr>
            </w:pPr>
            <w:r w:rsidRPr="00B62594">
              <w:rPr>
                <w:b/>
              </w:rPr>
              <w:t>-</w:t>
            </w:r>
            <w:r w:rsidR="00A82507">
              <w:rPr>
                <w:b/>
              </w:rPr>
              <w:t xml:space="preserve"> </w:t>
            </w:r>
            <w:r w:rsidRPr="00B62594">
              <w:rPr>
                <w:b/>
              </w:rPr>
              <w:t>29.</w:t>
            </w:r>
            <w:r w:rsidR="00A82507">
              <w:rPr>
                <w:b/>
              </w:rPr>
              <w:t>7</w:t>
            </w:r>
            <w:r w:rsidR="00A254DD">
              <w:rPr>
                <w:b/>
              </w:rPr>
              <w:t>8</w:t>
            </w:r>
          </w:p>
        </w:tc>
        <w:tc>
          <w:tcPr>
            <w:tcW w:w="964" w:type="dxa"/>
          </w:tcPr>
          <w:p w14:paraId="072D1444" w14:textId="565129DF" w:rsidR="00B62594" w:rsidRPr="00B62594" w:rsidRDefault="00B62594" w:rsidP="00A254DD">
            <w:pPr>
              <w:pStyle w:val="UtilComTabletext"/>
              <w:tabs>
                <w:tab w:val="num" w:pos="522"/>
                <w:tab w:val="left" w:pos="993"/>
              </w:tabs>
              <w:ind w:left="522" w:hanging="450"/>
              <w:jc w:val="right"/>
              <w:rPr>
                <w:b/>
              </w:rPr>
            </w:pPr>
            <w:r w:rsidRPr="00B62594">
              <w:rPr>
                <w:b/>
              </w:rPr>
              <w:t>-</w:t>
            </w:r>
            <w:r w:rsidR="00A82507">
              <w:rPr>
                <w:b/>
              </w:rPr>
              <w:t xml:space="preserve"> </w:t>
            </w:r>
            <w:r w:rsidR="00A254DD">
              <w:rPr>
                <w:b/>
              </w:rPr>
              <w:t>8</w:t>
            </w:r>
            <w:r w:rsidRPr="00B62594">
              <w:rPr>
                <w:b/>
              </w:rPr>
              <w:t>.00</w:t>
            </w:r>
          </w:p>
        </w:tc>
        <w:tc>
          <w:tcPr>
            <w:tcW w:w="964" w:type="dxa"/>
          </w:tcPr>
          <w:p w14:paraId="676F2614" w14:textId="77D5D92C" w:rsidR="00B62594" w:rsidRPr="00B62594" w:rsidRDefault="00B62594" w:rsidP="0055417A">
            <w:pPr>
              <w:pStyle w:val="UtilComTabletext"/>
              <w:tabs>
                <w:tab w:val="num" w:pos="522"/>
                <w:tab w:val="left" w:pos="993"/>
              </w:tabs>
              <w:ind w:left="522" w:hanging="450"/>
              <w:jc w:val="right"/>
              <w:rPr>
                <w:b/>
              </w:rPr>
            </w:pPr>
            <w:r w:rsidRPr="00B62594">
              <w:rPr>
                <w:b/>
              </w:rPr>
              <w:t>-</w:t>
            </w:r>
            <w:r w:rsidR="00A82507">
              <w:rPr>
                <w:b/>
              </w:rPr>
              <w:t xml:space="preserve"> </w:t>
            </w:r>
            <w:r w:rsidRPr="00B62594">
              <w:rPr>
                <w:b/>
              </w:rPr>
              <w:t>3.00</w:t>
            </w:r>
          </w:p>
        </w:tc>
        <w:tc>
          <w:tcPr>
            <w:tcW w:w="964" w:type="dxa"/>
          </w:tcPr>
          <w:p w14:paraId="2E14C201" w14:textId="77777777" w:rsidR="00B62594" w:rsidRPr="00B62594" w:rsidRDefault="00B62594" w:rsidP="000134C4">
            <w:pPr>
              <w:pStyle w:val="UtilComTabletext"/>
              <w:tabs>
                <w:tab w:val="num" w:pos="522"/>
                <w:tab w:val="left" w:pos="993"/>
              </w:tabs>
              <w:ind w:left="522" w:hanging="450"/>
              <w:jc w:val="right"/>
              <w:rPr>
                <w:b/>
              </w:rPr>
            </w:pPr>
            <w:r w:rsidRPr="00B62594">
              <w:rPr>
                <w:b/>
              </w:rPr>
              <w:t>2.00</w:t>
            </w:r>
          </w:p>
        </w:tc>
        <w:tc>
          <w:tcPr>
            <w:tcW w:w="964" w:type="dxa"/>
          </w:tcPr>
          <w:p w14:paraId="6D637A0D" w14:textId="77777777" w:rsidR="00B62594" w:rsidRPr="00B62594" w:rsidRDefault="00B62594" w:rsidP="00F163D5">
            <w:pPr>
              <w:pStyle w:val="UtilComTabletext"/>
              <w:tabs>
                <w:tab w:val="num" w:pos="522"/>
                <w:tab w:val="left" w:pos="993"/>
              </w:tabs>
              <w:ind w:left="522" w:hanging="450"/>
              <w:jc w:val="right"/>
              <w:rPr>
                <w:b/>
              </w:rPr>
            </w:pPr>
            <w:r w:rsidRPr="00B62594">
              <w:rPr>
                <w:b/>
              </w:rPr>
              <w:t>2.00</w:t>
            </w:r>
          </w:p>
        </w:tc>
        <w:tc>
          <w:tcPr>
            <w:tcW w:w="1021" w:type="dxa"/>
          </w:tcPr>
          <w:p w14:paraId="33838B32" w14:textId="77777777" w:rsidR="00B62594" w:rsidRPr="00B62594" w:rsidRDefault="00B62594" w:rsidP="00F163D5">
            <w:pPr>
              <w:pStyle w:val="UtilComTabletext"/>
              <w:tabs>
                <w:tab w:val="num" w:pos="522"/>
                <w:tab w:val="left" w:pos="993"/>
              </w:tabs>
              <w:ind w:left="522" w:hanging="450"/>
              <w:jc w:val="right"/>
              <w:rPr>
                <w:b/>
              </w:rPr>
            </w:pPr>
          </w:p>
        </w:tc>
      </w:tr>
    </w:tbl>
    <w:p w14:paraId="7E670FEB" w14:textId="02C02D14" w:rsidR="00AB1AFD" w:rsidRDefault="00AB1AFD" w:rsidP="00881921">
      <w:pPr>
        <w:pStyle w:val="UtilComReferenceSource"/>
        <w:spacing w:after="0"/>
        <w:rPr>
          <w:lang w:val="en-AU"/>
        </w:rPr>
      </w:pPr>
      <w:r>
        <w:rPr>
          <w:lang w:val="en-AU"/>
        </w:rPr>
        <w:t xml:space="preserve">Source: Utilities Commission, NTRM </w:t>
      </w:r>
      <w:r>
        <w:rPr>
          <w:lang w:val="en-AU"/>
        </w:rPr>
        <w:br/>
      </w:r>
      <w:r w:rsidR="00BA7FAD" w:rsidRPr="00BB4311">
        <w:rPr>
          <w:rFonts w:cs="Arial"/>
          <w:vertAlign w:val="superscript"/>
          <w:lang w:val="en-AU"/>
        </w:rPr>
        <w:t>(a)</w:t>
      </w:r>
      <w:r w:rsidR="00BA7FAD">
        <w:rPr>
          <w:lang w:val="en-AU"/>
        </w:rPr>
        <w:t xml:space="preserve"> Operating and maintenance expenditure includes an allowance for debt raising costs</w:t>
      </w:r>
      <w:r w:rsidR="00BA7FAD" w:rsidRPr="004A7FDA">
        <w:rPr>
          <w:lang w:val="en-AU"/>
        </w:rPr>
        <w:t>.</w:t>
      </w:r>
      <w:r w:rsidR="00BA7FAD" w:rsidRPr="004B63D8">
        <w:rPr>
          <w:rFonts w:cs="Arial"/>
          <w:lang w:val="en-AU"/>
        </w:rPr>
        <w:t xml:space="preserve"> </w:t>
      </w:r>
      <w:r w:rsidR="00BA7FAD">
        <w:rPr>
          <w:rFonts w:cs="Arial"/>
          <w:lang w:val="en-AU"/>
        </w:rPr>
        <w:br/>
      </w:r>
      <w:r w:rsidRPr="00BB4311">
        <w:rPr>
          <w:rFonts w:cs="Arial"/>
          <w:vertAlign w:val="superscript"/>
          <w:lang w:val="en-AU"/>
        </w:rPr>
        <w:t>(</w:t>
      </w:r>
      <w:r w:rsidR="00BA7FAD" w:rsidRPr="00BB4311">
        <w:rPr>
          <w:rFonts w:cs="Arial"/>
          <w:vertAlign w:val="superscript"/>
          <w:lang w:val="en-AU"/>
        </w:rPr>
        <w:t>b</w:t>
      </w:r>
      <w:r w:rsidRPr="00BB4311">
        <w:rPr>
          <w:rFonts w:cs="Arial"/>
          <w:vertAlign w:val="superscript"/>
          <w:lang w:val="en-AU"/>
        </w:rPr>
        <w:t>)</w:t>
      </w:r>
      <w:r w:rsidR="00E36181">
        <w:rPr>
          <w:lang w:val="en-AU"/>
        </w:rPr>
        <w:t xml:space="preserve"> </w:t>
      </w:r>
      <w:r w:rsidRPr="004A7FDA">
        <w:rPr>
          <w:lang w:val="en-AU"/>
        </w:rPr>
        <w:t>Negative values for X indicate real revenue increases under the CPI</w:t>
      </w:r>
      <w:r w:rsidR="00A254DD">
        <w:rPr>
          <w:lang w:val="en-AU"/>
        </w:rPr>
        <w:t xml:space="preserve"> minus </w:t>
      </w:r>
      <w:r w:rsidRPr="004A7FDA">
        <w:rPr>
          <w:lang w:val="en-AU"/>
        </w:rPr>
        <w:t>X formula.</w:t>
      </w:r>
    </w:p>
    <w:p w14:paraId="39FBF28F" w14:textId="12A0744C" w:rsidR="00881921" w:rsidRDefault="00881921" w:rsidP="00881921">
      <w:pPr>
        <w:pStyle w:val="UtilComReferenceSource"/>
        <w:spacing w:before="0"/>
        <w:rPr>
          <w:lang w:val="en-AU"/>
        </w:rPr>
      </w:pPr>
      <w:r w:rsidRPr="00881921">
        <w:rPr>
          <w:color w:val="000000" w:themeColor="text1"/>
          <w:vertAlign w:val="superscript"/>
        </w:rPr>
        <w:t>(c)</w:t>
      </w:r>
      <w:r>
        <w:rPr>
          <w:color w:val="000000" w:themeColor="text1"/>
          <w:vertAlign w:val="superscript"/>
        </w:rPr>
        <w:t xml:space="preserve">  </w:t>
      </w:r>
      <w:r w:rsidRPr="00881921">
        <w:rPr>
          <w:lang w:val="en-AU"/>
        </w:rPr>
        <w:t xml:space="preserve">Lower than </w:t>
      </w:r>
      <w:r>
        <w:rPr>
          <w:lang w:val="en-AU"/>
        </w:rPr>
        <w:t xml:space="preserve">PWC Networks’ revised regulatory proposal due to application of a lower WACC. </w:t>
      </w:r>
    </w:p>
    <w:p w14:paraId="34D03FA9" w14:textId="01D5B465" w:rsidR="00EC0004" w:rsidRPr="00D624BF" w:rsidRDefault="00EC0004" w:rsidP="00EC0004">
      <w:pPr>
        <w:pStyle w:val="UtilComHeading3"/>
        <w:rPr>
          <w:lang w:val="en-AU"/>
        </w:rPr>
      </w:pPr>
      <w:bookmarkStart w:id="20" w:name="_Toc385241437"/>
      <w:r w:rsidRPr="00D624BF">
        <w:rPr>
          <w:lang w:val="en-AU"/>
        </w:rPr>
        <w:t>Capital contributions principles and methods statement (refer Chapter 1</w:t>
      </w:r>
      <w:r w:rsidR="00551AEE" w:rsidRPr="00D624BF">
        <w:rPr>
          <w:lang w:val="en-AU"/>
        </w:rPr>
        <w:t>5</w:t>
      </w:r>
      <w:r w:rsidRPr="00D624BF">
        <w:rPr>
          <w:lang w:val="en-AU"/>
        </w:rPr>
        <w:t xml:space="preserve"> of this document)</w:t>
      </w:r>
    </w:p>
    <w:p w14:paraId="0E6A4FB3" w14:textId="5B813F7E" w:rsidR="00551AEE" w:rsidRPr="00D624BF" w:rsidRDefault="00551AEE" w:rsidP="00551AEE">
      <w:pPr>
        <w:pStyle w:val="NumberLevel2"/>
        <w:numPr>
          <w:ilvl w:val="1"/>
          <w:numId w:val="4"/>
        </w:numPr>
        <w:tabs>
          <w:tab w:val="num" w:pos="709"/>
        </w:tabs>
        <w:ind w:left="709" w:hanging="709"/>
        <w:rPr>
          <w:lang w:val="en-AU"/>
        </w:rPr>
      </w:pPr>
      <w:r w:rsidRPr="00D624BF">
        <w:rPr>
          <w:lang w:val="en-AU"/>
        </w:rPr>
        <w:t xml:space="preserve">As part of its revised regulatory proposal, PWC Networks submitted a </w:t>
      </w:r>
      <w:r w:rsidR="00CB3F0D" w:rsidRPr="00D624BF">
        <w:rPr>
          <w:lang w:val="en-AU"/>
        </w:rPr>
        <w:t xml:space="preserve">revised </w:t>
      </w:r>
      <w:r w:rsidRPr="00D624BF">
        <w:rPr>
          <w:lang w:val="en-AU"/>
        </w:rPr>
        <w:t xml:space="preserve">draft </w:t>
      </w:r>
      <w:r w:rsidR="00F97697" w:rsidRPr="00D624BF">
        <w:rPr>
          <w:lang w:val="en-AU"/>
        </w:rPr>
        <w:t>NCCP, setting out the principles and methods for establishing capital contributions,</w:t>
      </w:r>
      <w:r w:rsidRPr="00D624BF">
        <w:rPr>
          <w:lang w:val="en-AU"/>
        </w:rPr>
        <w:t xml:space="preserve"> amended in accordance with the Commission’s draft decision. </w:t>
      </w:r>
    </w:p>
    <w:p w14:paraId="3426F33D" w14:textId="5D340CBF" w:rsidR="00EC0004" w:rsidRPr="00D624BF" w:rsidRDefault="00551AEE" w:rsidP="00551AEE">
      <w:pPr>
        <w:pStyle w:val="NumberLevel2"/>
        <w:numPr>
          <w:ilvl w:val="1"/>
          <w:numId w:val="4"/>
        </w:numPr>
        <w:tabs>
          <w:tab w:val="num" w:pos="709"/>
        </w:tabs>
        <w:ind w:left="709" w:hanging="709"/>
        <w:rPr>
          <w:lang w:val="en-AU"/>
        </w:rPr>
      </w:pPr>
      <w:r w:rsidRPr="00D624BF">
        <w:rPr>
          <w:lang w:val="en-AU"/>
        </w:rPr>
        <w:t xml:space="preserve">The Commission approves PWC Networks’ capital contribution principles and methods statement for use from 1 July 2014 in accordance with clause 81(3) of the </w:t>
      </w:r>
      <w:r w:rsidR="00FB2EC5" w:rsidRPr="00D624BF">
        <w:rPr>
          <w:lang w:val="en-AU"/>
        </w:rPr>
        <w:t>Network Access Code</w:t>
      </w:r>
      <w:r w:rsidR="00EC0004" w:rsidRPr="00D624BF">
        <w:rPr>
          <w:lang w:val="en-AU"/>
        </w:rPr>
        <w:t>.</w:t>
      </w:r>
    </w:p>
    <w:p w14:paraId="554E3184" w14:textId="7E762D6D" w:rsidR="00EC0004" w:rsidRPr="00D624BF" w:rsidRDefault="00551AEE" w:rsidP="00EC0004">
      <w:pPr>
        <w:pStyle w:val="UtilComHeading3"/>
        <w:rPr>
          <w:lang w:val="en-AU"/>
        </w:rPr>
      </w:pPr>
      <w:r w:rsidRPr="00D624BF">
        <w:rPr>
          <w:lang w:val="en-AU"/>
        </w:rPr>
        <w:t xml:space="preserve">Network pricing principles and methods statements and indicative pricing proposal </w:t>
      </w:r>
      <w:r w:rsidR="00EC0004" w:rsidRPr="00D624BF">
        <w:rPr>
          <w:lang w:val="en-AU"/>
        </w:rPr>
        <w:t>(refer Chapter 1</w:t>
      </w:r>
      <w:r w:rsidRPr="00D624BF">
        <w:rPr>
          <w:lang w:val="en-AU"/>
        </w:rPr>
        <w:t>6</w:t>
      </w:r>
      <w:r w:rsidR="00EC0004" w:rsidRPr="00D624BF">
        <w:rPr>
          <w:lang w:val="en-AU"/>
        </w:rPr>
        <w:t xml:space="preserve"> of this document)</w:t>
      </w:r>
    </w:p>
    <w:p w14:paraId="2422741F" w14:textId="76195B00" w:rsidR="00AE72B5" w:rsidRPr="00D624BF" w:rsidRDefault="00AE72B5" w:rsidP="00AE72B5">
      <w:pPr>
        <w:pStyle w:val="NumberLevel2"/>
        <w:numPr>
          <w:ilvl w:val="1"/>
          <w:numId w:val="5"/>
        </w:numPr>
        <w:ind w:left="709" w:hanging="709"/>
        <w:rPr>
          <w:lang w:val="en-AU"/>
        </w:rPr>
      </w:pPr>
      <w:r w:rsidRPr="00D624BF">
        <w:rPr>
          <w:lang w:val="en-AU"/>
        </w:rPr>
        <w:t xml:space="preserve">As part of its revised regulatory proposal, PWC Networks submitted a revised draft </w:t>
      </w:r>
      <w:r w:rsidR="00653F13" w:rsidRPr="00D624BF">
        <w:rPr>
          <w:lang w:val="en-AU"/>
        </w:rPr>
        <w:t>NPPS</w:t>
      </w:r>
      <w:r w:rsidRPr="00D624BF">
        <w:rPr>
          <w:lang w:val="en-AU"/>
        </w:rPr>
        <w:t xml:space="preserve"> and indicative pricing proposal amended in accordance with the Commission’s draft decision. </w:t>
      </w:r>
    </w:p>
    <w:p w14:paraId="141AF914" w14:textId="631CD594" w:rsidR="00AE72B5" w:rsidRPr="00D624BF" w:rsidRDefault="00AE72B5" w:rsidP="00AE72B5">
      <w:pPr>
        <w:pStyle w:val="NumberLevel2"/>
        <w:numPr>
          <w:ilvl w:val="1"/>
          <w:numId w:val="5"/>
        </w:numPr>
        <w:ind w:left="709" w:hanging="709"/>
        <w:rPr>
          <w:lang w:val="en-AU"/>
        </w:rPr>
      </w:pPr>
      <w:r w:rsidRPr="00D624BF">
        <w:rPr>
          <w:lang w:val="en-AU"/>
        </w:rPr>
        <w:t>The Commission is unable to approve PWC Networks</w:t>
      </w:r>
      <w:r w:rsidR="00653F13" w:rsidRPr="00D624BF">
        <w:rPr>
          <w:lang w:val="en-AU"/>
        </w:rPr>
        <w:t>’</w:t>
      </w:r>
      <w:r w:rsidRPr="00D624BF">
        <w:rPr>
          <w:lang w:val="en-AU"/>
        </w:rPr>
        <w:t xml:space="preserve"> </w:t>
      </w:r>
      <w:r w:rsidR="00653F13" w:rsidRPr="00D624BF">
        <w:rPr>
          <w:lang w:val="en-AU"/>
        </w:rPr>
        <w:t>NPPS</w:t>
      </w:r>
      <w:r w:rsidRPr="00D624BF">
        <w:rPr>
          <w:lang w:val="en-AU"/>
        </w:rPr>
        <w:t xml:space="preserve"> at this time as the draft </w:t>
      </w:r>
      <w:r w:rsidR="00653F13" w:rsidRPr="00D624BF">
        <w:rPr>
          <w:lang w:val="en-AU"/>
        </w:rPr>
        <w:t>NPPS</w:t>
      </w:r>
      <w:r w:rsidRPr="00D624BF">
        <w:rPr>
          <w:lang w:val="en-AU"/>
        </w:rPr>
        <w:t xml:space="preserve"> may require further amendment following review of PWC Networks</w:t>
      </w:r>
      <w:r w:rsidR="00881921">
        <w:rPr>
          <w:lang w:val="en-AU"/>
        </w:rPr>
        <w:t>’</w:t>
      </w:r>
      <w:r w:rsidRPr="00D624BF">
        <w:rPr>
          <w:lang w:val="en-AU"/>
        </w:rPr>
        <w:t xml:space="preserve"> Cost of Supply </w:t>
      </w:r>
      <w:r w:rsidR="00881921">
        <w:rPr>
          <w:lang w:val="en-AU"/>
        </w:rPr>
        <w:t>M</w:t>
      </w:r>
      <w:r w:rsidRPr="00D624BF">
        <w:rPr>
          <w:lang w:val="en-AU"/>
        </w:rPr>
        <w:t xml:space="preserve">odel. The Commission will consider the draft </w:t>
      </w:r>
      <w:r w:rsidR="00653F13" w:rsidRPr="00D624BF">
        <w:rPr>
          <w:lang w:val="en-AU"/>
        </w:rPr>
        <w:t>NPPS</w:t>
      </w:r>
      <w:r w:rsidRPr="00D624BF">
        <w:rPr>
          <w:lang w:val="en-AU"/>
        </w:rPr>
        <w:t xml:space="preserve"> when PWC Networks </w:t>
      </w:r>
      <w:r w:rsidR="00441CE6">
        <w:rPr>
          <w:lang w:val="en-AU"/>
        </w:rPr>
        <w:t>re</w:t>
      </w:r>
      <w:r w:rsidRPr="00D624BF">
        <w:rPr>
          <w:lang w:val="en-AU"/>
        </w:rPr>
        <w:t xml:space="preserve">submits it with its proposed reference tariffs for standard network access </w:t>
      </w:r>
      <w:r w:rsidR="00F709A9">
        <w:rPr>
          <w:lang w:val="en-AU"/>
        </w:rPr>
        <w:t>services</w:t>
      </w:r>
      <w:r w:rsidR="00F709A9" w:rsidRPr="00D624BF">
        <w:rPr>
          <w:lang w:val="en-AU"/>
        </w:rPr>
        <w:t xml:space="preserve"> </w:t>
      </w:r>
      <w:r w:rsidR="00441CE6">
        <w:rPr>
          <w:lang w:val="en-AU"/>
        </w:rPr>
        <w:t xml:space="preserve">which are </w:t>
      </w:r>
      <w:r w:rsidRPr="00D624BF">
        <w:rPr>
          <w:lang w:val="en-AU"/>
        </w:rPr>
        <w:t>due by 1 May 2014.</w:t>
      </w:r>
    </w:p>
    <w:p w14:paraId="52DA9E36" w14:textId="77777777" w:rsidR="00AB1AFD" w:rsidRDefault="00AB1AFD" w:rsidP="00AB1AFD">
      <w:pPr>
        <w:pStyle w:val="UtilComHeading2"/>
      </w:pPr>
      <w:bookmarkStart w:id="21" w:name="_Toc386012989"/>
      <w:r>
        <w:t>Next Steps</w:t>
      </w:r>
      <w:bookmarkEnd w:id="20"/>
      <w:bookmarkEnd w:id="21"/>
    </w:p>
    <w:p w14:paraId="27F4506A" w14:textId="5402F4BA" w:rsidR="00AB1AFD" w:rsidRDefault="001257D5" w:rsidP="009A0EBC">
      <w:pPr>
        <w:pStyle w:val="NumberLevel2"/>
        <w:numPr>
          <w:ilvl w:val="1"/>
          <w:numId w:val="4"/>
        </w:numPr>
        <w:tabs>
          <w:tab w:val="left" w:pos="709"/>
        </w:tabs>
        <w:ind w:left="709" w:hanging="709"/>
        <w:rPr>
          <w:lang w:val="en-AU"/>
        </w:rPr>
      </w:pPr>
      <w:r>
        <w:rPr>
          <w:lang w:val="en-AU"/>
        </w:rPr>
        <w:t xml:space="preserve">In accordance with </w:t>
      </w:r>
      <w:r w:rsidR="00B6231C">
        <w:rPr>
          <w:lang w:val="en-AU"/>
        </w:rPr>
        <w:t>clause </w:t>
      </w:r>
      <w:r>
        <w:rPr>
          <w:lang w:val="en-AU"/>
        </w:rPr>
        <w:t xml:space="preserve">78(1) of the </w:t>
      </w:r>
      <w:r w:rsidR="00FB2EC5">
        <w:rPr>
          <w:lang w:val="en-AU"/>
        </w:rPr>
        <w:t>Network Access Code</w:t>
      </w:r>
      <w:r w:rsidR="00B6231C">
        <w:rPr>
          <w:lang w:val="en-AU"/>
        </w:rPr>
        <w:t>,</w:t>
      </w:r>
      <w:r>
        <w:rPr>
          <w:lang w:val="en-AU"/>
        </w:rPr>
        <w:t xml:space="preserve"> </w:t>
      </w:r>
      <w:r w:rsidR="00B6231C">
        <w:rPr>
          <w:lang w:val="en-AU"/>
        </w:rPr>
        <w:t>PWC </w:t>
      </w:r>
      <w:r w:rsidR="00AB1AFD">
        <w:rPr>
          <w:lang w:val="en-AU"/>
        </w:rPr>
        <w:t xml:space="preserve">Networks </w:t>
      </w:r>
      <w:r>
        <w:rPr>
          <w:lang w:val="en-AU"/>
        </w:rPr>
        <w:t xml:space="preserve">must submit a statement setting out its proposed reference tariffs for the standard network access services it will be supplying </w:t>
      </w:r>
      <w:r w:rsidR="00CB3F0D">
        <w:rPr>
          <w:lang w:val="en-AU"/>
        </w:rPr>
        <w:t>during the 2014-15 regulatory year, to</w:t>
      </w:r>
      <w:r>
        <w:rPr>
          <w:lang w:val="en-AU"/>
        </w:rPr>
        <w:t xml:space="preserve"> apply</w:t>
      </w:r>
      <w:r w:rsidR="00AB1AFD">
        <w:rPr>
          <w:lang w:val="en-AU"/>
        </w:rPr>
        <w:t xml:space="preserve"> from </w:t>
      </w:r>
      <w:r w:rsidR="00B6231C">
        <w:rPr>
          <w:lang w:val="en-AU"/>
        </w:rPr>
        <w:t>1 July </w:t>
      </w:r>
      <w:r w:rsidR="00AB1AFD">
        <w:rPr>
          <w:lang w:val="en-AU"/>
        </w:rPr>
        <w:t>2014</w:t>
      </w:r>
      <w:r>
        <w:rPr>
          <w:lang w:val="en-AU"/>
        </w:rPr>
        <w:t xml:space="preserve">, at least </w:t>
      </w:r>
      <w:r w:rsidR="00B6231C">
        <w:rPr>
          <w:lang w:val="en-AU"/>
        </w:rPr>
        <w:t>60 </w:t>
      </w:r>
      <w:r>
        <w:rPr>
          <w:lang w:val="en-AU"/>
        </w:rPr>
        <w:t xml:space="preserve">days prior to the start of the </w:t>
      </w:r>
      <w:r w:rsidR="00CB3F0D">
        <w:rPr>
          <w:lang w:val="en-AU"/>
        </w:rPr>
        <w:t xml:space="preserve">2014-15 regulatory </w:t>
      </w:r>
      <w:r>
        <w:rPr>
          <w:lang w:val="en-AU"/>
        </w:rPr>
        <w:t>year</w:t>
      </w:r>
      <w:r w:rsidR="002237F4">
        <w:rPr>
          <w:lang w:val="en-AU"/>
        </w:rPr>
        <w:t xml:space="preserve"> (</w:t>
      </w:r>
      <w:r>
        <w:rPr>
          <w:lang w:val="en-AU"/>
        </w:rPr>
        <w:t>that is</w:t>
      </w:r>
      <w:r w:rsidR="00F97697">
        <w:rPr>
          <w:lang w:val="en-AU"/>
        </w:rPr>
        <w:t>,</w:t>
      </w:r>
      <w:r>
        <w:rPr>
          <w:lang w:val="en-AU"/>
        </w:rPr>
        <w:t xml:space="preserve"> by Thursday </w:t>
      </w:r>
      <w:r w:rsidR="00B6231C">
        <w:rPr>
          <w:lang w:val="en-AU"/>
        </w:rPr>
        <w:t>1 May </w:t>
      </w:r>
      <w:r>
        <w:rPr>
          <w:lang w:val="en-AU"/>
        </w:rPr>
        <w:t>2014</w:t>
      </w:r>
      <w:r w:rsidR="002237F4">
        <w:rPr>
          <w:lang w:val="en-AU"/>
        </w:rPr>
        <w:t>)</w:t>
      </w:r>
      <w:r w:rsidR="00AB1AFD">
        <w:rPr>
          <w:lang w:val="en-AU"/>
        </w:rPr>
        <w:t>.</w:t>
      </w:r>
    </w:p>
    <w:p w14:paraId="62BDC155" w14:textId="75592CB2" w:rsidR="001257D5" w:rsidRDefault="001257D5" w:rsidP="009A0EBC">
      <w:pPr>
        <w:pStyle w:val="NumberLevel2"/>
        <w:numPr>
          <w:ilvl w:val="1"/>
          <w:numId w:val="4"/>
        </w:numPr>
        <w:tabs>
          <w:tab w:val="left" w:pos="709"/>
        </w:tabs>
        <w:ind w:left="709" w:hanging="709"/>
        <w:rPr>
          <w:lang w:val="en-AU"/>
        </w:rPr>
      </w:pPr>
      <w:r>
        <w:rPr>
          <w:lang w:val="en-AU"/>
        </w:rPr>
        <w:t xml:space="preserve">The Commission must approve the </w:t>
      </w:r>
      <w:r w:rsidR="00F709A9">
        <w:rPr>
          <w:lang w:val="en-AU"/>
        </w:rPr>
        <w:t xml:space="preserve">reference </w:t>
      </w:r>
      <w:r>
        <w:rPr>
          <w:lang w:val="en-AU"/>
        </w:rPr>
        <w:t>tariff</w:t>
      </w:r>
      <w:r w:rsidR="00881921">
        <w:rPr>
          <w:lang w:val="en-AU"/>
        </w:rPr>
        <w:t>s</w:t>
      </w:r>
      <w:r>
        <w:rPr>
          <w:lang w:val="en-AU"/>
        </w:rPr>
        <w:t xml:space="preserve"> and charges unless</w:t>
      </w:r>
      <w:r w:rsidR="00E36181">
        <w:rPr>
          <w:lang w:val="en-AU"/>
        </w:rPr>
        <w:t>,</w:t>
      </w:r>
      <w:r>
        <w:rPr>
          <w:lang w:val="en-AU"/>
        </w:rPr>
        <w:t xml:space="preserve"> in the opinion of the Commission, the </w:t>
      </w:r>
      <w:r w:rsidR="00F709A9">
        <w:rPr>
          <w:lang w:val="en-AU"/>
        </w:rPr>
        <w:t xml:space="preserve">reference </w:t>
      </w:r>
      <w:r>
        <w:rPr>
          <w:lang w:val="en-AU"/>
        </w:rPr>
        <w:t xml:space="preserve">tariffs and charges would result in </w:t>
      </w:r>
      <w:r w:rsidR="00B6231C">
        <w:rPr>
          <w:lang w:val="en-AU"/>
        </w:rPr>
        <w:t>PWC </w:t>
      </w:r>
      <w:r>
        <w:rPr>
          <w:lang w:val="en-AU"/>
        </w:rPr>
        <w:t xml:space="preserve">Networks not complying with the requirements of the </w:t>
      </w:r>
      <w:r w:rsidR="00FB2EC5">
        <w:rPr>
          <w:lang w:val="en-AU"/>
        </w:rPr>
        <w:t>Network Access Code</w:t>
      </w:r>
      <w:r>
        <w:rPr>
          <w:lang w:val="en-AU"/>
        </w:rPr>
        <w:t xml:space="preserve">. If the Commission does not advise </w:t>
      </w:r>
      <w:r w:rsidR="00B6231C">
        <w:rPr>
          <w:lang w:val="en-AU"/>
        </w:rPr>
        <w:t>PWC </w:t>
      </w:r>
      <w:r>
        <w:rPr>
          <w:lang w:val="en-AU"/>
        </w:rPr>
        <w:t xml:space="preserve">Networks within </w:t>
      </w:r>
      <w:r w:rsidR="00B6231C">
        <w:rPr>
          <w:lang w:val="en-AU"/>
        </w:rPr>
        <w:t>30 </w:t>
      </w:r>
      <w:r>
        <w:rPr>
          <w:lang w:val="en-AU"/>
        </w:rPr>
        <w:t xml:space="preserve">days of receiving </w:t>
      </w:r>
      <w:r w:rsidR="001B7115">
        <w:rPr>
          <w:lang w:val="en-AU"/>
        </w:rPr>
        <w:t xml:space="preserve">the statement that it disapproves the </w:t>
      </w:r>
      <w:r w:rsidR="00F709A9">
        <w:rPr>
          <w:lang w:val="en-AU"/>
        </w:rPr>
        <w:t xml:space="preserve">reference </w:t>
      </w:r>
      <w:r w:rsidR="001B7115">
        <w:rPr>
          <w:lang w:val="en-AU"/>
        </w:rPr>
        <w:t xml:space="preserve">tariffs and charges, then the Commission is taken to have approved </w:t>
      </w:r>
      <w:r w:rsidR="00441CE6">
        <w:rPr>
          <w:lang w:val="en-AU"/>
        </w:rPr>
        <w:t xml:space="preserve">PWC Networks’ proposed </w:t>
      </w:r>
      <w:r w:rsidR="00F709A9">
        <w:rPr>
          <w:lang w:val="en-AU"/>
        </w:rPr>
        <w:t xml:space="preserve">reference </w:t>
      </w:r>
      <w:r w:rsidR="001B7115">
        <w:rPr>
          <w:lang w:val="en-AU"/>
        </w:rPr>
        <w:t>tariffs and charges.</w:t>
      </w:r>
      <w:r>
        <w:rPr>
          <w:lang w:val="en-AU"/>
        </w:rPr>
        <w:t xml:space="preserve"> </w:t>
      </w:r>
    </w:p>
    <w:p w14:paraId="24AEB704" w14:textId="0FB4B848" w:rsidR="000745B7" w:rsidRDefault="000745B7">
      <w:pPr>
        <w:pStyle w:val="NumberLevel2"/>
        <w:numPr>
          <w:ilvl w:val="1"/>
          <w:numId w:val="4"/>
        </w:numPr>
        <w:tabs>
          <w:tab w:val="left" w:pos="709"/>
        </w:tabs>
        <w:ind w:left="709" w:hanging="709"/>
        <w:rPr>
          <w:lang w:val="en-AU"/>
        </w:rPr>
      </w:pPr>
      <w:r>
        <w:rPr>
          <w:lang w:val="en-AU"/>
        </w:rPr>
        <w:t xml:space="preserve">In requesting information to be satisfied that PWC Networks’ proposed </w:t>
      </w:r>
      <w:r w:rsidR="00F709A9">
        <w:rPr>
          <w:lang w:val="en-AU"/>
        </w:rPr>
        <w:t xml:space="preserve">reference </w:t>
      </w:r>
      <w:r>
        <w:rPr>
          <w:lang w:val="en-AU"/>
        </w:rPr>
        <w:t xml:space="preserve">tariffs and charges comply with the </w:t>
      </w:r>
      <w:r w:rsidR="00FB2EC5">
        <w:rPr>
          <w:lang w:val="en-AU"/>
        </w:rPr>
        <w:t>Network Access Code</w:t>
      </w:r>
      <w:r>
        <w:rPr>
          <w:lang w:val="en-AU"/>
        </w:rPr>
        <w:t xml:space="preserve">, </w:t>
      </w:r>
      <w:r w:rsidR="00F97697">
        <w:rPr>
          <w:lang w:val="en-AU"/>
        </w:rPr>
        <w:t>the Commission has the following authority</w:t>
      </w:r>
      <w:r>
        <w:rPr>
          <w:lang w:val="en-AU"/>
        </w:rPr>
        <w:t>:</w:t>
      </w:r>
    </w:p>
    <w:p w14:paraId="5DAFE5D3" w14:textId="6E8AE463" w:rsidR="000745B7" w:rsidRDefault="000745B7" w:rsidP="00CB3F0D">
      <w:pPr>
        <w:pStyle w:val="UtilComBulletText"/>
        <w:numPr>
          <w:ilvl w:val="0"/>
          <w:numId w:val="6"/>
        </w:numPr>
        <w:tabs>
          <w:tab w:val="clear" w:pos="964"/>
          <w:tab w:val="num" w:pos="1134"/>
        </w:tabs>
        <w:ind w:left="1134" w:hanging="425"/>
        <w:rPr>
          <w:lang w:val="en-AU"/>
        </w:rPr>
      </w:pPr>
      <w:r>
        <w:rPr>
          <w:lang w:val="en-AU"/>
        </w:rPr>
        <w:t xml:space="preserve">section 8 of the </w:t>
      </w:r>
      <w:r w:rsidR="00FB2EC5">
        <w:rPr>
          <w:lang w:val="en-AU"/>
        </w:rPr>
        <w:t>Network Access Code</w:t>
      </w:r>
      <w:r w:rsidR="00F97697">
        <w:rPr>
          <w:lang w:val="en-AU"/>
        </w:rPr>
        <w:t xml:space="preserve"> requires PWC Networks,</w:t>
      </w:r>
      <w:r>
        <w:rPr>
          <w:lang w:val="en-AU"/>
        </w:rPr>
        <w:t xml:space="preserve"> </w:t>
      </w:r>
      <w:r w:rsidR="005A6FD9">
        <w:rPr>
          <w:lang w:val="en-AU"/>
        </w:rPr>
        <w:t>at all times</w:t>
      </w:r>
      <w:r w:rsidR="00F97697">
        <w:rPr>
          <w:lang w:val="en-AU"/>
        </w:rPr>
        <w:t>, to</w:t>
      </w:r>
      <w:r>
        <w:rPr>
          <w:lang w:val="en-AU"/>
        </w:rPr>
        <w:t xml:space="preserve"> permit the Commission to have access to the accounts and records pertaining to a network access service that the Commission specifies are required for the purpose of making determinations under the </w:t>
      </w:r>
      <w:r w:rsidR="00F97697">
        <w:rPr>
          <w:lang w:val="en-AU"/>
        </w:rPr>
        <w:t xml:space="preserve">Network Access </w:t>
      </w:r>
      <w:r>
        <w:rPr>
          <w:lang w:val="en-AU"/>
        </w:rPr>
        <w:t>Code; and</w:t>
      </w:r>
    </w:p>
    <w:p w14:paraId="4010B388" w14:textId="420096D1" w:rsidR="000745B7" w:rsidRPr="000B465A" w:rsidRDefault="000745B7" w:rsidP="00CB3F0D">
      <w:pPr>
        <w:pStyle w:val="UtilComBulletText"/>
        <w:numPr>
          <w:ilvl w:val="0"/>
          <w:numId w:val="6"/>
        </w:numPr>
        <w:tabs>
          <w:tab w:val="clear" w:pos="964"/>
          <w:tab w:val="num" w:pos="1134"/>
        </w:tabs>
        <w:ind w:left="1134" w:hanging="425"/>
        <w:rPr>
          <w:lang w:val="en-AU"/>
        </w:rPr>
      </w:pPr>
      <w:r>
        <w:rPr>
          <w:lang w:val="en-AU"/>
        </w:rPr>
        <w:t xml:space="preserve">section 65(1) of the </w:t>
      </w:r>
      <w:r w:rsidR="00FB2EC5">
        <w:rPr>
          <w:lang w:val="en-AU"/>
        </w:rPr>
        <w:t>Network Access Code</w:t>
      </w:r>
      <w:r w:rsidR="00F97697">
        <w:rPr>
          <w:lang w:val="en-AU"/>
        </w:rPr>
        <w:t xml:space="preserve"> may be used by</w:t>
      </w:r>
      <w:r w:rsidR="00C67D5B">
        <w:rPr>
          <w:lang w:val="en-AU"/>
        </w:rPr>
        <w:t xml:space="preserve"> </w:t>
      </w:r>
      <w:r>
        <w:rPr>
          <w:lang w:val="en-AU"/>
        </w:rPr>
        <w:t xml:space="preserve">the Commission to </w:t>
      </w:r>
      <w:r w:rsidR="00F97697">
        <w:rPr>
          <w:lang w:val="en-AU"/>
        </w:rPr>
        <w:t xml:space="preserve">obtain </w:t>
      </w:r>
      <w:r w:rsidR="00C67D5B">
        <w:rPr>
          <w:lang w:val="en-AU"/>
        </w:rPr>
        <w:t>any</w:t>
      </w:r>
      <w:r>
        <w:rPr>
          <w:lang w:val="en-AU"/>
        </w:rPr>
        <w:t xml:space="preserve"> forecasts and estimates it requires to perform </w:t>
      </w:r>
      <w:r w:rsidR="00441CE6">
        <w:rPr>
          <w:lang w:val="en-AU"/>
        </w:rPr>
        <w:t xml:space="preserve">the </w:t>
      </w:r>
      <w:r>
        <w:rPr>
          <w:lang w:val="en-AU"/>
        </w:rPr>
        <w:t xml:space="preserve">functions of approving PWC Networks’ </w:t>
      </w:r>
      <w:r w:rsidR="007C3E80">
        <w:rPr>
          <w:lang w:val="en-AU"/>
        </w:rPr>
        <w:t>NPPS</w:t>
      </w:r>
      <w:r>
        <w:rPr>
          <w:lang w:val="en-AU"/>
        </w:rPr>
        <w:t xml:space="preserve"> and pricing schedules, and any other information that the </w:t>
      </w:r>
      <w:r w:rsidR="007C3E80">
        <w:rPr>
          <w:lang w:val="en-AU"/>
        </w:rPr>
        <w:t xml:space="preserve">Commission </w:t>
      </w:r>
      <w:r>
        <w:rPr>
          <w:lang w:val="en-AU"/>
        </w:rPr>
        <w:t>reasonably requires for the purpose of performing a function.</w:t>
      </w:r>
    </w:p>
    <w:p w14:paraId="5BC4471D" w14:textId="1107B612" w:rsidR="000745B7" w:rsidRPr="000745B7" w:rsidRDefault="007C3E80">
      <w:pPr>
        <w:pStyle w:val="NumberLevel2"/>
        <w:numPr>
          <w:ilvl w:val="1"/>
          <w:numId w:val="4"/>
        </w:numPr>
        <w:tabs>
          <w:tab w:val="left" w:pos="709"/>
        </w:tabs>
        <w:ind w:left="709" w:hanging="709"/>
        <w:rPr>
          <w:lang w:val="en-AU"/>
        </w:rPr>
      </w:pPr>
      <w:r w:rsidRPr="007C3E80">
        <w:rPr>
          <w:lang w:val="en-AU"/>
        </w:rPr>
        <w:t xml:space="preserve">In requesting information to be satisfied that PWC Networks’ proposed </w:t>
      </w:r>
      <w:r w:rsidR="00F709A9">
        <w:rPr>
          <w:lang w:val="en-AU"/>
        </w:rPr>
        <w:t xml:space="preserve">reference </w:t>
      </w:r>
      <w:r w:rsidRPr="007C3E80">
        <w:rPr>
          <w:lang w:val="en-AU"/>
        </w:rPr>
        <w:t>tariffs and charges comply with the Network Access Code,</w:t>
      </w:r>
      <w:r>
        <w:rPr>
          <w:lang w:val="en-AU"/>
        </w:rPr>
        <w:t xml:space="preserve"> </w:t>
      </w:r>
      <w:r w:rsidR="00C67D5B">
        <w:rPr>
          <w:lang w:val="en-AU"/>
        </w:rPr>
        <w:t xml:space="preserve">PWC Networks </w:t>
      </w:r>
      <w:r w:rsidR="00441CE6">
        <w:rPr>
          <w:lang w:val="en-AU"/>
        </w:rPr>
        <w:t xml:space="preserve">must </w:t>
      </w:r>
      <w:r w:rsidR="00C67D5B">
        <w:rPr>
          <w:lang w:val="en-AU"/>
        </w:rPr>
        <w:t xml:space="preserve">also comply with any request by the Commission to provide </w:t>
      </w:r>
      <w:r w:rsidR="000745B7" w:rsidRPr="000745B7">
        <w:rPr>
          <w:lang w:val="en-AU"/>
        </w:rPr>
        <w:t xml:space="preserve">information to substantiate </w:t>
      </w:r>
      <w:r w:rsidR="00441CE6">
        <w:rPr>
          <w:lang w:val="en-AU"/>
        </w:rPr>
        <w:t xml:space="preserve">its </w:t>
      </w:r>
      <w:r w:rsidR="000745B7" w:rsidRPr="000745B7">
        <w:rPr>
          <w:lang w:val="en-AU"/>
        </w:rPr>
        <w:t xml:space="preserve">compliance with the </w:t>
      </w:r>
      <w:r>
        <w:rPr>
          <w:lang w:val="en-AU"/>
        </w:rPr>
        <w:t xml:space="preserve">NPPS, prior to approval of the proposed </w:t>
      </w:r>
      <w:r w:rsidR="00F709A9">
        <w:rPr>
          <w:lang w:val="en-AU"/>
        </w:rPr>
        <w:t xml:space="preserve">reference </w:t>
      </w:r>
      <w:r>
        <w:rPr>
          <w:lang w:val="en-AU"/>
        </w:rPr>
        <w:t>tariffs and charges,</w:t>
      </w:r>
      <w:r w:rsidR="00C67D5B">
        <w:rPr>
          <w:lang w:val="en-AU"/>
        </w:rPr>
        <w:t xml:space="preserve"> under </w:t>
      </w:r>
      <w:r>
        <w:rPr>
          <w:lang w:val="en-AU"/>
        </w:rPr>
        <w:t>clause </w:t>
      </w:r>
      <w:r w:rsidR="00C67D5B">
        <w:rPr>
          <w:lang w:val="en-AU"/>
        </w:rPr>
        <w:t xml:space="preserve">22 of PWC Networks’ </w:t>
      </w:r>
      <w:r w:rsidR="00441CE6">
        <w:rPr>
          <w:lang w:val="en-AU"/>
        </w:rPr>
        <w:t>n</w:t>
      </w:r>
      <w:r w:rsidR="00C67D5B">
        <w:rPr>
          <w:lang w:val="en-AU"/>
        </w:rPr>
        <w:t xml:space="preserve">etwork </w:t>
      </w:r>
      <w:r w:rsidR="00441CE6">
        <w:rPr>
          <w:lang w:val="en-AU"/>
        </w:rPr>
        <w:t>l</w:t>
      </w:r>
      <w:r w:rsidR="00C67D5B">
        <w:rPr>
          <w:lang w:val="en-AU"/>
        </w:rPr>
        <w:t>icence</w:t>
      </w:r>
      <w:r w:rsidR="000745B7" w:rsidRPr="000745B7">
        <w:rPr>
          <w:lang w:val="en-AU"/>
        </w:rPr>
        <w:t>.</w:t>
      </w:r>
    </w:p>
    <w:p w14:paraId="13E91428" w14:textId="3A9FA4A0" w:rsidR="00B6231C" w:rsidRPr="00B6231C" w:rsidRDefault="00B6231C" w:rsidP="00B6231C">
      <w:pPr>
        <w:pStyle w:val="NumberLevel2"/>
        <w:numPr>
          <w:ilvl w:val="1"/>
          <w:numId w:val="4"/>
        </w:numPr>
        <w:tabs>
          <w:tab w:val="left" w:pos="709"/>
        </w:tabs>
        <w:ind w:left="709" w:hanging="709"/>
        <w:rPr>
          <w:lang w:val="en-AU"/>
        </w:rPr>
      </w:pPr>
      <w:r>
        <w:rPr>
          <w:lang w:val="en-AU"/>
        </w:rPr>
        <w:t xml:space="preserve">If the Commission does not approve the </w:t>
      </w:r>
      <w:r w:rsidR="00F709A9">
        <w:rPr>
          <w:lang w:val="en-AU"/>
        </w:rPr>
        <w:t xml:space="preserve">reference </w:t>
      </w:r>
      <w:r>
        <w:rPr>
          <w:lang w:val="en-AU"/>
        </w:rPr>
        <w:t xml:space="preserve">tariffs and charges, the </w:t>
      </w:r>
      <w:r w:rsidR="00F709A9">
        <w:rPr>
          <w:lang w:val="en-AU"/>
        </w:rPr>
        <w:t xml:space="preserve">reference </w:t>
      </w:r>
      <w:r>
        <w:rPr>
          <w:lang w:val="en-AU"/>
        </w:rPr>
        <w:t xml:space="preserve">tariffs and charges applying in the immediately preceding </w:t>
      </w:r>
      <w:r w:rsidR="00C67D5B">
        <w:rPr>
          <w:lang w:val="en-AU"/>
        </w:rPr>
        <w:t xml:space="preserve">regulatory </w:t>
      </w:r>
      <w:r>
        <w:rPr>
          <w:lang w:val="en-AU"/>
        </w:rPr>
        <w:t xml:space="preserve">year will apply until the Commission approves the new </w:t>
      </w:r>
      <w:r w:rsidR="00E23A17">
        <w:rPr>
          <w:lang w:val="en-AU"/>
        </w:rPr>
        <w:t xml:space="preserve">reference </w:t>
      </w:r>
      <w:r>
        <w:rPr>
          <w:lang w:val="en-AU"/>
        </w:rPr>
        <w:t>tariffs and charges.</w:t>
      </w:r>
    </w:p>
    <w:p w14:paraId="6FB6F63B" w14:textId="60F51D71" w:rsidR="001257D5" w:rsidRPr="001257D5" w:rsidRDefault="00B6231C" w:rsidP="009A0EBC">
      <w:pPr>
        <w:pStyle w:val="NumberLevel2"/>
        <w:numPr>
          <w:ilvl w:val="1"/>
          <w:numId w:val="4"/>
        </w:numPr>
        <w:tabs>
          <w:tab w:val="left" w:pos="709"/>
        </w:tabs>
        <w:ind w:left="709" w:hanging="709"/>
        <w:rPr>
          <w:lang w:val="en-AU"/>
        </w:rPr>
      </w:pPr>
      <w:r>
        <w:rPr>
          <w:lang w:val="en-AU"/>
        </w:rPr>
        <w:t>PWC </w:t>
      </w:r>
      <w:r w:rsidR="001257D5">
        <w:rPr>
          <w:lang w:val="en-AU"/>
        </w:rPr>
        <w:t>Networks must publish a pricing schedule</w:t>
      </w:r>
      <w:r w:rsidR="001B7115">
        <w:rPr>
          <w:lang w:val="en-AU"/>
        </w:rPr>
        <w:t xml:space="preserve">, incorporating any modifications that the Commission directs, at least </w:t>
      </w:r>
      <w:r>
        <w:rPr>
          <w:lang w:val="en-AU"/>
        </w:rPr>
        <w:t>30 </w:t>
      </w:r>
      <w:r w:rsidR="001B7115">
        <w:rPr>
          <w:lang w:val="en-AU"/>
        </w:rPr>
        <w:t>days before the</w:t>
      </w:r>
      <w:r>
        <w:rPr>
          <w:lang w:val="en-AU"/>
        </w:rPr>
        <w:t xml:space="preserve"> </w:t>
      </w:r>
      <w:r w:rsidR="00F709A9">
        <w:rPr>
          <w:lang w:val="en-AU"/>
        </w:rPr>
        <w:t xml:space="preserve">reference </w:t>
      </w:r>
      <w:r>
        <w:rPr>
          <w:lang w:val="en-AU"/>
        </w:rPr>
        <w:t>tariffs and charges are to take effect</w:t>
      </w:r>
      <w:r w:rsidR="001B7115">
        <w:rPr>
          <w:lang w:val="en-AU"/>
        </w:rPr>
        <w:t xml:space="preserve">. </w:t>
      </w:r>
    </w:p>
    <w:p w14:paraId="59111C02" w14:textId="77777777" w:rsidR="00A776F5" w:rsidRPr="00D51D4B" w:rsidRDefault="00A776F5" w:rsidP="00D51D4B">
      <w:pPr>
        <w:rPr>
          <w:lang w:val="en-AU"/>
        </w:rPr>
      </w:pPr>
    </w:p>
    <w:p w14:paraId="006C6C32" w14:textId="77777777" w:rsidR="006E3A87" w:rsidRPr="006E3A87" w:rsidRDefault="006E3A87" w:rsidP="006E3A87"/>
    <w:p w14:paraId="5A7F6A1E" w14:textId="77777777" w:rsidR="008C11DD" w:rsidRDefault="008C11DD" w:rsidP="008C11DD">
      <w:pPr>
        <w:sectPr w:rsidR="008C11DD" w:rsidSect="00A06487">
          <w:headerReference w:type="first" r:id="rId24"/>
          <w:pgSz w:w="11907" w:h="16840" w:code="9"/>
          <w:pgMar w:top="851" w:right="1134" w:bottom="1134" w:left="1701" w:header="567" w:footer="567" w:gutter="0"/>
          <w:pgNumType w:start="1"/>
          <w:cols w:space="720"/>
          <w:titlePg/>
        </w:sectPr>
      </w:pPr>
    </w:p>
    <w:tbl>
      <w:tblPr>
        <w:tblW w:w="0" w:type="auto"/>
        <w:tblLayout w:type="fixed"/>
        <w:tblLook w:val="01E0" w:firstRow="1" w:lastRow="1" w:firstColumn="1" w:lastColumn="1" w:noHBand="0" w:noVBand="0"/>
      </w:tblPr>
      <w:tblGrid>
        <w:gridCol w:w="9288"/>
      </w:tblGrid>
      <w:tr w:rsidR="00EF0D01" w14:paraId="3A42513E" w14:textId="77777777" w:rsidTr="001D53E7">
        <w:tc>
          <w:tcPr>
            <w:tcW w:w="9288" w:type="dxa"/>
          </w:tcPr>
          <w:p w14:paraId="6516E454" w14:textId="77777777" w:rsidR="00EF0D01" w:rsidRDefault="00EF0D01" w:rsidP="00EF320F">
            <w:pPr>
              <w:pStyle w:val="NumberLevel1"/>
              <w:pageBreakBefore/>
              <w:numPr>
                <w:ilvl w:val="0"/>
                <w:numId w:val="4"/>
              </w:numPr>
              <w:ind w:left="431" w:hanging="431"/>
            </w:pPr>
            <w:r>
              <w:br w:type="page"/>
            </w:r>
          </w:p>
        </w:tc>
      </w:tr>
      <w:tr w:rsidR="00EF0D01" w14:paraId="5E878C84" w14:textId="77777777" w:rsidTr="001D53E7">
        <w:tc>
          <w:tcPr>
            <w:tcW w:w="9288" w:type="dxa"/>
          </w:tcPr>
          <w:p w14:paraId="1D33927D" w14:textId="31E9BCB1" w:rsidR="00EF0D01" w:rsidRDefault="007F0074">
            <w:pPr>
              <w:pStyle w:val="UtilComChapterHeading"/>
              <w:outlineLvl w:val="0"/>
            </w:pPr>
            <w:bookmarkStart w:id="22" w:name="_Toc385241438"/>
            <w:bookmarkStart w:id="23" w:name="_Toc386012990"/>
            <w:r>
              <w:t xml:space="preserve">The </w:t>
            </w:r>
            <w:r w:rsidR="0056323D">
              <w:t xml:space="preserve">Regulatory </w:t>
            </w:r>
            <w:bookmarkEnd w:id="22"/>
            <w:r w:rsidR="0056323D">
              <w:t>Framework</w:t>
            </w:r>
            <w:bookmarkEnd w:id="23"/>
          </w:p>
        </w:tc>
      </w:tr>
    </w:tbl>
    <w:p w14:paraId="11268C42" w14:textId="77777777" w:rsidR="003B28CD" w:rsidRPr="004D52BF" w:rsidRDefault="009A3D86" w:rsidP="003B28CD">
      <w:pPr>
        <w:pStyle w:val="UtilComHeading2"/>
      </w:pPr>
      <w:bookmarkStart w:id="24" w:name="_Toc385241439"/>
      <w:bookmarkStart w:id="25" w:name="_Toc386012991"/>
      <w:r>
        <w:t>Background</w:t>
      </w:r>
      <w:bookmarkEnd w:id="24"/>
      <w:bookmarkEnd w:id="25"/>
    </w:p>
    <w:p w14:paraId="0EDF6D76" w14:textId="6067CA8D" w:rsidR="008F214C" w:rsidRPr="00167770" w:rsidRDefault="008F214C" w:rsidP="008F214C">
      <w:pPr>
        <w:pStyle w:val="NumberLevel2"/>
        <w:numPr>
          <w:ilvl w:val="1"/>
          <w:numId w:val="5"/>
        </w:numPr>
        <w:ind w:left="709" w:hanging="709"/>
        <w:rPr>
          <w:lang w:val="en-AU"/>
        </w:rPr>
      </w:pPr>
      <w:r w:rsidRPr="00167770">
        <w:rPr>
          <w:lang w:val="en-AU"/>
        </w:rPr>
        <w:t xml:space="preserve">Retail electricity prices currently paid by </w:t>
      </w:r>
      <w:r w:rsidR="00C81DEB">
        <w:rPr>
          <w:lang w:val="en-AU"/>
        </w:rPr>
        <w:t>retail electricity customers</w:t>
      </w:r>
      <w:r w:rsidR="00C81DEB" w:rsidRPr="00167770">
        <w:rPr>
          <w:lang w:val="en-AU"/>
        </w:rPr>
        <w:t xml:space="preserve"> </w:t>
      </w:r>
      <w:r w:rsidRPr="00167770">
        <w:rPr>
          <w:lang w:val="en-AU"/>
        </w:rPr>
        <w:t xml:space="preserve">comprise </w:t>
      </w:r>
      <w:r>
        <w:rPr>
          <w:lang w:val="en-AU"/>
        </w:rPr>
        <w:t>several</w:t>
      </w:r>
      <w:r w:rsidRPr="00167770">
        <w:rPr>
          <w:lang w:val="en-AU"/>
        </w:rPr>
        <w:t xml:space="preserve"> cost components:</w:t>
      </w:r>
    </w:p>
    <w:p w14:paraId="2C770529" w14:textId="77777777" w:rsidR="008F214C" w:rsidRPr="00167770" w:rsidRDefault="008F214C" w:rsidP="008F214C">
      <w:pPr>
        <w:pStyle w:val="UtilComBulletText"/>
        <w:tabs>
          <w:tab w:val="clear" w:pos="964"/>
          <w:tab w:val="num" w:pos="1134"/>
        </w:tabs>
        <w:ind w:left="1134" w:hanging="425"/>
      </w:pPr>
      <w:r w:rsidRPr="00167770">
        <w:t>electricity generation costs;</w:t>
      </w:r>
    </w:p>
    <w:p w14:paraId="6D0DBFB2" w14:textId="2E84C88E" w:rsidR="008F214C" w:rsidRPr="00167770" w:rsidRDefault="00C81DEB" w:rsidP="008F214C">
      <w:pPr>
        <w:pStyle w:val="UtilComBulletText"/>
        <w:tabs>
          <w:tab w:val="clear" w:pos="964"/>
          <w:tab w:val="num" w:pos="1134"/>
        </w:tabs>
        <w:ind w:left="1134" w:hanging="425"/>
      </w:pPr>
      <w:r>
        <w:t>electricity network</w:t>
      </w:r>
      <w:r w:rsidR="008F214C" w:rsidRPr="00167770">
        <w:t xml:space="preserve"> costs (</w:t>
      </w:r>
      <w:r>
        <w:t xml:space="preserve">these costs are </w:t>
      </w:r>
      <w:r w:rsidR="008F214C" w:rsidRPr="00167770">
        <w:t xml:space="preserve">the subject of </w:t>
      </w:r>
      <w:r w:rsidR="00441CE6">
        <w:t>this</w:t>
      </w:r>
      <w:r w:rsidRPr="00167770">
        <w:t xml:space="preserve"> </w:t>
      </w:r>
      <w:r w:rsidR="008F214C">
        <w:t>Final Determination</w:t>
      </w:r>
      <w:r w:rsidR="008F214C" w:rsidRPr="00167770">
        <w:t xml:space="preserve">); </w:t>
      </w:r>
    </w:p>
    <w:p w14:paraId="43800CA5" w14:textId="77777777" w:rsidR="008F214C" w:rsidRPr="00167770" w:rsidRDefault="008F214C" w:rsidP="008F214C">
      <w:pPr>
        <w:pStyle w:val="UtilComBulletText"/>
        <w:tabs>
          <w:tab w:val="clear" w:pos="964"/>
          <w:tab w:val="num" w:pos="1134"/>
        </w:tabs>
        <w:ind w:left="1134" w:hanging="425"/>
      </w:pPr>
      <w:r w:rsidRPr="00167770">
        <w:t xml:space="preserve">system operation and control costs; and </w:t>
      </w:r>
    </w:p>
    <w:p w14:paraId="2271EEE2" w14:textId="1D3F7311" w:rsidR="008F214C" w:rsidRPr="00167770" w:rsidRDefault="008F214C" w:rsidP="008F214C">
      <w:pPr>
        <w:pStyle w:val="UtilComBulletText"/>
        <w:tabs>
          <w:tab w:val="clear" w:pos="964"/>
          <w:tab w:val="num" w:pos="1134"/>
        </w:tabs>
        <w:ind w:left="1134" w:hanging="425"/>
      </w:pPr>
      <w:r w:rsidRPr="00167770">
        <w:t>retail services</w:t>
      </w:r>
      <w:r w:rsidR="00CA1CFE">
        <w:t xml:space="preserve"> costs</w:t>
      </w:r>
      <w:r w:rsidRPr="00167770">
        <w:t xml:space="preserve">.  </w:t>
      </w:r>
    </w:p>
    <w:p w14:paraId="07E61EE2" w14:textId="77777777" w:rsidR="008F214C" w:rsidRPr="00C63267" w:rsidRDefault="008F214C" w:rsidP="008F214C">
      <w:pPr>
        <w:pStyle w:val="NumberLevel2"/>
        <w:numPr>
          <w:ilvl w:val="1"/>
          <w:numId w:val="5"/>
        </w:numPr>
        <w:ind w:left="709" w:hanging="709"/>
        <w:rPr>
          <w:lang w:val="en-AU"/>
        </w:rPr>
      </w:pPr>
      <w:r w:rsidRPr="00C63267">
        <w:rPr>
          <w:lang w:val="en-AU"/>
        </w:rPr>
        <w:t>The network service provider in the Territory is PWC</w:t>
      </w:r>
      <w:r>
        <w:rPr>
          <w:lang w:val="en-AU"/>
        </w:rPr>
        <w:t> </w:t>
      </w:r>
      <w:r w:rsidRPr="00C63267">
        <w:rPr>
          <w:lang w:val="en-AU"/>
        </w:rPr>
        <w:t>Networks.</w:t>
      </w:r>
    </w:p>
    <w:p w14:paraId="22017257" w14:textId="262E2201" w:rsidR="003B5B37" w:rsidRDefault="00576771" w:rsidP="00A7159D">
      <w:pPr>
        <w:pStyle w:val="NumberLevel2"/>
        <w:numPr>
          <w:ilvl w:val="1"/>
          <w:numId w:val="5"/>
        </w:numPr>
        <w:ind w:left="709" w:hanging="709"/>
        <w:rPr>
          <w:lang w:val="en-AU"/>
        </w:rPr>
      </w:pPr>
      <w:r w:rsidRPr="00C63267">
        <w:rPr>
          <w:lang w:val="en-AU"/>
        </w:rPr>
        <w:t xml:space="preserve">The electricity supply industry in the Territory is regulated by the </w:t>
      </w:r>
      <w:r w:rsidRPr="00C63267">
        <w:rPr>
          <w:i/>
          <w:lang w:val="en-AU"/>
        </w:rPr>
        <w:t>Electricity Reform Act</w:t>
      </w:r>
      <w:r w:rsidRPr="00C63267">
        <w:rPr>
          <w:lang w:val="en-AU"/>
        </w:rPr>
        <w:t xml:space="preserve">, </w:t>
      </w:r>
      <w:r w:rsidRPr="00C63267">
        <w:rPr>
          <w:i/>
          <w:lang w:val="en-AU"/>
        </w:rPr>
        <w:t>Electricity Networks (Third Party Access) Act</w:t>
      </w:r>
      <w:r w:rsidRPr="00C63267">
        <w:rPr>
          <w:lang w:val="en-AU"/>
        </w:rPr>
        <w:t xml:space="preserve">, </w:t>
      </w:r>
      <w:r w:rsidRPr="00C63267">
        <w:rPr>
          <w:i/>
          <w:lang w:val="en-AU"/>
        </w:rPr>
        <w:t>Utilities Commission Act</w:t>
      </w:r>
      <w:r w:rsidRPr="00C63267">
        <w:rPr>
          <w:lang w:val="en-AU"/>
        </w:rPr>
        <w:t xml:space="preserve"> and </w:t>
      </w:r>
      <w:r w:rsidR="003B5B37">
        <w:rPr>
          <w:lang w:val="en-AU"/>
        </w:rPr>
        <w:t>various other regulatory instruments</w:t>
      </w:r>
      <w:r w:rsidRPr="00C63267">
        <w:rPr>
          <w:lang w:val="en-AU"/>
        </w:rPr>
        <w:t xml:space="preserve">. </w:t>
      </w:r>
    </w:p>
    <w:p w14:paraId="4F281CFC" w14:textId="09472265" w:rsidR="003B5B37" w:rsidRDefault="00576771" w:rsidP="003B5B37">
      <w:pPr>
        <w:pStyle w:val="NumberLevel2"/>
        <w:numPr>
          <w:ilvl w:val="1"/>
          <w:numId w:val="5"/>
        </w:numPr>
        <w:ind w:left="709" w:hanging="709"/>
        <w:rPr>
          <w:lang w:val="en-AU"/>
        </w:rPr>
      </w:pPr>
      <w:r w:rsidRPr="003B5B37">
        <w:rPr>
          <w:lang w:val="en-AU"/>
        </w:rPr>
        <w:t xml:space="preserve">This statutory framework was introduced on </w:t>
      </w:r>
      <w:r w:rsidR="008D416A" w:rsidRPr="003B5B37">
        <w:rPr>
          <w:lang w:val="en-AU"/>
        </w:rPr>
        <w:t>1 April </w:t>
      </w:r>
      <w:r w:rsidRPr="003B5B37">
        <w:rPr>
          <w:lang w:val="en-AU"/>
        </w:rPr>
        <w:t>2000</w:t>
      </w:r>
      <w:r w:rsidR="00881921">
        <w:rPr>
          <w:lang w:val="en-AU"/>
        </w:rPr>
        <w:t xml:space="preserve"> </w:t>
      </w:r>
      <w:r w:rsidR="003B5B37">
        <w:rPr>
          <w:lang w:val="en-AU"/>
        </w:rPr>
        <w:t>and</w:t>
      </w:r>
      <w:r w:rsidRPr="003B5B37">
        <w:rPr>
          <w:lang w:val="en-AU"/>
        </w:rPr>
        <w:t xml:space="preserve"> primarily </w:t>
      </w:r>
      <w:r w:rsidR="003B5B37" w:rsidRPr="003B5B37">
        <w:rPr>
          <w:lang w:val="en-AU"/>
        </w:rPr>
        <w:t>focus</w:t>
      </w:r>
      <w:r w:rsidR="003B5B37">
        <w:rPr>
          <w:lang w:val="en-AU"/>
        </w:rPr>
        <w:t>es</w:t>
      </w:r>
      <w:r w:rsidR="003B5B37" w:rsidRPr="003B5B37">
        <w:rPr>
          <w:lang w:val="en-AU"/>
        </w:rPr>
        <w:t xml:space="preserve"> </w:t>
      </w:r>
      <w:r w:rsidRPr="003B5B37">
        <w:rPr>
          <w:lang w:val="en-AU"/>
        </w:rPr>
        <w:t xml:space="preserve">on regulating the activities of electricity industry participants </w:t>
      </w:r>
      <w:r w:rsidR="003B5B37">
        <w:rPr>
          <w:lang w:val="en-AU"/>
        </w:rPr>
        <w:t xml:space="preserve">(including network service providers) </w:t>
      </w:r>
      <w:r w:rsidRPr="003B5B37">
        <w:rPr>
          <w:lang w:val="en-AU"/>
        </w:rPr>
        <w:t xml:space="preserve">and </w:t>
      </w:r>
      <w:r w:rsidR="003B5B37">
        <w:rPr>
          <w:lang w:val="en-AU"/>
        </w:rPr>
        <w:t xml:space="preserve">retail </w:t>
      </w:r>
      <w:r w:rsidRPr="003B5B37">
        <w:rPr>
          <w:lang w:val="en-AU"/>
        </w:rPr>
        <w:t xml:space="preserve">customers in </w:t>
      </w:r>
      <w:r w:rsidR="003B5B37">
        <w:rPr>
          <w:lang w:val="en-AU"/>
        </w:rPr>
        <w:t xml:space="preserve">relation to </w:t>
      </w:r>
      <w:r w:rsidRPr="003B5B37">
        <w:rPr>
          <w:lang w:val="en-AU"/>
        </w:rPr>
        <w:t xml:space="preserve">the </w:t>
      </w:r>
      <w:r w:rsidR="00014542" w:rsidRPr="003B5B37">
        <w:rPr>
          <w:lang w:val="en-AU"/>
        </w:rPr>
        <w:t>Darwin</w:t>
      </w:r>
      <w:r w:rsidR="003B5B37">
        <w:rPr>
          <w:lang w:val="en-AU"/>
        </w:rPr>
        <w:noBreakHyphen/>
      </w:r>
      <w:r w:rsidRPr="003B5B37">
        <w:rPr>
          <w:lang w:val="en-AU"/>
        </w:rPr>
        <w:t xml:space="preserve">Katherine, Alice Springs and Tennant Creek </w:t>
      </w:r>
      <w:r w:rsidR="003B5B37">
        <w:rPr>
          <w:lang w:val="en-AU"/>
        </w:rPr>
        <w:t>electricity networks. These electricity networks</w:t>
      </w:r>
      <w:r w:rsidR="007471E2" w:rsidRPr="003B5B37">
        <w:rPr>
          <w:lang w:val="en-AU"/>
        </w:rPr>
        <w:t xml:space="preserve"> are prescribed electricity networks under </w:t>
      </w:r>
      <w:r w:rsidR="00014542" w:rsidRPr="003B5B37">
        <w:rPr>
          <w:lang w:val="en-AU"/>
        </w:rPr>
        <w:t>section </w:t>
      </w:r>
      <w:r w:rsidR="003C7E67" w:rsidRPr="003B5B37">
        <w:rPr>
          <w:lang w:val="en-AU"/>
        </w:rPr>
        <w:t xml:space="preserve">5 of </w:t>
      </w:r>
      <w:r w:rsidR="007471E2" w:rsidRPr="003B5B37">
        <w:rPr>
          <w:lang w:val="en-AU"/>
        </w:rPr>
        <w:t xml:space="preserve">the </w:t>
      </w:r>
      <w:r w:rsidR="007471E2" w:rsidRPr="003B5B37">
        <w:rPr>
          <w:i/>
          <w:lang w:val="en-AU"/>
        </w:rPr>
        <w:t>Electricity Networks (Third Party Access)</w:t>
      </w:r>
      <w:r w:rsidR="00881921">
        <w:rPr>
          <w:i/>
          <w:lang w:val="en-AU"/>
        </w:rPr>
        <w:t> </w:t>
      </w:r>
      <w:r w:rsidR="007471E2" w:rsidRPr="003B5B37">
        <w:rPr>
          <w:i/>
          <w:lang w:val="en-AU"/>
        </w:rPr>
        <w:t>Act</w:t>
      </w:r>
      <w:r w:rsidRPr="003B5B37">
        <w:rPr>
          <w:lang w:val="en-AU"/>
        </w:rPr>
        <w:t xml:space="preserve">. </w:t>
      </w:r>
    </w:p>
    <w:p w14:paraId="5FFF6812" w14:textId="50ECBE12" w:rsidR="00576771" w:rsidRPr="003B5B37" w:rsidRDefault="00576771" w:rsidP="003B5B37">
      <w:pPr>
        <w:pStyle w:val="NumberLevel2"/>
        <w:numPr>
          <w:ilvl w:val="1"/>
          <w:numId w:val="5"/>
        </w:numPr>
        <w:ind w:left="709" w:hanging="709"/>
        <w:rPr>
          <w:lang w:val="en-AU"/>
        </w:rPr>
      </w:pPr>
      <w:r w:rsidRPr="003B5B37">
        <w:rPr>
          <w:lang w:val="en-AU"/>
        </w:rPr>
        <w:t>Key elements of the statutory framework are:</w:t>
      </w:r>
    </w:p>
    <w:p w14:paraId="6448708D" w14:textId="0B4E3938" w:rsidR="00576771" w:rsidRDefault="00576771" w:rsidP="00A7159D">
      <w:pPr>
        <w:pStyle w:val="UtilComBulletText"/>
        <w:tabs>
          <w:tab w:val="clear" w:pos="964"/>
          <w:tab w:val="num" w:pos="1134"/>
        </w:tabs>
        <w:ind w:left="1134" w:hanging="425"/>
      </w:pPr>
      <w:r>
        <w:t>third</w:t>
      </w:r>
      <w:r w:rsidR="009F6688">
        <w:t>-</w:t>
      </w:r>
      <w:r>
        <w:t xml:space="preserve">party access to the </w:t>
      </w:r>
      <w:r w:rsidR="003B5B37">
        <w:t xml:space="preserve">prescribed electricity networks (that is, </w:t>
      </w:r>
      <w:r w:rsidR="00014542">
        <w:t>Darwin-</w:t>
      </w:r>
      <w:r>
        <w:t>Katherine, Alice Springs and Tennant Creek electricity networks</w:t>
      </w:r>
      <w:r w:rsidR="003B5B37">
        <w:t>)</w:t>
      </w:r>
      <w:r>
        <w:t>;</w:t>
      </w:r>
    </w:p>
    <w:p w14:paraId="4A12AE49" w14:textId="16B833EB" w:rsidR="00576771" w:rsidRDefault="00576771" w:rsidP="00A7159D">
      <w:pPr>
        <w:pStyle w:val="UtilComBulletText"/>
        <w:tabs>
          <w:tab w:val="clear" w:pos="964"/>
          <w:tab w:val="num" w:pos="1134"/>
        </w:tabs>
        <w:ind w:left="1134" w:hanging="425"/>
      </w:pPr>
      <w:r>
        <w:t xml:space="preserve">staged introduction of retail contestability, with all </w:t>
      </w:r>
      <w:r w:rsidR="003B5B37">
        <w:t xml:space="preserve">retail </w:t>
      </w:r>
      <w:r>
        <w:t>customers be</w:t>
      </w:r>
      <w:r w:rsidR="00F10F7E">
        <w:t>ing</w:t>
      </w:r>
      <w:r>
        <w:t xml:space="preserve"> contestable from </w:t>
      </w:r>
      <w:r w:rsidR="008D416A">
        <w:t>1 April </w:t>
      </w:r>
      <w:r>
        <w:t>2010; and</w:t>
      </w:r>
    </w:p>
    <w:p w14:paraId="49B4F0EC" w14:textId="3C5A45BF" w:rsidR="00576771" w:rsidRDefault="003B5B37" w:rsidP="00A7159D">
      <w:pPr>
        <w:pStyle w:val="UtilComBulletText"/>
        <w:tabs>
          <w:tab w:val="clear" w:pos="964"/>
          <w:tab w:val="num" w:pos="1134"/>
        </w:tabs>
        <w:ind w:left="1134" w:hanging="425"/>
      </w:pPr>
      <w:r>
        <w:t xml:space="preserve">the Commission being the </w:t>
      </w:r>
      <w:r w:rsidR="00576771">
        <w:t xml:space="preserve">independent economic regulator </w:t>
      </w:r>
      <w:r>
        <w:t>responsible for regulating</w:t>
      </w:r>
      <w:r w:rsidR="00576771">
        <w:t xml:space="preserve"> monopoly electricity services, </w:t>
      </w:r>
      <w:r>
        <w:t xml:space="preserve">licensing </w:t>
      </w:r>
      <w:r w:rsidR="00576771">
        <w:t xml:space="preserve">market participants and </w:t>
      </w:r>
      <w:r>
        <w:t xml:space="preserve">enforcing </w:t>
      </w:r>
      <w:r w:rsidR="00576771">
        <w:t>regulatory standards for market conduct and service performance.</w:t>
      </w:r>
    </w:p>
    <w:p w14:paraId="45E3AC49" w14:textId="6EF8B01C" w:rsidR="003B5B37" w:rsidRPr="003B5B37" w:rsidRDefault="003B5B37" w:rsidP="003B5B37">
      <w:pPr>
        <w:pStyle w:val="UtilComHeading2"/>
      </w:pPr>
      <w:bookmarkStart w:id="26" w:name="_Toc386012992"/>
      <w:r w:rsidRPr="003B5B37">
        <w:t xml:space="preserve">The Commission’s </w:t>
      </w:r>
      <w:r w:rsidR="0056323D">
        <w:t>A</w:t>
      </w:r>
      <w:r w:rsidR="0056323D" w:rsidRPr="003B5B37">
        <w:t>uthority</w:t>
      </w:r>
      <w:bookmarkEnd w:id="26"/>
    </w:p>
    <w:p w14:paraId="6DFD905E" w14:textId="3398483B" w:rsidR="003B5B37" w:rsidRPr="003B5B37" w:rsidRDefault="003B5B37" w:rsidP="003B5B37">
      <w:pPr>
        <w:pStyle w:val="UtilComHeading3"/>
        <w:rPr>
          <w:i/>
        </w:rPr>
      </w:pPr>
      <w:r w:rsidRPr="003B5B37">
        <w:rPr>
          <w:i/>
        </w:rPr>
        <w:t>Utilities Commission Act</w:t>
      </w:r>
    </w:p>
    <w:p w14:paraId="7B9C0EA5" w14:textId="370EB3C6" w:rsidR="003B5B37" w:rsidRPr="003B5B37" w:rsidRDefault="000745B7" w:rsidP="003B5B37">
      <w:pPr>
        <w:pStyle w:val="NumberLevel2"/>
        <w:numPr>
          <w:ilvl w:val="1"/>
          <w:numId w:val="5"/>
        </w:numPr>
        <w:ind w:left="709" w:hanging="709"/>
      </w:pPr>
      <w:r w:rsidRPr="003B5B37">
        <w:rPr>
          <w:lang w:val="en-AU"/>
        </w:rPr>
        <w:t xml:space="preserve">Section 6(1) of the </w:t>
      </w:r>
      <w:r w:rsidRPr="003B5B37">
        <w:rPr>
          <w:i/>
          <w:lang w:val="en-AU"/>
        </w:rPr>
        <w:t>Utilities Commission Act</w:t>
      </w:r>
      <w:r w:rsidRPr="003B5B37">
        <w:rPr>
          <w:lang w:val="en-AU"/>
        </w:rPr>
        <w:t xml:space="preserve"> states </w:t>
      </w:r>
      <w:r w:rsidR="00441CE6">
        <w:rPr>
          <w:lang w:val="en-AU"/>
        </w:rPr>
        <w:t xml:space="preserve">that </w:t>
      </w:r>
      <w:r w:rsidR="003B5B37" w:rsidRPr="003B5B37">
        <w:rPr>
          <w:lang w:val="en-AU"/>
        </w:rPr>
        <w:t>one of</w:t>
      </w:r>
      <w:r w:rsidRPr="003B5B37">
        <w:rPr>
          <w:lang w:val="en-AU"/>
        </w:rPr>
        <w:t xml:space="preserve"> the Commission</w:t>
      </w:r>
      <w:r w:rsidR="003B5B37" w:rsidRPr="003B5B37">
        <w:rPr>
          <w:lang w:val="en-AU"/>
        </w:rPr>
        <w:t>’</w:t>
      </w:r>
      <w:r w:rsidR="003B5B37" w:rsidRPr="00F97697">
        <w:rPr>
          <w:lang w:val="en-AU"/>
        </w:rPr>
        <w:t>s functions is</w:t>
      </w:r>
      <w:r w:rsidRPr="00F97697">
        <w:rPr>
          <w:lang w:val="en-AU"/>
        </w:rPr>
        <w:t xml:space="preserve"> to regulate prices charged by government and other businesses for providing certain monopoly services and </w:t>
      </w:r>
      <w:r w:rsidR="003B5B37" w:rsidRPr="007C3E80">
        <w:rPr>
          <w:lang w:val="en-AU"/>
        </w:rPr>
        <w:t xml:space="preserve">for providing </w:t>
      </w:r>
      <w:r w:rsidRPr="007C3E80">
        <w:rPr>
          <w:lang w:val="en-AU"/>
        </w:rPr>
        <w:t>services in regulated industries as requir</w:t>
      </w:r>
      <w:r w:rsidRPr="00ED073E">
        <w:rPr>
          <w:lang w:val="en-AU"/>
        </w:rPr>
        <w:t>ed under relevant industry regulation Acts.</w:t>
      </w:r>
      <w:r w:rsidR="003B5B37">
        <w:rPr>
          <w:lang w:val="en-AU"/>
        </w:rPr>
        <w:t xml:space="preserve"> </w:t>
      </w:r>
      <w:r w:rsidRPr="003B5B37">
        <w:rPr>
          <w:lang w:val="en-AU"/>
        </w:rPr>
        <w:t xml:space="preserve">The Commission </w:t>
      </w:r>
      <w:r w:rsidR="003B5B37">
        <w:rPr>
          <w:lang w:val="en-AU"/>
        </w:rPr>
        <w:t xml:space="preserve">also </w:t>
      </w:r>
      <w:r w:rsidRPr="003B5B37">
        <w:rPr>
          <w:lang w:val="en-AU"/>
        </w:rPr>
        <w:t xml:space="preserve">has the power to do all things that are necessary or convenient to be done in relation to the performance of </w:t>
      </w:r>
      <w:r w:rsidR="003B5B37">
        <w:rPr>
          <w:lang w:val="en-AU"/>
        </w:rPr>
        <w:t>its</w:t>
      </w:r>
      <w:r w:rsidR="003B5B37" w:rsidRPr="003B5B37">
        <w:rPr>
          <w:lang w:val="en-AU"/>
        </w:rPr>
        <w:t xml:space="preserve"> </w:t>
      </w:r>
      <w:r w:rsidRPr="003B5B37">
        <w:rPr>
          <w:lang w:val="en-AU"/>
        </w:rPr>
        <w:t xml:space="preserve">functions. </w:t>
      </w:r>
    </w:p>
    <w:p w14:paraId="236993A1" w14:textId="0E507331" w:rsidR="000745B7" w:rsidRPr="000B465A" w:rsidRDefault="000745B7" w:rsidP="003B5B37">
      <w:pPr>
        <w:pStyle w:val="NumberLevel2"/>
        <w:numPr>
          <w:ilvl w:val="1"/>
          <w:numId w:val="5"/>
        </w:numPr>
        <w:ind w:left="709" w:hanging="709"/>
      </w:pPr>
      <w:r w:rsidRPr="003B5B37">
        <w:rPr>
          <w:lang w:val="en-AU"/>
        </w:rPr>
        <w:t xml:space="preserve">However, </w:t>
      </w:r>
      <w:r w:rsidR="00AD65B1">
        <w:rPr>
          <w:lang w:val="en-AU"/>
        </w:rPr>
        <w:t xml:space="preserve">in performing </w:t>
      </w:r>
      <w:r w:rsidR="007575BE">
        <w:rPr>
          <w:lang w:val="en-AU"/>
        </w:rPr>
        <w:t>its</w:t>
      </w:r>
      <w:r w:rsidR="00AD65B1">
        <w:rPr>
          <w:lang w:val="en-AU"/>
        </w:rPr>
        <w:t xml:space="preserve"> </w:t>
      </w:r>
      <w:r w:rsidRPr="003B5B37">
        <w:rPr>
          <w:lang w:val="en-AU"/>
        </w:rPr>
        <w:t xml:space="preserve">functions </w:t>
      </w:r>
      <w:r w:rsidR="00AD65B1">
        <w:rPr>
          <w:lang w:val="en-AU"/>
        </w:rPr>
        <w:t xml:space="preserve">under the </w:t>
      </w:r>
      <w:r w:rsidR="00AD65B1" w:rsidRPr="00AD65B1">
        <w:rPr>
          <w:i/>
          <w:lang w:val="en-AU"/>
        </w:rPr>
        <w:t>Utilities Commission Act</w:t>
      </w:r>
      <w:r w:rsidR="007575BE">
        <w:rPr>
          <w:i/>
          <w:lang w:val="en-AU"/>
        </w:rPr>
        <w:t>,</w:t>
      </w:r>
      <w:r w:rsidR="00AD65B1">
        <w:rPr>
          <w:lang w:val="en-AU"/>
        </w:rPr>
        <w:t xml:space="preserve"> </w:t>
      </w:r>
      <w:r w:rsidRPr="003B5B37">
        <w:rPr>
          <w:lang w:val="en-AU"/>
        </w:rPr>
        <w:t>the Commission must have regard to the principles set out in section</w:t>
      </w:r>
      <w:r w:rsidR="00AD65B1">
        <w:rPr>
          <w:lang w:val="en-AU"/>
        </w:rPr>
        <w:t xml:space="preserve"> 6(2) of the </w:t>
      </w:r>
      <w:r w:rsidR="00AD65B1" w:rsidRPr="00AD65B1">
        <w:rPr>
          <w:i/>
          <w:lang w:val="en-AU"/>
        </w:rPr>
        <w:t>Utilities Commission Act</w:t>
      </w:r>
      <w:r w:rsidRPr="003B5B37">
        <w:rPr>
          <w:lang w:val="en-AU"/>
        </w:rPr>
        <w:t>. The list of principles includes the need:</w:t>
      </w:r>
    </w:p>
    <w:p w14:paraId="13927D99" w14:textId="0989C3BC" w:rsidR="00ED073E" w:rsidRDefault="000745B7" w:rsidP="00243FBE">
      <w:pPr>
        <w:pStyle w:val="UtilComBulletText"/>
        <w:numPr>
          <w:ilvl w:val="0"/>
          <w:numId w:val="31"/>
        </w:numPr>
        <w:tabs>
          <w:tab w:val="clear" w:pos="1134"/>
        </w:tabs>
      </w:pPr>
      <w:r>
        <w:t>to promote competitive and fair market conduct</w:t>
      </w:r>
      <w:r w:rsidR="00ED073E">
        <w:t>;</w:t>
      </w:r>
    </w:p>
    <w:p w14:paraId="7984B2F5" w14:textId="725C47C2" w:rsidR="00ED073E" w:rsidRDefault="00ED073E" w:rsidP="00243FBE">
      <w:pPr>
        <w:pStyle w:val="UtilComBulletText"/>
        <w:numPr>
          <w:ilvl w:val="0"/>
          <w:numId w:val="31"/>
        </w:numPr>
        <w:tabs>
          <w:tab w:val="clear" w:pos="1134"/>
        </w:tabs>
      </w:pPr>
      <w:r>
        <w:t>to promote</w:t>
      </w:r>
      <w:r w:rsidR="000745B7">
        <w:t xml:space="preserve"> economic efficiency</w:t>
      </w:r>
      <w:r>
        <w:t>;</w:t>
      </w:r>
    </w:p>
    <w:p w14:paraId="24514FCC" w14:textId="5939C806" w:rsidR="000745B7" w:rsidRDefault="00ED073E" w:rsidP="00243FBE">
      <w:pPr>
        <w:pStyle w:val="UtilComBulletText"/>
        <w:numPr>
          <w:ilvl w:val="0"/>
          <w:numId w:val="31"/>
        </w:numPr>
        <w:tabs>
          <w:tab w:val="clear" w:pos="1134"/>
        </w:tabs>
      </w:pPr>
      <w:r>
        <w:t>to</w:t>
      </w:r>
      <w:r w:rsidR="000745B7">
        <w:t xml:space="preserve"> ensure consumers benefit from that competition and efficiency;</w:t>
      </w:r>
    </w:p>
    <w:p w14:paraId="5E6F0373" w14:textId="77777777" w:rsidR="000745B7" w:rsidRDefault="000745B7" w:rsidP="00243FBE">
      <w:pPr>
        <w:pStyle w:val="UtilComBulletText"/>
        <w:numPr>
          <w:ilvl w:val="0"/>
          <w:numId w:val="31"/>
        </w:numPr>
        <w:tabs>
          <w:tab w:val="clear" w:pos="1134"/>
        </w:tabs>
      </w:pPr>
      <w:r>
        <w:t>to protect the interests of consumers with respect to reliability, quality and supply of network services;</w:t>
      </w:r>
    </w:p>
    <w:p w14:paraId="63E43169" w14:textId="77777777" w:rsidR="000745B7" w:rsidRDefault="000745B7" w:rsidP="00243FBE">
      <w:pPr>
        <w:pStyle w:val="UtilComBulletText"/>
        <w:numPr>
          <w:ilvl w:val="0"/>
          <w:numId w:val="31"/>
        </w:numPr>
        <w:tabs>
          <w:tab w:val="clear" w:pos="1134"/>
        </w:tabs>
      </w:pPr>
      <w:r>
        <w:t>to facilitate entry into, and maintain the financial viability of, the network services industry; and</w:t>
      </w:r>
    </w:p>
    <w:p w14:paraId="444872CB" w14:textId="1EA0750C" w:rsidR="000745B7" w:rsidRDefault="000745B7" w:rsidP="00243FBE">
      <w:pPr>
        <w:pStyle w:val="UtilComBulletText"/>
        <w:numPr>
          <w:ilvl w:val="0"/>
          <w:numId w:val="31"/>
        </w:numPr>
        <w:tabs>
          <w:tab w:val="clear" w:pos="1134"/>
        </w:tabs>
      </w:pPr>
      <w:r>
        <w:t xml:space="preserve">to ensure an appropriate rate of return on </w:t>
      </w:r>
      <w:r w:rsidR="00ED073E">
        <w:t>PWC </w:t>
      </w:r>
      <w:r>
        <w:t>Networks' regulated infrastructure assets.</w:t>
      </w:r>
    </w:p>
    <w:p w14:paraId="2A68B3EF" w14:textId="6EC1F566" w:rsidR="000745B7" w:rsidRPr="000B465A" w:rsidRDefault="000745B7" w:rsidP="000B465A">
      <w:pPr>
        <w:pStyle w:val="NumberLevel2"/>
        <w:numPr>
          <w:ilvl w:val="1"/>
          <w:numId w:val="5"/>
        </w:numPr>
        <w:ind w:left="709" w:hanging="709"/>
      </w:pPr>
      <w:r w:rsidRPr="000B465A">
        <w:rPr>
          <w:lang w:val="en-AU"/>
        </w:rPr>
        <w:t>Section</w:t>
      </w:r>
      <w:r w:rsidR="00ED073E">
        <w:rPr>
          <w:lang w:val="en-AU"/>
        </w:rPr>
        <w:t>s</w:t>
      </w:r>
      <w:r w:rsidRPr="000B465A">
        <w:rPr>
          <w:lang w:val="en-AU"/>
        </w:rPr>
        <w:t xml:space="preserve"> 20 and 21 of the </w:t>
      </w:r>
      <w:r w:rsidRPr="000B465A">
        <w:rPr>
          <w:i/>
          <w:lang w:val="en-AU"/>
        </w:rPr>
        <w:t xml:space="preserve">Utilities Commission Act </w:t>
      </w:r>
      <w:r w:rsidR="00ED073E" w:rsidRPr="00ED073E">
        <w:rPr>
          <w:lang w:val="en-AU"/>
        </w:rPr>
        <w:t xml:space="preserve">also </w:t>
      </w:r>
      <w:r w:rsidRPr="000B465A">
        <w:rPr>
          <w:lang w:val="en-AU"/>
        </w:rPr>
        <w:t xml:space="preserve">give the Commission the power to make pricing determinations for electricity networks and regulate prices in any manner that the Commission considers appropriate. </w:t>
      </w:r>
      <w:r w:rsidR="00ED073E">
        <w:rPr>
          <w:lang w:val="en-AU"/>
        </w:rPr>
        <w:t>However, t</w:t>
      </w:r>
      <w:r w:rsidR="00ED073E" w:rsidRPr="000B465A">
        <w:rPr>
          <w:lang w:val="en-AU"/>
        </w:rPr>
        <w:t xml:space="preserve">his </w:t>
      </w:r>
      <w:r w:rsidRPr="000B465A">
        <w:rPr>
          <w:lang w:val="en-AU"/>
        </w:rPr>
        <w:t xml:space="preserve">power is subject to the </w:t>
      </w:r>
      <w:r w:rsidRPr="000B465A">
        <w:rPr>
          <w:i/>
          <w:lang w:val="en-AU"/>
        </w:rPr>
        <w:t xml:space="preserve">Electricity Networks </w:t>
      </w:r>
      <w:r>
        <w:rPr>
          <w:i/>
          <w:lang w:val="en-AU"/>
        </w:rPr>
        <w:t xml:space="preserve">(Third Party </w:t>
      </w:r>
      <w:r w:rsidRPr="000B465A">
        <w:rPr>
          <w:i/>
          <w:lang w:val="en-AU"/>
        </w:rPr>
        <w:t>Access</w:t>
      </w:r>
      <w:r>
        <w:rPr>
          <w:i/>
          <w:lang w:val="en-AU"/>
        </w:rPr>
        <w:t>)</w:t>
      </w:r>
      <w:r w:rsidRPr="000B465A">
        <w:rPr>
          <w:i/>
          <w:lang w:val="en-AU"/>
        </w:rPr>
        <w:t xml:space="preserve"> Act</w:t>
      </w:r>
      <w:r w:rsidRPr="000B465A">
        <w:rPr>
          <w:lang w:val="en-AU"/>
        </w:rPr>
        <w:t>.</w:t>
      </w:r>
    </w:p>
    <w:p w14:paraId="4A9C5F4E" w14:textId="7F6BE8A1" w:rsidR="00ED073E" w:rsidRPr="00ED073E" w:rsidRDefault="00ED073E" w:rsidP="00ED073E">
      <w:pPr>
        <w:pStyle w:val="UtilComHeading3"/>
        <w:rPr>
          <w:i/>
        </w:rPr>
      </w:pPr>
      <w:r w:rsidRPr="00ED073E">
        <w:rPr>
          <w:i/>
        </w:rPr>
        <w:t>Electricity Reform Act</w:t>
      </w:r>
    </w:p>
    <w:p w14:paraId="48F765AC" w14:textId="3F5FC756" w:rsidR="005108E4" w:rsidRPr="005108E4" w:rsidRDefault="000745B7" w:rsidP="000B465A">
      <w:pPr>
        <w:pStyle w:val="NumberLevel2"/>
        <w:numPr>
          <w:ilvl w:val="1"/>
          <w:numId w:val="5"/>
        </w:numPr>
        <w:ind w:left="709" w:hanging="709"/>
      </w:pPr>
      <w:r w:rsidRPr="000B465A">
        <w:rPr>
          <w:lang w:val="en-AU"/>
        </w:rPr>
        <w:t xml:space="preserve">Section 6 of the </w:t>
      </w:r>
      <w:r w:rsidRPr="000B465A">
        <w:rPr>
          <w:i/>
          <w:lang w:val="en-AU"/>
        </w:rPr>
        <w:t>Electricity Reform Act</w:t>
      </w:r>
      <w:r w:rsidRPr="000B465A">
        <w:rPr>
          <w:lang w:val="en-AU"/>
        </w:rPr>
        <w:t xml:space="preserve"> provides that in addition to the functions </w:t>
      </w:r>
      <w:r w:rsidR="005108E4">
        <w:rPr>
          <w:lang w:val="en-AU"/>
        </w:rPr>
        <w:t xml:space="preserve">of the Commission </w:t>
      </w:r>
      <w:r w:rsidRPr="000B465A">
        <w:rPr>
          <w:lang w:val="en-AU"/>
        </w:rPr>
        <w:t xml:space="preserve">under the </w:t>
      </w:r>
      <w:r w:rsidRPr="000B465A">
        <w:rPr>
          <w:i/>
          <w:lang w:val="en-AU"/>
        </w:rPr>
        <w:t>Utilities Commission Act</w:t>
      </w:r>
      <w:r w:rsidRPr="000B465A">
        <w:rPr>
          <w:lang w:val="en-AU"/>
        </w:rPr>
        <w:t xml:space="preserve">, the Commission has the price regulation function and powers </w:t>
      </w:r>
      <w:r w:rsidR="005108E4">
        <w:rPr>
          <w:lang w:val="en-AU"/>
        </w:rPr>
        <w:t xml:space="preserve">conferred by the </w:t>
      </w:r>
      <w:r w:rsidR="005108E4" w:rsidRPr="005108E4">
        <w:rPr>
          <w:i/>
          <w:lang w:val="en-AU"/>
        </w:rPr>
        <w:t xml:space="preserve">Electricity Reform </w:t>
      </w:r>
      <w:r w:rsidRPr="005108E4">
        <w:rPr>
          <w:i/>
          <w:lang w:val="en-AU"/>
        </w:rPr>
        <w:t>Act</w:t>
      </w:r>
      <w:r w:rsidRPr="000B465A">
        <w:rPr>
          <w:lang w:val="en-AU"/>
        </w:rPr>
        <w:t>.</w:t>
      </w:r>
      <w:r w:rsidR="00B73758">
        <w:rPr>
          <w:lang w:val="en-AU"/>
        </w:rPr>
        <w:t xml:space="preserve"> </w:t>
      </w:r>
    </w:p>
    <w:p w14:paraId="0DCB97AB" w14:textId="381FAD95" w:rsidR="000745B7" w:rsidRPr="000B465A" w:rsidRDefault="005108E4" w:rsidP="000B465A">
      <w:pPr>
        <w:pStyle w:val="NumberLevel2"/>
        <w:numPr>
          <w:ilvl w:val="1"/>
          <w:numId w:val="5"/>
        </w:numPr>
        <w:ind w:left="709" w:hanging="709"/>
      </w:pPr>
      <w:r>
        <w:rPr>
          <w:lang w:val="en-AU"/>
        </w:rPr>
        <w:t>S</w:t>
      </w:r>
      <w:r w:rsidR="000745B7" w:rsidRPr="000B465A">
        <w:rPr>
          <w:lang w:val="en-AU"/>
        </w:rPr>
        <w:t xml:space="preserve">ection 43 of the </w:t>
      </w:r>
      <w:r w:rsidR="000745B7" w:rsidRPr="000B465A">
        <w:rPr>
          <w:i/>
          <w:lang w:val="en-AU"/>
        </w:rPr>
        <w:t>Electricity Reform Act</w:t>
      </w:r>
      <w:r w:rsidR="008F214C">
        <w:rPr>
          <w:i/>
          <w:lang w:val="en-AU"/>
        </w:rPr>
        <w:t>,</w:t>
      </w:r>
      <w:r w:rsidR="000745B7" w:rsidRPr="000B465A">
        <w:rPr>
          <w:lang w:val="en-AU"/>
        </w:rPr>
        <w:t xml:space="preserve"> gives the Commission the power to make determinations regulating the prices for network services.</w:t>
      </w:r>
      <w:r>
        <w:rPr>
          <w:lang w:val="en-AU"/>
        </w:rPr>
        <w:t xml:space="preserve"> However, this power </w:t>
      </w:r>
      <w:r w:rsidR="007575BE">
        <w:rPr>
          <w:lang w:val="en-AU"/>
        </w:rPr>
        <w:t>is</w:t>
      </w:r>
      <w:r>
        <w:rPr>
          <w:lang w:val="en-AU"/>
        </w:rPr>
        <w:t xml:space="preserve"> subject to the Network Access Code.</w:t>
      </w:r>
    </w:p>
    <w:p w14:paraId="4845CC5B" w14:textId="77777777" w:rsidR="005108E4" w:rsidRPr="005108E4" w:rsidRDefault="005108E4" w:rsidP="005108E4">
      <w:pPr>
        <w:pStyle w:val="UtilComHeading3"/>
        <w:rPr>
          <w:i/>
        </w:rPr>
      </w:pPr>
      <w:r w:rsidRPr="005108E4">
        <w:rPr>
          <w:i/>
        </w:rPr>
        <w:t>Electricity Networks (Third Party Access) Act</w:t>
      </w:r>
    </w:p>
    <w:p w14:paraId="5686254E" w14:textId="38BD9587" w:rsidR="008F214C" w:rsidRDefault="00B73758" w:rsidP="000B465A">
      <w:pPr>
        <w:pStyle w:val="NumberLevel2"/>
        <w:numPr>
          <w:ilvl w:val="1"/>
          <w:numId w:val="5"/>
        </w:numPr>
        <w:ind w:left="709" w:hanging="709"/>
      </w:pPr>
      <w:r w:rsidRPr="000B465A">
        <w:rPr>
          <w:lang w:val="en-AU"/>
        </w:rPr>
        <w:t>Section 10 of the</w:t>
      </w:r>
      <w:r>
        <w:rPr>
          <w:lang w:val="en-AU"/>
        </w:rPr>
        <w:t xml:space="preserve"> </w:t>
      </w:r>
      <w:r w:rsidRPr="000B465A">
        <w:rPr>
          <w:i/>
          <w:lang w:val="en-AU"/>
        </w:rPr>
        <w:t>Electricity Networks</w:t>
      </w:r>
      <w:r>
        <w:rPr>
          <w:i/>
          <w:lang w:val="en-AU"/>
        </w:rPr>
        <w:t xml:space="preserve"> (Third Party</w:t>
      </w:r>
      <w:r w:rsidRPr="000B465A">
        <w:rPr>
          <w:i/>
          <w:lang w:val="en-AU"/>
        </w:rPr>
        <w:t xml:space="preserve"> Access</w:t>
      </w:r>
      <w:r>
        <w:rPr>
          <w:i/>
          <w:lang w:val="en-AU"/>
        </w:rPr>
        <w:t>)</w:t>
      </w:r>
      <w:r w:rsidRPr="000B465A">
        <w:rPr>
          <w:i/>
          <w:lang w:val="en-AU"/>
        </w:rPr>
        <w:t xml:space="preserve"> Act</w:t>
      </w:r>
      <w:r w:rsidRPr="000B465A">
        <w:rPr>
          <w:lang w:val="en-AU"/>
        </w:rPr>
        <w:t xml:space="preserve"> provides that the functions of the Commission include</w:t>
      </w:r>
      <w:r w:rsidR="008F214C">
        <w:rPr>
          <w:lang w:val="en-AU"/>
        </w:rPr>
        <w:t>:</w:t>
      </w:r>
    </w:p>
    <w:p w14:paraId="7352054A" w14:textId="69322443" w:rsidR="008F214C" w:rsidRDefault="00B73758" w:rsidP="0056323D">
      <w:pPr>
        <w:pStyle w:val="NumberLevel2"/>
        <w:numPr>
          <w:ilvl w:val="2"/>
          <w:numId w:val="5"/>
        </w:numPr>
        <w:tabs>
          <w:tab w:val="clear" w:pos="720"/>
          <w:tab w:val="num" w:pos="1134"/>
        </w:tabs>
        <w:ind w:left="1134" w:hanging="425"/>
      </w:pPr>
      <w:r w:rsidRPr="000B465A">
        <w:rPr>
          <w:lang w:val="en-AU"/>
        </w:rPr>
        <w:t xml:space="preserve">monitoring and enforcing compliance with the </w:t>
      </w:r>
      <w:r w:rsidR="00FB2EC5">
        <w:rPr>
          <w:lang w:val="en-AU"/>
        </w:rPr>
        <w:t>Network Access Code</w:t>
      </w:r>
      <w:r w:rsidR="008F214C">
        <w:rPr>
          <w:lang w:val="en-AU"/>
        </w:rPr>
        <w:t>;</w:t>
      </w:r>
    </w:p>
    <w:p w14:paraId="2CA1CD90" w14:textId="311CD0DE" w:rsidR="008F214C" w:rsidRDefault="00B73758" w:rsidP="0056323D">
      <w:pPr>
        <w:pStyle w:val="NumberLevel2"/>
        <w:numPr>
          <w:ilvl w:val="2"/>
          <w:numId w:val="5"/>
        </w:numPr>
        <w:tabs>
          <w:tab w:val="clear" w:pos="720"/>
          <w:tab w:val="num" w:pos="1134"/>
        </w:tabs>
        <w:ind w:left="1134" w:hanging="425"/>
      </w:pPr>
      <w:r w:rsidRPr="000B465A">
        <w:rPr>
          <w:lang w:val="en-AU"/>
        </w:rPr>
        <w:t xml:space="preserve">advising the Minister on the operation of the </w:t>
      </w:r>
      <w:r w:rsidR="005108E4" w:rsidRPr="005108E4">
        <w:rPr>
          <w:i/>
          <w:lang w:val="en-AU"/>
        </w:rPr>
        <w:t xml:space="preserve">Electricity Networks (Third Party Access) </w:t>
      </w:r>
      <w:r w:rsidRPr="005108E4">
        <w:rPr>
          <w:i/>
          <w:lang w:val="en-AU"/>
        </w:rPr>
        <w:t>Act</w:t>
      </w:r>
      <w:r w:rsidR="008F214C">
        <w:rPr>
          <w:lang w:val="en-AU"/>
        </w:rPr>
        <w:t>; and</w:t>
      </w:r>
    </w:p>
    <w:p w14:paraId="5657D385" w14:textId="3985A725" w:rsidR="008F214C" w:rsidRDefault="00B73758" w:rsidP="0056323D">
      <w:pPr>
        <w:pStyle w:val="NumberLevel2"/>
        <w:numPr>
          <w:ilvl w:val="2"/>
          <w:numId w:val="5"/>
        </w:numPr>
        <w:tabs>
          <w:tab w:val="clear" w:pos="720"/>
          <w:tab w:val="num" w:pos="1134"/>
        </w:tabs>
        <w:ind w:left="1134" w:hanging="425"/>
      </w:pPr>
      <w:r w:rsidRPr="000B465A">
        <w:rPr>
          <w:lang w:val="en-AU"/>
        </w:rPr>
        <w:t xml:space="preserve">performing any other functions conferred on the Commission by the </w:t>
      </w:r>
      <w:r w:rsidR="005108E4">
        <w:rPr>
          <w:lang w:val="en-AU"/>
        </w:rPr>
        <w:t xml:space="preserve">Network Access </w:t>
      </w:r>
      <w:r w:rsidRPr="000B465A">
        <w:rPr>
          <w:lang w:val="en-AU"/>
        </w:rPr>
        <w:t xml:space="preserve">Code.  </w:t>
      </w:r>
    </w:p>
    <w:p w14:paraId="025A76BA" w14:textId="51CFC724" w:rsidR="00B73758" w:rsidRPr="000B465A" w:rsidRDefault="00B73758" w:rsidP="000B465A">
      <w:pPr>
        <w:pStyle w:val="NumberLevel2"/>
        <w:numPr>
          <w:ilvl w:val="1"/>
          <w:numId w:val="5"/>
        </w:numPr>
        <w:ind w:left="709" w:hanging="709"/>
      </w:pPr>
      <w:r w:rsidRPr="000B465A">
        <w:rPr>
          <w:lang w:val="en-AU"/>
        </w:rPr>
        <w:t xml:space="preserve">The Commission also has the power to do all things necessary and convenient to be done in the performance of those functions. However, in doing so, the Commission must comply with the </w:t>
      </w:r>
      <w:r w:rsidR="00FB2EC5">
        <w:rPr>
          <w:lang w:val="en-AU"/>
        </w:rPr>
        <w:t>Network Access Code</w:t>
      </w:r>
      <w:r w:rsidRPr="000B465A">
        <w:rPr>
          <w:lang w:val="en-AU"/>
        </w:rPr>
        <w:t>.</w:t>
      </w:r>
    </w:p>
    <w:p w14:paraId="63897624" w14:textId="576A0FC1" w:rsidR="00B73758" w:rsidRPr="000B465A" w:rsidRDefault="00B73758" w:rsidP="000B465A">
      <w:pPr>
        <w:pStyle w:val="NumberLevel2"/>
        <w:numPr>
          <w:ilvl w:val="1"/>
          <w:numId w:val="5"/>
        </w:numPr>
        <w:ind w:left="709" w:hanging="709"/>
      </w:pPr>
      <w:r w:rsidRPr="000B465A">
        <w:rPr>
          <w:lang w:val="en-AU"/>
        </w:rPr>
        <w:t>Clause 66 of the</w:t>
      </w:r>
      <w:r>
        <w:rPr>
          <w:lang w:val="en-AU"/>
        </w:rPr>
        <w:t xml:space="preserve"> </w:t>
      </w:r>
      <w:r w:rsidR="00FB2EC5">
        <w:rPr>
          <w:lang w:val="en-AU"/>
        </w:rPr>
        <w:t>Network Access Code</w:t>
      </w:r>
      <w:r w:rsidRPr="000B465A">
        <w:rPr>
          <w:lang w:val="en-AU"/>
        </w:rPr>
        <w:t xml:space="preserve"> makes the Commission responsible for determining the revenue </w:t>
      </w:r>
      <w:r w:rsidR="005108E4">
        <w:rPr>
          <w:lang w:val="en-AU"/>
        </w:rPr>
        <w:t xml:space="preserve">caps </w:t>
      </w:r>
      <w:r w:rsidRPr="000B465A">
        <w:rPr>
          <w:lang w:val="en-AU"/>
        </w:rPr>
        <w:t>or price caps to apply to PWC Networks.</w:t>
      </w:r>
    </w:p>
    <w:p w14:paraId="2B86223E" w14:textId="08FF259B" w:rsidR="00B73758" w:rsidRPr="000B465A" w:rsidRDefault="008F214C" w:rsidP="000B465A">
      <w:pPr>
        <w:pStyle w:val="NumberLevel2"/>
        <w:numPr>
          <w:ilvl w:val="1"/>
          <w:numId w:val="5"/>
        </w:numPr>
        <w:ind w:left="709" w:hanging="709"/>
      </w:pPr>
      <w:r>
        <w:rPr>
          <w:lang w:val="en-AU"/>
        </w:rPr>
        <w:t>C</w:t>
      </w:r>
      <w:r w:rsidR="00B73758" w:rsidRPr="000B465A">
        <w:rPr>
          <w:lang w:val="en-AU"/>
        </w:rPr>
        <w:t xml:space="preserve">lause 66(3) of the </w:t>
      </w:r>
      <w:r w:rsidR="00FB2EC5">
        <w:rPr>
          <w:lang w:val="en-AU"/>
        </w:rPr>
        <w:t>Network Access Code</w:t>
      </w:r>
      <w:r w:rsidR="00B73758" w:rsidRPr="000B465A">
        <w:rPr>
          <w:lang w:val="en-AU"/>
        </w:rPr>
        <w:t xml:space="preserve"> narrows the Commission's powers by providing that the Commission must determine the revenue </w:t>
      </w:r>
      <w:r w:rsidR="005108E4">
        <w:rPr>
          <w:lang w:val="en-AU"/>
        </w:rPr>
        <w:t xml:space="preserve">cap </w:t>
      </w:r>
      <w:r w:rsidR="00B73758" w:rsidRPr="000B465A">
        <w:rPr>
          <w:lang w:val="en-AU"/>
        </w:rPr>
        <w:t xml:space="preserve">or price cap </w:t>
      </w:r>
      <w:r w:rsidR="005108E4">
        <w:rPr>
          <w:lang w:val="en-AU"/>
        </w:rPr>
        <w:t xml:space="preserve">for the 2014-19 regulatory control period </w:t>
      </w:r>
      <w:r w:rsidR="00881921">
        <w:rPr>
          <w:lang w:val="en-AU"/>
        </w:rPr>
        <w:t>i</w:t>
      </w:r>
      <w:r w:rsidR="00B73758" w:rsidRPr="000B465A">
        <w:rPr>
          <w:lang w:val="en-AU"/>
        </w:rPr>
        <w:t>n a manner that:</w:t>
      </w:r>
    </w:p>
    <w:p w14:paraId="53DC62DD" w14:textId="08C29D2C" w:rsidR="00B73758" w:rsidRPr="005108E4" w:rsidRDefault="00B73758" w:rsidP="00243FBE">
      <w:pPr>
        <w:pStyle w:val="NumberLevel2"/>
        <w:numPr>
          <w:ilvl w:val="1"/>
          <w:numId w:val="17"/>
        </w:numPr>
        <w:tabs>
          <w:tab w:val="clear" w:pos="3270"/>
          <w:tab w:val="num" w:pos="1134"/>
        </w:tabs>
        <w:ind w:left="1134" w:hanging="425"/>
      </w:pPr>
      <w:r w:rsidRPr="000B465A">
        <w:rPr>
          <w:lang w:val="en-AU"/>
        </w:rPr>
        <w:t>in the Commission's opinion, most effectively achieves the outcomes set out in clause 63</w:t>
      </w:r>
      <w:r w:rsidRPr="005108E4">
        <w:rPr>
          <w:lang w:val="en-AU"/>
        </w:rPr>
        <w:t>; and</w:t>
      </w:r>
    </w:p>
    <w:p w14:paraId="48C996EB" w14:textId="77777777" w:rsidR="00B73758" w:rsidRPr="00CD008B" w:rsidRDefault="00B73758" w:rsidP="00243FBE">
      <w:pPr>
        <w:pStyle w:val="NumberLevel2"/>
        <w:numPr>
          <w:ilvl w:val="1"/>
          <w:numId w:val="17"/>
        </w:numPr>
        <w:tabs>
          <w:tab w:val="clear" w:pos="3270"/>
          <w:tab w:val="num" w:pos="1134"/>
        </w:tabs>
        <w:ind w:left="1134" w:hanging="425"/>
      </w:pPr>
      <w:r w:rsidRPr="001E1058">
        <w:rPr>
          <w:lang w:val="en-AU"/>
        </w:rPr>
        <w:t>is consistent with generally accepted regulator</w:t>
      </w:r>
      <w:r w:rsidRPr="00564CCD">
        <w:rPr>
          <w:lang w:val="en-AU"/>
        </w:rPr>
        <w:t>y practice at the time.</w:t>
      </w:r>
    </w:p>
    <w:p w14:paraId="78AF9F04" w14:textId="58B3879F" w:rsidR="00B73758" w:rsidRPr="00CD008B" w:rsidRDefault="00B73758" w:rsidP="000B465A">
      <w:pPr>
        <w:pStyle w:val="NumberLevel2"/>
        <w:numPr>
          <w:ilvl w:val="1"/>
          <w:numId w:val="5"/>
        </w:numPr>
        <w:ind w:left="709" w:hanging="709"/>
      </w:pPr>
      <w:r w:rsidRPr="00CD008B">
        <w:rPr>
          <w:lang w:val="en-AU"/>
        </w:rPr>
        <w:t xml:space="preserve">Clause 68 of the </w:t>
      </w:r>
      <w:r w:rsidR="00FB2EC5" w:rsidRPr="00CD008B">
        <w:rPr>
          <w:lang w:val="en-AU"/>
        </w:rPr>
        <w:t>Network Access Code</w:t>
      </w:r>
      <w:r w:rsidRPr="00CD008B">
        <w:rPr>
          <w:lang w:val="en-AU"/>
        </w:rPr>
        <w:t xml:space="preserve"> also requires the Commission, in setting the revenue </w:t>
      </w:r>
      <w:r w:rsidR="005108E4" w:rsidRPr="00CD008B">
        <w:rPr>
          <w:lang w:val="en-AU"/>
        </w:rPr>
        <w:t xml:space="preserve">cap </w:t>
      </w:r>
      <w:r w:rsidRPr="00CD008B">
        <w:rPr>
          <w:lang w:val="en-AU"/>
        </w:rPr>
        <w:t>or price cap, to take into account PWC Networks' revenue requirements during the relevant regulatory control period having regard to a number of factors</w:t>
      </w:r>
      <w:r w:rsidRPr="000B465A">
        <w:rPr>
          <w:lang w:val="en-AU"/>
        </w:rPr>
        <w:t xml:space="preserve">. </w:t>
      </w:r>
    </w:p>
    <w:p w14:paraId="7FBA2346" w14:textId="12B4D36F" w:rsidR="00DA454F" w:rsidRDefault="00DA454F" w:rsidP="00A7159D">
      <w:pPr>
        <w:pStyle w:val="NumberLevel2"/>
        <w:numPr>
          <w:ilvl w:val="1"/>
          <w:numId w:val="5"/>
        </w:numPr>
        <w:ind w:left="709" w:hanging="709"/>
      </w:pPr>
      <w:r w:rsidRPr="00C63267">
        <w:rPr>
          <w:lang w:val="en-AU"/>
        </w:rPr>
        <w:t xml:space="preserve">The Commission has made </w:t>
      </w:r>
      <w:r w:rsidR="005108E4">
        <w:rPr>
          <w:lang w:val="en-AU"/>
        </w:rPr>
        <w:t>the 2014 Network Price</w:t>
      </w:r>
      <w:r w:rsidR="008D416A" w:rsidRPr="00C63267">
        <w:rPr>
          <w:lang w:val="en-AU"/>
        </w:rPr>
        <w:t xml:space="preserve"> </w:t>
      </w:r>
      <w:r w:rsidR="00201FD2">
        <w:rPr>
          <w:lang w:val="en-AU"/>
        </w:rPr>
        <w:t>D</w:t>
      </w:r>
      <w:r w:rsidR="00201FD2" w:rsidRPr="00C63267">
        <w:rPr>
          <w:lang w:val="en-AU"/>
        </w:rPr>
        <w:t xml:space="preserve">etermination </w:t>
      </w:r>
      <w:r w:rsidRPr="00C63267">
        <w:rPr>
          <w:lang w:val="en-AU"/>
        </w:rPr>
        <w:t xml:space="preserve">according to the requirements of the </w:t>
      </w:r>
      <w:r w:rsidR="00FB2EC5">
        <w:rPr>
          <w:lang w:val="en-AU"/>
        </w:rPr>
        <w:t>Network Access Code</w:t>
      </w:r>
      <w:r w:rsidR="005108E4">
        <w:rPr>
          <w:lang w:val="en-AU"/>
        </w:rPr>
        <w:t>.</w:t>
      </w:r>
      <w:r w:rsidRPr="00C63267">
        <w:rPr>
          <w:lang w:val="en-AU"/>
        </w:rPr>
        <w:t xml:space="preserve"> </w:t>
      </w:r>
    </w:p>
    <w:p w14:paraId="22E83250" w14:textId="77777777" w:rsidR="00F12853" w:rsidRDefault="00F12853" w:rsidP="00F12853">
      <w:pPr>
        <w:pStyle w:val="UtilComHeading2"/>
      </w:pPr>
      <w:bookmarkStart w:id="27" w:name="_Toc385241440"/>
      <w:bookmarkStart w:id="28" w:name="_Toc386012993"/>
      <w:bookmarkStart w:id="29" w:name="_Toc342258654"/>
      <w:r>
        <w:t>Regulatory Requirements</w:t>
      </w:r>
      <w:bookmarkEnd w:id="27"/>
      <w:bookmarkEnd w:id="28"/>
    </w:p>
    <w:bookmarkEnd w:id="29"/>
    <w:p w14:paraId="40DEE088" w14:textId="3E1FF469" w:rsidR="00D32DF2" w:rsidRPr="00DD495C" w:rsidRDefault="00FB2EC5" w:rsidP="00D32DF2">
      <w:pPr>
        <w:pStyle w:val="UtilComHeading3"/>
      </w:pPr>
      <w:r>
        <w:t>Network Access Code</w:t>
      </w:r>
    </w:p>
    <w:p w14:paraId="6BC45FDD" w14:textId="32531162" w:rsidR="00CD008B" w:rsidRPr="00CD008B" w:rsidRDefault="00CD008B" w:rsidP="00CD008B">
      <w:pPr>
        <w:pStyle w:val="NumberLevel2"/>
        <w:numPr>
          <w:ilvl w:val="1"/>
          <w:numId w:val="5"/>
        </w:numPr>
        <w:ind w:left="709" w:hanging="709"/>
        <w:rPr>
          <w:lang w:val="en-AU"/>
        </w:rPr>
      </w:pPr>
      <w:r w:rsidRPr="00CD008B">
        <w:rPr>
          <w:lang w:val="en-AU"/>
        </w:rPr>
        <w:t>Chapter 6 of Part 3 of the Network Access Code sets out the price regulation framework which is to apply to the Commission and PWC Networks when setting the revenue cap or price cap to apply to PWC Networks for the supply of regulatory network access services during a regulatory control period.</w:t>
      </w:r>
    </w:p>
    <w:p w14:paraId="679E975F" w14:textId="77777777" w:rsidR="00CD008B" w:rsidRPr="00CD008B" w:rsidRDefault="00CD008B" w:rsidP="00CD008B">
      <w:pPr>
        <w:pStyle w:val="NumberLevel2"/>
        <w:numPr>
          <w:ilvl w:val="1"/>
          <w:numId w:val="5"/>
        </w:numPr>
        <w:ind w:left="709" w:hanging="709"/>
        <w:rPr>
          <w:lang w:val="en-AU"/>
        </w:rPr>
      </w:pPr>
      <w:r w:rsidRPr="00CD008B">
        <w:rPr>
          <w:lang w:val="en-AU"/>
        </w:rPr>
        <w:t xml:space="preserve">The price regulation framework makes no specific or statutory distinction between transmission and distribution, with regulated network access services regulated under the Network Access Code including both transmission and distribution services. </w:t>
      </w:r>
    </w:p>
    <w:p w14:paraId="4A21FB8A" w14:textId="106D9C66" w:rsidR="00CD008B" w:rsidRPr="00CD008B" w:rsidRDefault="00CD008B" w:rsidP="00CD008B">
      <w:pPr>
        <w:pStyle w:val="NumberLevel2"/>
        <w:numPr>
          <w:ilvl w:val="1"/>
          <w:numId w:val="5"/>
        </w:numPr>
        <w:ind w:left="709" w:hanging="709"/>
        <w:rPr>
          <w:lang w:val="en-AU"/>
        </w:rPr>
      </w:pPr>
      <w:r w:rsidRPr="00CD008B">
        <w:rPr>
          <w:lang w:val="en-AU"/>
        </w:rPr>
        <w:t xml:space="preserve">As noted above, </w:t>
      </w:r>
      <w:r w:rsidR="007575BE">
        <w:rPr>
          <w:lang w:val="en-AU"/>
        </w:rPr>
        <w:t>c</w:t>
      </w:r>
      <w:r w:rsidRPr="00CD008B">
        <w:rPr>
          <w:lang w:val="en-AU"/>
        </w:rPr>
        <w:t>lause 66(3) of the Network Access Code provides that the Commission must determine the revenue cap or price cap that is to be applied for the 2014 Network Price Determination in a manner that:</w:t>
      </w:r>
    </w:p>
    <w:p w14:paraId="14BBC9C8" w14:textId="7F774756" w:rsidR="00CD008B" w:rsidRPr="00CD008B" w:rsidRDefault="00CD008B" w:rsidP="00243FBE">
      <w:pPr>
        <w:pStyle w:val="NumberLevel2"/>
        <w:numPr>
          <w:ilvl w:val="0"/>
          <w:numId w:val="45"/>
        </w:numPr>
        <w:rPr>
          <w:lang w:val="en-AU"/>
        </w:rPr>
      </w:pPr>
      <w:r w:rsidRPr="00CD008B">
        <w:rPr>
          <w:lang w:val="en-AU"/>
        </w:rPr>
        <w:t>in the Commission's opinion, most effectively achieves the outcomes set out in clause 63; and</w:t>
      </w:r>
    </w:p>
    <w:p w14:paraId="0338BFAC" w14:textId="77777777" w:rsidR="00CD008B" w:rsidRPr="00CD008B" w:rsidRDefault="00CD008B" w:rsidP="00243FBE">
      <w:pPr>
        <w:pStyle w:val="NumberLevel2"/>
        <w:numPr>
          <w:ilvl w:val="0"/>
          <w:numId w:val="45"/>
        </w:numPr>
        <w:rPr>
          <w:lang w:val="en-AU"/>
        </w:rPr>
      </w:pPr>
      <w:r w:rsidRPr="00CD008B">
        <w:rPr>
          <w:lang w:val="en-AU"/>
        </w:rPr>
        <w:t>is consistent with generally accepted regulatory practice at the time.</w:t>
      </w:r>
    </w:p>
    <w:p w14:paraId="54DA6084" w14:textId="51EC0806" w:rsidR="00517B51" w:rsidRPr="00C63267" w:rsidRDefault="00517B51" w:rsidP="00A7159D">
      <w:pPr>
        <w:pStyle w:val="NumberLevel2"/>
        <w:numPr>
          <w:ilvl w:val="1"/>
          <w:numId w:val="5"/>
        </w:numPr>
        <w:ind w:left="709" w:hanging="709"/>
        <w:rPr>
          <w:lang w:val="en-AU"/>
        </w:rPr>
      </w:pPr>
      <w:r w:rsidRPr="00C63267">
        <w:rPr>
          <w:lang w:val="en-AU"/>
        </w:rPr>
        <w:t xml:space="preserve">Clause 63 of the </w:t>
      </w:r>
      <w:r w:rsidR="00FB2EC5">
        <w:rPr>
          <w:lang w:val="en-AU"/>
        </w:rPr>
        <w:t>Network Access Code</w:t>
      </w:r>
      <w:r w:rsidRPr="00C63267">
        <w:rPr>
          <w:lang w:val="en-AU"/>
        </w:rPr>
        <w:t xml:space="preserve"> sets out the objectives of price regulation</w:t>
      </w:r>
      <w:r w:rsidR="009F6688">
        <w:rPr>
          <w:lang w:val="en-AU"/>
        </w:rPr>
        <w:t>,</w:t>
      </w:r>
      <w:r w:rsidR="00CD008B">
        <w:rPr>
          <w:lang w:val="en-AU"/>
        </w:rPr>
        <w:t xml:space="preserve"> which are</w:t>
      </w:r>
      <w:r w:rsidRPr="00C63267">
        <w:rPr>
          <w:lang w:val="en-AU"/>
        </w:rPr>
        <w:t>:</w:t>
      </w:r>
    </w:p>
    <w:p w14:paraId="58B58CE2" w14:textId="77777777" w:rsidR="00517B51" w:rsidRPr="008B4426" w:rsidRDefault="008B4426" w:rsidP="004B63D8">
      <w:pPr>
        <w:pStyle w:val="UtilComQuotationText"/>
        <w:tabs>
          <w:tab w:val="left" w:pos="1134"/>
        </w:tabs>
        <w:ind w:left="1548" w:hanging="414"/>
        <w:rPr>
          <w:lang w:val="en-AU"/>
        </w:rPr>
      </w:pPr>
      <w:r w:rsidRPr="008B4426">
        <w:rPr>
          <w:lang w:val="en-AU"/>
        </w:rPr>
        <w:t xml:space="preserve">(a) </w:t>
      </w:r>
      <w:r w:rsidRPr="008B4426">
        <w:rPr>
          <w:lang w:val="en-AU"/>
        </w:rPr>
        <w:tab/>
      </w:r>
      <w:r w:rsidR="00517B51" w:rsidRPr="008B4426">
        <w:rPr>
          <w:lang w:val="en-AU"/>
        </w:rPr>
        <w:t>efficient costs of supply;</w:t>
      </w:r>
    </w:p>
    <w:p w14:paraId="47EA92BE" w14:textId="77777777" w:rsidR="00517B51" w:rsidRPr="008B4426" w:rsidRDefault="00517B51" w:rsidP="004B63D8">
      <w:pPr>
        <w:pStyle w:val="UtilComQuotationText"/>
        <w:tabs>
          <w:tab w:val="left" w:pos="1276"/>
        </w:tabs>
        <w:ind w:left="1548" w:hanging="414"/>
        <w:rPr>
          <w:lang w:val="en-AU"/>
        </w:rPr>
      </w:pPr>
      <w:r w:rsidRPr="008B4426">
        <w:rPr>
          <w:lang w:val="en-AU"/>
        </w:rPr>
        <w:t>(aa)</w:t>
      </w:r>
      <w:r w:rsidRPr="008B4426">
        <w:rPr>
          <w:lang w:val="en-AU"/>
        </w:rPr>
        <w:tab/>
        <w:t>expected revenue for a regulated service or services that is at least sufficient to meet the efficient long-run costs of providing that regulated service or services, and includes a return on investment commensurate with the commercial and regulatory risks involved;</w:t>
      </w:r>
    </w:p>
    <w:p w14:paraId="0D0C584C" w14:textId="77777777" w:rsidR="00517B51" w:rsidRPr="008B4426" w:rsidRDefault="008B4426" w:rsidP="004B63D8">
      <w:pPr>
        <w:pStyle w:val="UtilComQuotationText"/>
        <w:tabs>
          <w:tab w:val="left" w:pos="1134"/>
        </w:tabs>
        <w:ind w:left="1548" w:hanging="414"/>
        <w:rPr>
          <w:lang w:val="en-AU"/>
        </w:rPr>
      </w:pPr>
      <w:r w:rsidRPr="008B4426">
        <w:rPr>
          <w:lang w:val="en-AU"/>
        </w:rPr>
        <w:t>(b)</w:t>
      </w:r>
      <w:r w:rsidRPr="008B4426">
        <w:rPr>
          <w:lang w:val="en-AU"/>
        </w:rPr>
        <w:tab/>
      </w:r>
      <w:r w:rsidR="00517B51" w:rsidRPr="008B4426">
        <w:rPr>
          <w:lang w:val="en-AU"/>
        </w:rPr>
        <w:t>prevention of monopoly rent extraction by the network provider;</w:t>
      </w:r>
    </w:p>
    <w:p w14:paraId="2DA403D9" w14:textId="77777777" w:rsidR="00517B51" w:rsidRPr="008B4426" w:rsidRDefault="008B4426" w:rsidP="004B63D8">
      <w:pPr>
        <w:pStyle w:val="UtilComQuotationText"/>
        <w:tabs>
          <w:tab w:val="left" w:pos="1134"/>
        </w:tabs>
        <w:ind w:left="1548" w:hanging="414"/>
        <w:rPr>
          <w:lang w:val="en-AU"/>
        </w:rPr>
      </w:pPr>
      <w:r w:rsidRPr="008B4426">
        <w:rPr>
          <w:lang w:val="en-AU"/>
        </w:rPr>
        <w:t>(c)</w:t>
      </w:r>
      <w:r w:rsidRPr="008B4426">
        <w:rPr>
          <w:lang w:val="en-AU"/>
        </w:rPr>
        <w:tab/>
      </w:r>
      <w:r w:rsidR="00517B51" w:rsidRPr="008B4426">
        <w:rPr>
          <w:lang w:val="en-AU"/>
        </w:rPr>
        <w:t>promotion of competition in upstream and downstream markets and promotion of competition in the provision of network services where economically feasible;</w:t>
      </w:r>
    </w:p>
    <w:p w14:paraId="08346411" w14:textId="77777777" w:rsidR="00517B51" w:rsidRPr="008B4426" w:rsidRDefault="00517B51" w:rsidP="004B63D8">
      <w:pPr>
        <w:pStyle w:val="UtilComQuotationText"/>
        <w:tabs>
          <w:tab w:val="left" w:pos="1134"/>
        </w:tabs>
        <w:ind w:left="1548" w:hanging="414"/>
        <w:rPr>
          <w:lang w:val="en-AU"/>
        </w:rPr>
      </w:pPr>
      <w:r w:rsidRPr="008B4426">
        <w:rPr>
          <w:lang w:val="en-AU"/>
        </w:rPr>
        <w:t>(ca)</w:t>
      </w:r>
      <w:r w:rsidRPr="008B4426">
        <w:rPr>
          <w:lang w:val="en-AU"/>
        </w:rPr>
        <w:tab/>
        <w:t>an efficient and cost-effective regulatory environment;</w:t>
      </w:r>
    </w:p>
    <w:p w14:paraId="5CEF978C" w14:textId="77777777" w:rsidR="00517B51" w:rsidRPr="008B4426" w:rsidRDefault="008B4426" w:rsidP="004B63D8">
      <w:pPr>
        <w:pStyle w:val="UtilComQuotationText"/>
        <w:tabs>
          <w:tab w:val="left" w:pos="1134"/>
        </w:tabs>
        <w:ind w:left="1548" w:hanging="414"/>
        <w:rPr>
          <w:lang w:val="en-AU"/>
        </w:rPr>
      </w:pPr>
      <w:r w:rsidRPr="008B4426">
        <w:rPr>
          <w:lang w:val="en-AU"/>
        </w:rPr>
        <w:t>(d)</w:t>
      </w:r>
      <w:r w:rsidRPr="008B4426">
        <w:rPr>
          <w:lang w:val="en-AU"/>
        </w:rPr>
        <w:tab/>
      </w:r>
      <w:r w:rsidR="00517B51" w:rsidRPr="008B4426">
        <w:rPr>
          <w:lang w:val="en-AU"/>
        </w:rPr>
        <w:t>regulatory accountability through transparency and public disclosure of regulatory processes and the basis of regulatory decisions;</w:t>
      </w:r>
    </w:p>
    <w:p w14:paraId="6E95B89D" w14:textId="77777777" w:rsidR="00517B51" w:rsidRPr="008B4426" w:rsidRDefault="008B4426" w:rsidP="004B63D8">
      <w:pPr>
        <w:pStyle w:val="UtilComQuotationText"/>
        <w:tabs>
          <w:tab w:val="left" w:pos="1134"/>
        </w:tabs>
        <w:ind w:left="1548" w:hanging="414"/>
        <w:rPr>
          <w:lang w:val="en-AU"/>
        </w:rPr>
      </w:pPr>
      <w:r w:rsidRPr="008B4426">
        <w:rPr>
          <w:lang w:val="en-AU"/>
        </w:rPr>
        <w:t>(e)</w:t>
      </w:r>
      <w:r w:rsidRPr="008B4426">
        <w:rPr>
          <w:lang w:val="en-AU"/>
        </w:rPr>
        <w:tab/>
      </w:r>
      <w:r w:rsidR="00517B51" w:rsidRPr="008B4426">
        <w:rPr>
          <w:lang w:val="en-AU"/>
        </w:rPr>
        <w:t xml:space="preserve">reasonable certainty and consistency over time of the outcomes of regulatory processes; </w:t>
      </w:r>
    </w:p>
    <w:p w14:paraId="00D84850" w14:textId="77777777" w:rsidR="00517B51" w:rsidRPr="008B4426" w:rsidRDefault="008B4426" w:rsidP="004B63D8">
      <w:pPr>
        <w:pStyle w:val="UtilComQuotationText"/>
        <w:tabs>
          <w:tab w:val="left" w:pos="1134"/>
        </w:tabs>
        <w:ind w:left="1548" w:hanging="414"/>
        <w:rPr>
          <w:lang w:val="en-AU"/>
        </w:rPr>
      </w:pPr>
      <w:r w:rsidRPr="008B4426">
        <w:rPr>
          <w:lang w:val="en-AU"/>
        </w:rPr>
        <w:t>(f)</w:t>
      </w:r>
      <w:r w:rsidRPr="008B4426">
        <w:rPr>
          <w:lang w:val="en-AU"/>
        </w:rPr>
        <w:tab/>
      </w:r>
      <w:r w:rsidR="00517B51" w:rsidRPr="008B4426">
        <w:rPr>
          <w:lang w:val="en-AU"/>
        </w:rPr>
        <w:t>an acceptable balancing of the interests of the network provider, network users and the public interest; and</w:t>
      </w:r>
    </w:p>
    <w:p w14:paraId="045AE07C" w14:textId="77777777" w:rsidR="00D32DF2" w:rsidRPr="008B4426" w:rsidRDefault="008B4426" w:rsidP="004B63D8">
      <w:pPr>
        <w:pStyle w:val="UtilComQuotationText"/>
        <w:tabs>
          <w:tab w:val="left" w:pos="1134"/>
        </w:tabs>
        <w:ind w:left="1548" w:hanging="414"/>
        <w:rPr>
          <w:lang w:val="en-AU"/>
        </w:rPr>
      </w:pPr>
      <w:r w:rsidRPr="008B4426">
        <w:rPr>
          <w:lang w:val="en-AU"/>
        </w:rPr>
        <w:t>(g)</w:t>
      </w:r>
      <w:r w:rsidRPr="008B4426">
        <w:rPr>
          <w:lang w:val="en-AU"/>
        </w:rPr>
        <w:tab/>
      </w:r>
      <w:r w:rsidR="00517B51" w:rsidRPr="008B4426">
        <w:rPr>
          <w:lang w:val="en-AU"/>
        </w:rPr>
        <w:t>such other outcomes as the regulator determines are consistent with the underlying principles set out in clause 2.</w:t>
      </w:r>
    </w:p>
    <w:p w14:paraId="491DBA31" w14:textId="0636B473" w:rsidR="00CD008B" w:rsidRDefault="00CD008B" w:rsidP="00A7159D">
      <w:pPr>
        <w:pStyle w:val="NumberLevel2"/>
        <w:numPr>
          <w:ilvl w:val="1"/>
          <w:numId w:val="5"/>
        </w:numPr>
        <w:ind w:left="709" w:hanging="709"/>
        <w:rPr>
          <w:lang w:val="en-AU"/>
        </w:rPr>
      </w:pPr>
      <w:r>
        <w:rPr>
          <w:lang w:val="en-AU"/>
        </w:rPr>
        <w:t xml:space="preserve">Clause 68 of the Network Access Code lists the factors </w:t>
      </w:r>
      <w:r w:rsidR="009F6688">
        <w:rPr>
          <w:lang w:val="en-AU"/>
        </w:rPr>
        <w:t>that</w:t>
      </w:r>
      <w:r>
        <w:rPr>
          <w:lang w:val="en-AU"/>
        </w:rPr>
        <w:t xml:space="preserve"> the Commission must take into account when setting the revenue cap or price cap. </w:t>
      </w:r>
      <w:r w:rsidRPr="00CD008B">
        <w:rPr>
          <w:lang w:val="en-AU"/>
        </w:rPr>
        <w:t>The list of factors is expressed as an 'exclusive' list rather than an 'inclusive' list and includes demand growth, service standards, provision of an efficient rate of return and recovery of efficient costs.</w:t>
      </w:r>
    </w:p>
    <w:p w14:paraId="54FA83F2" w14:textId="4F6161EB" w:rsidR="00C9740F" w:rsidRPr="00DD495C" w:rsidRDefault="00C9740F" w:rsidP="00C9740F">
      <w:pPr>
        <w:pStyle w:val="UtilComHeading3"/>
      </w:pPr>
      <w:r>
        <w:t xml:space="preserve">National Electricity Law </w:t>
      </w:r>
    </w:p>
    <w:p w14:paraId="0EA4CA26" w14:textId="345CE837" w:rsidR="008F1BCC" w:rsidRDefault="00C9740F" w:rsidP="00A7159D">
      <w:pPr>
        <w:pStyle w:val="NumberLevel2"/>
        <w:numPr>
          <w:ilvl w:val="1"/>
          <w:numId w:val="5"/>
        </w:numPr>
        <w:ind w:left="709" w:hanging="709"/>
        <w:rPr>
          <w:lang w:val="en-AU"/>
        </w:rPr>
      </w:pPr>
      <w:r w:rsidRPr="00C63267">
        <w:rPr>
          <w:lang w:val="en-AU"/>
        </w:rPr>
        <w:t xml:space="preserve">The NEL sets out the functions and powers of the AER, including its role as the economic regulator of utilities operating in the NEM. </w:t>
      </w:r>
    </w:p>
    <w:p w14:paraId="29A4B461" w14:textId="62EBC315" w:rsidR="00C9740F" w:rsidRPr="00C63267" w:rsidRDefault="00C9740F" w:rsidP="00A7159D">
      <w:pPr>
        <w:pStyle w:val="NumberLevel2"/>
        <w:numPr>
          <w:ilvl w:val="1"/>
          <w:numId w:val="5"/>
        </w:numPr>
        <w:ind w:left="709" w:hanging="709"/>
        <w:rPr>
          <w:lang w:val="en-AU"/>
        </w:rPr>
      </w:pPr>
      <w:r w:rsidRPr="00C63267">
        <w:rPr>
          <w:lang w:val="en-AU"/>
        </w:rPr>
        <w:t>Section 16 of the NEL states that when performing or exercising a regulatory function or power, the AER must do so in a manner that will or is likely to contribute to the achievement of the national electricity objective.</w:t>
      </w:r>
    </w:p>
    <w:p w14:paraId="2EA8C26F" w14:textId="77777777" w:rsidR="00C9740F" w:rsidRPr="00C63267" w:rsidRDefault="00C9740F" w:rsidP="00A7159D">
      <w:pPr>
        <w:pStyle w:val="NumberLevel2"/>
        <w:numPr>
          <w:ilvl w:val="1"/>
          <w:numId w:val="5"/>
        </w:numPr>
        <w:ind w:left="709" w:hanging="709"/>
        <w:rPr>
          <w:lang w:val="en-AU"/>
        </w:rPr>
      </w:pPr>
      <w:r w:rsidRPr="00C63267">
        <w:rPr>
          <w:lang w:val="en-AU"/>
        </w:rPr>
        <w:t>The nat</w:t>
      </w:r>
      <w:r w:rsidR="00A43BC5" w:rsidRPr="00C63267">
        <w:rPr>
          <w:lang w:val="en-AU"/>
        </w:rPr>
        <w:t>ional electricity objective is:</w:t>
      </w:r>
      <w:r w:rsidR="00A43BC5" w:rsidRPr="00C63267">
        <w:rPr>
          <w:rStyle w:val="FootnoteReference"/>
        </w:rPr>
        <w:footnoteReference w:id="13"/>
      </w:r>
    </w:p>
    <w:p w14:paraId="1B37E3F5" w14:textId="77777777" w:rsidR="00C9740F" w:rsidRDefault="00C9740F" w:rsidP="004B63D8">
      <w:pPr>
        <w:pStyle w:val="UtilComQuotationText"/>
        <w:ind w:left="1145"/>
      </w:pPr>
      <w:r>
        <w:t>…to promote efficient investment in, and efficient operation and use of, electricity services for the long term interests of consumers of electricity with respect to</w:t>
      </w:r>
      <w:r w:rsidR="009A1B61">
        <w:t xml:space="preserve"> </w:t>
      </w:r>
      <w:r>
        <w:t>–</w:t>
      </w:r>
    </w:p>
    <w:p w14:paraId="4A30FA5B" w14:textId="77777777" w:rsidR="00C9740F" w:rsidRDefault="00C9740F" w:rsidP="004B63D8">
      <w:pPr>
        <w:pStyle w:val="UtilComQuotationText"/>
        <w:ind w:left="1570" w:hanging="425"/>
      </w:pPr>
      <w:r>
        <w:t xml:space="preserve">(a) </w:t>
      </w:r>
      <w:r w:rsidR="00326006">
        <w:tab/>
      </w:r>
      <w:r>
        <w:t>price, quality, safety, reliability and security of supply of electricity; and</w:t>
      </w:r>
    </w:p>
    <w:p w14:paraId="5401526B" w14:textId="77777777" w:rsidR="00C9740F" w:rsidRDefault="00C9740F" w:rsidP="004B63D8">
      <w:pPr>
        <w:pStyle w:val="UtilComQuotationText"/>
        <w:ind w:left="1570" w:hanging="425"/>
      </w:pPr>
      <w:r>
        <w:t xml:space="preserve">(b) </w:t>
      </w:r>
      <w:r w:rsidR="00326006">
        <w:tab/>
      </w:r>
      <w:r>
        <w:t>the reliability, safety and security of the national electricity system.</w:t>
      </w:r>
    </w:p>
    <w:p w14:paraId="51C3B926" w14:textId="7EF8DC52" w:rsidR="00C9740F" w:rsidRPr="00C63267" w:rsidRDefault="00B27F3B" w:rsidP="00A7159D">
      <w:pPr>
        <w:pStyle w:val="NumberLevel2"/>
        <w:numPr>
          <w:ilvl w:val="1"/>
          <w:numId w:val="5"/>
        </w:numPr>
        <w:ind w:left="709" w:hanging="709"/>
        <w:rPr>
          <w:lang w:val="en-AU"/>
        </w:rPr>
      </w:pPr>
      <w:r>
        <w:rPr>
          <w:lang w:val="en-AU"/>
        </w:rPr>
        <w:t>In</w:t>
      </w:r>
      <w:r w:rsidR="00C9740F" w:rsidRPr="00C63267">
        <w:rPr>
          <w:lang w:val="en-AU"/>
        </w:rPr>
        <w:t xml:space="preserve"> performing or exercising its regulatory functions or powers, the AER must </w:t>
      </w:r>
      <w:r>
        <w:rPr>
          <w:lang w:val="en-AU"/>
        </w:rPr>
        <w:t xml:space="preserve">also </w:t>
      </w:r>
      <w:r w:rsidR="00C9740F" w:rsidRPr="00C63267">
        <w:rPr>
          <w:lang w:val="en-AU"/>
        </w:rPr>
        <w:t xml:space="preserve">ensure that the regulated DNSP to which </w:t>
      </w:r>
      <w:r>
        <w:rPr>
          <w:lang w:val="en-AU"/>
        </w:rPr>
        <w:t xml:space="preserve">a </w:t>
      </w:r>
      <w:r w:rsidR="00C9740F" w:rsidRPr="00C63267">
        <w:rPr>
          <w:lang w:val="en-AU"/>
        </w:rPr>
        <w:t>determination applies and any affected registered participant</w:t>
      </w:r>
      <w:r>
        <w:rPr>
          <w:lang w:val="en-AU"/>
        </w:rPr>
        <w:t>s</w:t>
      </w:r>
      <w:r w:rsidR="00C9740F" w:rsidRPr="00C63267">
        <w:rPr>
          <w:lang w:val="en-AU"/>
        </w:rPr>
        <w:t xml:space="preserve"> a</w:t>
      </w:r>
      <w:r w:rsidR="00A43BC5" w:rsidRPr="00C63267">
        <w:rPr>
          <w:lang w:val="en-AU"/>
        </w:rPr>
        <w:t>re, in accordance with the NER:</w:t>
      </w:r>
      <w:r w:rsidR="008E6859" w:rsidRPr="00C63267">
        <w:rPr>
          <w:rStyle w:val="FootnoteReference"/>
        </w:rPr>
        <w:footnoteReference w:id="14"/>
      </w:r>
    </w:p>
    <w:p w14:paraId="5CA2BE52" w14:textId="77777777" w:rsidR="00C9740F" w:rsidRDefault="00C9740F" w:rsidP="004B63D8">
      <w:pPr>
        <w:pStyle w:val="UtilComQuotationText"/>
        <w:ind w:left="1570" w:hanging="425"/>
      </w:pPr>
      <w:r>
        <w:t xml:space="preserve">(i) </w:t>
      </w:r>
      <w:r w:rsidR="00326006">
        <w:tab/>
      </w:r>
      <w:r>
        <w:t>informed of material issues under consideration by the AER; and</w:t>
      </w:r>
    </w:p>
    <w:p w14:paraId="6A6C2F9F" w14:textId="77777777" w:rsidR="00C9740F" w:rsidRDefault="00C9740F" w:rsidP="004B63D8">
      <w:pPr>
        <w:pStyle w:val="UtilComQuotationText"/>
        <w:ind w:left="1570" w:hanging="425"/>
      </w:pPr>
      <w:r>
        <w:t xml:space="preserve">(ii) </w:t>
      </w:r>
      <w:r w:rsidR="00326006">
        <w:tab/>
      </w:r>
      <w:r>
        <w:t>given a reasonable opportunity to make submissions in respect of that determination before it is made.</w:t>
      </w:r>
    </w:p>
    <w:p w14:paraId="536BCCD0" w14:textId="5815AAA1" w:rsidR="00C9740F" w:rsidRPr="00C63267" w:rsidRDefault="00C9740F" w:rsidP="00A7159D">
      <w:pPr>
        <w:pStyle w:val="NumberLevel2"/>
        <w:numPr>
          <w:ilvl w:val="1"/>
          <w:numId w:val="5"/>
        </w:numPr>
        <w:ind w:left="709" w:hanging="709"/>
        <w:rPr>
          <w:lang w:val="en-AU"/>
        </w:rPr>
      </w:pPr>
      <w:r w:rsidRPr="00C63267">
        <w:rPr>
          <w:lang w:val="en-AU"/>
        </w:rPr>
        <w:t xml:space="preserve">Section 7A of the NEL also specifies </w:t>
      </w:r>
      <w:r w:rsidR="00B27F3B">
        <w:rPr>
          <w:lang w:val="en-AU"/>
        </w:rPr>
        <w:t xml:space="preserve">the </w:t>
      </w:r>
      <w:r w:rsidRPr="00C63267">
        <w:rPr>
          <w:lang w:val="en-AU"/>
        </w:rPr>
        <w:t xml:space="preserve">revenue and pricing principles that the AER must take into account in making a determination in relation to direct control services. </w:t>
      </w:r>
    </w:p>
    <w:p w14:paraId="5938489E" w14:textId="53206959" w:rsidR="00C9740F" w:rsidRPr="00DD495C" w:rsidRDefault="00C9740F" w:rsidP="00C9740F">
      <w:pPr>
        <w:pStyle w:val="UtilComHeading3"/>
      </w:pPr>
      <w:r>
        <w:t xml:space="preserve">National Electricity Rules </w:t>
      </w:r>
    </w:p>
    <w:p w14:paraId="3E95B1E6" w14:textId="1EB48BF0" w:rsidR="00485959" w:rsidRDefault="00607DC3" w:rsidP="00A7159D">
      <w:pPr>
        <w:pStyle w:val="NumberLevel2"/>
        <w:numPr>
          <w:ilvl w:val="1"/>
          <w:numId w:val="4"/>
        </w:numPr>
        <w:tabs>
          <w:tab w:val="num" w:pos="1569"/>
        </w:tabs>
        <w:ind w:left="709" w:hanging="709"/>
        <w:rPr>
          <w:lang w:val="en-AU"/>
        </w:rPr>
      </w:pPr>
      <w:r w:rsidRPr="00C63267">
        <w:rPr>
          <w:lang w:val="en-AU"/>
        </w:rPr>
        <w:t xml:space="preserve">Chapter 6 of the NER sets out </w:t>
      </w:r>
      <w:r w:rsidR="007575BE">
        <w:rPr>
          <w:lang w:val="en-AU"/>
        </w:rPr>
        <w:t xml:space="preserve">the </w:t>
      </w:r>
      <w:r w:rsidRPr="00C63267">
        <w:rPr>
          <w:lang w:val="en-AU"/>
        </w:rPr>
        <w:t xml:space="preserve">provisions that the AER must apply in exercising its regulatory functions and powers </w:t>
      </w:r>
      <w:r w:rsidR="00485959">
        <w:rPr>
          <w:lang w:val="en-AU"/>
        </w:rPr>
        <w:t>relating to the economic regulation of distribution services</w:t>
      </w:r>
      <w:r w:rsidRPr="00C63267">
        <w:rPr>
          <w:lang w:val="en-AU"/>
        </w:rPr>
        <w:t xml:space="preserve">. </w:t>
      </w:r>
    </w:p>
    <w:p w14:paraId="4C6E4420" w14:textId="7033832E" w:rsidR="00485959" w:rsidRPr="00485959" w:rsidRDefault="00485959" w:rsidP="00485959">
      <w:pPr>
        <w:pStyle w:val="NumberLevel2"/>
        <w:numPr>
          <w:ilvl w:val="1"/>
          <w:numId w:val="4"/>
        </w:numPr>
        <w:tabs>
          <w:tab w:val="num" w:pos="1569"/>
        </w:tabs>
        <w:ind w:left="709" w:hanging="709"/>
        <w:rPr>
          <w:lang w:val="en-AU"/>
        </w:rPr>
      </w:pPr>
      <w:r w:rsidRPr="00485959">
        <w:rPr>
          <w:lang w:val="en-AU"/>
        </w:rPr>
        <w:t>In particular, Chapter 6 requires the AER to make a distribution determination predicated on the constituent decisions set out in clause 6.12.1 of the NER.</w:t>
      </w:r>
    </w:p>
    <w:p w14:paraId="340544DE" w14:textId="337B84D3" w:rsidR="00485959" w:rsidRPr="00485959" w:rsidRDefault="00485959" w:rsidP="00485959">
      <w:pPr>
        <w:pStyle w:val="NumberLevel2"/>
        <w:numPr>
          <w:ilvl w:val="1"/>
          <w:numId w:val="4"/>
        </w:numPr>
        <w:tabs>
          <w:tab w:val="num" w:pos="1569"/>
        </w:tabs>
        <w:ind w:left="709" w:hanging="709"/>
        <w:rPr>
          <w:lang w:val="en-AU"/>
        </w:rPr>
      </w:pPr>
      <w:r w:rsidRPr="00485959">
        <w:rPr>
          <w:lang w:val="en-AU"/>
        </w:rPr>
        <w:t>A building block determination is a component of a distribution determination and must specify the following matters</w:t>
      </w:r>
      <w:r>
        <w:rPr>
          <w:lang w:val="en-AU"/>
        </w:rPr>
        <w:t>:</w:t>
      </w:r>
      <w:r>
        <w:rPr>
          <w:rStyle w:val="FootnoteReference"/>
          <w:lang w:val="en-AU"/>
        </w:rPr>
        <w:footnoteReference w:id="15"/>
      </w:r>
    </w:p>
    <w:p w14:paraId="0B49FB8C" w14:textId="0F71A7D3" w:rsidR="00607DC3" w:rsidRPr="00485959" w:rsidRDefault="00607DC3" w:rsidP="00243FBE">
      <w:pPr>
        <w:pStyle w:val="UtilComQuotationText"/>
        <w:numPr>
          <w:ilvl w:val="0"/>
          <w:numId w:val="46"/>
        </w:numPr>
        <w:rPr>
          <w:lang w:val="en-AU"/>
        </w:rPr>
      </w:pPr>
      <w:r w:rsidRPr="00485959">
        <w:rPr>
          <w:lang w:val="en-AU"/>
        </w:rPr>
        <w:t>the Distribution Network Service Provider’s annual revenue requirement for each regulatory year of the regulatory control period;</w:t>
      </w:r>
    </w:p>
    <w:p w14:paraId="3043E308" w14:textId="68E7745E" w:rsidR="00607DC3" w:rsidRPr="00485959" w:rsidRDefault="00607DC3" w:rsidP="00243FBE">
      <w:pPr>
        <w:pStyle w:val="UtilComQuotationText"/>
        <w:numPr>
          <w:ilvl w:val="0"/>
          <w:numId w:val="46"/>
        </w:numPr>
        <w:rPr>
          <w:lang w:val="en-AU"/>
        </w:rPr>
      </w:pPr>
      <w:r w:rsidRPr="00485959">
        <w:rPr>
          <w:lang w:val="en-AU"/>
        </w:rPr>
        <w:t>appropriate methods for the indexation of the regulatory asset base;</w:t>
      </w:r>
    </w:p>
    <w:p w14:paraId="37697416" w14:textId="5FA12BEA" w:rsidR="00607DC3" w:rsidRPr="00485959" w:rsidRDefault="00607DC3" w:rsidP="00243FBE">
      <w:pPr>
        <w:pStyle w:val="UtilComQuotationText"/>
        <w:numPr>
          <w:ilvl w:val="0"/>
          <w:numId w:val="46"/>
        </w:numPr>
        <w:rPr>
          <w:lang w:val="en-AU"/>
        </w:rPr>
      </w:pPr>
      <w:r w:rsidRPr="00485959">
        <w:rPr>
          <w:lang w:val="en-AU"/>
        </w:rPr>
        <w:t xml:space="preserve">how any applicable efficiency benefit sharing scheme, </w:t>
      </w:r>
      <w:r w:rsidR="005234E6" w:rsidRPr="00485959">
        <w:rPr>
          <w:lang w:val="en-AU"/>
        </w:rPr>
        <w:t xml:space="preserve">capital expenditure sharing scheme, </w:t>
      </w:r>
      <w:r w:rsidRPr="00485959">
        <w:rPr>
          <w:lang w:val="en-AU"/>
        </w:rPr>
        <w:t xml:space="preserve">service target performance incentive scheme, demand management incentive scheme </w:t>
      </w:r>
      <w:r w:rsidR="005234E6" w:rsidRPr="00485959">
        <w:rPr>
          <w:lang w:val="en-AU"/>
        </w:rPr>
        <w:t xml:space="preserve">or small-scale incentive scheme </w:t>
      </w:r>
      <w:r w:rsidRPr="00485959">
        <w:rPr>
          <w:lang w:val="en-AU"/>
        </w:rPr>
        <w:t>are to apply to the Distribution Network Service Provider;</w:t>
      </w:r>
    </w:p>
    <w:p w14:paraId="63974316" w14:textId="609EC3A3" w:rsidR="00607DC3" w:rsidRPr="00485959" w:rsidRDefault="00607DC3" w:rsidP="00243FBE">
      <w:pPr>
        <w:pStyle w:val="UtilComQuotationText"/>
        <w:numPr>
          <w:ilvl w:val="0"/>
          <w:numId w:val="46"/>
        </w:numPr>
        <w:rPr>
          <w:lang w:val="en-AU"/>
        </w:rPr>
      </w:pPr>
      <w:r w:rsidRPr="00485959">
        <w:rPr>
          <w:lang w:val="en-AU"/>
        </w:rPr>
        <w:t>the commencement and length of the regulatory control period;</w:t>
      </w:r>
      <w:r w:rsidR="00460A08" w:rsidRPr="00485959">
        <w:rPr>
          <w:lang w:val="en-AU"/>
        </w:rPr>
        <w:t xml:space="preserve"> and</w:t>
      </w:r>
    </w:p>
    <w:p w14:paraId="3CF58DB1" w14:textId="12993D8E" w:rsidR="00607DC3" w:rsidRPr="00485959" w:rsidRDefault="00607DC3" w:rsidP="00243FBE">
      <w:pPr>
        <w:pStyle w:val="UtilComQuotationText"/>
        <w:numPr>
          <w:ilvl w:val="0"/>
          <w:numId w:val="46"/>
        </w:numPr>
        <w:rPr>
          <w:lang w:val="en-AU"/>
        </w:rPr>
      </w:pPr>
      <w:r w:rsidRPr="00485959">
        <w:rPr>
          <w:lang w:val="en-AU"/>
        </w:rPr>
        <w:t>any other amounts, values or inputs on which the building block determination is based (differentiating between those contained in, or inferred from, the service provider’s building block proposal and those based on the AER’s own estimates or assumptions).</w:t>
      </w:r>
    </w:p>
    <w:p w14:paraId="33498BF4" w14:textId="2B5AFCE6" w:rsidR="00424C29" w:rsidRPr="00E52846" w:rsidRDefault="00485959" w:rsidP="000B465A">
      <w:pPr>
        <w:pStyle w:val="UtilComHeading3"/>
      </w:pPr>
      <w:r>
        <w:t>A</w:t>
      </w:r>
      <w:r w:rsidR="00424C29" w:rsidRPr="00E52846">
        <w:t xml:space="preserve">uthority to </w:t>
      </w:r>
      <w:r>
        <w:t>adopt</w:t>
      </w:r>
      <w:r w:rsidR="00424C29" w:rsidRPr="00E52846">
        <w:t xml:space="preserve"> the NER</w:t>
      </w:r>
      <w:r>
        <w:t xml:space="preserve"> in the 2014 Network Price Determination</w:t>
      </w:r>
    </w:p>
    <w:p w14:paraId="278AE283" w14:textId="751FA39A" w:rsidR="00E52846" w:rsidRPr="00B3333C" w:rsidRDefault="00E52846" w:rsidP="000B465A">
      <w:pPr>
        <w:pStyle w:val="NumberLevel2"/>
        <w:numPr>
          <w:ilvl w:val="1"/>
          <w:numId w:val="4"/>
        </w:numPr>
        <w:tabs>
          <w:tab w:val="num" w:pos="709"/>
        </w:tabs>
        <w:ind w:left="709" w:hanging="709"/>
      </w:pPr>
      <w:r w:rsidRPr="000B465A">
        <w:rPr>
          <w:lang w:val="en-AU"/>
        </w:rPr>
        <w:t xml:space="preserve">The Commission has </w:t>
      </w:r>
      <w:r w:rsidR="00485959">
        <w:rPr>
          <w:lang w:val="en-AU"/>
        </w:rPr>
        <w:t xml:space="preserve">a broad </w:t>
      </w:r>
      <w:r w:rsidRPr="000B465A">
        <w:rPr>
          <w:lang w:val="en-AU"/>
        </w:rPr>
        <w:t>authority under Chapter 6 of the</w:t>
      </w:r>
      <w:r>
        <w:rPr>
          <w:lang w:val="en-AU"/>
        </w:rPr>
        <w:t xml:space="preserve"> </w:t>
      </w:r>
      <w:r w:rsidR="00FB2EC5">
        <w:rPr>
          <w:lang w:val="en-AU"/>
        </w:rPr>
        <w:t>Network Access Code</w:t>
      </w:r>
      <w:r w:rsidRPr="000B465A">
        <w:rPr>
          <w:lang w:val="en-AU"/>
        </w:rPr>
        <w:t xml:space="preserve"> to make revenue cap determinations for regulated network access services.</w:t>
      </w:r>
      <w:r w:rsidR="002237F4">
        <w:rPr>
          <w:rStyle w:val="FootnoteReference"/>
          <w:lang w:val="en-AU"/>
        </w:rPr>
        <w:footnoteReference w:id="16"/>
      </w:r>
      <w:r>
        <w:rPr>
          <w:lang w:val="en-AU"/>
        </w:rPr>
        <w:t xml:space="preserve"> </w:t>
      </w:r>
      <w:r w:rsidRPr="000B465A">
        <w:rPr>
          <w:lang w:val="en-AU"/>
        </w:rPr>
        <w:t xml:space="preserve">This broad authority </w:t>
      </w:r>
      <w:r w:rsidR="009F6688">
        <w:rPr>
          <w:lang w:val="en-AU"/>
        </w:rPr>
        <w:t>alone</w:t>
      </w:r>
      <w:r w:rsidRPr="000B465A">
        <w:rPr>
          <w:lang w:val="en-AU"/>
        </w:rPr>
        <w:t xml:space="preserve"> permit</w:t>
      </w:r>
      <w:r w:rsidR="002237F4">
        <w:rPr>
          <w:lang w:val="en-AU"/>
        </w:rPr>
        <w:t>s</w:t>
      </w:r>
      <w:r w:rsidRPr="000B465A">
        <w:rPr>
          <w:lang w:val="en-AU"/>
        </w:rPr>
        <w:t xml:space="preserve"> the inclusion of NER </w:t>
      </w:r>
      <w:r w:rsidR="00485959">
        <w:rPr>
          <w:lang w:val="en-AU"/>
        </w:rPr>
        <w:t>conventions, rules</w:t>
      </w:r>
      <w:r w:rsidR="00485959" w:rsidRPr="000B465A">
        <w:rPr>
          <w:lang w:val="en-AU"/>
        </w:rPr>
        <w:t xml:space="preserve"> </w:t>
      </w:r>
      <w:r w:rsidRPr="000B465A">
        <w:rPr>
          <w:lang w:val="en-AU"/>
        </w:rPr>
        <w:t>and procedures in the 2014</w:t>
      </w:r>
      <w:r w:rsidR="002237F4">
        <w:rPr>
          <w:lang w:val="en-AU"/>
        </w:rPr>
        <w:t xml:space="preserve"> Network </w:t>
      </w:r>
      <w:r w:rsidR="00BC3F41">
        <w:rPr>
          <w:lang w:val="en-AU"/>
        </w:rPr>
        <w:t xml:space="preserve">Price </w:t>
      </w:r>
      <w:r w:rsidR="002237F4">
        <w:rPr>
          <w:lang w:val="en-AU"/>
        </w:rPr>
        <w:t>Determination</w:t>
      </w:r>
      <w:r w:rsidRPr="000B465A">
        <w:rPr>
          <w:lang w:val="en-AU"/>
        </w:rPr>
        <w:t xml:space="preserve">.  </w:t>
      </w:r>
    </w:p>
    <w:p w14:paraId="16209163" w14:textId="3874B5BD" w:rsidR="00E52846" w:rsidRPr="00B3333C" w:rsidRDefault="00671B8E" w:rsidP="000B465A">
      <w:pPr>
        <w:pStyle w:val="NumberLevel2"/>
        <w:numPr>
          <w:ilvl w:val="1"/>
          <w:numId w:val="4"/>
        </w:numPr>
        <w:tabs>
          <w:tab w:val="num" w:pos="1569"/>
        </w:tabs>
        <w:ind w:left="709" w:hanging="709"/>
      </w:pPr>
      <w:r w:rsidRPr="00471B7D">
        <w:rPr>
          <w:lang w:val="en-AU"/>
        </w:rPr>
        <w:t>However,</w:t>
      </w:r>
      <w:r>
        <w:rPr>
          <w:lang w:val="en-AU"/>
        </w:rPr>
        <w:t xml:space="preserve"> c</w:t>
      </w:r>
      <w:r w:rsidR="00E52846" w:rsidRPr="000B465A">
        <w:rPr>
          <w:lang w:val="en-AU"/>
        </w:rPr>
        <w:t xml:space="preserve">lause 66(3) of the </w:t>
      </w:r>
      <w:r w:rsidR="00FB2EC5">
        <w:rPr>
          <w:lang w:val="en-AU"/>
        </w:rPr>
        <w:t>Network Access Code</w:t>
      </w:r>
      <w:r w:rsidR="00E52846" w:rsidRPr="000B465A">
        <w:rPr>
          <w:lang w:val="en-AU"/>
        </w:rPr>
        <w:t xml:space="preserve"> gives the Commission the authority to include NER </w:t>
      </w:r>
      <w:r w:rsidR="00485959">
        <w:rPr>
          <w:lang w:val="en-AU"/>
        </w:rPr>
        <w:t>conventions, rules</w:t>
      </w:r>
      <w:r w:rsidR="00485959" w:rsidRPr="000B465A">
        <w:rPr>
          <w:lang w:val="en-AU"/>
        </w:rPr>
        <w:t xml:space="preserve"> </w:t>
      </w:r>
      <w:r w:rsidR="00E52846" w:rsidRPr="000B465A">
        <w:rPr>
          <w:lang w:val="en-AU"/>
        </w:rPr>
        <w:t xml:space="preserve">and procedures in the 2014 </w:t>
      </w:r>
      <w:r w:rsidR="00BC3F41">
        <w:rPr>
          <w:lang w:val="en-AU"/>
        </w:rPr>
        <w:t>Network Price Determination</w:t>
      </w:r>
      <w:r w:rsidR="00E52846" w:rsidRPr="000B465A">
        <w:rPr>
          <w:lang w:val="en-AU"/>
        </w:rPr>
        <w:t>.</w:t>
      </w:r>
      <w:r>
        <w:rPr>
          <w:lang w:val="en-AU"/>
        </w:rPr>
        <w:t xml:space="preserve"> </w:t>
      </w:r>
      <w:r w:rsidR="00485959">
        <w:rPr>
          <w:lang w:val="en-AU"/>
        </w:rPr>
        <w:t>More importantly</w:t>
      </w:r>
      <w:r>
        <w:rPr>
          <w:lang w:val="en-AU"/>
        </w:rPr>
        <w:t xml:space="preserve">, </w:t>
      </w:r>
      <w:r w:rsidR="00E52846" w:rsidRPr="000B465A">
        <w:rPr>
          <w:lang w:val="en-AU"/>
        </w:rPr>
        <w:t xml:space="preserve">clause 66(3) of the </w:t>
      </w:r>
      <w:r w:rsidR="00FB2EC5">
        <w:rPr>
          <w:lang w:val="en-AU"/>
        </w:rPr>
        <w:t>Network Access Code</w:t>
      </w:r>
      <w:r w:rsidR="00E52846" w:rsidRPr="000B465A">
        <w:rPr>
          <w:lang w:val="en-AU"/>
        </w:rPr>
        <w:t xml:space="preserve"> actually requires the Commission to include NER </w:t>
      </w:r>
      <w:r w:rsidR="00485959">
        <w:rPr>
          <w:lang w:val="en-AU"/>
        </w:rPr>
        <w:t>conventions, rules</w:t>
      </w:r>
      <w:r w:rsidR="00485959" w:rsidRPr="000B465A">
        <w:rPr>
          <w:lang w:val="en-AU"/>
        </w:rPr>
        <w:t xml:space="preserve"> </w:t>
      </w:r>
      <w:r w:rsidR="00E52846" w:rsidRPr="000B465A">
        <w:rPr>
          <w:lang w:val="en-AU"/>
        </w:rPr>
        <w:t xml:space="preserve">and procedures in the 2014 </w:t>
      </w:r>
      <w:r w:rsidR="00485959">
        <w:rPr>
          <w:lang w:val="en-AU"/>
        </w:rPr>
        <w:t>Network Price Determination</w:t>
      </w:r>
      <w:r w:rsidR="00485959" w:rsidRPr="000B465A">
        <w:rPr>
          <w:lang w:val="en-AU"/>
        </w:rPr>
        <w:t xml:space="preserve"> </w:t>
      </w:r>
      <w:r w:rsidR="00E52846" w:rsidRPr="000B465A">
        <w:rPr>
          <w:lang w:val="en-AU"/>
        </w:rPr>
        <w:t xml:space="preserve">if: </w:t>
      </w:r>
    </w:p>
    <w:p w14:paraId="7A76359D" w14:textId="1EF40CC2" w:rsidR="00E52846" w:rsidRPr="00B3333C" w:rsidRDefault="00E52846" w:rsidP="00243FBE">
      <w:pPr>
        <w:pStyle w:val="NumberLevel2"/>
        <w:numPr>
          <w:ilvl w:val="0"/>
          <w:numId w:val="47"/>
        </w:numPr>
        <w:tabs>
          <w:tab w:val="left" w:pos="1418"/>
        </w:tabs>
      </w:pPr>
      <w:r w:rsidRPr="000B465A">
        <w:rPr>
          <w:lang w:val="en-AU"/>
        </w:rPr>
        <w:t xml:space="preserve">those </w:t>
      </w:r>
      <w:r w:rsidR="00485959">
        <w:rPr>
          <w:lang w:val="en-AU"/>
        </w:rPr>
        <w:t>conventions, rules</w:t>
      </w:r>
      <w:r w:rsidR="00485959" w:rsidRPr="000B465A">
        <w:rPr>
          <w:lang w:val="en-AU"/>
        </w:rPr>
        <w:t xml:space="preserve"> </w:t>
      </w:r>
      <w:r w:rsidRPr="000B465A">
        <w:rPr>
          <w:lang w:val="en-AU"/>
        </w:rPr>
        <w:t xml:space="preserve">and procedures are consistent with other applicable Territory laws; and </w:t>
      </w:r>
    </w:p>
    <w:p w14:paraId="23F3C026" w14:textId="139A3BE1" w:rsidR="00E52846" w:rsidRPr="00485959" w:rsidRDefault="00E52846" w:rsidP="00243FBE">
      <w:pPr>
        <w:pStyle w:val="NumberLevel2"/>
        <w:numPr>
          <w:ilvl w:val="0"/>
          <w:numId w:val="47"/>
        </w:numPr>
        <w:tabs>
          <w:tab w:val="left" w:pos="1418"/>
        </w:tabs>
        <w:rPr>
          <w:lang w:val="en-AU"/>
        </w:rPr>
      </w:pPr>
      <w:r w:rsidRPr="000B465A">
        <w:rPr>
          <w:lang w:val="en-AU"/>
        </w:rPr>
        <w:t xml:space="preserve">the Commission believes that those </w:t>
      </w:r>
      <w:r w:rsidR="00BE505E">
        <w:rPr>
          <w:lang w:val="en-AU"/>
        </w:rPr>
        <w:t>conventions, rules</w:t>
      </w:r>
      <w:r w:rsidR="00BE505E" w:rsidRPr="000B465A">
        <w:rPr>
          <w:lang w:val="en-AU"/>
        </w:rPr>
        <w:t xml:space="preserve"> </w:t>
      </w:r>
      <w:r w:rsidRPr="000B465A">
        <w:rPr>
          <w:lang w:val="en-AU"/>
        </w:rPr>
        <w:t xml:space="preserve">and procedures are the most effective way of achieving the desired outcomes set out in clause 63 of the </w:t>
      </w:r>
      <w:r w:rsidR="00FB2EC5">
        <w:rPr>
          <w:lang w:val="en-AU"/>
        </w:rPr>
        <w:t>Network Access Code</w:t>
      </w:r>
      <w:r w:rsidRPr="000B465A">
        <w:rPr>
          <w:lang w:val="en-AU"/>
        </w:rPr>
        <w:t xml:space="preserve">. </w:t>
      </w:r>
    </w:p>
    <w:p w14:paraId="002F8CAF" w14:textId="0527BD4E" w:rsidR="00BE505E" w:rsidRPr="00BE505E" w:rsidRDefault="00BE505E" w:rsidP="00BE505E">
      <w:pPr>
        <w:pStyle w:val="NumberLevel2"/>
        <w:numPr>
          <w:ilvl w:val="1"/>
          <w:numId w:val="4"/>
        </w:numPr>
        <w:tabs>
          <w:tab w:val="num" w:pos="1569"/>
        </w:tabs>
        <w:ind w:left="709" w:hanging="709"/>
        <w:rPr>
          <w:lang w:val="en-AU"/>
        </w:rPr>
      </w:pPr>
      <w:r w:rsidRPr="00BE505E">
        <w:rPr>
          <w:lang w:val="en-AU"/>
        </w:rPr>
        <w:t>The Commission has formed the view that Chapter 6 of the NER represents 'generally accepted regulatory practice' with respect to the conventions, rules and procedures applying to the economic regulation of electricity distribution network businesses in Australia at this point in time.</w:t>
      </w:r>
    </w:p>
    <w:p w14:paraId="23D22775" w14:textId="4C36C0FB" w:rsidR="00BE505E" w:rsidRPr="00BE505E" w:rsidRDefault="00BE505E" w:rsidP="00BE505E">
      <w:pPr>
        <w:pStyle w:val="NumberLevel2"/>
        <w:numPr>
          <w:ilvl w:val="1"/>
          <w:numId w:val="4"/>
        </w:numPr>
        <w:tabs>
          <w:tab w:val="num" w:pos="1569"/>
        </w:tabs>
        <w:ind w:left="709" w:hanging="709"/>
        <w:rPr>
          <w:lang w:val="en-AU"/>
        </w:rPr>
      </w:pPr>
      <w:r w:rsidRPr="00BE505E">
        <w:rPr>
          <w:lang w:val="en-AU"/>
        </w:rPr>
        <w:t>The Commission has also formed the view that adopting NER conventions, rules and procedures (for example, the NER cost pass through and contingent project rules) in the 2014 Network Price Determination is the most effective way of achieving the desired outcomes set out in clause 63 of the Network Access Code.</w:t>
      </w:r>
    </w:p>
    <w:p w14:paraId="1C1C92AC" w14:textId="059A356C" w:rsidR="00E3688B" w:rsidRDefault="00E3688B" w:rsidP="00F12853">
      <w:pPr>
        <w:pStyle w:val="UtilComHeading2"/>
      </w:pPr>
      <w:bookmarkStart w:id="30" w:name="_Toc385241441"/>
      <w:bookmarkStart w:id="31" w:name="_Toc386012994"/>
      <w:r>
        <w:t>Commission</w:t>
      </w:r>
      <w:r w:rsidR="00BB73E4">
        <w:t>’s</w:t>
      </w:r>
      <w:r>
        <w:t xml:space="preserve"> </w:t>
      </w:r>
      <w:bookmarkEnd w:id="30"/>
      <w:r w:rsidR="009B51AB">
        <w:t xml:space="preserve">Approach </w:t>
      </w:r>
      <w:r w:rsidR="00BE505E">
        <w:t>to the 2014 Network Price Determination</w:t>
      </w:r>
      <w:bookmarkEnd w:id="31"/>
    </w:p>
    <w:p w14:paraId="7F211596" w14:textId="3346169A" w:rsidR="00BE505E" w:rsidRPr="00BE505E" w:rsidRDefault="00BE505E" w:rsidP="00BE505E">
      <w:pPr>
        <w:pStyle w:val="UtilComHeading3"/>
      </w:pPr>
      <w:r w:rsidRPr="00BE505E">
        <w:t>Framework Statement</w:t>
      </w:r>
    </w:p>
    <w:p w14:paraId="52886F25" w14:textId="60961580" w:rsidR="005901F6" w:rsidRDefault="00607DC3" w:rsidP="00A7159D">
      <w:pPr>
        <w:pStyle w:val="NumberLevel2"/>
        <w:numPr>
          <w:ilvl w:val="1"/>
          <w:numId w:val="4"/>
        </w:numPr>
        <w:tabs>
          <w:tab w:val="num" w:pos="1569"/>
        </w:tabs>
        <w:ind w:left="709" w:hanging="709"/>
        <w:rPr>
          <w:lang w:val="en-AU"/>
        </w:rPr>
      </w:pPr>
      <w:r w:rsidRPr="00457889">
        <w:rPr>
          <w:lang w:val="en-AU"/>
        </w:rPr>
        <w:t xml:space="preserve">In its </w:t>
      </w:r>
      <w:r>
        <w:rPr>
          <w:lang w:val="en-AU"/>
        </w:rPr>
        <w:t>Framework Statement</w:t>
      </w:r>
      <w:r w:rsidRPr="00457889">
        <w:rPr>
          <w:lang w:val="en-AU"/>
        </w:rPr>
        <w:t xml:space="preserve"> for the 2014 </w:t>
      </w:r>
      <w:r w:rsidR="00460A08">
        <w:rPr>
          <w:lang w:val="en-AU"/>
        </w:rPr>
        <w:t>N</w:t>
      </w:r>
      <w:r w:rsidR="00460A08" w:rsidRPr="00457889">
        <w:rPr>
          <w:lang w:val="en-AU"/>
        </w:rPr>
        <w:t xml:space="preserve">etwork </w:t>
      </w:r>
      <w:r w:rsidR="00460A08">
        <w:rPr>
          <w:lang w:val="en-AU"/>
        </w:rPr>
        <w:t>P</w:t>
      </w:r>
      <w:r w:rsidR="00460A08" w:rsidRPr="00457889">
        <w:rPr>
          <w:lang w:val="en-AU"/>
        </w:rPr>
        <w:t xml:space="preserve">rice </w:t>
      </w:r>
      <w:r w:rsidR="00460A08">
        <w:rPr>
          <w:lang w:val="en-AU"/>
        </w:rPr>
        <w:t>D</w:t>
      </w:r>
      <w:r w:rsidR="00460A08" w:rsidRPr="00457889">
        <w:rPr>
          <w:lang w:val="en-AU"/>
        </w:rPr>
        <w:t>etermination</w:t>
      </w:r>
      <w:r w:rsidRPr="00457889">
        <w:rPr>
          <w:lang w:val="en-AU"/>
        </w:rPr>
        <w:t xml:space="preserve">, the Commission made clear its intention to apply, where practicable, the </w:t>
      </w:r>
      <w:r w:rsidR="00BE505E">
        <w:rPr>
          <w:lang w:val="en-AU"/>
        </w:rPr>
        <w:t>conventions, rules and procedures</w:t>
      </w:r>
      <w:r w:rsidR="00BE505E" w:rsidRPr="00457889">
        <w:rPr>
          <w:lang w:val="en-AU"/>
        </w:rPr>
        <w:t xml:space="preserve"> </w:t>
      </w:r>
      <w:r w:rsidRPr="00457889">
        <w:rPr>
          <w:lang w:val="en-AU"/>
        </w:rPr>
        <w:t xml:space="preserve">used by the AER as specified in Chapter 6 of the NER. </w:t>
      </w:r>
    </w:p>
    <w:p w14:paraId="0F3385E9" w14:textId="0F692C10" w:rsidR="00607DC3" w:rsidRPr="00C63267" w:rsidRDefault="00BE505E" w:rsidP="00A7159D">
      <w:pPr>
        <w:pStyle w:val="NumberLevel2"/>
        <w:numPr>
          <w:ilvl w:val="1"/>
          <w:numId w:val="4"/>
        </w:numPr>
        <w:tabs>
          <w:tab w:val="num" w:pos="1569"/>
        </w:tabs>
        <w:ind w:left="709" w:hanging="709"/>
        <w:rPr>
          <w:lang w:val="en-AU"/>
        </w:rPr>
      </w:pPr>
      <w:r>
        <w:rPr>
          <w:lang w:val="en-AU"/>
        </w:rPr>
        <w:t>This intention</w:t>
      </w:r>
      <w:r w:rsidR="00143247">
        <w:rPr>
          <w:lang w:val="en-AU"/>
        </w:rPr>
        <w:t xml:space="preserve"> </w:t>
      </w:r>
      <w:r w:rsidR="00607DC3" w:rsidRPr="00457889">
        <w:rPr>
          <w:lang w:val="en-AU"/>
        </w:rPr>
        <w:t xml:space="preserve">was predicated on confirming that </w:t>
      </w:r>
      <w:r w:rsidR="007575BE">
        <w:rPr>
          <w:lang w:val="en-AU"/>
        </w:rPr>
        <w:t xml:space="preserve">the </w:t>
      </w:r>
      <w:r w:rsidR="00607DC3" w:rsidRPr="00457889">
        <w:rPr>
          <w:lang w:val="en-AU"/>
        </w:rPr>
        <w:t xml:space="preserve">specific requirements of the NER were not inconsistent with the </w:t>
      </w:r>
      <w:r w:rsidR="00FB2EC5">
        <w:rPr>
          <w:lang w:val="en-AU"/>
        </w:rPr>
        <w:t>Network Access Code</w:t>
      </w:r>
      <w:r w:rsidR="00607DC3" w:rsidRPr="00457889">
        <w:rPr>
          <w:lang w:val="en-AU"/>
        </w:rPr>
        <w:t xml:space="preserve"> and confirming that </w:t>
      </w:r>
      <w:r w:rsidR="00A460E8" w:rsidRPr="00457889">
        <w:rPr>
          <w:lang w:val="en-AU"/>
        </w:rPr>
        <w:t>PWC</w:t>
      </w:r>
      <w:r w:rsidR="00A460E8">
        <w:rPr>
          <w:lang w:val="en-AU"/>
        </w:rPr>
        <w:t> </w:t>
      </w:r>
      <w:r w:rsidR="00607DC3" w:rsidRPr="00457889">
        <w:rPr>
          <w:lang w:val="en-AU"/>
        </w:rPr>
        <w:t xml:space="preserve">Networks had the capability of meeting those requirements. </w:t>
      </w:r>
      <w:r>
        <w:rPr>
          <w:lang w:val="en-AU"/>
        </w:rPr>
        <w:t>W</w:t>
      </w:r>
      <w:r w:rsidR="00607DC3" w:rsidRPr="00457889">
        <w:rPr>
          <w:lang w:val="en-AU"/>
        </w:rPr>
        <w:t xml:space="preserve">here PWC Networks lacked such capability, the </w:t>
      </w:r>
      <w:r w:rsidR="00607DC3">
        <w:rPr>
          <w:lang w:val="en-AU"/>
        </w:rPr>
        <w:t xml:space="preserve">Framework </w:t>
      </w:r>
      <w:r w:rsidR="00607DC3" w:rsidRPr="00457889">
        <w:rPr>
          <w:lang w:val="en-AU"/>
        </w:rPr>
        <w:t xml:space="preserve">Statement indicated that the Commission would modify the NER requirements </w:t>
      </w:r>
      <w:r>
        <w:rPr>
          <w:lang w:val="en-AU"/>
        </w:rPr>
        <w:t>so</w:t>
      </w:r>
      <w:r w:rsidR="00607DC3" w:rsidRPr="00457889">
        <w:rPr>
          <w:lang w:val="en-AU"/>
        </w:rPr>
        <w:t xml:space="preserve"> they could be met by </w:t>
      </w:r>
      <w:r w:rsidR="00A460E8" w:rsidRPr="00457889">
        <w:rPr>
          <w:lang w:val="en-AU"/>
        </w:rPr>
        <w:t>PWC</w:t>
      </w:r>
      <w:r w:rsidR="00A460E8">
        <w:rPr>
          <w:lang w:val="en-AU"/>
        </w:rPr>
        <w:t> </w:t>
      </w:r>
      <w:r w:rsidR="00607DC3" w:rsidRPr="00457889">
        <w:rPr>
          <w:lang w:val="en-AU"/>
        </w:rPr>
        <w:t>Networks.</w:t>
      </w:r>
    </w:p>
    <w:p w14:paraId="46A502AD" w14:textId="50CC2C4A" w:rsidR="00054215" w:rsidRPr="00054215" w:rsidRDefault="00607DC3" w:rsidP="00A7159D">
      <w:pPr>
        <w:pStyle w:val="NumberLevel2"/>
        <w:numPr>
          <w:ilvl w:val="1"/>
          <w:numId w:val="4"/>
        </w:numPr>
        <w:tabs>
          <w:tab w:val="num" w:pos="709"/>
        </w:tabs>
        <w:ind w:left="709" w:hanging="709"/>
        <w:rPr>
          <w:lang w:val="en-AU"/>
        </w:rPr>
      </w:pPr>
      <w:r w:rsidRPr="00C63267">
        <w:rPr>
          <w:lang w:val="en-AU"/>
        </w:rPr>
        <w:t>The Commission acknowledge</w:t>
      </w:r>
      <w:r>
        <w:rPr>
          <w:lang w:val="en-AU"/>
        </w:rPr>
        <w:t>d in the Framework Statement</w:t>
      </w:r>
      <w:r w:rsidRPr="00C63267">
        <w:rPr>
          <w:lang w:val="en-AU"/>
        </w:rPr>
        <w:t xml:space="preserve"> that resourcing constraints and economies of scale mean</w:t>
      </w:r>
      <w:r>
        <w:rPr>
          <w:lang w:val="en-AU"/>
        </w:rPr>
        <w:t>t</w:t>
      </w:r>
      <w:r w:rsidRPr="00C63267">
        <w:rPr>
          <w:lang w:val="en-AU"/>
        </w:rPr>
        <w:t xml:space="preserve"> that full adoption of </w:t>
      </w:r>
      <w:r w:rsidR="00BE505E">
        <w:rPr>
          <w:lang w:val="en-AU"/>
        </w:rPr>
        <w:t xml:space="preserve">the NER conventions, rules and procedures </w:t>
      </w:r>
      <w:r w:rsidRPr="00C63267">
        <w:rPr>
          <w:lang w:val="en-AU"/>
        </w:rPr>
        <w:t>m</w:t>
      </w:r>
      <w:r>
        <w:rPr>
          <w:lang w:val="en-AU"/>
        </w:rPr>
        <w:t>ight</w:t>
      </w:r>
      <w:r w:rsidRPr="00C63267">
        <w:rPr>
          <w:lang w:val="en-AU"/>
        </w:rPr>
        <w:t xml:space="preserve"> not be practica</w:t>
      </w:r>
      <w:r>
        <w:rPr>
          <w:lang w:val="en-AU"/>
        </w:rPr>
        <w:t>b</w:t>
      </w:r>
      <w:r w:rsidRPr="00C63267">
        <w:rPr>
          <w:lang w:val="en-AU"/>
        </w:rPr>
        <w:t>l</w:t>
      </w:r>
      <w:r>
        <w:rPr>
          <w:lang w:val="en-AU"/>
        </w:rPr>
        <w:t>e</w:t>
      </w:r>
      <w:r w:rsidR="00BE505E">
        <w:rPr>
          <w:lang w:val="en-AU"/>
        </w:rPr>
        <w:t xml:space="preserve"> at this point</w:t>
      </w:r>
      <w:r w:rsidRPr="00C63267">
        <w:rPr>
          <w:lang w:val="en-AU"/>
        </w:rPr>
        <w:t xml:space="preserve">. </w:t>
      </w:r>
      <w:r w:rsidR="00BE505E">
        <w:rPr>
          <w:lang w:val="en-AU"/>
        </w:rPr>
        <w:t>H</w:t>
      </w:r>
      <w:r w:rsidR="00054215">
        <w:rPr>
          <w:lang w:val="en-AU"/>
        </w:rPr>
        <w:t>owever, the Commission’s longer term objective is</w:t>
      </w:r>
      <w:r w:rsidR="00054215" w:rsidRPr="00054215">
        <w:rPr>
          <w:lang w:val="en-AU"/>
        </w:rPr>
        <w:t xml:space="preserve"> </w:t>
      </w:r>
      <w:r w:rsidR="00BE505E">
        <w:rPr>
          <w:lang w:val="en-AU"/>
        </w:rPr>
        <w:t xml:space="preserve">to require </w:t>
      </w:r>
      <w:r w:rsidR="00054215" w:rsidRPr="00054215">
        <w:rPr>
          <w:lang w:val="en-AU"/>
        </w:rPr>
        <w:t xml:space="preserve">full compliance with NER </w:t>
      </w:r>
      <w:r w:rsidR="00BE505E">
        <w:rPr>
          <w:lang w:val="en-AU"/>
        </w:rPr>
        <w:t>conventions, rules and procedures in the Post 2019 Network Price Determination.</w:t>
      </w:r>
    </w:p>
    <w:p w14:paraId="4364882E" w14:textId="77777777" w:rsidR="00607DC3" w:rsidRDefault="00607DC3" w:rsidP="00607DC3">
      <w:pPr>
        <w:pStyle w:val="UtilComHeading3"/>
      </w:pPr>
      <w:r>
        <w:t>Stakeholder views and Commission response</w:t>
      </w:r>
    </w:p>
    <w:p w14:paraId="5A2DACEB" w14:textId="7588A618" w:rsidR="00D55ED3" w:rsidRDefault="00607DC3" w:rsidP="00A7159D">
      <w:pPr>
        <w:pStyle w:val="NumberLevel2"/>
        <w:numPr>
          <w:ilvl w:val="1"/>
          <w:numId w:val="4"/>
        </w:numPr>
        <w:tabs>
          <w:tab w:val="num" w:pos="1569"/>
        </w:tabs>
        <w:ind w:left="709" w:hanging="709"/>
        <w:rPr>
          <w:lang w:val="en-AU"/>
        </w:rPr>
      </w:pPr>
      <w:r w:rsidRPr="00457889">
        <w:rPr>
          <w:lang w:val="en-AU"/>
        </w:rPr>
        <w:t xml:space="preserve">Underlying the Commission’s stated intention to apply the provisions of the NER was a belief that the information systems of </w:t>
      </w:r>
      <w:r w:rsidR="00A460E8" w:rsidRPr="00457889">
        <w:rPr>
          <w:lang w:val="en-AU"/>
        </w:rPr>
        <w:t>PWC</w:t>
      </w:r>
      <w:r w:rsidR="00A460E8">
        <w:rPr>
          <w:lang w:val="en-AU"/>
        </w:rPr>
        <w:t> </w:t>
      </w:r>
      <w:r w:rsidRPr="00457889">
        <w:rPr>
          <w:lang w:val="en-AU"/>
        </w:rPr>
        <w:t xml:space="preserve">Networks were now sufficiently </w:t>
      </w:r>
      <w:r w:rsidR="00263EC3" w:rsidRPr="00457889">
        <w:rPr>
          <w:lang w:val="en-AU"/>
        </w:rPr>
        <w:t>well</w:t>
      </w:r>
      <w:r w:rsidR="00263EC3">
        <w:rPr>
          <w:lang w:val="en-AU"/>
        </w:rPr>
        <w:noBreakHyphen/>
      </w:r>
      <w:r w:rsidRPr="00457889">
        <w:rPr>
          <w:lang w:val="en-AU"/>
        </w:rPr>
        <w:t xml:space="preserve">developed as to enable the building block approach to be applied to </w:t>
      </w:r>
      <w:r w:rsidR="00652602" w:rsidRPr="00457889">
        <w:rPr>
          <w:lang w:val="en-AU"/>
        </w:rPr>
        <w:t>PWC</w:t>
      </w:r>
      <w:r w:rsidR="00652602">
        <w:rPr>
          <w:lang w:val="en-AU"/>
        </w:rPr>
        <w:t> </w:t>
      </w:r>
      <w:r w:rsidRPr="00457889">
        <w:rPr>
          <w:lang w:val="en-AU"/>
        </w:rPr>
        <w:t xml:space="preserve">Networks. </w:t>
      </w:r>
    </w:p>
    <w:p w14:paraId="02C924AE" w14:textId="088D9BFE" w:rsidR="00607DC3" w:rsidRPr="00457889" w:rsidRDefault="00607DC3" w:rsidP="00A7159D">
      <w:pPr>
        <w:pStyle w:val="NumberLevel2"/>
        <w:numPr>
          <w:ilvl w:val="1"/>
          <w:numId w:val="4"/>
        </w:numPr>
        <w:tabs>
          <w:tab w:val="num" w:pos="1569"/>
        </w:tabs>
        <w:ind w:left="709" w:hanging="709"/>
        <w:rPr>
          <w:lang w:val="en-AU"/>
        </w:rPr>
      </w:pPr>
      <w:r w:rsidRPr="00457889">
        <w:rPr>
          <w:lang w:val="en-AU"/>
        </w:rPr>
        <w:t xml:space="preserve">In the Commission’s </w:t>
      </w:r>
      <w:r>
        <w:rPr>
          <w:lang w:val="en-AU"/>
        </w:rPr>
        <w:t>two</w:t>
      </w:r>
      <w:r w:rsidRPr="00457889">
        <w:rPr>
          <w:lang w:val="en-AU"/>
        </w:rPr>
        <w:t xml:space="preserve"> previous network price determinations, this </w:t>
      </w:r>
      <w:r w:rsidR="007575BE">
        <w:rPr>
          <w:lang w:val="en-AU"/>
        </w:rPr>
        <w:t>was not</w:t>
      </w:r>
      <w:r w:rsidRPr="00457889">
        <w:rPr>
          <w:lang w:val="en-AU"/>
        </w:rPr>
        <w:t xml:space="preserve"> possible</w:t>
      </w:r>
      <w:r w:rsidR="00D55ED3">
        <w:rPr>
          <w:lang w:val="en-AU"/>
        </w:rPr>
        <w:t xml:space="preserve"> but</w:t>
      </w:r>
      <w:r w:rsidR="00D55ED3" w:rsidRPr="00457889">
        <w:rPr>
          <w:lang w:val="en-AU"/>
        </w:rPr>
        <w:t xml:space="preserve"> </w:t>
      </w:r>
      <w:r w:rsidR="00D55ED3">
        <w:rPr>
          <w:lang w:val="en-AU"/>
        </w:rPr>
        <w:t>t</w:t>
      </w:r>
      <w:r w:rsidR="00D55ED3" w:rsidRPr="00457889">
        <w:rPr>
          <w:lang w:val="en-AU"/>
        </w:rPr>
        <w:t xml:space="preserve">he </w:t>
      </w:r>
      <w:r w:rsidR="007575BE">
        <w:rPr>
          <w:lang w:val="en-AU"/>
        </w:rPr>
        <w:t xml:space="preserve">Commission’s </w:t>
      </w:r>
      <w:r w:rsidRPr="00457889">
        <w:rPr>
          <w:lang w:val="en-AU"/>
        </w:rPr>
        <w:t>consistent position has been that the building blo</w:t>
      </w:r>
      <w:r w:rsidR="00C4401D">
        <w:rPr>
          <w:lang w:val="en-AU"/>
        </w:rPr>
        <w:t>ck</w:t>
      </w:r>
      <w:r w:rsidRPr="00457889">
        <w:rPr>
          <w:lang w:val="en-AU"/>
        </w:rPr>
        <w:t xml:space="preserve"> approach should become the standard technique for network price determinations in the Territory</w:t>
      </w:r>
      <w:r w:rsidR="00D55ED3">
        <w:rPr>
          <w:lang w:val="en-AU"/>
        </w:rPr>
        <w:t>.</w:t>
      </w:r>
      <w:r w:rsidRPr="00457889">
        <w:rPr>
          <w:lang w:val="en-AU"/>
        </w:rPr>
        <w:t xml:space="preserve"> </w:t>
      </w:r>
      <w:r w:rsidR="00D55ED3">
        <w:rPr>
          <w:lang w:val="en-AU"/>
        </w:rPr>
        <w:t>T</w:t>
      </w:r>
      <w:r w:rsidR="00D55ED3" w:rsidRPr="00457889">
        <w:rPr>
          <w:lang w:val="en-AU"/>
        </w:rPr>
        <w:t xml:space="preserve">his </w:t>
      </w:r>
      <w:r w:rsidRPr="00457889">
        <w:rPr>
          <w:lang w:val="en-AU"/>
        </w:rPr>
        <w:t>position has strong stakeholder support, particular</w:t>
      </w:r>
      <w:r w:rsidR="007575BE">
        <w:rPr>
          <w:lang w:val="en-AU"/>
        </w:rPr>
        <w:t>ly</w:t>
      </w:r>
      <w:r w:rsidRPr="00457889">
        <w:rPr>
          <w:lang w:val="en-AU"/>
        </w:rPr>
        <w:t xml:space="preserve"> because it will provide stronger incentives for efficiency gains within </w:t>
      </w:r>
      <w:r w:rsidR="00652602" w:rsidRPr="00457889">
        <w:rPr>
          <w:lang w:val="en-AU"/>
        </w:rPr>
        <w:t>PWC</w:t>
      </w:r>
      <w:r w:rsidR="00652602">
        <w:rPr>
          <w:lang w:val="en-AU"/>
        </w:rPr>
        <w:t> </w:t>
      </w:r>
      <w:r w:rsidRPr="00457889">
        <w:rPr>
          <w:lang w:val="en-AU"/>
        </w:rPr>
        <w:t xml:space="preserve">Networks than other approaches. </w:t>
      </w:r>
    </w:p>
    <w:p w14:paraId="7990E420" w14:textId="0FD3EB62" w:rsidR="00607DC3" w:rsidRPr="00457889" w:rsidRDefault="00607DC3" w:rsidP="00A7159D">
      <w:pPr>
        <w:pStyle w:val="NumberLevel2"/>
        <w:numPr>
          <w:ilvl w:val="1"/>
          <w:numId w:val="4"/>
        </w:numPr>
        <w:tabs>
          <w:tab w:val="num" w:pos="1569"/>
        </w:tabs>
        <w:ind w:left="709" w:hanging="709"/>
        <w:rPr>
          <w:lang w:val="en-AU"/>
        </w:rPr>
      </w:pPr>
      <w:r w:rsidRPr="00457889">
        <w:rPr>
          <w:lang w:val="en-AU"/>
        </w:rPr>
        <w:t xml:space="preserve">The approach used by the AER in applying the building blocks technique to </w:t>
      </w:r>
      <w:r w:rsidR="00D55ED3">
        <w:rPr>
          <w:lang w:val="en-AU"/>
        </w:rPr>
        <w:t>distribution</w:t>
      </w:r>
      <w:r w:rsidRPr="00457889">
        <w:rPr>
          <w:lang w:val="en-AU"/>
        </w:rPr>
        <w:t xml:space="preserve"> determinations, as </w:t>
      </w:r>
      <w:r w:rsidR="00D55ED3">
        <w:rPr>
          <w:lang w:val="en-AU"/>
        </w:rPr>
        <w:t>required by</w:t>
      </w:r>
      <w:r w:rsidRPr="00457889">
        <w:rPr>
          <w:lang w:val="en-AU"/>
        </w:rPr>
        <w:t xml:space="preserve"> Chapter 6 of the NER, is widely acknowledged as representing industry best practice in Australia. While the regulated </w:t>
      </w:r>
      <w:r w:rsidR="00D55ED3">
        <w:rPr>
          <w:lang w:val="en-AU"/>
        </w:rPr>
        <w:t xml:space="preserve">electricity </w:t>
      </w:r>
      <w:r w:rsidRPr="00457889">
        <w:rPr>
          <w:lang w:val="en-AU"/>
        </w:rPr>
        <w:t xml:space="preserve">networks in the Territory have some different characteristics from those in other parts of Australia, the basic approach remains applicable. In consultation leading to finalisation of the </w:t>
      </w:r>
      <w:r>
        <w:rPr>
          <w:lang w:val="en-AU"/>
        </w:rPr>
        <w:t xml:space="preserve">Framework </w:t>
      </w:r>
      <w:r w:rsidRPr="00457889">
        <w:rPr>
          <w:lang w:val="en-AU"/>
        </w:rPr>
        <w:t xml:space="preserve">Statement, there was </w:t>
      </w:r>
      <w:r>
        <w:rPr>
          <w:lang w:val="en-AU"/>
        </w:rPr>
        <w:t xml:space="preserve">general </w:t>
      </w:r>
      <w:r w:rsidRPr="00457889">
        <w:rPr>
          <w:lang w:val="en-AU"/>
        </w:rPr>
        <w:t>stakeholder support for this approach.</w:t>
      </w:r>
    </w:p>
    <w:p w14:paraId="468C9351" w14:textId="3B8F362D" w:rsidR="00607DC3" w:rsidRDefault="00263E57" w:rsidP="00A7159D">
      <w:pPr>
        <w:pStyle w:val="NumberLevel2"/>
        <w:numPr>
          <w:ilvl w:val="1"/>
          <w:numId w:val="4"/>
        </w:numPr>
        <w:tabs>
          <w:tab w:val="num" w:pos="1569"/>
        </w:tabs>
        <w:ind w:left="709" w:hanging="709"/>
        <w:rPr>
          <w:lang w:val="en-AU"/>
        </w:rPr>
      </w:pPr>
      <w:r>
        <w:rPr>
          <w:lang w:val="en-AU"/>
        </w:rPr>
        <w:t xml:space="preserve">In particular, </w:t>
      </w:r>
      <w:r w:rsidR="00607DC3" w:rsidRPr="00457889">
        <w:rPr>
          <w:lang w:val="en-AU"/>
        </w:rPr>
        <w:t xml:space="preserve">support for application of the NER came in a submission from the Treasurer in </w:t>
      </w:r>
      <w:r w:rsidR="00652602" w:rsidRPr="00457889">
        <w:rPr>
          <w:lang w:val="en-AU"/>
        </w:rPr>
        <w:t>November</w:t>
      </w:r>
      <w:r w:rsidR="00652602">
        <w:rPr>
          <w:lang w:val="en-AU"/>
        </w:rPr>
        <w:t> </w:t>
      </w:r>
      <w:r w:rsidR="00607DC3" w:rsidRPr="00457889">
        <w:rPr>
          <w:lang w:val="en-AU"/>
        </w:rPr>
        <w:t xml:space="preserve">2013 </w:t>
      </w:r>
      <w:r w:rsidR="007575BE">
        <w:rPr>
          <w:lang w:val="en-AU"/>
        </w:rPr>
        <w:t xml:space="preserve">which indicated his </w:t>
      </w:r>
      <w:r w:rsidR="00607DC3" w:rsidRPr="00457889">
        <w:rPr>
          <w:lang w:val="en-AU"/>
        </w:rPr>
        <w:t>agreement with the Commission’s decision to adopt</w:t>
      </w:r>
      <w:r w:rsidR="00607DC3">
        <w:rPr>
          <w:lang w:val="en-AU"/>
        </w:rPr>
        <w:t>:</w:t>
      </w:r>
    </w:p>
    <w:p w14:paraId="19FC6637" w14:textId="77777777" w:rsidR="00607DC3" w:rsidRDefault="00607DC3" w:rsidP="004B63D8">
      <w:pPr>
        <w:pStyle w:val="UtilComQuotationText"/>
        <w:tabs>
          <w:tab w:val="left" w:pos="709"/>
        </w:tabs>
        <w:ind w:left="1134"/>
        <w:rPr>
          <w:lang w:val="en-AU"/>
        </w:rPr>
      </w:pPr>
      <w:r>
        <w:rPr>
          <w:lang w:val="en-AU"/>
        </w:rPr>
        <w:t>…</w:t>
      </w:r>
      <w:r w:rsidRPr="00457889">
        <w:rPr>
          <w:lang w:val="en-AU"/>
        </w:rPr>
        <w:t>where practicable and feasible, the approach used by the Australian Energy Regulator and the application of those parts of Chapter 6 of the NER … that are consistent w</w:t>
      </w:r>
      <w:r>
        <w:rPr>
          <w:lang w:val="en-AU"/>
        </w:rPr>
        <w:t>ith the Network Access Code.</w:t>
      </w:r>
    </w:p>
    <w:p w14:paraId="02EA1304" w14:textId="001E403B" w:rsidR="00607DC3" w:rsidRPr="00457889" w:rsidRDefault="00607DC3" w:rsidP="00A7159D">
      <w:pPr>
        <w:pStyle w:val="NumberLevel2"/>
        <w:numPr>
          <w:ilvl w:val="1"/>
          <w:numId w:val="4"/>
        </w:numPr>
        <w:tabs>
          <w:tab w:val="num" w:pos="1569"/>
        </w:tabs>
        <w:ind w:left="709" w:hanging="709"/>
        <w:rPr>
          <w:lang w:val="en-AU"/>
        </w:rPr>
      </w:pPr>
      <w:r w:rsidRPr="00457889">
        <w:rPr>
          <w:lang w:val="en-AU"/>
        </w:rPr>
        <w:t xml:space="preserve">The Treasurer </w:t>
      </w:r>
      <w:r w:rsidR="007575BE">
        <w:rPr>
          <w:lang w:val="en-AU"/>
        </w:rPr>
        <w:t xml:space="preserve">also </w:t>
      </w:r>
      <w:r w:rsidRPr="00457889">
        <w:rPr>
          <w:lang w:val="en-AU"/>
        </w:rPr>
        <w:t xml:space="preserve">noted that the Commission’s approach to the 2014 </w:t>
      </w:r>
      <w:r w:rsidR="00263EC3">
        <w:rPr>
          <w:lang w:val="en-AU"/>
        </w:rPr>
        <w:t>N</w:t>
      </w:r>
      <w:r w:rsidR="00263EC3" w:rsidRPr="00457889">
        <w:rPr>
          <w:lang w:val="en-AU"/>
        </w:rPr>
        <w:t xml:space="preserve">etwork </w:t>
      </w:r>
      <w:r w:rsidR="00263EC3">
        <w:rPr>
          <w:lang w:val="en-AU"/>
        </w:rPr>
        <w:t>P</w:t>
      </w:r>
      <w:r w:rsidR="00263EC3" w:rsidRPr="00457889">
        <w:rPr>
          <w:lang w:val="en-AU"/>
        </w:rPr>
        <w:t xml:space="preserve">rice </w:t>
      </w:r>
      <w:r w:rsidR="00263EC3">
        <w:rPr>
          <w:lang w:val="en-AU"/>
        </w:rPr>
        <w:t>D</w:t>
      </w:r>
      <w:r w:rsidR="00263EC3" w:rsidRPr="00457889">
        <w:rPr>
          <w:lang w:val="en-AU"/>
        </w:rPr>
        <w:t xml:space="preserve">etermination </w:t>
      </w:r>
      <w:r w:rsidRPr="00457889">
        <w:rPr>
          <w:lang w:val="en-AU"/>
        </w:rPr>
        <w:t xml:space="preserve">would assist in facilitating a recent Government decision to transfer responsibility for economic regulation of electricity networks in the Territory to the </w:t>
      </w:r>
      <w:r w:rsidR="00240F4B">
        <w:rPr>
          <w:lang w:val="en-AU"/>
        </w:rPr>
        <w:t>AER</w:t>
      </w:r>
      <w:r w:rsidRPr="00457889">
        <w:rPr>
          <w:lang w:val="en-AU"/>
        </w:rPr>
        <w:t xml:space="preserve">. </w:t>
      </w:r>
    </w:p>
    <w:p w14:paraId="68E83B6B" w14:textId="5F1C0D43" w:rsidR="00263EC3" w:rsidRDefault="00607DC3" w:rsidP="00A7159D">
      <w:pPr>
        <w:pStyle w:val="NumberLevel2"/>
        <w:numPr>
          <w:ilvl w:val="1"/>
          <w:numId w:val="4"/>
        </w:numPr>
        <w:tabs>
          <w:tab w:val="num" w:pos="1569"/>
        </w:tabs>
        <w:ind w:left="709" w:hanging="709"/>
        <w:rPr>
          <w:lang w:val="en-AU"/>
        </w:rPr>
      </w:pPr>
      <w:r w:rsidRPr="00457889">
        <w:rPr>
          <w:lang w:val="en-AU"/>
        </w:rPr>
        <w:t>However, PWC</w:t>
      </w:r>
      <w:r w:rsidR="00652602">
        <w:rPr>
          <w:lang w:val="en-AU"/>
        </w:rPr>
        <w:t> Networks</w:t>
      </w:r>
      <w:r w:rsidRPr="00457889">
        <w:rPr>
          <w:lang w:val="en-AU"/>
        </w:rPr>
        <w:t xml:space="preserve">, in its </w:t>
      </w:r>
      <w:r w:rsidR="00C438D6">
        <w:rPr>
          <w:lang w:val="en-AU"/>
        </w:rPr>
        <w:t xml:space="preserve">initial </w:t>
      </w:r>
      <w:r w:rsidRPr="00457889">
        <w:rPr>
          <w:lang w:val="en-AU"/>
        </w:rPr>
        <w:t>regulatory proposal, argued</w:t>
      </w:r>
      <w:r w:rsidR="00263EC3">
        <w:rPr>
          <w:lang w:val="en-AU"/>
        </w:rPr>
        <w:t>:</w:t>
      </w:r>
    </w:p>
    <w:p w14:paraId="303C7634" w14:textId="77777777" w:rsidR="00607DC3" w:rsidRPr="00457889" w:rsidRDefault="00652602" w:rsidP="004B63D8">
      <w:pPr>
        <w:pStyle w:val="UtilComQuotationText"/>
        <w:ind w:left="1134"/>
        <w:rPr>
          <w:lang w:val="en-AU"/>
        </w:rPr>
      </w:pPr>
      <w:r>
        <w:rPr>
          <w:lang w:val="en-AU"/>
        </w:rPr>
        <w:t>…</w:t>
      </w:r>
      <w:r w:rsidR="00607DC3" w:rsidRPr="008E5E7B">
        <w:rPr>
          <w:lang w:val="en-AU"/>
        </w:rPr>
        <w:t>that regulatory practice makes it incumbent upon the Commission to demonstrate that there is a positive net benefit from the regulatory changes it proposes, rather than assuming that the NEM framework and AER reporting is best practice or appropriate and placing the onus on Power Networks and stakeholders to demonstrate otherwise.</w:t>
      </w:r>
      <w:r w:rsidR="00607DC3" w:rsidRPr="00457889">
        <w:rPr>
          <w:lang w:val="en-AU"/>
        </w:rPr>
        <w:t xml:space="preserve"> </w:t>
      </w:r>
    </w:p>
    <w:p w14:paraId="1A8F7CD0" w14:textId="080032ED" w:rsidR="005C5A99" w:rsidRDefault="00607DC3" w:rsidP="00A7159D">
      <w:pPr>
        <w:pStyle w:val="NumberLevel2"/>
        <w:numPr>
          <w:ilvl w:val="1"/>
          <w:numId w:val="4"/>
        </w:numPr>
        <w:tabs>
          <w:tab w:val="num" w:pos="1569"/>
        </w:tabs>
        <w:ind w:left="709" w:hanging="709"/>
        <w:rPr>
          <w:lang w:val="en-AU"/>
        </w:rPr>
      </w:pPr>
      <w:r w:rsidRPr="00457889">
        <w:rPr>
          <w:lang w:val="en-AU"/>
        </w:rPr>
        <w:t xml:space="preserve">Ultimately there is little disagreement between stakeholders on </w:t>
      </w:r>
      <w:r w:rsidR="002A2C6F">
        <w:rPr>
          <w:lang w:val="en-AU"/>
        </w:rPr>
        <w:t xml:space="preserve">the fundamentals of </w:t>
      </w:r>
      <w:r w:rsidRPr="00457889">
        <w:rPr>
          <w:lang w:val="en-AU"/>
        </w:rPr>
        <w:t xml:space="preserve">this matter. </w:t>
      </w:r>
      <w:r w:rsidR="00240F4B">
        <w:rPr>
          <w:lang w:val="en-AU"/>
        </w:rPr>
        <w:t>Chapter 6 of the</w:t>
      </w:r>
      <w:r w:rsidR="00240F4B" w:rsidRPr="00457889">
        <w:rPr>
          <w:lang w:val="en-AU"/>
        </w:rPr>
        <w:t xml:space="preserve"> </w:t>
      </w:r>
      <w:r w:rsidRPr="00457889">
        <w:rPr>
          <w:lang w:val="en-AU"/>
        </w:rPr>
        <w:t>NER</w:t>
      </w:r>
      <w:r w:rsidR="00240F4B">
        <w:rPr>
          <w:lang w:val="en-AU"/>
        </w:rPr>
        <w:t xml:space="preserve"> and the AER’s approach to the economic regulation of electricity distribution network businesses in Australia clearly </w:t>
      </w:r>
      <w:r w:rsidR="005C5A99">
        <w:rPr>
          <w:lang w:val="en-AU"/>
        </w:rPr>
        <w:t>represents ‘generally accepted regulatory practice’ at this point in time with respect to the conventions, rules and procedures applying to the economic regulation of electricity distribution network businesses in Australia</w:t>
      </w:r>
      <w:r w:rsidR="00240F4B">
        <w:rPr>
          <w:lang w:val="en-AU"/>
        </w:rPr>
        <w:t xml:space="preserve">. Accordingly, </w:t>
      </w:r>
      <w:r w:rsidR="005C5A99">
        <w:rPr>
          <w:lang w:val="en-AU"/>
        </w:rPr>
        <w:t xml:space="preserve">the Commission is obliged </w:t>
      </w:r>
      <w:r w:rsidR="008903C6">
        <w:rPr>
          <w:lang w:val="en-AU"/>
        </w:rPr>
        <w:t xml:space="preserve">to include </w:t>
      </w:r>
      <w:r w:rsidR="00240F4B">
        <w:rPr>
          <w:lang w:val="en-AU"/>
        </w:rPr>
        <w:t xml:space="preserve">those NER </w:t>
      </w:r>
      <w:r w:rsidR="008903C6">
        <w:rPr>
          <w:lang w:val="en-AU"/>
        </w:rPr>
        <w:t>conventions, rules and procedures in the 2014 Network Price Determination that are</w:t>
      </w:r>
      <w:r w:rsidR="00240F4B">
        <w:rPr>
          <w:lang w:val="en-AU"/>
        </w:rPr>
        <w:t xml:space="preserve"> not inconsistent </w:t>
      </w:r>
      <w:r w:rsidR="00240F4B" w:rsidRPr="008903C6">
        <w:t>with other applicable Territory laws</w:t>
      </w:r>
      <w:r w:rsidR="00240F4B">
        <w:rPr>
          <w:lang w:val="en-AU"/>
        </w:rPr>
        <w:t>.</w:t>
      </w:r>
    </w:p>
    <w:p w14:paraId="78B1213B" w14:textId="2392CFC8" w:rsidR="00607DC3" w:rsidRPr="00457889" w:rsidRDefault="00607DC3" w:rsidP="00A7159D">
      <w:pPr>
        <w:pStyle w:val="NumberLevel2"/>
        <w:numPr>
          <w:ilvl w:val="1"/>
          <w:numId w:val="4"/>
        </w:numPr>
        <w:tabs>
          <w:tab w:val="num" w:pos="1569"/>
        </w:tabs>
        <w:ind w:left="709" w:hanging="709"/>
        <w:rPr>
          <w:lang w:val="en-AU"/>
        </w:rPr>
      </w:pPr>
      <w:r w:rsidRPr="00457889">
        <w:rPr>
          <w:lang w:val="en-AU"/>
        </w:rPr>
        <w:t xml:space="preserve">The Commission has worked closely with </w:t>
      </w:r>
      <w:r w:rsidR="00652602" w:rsidRPr="00457889">
        <w:rPr>
          <w:lang w:val="en-AU"/>
        </w:rPr>
        <w:t>PWC</w:t>
      </w:r>
      <w:r w:rsidR="00652602">
        <w:rPr>
          <w:lang w:val="en-AU"/>
        </w:rPr>
        <w:t> </w:t>
      </w:r>
      <w:r w:rsidR="002A2C6F">
        <w:rPr>
          <w:lang w:val="en-AU"/>
        </w:rPr>
        <w:t xml:space="preserve">Networks </w:t>
      </w:r>
      <w:r w:rsidRPr="00457889">
        <w:rPr>
          <w:lang w:val="en-AU"/>
        </w:rPr>
        <w:t xml:space="preserve">in considering </w:t>
      </w:r>
      <w:r w:rsidR="007575BE">
        <w:rPr>
          <w:lang w:val="en-AU"/>
        </w:rPr>
        <w:t xml:space="preserve">the </w:t>
      </w:r>
      <w:r w:rsidRPr="00457889">
        <w:rPr>
          <w:lang w:val="en-AU"/>
        </w:rPr>
        <w:t>application of specific provisions of</w:t>
      </w:r>
      <w:r w:rsidR="00143377">
        <w:rPr>
          <w:lang w:val="en-AU"/>
        </w:rPr>
        <w:t xml:space="preserve"> Chapter 6 of</w:t>
      </w:r>
      <w:r w:rsidRPr="00457889">
        <w:rPr>
          <w:lang w:val="en-AU"/>
        </w:rPr>
        <w:t xml:space="preserve"> the NER</w:t>
      </w:r>
      <w:r w:rsidR="00143377">
        <w:rPr>
          <w:lang w:val="en-AU"/>
        </w:rPr>
        <w:t xml:space="preserve"> and</w:t>
      </w:r>
      <w:r w:rsidRPr="00457889">
        <w:rPr>
          <w:lang w:val="en-AU"/>
        </w:rPr>
        <w:t xml:space="preserve"> consulted with the AER on the matter. The Commission has </w:t>
      </w:r>
      <w:r w:rsidR="00143377">
        <w:rPr>
          <w:lang w:val="en-AU"/>
        </w:rPr>
        <w:t xml:space="preserve">also </w:t>
      </w:r>
      <w:r w:rsidRPr="00457889">
        <w:rPr>
          <w:lang w:val="en-AU"/>
        </w:rPr>
        <w:t>been sensitive to the resourcing constraints and economies of scale faced by PWC</w:t>
      </w:r>
      <w:r w:rsidR="00143377">
        <w:rPr>
          <w:lang w:val="en-AU"/>
        </w:rPr>
        <w:t> Networks</w:t>
      </w:r>
      <w:r w:rsidRPr="00457889">
        <w:rPr>
          <w:lang w:val="en-AU"/>
        </w:rPr>
        <w:t xml:space="preserve">, which make full adoption of the NER approach impracticable for the </w:t>
      </w:r>
      <w:r w:rsidR="00143377">
        <w:rPr>
          <w:lang w:val="en-AU"/>
        </w:rPr>
        <w:t>2014 Network Price Determination</w:t>
      </w:r>
      <w:r w:rsidRPr="00457889">
        <w:rPr>
          <w:lang w:val="en-AU"/>
        </w:rPr>
        <w:t xml:space="preserve">. </w:t>
      </w:r>
    </w:p>
    <w:p w14:paraId="3E54D037" w14:textId="21554FC7" w:rsidR="00607DC3" w:rsidRDefault="00143377" w:rsidP="00A7159D">
      <w:pPr>
        <w:pStyle w:val="NumberLevel2"/>
        <w:numPr>
          <w:ilvl w:val="1"/>
          <w:numId w:val="4"/>
        </w:numPr>
        <w:tabs>
          <w:tab w:val="num" w:pos="1569"/>
        </w:tabs>
        <w:ind w:left="709" w:hanging="709"/>
        <w:rPr>
          <w:lang w:val="en-AU"/>
        </w:rPr>
      </w:pPr>
      <w:r>
        <w:rPr>
          <w:lang w:val="en-AU"/>
        </w:rPr>
        <w:t>A</w:t>
      </w:r>
      <w:r w:rsidR="00607DC3">
        <w:rPr>
          <w:lang w:val="en-AU"/>
        </w:rPr>
        <w:t xml:space="preserve">s outlined in this </w:t>
      </w:r>
      <w:r w:rsidR="001745AE">
        <w:rPr>
          <w:lang w:val="en-AU"/>
        </w:rPr>
        <w:t>Statement of Reasons</w:t>
      </w:r>
      <w:r w:rsidR="00607DC3">
        <w:rPr>
          <w:lang w:val="en-AU"/>
        </w:rPr>
        <w:t xml:space="preserve">, </w:t>
      </w:r>
      <w:r w:rsidR="00607DC3" w:rsidRPr="00457889">
        <w:rPr>
          <w:lang w:val="en-AU"/>
        </w:rPr>
        <w:t>substantial modifications have been made to the AER</w:t>
      </w:r>
      <w:r>
        <w:rPr>
          <w:lang w:val="en-AU"/>
        </w:rPr>
        <w:t>’s</w:t>
      </w:r>
      <w:r w:rsidR="00607DC3" w:rsidRPr="00457889">
        <w:rPr>
          <w:lang w:val="en-AU"/>
        </w:rPr>
        <w:t xml:space="preserve"> approach </w:t>
      </w:r>
      <w:r>
        <w:rPr>
          <w:lang w:val="en-AU"/>
        </w:rPr>
        <w:t xml:space="preserve">under Chapter 6 of the NER </w:t>
      </w:r>
      <w:r w:rsidR="00607DC3" w:rsidRPr="00457889">
        <w:rPr>
          <w:lang w:val="en-AU"/>
        </w:rPr>
        <w:t xml:space="preserve">to accommodate </w:t>
      </w:r>
      <w:r w:rsidRPr="00457889">
        <w:rPr>
          <w:lang w:val="en-AU"/>
        </w:rPr>
        <w:t>PWC</w:t>
      </w:r>
      <w:r>
        <w:rPr>
          <w:lang w:val="en-AU"/>
        </w:rPr>
        <w:t> Networks’</w:t>
      </w:r>
      <w:r w:rsidRPr="00457889">
        <w:rPr>
          <w:lang w:val="en-AU"/>
        </w:rPr>
        <w:t xml:space="preserve"> </w:t>
      </w:r>
      <w:r w:rsidR="00607DC3" w:rsidRPr="00457889">
        <w:rPr>
          <w:lang w:val="en-AU"/>
        </w:rPr>
        <w:t>constraints. Notably, a pre-tax (rather than post-tax) approach has been adopted, cost allocation requirements have been substantially altered</w:t>
      </w:r>
      <w:r>
        <w:rPr>
          <w:lang w:val="en-AU"/>
        </w:rPr>
        <w:t xml:space="preserve"> and the</w:t>
      </w:r>
      <w:r w:rsidR="002A2C6F">
        <w:rPr>
          <w:lang w:val="en-AU"/>
        </w:rPr>
        <w:t xml:space="preserve"> </w:t>
      </w:r>
      <w:r w:rsidR="00607DC3">
        <w:rPr>
          <w:lang w:val="en-AU"/>
        </w:rPr>
        <w:t>Commission has not sought to apply</w:t>
      </w:r>
      <w:r>
        <w:rPr>
          <w:lang w:val="en-AU"/>
        </w:rPr>
        <w:t xml:space="preserve"> any of the AER</w:t>
      </w:r>
      <w:r w:rsidR="00881921">
        <w:rPr>
          <w:lang w:val="en-AU"/>
        </w:rPr>
        <w:t>’</w:t>
      </w:r>
      <w:r>
        <w:rPr>
          <w:lang w:val="en-AU"/>
        </w:rPr>
        <w:t>s incentive schemes</w:t>
      </w:r>
      <w:r w:rsidR="00607DC3">
        <w:rPr>
          <w:lang w:val="en-AU"/>
        </w:rPr>
        <w:t xml:space="preserve"> to </w:t>
      </w:r>
      <w:r w:rsidR="003E464E">
        <w:rPr>
          <w:lang w:val="en-AU"/>
        </w:rPr>
        <w:t>PWC </w:t>
      </w:r>
      <w:r w:rsidR="00607DC3">
        <w:rPr>
          <w:lang w:val="en-AU"/>
        </w:rPr>
        <w:t xml:space="preserve">Networks </w:t>
      </w:r>
      <w:r>
        <w:rPr>
          <w:lang w:val="en-AU"/>
        </w:rPr>
        <w:t>at this point in time</w:t>
      </w:r>
      <w:r w:rsidR="00607DC3">
        <w:rPr>
          <w:lang w:val="en-AU"/>
        </w:rPr>
        <w:t>.</w:t>
      </w:r>
    </w:p>
    <w:p w14:paraId="56C4AA84" w14:textId="5239F5E9" w:rsidR="002A2C6F" w:rsidRDefault="00607DC3" w:rsidP="00A7159D">
      <w:pPr>
        <w:pStyle w:val="NumberLevel2"/>
        <w:numPr>
          <w:ilvl w:val="1"/>
          <w:numId w:val="4"/>
        </w:numPr>
        <w:tabs>
          <w:tab w:val="num" w:pos="1569"/>
        </w:tabs>
        <w:ind w:left="709" w:hanging="709"/>
        <w:rPr>
          <w:lang w:val="en-AU"/>
        </w:rPr>
      </w:pPr>
      <w:r w:rsidRPr="00457889">
        <w:rPr>
          <w:lang w:val="en-AU"/>
        </w:rPr>
        <w:t xml:space="preserve">In addition, the </w:t>
      </w:r>
      <w:r w:rsidR="005E5E2E">
        <w:rPr>
          <w:lang w:val="en-AU"/>
        </w:rPr>
        <w:t xml:space="preserve">Commission has </w:t>
      </w:r>
      <w:r w:rsidRPr="00457889">
        <w:rPr>
          <w:lang w:val="en-AU"/>
        </w:rPr>
        <w:t>significantly lessened</w:t>
      </w:r>
      <w:r w:rsidR="005E5E2E">
        <w:rPr>
          <w:lang w:val="en-AU"/>
        </w:rPr>
        <w:t xml:space="preserve"> the information requirements generally imposed by the </w:t>
      </w:r>
      <w:r w:rsidR="006557CF">
        <w:rPr>
          <w:lang w:val="en-AU"/>
        </w:rPr>
        <w:t>AER</w:t>
      </w:r>
      <w:r w:rsidR="007575BE">
        <w:rPr>
          <w:lang w:val="en-AU"/>
        </w:rPr>
        <w:t xml:space="preserve"> on network service providers</w:t>
      </w:r>
      <w:r w:rsidRPr="00457889">
        <w:rPr>
          <w:lang w:val="en-AU"/>
        </w:rPr>
        <w:t xml:space="preserve"> in recognition of </w:t>
      </w:r>
      <w:r w:rsidR="003E464E">
        <w:rPr>
          <w:lang w:val="en-AU"/>
        </w:rPr>
        <w:t>PWC </w:t>
      </w:r>
      <w:r w:rsidR="002A2C6F">
        <w:rPr>
          <w:lang w:val="en-AU"/>
        </w:rPr>
        <w:t>Networks</w:t>
      </w:r>
      <w:r w:rsidR="006557CF">
        <w:rPr>
          <w:lang w:val="en-AU"/>
        </w:rPr>
        <w:t>’ current capacity</w:t>
      </w:r>
      <w:r w:rsidR="002A2C6F">
        <w:rPr>
          <w:lang w:val="en-AU"/>
        </w:rPr>
        <w:t xml:space="preserve"> </w:t>
      </w:r>
      <w:r w:rsidRPr="00457889">
        <w:rPr>
          <w:lang w:val="en-AU"/>
        </w:rPr>
        <w:t xml:space="preserve">to provide information. </w:t>
      </w:r>
      <w:r w:rsidR="002A2C6F">
        <w:rPr>
          <w:lang w:val="en-AU"/>
        </w:rPr>
        <w:t xml:space="preserve">The Commission also provided PWC Networks with a significantly longer period than allowed for </w:t>
      </w:r>
      <w:r w:rsidR="006557CF">
        <w:rPr>
          <w:lang w:val="en-AU"/>
        </w:rPr>
        <w:t>by the AER</w:t>
      </w:r>
      <w:r w:rsidR="002A2C6F">
        <w:rPr>
          <w:lang w:val="en-AU"/>
        </w:rPr>
        <w:t xml:space="preserve"> in which to prepare and submit its full regulatory proposal</w:t>
      </w:r>
      <w:r w:rsidR="00263E57">
        <w:rPr>
          <w:lang w:val="en-AU"/>
        </w:rPr>
        <w:t xml:space="preserve">, and allowed </w:t>
      </w:r>
      <w:r w:rsidR="006557CF">
        <w:rPr>
          <w:lang w:val="en-AU"/>
        </w:rPr>
        <w:t xml:space="preserve">PWC Networks to submit the information supporting its regulatory proposal </w:t>
      </w:r>
      <w:r w:rsidR="00263E57">
        <w:rPr>
          <w:lang w:val="en-AU"/>
        </w:rPr>
        <w:t>in stages</w:t>
      </w:r>
      <w:r w:rsidR="002A2C6F">
        <w:rPr>
          <w:lang w:val="en-AU"/>
        </w:rPr>
        <w:t>.</w:t>
      </w:r>
    </w:p>
    <w:p w14:paraId="51CE704E" w14:textId="494F6004" w:rsidR="00607DC3" w:rsidRDefault="002A2C6F" w:rsidP="00A7159D">
      <w:pPr>
        <w:pStyle w:val="NumberLevel2"/>
        <w:numPr>
          <w:ilvl w:val="1"/>
          <w:numId w:val="4"/>
        </w:numPr>
        <w:tabs>
          <w:tab w:val="num" w:pos="1569"/>
        </w:tabs>
        <w:ind w:left="709" w:hanging="709"/>
        <w:rPr>
          <w:lang w:val="en-AU"/>
        </w:rPr>
      </w:pPr>
      <w:r>
        <w:rPr>
          <w:lang w:val="en-AU"/>
        </w:rPr>
        <w:t xml:space="preserve">The </w:t>
      </w:r>
      <w:r w:rsidR="00607DC3" w:rsidRPr="00457889">
        <w:rPr>
          <w:lang w:val="en-AU"/>
        </w:rPr>
        <w:t xml:space="preserve">Commission </w:t>
      </w:r>
      <w:r w:rsidR="006557CF">
        <w:rPr>
          <w:lang w:val="en-AU"/>
        </w:rPr>
        <w:t>also</w:t>
      </w:r>
      <w:r w:rsidR="00607DC3" w:rsidRPr="00457889">
        <w:rPr>
          <w:lang w:val="en-AU"/>
        </w:rPr>
        <w:t xml:space="preserve"> worked with </w:t>
      </w:r>
      <w:r w:rsidR="003E464E" w:rsidRPr="00457889">
        <w:rPr>
          <w:lang w:val="en-AU"/>
        </w:rPr>
        <w:t>PWC</w:t>
      </w:r>
      <w:r w:rsidR="003E464E">
        <w:rPr>
          <w:lang w:val="en-AU"/>
        </w:rPr>
        <w:t> </w:t>
      </w:r>
      <w:r>
        <w:rPr>
          <w:lang w:val="en-AU"/>
        </w:rPr>
        <w:t xml:space="preserve">Networks </w:t>
      </w:r>
      <w:r w:rsidR="00607DC3" w:rsidRPr="00457889">
        <w:rPr>
          <w:lang w:val="en-AU"/>
        </w:rPr>
        <w:t xml:space="preserve">to identify where gaps exist in </w:t>
      </w:r>
      <w:r w:rsidR="006557CF">
        <w:rPr>
          <w:lang w:val="en-AU"/>
        </w:rPr>
        <w:t>PWC Networks’</w:t>
      </w:r>
      <w:r w:rsidR="006557CF" w:rsidRPr="00457889">
        <w:rPr>
          <w:lang w:val="en-AU"/>
        </w:rPr>
        <w:t xml:space="preserve"> </w:t>
      </w:r>
      <w:r w:rsidR="00607DC3" w:rsidRPr="00457889">
        <w:rPr>
          <w:lang w:val="en-AU"/>
        </w:rPr>
        <w:t xml:space="preserve">information systems </w:t>
      </w:r>
      <w:r w:rsidR="006557CF">
        <w:rPr>
          <w:lang w:val="en-AU"/>
        </w:rPr>
        <w:t xml:space="preserve">to collect the information generally required by </w:t>
      </w:r>
      <w:r w:rsidR="00607DC3" w:rsidRPr="00457889">
        <w:rPr>
          <w:lang w:val="en-AU"/>
        </w:rPr>
        <w:t xml:space="preserve">the AER. This will be important </w:t>
      </w:r>
      <w:r w:rsidR="006557CF">
        <w:rPr>
          <w:lang w:val="en-AU"/>
        </w:rPr>
        <w:t xml:space="preserve">going forward as it is the </w:t>
      </w:r>
      <w:r>
        <w:rPr>
          <w:lang w:val="en-AU"/>
        </w:rPr>
        <w:t>Commission’s expectation that</w:t>
      </w:r>
      <w:r w:rsidR="006557CF">
        <w:rPr>
          <w:lang w:val="en-AU"/>
        </w:rPr>
        <w:t xml:space="preserve"> for the Post 2019 Network Price Determination</w:t>
      </w:r>
      <w:r w:rsidR="00E17F83">
        <w:rPr>
          <w:lang w:val="en-AU"/>
        </w:rPr>
        <w:t>,</w:t>
      </w:r>
      <w:r w:rsidR="006557CF">
        <w:rPr>
          <w:lang w:val="en-AU"/>
        </w:rPr>
        <w:t xml:space="preserve"> PWC Networks will </w:t>
      </w:r>
      <w:r>
        <w:rPr>
          <w:lang w:val="en-AU"/>
        </w:rPr>
        <w:t xml:space="preserve">be required to comply </w:t>
      </w:r>
      <w:r w:rsidR="006557CF">
        <w:rPr>
          <w:lang w:val="en-AU"/>
        </w:rPr>
        <w:t>with the AER’s information requirements</w:t>
      </w:r>
      <w:r>
        <w:rPr>
          <w:lang w:val="en-AU"/>
        </w:rPr>
        <w:t>.</w:t>
      </w:r>
    </w:p>
    <w:p w14:paraId="77B73ED1" w14:textId="6FF4C5F9" w:rsidR="00607DC3" w:rsidRPr="00580075" w:rsidRDefault="00607DC3" w:rsidP="00A7159D">
      <w:pPr>
        <w:pStyle w:val="NumberLevel2"/>
        <w:numPr>
          <w:ilvl w:val="1"/>
          <w:numId w:val="4"/>
        </w:numPr>
        <w:tabs>
          <w:tab w:val="num" w:pos="1569"/>
        </w:tabs>
        <w:ind w:left="709" w:hanging="709"/>
        <w:rPr>
          <w:lang w:val="en-AU"/>
        </w:rPr>
      </w:pPr>
      <w:r w:rsidRPr="00580075">
        <w:rPr>
          <w:lang w:val="en-AU"/>
        </w:rPr>
        <w:t>The Commis</w:t>
      </w:r>
      <w:r w:rsidRPr="007A19D8">
        <w:rPr>
          <w:lang w:val="en-AU"/>
        </w:rPr>
        <w:t xml:space="preserve">sion notes that </w:t>
      </w:r>
      <w:r>
        <w:rPr>
          <w:lang w:val="en-AU"/>
        </w:rPr>
        <w:t xml:space="preserve">the information required for regulatory purposes is </w:t>
      </w:r>
      <w:r w:rsidR="00162818">
        <w:rPr>
          <w:lang w:val="en-AU"/>
        </w:rPr>
        <w:t>similar to</w:t>
      </w:r>
      <w:r>
        <w:rPr>
          <w:lang w:val="en-AU"/>
        </w:rPr>
        <w:t xml:space="preserve"> that required for business purposes, </w:t>
      </w:r>
      <w:r w:rsidR="00162818">
        <w:rPr>
          <w:lang w:val="en-AU"/>
        </w:rPr>
        <w:t>where</w:t>
      </w:r>
      <w:r>
        <w:rPr>
          <w:lang w:val="en-AU"/>
        </w:rPr>
        <w:t xml:space="preserve"> good management decisions rely on the same detailed information as </w:t>
      </w:r>
      <w:r w:rsidR="00162818">
        <w:rPr>
          <w:lang w:val="en-AU"/>
        </w:rPr>
        <w:t>that</w:t>
      </w:r>
      <w:r>
        <w:rPr>
          <w:lang w:val="en-AU"/>
        </w:rPr>
        <w:t xml:space="preserve"> required for regulatory </w:t>
      </w:r>
      <w:r w:rsidR="0056457D">
        <w:rPr>
          <w:lang w:val="en-AU"/>
        </w:rPr>
        <w:t>decision-</w:t>
      </w:r>
      <w:r>
        <w:rPr>
          <w:lang w:val="en-AU"/>
        </w:rPr>
        <w:t xml:space="preserve">making. </w:t>
      </w:r>
      <w:r w:rsidR="006557CF">
        <w:rPr>
          <w:lang w:val="en-AU"/>
        </w:rPr>
        <w:t>Accordingly</w:t>
      </w:r>
      <w:r>
        <w:rPr>
          <w:lang w:val="en-AU"/>
        </w:rPr>
        <w:t xml:space="preserve">, </w:t>
      </w:r>
      <w:r w:rsidR="006557CF">
        <w:rPr>
          <w:lang w:val="en-AU"/>
        </w:rPr>
        <w:t xml:space="preserve">the </w:t>
      </w:r>
      <w:r w:rsidR="00881921">
        <w:rPr>
          <w:lang w:val="en-AU"/>
        </w:rPr>
        <w:t>information</w:t>
      </w:r>
      <w:r>
        <w:rPr>
          <w:lang w:val="en-AU"/>
        </w:rPr>
        <w:t xml:space="preserve"> management systems being designed for </w:t>
      </w:r>
      <w:r w:rsidR="006557CF">
        <w:rPr>
          <w:lang w:val="en-AU"/>
        </w:rPr>
        <w:t xml:space="preserve">PWC Networks’ </w:t>
      </w:r>
      <w:r>
        <w:rPr>
          <w:lang w:val="en-AU"/>
        </w:rPr>
        <w:t xml:space="preserve">regulatory purposes should </w:t>
      </w:r>
      <w:r w:rsidR="006557CF">
        <w:rPr>
          <w:lang w:val="en-AU"/>
        </w:rPr>
        <w:t>also be utilised</w:t>
      </w:r>
      <w:r>
        <w:rPr>
          <w:lang w:val="en-AU"/>
        </w:rPr>
        <w:t xml:space="preserve"> for </w:t>
      </w:r>
      <w:r w:rsidR="006557CF">
        <w:rPr>
          <w:lang w:val="en-AU"/>
        </w:rPr>
        <w:t xml:space="preserve">its </w:t>
      </w:r>
      <w:r>
        <w:rPr>
          <w:lang w:val="en-AU"/>
        </w:rPr>
        <w:t>business purposes.</w:t>
      </w:r>
    </w:p>
    <w:p w14:paraId="4BF1DA00" w14:textId="77777777" w:rsidR="00B05D16" w:rsidRDefault="00B05D16" w:rsidP="00B05D16">
      <w:pPr>
        <w:pStyle w:val="UtilComHeading3"/>
      </w:pPr>
      <w:r>
        <w:t>Scope of the 2014 Network Price Determination</w:t>
      </w:r>
    </w:p>
    <w:p w14:paraId="1845186E" w14:textId="05235458" w:rsidR="00810171" w:rsidRPr="00C63267" w:rsidRDefault="00810171" w:rsidP="00A7159D">
      <w:pPr>
        <w:pStyle w:val="NumberLevel2"/>
        <w:numPr>
          <w:ilvl w:val="1"/>
          <w:numId w:val="5"/>
        </w:numPr>
        <w:ind w:left="709" w:hanging="709"/>
        <w:rPr>
          <w:lang w:val="en-AU"/>
        </w:rPr>
      </w:pPr>
      <w:r w:rsidRPr="00C63267">
        <w:rPr>
          <w:lang w:val="en-AU"/>
        </w:rPr>
        <w:t xml:space="preserve">As set out in the Commission’s Framework </w:t>
      </w:r>
      <w:r w:rsidR="005D488A">
        <w:rPr>
          <w:lang w:val="en-AU"/>
        </w:rPr>
        <w:t>Statement</w:t>
      </w:r>
      <w:r w:rsidRPr="00C63267">
        <w:rPr>
          <w:lang w:val="en-AU"/>
        </w:rPr>
        <w:t>, the 2014 Network Price Determination comprise</w:t>
      </w:r>
      <w:r w:rsidR="003E464E">
        <w:rPr>
          <w:lang w:val="en-AU"/>
        </w:rPr>
        <w:t>s</w:t>
      </w:r>
      <w:r w:rsidRPr="00C63267">
        <w:rPr>
          <w:lang w:val="en-AU"/>
        </w:rPr>
        <w:t xml:space="preserve"> a single building block covering all </w:t>
      </w:r>
      <w:r w:rsidR="00BF44C8">
        <w:rPr>
          <w:lang w:val="en-AU"/>
        </w:rPr>
        <w:t xml:space="preserve">regulated </w:t>
      </w:r>
      <w:r w:rsidRPr="00C63267">
        <w:rPr>
          <w:lang w:val="en-AU"/>
        </w:rPr>
        <w:t xml:space="preserve">network </w:t>
      </w:r>
      <w:r w:rsidR="00BF44C8">
        <w:rPr>
          <w:lang w:val="en-AU"/>
        </w:rPr>
        <w:t xml:space="preserve">access </w:t>
      </w:r>
      <w:r w:rsidRPr="00C63267">
        <w:rPr>
          <w:lang w:val="en-AU"/>
        </w:rPr>
        <w:t xml:space="preserve">services provided by </w:t>
      </w:r>
      <w:r w:rsidR="003E464E" w:rsidRPr="00C63267">
        <w:rPr>
          <w:lang w:val="en-AU"/>
        </w:rPr>
        <w:t>PWC</w:t>
      </w:r>
      <w:r w:rsidR="003E464E">
        <w:rPr>
          <w:lang w:val="en-AU"/>
        </w:rPr>
        <w:t> </w:t>
      </w:r>
      <w:r w:rsidRPr="00C63267">
        <w:rPr>
          <w:lang w:val="en-AU"/>
        </w:rPr>
        <w:t>Networks, applying</w:t>
      </w:r>
      <w:r w:rsidR="00293215">
        <w:rPr>
          <w:lang w:val="en-AU"/>
        </w:rPr>
        <w:t>,</w:t>
      </w:r>
      <w:r w:rsidRPr="00C63267">
        <w:rPr>
          <w:lang w:val="en-AU"/>
        </w:rPr>
        <w:t xml:space="preserve"> where appropriate</w:t>
      </w:r>
      <w:r w:rsidR="00293215">
        <w:rPr>
          <w:lang w:val="en-AU"/>
        </w:rPr>
        <w:t>,</w:t>
      </w:r>
      <w:r w:rsidRPr="00C63267">
        <w:rPr>
          <w:lang w:val="en-AU"/>
        </w:rPr>
        <w:t xml:space="preserve"> the provisions of </w:t>
      </w:r>
      <w:r w:rsidR="003E464E" w:rsidRPr="00C63267">
        <w:rPr>
          <w:lang w:val="en-AU"/>
        </w:rPr>
        <w:t>Chapter</w:t>
      </w:r>
      <w:r w:rsidR="003E464E">
        <w:rPr>
          <w:lang w:val="en-AU"/>
        </w:rPr>
        <w:t> </w:t>
      </w:r>
      <w:r w:rsidRPr="00C63267">
        <w:rPr>
          <w:lang w:val="en-AU"/>
        </w:rPr>
        <w:t>6 of the NER</w:t>
      </w:r>
      <w:r w:rsidR="00BF44C8">
        <w:rPr>
          <w:lang w:val="en-AU"/>
        </w:rPr>
        <w:t xml:space="preserve"> and the conventions, rules and procedures generally applied by the AER</w:t>
      </w:r>
      <w:r w:rsidRPr="00C63267">
        <w:rPr>
          <w:lang w:val="en-AU"/>
        </w:rPr>
        <w:t xml:space="preserve">. </w:t>
      </w:r>
    </w:p>
    <w:p w14:paraId="411010DD" w14:textId="0AAE548A" w:rsidR="00240D91" w:rsidRPr="00DD495C" w:rsidRDefault="00240D91" w:rsidP="00E3688B">
      <w:pPr>
        <w:pStyle w:val="UtilComHeading2"/>
      </w:pPr>
      <w:bookmarkStart w:id="32" w:name="_Toc385241442"/>
      <w:bookmarkStart w:id="33" w:name="_Toc386012995"/>
      <w:r>
        <w:t xml:space="preserve">Review </w:t>
      </w:r>
      <w:bookmarkEnd w:id="32"/>
      <w:r w:rsidR="009B51AB">
        <w:t>Process</w:t>
      </w:r>
      <w:bookmarkEnd w:id="33"/>
    </w:p>
    <w:p w14:paraId="2063D038" w14:textId="39247E80" w:rsidR="00994CD3" w:rsidRPr="00C63267" w:rsidRDefault="00994CD3" w:rsidP="00A7159D">
      <w:pPr>
        <w:pStyle w:val="NumberLevel2"/>
        <w:numPr>
          <w:ilvl w:val="1"/>
          <w:numId w:val="5"/>
        </w:numPr>
        <w:ind w:left="709" w:hanging="709"/>
        <w:rPr>
          <w:lang w:val="en-AU"/>
        </w:rPr>
      </w:pPr>
      <w:r w:rsidRPr="00C63267">
        <w:rPr>
          <w:lang w:val="en-AU"/>
        </w:rPr>
        <w:t xml:space="preserve">The Commission has reviewed </w:t>
      </w:r>
      <w:r w:rsidR="003E464E" w:rsidRPr="00C63267">
        <w:rPr>
          <w:lang w:val="en-AU"/>
        </w:rPr>
        <w:t>PWC</w:t>
      </w:r>
      <w:r w:rsidR="003E464E">
        <w:rPr>
          <w:lang w:val="en-AU"/>
        </w:rPr>
        <w:t> </w:t>
      </w:r>
      <w:r w:rsidRPr="00C63267">
        <w:rPr>
          <w:lang w:val="en-AU"/>
        </w:rPr>
        <w:t xml:space="preserve">Networks’ regulatory proposal in accordance with the requirements of the </w:t>
      </w:r>
      <w:r w:rsidR="00FB2EC5">
        <w:rPr>
          <w:lang w:val="en-AU"/>
        </w:rPr>
        <w:t>Network Access Code</w:t>
      </w:r>
      <w:r w:rsidR="007575BE">
        <w:rPr>
          <w:lang w:val="en-AU"/>
        </w:rPr>
        <w:t>,</w:t>
      </w:r>
      <w:r w:rsidRPr="00C63267">
        <w:rPr>
          <w:lang w:val="en-AU"/>
        </w:rPr>
        <w:t xml:space="preserve"> having regard to the review process outlined in </w:t>
      </w:r>
      <w:r w:rsidR="003E464E" w:rsidRPr="00C63267">
        <w:rPr>
          <w:lang w:val="en-AU"/>
        </w:rPr>
        <w:t>Part</w:t>
      </w:r>
      <w:r w:rsidR="003E464E">
        <w:rPr>
          <w:lang w:val="en-AU"/>
        </w:rPr>
        <w:t xml:space="preserve"> </w:t>
      </w:r>
      <w:r w:rsidRPr="00C63267">
        <w:rPr>
          <w:lang w:val="en-AU"/>
        </w:rPr>
        <w:t xml:space="preserve">E of </w:t>
      </w:r>
      <w:r w:rsidR="003E464E">
        <w:rPr>
          <w:lang w:val="en-AU"/>
        </w:rPr>
        <w:t>C</w:t>
      </w:r>
      <w:r w:rsidR="003E464E" w:rsidRPr="00C63267">
        <w:rPr>
          <w:lang w:val="en-AU"/>
        </w:rPr>
        <w:t>hapter</w:t>
      </w:r>
      <w:r w:rsidR="003E464E">
        <w:rPr>
          <w:lang w:val="en-AU"/>
        </w:rPr>
        <w:t> </w:t>
      </w:r>
      <w:r w:rsidRPr="00C63267">
        <w:rPr>
          <w:lang w:val="en-AU"/>
        </w:rPr>
        <w:t>6 of the NER. To date, this process has involved:</w:t>
      </w:r>
    </w:p>
    <w:p w14:paraId="3037B755" w14:textId="2C98DABF" w:rsidR="00994CD3" w:rsidRDefault="00994CD3" w:rsidP="008E229D">
      <w:pPr>
        <w:pStyle w:val="UtilComBulletText"/>
        <w:numPr>
          <w:ilvl w:val="0"/>
          <w:numId w:val="6"/>
        </w:numPr>
        <w:tabs>
          <w:tab w:val="clear" w:pos="964"/>
          <w:tab w:val="clear" w:pos="1134"/>
          <w:tab w:val="num" w:pos="1276"/>
        </w:tabs>
        <w:ind w:left="1134" w:hanging="425"/>
      </w:pPr>
      <w:r>
        <w:t>Framework and approach</w:t>
      </w:r>
      <w:r w:rsidR="0056457D">
        <w:t xml:space="preserve"> - </w:t>
      </w:r>
      <w:r w:rsidR="004A4AAF">
        <w:t xml:space="preserve">The </w:t>
      </w:r>
      <w:r>
        <w:t xml:space="preserve">Commission consulted with PWC Networks and interested parties about the development of the framework and approach, with respect to the classification of </w:t>
      </w:r>
      <w:r w:rsidR="004A4AAF">
        <w:t xml:space="preserve">incentive </w:t>
      </w:r>
      <w:r>
        <w:t xml:space="preserve">services, control mechanism and application of schemes. The </w:t>
      </w:r>
      <w:r w:rsidR="0056457D">
        <w:t>Framework Statement</w:t>
      </w:r>
      <w:r>
        <w:t xml:space="preserve"> was published in November 2012, </w:t>
      </w:r>
      <w:r w:rsidR="004A4AAF">
        <w:t>generally in accordance with the timeframe and requirements prescribed in</w:t>
      </w:r>
      <w:r>
        <w:t xml:space="preserve"> </w:t>
      </w:r>
      <w:r w:rsidR="00E93547">
        <w:t>clause </w:t>
      </w:r>
      <w:r>
        <w:t>6.8.1 of the NER.</w:t>
      </w:r>
    </w:p>
    <w:p w14:paraId="6480FA30" w14:textId="4815CFEA" w:rsidR="00994CD3" w:rsidRDefault="00994CD3" w:rsidP="008E229D">
      <w:pPr>
        <w:pStyle w:val="UtilComBulletText"/>
        <w:numPr>
          <w:ilvl w:val="0"/>
          <w:numId w:val="6"/>
        </w:numPr>
        <w:tabs>
          <w:tab w:val="clear" w:pos="964"/>
          <w:tab w:val="clear" w:pos="1134"/>
          <w:tab w:val="num" w:pos="1276"/>
        </w:tabs>
        <w:ind w:left="1134" w:hanging="425"/>
      </w:pPr>
      <w:r>
        <w:t>Pre–consultation</w:t>
      </w:r>
      <w:r w:rsidR="0056457D">
        <w:t xml:space="preserve"> - </w:t>
      </w:r>
      <w:r w:rsidR="004A4AAF">
        <w:t xml:space="preserve">The </w:t>
      </w:r>
      <w:r>
        <w:t>Commission consulted with PWC Networks about the development of the regulatory information notice</w:t>
      </w:r>
      <w:r w:rsidR="004A4AAF">
        <w:t>,</w:t>
      </w:r>
      <w:r w:rsidR="00293215">
        <w:t xml:space="preserve"> </w:t>
      </w:r>
      <w:r w:rsidR="004A4AAF">
        <w:t xml:space="preserve">including the </w:t>
      </w:r>
      <w:r>
        <w:t>pro forma templates.</w:t>
      </w:r>
    </w:p>
    <w:p w14:paraId="430AFA20" w14:textId="54F8B169" w:rsidR="00994CD3" w:rsidRPr="00F90D5A" w:rsidRDefault="00E93547" w:rsidP="008E229D">
      <w:pPr>
        <w:pStyle w:val="UtilComBulletText"/>
        <w:numPr>
          <w:ilvl w:val="0"/>
          <w:numId w:val="6"/>
        </w:numPr>
        <w:tabs>
          <w:tab w:val="clear" w:pos="964"/>
          <w:tab w:val="clear" w:pos="1134"/>
          <w:tab w:val="num" w:pos="1276"/>
        </w:tabs>
        <w:ind w:left="1134" w:hanging="425"/>
      </w:pPr>
      <w:r>
        <w:t>Regulatory p</w:t>
      </w:r>
      <w:r w:rsidRPr="00F90D5A">
        <w:t>roposal</w:t>
      </w:r>
      <w:r>
        <w:t xml:space="preserve"> </w:t>
      </w:r>
      <w:r w:rsidR="0056457D">
        <w:t xml:space="preserve">- </w:t>
      </w:r>
      <w:r w:rsidR="00994CD3" w:rsidRPr="00F90D5A">
        <w:t xml:space="preserve">PWC Networks submitted its regulatory proposal to the Commission on </w:t>
      </w:r>
      <w:r w:rsidRPr="00F90D5A">
        <w:t>16</w:t>
      </w:r>
      <w:r>
        <w:t> </w:t>
      </w:r>
      <w:r w:rsidRPr="00F90D5A">
        <w:t>September</w:t>
      </w:r>
      <w:r>
        <w:t> </w:t>
      </w:r>
      <w:r w:rsidR="00994CD3" w:rsidRPr="00F90D5A">
        <w:t xml:space="preserve">2013. The Commission assessed PWC Networks’ </w:t>
      </w:r>
      <w:r w:rsidR="004A4AAF">
        <w:t xml:space="preserve">regulatory </w:t>
      </w:r>
      <w:r w:rsidR="00994CD3" w:rsidRPr="00F90D5A">
        <w:t xml:space="preserve">proposal against the requirements of the </w:t>
      </w:r>
      <w:r w:rsidR="00FB2EC5">
        <w:t>Network Access Code</w:t>
      </w:r>
      <w:r w:rsidR="00994CD3" w:rsidRPr="00F90D5A">
        <w:t xml:space="preserve"> having regard to </w:t>
      </w:r>
      <w:r>
        <w:t>C</w:t>
      </w:r>
      <w:r w:rsidRPr="00F90D5A">
        <w:t>hapter</w:t>
      </w:r>
      <w:r>
        <w:t> </w:t>
      </w:r>
      <w:r w:rsidR="00994CD3" w:rsidRPr="00F90D5A">
        <w:t xml:space="preserve">6 of the NER and the AER’s </w:t>
      </w:r>
      <w:r w:rsidR="004A4AAF">
        <w:t xml:space="preserve">conventions, rules and procedures (including relevant </w:t>
      </w:r>
      <w:r w:rsidR="00994CD3" w:rsidRPr="00F90D5A">
        <w:t>guidelines</w:t>
      </w:r>
      <w:r w:rsidR="004A4AAF">
        <w:t>)</w:t>
      </w:r>
      <w:r w:rsidR="00994CD3" w:rsidRPr="00F90D5A">
        <w:t>.</w:t>
      </w:r>
    </w:p>
    <w:p w14:paraId="172A6CAD" w14:textId="1C5BC2A4" w:rsidR="00994CD3" w:rsidRDefault="00994CD3" w:rsidP="008E229D">
      <w:pPr>
        <w:pStyle w:val="UtilComBulletText"/>
        <w:numPr>
          <w:ilvl w:val="0"/>
          <w:numId w:val="6"/>
        </w:numPr>
        <w:tabs>
          <w:tab w:val="clear" w:pos="964"/>
          <w:tab w:val="clear" w:pos="1134"/>
          <w:tab w:val="num" w:pos="1276"/>
        </w:tabs>
        <w:ind w:left="1134" w:hanging="425"/>
      </w:pPr>
      <w:r>
        <w:t>Public consultation</w:t>
      </w:r>
      <w:r w:rsidR="0056457D">
        <w:t xml:space="preserve"> - </w:t>
      </w:r>
      <w:r w:rsidR="004A4AAF">
        <w:t xml:space="preserve">On </w:t>
      </w:r>
      <w:r w:rsidR="00E93547">
        <w:t>19 September </w:t>
      </w:r>
      <w:r w:rsidR="00263E57">
        <w:t>2013</w:t>
      </w:r>
      <w:r w:rsidR="00881921">
        <w:t>,</w:t>
      </w:r>
      <w:r w:rsidR="00263E57">
        <w:t xml:space="preserve"> </w:t>
      </w:r>
      <w:r>
        <w:t xml:space="preserve">the Commission published </w:t>
      </w:r>
      <w:r w:rsidR="00293215">
        <w:t>PWC </w:t>
      </w:r>
      <w:r>
        <w:t xml:space="preserve">Networks’ </w:t>
      </w:r>
      <w:r w:rsidR="004A4AAF">
        <w:t xml:space="preserve">initial </w:t>
      </w:r>
      <w:r>
        <w:t xml:space="preserve">regulatory proposal and called for submissions from interested parties. </w:t>
      </w:r>
    </w:p>
    <w:p w14:paraId="5197F486" w14:textId="59682233" w:rsidR="00994CD3" w:rsidRDefault="00994CD3" w:rsidP="008E229D">
      <w:pPr>
        <w:pStyle w:val="UtilComBulletText"/>
        <w:numPr>
          <w:ilvl w:val="0"/>
          <w:numId w:val="6"/>
        </w:numPr>
        <w:tabs>
          <w:tab w:val="clear" w:pos="964"/>
          <w:tab w:val="clear" w:pos="1134"/>
          <w:tab w:val="num" w:pos="1276"/>
        </w:tabs>
        <w:ind w:left="1134" w:hanging="425"/>
      </w:pPr>
      <w:r>
        <w:t>Submissions</w:t>
      </w:r>
      <w:r w:rsidR="0056457D">
        <w:t xml:space="preserve"> - </w:t>
      </w:r>
      <w:r w:rsidR="004A4AAF">
        <w:t xml:space="preserve">The </w:t>
      </w:r>
      <w:r>
        <w:t xml:space="preserve">Commission received </w:t>
      </w:r>
      <w:r w:rsidR="00AD325D">
        <w:t xml:space="preserve">five </w:t>
      </w:r>
      <w:r>
        <w:t>submissions on PWC</w:t>
      </w:r>
      <w:r w:rsidR="00F90D5A">
        <w:t xml:space="preserve"> Networks’ </w:t>
      </w:r>
      <w:r w:rsidR="004A4AAF">
        <w:t xml:space="preserve">initial </w:t>
      </w:r>
      <w:r w:rsidR="00F90D5A">
        <w:t>regulatory proposal.</w:t>
      </w:r>
      <w:r>
        <w:t xml:space="preserve"> The submissions are listed </w:t>
      </w:r>
      <w:r w:rsidRPr="00AC7BA3">
        <w:t xml:space="preserve">in </w:t>
      </w:r>
      <w:r w:rsidR="00E93547" w:rsidRPr="004A4AAF">
        <w:t>Appendix </w:t>
      </w:r>
      <w:r w:rsidR="004A4AAF">
        <w:t>C</w:t>
      </w:r>
      <w:r w:rsidRPr="00AC7BA3">
        <w:t>.</w:t>
      </w:r>
    </w:p>
    <w:p w14:paraId="4D8CA40D" w14:textId="39F979E3" w:rsidR="00994CD3" w:rsidRDefault="00994CD3" w:rsidP="008E229D">
      <w:pPr>
        <w:pStyle w:val="UtilComBulletText"/>
        <w:numPr>
          <w:ilvl w:val="0"/>
          <w:numId w:val="6"/>
        </w:numPr>
        <w:tabs>
          <w:tab w:val="clear" w:pos="964"/>
          <w:tab w:val="clear" w:pos="1134"/>
          <w:tab w:val="num" w:pos="1276"/>
        </w:tabs>
        <w:ind w:left="1134" w:hanging="425"/>
      </w:pPr>
      <w:r>
        <w:t>Assessment by technical experts</w:t>
      </w:r>
      <w:r w:rsidR="0056457D">
        <w:t xml:space="preserve"> - </w:t>
      </w:r>
      <w:r w:rsidR="004A4AAF">
        <w:t xml:space="preserve">The </w:t>
      </w:r>
      <w:r w:rsidR="006D2ABD">
        <w:t>Commission</w:t>
      </w:r>
      <w:r>
        <w:t xml:space="preserve"> engaged PB as a technical expert to advise </w:t>
      </w:r>
      <w:r w:rsidR="004A4AAF">
        <w:t xml:space="preserve">the Commission </w:t>
      </w:r>
      <w:r>
        <w:t>on a number of key aspec</w:t>
      </w:r>
      <w:r w:rsidR="006D2ABD">
        <w:t>ts of the regulatory proposal</w:t>
      </w:r>
      <w:r w:rsidR="00011BC3">
        <w:t xml:space="preserve">, including a review of </w:t>
      </w:r>
      <w:r w:rsidR="004A4AAF">
        <w:t xml:space="preserve">PWC Networks’ </w:t>
      </w:r>
      <w:r w:rsidR="00011BC3">
        <w:t>demand forecasts, proposed capital expenditure and proposed operating and maintenance expenditure.</w:t>
      </w:r>
    </w:p>
    <w:p w14:paraId="277E6BBA" w14:textId="6540C9EC" w:rsidR="00011BC3" w:rsidRDefault="00994CD3" w:rsidP="008E229D">
      <w:pPr>
        <w:pStyle w:val="UtilComBulletText"/>
        <w:numPr>
          <w:ilvl w:val="0"/>
          <w:numId w:val="6"/>
        </w:numPr>
        <w:tabs>
          <w:tab w:val="clear" w:pos="964"/>
          <w:tab w:val="clear" w:pos="1134"/>
          <w:tab w:val="num" w:pos="1276"/>
        </w:tabs>
        <w:ind w:left="1134" w:hanging="425"/>
      </w:pPr>
      <w:r>
        <w:t>Other specialist advice</w:t>
      </w:r>
      <w:r w:rsidR="0056457D">
        <w:t xml:space="preserve"> - </w:t>
      </w:r>
      <w:r w:rsidR="004A4AAF">
        <w:t xml:space="preserve">The </w:t>
      </w:r>
      <w:r w:rsidR="006D2ABD">
        <w:t>Commission</w:t>
      </w:r>
      <w:r>
        <w:t xml:space="preserve"> also engaged</w:t>
      </w:r>
      <w:r w:rsidR="00011BC3">
        <w:t>:</w:t>
      </w:r>
      <w:r>
        <w:t xml:space="preserve"> </w:t>
      </w:r>
    </w:p>
    <w:p w14:paraId="37F792B7" w14:textId="38CFA031" w:rsidR="00055192" w:rsidRDefault="007A03BF" w:rsidP="008E229D">
      <w:pPr>
        <w:pStyle w:val="UtilComBulletText"/>
        <w:numPr>
          <w:ilvl w:val="1"/>
          <w:numId w:val="13"/>
        </w:numPr>
        <w:tabs>
          <w:tab w:val="clear" w:pos="1134"/>
          <w:tab w:val="left" w:pos="1560"/>
          <w:tab w:val="left" w:pos="1701"/>
        </w:tabs>
        <w:ind w:left="1560" w:hanging="426"/>
      </w:pPr>
      <w:r>
        <w:t>Ernst &amp; Young</w:t>
      </w:r>
      <w:r w:rsidR="00994CD3">
        <w:t xml:space="preserve"> to provide </w:t>
      </w:r>
      <w:r>
        <w:t xml:space="preserve">advice in developing the </w:t>
      </w:r>
      <w:r w:rsidR="00293215">
        <w:t xml:space="preserve">NTRM </w:t>
      </w:r>
      <w:r>
        <w:t xml:space="preserve">and the (confidential) regulatory templates that accompanied the </w:t>
      </w:r>
      <w:r w:rsidR="004A4AAF">
        <w:t xml:space="preserve">information submitted to the Commission by </w:t>
      </w:r>
      <w:r>
        <w:t>PWC</w:t>
      </w:r>
      <w:r w:rsidR="00A7159D">
        <w:t xml:space="preserve"> Networks</w:t>
      </w:r>
      <w:r w:rsidR="004A4AAF">
        <w:t xml:space="preserve"> in response to the RIN</w:t>
      </w:r>
      <w:r w:rsidR="00055192">
        <w:t>;</w:t>
      </w:r>
    </w:p>
    <w:p w14:paraId="2FC44FA5" w14:textId="104148CD" w:rsidR="00994CD3" w:rsidRDefault="007A03BF" w:rsidP="008E229D">
      <w:pPr>
        <w:pStyle w:val="UtilComBulletText"/>
        <w:numPr>
          <w:ilvl w:val="1"/>
          <w:numId w:val="13"/>
        </w:numPr>
        <w:tabs>
          <w:tab w:val="clear" w:pos="1134"/>
          <w:tab w:val="left" w:pos="1560"/>
          <w:tab w:val="left" w:pos="1701"/>
        </w:tabs>
        <w:ind w:left="1560" w:hanging="426"/>
      </w:pPr>
      <w:r>
        <w:t xml:space="preserve">Primrose and Associates to provide </w:t>
      </w:r>
      <w:r w:rsidR="00597542">
        <w:t xml:space="preserve">high-level overview advice on the </w:t>
      </w:r>
      <w:r w:rsidR="004A4AAF">
        <w:t>2014 Network Price Determination</w:t>
      </w:r>
      <w:r w:rsidR="00055192">
        <w:t>; and</w:t>
      </w:r>
    </w:p>
    <w:p w14:paraId="19304CA1" w14:textId="69B86F79" w:rsidR="00055192" w:rsidRDefault="00E72404" w:rsidP="008E229D">
      <w:pPr>
        <w:pStyle w:val="UtilComBulletText"/>
        <w:numPr>
          <w:ilvl w:val="1"/>
          <w:numId w:val="13"/>
        </w:numPr>
        <w:tabs>
          <w:tab w:val="clear" w:pos="1134"/>
          <w:tab w:val="left" w:pos="1560"/>
          <w:tab w:val="left" w:pos="1701"/>
        </w:tabs>
        <w:ind w:left="1560" w:hanging="426"/>
      </w:pPr>
      <w:r>
        <w:t xml:space="preserve">Deloitte </w:t>
      </w:r>
      <w:r w:rsidR="00055192">
        <w:t xml:space="preserve">to provide advice on </w:t>
      </w:r>
      <w:r w:rsidR="00AC7BA3">
        <w:t>PWC Networks</w:t>
      </w:r>
      <w:r w:rsidR="00A7159D">
        <w:t>’</w:t>
      </w:r>
      <w:r w:rsidR="00AC7BA3">
        <w:t xml:space="preserve"> proposed </w:t>
      </w:r>
      <w:r w:rsidR="004A4AAF">
        <w:t xml:space="preserve">network capital contributions principles and methods statement </w:t>
      </w:r>
      <w:r w:rsidR="00AC7BA3">
        <w:t xml:space="preserve">and </w:t>
      </w:r>
      <w:r w:rsidR="004A4AAF">
        <w:t>network pricing principles s</w:t>
      </w:r>
      <w:r w:rsidR="00293215">
        <w:t>tatement</w:t>
      </w:r>
      <w:r w:rsidR="00055192">
        <w:t>.</w:t>
      </w:r>
    </w:p>
    <w:p w14:paraId="6CF86E3D" w14:textId="43CD20B4" w:rsidR="00E93547" w:rsidRDefault="00E93547" w:rsidP="008E229D">
      <w:pPr>
        <w:pStyle w:val="UtilComBulletText"/>
        <w:numPr>
          <w:ilvl w:val="0"/>
          <w:numId w:val="6"/>
        </w:numPr>
      </w:pPr>
      <w:r>
        <w:t xml:space="preserve">Draft decision – </w:t>
      </w:r>
      <w:r w:rsidR="007F044E">
        <w:t>The D</w:t>
      </w:r>
      <w:r>
        <w:t xml:space="preserve">raft </w:t>
      </w:r>
      <w:r w:rsidR="007F044E">
        <w:t xml:space="preserve">Determination was </w:t>
      </w:r>
      <w:r>
        <w:t>released on 23 December 201</w:t>
      </w:r>
      <w:r w:rsidR="00881921">
        <w:t>3</w:t>
      </w:r>
      <w:r>
        <w:t xml:space="preserve"> and the Commission requested submissions from interested parties.</w:t>
      </w:r>
    </w:p>
    <w:p w14:paraId="11AA0B61" w14:textId="2F6C61D9" w:rsidR="00E93547" w:rsidRDefault="00E93547" w:rsidP="008E229D">
      <w:pPr>
        <w:pStyle w:val="UtilComBulletText"/>
        <w:numPr>
          <w:ilvl w:val="0"/>
          <w:numId w:val="6"/>
        </w:numPr>
      </w:pPr>
      <w:r>
        <w:t>Revised regulatory proposal – PWC Networks submitted its revised regulatory proposal to the Commission on 28 January 2014. The Commission published PWC Networks’ revised regulatory proposal on 4 February 2014</w:t>
      </w:r>
      <w:r w:rsidR="00881921">
        <w:t xml:space="preserve"> and called for submissions from interested parties</w:t>
      </w:r>
      <w:r>
        <w:t>.</w:t>
      </w:r>
    </w:p>
    <w:p w14:paraId="43834D66" w14:textId="4733906C" w:rsidR="00E93547" w:rsidRDefault="00E93547" w:rsidP="008E229D">
      <w:pPr>
        <w:pStyle w:val="UtilComBulletText"/>
        <w:numPr>
          <w:ilvl w:val="0"/>
          <w:numId w:val="6"/>
        </w:numPr>
      </w:pPr>
      <w:r>
        <w:t xml:space="preserve">Submissions - </w:t>
      </w:r>
      <w:r w:rsidR="007F044E">
        <w:t xml:space="preserve">The </w:t>
      </w:r>
      <w:r>
        <w:t xml:space="preserve">Commission received four submissions on its </w:t>
      </w:r>
      <w:r w:rsidR="007F044E">
        <w:t xml:space="preserve">Draft Determination </w:t>
      </w:r>
      <w:r>
        <w:t xml:space="preserve">and PWC Networks’ revised regulatory proposal. The submissions are listed </w:t>
      </w:r>
      <w:r w:rsidRPr="00AC7BA3">
        <w:t xml:space="preserve">in </w:t>
      </w:r>
      <w:r w:rsidRPr="007F044E">
        <w:t>Appendix </w:t>
      </w:r>
      <w:r w:rsidR="007F044E">
        <w:t>C</w:t>
      </w:r>
      <w:r w:rsidRPr="00AC7BA3">
        <w:t>.</w:t>
      </w:r>
    </w:p>
    <w:p w14:paraId="1F3D0EA2" w14:textId="203851A8" w:rsidR="0019748E" w:rsidRDefault="0019748E" w:rsidP="008E229D">
      <w:pPr>
        <w:pStyle w:val="UtilComBulletText"/>
        <w:numPr>
          <w:ilvl w:val="0"/>
          <w:numId w:val="6"/>
        </w:numPr>
      </w:pPr>
      <w:r>
        <w:t xml:space="preserve">Assessment by technical experts - </w:t>
      </w:r>
      <w:r w:rsidR="007F044E">
        <w:t xml:space="preserve">The </w:t>
      </w:r>
      <w:r>
        <w:t>Commission</w:t>
      </w:r>
      <w:r w:rsidR="00F13708">
        <w:t xml:space="preserve"> engaged</w:t>
      </w:r>
      <w:r>
        <w:t xml:space="preserve"> PB as a technical expert to advise it on the proposed capital expenditure and proposed operating and maintenance expenditure components of PWC Networks’ revised regulatory proposal.</w:t>
      </w:r>
    </w:p>
    <w:p w14:paraId="444D239B" w14:textId="2BA16C61" w:rsidR="007F044E" w:rsidRDefault="0019748E" w:rsidP="008E229D">
      <w:pPr>
        <w:pStyle w:val="UtilComBulletText"/>
        <w:numPr>
          <w:ilvl w:val="0"/>
          <w:numId w:val="6"/>
        </w:numPr>
      </w:pPr>
      <w:r>
        <w:t xml:space="preserve">Other specialist advice - </w:t>
      </w:r>
      <w:r w:rsidR="007F044E">
        <w:t xml:space="preserve">The </w:t>
      </w:r>
      <w:r>
        <w:t xml:space="preserve">Commission also engaged </w:t>
      </w:r>
    </w:p>
    <w:p w14:paraId="05DEE4AB" w14:textId="6AC7909D" w:rsidR="007F044E" w:rsidRDefault="0019748E" w:rsidP="007F044E">
      <w:pPr>
        <w:pStyle w:val="UtilComBulletText"/>
        <w:numPr>
          <w:ilvl w:val="1"/>
          <w:numId w:val="13"/>
        </w:numPr>
        <w:tabs>
          <w:tab w:val="clear" w:pos="1134"/>
          <w:tab w:val="left" w:pos="1560"/>
          <w:tab w:val="left" w:pos="1701"/>
        </w:tabs>
        <w:ind w:left="1560" w:hanging="426"/>
      </w:pPr>
      <w:r>
        <w:t>Deloitte to provide advice on PWC Networks Pricing Model</w:t>
      </w:r>
      <w:r w:rsidR="007F044E">
        <w:t xml:space="preserve">; </w:t>
      </w:r>
    </w:p>
    <w:p w14:paraId="5E4E5D6F" w14:textId="71515FBA" w:rsidR="007F044E" w:rsidRDefault="0019748E" w:rsidP="007F044E">
      <w:pPr>
        <w:pStyle w:val="UtilComBulletText"/>
        <w:numPr>
          <w:ilvl w:val="1"/>
          <w:numId w:val="13"/>
        </w:numPr>
        <w:tabs>
          <w:tab w:val="clear" w:pos="1134"/>
          <w:tab w:val="left" w:pos="1560"/>
          <w:tab w:val="left" w:pos="1701"/>
        </w:tabs>
        <w:ind w:left="1560" w:hanging="426"/>
      </w:pPr>
      <w:r w:rsidRPr="0019748E">
        <w:t xml:space="preserve">Primrose and Associates to provide high-level overview advice on the </w:t>
      </w:r>
      <w:r w:rsidR="007F044E">
        <w:t>2014 Network Price Determination; and</w:t>
      </w:r>
      <w:r w:rsidR="00F13708">
        <w:t xml:space="preserve"> </w:t>
      </w:r>
    </w:p>
    <w:p w14:paraId="046728C2" w14:textId="00091D93" w:rsidR="0019748E" w:rsidRDefault="00F13708" w:rsidP="007F044E">
      <w:pPr>
        <w:pStyle w:val="UtilComBulletText"/>
        <w:numPr>
          <w:ilvl w:val="1"/>
          <w:numId w:val="13"/>
        </w:numPr>
        <w:tabs>
          <w:tab w:val="clear" w:pos="1134"/>
          <w:tab w:val="left" w:pos="1560"/>
          <w:tab w:val="left" w:pos="1701"/>
        </w:tabs>
        <w:ind w:left="1560" w:hanging="426"/>
      </w:pPr>
      <w:r>
        <w:t xml:space="preserve">Minter Ellison </w:t>
      </w:r>
      <w:r w:rsidR="007F044E">
        <w:t xml:space="preserve">Lawyers </w:t>
      </w:r>
      <w:r w:rsidR="007575BE">
        <w:t xml:space="preserve">to provide legal advice on the Commission’s </w:t>
      </w:r>
      <w:r>
        <w:t xml:space="preserve">legal authority and aspects of the NER. </w:t>
      </w:r>
    </w:p>
    <w:p w14:paraId="04934E08" w14:textId="0815BE3A" w:rsidR="00662CB3" w:rsidRPr="003F1E94" w:rsidRDefault="00662CB3" w:rsidP="008E229D">
      <w:pPr>
        <w:pStyle w:val="UtilComBulletText"/>
        <w:numPr>
          <w:ilvl w:val="0"/>
          <w:numId w:val="6"/>
        </w:numPr>
      </w:pPr>
      <w:r>
        <w:t xml:space="preserve">Decision – </w:t>
      </w:r>
      <w:r w:rsidR="007F044E">
        <w:t xml:space="preserve">The </w:t>
      </w:r>
      <w:r>
        <w:t xml:space="preserve">Commission made </w:t>
      </w:r>
      <w:r w:rsidR="007F044E">
        <w:t xml:space="preserve">the </w:t>
      </w:r>
      <w:r w:rsidR="003F1E94">
        <w:t xml:space="preserve">2014 </w:t>
      </w:r>
      <w:r w:rsidR="007F044E">
        <w:t>Network Price Determination</w:t>
      </w:r>
      <w:r>
        <w:t xml:space="preserve"> for PWC Networks </w:t>
      </w:r>
      <w:r w:rsidRPr="003F1E94">
        <w:t>on 2</w:t>
      </w:r>
      <w:r w:rsidR="00881921">
        <w:t>2</w:t>
      </w:r>
      <w:r w:rsidRPr="003F1E94">
        <w:t> April 2014.</w:t>
      </w:r>
    </w:p>
    <w:p w14:paraId="41EAB47D" w14:textId="77777777" w:rsidR="003F1E94" w:rsidRDefault="003F1E94">
      <w:pPr>
        <w:spacing w:before="0" w:after="0" w:line="240" w:lineRule="auto"/>
        <w:rPr>
          <w:b/>
          <w:sz w:val="28"/>
        </w:rPr>
      </w:pPr>
      <w:bookmarkStart w:id="34" w:name="_Toc385241443"/>
      <w:r>
        <w:br w:type="page"/>
      </w:r>
    </w:p>
    <w:p w14:paraId="22253B2F" w14:textId="7DD72671" w:rsidR="00240D91" w:rsidRPr="00DD495C" w:rsidRDefault="00240D91" w:rsidP="00E3688B">
      <w:pPr>
        <w:pStyle w:val="UtilComHeading2"/>
      </w:pPr>
      <w:bookmarkStart w:id="35" w:name="_Toc386012996"/>
      <w:r>
        <w:t xml:space="preserve">Structure of </w:t>
      </w:r>
      <w:bookmarkEnd w:id="34"/>
      <w:r w:rsidR="004E4796">
        <w:t>this Statement of Reasons</w:t>
      </w:r>
      <w:bookmarkEnd w:id="35"/>
    </w:p>
    <w:p w14:paraId="095C4F59" w14:textId="1442B4B0" w:rsidR="001363CF" w:rsidRPr="00C63267" w:rsidRDefault="007F044E" w:rsidP="00A7159D">
      <w:pPr>
        <w:pStyle w:val="NumberLevel2"/>
        <w:numPr>
          <w:ilvl w:val="1"/>
          <w:numId w:val="5"/>
        </w:numPr>
        <w:ind w:left="709" w:hanging="567"/>
        <w:rPr>
          <w:lang w:val="en-AU"/>
        </w:rPr>
      </w:pPr>
      <w:r>
        <w:rPr>
          <w:lang w:val="en-AU"/>
        </w:rPr>
        <w:t>This document sets out t</w:t>
      </w:r>
      <w:r w:rsidRPr="00C63267">
        <w:rPr>
          <w:lang w:val="en-AU"/>
        </w:rPr>
        <w:t xml:space="preserve">he </w:t>
      </w:r>
      <w:r w:rsidR="001363CF" w:rsidRPr="00C63267">
        <w:rPr>
          <w:lang w:val="en-AU"/>
        </w:rPr>
        <w:t xml:space="preserve">Commission’s </w:t>
      </w:r>
      <w:r>
        <w:rPr>
          <w:lang w:val="en-AU"/>
        </w:rPr>
        <w:t>basis and rationale for the 2014 Network Price Determination</w:t>
      </w:r>
      <w:r w:rsidR="001363CF" w:rsidRPr="00C63267">
        <w:rPr>
          <w:lang w:val="en-AU"/>
        </w:rPr>
        <w:t xml:space="preserve"> as follows:</w:t>
      </w:r>
    </w:p>
    <w:p w14:paraId="355CB192" w14:textId="39E23DFB" w:rsidR="001363CF" w:rsidRPr="00AC7BA3" w:rsidRDefault="0056457D" w:rsidP="00A7159D">
      <w:pPr>
        <w:pStyle w:val="UtilComBulletText"/>
        <w:tabs>
          <w:tab w:val="clear" w:pos="964"/>
          <w:tab w:val="clear" w:pos="1134"/>
          <w:tab w:val="num" w:pos="1276"/>
        </w:tabs>
        <w:ind w:left="1134" w:hanging="425"/>
      </w:pPr>
      <w:r>
        <w:t xml:space="preserve">Chapters </w:t>
      </w:r>
      <w:r w:rsidR="00662CB3">
        <w:t>3</w:t>
      </w:r>
      <w:r w:rsidR="00662CB3" w:rsidRPr="00AC7BA3">
        <w:t xml:space="preserve"> </w:t>
      </w:r>
      <w:r w:rsidR="001363CF" w:rsidRPr="00AC7BA3">
        <w:t xml:space="preserve">and </w:t>
      </w:r>
      <w:r w:rsidR="00662CB3">
        <w:t>4</w:t>
      </w:r>
      <w:r w:rsidR="00662CB3" w:rsidRPr="00AC7BA3">
        <w:t xml:space="preserve"> </w:t>
      </w:r>
      <w:r w:rsidR="001363CF" w:rsidRPr="00AC7BA3">
        <w:t xml:space="preserve">address the classification of </w:t>
      </w:r>
      <w:r w:rsidR="007F044E">
        <w:t xml:space="preserve">PWC Networks’ network access </w:t>
      </w:r>
      <w:r w:rsidR="001363CF" w:rsidRPr="00AC7BA3">
        <w:t xml:space="preserve">services and </w:t>
      </w:r>
      <w:r w:rsidR="007F044E">
        <w:t xml:space="preserve">the </w:t>
      </w:r>
      <w:r w:rsidR="001363CF" w:rsidRPr="00AC7BA3">
        <w:t xml:space="preserve">control mechanisms </w:t>
      </w:r>
      <w:r w:rsidR="007F044E">
        <w:t>to apply to PWC Networks’ regulated network access services</w:t>
      </w:r>
      <w:r w:rsidR="001363CF" w:rsidRPr="00AC7BA3">
        <w:t>;</w:t>
      </w:r>
      <w:r w:rsidR="007F044E">
        <w:t xml:space="preserve"> and</w:t>
      </w:r>
    </w:p>
    <w:p w14:paraId="7FF3D870" w14:textId="3770948F" w:rsidR="007F044E" w:rsidRDefault="0056457D" w:rsidP="00A7159D">
      <w:pPr>
        <w:pStyle w:val="UtilComBulletText"/>
        <w:tabs>
          <w:tab w:val="clear" w:pos="964"/>
          <w:tab w:val="clear" w:pos="1134"/>
          <w:tab w:val="num" w:pos="1276"/>
        </w:tabs>
        <w:ind w:left="1134" w:hanging="425"/>
      </w:pPr>
      <w:r>
        <w:t>C</w:t>
      </w:r>
      <w:r w:rsidRPr="00AC7BA3">
        <w:t xml:space="preserve">hapters </w:t>
      </w:r>
      <w:r w:rsidR="00662CB3">
        <w:t>5</w:t>
      </w:r>
      <w:r w:rsidR="00662CB3" w:rsidRPr="00AC7BA3">
        <w:t xml:space="preserve"> </w:t>
      </w:r>
      <w:r w:rsidR="001363CF" w:rsidRPr="00AC7BA3">
        <w:t xml:space="preserve">to </w:t>
      </w:r>
      <w:r w:rsidR="00662CB3">
        <w:t>14</w:t>
      </w:r>
      <w:r w:rsidR="00662CB3" w:rsidRPr="00AC7BA3">
        <w:t xml:space="preserve"> </w:t>
      </w:r>
      <w:r w:rsidR="001363CF" w:rsidRPr="00AC7BA3">
        <w:t>relate to key elements of the building block calculation</w:t>
      </w:r>
      <w:r w:rsidR="007F044E">
        <w:t>.</w:t>
      </w:r>
    </w:p>
    <w:p w14:paraId="7F3892CC" w14:textId="414245C2" w:rsidR="001363CF" w:rsidRPr="003F1E94" w:rsidRDefault="007F044E" w:rsidP="007F044E">
      <w:pPr>
        <w:pStyle w:val="NumberLevel2"/>
        <w:numPr>
          <w:ilvl w:val="1"/>
          <w:numId w:val="5"/>
        </w:numPr>
        <w:ind w:left="709" w:hanging="567"/>
        <w:rPr>
          <w:lang w:val="en-AU"/>
        </w:rPr>
      </w:pPr>
      <w:r w:rsidRPr="003F1E94">
        <w:rPr>
          <w:lang w:val="en-AU"/>
        </w:rPr>
        <w:t xml:space="preserve">The Network Access Code also requires the Commission to approve </w:t>
      </w:r>
      <w:r w:rsidR="002A1F7B">
        <w:rPr>
          <w:lang w:val="en-AU"/>
        </w:rPr>
        <w:t>the</w:t>
      </w:r>
      <w:r w:rsidR="007D7703" w:rsidRPr="003F1E94">
        <w:rPr>
          <w:lang w:val="en-AU"/>
        </w:rPr>
        <w:t xml:space="preserve"> statements </w:t>
      </w:r>
      <w:r w:rsidR="002473B3" w:rsidRPr="003F1E94">
        <w:rPr>
          <w:lang w:val="en-AU"/>
        </w:rPr>
        <w:t xml:space="preserve">submitted by PWC Networks </w:t>
      </w:r>
      <w:r w:rsidR="007575BE">
        <w:rPr>
          <w:lang w:val="en-AU"/>
        </w:rPr>
        <w:t xml:space="preserve">which </w:t>
      </w:r>
      <w:r w:rsidR="007D7703" w:rsidRPr="003F1E94">
        <w:rPr>
          <w:lang w:val="en-AU"/>
        </w:rPr>
        <w:t xml:space="preserve">set out </w:t>
      </w:r>
      <w:r w:rsidR="002473B3" w:rsidRPr="003F1E94">
        <w:rPr>
          <w:lang w:val="en-AU"/>
        </w:rPr>
        <w:t xml:space="preserve">the principles and methods to be used for establishing </w:t>
      </w:r>
      <w:r w:rsidR="007D7703" w:rsidRPr="003F1E94">
        <w:rPr>
          <w:lang w:val="en-AU"/>
        </w:rPr>
        <w:t>capital contributions</w:t>
      </w:r>
      <w:r w:rsidR="007D7703" w:rsidRPr="003F1E94">
        <w:rPr>
          <w:rStyle w:val="FootnoteReference"/>
        </w:rPr>
        <w:footnoteReference w:id="17"/>
      </w:r>
      <w:r w:rsidR="001171D6" w:rsidRPr="003F1E94">
        <w:rPr>
          <w:lang w:val="en-AU"/>
        </w:rPr>
        <w:t xml:space="preserve"> </w:t>
      </w:r>
      <w:r w:rsidRPr="003F1E94">
        <w:rPr>
          <w:lang w:val="en-AU"/>
        </w:rPr>
        <w:t xml:space="preserve">and </w:t>
      </w:r>
      <w:r w:rsidR="003F1E94">
        <w:rPr>
          <w:lang w:val="en-AU"/>
        </w:rPr>
        <w:t>the</w:t>
      </w:r>
      <w:r w:rsidR="002473B3" w:rsidRPr="003F1E94">
        <w:rPr>
          <w:lang w:val="en-AU"/>
        </w:rPr>
        <w:t xml:space="preserve"> </w:t>
      </w:r>
      <w:r w:rsidR="001171D6" w:rsidRPr="003F1E94">
        <w:rPr>
          <w:lang w:val="en-AU"/>
        </w:rPr>
        <w:t>principles and methods</w:t>
      </w:r>
      <w:r w:rsidR="003F1E94">
        <w:rPr>
          <w:lang w:val="en-AU"/>
        </w:rPr>
        <w:t xml:space="preserve"> to be used for defining the individual standard network access services PWC Networks will supply and establishing the reference tariffs that will apply to those services</w:t>
      </w:r>
      <w:r w:rsidR="002A1F7B" w:rsidRPr="003F1E94">
        <w:rPr>
          <w:rStyle w:val="FootnoteReference"/>
        </w:rPr>
        <w:footnoteReference w:id="18"/>
      </w:r>
      <w:r w:rsidR="003F1E94">
        <w:rPr>
          <w:lang w:val="en-AU"/>
        </w:rPr>
        <w:t>.</w:t>
      </w:r>
      <w:r w:rsidRPr="003F1E94">
        <w:rPr>
          <w:lang w:val="en-AU"/>
        </w:rPr>
        <w:t xml:space="preserve"> These are additional Territory specific requirements </w:t>
      </w:r>
      <w:r w:rsidR="00413A88" w:rsidRPr="003F1E94">
        <w:rPr>
          <w:lang w:val="en-AU"/>
        </w:rPr>
        <w:t>and are addressed in Chapters 15 and 16</w:t>
      </w:r>
      <w:r w:rsidR="00FB51F4" w:rsidRPr="003F1E94">
        <w:rPr>
          <w:lang w:val="en-AU"/>
        </w:rPr>
        <w:t>.</w:t>
      </w:r>
    </w:p>
    <w:tbl>
      <w:tblPr>
        <w:tblW w:w="0" w:type="auto"/>
        <w:tblLayout w:type="fixed"/>
        <w:tblLook w:val="01E0" w:firstRow="1" w:lastRow="1" w:firstColumn="1" w:lastColumn="1" w:noHBand="0" w:noVBand="0"/>
      </w:tblPr>
      <w:tblGrid>
        <w:gridCol w:w="9288"/>
      </w:tblGrid>
      <w:tr w:rsidR="0054367D" w14:paraId="08238B59" w14:textId="77777777" w:rsidTr="00A03EE9">
        <w:tc>
          <w:tcPr>
            <w:tcW w:w="9288" w:type="dxa"/>
          </w:tcPr>
          <w:p w14:paraId="3864A53B" w14:textId="77777777" w:rsidR="00F21440" w:rsidRDefault="00F21440" w:rsidP="00EF320F">
            <w:pPr>
              <w:pStyle w:val="NumberLevel1"/>
              <w:pageBreakBefore/>
              <w:numPr>
                <w:ilvl w:val="0"/>
                <w:numId w:val="4"/>
              </w:numPr>
              <w:ind w:left="431" w:hanging="431"/>
            </w:pPr>
            <w:r>
              <w:br w:type="page"/>
            </w:r>
          </w:p>
        </w:tc>
      </w:tr>
      <w:tr w:rsidR="0054367D" w14:paraId="28AC114B" w14:textId="77777777" w:rsidTr="00A03EE9">
        <w:tc>
          <w:tcPr>
            <w:tcW w:w="9288" w:type="dxa"/>
          </w:tcPr>
          <w:p w14:paraId="56A590AD" w14:textId="3FDCC460" w:rsidR="0054367D" w:rsidRDefault="003B28CD">
            <w:pPr>
              <w:pStyle w:val="UtilComChapterHeading"/>
              <w:outlineLvl w:val="0"/>
            </w:pPr>
            <w:bookmarkStart w:id="36" w:name="_Toc385241444"/>
            <w:bookmarkStart w:id="37" w:name="_Toc386012997"/>
            <w:r>
              <w:t xml:space="preserve">Classification of </w:t>
            </w:r>
            <w:bookmarkEnd w:id="36"/>
            <w:r w:rsidR="009B51AB">
              <w:t>Services</w:t>
            </w:r>
            <w:bookmarkEnd w:id="37"/>
          </w:p>
        </w:tc>
      </w:tr>
    </w:tbl>
    <w:p w14:paraId="6C2038EB" w14:textId="77777777" w:rsidR="003B28CD" w:rsidRPr="004D52BF" w:rsidRDefault="0023453B" w:rsidP="003B28CD">
      <w:pPr>
        <w:pStyle w:val="UtilComHeading2"/>
      </w:pPr>
      <w:bookmarkStart w:id="38" w:name="_Toc385241445"/>
      <w:bookmarkStart w:id="39" w:name="_Toc386012998"/>
      <w:r>
        <w:t>Introduction</w:t>
      </w:r>
      <w:bookmarkEnd w:id="38"/>
      <w:bookmarkEnd w:id="39"/>
    </w:p>
    <w:p w14:paraId="2B3484EF" w14:textId="59770586" w:rsidR="000A74EC" w:rsidRDefault="00627102" w:rsidP="00A7159D">
      <w:pPr>
        <w:pStyle w:val="NumberLevel2"/>
        <w:numPr>
          <w:ilvl w:val="1"/>
          <w:numId w:val="5"/>
        </w:numPr>
        <w:ind w:left="709" w:hanging="709"/>
        <w:rPr>
          <w:lang w:val="en-AU"/>
        </w:rPr>
      </w:pPr>
      <w:r w:rsidRPr="00627102">
        <w:rPr>
          <w:lang w:val="en-AU"/>
        </w:rPr>
        <w:t xml:space="preserve">This chapter sets out the Commission’s classification of PWC Networks’ network </w:t>
      </w:r>
      <w:r w:rsidR="002473B3">
        <w:rPr>
          <w:lang w:val="en-AU"/>
        </w:rPr>
        <w:t xml:space="preserve">access </w:t>
      </w:r>
      <w:r w:rsidRPr="00627102">
        <w:rPr>
          <w:lang w:val="en-AU"/>
        </w:rPr>
        <w:t xml:space="preserve">services for the </w:t>
      </w:r>
      <w:r w:rsidR="007669D5">
        <w:rPr>
          <w:lang w:val="en-AU"/>
        </w:rPr>
        <w:t>2014-19</w:t>
      </w:r>
      <w:r w:rsidR="007669D5" w:rsidRPr="00627102">
        <w:rPr>
          <w:lang w:val="en-AU"/>
        </w:rPr>
        <w:t xml:space="preserve"> </w:t>
      </w:r>
      <w:r w:rsidRPr="00627102">
        <w:rPr>
          <w:lang w:val="en-AU"/>
        </w:rPr>
        <w:t xml:space="preserve">regulatory control period. It draws on the Commission’s </w:t>
      </w:r>
      <w:r w:rsidR="00E41EA7">
        <w:rPr>
          <w:lang w:val="en-AU"/>
        </w:rPr>
        <w:t>Framework Statement</w:t>
      </w:r>
      <w:r w:rsidR="007575BE">
        <w:rPr>
          <w:lang w:val="en-AU"/>
        </w:rPr>
        <w:t>.</w:t>
      </w:r>
      <w:r w:rsidR="0079238C">
        <w:rPr>
          <w:rStyle w:val="FootnoteReference"/>
          <w:lang w:val="en-AU"/>
        </w:rPr>
        <w:footnoteReference w:id="19"/>
      </w:r>
      <w:r w:rsidRPr="00627102">
        <w:rPr>
          <w:lang w:val="en-AU"/>
        </w:rPr>
        <w:t xml:space="preserve"> </w:t>
      </w:r>
    </w:p>
    <w:p w14:paraId="62B9F1B0" w14:textId="136664BB" w:rsidR="00627102" w:rsidRPr="00627102" w:rsidRDefault="00627102" w:rsidP="00627102">
      <w:pPr>
        <w:pStyle w:val="UtilComHeading2"/>
      </w:pPr>
      <w:bookmarkStart w:id="40" w:name="_Toc385241446"/>
      <w:bookmarkStart w:id="41" w:name="_Toc386012999"/>
      <w:r w:rsidRPr="00627102">
        <w:t xml:space="preserve">Regulatory </w:t>
      </w:r>
      <w:bookmarkEnd w:id="40"/>
      <w:r w:rsidR="009B51AB">
        <w:t>R</w:t>
      </w:r>
      <w:r w:rsidR="009B51AB" w:rsidRPr="00627102">
        <w:t>equirements</w:t>
      </w:r>
      <w:bookmarkEnd w:id="41"/>
    </w:p>
    <w:p w14:paraId="1279CE92" w14:textId="2C4B7C55" w:rsidR="00627102" w:rsidRPr="00627102" w:rsidRDefault="00FB2EC5" w:rsidP="00627102">
      <w:pPr>
        <w:pStyle w:val="UtilComHeading3"/>
      </w:pPr>
      <w:r>
        <w:t>Network Access Code</w:t>
      </w:r>
    </w:p>
    <w:p w14:paraId="65F68483" w14:textId="72A700BA" w:rsidR="00E513C5" w:rsidRDefault="00E513C5" w:rsidP="00A7159D">
      <w:pPr>
        <w:pStyle w:val="NumberLevel2"/>
        <w:numPr>
          <w:ilvl w:val="1"/>
          <w:numId w:val="5"/>
        </w:numPr>
        <w:ind w:left="709" w:hanging="709"/>
        <w:rPr>
          <w:lang w:val="en-AU"/>
        </w:rPr>
      </w:pPr>
      <w:r>
        <w:rPr>
          <w:lang w:val="en-AU"/>
        </w:rPr>
        <w:t xml:space="preserve">The </w:t>
      </w:r>
      <w:r w:rsidR="00FB2EC5">
        <w:rPr>
          <w:lang w:val="en-AU"/>
        </w:rPr>
        <w:t>Network Access Code</w:t>
      </w:r>
      <w:r>
        <w:rPr>
          <w:lang w:val="en-AU"/>
        </w:rPr>
        <w:t xml:space="preserve"> </w:t>
      </w:r>
      <w:r w:rsidR="00480AA5">
        <w:rPr>
          <w:lang w:val="en-AU"/>
        </w:rPr>
        <w:t xml:space="preserve">provides that a revenue </w:t>
      </w:r>
      <w:r w:rsidR="00844441">
        <w:rPr>
          <w:lang w:val="en-AU"/>
        </w:rPr>
        <w:t xml:space="preserve">cap </w:t>
      </w:r>
      <w:r w:rsidR="00480AA5">
        <w:rPr>
          <w:lang w:val="en-AU"/>
        </w:rPr>
        <w:t>or price cap applies only to regulated network access services.</w:t>
      </w:r>
      <w:r w:rsidR="00480AA5">
        <w:rPr>
          <w:rStyle w:val="FootnoteReference"/>
          <w:lang w:val="en-AU"/>
        </w:rPr>
        <w:footnoteReference w:id="20"/>
      </w:r>
      <w:r w:rsidR="00480AA5">
        <w:rPr>
          <w:lang w:val="en-AU"/>
        </w:rPr>
        <w:t xml:space="preserve"> Regulated network access services are</w:t>
      </w:r>
      <w:r>
        <w:rPr>
          <w:lang w:val="en-AU"/>
        </w:rPr>
        <w:t xml:space="preserve"> all the network access services supplied by a network service provider other than those specified by the </w:t>
      </w:r>
      <w:r w:rsidR="00844441">
        <w:rPr>
          <w:lang w:val="en-AU"/>
        </w:rPr>
        <w:t xml:space="preserve">Commission as excluded network access services </w:t>
      </w:r>
      <w:r>
        <w:rPr>
          <w:lang w:val="en-AU"/>
        </w:rPr>
        <w:t xml:space="preserve">under </w:t>
      </w:r>
      <w:r w:rsidR="009D7428">
        <w:rPr>
          <w:lang w:val="en-AU"/>
        </w:rPr>
        <w:t>clause </w:t>
      </w:r>
      <w:r>
        <w:rPr>
          <w:lang w:val="en-AU"/>
        </w:rPr>
        <w:t xml:space="preserve">72 of the </w:t>
      </w:r>
      <w:r w:rsidR="00844441">
        <w:rPr>
          <w:lang w:val="en-AU"/>
        </w:rPr>
        <w:t xml:space="preserve">Network Access </w:t>
      </w:r>
      <w:r>
        <w:rPr>
          <w:lang w:val="en-AU"/>
        </w:rPr>
        <w:t>Code.</w:t>
      </w:r>
      <w:r>
        <w:rPr>
          <w:rStyle w:val="FootnoteReference"/>
          <w:lang w:val="en-AU"/>
        </w:rPr>
        <w:footnoteReference w:id="21"/>
      </w:r>
    </w:p>
    <w:p w14:paraId="3D468EC0" w14:textId="44602BD6" w:rsidR="004932FC" w:rsidRDefault="009D7428" w:rsidP="00A7159D">
      <w:pPr>
        <w:pStyle w:val="NumberLevel2"/>
        <w:numPr>
          <w:ilvl w:val="1"/>
          <w:numId w:val="5"/>
        </w:numPr>
        <w:ind w:left="709" w:hanging="709"/>
        <w:rPr>
          <w:lang w:val="en-AU"/>
        </w:rPr>
      </w:pPr>
      <w:r>
        <w:rPr>
          <w:lang w:val="en-AU"/>
        </w:rPr>
        <w:t>Clause </w:t>
      </w:r>
      <w:r w:rsidR="0089041A">
        <w:rPr>
          <w:lang w:val="en-AU"/>
        </w:rPr>
        <w:t xml:space="preserve">72 of the </w:t>
      </w:r>
      <w:r w:rsidR="00FB2EC5">
        <w:rPr>
          <w:lang w:val="en-AU"/>
        </w:rPr>
        <w:t>Network Access Code</w:t>
      </w:r>
      <w:r w:rsidR="0089041A">
        <w:rPr>
          <w:lang w:val="en-AU"/>
        </w:rPr>
        <w:t xml:space="preserve"> </w:t>
      </w:r>
      <w:r w:rsidR="004932FC">
        <w:rPr>
          <w:lang w:val="en-AU"/>
        </w:rPr>
        <w:t xml:space="preserve">provides that </w:t>
      </w:r>
    </w:p>
    <w:p w14:paraId="56DF2A93" w14:textId="77777777" w:rsidR="004932FC" w:rsidRPr="004932FC" w:rsidRDefault="004932FC" w:rsidP="004B63D8">
      <w:pPr>
        <w:pStyle w:val="UtilComQuotationText"/>
        <w:ind w:left="1560" w:hanging="426"/>
      </w:pPr>
      <w:r>
        <w:t xml:space="preserve">(1) </w:t>
      </w:r>
      <w:r w:rsidR="000C5D55">
        <w:tab/>
      </w:r>
      <w:r w:rsidRPr="004932FC">
        <w:t>The excluded network access services, being those services for which the associated costs and revenue are excluded from the revenue or price cap, are to be determined by the regulator (when the regulator determines the network revenue caps) in a manner consistent with clause 6(3) of the Competition Principles Agreement.</w:t>
      </w:r>
    </w:p>
    <w:p w14:paraId="4A71268A" w14:textId="56CCE840" w:rsidR="00480AA5" w:rsidRDefault="00844441" w:rsidP="00A7159D">
      <w:pPr>
        <w:pStyle w:val="NumberLevel2"/>
        <w:numPr>
          <w:ilvl w:val="1"/>
          <w:numId w:val="5"/>
        </w:numPr>
        <w:ind w:left="709" w:hanging="709"/>
        <w:rPr>
          <w:lang w:val="en-AU"/>
        </w:rPr>
      </w:pPr>
      <w:r>
        <w:rPr>
          <w:lang w:val="en-AU"/>
        </w:rPr>
        <w:t>E</w:t>
      </w:r>
      <w:r w:rsidR="0089041A">
        <w:rPr>
          <w:lang w:val="en-AU"/>
        </w:rPr>
        <w:t xml:space="preserve">xcluded </w:t>
      </w:r>
      <w:r>
        <w:rPr>
          <w:lang w:val="en-AU"/>
        </w:rPr>
        <w:t xml:space="preserve">network access </w:t>
      </w:r>
      <w:r w:rsidR="0089041A">
        <w:rPr>
          <w:lang w:val="en-AU"/>
        </w:rPr>
        <w:t xml:space="preserve">services </w:t>
      </w:r>
      <w:r>
        <w:rPr>
          <w:lang w:val="en-AU"/>
        </w:rPr>
        <w:t xml:space="preserve">are then further classified </w:t>
      </w:r>
      <w:r w:rsidR="0089041A">
        <w:rPr>
          <w:lang w:val="en-AU"/>
        </w:rPr>
        <w:t xml:space="preserve">into </w:t>
      </w:r>
      <w:r>
        <w:rPr>
          <w:lang w:val="en-AU"/>
        </w:rPr>
        <w:t xml:space="preserve">the following </w:t>
      </w:r>
      <w:r w:rsidR="0089041A">
        <w:rPr>
          <w:lang w:val="en-AU"/>
        </w:rPr>
        <w:t>two types:</w:t>
      </w:r>
    </w:p>
    <w:p w14:paraId="71E04D81" w14:textId="77777777" w:rsidR="0089041A" w:rsidRPr="0089041A" w:rsidRDefault="004932FC" w:rsidP="004B63D8">
      <w:pPr>
        <w:pStyle w:val="UtilComQuotationText"/>
        <w:ind w:left="1559" w:hanging="425"/>
      </w:pPr>
      <w:r>
        <w:t xml:space="preserve">(2) </w:t>
      </w:r>
      <w:r w:rsidR="000C5D55">
        <w:tab/>
      </w:r>
      <w:r w:rsidR="0089041A" w:rsidRPr="0089041A">
        <w:t xml:space="preserve">Excluded network access services not subject to any price regulation relate to services: </w:t>
      </w:r>
    </w:p>
    <w:p w14:paraId="450A31BE" w14:textId="77777777" w:rsidR="0089041A" w:rsidRPr="0089041A" w:rsidRDefault="0089041A" w:rsidP="002A1F7B">
      <w:pPr>
        <w:pStyle w:val="UtilComQuotationText"/>
        <w:ind w:left="2127" w:hanging="567"/>
      </w:pPr>
      <w:r w:rsidRPr="0089041A">
        <w:t>(a)</w:t>
      </w:r>
      <w:r w:rsidRPr="0089041A">
        <w:tab/>
        <w:t>the supply of which, in the assessment of the regulator, is subject to effective competition; and</w:t>
      </w:r>
    </w:p>
    <w:p w14:paraId="332324CF" w14:textId="77777777" w:rsidR="0089041A" w:rsidRPr="0089041A" w:rsidRDefault="0089041A" w:rsidP="002A1F7B">
      <w:pPr>
        <w:pStyle w:val="UtilComQuotationText"/>
        <w:ind w:left="2127" w:hanging="567"/>
      </w:pPr>
      <w:r w:rsidRPr="0089041A">
        <w:t>(b)</w:t>
      </w:r>
      <w:r w:rsidRPr="0089041A">
        <w:tab/>
        <w:t>the cost of which, in the assessment of the regulator, can be satisfactorily excluded from the cost base (including all asset-related costs) used for the purpose of calculating the revenue or price cap applying to regulated network access services.</w:t>
      </w:r>
    </w:p>
    <w:p w14:paraId="6FF9072D" w14:textId="0A218AA4" w:rsidR="0089041A" w:rsidRPr="0089041A" w:rsidRDefault="004D5B12" w:rsidP="004B63D8">
      <w:pPr>
        <w:pStyle w:val="UtilComQuotationText"/>
        <w:ind w:left="1559" w:hanging="425"/>
      </w:pPr>
      <w:r w:rsidDel="004D5B12">
        <w:rPr>
          <w:lang w:val="en-AU"/>
        </w:rPr>
        <w:t xml:space="preserve"> </w:t>
      </w:r>
      <w:r w:rsidR="004932FC">
        <w:t xml:space="preserve">(3) </w:t>
      </w:r>
      <w:r w:rsidR="000C5D55">
        <w:tab/>
      </w:r>
      <w:r w:rsidR="0089041A" w:rsidRPr="0089041A">
        <w:t xml:space="preserve">Excluded network access services which, in the regulator's opinion, do not lend themselves to being regulated by the price control mechanisms set out in Chapters 6 and 7 relate to services: </w:t>
      </w:r>
    </w:p>
    <w:p w14:paraId="3F95304D" w14:textId="77777777" w:rsidR="0089041A" w:rsidRPr="0089041A" w:rsidRDefault="0089041A" w:rsidP="002A1F7B">
      <w:pPr>
        <w:pStyle w:val="UtilComQuotationText"/>
        <w:ind w:left="1985" w:hanging="425"/>
      </w:pPr>
      <w:r w:rsidRPr="0089041A">
        <w:t>(a)</w:t>
      </w:r>
      <w:r w:rsidRPr="0089041A">
        <w:tab/>
        <w:t>the supply of which, in the assessment of the regulator, is not subject to effective competition; and</w:t>
      </w:r>
    </w:p>
    <w:p w14:paraId="596AC37A" w14:textId="77777777" w:rsidR="0089041A" w:rsidRPr="0089041A" w:rsidRDefault="0089041A" w:rsidP="002A1F7B">
      <w:pPr>
        <w:pStyle w:val="UtilComQuotationText"/>
        <w:ind w:left="1985" w:hanging="425"/>
      </w:pPr>
      <w:r w:rsidRPr="0089041A">
        <w:t>(b)</w:t>
      </w:r>
      <w:r w:rsidRPr="0089041A">
        <w:tab/>
        <w:t>the cost of which, in the assessment of the regulator, cannot be satisfactorily included in the cost base (including all asset-related costs) used for the purpose of calculating the revenue or price cap applying to regulated network access services.</w:t>
      </w:r>
    </w:p>
    <w:p w14:paraId="6FDA006D" w14:textId="02A5B185" w:rsidR="00E513C5" w:rsidRPr="00E513C5" w:rsidRDefault="0089041A" w:rsidP="00A7159D">
      <w:pPr>
        <w:pStyle w:val="NumberLevel2"/>
        <w:numPr>
          <w:ilvl w:val="1"/>
          <w:numId w:val="5"/>
        </w:numPr>
        <w:ind w:left="709" w:hanging="709"/>
        <w:rPr>
          <w:lang w:val="en-AU"/>
        </w:rPr>
      </w:pPr>
      <w:r>
        <w:rPr>
          <w:lang w:val="en-AU"/>
        </w:rPr>
        <w:t xml:space="preserve">Any network access service that is not specifically classified by the Commission as an excluded </w:t>
      </w:r>
      <w:r w:rsidR="004D5B12">
        <w:rPr>
          <w:lang w:val="en-AU"/>
        </w:rPr>
        <w:t xml:space="preserve">network access </w:t>
      </w:r>
      <w:r>
        <w:rPr>
          <w:lang w:val="en-AU"/>
        </w:rPr>
        <w:t xml:space="preserve">service is a regulated network access service covered by the revenue </w:t>
      </w:r>
      <w:r w:rsidR="004D5B12">
        <w:rPr>
          <w:lang w:val="en-AU"/>
        </w:rPr>
        <w:t xml:space="preserve">cap </w:t>
      </w:r>
      <w:r>
        <w:rPr>
          <w:lang w:val="en-AU"/>
        </w:rPr>
        <w:t>or price cap.</w:t>
      </w:r>
    </w:p>
    <w:p w14:paraId="194F3F06" w14:textId="77777777" w:rsidR="00627102" w:rsidRPr="00627102" w:rsidRDefault="00627102" w:rsidP="00627102">
      <w:pPr>
        <w:pStyle w:val="UtilComHeading3"/>
      </w:pPr>
      <w:r w:rsidRPr="00627102">
        <w:t>National Electricity Rules</w:t>
      </w:r>
    </w:p>
    <w:p w14:paraId="1031928A" w14:textId="2CCB563A" w:rsidR="0023453B" w:rsidRDefault="00E513C5" w:rsidP="00A7159D">
      <w:pPr>
        <w:pStyle w:val="NumberLevel2"/>
        <w:numPr>
          <w:ilvl w:val="1"/>
          <w:numId w:val="5"/>
        </w:numPr>
        <w:ind w:left="709" w:hanging="709"/>
        <w:rPr>
          <w:lang w:val="en-AU"/>
        </w:rPr>
      </w:pPr>
      <w:r>
        <w:rPr>
          <w:lang w:val="en-AU"/>
        </w:rPr>
        <w:t xml:space="preserve">The NER defines a </w:t>
      </w:r>
      <w:r w:rsidRPr="00E513C5">
        <w:rPr>
          <w:lang w:val="en-AU"/>
        </w:rPr>
        <w:t xml:space="preserve">distribution service </w:t>
      </w:r>
      <w:r>
        <w:rPr>
          <w:lang w:val="en-AU"/>
        </w:rPr>
        <w:t>a</w:t>
      </w:r>
      <w:r w:rsidRPr="00E513C5">
        <w:rPr>
          <w:lang w:val="en-AU"/>
        </w:rPr>
        <w:t xml:space="preserve">s a service provided by means of or in connection with a distribution </w:t>
      </w:r>
      <w:r w:rsidR="004D5B12">
        <w:rPr>
          <w:lang w:val="en-AU"/>
        </w:rPr>
        <w:t xml:space="preserve">system (which is a distribution </w:t>
      </w:r>
      <w:r w:rsidRPr="00E513C5">
        <w:rPr>
          <w:lang w:val="en-AU"/>
        </w:rPr>
        <w:t>network, together with the connection assets, which is connected to another transmission or distribution system</w:t>
      </w:r>
      <w:r w:rsidR="004D5B12">
        <w:rPr>
          <w:lang w:val="en-AU"/>
        </w:rPr>
        <w:t>)</w:t>
      </w:r>
      <w:r w:rsidRPr="00E513C5">
        <w:rPr>
          <w:lang w:val="en-AU"/>
        </w:rPr>
        <w:t>.</w:t>
      </w:r>
      <w:r>
        <w:rPr>
          <w:rStyle w:val="FootnoteReference"/>
          <w:lang w:val="en-AU"/>
        </w:rPr>
        <w:footnoteReference w:id="22"/>
      </w:r>
      <w:r w:rsidRPr="00E513C5">
        <w:rPr>
          <w:lang w:val="en-AU"/>
        </w:rPr>
        <w:t xml:space="preserve"> </w:t>
      </w:r>
    </w:p>
    <w:p w14:paraId="2ABE8B57" w14:textId="398BE274" w:rsidR="004D5B12" w:rsidRDefault="009D7428" w:rsidP="00A7159D">
      <w:pPr>
        <w:pStyle w:val="NumberLevel2"/>
        <w:numPr>
          <w:ilvl w:val="1"/>
          <w:numId w:val="5"/>
        </w:numPr>
        <w:ind w:left="709" w:hanging="709"/>
        <w:rPr>
          <w:lang w:val="en-AU"/>
        </w:rPr>
      </w:pPr>
      <w:r w:rsidRPr="000A74EC">
        <w:rPr>
          <w:lang w:val="en-AU"/>
        </w:rPr>
        <w:t>Clause</w:t>
      </w:r>
      <w:r>
        <w:rPr>
          <w:lang w:val="en-AU"/>
        </w:rPr>
        <w:t> </w:t>
      </w:r>
      <w:r w:rsidR="000A74EC" w:rsidRPr="000A74EC">
        <w:rPr>
          <w:lang w:val="en-AU"/>
        </w:rPr>
        <w:t xml:space="preserve">6.2.1 of the NER allows the AER to classify a distribution service as either a direct control service or a negotiated distribution service. If the AER decides not to classify a distribution service, the service is not regulated under </w:t>
      </w:r>
      <w:r w:rsidR="004D5B12">
        <w:rPr>
          <w:lang w:val="en-AU"/>
        </w:rPr>
        <w:t xml:space="preserve">Chapter 6 of </w:t>
      </w:r>
      <w:r w:rsidR="000A74EC" w:rsidRPr="000A74EC">
        <w:rPr>
          <w:lang w:val="en-AU"/>
        </w:rPr>
        <w:t xml:space="preserve">the NER. </w:t>
      </w:r>
    </w:p>
    <w:p w14:paraId="58CF64F0" w14:textId="03FE6DA6" w:rsidR="00627102" w:rsidRDefault="004D5B12" w:rsidP="00A7159D">
      <w:pPr>
        <w:pStyle w:val="NumberLevel2"/>
        <w:numPr>
          <w:ilvl w:val="1"/>
          <w:numId w:val="5"/>
        </w:numPr>
        <w:ind w:left="709" w:hanging="709"/>
        <w:rPr>
          <w:lang w:val="en-AU"/>
        </w:rPr>
      </w:pPr>
      <w:r>
        <w:rPr>
          <w:lang w:val="en-AU"/>
        </w:rPr>
        <w:t>C</w:t>
      </w:r>
      <w:r w:rsidR="009D7428" w:rsidRPr="000A74EC">
        <w:rPr>
          <w:lang w:val="en-AU"/>
        </w:rPr>
        <w:t>lause</w:t>
      </w:r>
      <w:r w:rsidR="009D7428">
        <w:rPr>
          <w:lang w:val="en-AU"/>
        </w:rPr>
        <w:t> </w:t>
      </w:r>
      <w:r w:rsidR="000A74EC" w:rsidRPr="000A74EC">
        <w:rPr>
          <w:lang w:val="en-AU"/>
        </w:rPr>
        <w:t>6.2.2(a) of the NER</w:t>
      </w:r>
      <w:r>
        <w:rPr>
          <w:lang w:val="en-AU"/>
        </w:rPr>
        <w:t xml:space="preserve"> then provides for</w:t>
      </w:r>
      <w:r w:rsidRPr="000A74EC">
        <w:rPr>
          <w:lang w:val="en-AU"/>
        </w:rPr>
        <w:t xml:space="preserve"> </w:t>
      </w:r>
      <w:r w:rsidR="000A74EC" w:rsidRPr="000A74EC">
        <w:rPr>
          <w:lang w:val="en-AU"/>
        </w:rPr>
        <w:t xml:space="preserve">direct control services </w:t>
      </w:r>
      <w:r>
        <w:rPr>
          <w:lang w:val="en-AU"/>
        </w:rPr>
        <w:t>to be further classified</w:t>
      </w:r>
      <w:r w:rsidR="000A74EC" w:rsidRPr="000A74EC">
        <w:rPr>
          <w:lang w:val="en-AU"/>
        </w:rPr>
        <w:t xml:space="preserve"> as either standard control services or alternative control services.</w:t>
      </w:r>
    </w:p>
    <w:p w14:paraId="27603CDB" w14:textId="56645766" w:rsidR="00627102" w:rsidRPr="00627102" w:rsidRDefault="00C936F4" w:rsidP="00627102">
      <w:pPr>
        <w:pStyle w:val="UtilComHeading3"/>
      </w:pPr>
      <w:r>
        <w:t>F</w:t>
      </w:r>
      <w:r w:rsidR="00627102" w:rsidRPr="00627102">
        <w:t xml:space="preserve">ramework </w:t>
      </w:r>
      <w:r w:rsidR="004D5B12">
        <w:t>Statement</w:t>
      </w:r>
    </w:p>
    <w:p w14:paraId="07BE081A" w14:textId="5C233280" w:rsidR="00B05D16" w:rsidRDefault="00F47462" w:rsidP="00A7159D">
      <w:pPr>
        <w:pStyle w:val="NumberLevel2"/>
        <w:numPr>
          <w:ilvl w:val="1"/>
          <w:numId w:val="5"/>
        </w:numPr>
        <w:ind w:left="709" w:hanging="709"/>
        <w:rPr>
          <w:lang w:val="en-AU"/>
        </w:rPr>
      </w:pPr>
      <w:r w:rsidRPr="00F47462">
        <w:rPr>
          <w:lang w:val="en-AU"/>
        </w:rPr>
        <w:t>The Commission</w:t>
      </w:r>
      <w:r w:rsidR="00144ACA">
        <w:rPr>
          <w:lang w:val="en-AU"/>
        </w:rPr>
        <w:t>’s Framework Statement proposed the</w:t>
      </w:r>
      <w:r w:rsidRPr="00F47462">
        <w:rPr>
          <w:lang w:val="en-AU"/>
        </w:rPr>
        <w:t xml:space="preserve"> adopt</w:t>
      </w:r>
      <w:r w:rsidR="00144ACA">
        <w:rPr>
          <w:lang w:val="en-AU"/>
        </w:rPr>
        <w:t>ion of</w:t>
      </w:r>
      <w:r w:rsidRPr="00F47462">
        <w:rPr>
          <w:lang w:val="en-AU"/>
        </w:rPr>
        <w:t xml:space="preserve"> the AER</w:t>
      </w:r>
      <w:r w:rsidR="00A7159D">
        <w:rPr>
          <w:lang w:val="en-AU"/>
        </w:rPr>
        <w:t>’s</w:t>
      </w:r>
      <w:r w:rsidRPr="00F47462">
        <w:rPr>
          <w:lang w:val="en-AU"/>
        </w:rPr>
        <w:t xml:space="preserve"> approach of classifying a class of activities, rather than the specific activities, allowing the specific definition or magnitude of services to change while maintaining the desired classification. The intention </w:t>
      </w:r>
      <w:r w:rsidR="004D5B12">
        <w:rPr>
          <w:lang w:val="en-AU"/>
        </w:rPr>
        <w:t xml:space="preserve">of this classification was </w:t>
      </w:r>
      <w:r w:rsidRPr="00F47462">
        <w:rPr>
          <w:lang w:val="en-AU"/>
        </w:rPr>
        <w:t>to allow PWC Networks to</w:t>
      </w:r>
      <w:r w:rsidR="007575BE">
        <w:rPr>
          <w:lang w:val="en-AU"/>
        </w:rPr>
        <w:t xml:space="preserve"> flexibly</w:t>
      </w:r>
      <w:r w:rsidRPr="00F47462">
        <w:rPr>
          <w:lang w:val="en-AU"/>
        </w:rPr>
        <w:t xml:space="preserve"> alter the exact specification (but not the nature) of a service during the </w:t>
      </w:r>
      <w:r w:rsidR="004D5B12">
        <w:rPr>
          <w:lang w:val="en-AU"/>
        </w:rPr>
        <w:t xml:space="preserve">2014-19 </w:t>
      </w:r>
      <w:r w:rsidRPr="00F47462">
        <w:rPr>
          <w:lang w:val="en-AU"/>
        </w:rPr>
        <w:t>regulatory control period.</w:t>
      </w:r>
    </w:p>
    <w:p w14:paraId="20498857" w14:textId="641AE76A" w:rsidR="00F47462" w:rsidRDefault="004D5B12">
      <w:pPr>
        <w:pStyle w:val="NumberLevel2"/>
        <w:numPr>
          <w:ilvl w:val="1"/>
          <w:numId w:val="5"/>
        </w:numPr>
        <w:ind w:left="709" w:hanging="709"/>
        <w:rPr>
          <w:lang w:val="en-AU"/>
        </w:rPr>
      </w:pPr>
      <w:r>
        <w:rPr>
          <w:lang w:val="en-AU"/>
        </w:rPr>
        <w:t>T</w:t>
      </w:r>
      <w:r w:rsidR="00F47462">
        <w:rPr>
          <w:lang w:val="en-AU"/>
        </w:rPr>
        <w:t xml:space="preserve">he Commission grouped </w:t>
      </w:r>
      <w:r>
        <w:rPr>
          <w:lang w:val="en-AU"/>
        </w:rPr>
        <w:t>PWC </w:t>
      </w:r>
      <w:r w:rsidR="00F47462">
        <w:rPr>
          <w:lang w:val="en-AU"/>
        </w:rPr>
        <w:t xml:space="preserve">Networks’ services and applied a </w:t>
      </w:r>
      <w:r>
        <w:rPr>
          <w:lang w:val="en-AU"/>
        </w:rPr>
        <w:t xml:space="preserve">NER </w:t>
      </w:r>
      <w:r w:rsidR="00F47462">
        <w:rPr>
          <w:lang w:val="en-AU"/>
        </w:rPr>
        <w:t xml:space="preserve">classification for each group as shown in </w:t>
      </w:r>
      <w:r w:rsidR="00670845">
        <w:rPr>
          <w:lang w:val="en-AU"/>
        </w:rPr>
        <w:t>Table 3</w:t>
      </w:r>
      <w:r w:rsidR="00F47462">
        <w:rPr>
          <w:lang w:val="en-AU"/>
        </w:rPr>
        <w:t>.</w:t>
      </w:r>
      <w:r>
        <w:rPr>
          <w:lang w:val="en-AU"/>
        </w:rPr>
        <w:t xml:space="preserve">1 </w:t>
      </w:r>
      <w:r w:rsidR="00F47462">
        <w:rPr>
          <w:lang w:val="en-AU"/>
        </w:rPr>
        <w:t>below.</w:t>
      </w:r>
    </w:p>
    <w:p w14:paraId="17938D14" w14:textId="77777777" w:rsidR="00694054" w:rsidRDefault="00694054" w:rsidP="0055417A">
      <w:pPr>
        <w:pStyle w:val="UtilComTableTitle"/>
        <w:keepNext/>
        <w:spacing w:before="120" w:after="0" w:line="240" w:lineRule="exact"/>
      </w:pPr>
      <w:r>
        <w:br w:type="page"/>
      </w:r>
    </w:p>
    <w:p w14:paraId="4000429A" w14:textId="118E34FD" w:rsidR="00F47462" w:rsidRDefault="00F47462" w:rsidP="0055417A">
      <w:pPr>
        <w:pStyle w:val="UtilComTableTitle"/>
        <w:keepNext/>
        <w:spacing w:before="120" w:after="0" w:line="240" w:lineRule="exact"/>
      </w:pPr>
      <w:r w:rsidRPr="00B45E17">
        <w:t xml:space="preserve">Table </w:t>
      </w:r>
      <w:r w:rsidR="00670845">
        <w:t>3</w:t>
      </w:r>
      <w:r>
        <w:t>.</w:t>
      </w:r>
      <w:r w:rsidR="004D5B12">
        <w:t>1</w:t>
      </w:r>
      <w:r w:rsidRPr="00B45E17">
        <w:t xml:space="preserve">: </w:t>
      </w:r>
      <w:r>
        <w:t xml:space="preserve">Commission’s preliminary position </w:t>
      </w:r>
      <w:r w:rsidR="004D5B12">
        <w:t xml:space="preserve">on the classification of services for the </w:t>
      </w:r>
      <w:r>
        <w:t xml:space="preserve">2014 Network Price Determination </w:t>
      </w:r>
    </w:p>
    <w:tbl>
      <w:tblPr>
        <w:tblW w:w="921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984"/>
        <w:gridCol w:w="1701"/>
        <w:gridCol w:w="1985"/>
        <w:gridCol w:w="3544"/>
      </w:tblGrid>
      <w:tr w:rsidR="00F47462" w:rsidRPr="00CD0BDF" w14:paraId="2F62AE96" w14:textId="77777777" w:rsidTr="00766DBA">
        <w:trPr>
          <w:cantSplit/>
          <w:trHeight w:val="360"/>
        </w:trPr>
        <w:tc>
          <w:tcPr>
            <w:tcW w:w="1985" w:type="dxa"/>
            <w:tcBorders>
              <w:bottom w:val="single" w:sz="4" w:space="0" w:color="auto"/>
            </w:tcBorders>
            <w:vAlign w:val="bottom"/>
          </w:tcPr>
          <w:p w14:paraId="6507F558" w14:textId="77777777" w:rsidR="00F47462" w:rsidRPr="002F053A" w:rsidRDefault="00F47462" w:rsidP="0046764A">
            <w:pPr>
              <w:pStyle w:val="UtilComTableColumnHeading"/>
              <w:spacing w:line="280" w:lineRule="exact"/>
            </w:pPr>
            <w:r>
              <w:t>Service grouping</w:t>
            </w:r>
          </w:p>
        </w:tc>
        <w:tc>
          <w:tcPr>
            <w:tcW w:w="1701" w:type="dxa"/>
            <w:tcBorders>
              <w:bottom w:val="single" w:sz="4" w:space="0" w:color="auto"/>
            </w:tcBorders>
            <w:vAlign w:val="bottom"/>
          </w:tcPr>
          <w:p w14:paraId="7D5C2448" w14:textId="77777777" w:rsidR="00F47462" w:rsidRPr="002F053A" w:rsidRDefault="00F47462" w:rsidP="0046764A">
            <w:pPr>
              <w:pStyle w:val="UtilComTableColumnHeading"/>
              <w:spacing w:line="280" w:lineRule="exact"/>
            </w:pPr>
            <w:r>
              <w:t>Negotiated distribution services</w:t>
            </w:r>
          </w:p>
        </w:tc>
        <w:tc>
          <w:tcPr>
            <w:tcW w:w="1985" w:type="dxa"/>
            <w:tcBorders>
              <w:bottom w:val="single" w:sz="4" w:space="0" w:color="auto"/>
            </w:tcBorders>
            <w:vAlign w:val="bottom"/>
          </w:tcPr>
          <w:p w14:paraId="52E8CCE6" w14:textId="77777777" w:rsidR="00F47462" w:rsidRDefault="00F47462" w:rsidP="0046764A">
            <w:pPr>
              <w:pStyle w:val="UtilComTableColumnHeading"/>
              <w:spacing w:line="280" w:lineRule="exact"/>
            </w:pPr>
            <w:r>
              <w:t>Direct control services – standard control services</w:t>
            </w:r>
          </w:p>
        </w:tc>
        <w:tc>
          <w:tcPr>
            <w:tcW w:w="3544" w:type="dxa"/>
            <w:tcBorders>
              <w:bottom w:val="single" w:sz="4" w:space="0" w:color="auto"/>
            </w:tcBorders>
            <w:vAlign w:val="bottom"/>
          </w:tcPr>
          <w:p w14:paraId="48097F3A" w14:textId="77777777" w:rsidR="00F47462" w:rsidRDefault="00F47462" w:rsidP="0046764A">
            <w:pPr>
              <w:pStyle w:val="UtilComTableColumnHeading"/>
              <w:spacing w:line="280" w:lineRule="exact"/>
            </w:pPr>
            <w:r>
              <w:t>Direct control services – alternative control services</w:t>
            </w:r>
          </w:p>
        </w:tc>
      </w:tr>
      <w:tr w:rsidR="00F47462" w:rsidRPr="008A4655" w14:paraId="538B1564" w14:textId="77777777" w:rsidTr="0055417A">
        <w:trPr>
          <w:cantSplit/>
          <w:trHeight w:val="360"/>
        </w:trPr>
        <w:tc>
          <w:tcPr>
            <w:tcW w:w="1985" w:type="dxa"/>
            <w:tcBorders>
              <w:top w:val="single" w:sz="4" w:space="0" w:color="auto"/>
            </w:tcBorders>
          </w:tcPr>
          <w:p w14:paraId="77D07426" w14:textId="77777777" w:rsidR="00F47462" w:rsidRPr="00340D05" w:rsidRDefault="00F47462" w:rsidP="0046764A">
            <w:pPr>
              <w:pStyle w:val="UtilComTabletext"/>
              <w:spacing w:line="280" w:lineRule="exact"/>
            </w:pPr>
            <w:r>
              <w:t>Network services</w:t>
            </w:r>
          </w:p>
        </w:tc>
        <w:tc>
          <w:tcPr>
            <w:tcW w:w="1701" w:type="dxa"/>
            <w:tcBorders>
              <w:top w:val="single" w:sz="4" w:space="0" w:color="auto"/>
            </w:tcBorders>
            <w:tcMar>
              <w:right w:w="567" w:type="dxa"/>
            </w:tcMar>
          </w:tcPr>
          <w:p w14:paraId="1304D6D6" w14:textId="77777777" w:rsidR="00F47462" w:rsidRPr="00340D05" w:rsidRDefault="00F47462" w:rsidP="0046764A">
            <w:pPr>
              <w:pStyle w:val="UtilComTabletext"/>
              <w:spacing w:line="280" w:lineRule="exact"/>
            </w:pPr>
            <w:r>
              <w:t>Nil</w:t>
            </w:r>
          </w:p>
        </w:tc>
        <w:tc>
          <w:tcPr>
            <w:tcW w:w="1985" w:type="dxa"/>
            <w:tcBorders>
              <w:top w:val="single" w:sz="4" w:space="0" w:color="auto"/>
            </w:tcBorders>
          </w:tcPr>
          <w:p w14:paraId="3BB27AFA" w14:textId="77777777" w:rsidR="00F47462" w:rsidRDefault="00F47462" w:rsidP="0046764A">
            <w:pPr>
              <w:pStyle w:val="UtilComTabletext"/>
              <w:spacing w:line="280" w:lineRule="exact"/>
            </w:pPr>
            <w:r>
              <w:t>Network services at mandated standard</w:t>
            </w:r>
          </w:p>
          <w:p w14:paraId="49249B3E" w14:textId="77777777" w:rsidR="00F47462" w:rsidRDefault="00F47462" w:rsidP="0046764A">
            <w:pPr>
              <w:pStyle w:val="UtilComTabletext"/>
              <w:spacing w:line="280" w:lineRule="exact"/>
            </w:pPr>
            <w:r>
              <w:t>Energy-only service for public lighting</w:t>
            </w:r>
          </w:p>
        </w:tc>
        <w:tc>
          <w:tcPr>
            <w:tcW w:w="3544" w:type="dxa"/>
            <w:tcBorders>
              <w:top w:val="single" w:sz="4" w:space="0" w:color="auto"/>
            </w:tcBorders>
          </w:tcPr>
          <w:p w14:paraId="1C646BDF" w14:textId="77777777" w:rsidR="00F47462" w:rsidRDefault="00F47462" w:rsidP="0046764A">
            <w:pPr>
              <w:pStyle w:val="UtilComTabletext"/>
              <w:spacing w:line="280" w:lineRule="exact"/>
            </w:pPr>
            <w:r>
              <w:t>Above standard or non-standard network services</w:t>
            </w:r>
          </w:p>
        </w:tc>
      </w:tr>
      <w:tr w:rsidR="00F47462" w:rsidRPr="008A4655" w14:paraId="6F27CAB9" w14:textId="77777777" w:rsidTr="0055417A">
        <w:trPr>
          <w:cantSplit/>
          <w:trHeight w:val="360"/>
        </w:trPr>
        <w:tc>
          <w:tcPr>
            <w:tcW w:w="1985" w:type="dxa"/>
          </w:tcPr>
          <w:p w14:paraId="19C06CD4" w14:textId="77777777" w:rsidR="00F47462" w:rsidRPr="00340D05" w:rsidRDefault="00F47462" w:rsidP="0046764A">
            <w:pPr>
              <w:pStyle w:val="UtilComTabletext"/>
              <w:spacing w:line="280" w:lineRule="exact"/>
            </w:pPr>
            <w:r>
              <w:t>Connection services</w:t>
            </w:r>
          </w:p>
        </w:tc>
        <w:tc>
          <w:tcPr>
            <w:tcW w:w="1701" w:type="dxa"/>
            <w:tcMar>
              <w:right w:w="567" w:type="dxa"/>
            </w:tcMar>
          </w:tcPr>
          <w:p w14:paraId="061BD025" w14:textId="77777777" w:rsidR="00F47462" w:rsidRPr="00340D05" w:rsidRDefault="00F47462" w:rsidP="0046764A">
            <w:pPr>
              <w:pStyle w:val="UtilComTabletext"/>
              <w:spacing w:line="280" w:lineRule="exact"/>
            </w:pPr>
            <w:r>
              <w:t>Nil</w:t>
            </w:r>
          </w:p>
        </w:tc>
        <w:tc>
          <w:tcPr>
            <w:tcW w:w="1985" w:type="dxa"/>
          </w:tcPr>
          <w:p w14:paraId="740CC7B9" w14:textId="77777777" w:rsidR="00F47462" w:rsidRDefault="00F47462" w:rsidP="0046764A">
            <w:pPr>
              <w:pStyle w:val="UtilComTabletext"/>
              <w:spacing w:line="280" w:lineRule="exact"/>
            </w:pPr>
            <w:r>
              <w:t>Connection services at mandated standard</w:t>
            </w:r>
          </w:p>
        </w:tc>
        <w:tc>
          <w:tcPr>
            <w:tcW w:w="3544" w:type="dxa"/>
          </w:tcPr>
          <w:p w14:paraId="2956EB76" w14:textId="77777777" w:rsidR="00F47462" w:rsidRDefault="00F47462" w:rsidP="0046764A">
            <w:pPr>
              <w:pStyle w:val="UtilComTabletext"/>
              <w:spacing w:line="280" w:lineRule="exact"/>
            </w:pPr>
            <w:r>
              <w:t xml:space="preserve">Above standard or non-standard connection services </w:t>
            </w:r>
          </w:p>
          <w:p w14:paraId="0693CCE3" w14:textId="77777777" w:rsidR="00F47462" w:rsidRDefault="00F47462" w:rsidP="0046764A">
            <w:pPr>
              <w:pStyle w:val="UtilComTabletext"/>
              <w:spacing w:line="280" w:lineRule="exact"/>
            </w:pPr>
            <w:r>
              <w:t>New or upgraded connection services (to the extent the user is required to make a financial contribution)</w:t>
            </w:r>
          </w:p>
        </w:tc>
      </w:tr>
      <w:tr w:rsidR="00F47462" w:rsidRPr="008A4655" w14:paraId="7DD851D3" w14:textId="77777777" w:rsidTr="0055417A">
        <w:trPr>
          <w:cantSplit/>
          <w:trHeight w:val="360"/>
        </w:trPr>
        <w:tc>
          <w:tcPr>
            <w:tcW w:w="1985" w:type="dxa"/>
          </w:tcPr>
          <w:p w14:paraId="64990621" w14:textId="77777777" w:rsidR="00F47462" w:rsidRPr="00340D05" w:rsidRDefault="00F47462" w:rsidP="0046764A">
            <w:pPr>
              <w:pStyle w:val="UtilComTabletext"/>
              <w:spacing w:line="280" w:lineRule="exact"/>
            </w:pPr>
            <w:r>
              <w:t>Metering services</w:t>
            </w:r>
          </w:p>
        </w:tc>
        <w:tc>
          <w:tcPr>
            <w:tcW w:w="1701" w:type="dxa"/>
            <w:tcMar>
              <w:right w:w="567" w:type="dxa"/>
            </w:tcMar>
          </w:tcPr>
          <w:p w14:paraId="5D8D019E" w14:textId="77777777" w:rsidR="00F47462" w:rsidRPr="00340D05" w:rsidRDefault="00F47462" w:rsidP="0046764A">
            <w:pPr>
              <w:pStyle w:val="UtilComTabletext"/>
              <w:spacing w:line="280" w:lineRule="exact"/>
            </w:pPr>
            <w:r>
              <w:t>Nil</w:t>
            </w:r>
          </w:p>
        </w:tc>
        <w:tc>
          <w:tcPr>
            <w:tcW w:w="1985" w:type="dxa"/>
          </w:tcPr>
          <w:p w14:paraId="0583FE3E" w14:textId="77777777" w:rsidR="00F47462" w:rsidRDefault="00F47462" w:rsidP="0046764A">
            <w:pPr>
              <w:pStyle w:val="UtilComTabletext"/>
              <w:spacing w:line="280" w:lineRule="exact"/>
            </w:pPr>
            <w:r>
              <w:t>Metering services at the mandated standard</w:t>
            </w:r>
          </w:p>
        </w:tc>
        <w:tc>
          <w:tcPr>
            <w:tcW w:w="3544" w:type="dxa"/>
          </w:tcPr>
          <w:p w14:paraId="33BD3CF5" w14:textId="77777777" w:rsidR="00F47462" w:rsidRDefault="00F47462" w:rsidP="0046764A">
            <w:pPr>
              <w:pStyle w:val="UtilComTabletext"/>
              <w:spacing w:line="280" w:lineRule="exact"/>
            </w:pPr>
            <w:r>
              <w:t>Above standard or non-standard metering services</w:t>
            </w:r>
          </w:p>
        </w:tc>
      </w:tr>
      <w:tr w:rsidR="00F47462" w:rsidRPr="008A4655" w14:paraId="1482D7D3" w14:textId="77777777" w:rsidTr="0055417A">
        <w:trPr>
          <w:cantSplit/>
          <w:trHeight w:val="360"/>
        </w:trPr>
        <w:tc>
          <w:tcPr>
            <w:tcW w:w="1985" w:type="dxa"/>
          </w:tcPr>
          <w:p w14:paraId="6EC80F26" w14:textId="77777777" w:rsidR="00F47462" w:rsidRPr="00340D05" w:rsidRDefault="00F47462" w:rsidP="0046764A">
            <w:pPr>
              <w:pStyle w:val="UtilComTabletext"/>
              <w:spacing w:line="280" w:lineRule="exact"/>
            </w:pPr>
            <w:r>
              <w:t>Fee-based services</w:t>
            </w:r>
          </w:p>
        </w:tc>
        <w:tc>
          <w:tcPr>
            <w:tcW w:w="1701" w:type="dxa"/>
            <w:tcMar>
              <w:right w:w="567" w:type="dxa"/>
            </w:tcMar>
          </w:tcPr>
          <w:p w14:paraId="0BFA1C9E" w14:textId="77777777" w:rsidR="00F47462" w:rsidRPr="00340D05" w:rsidRDefault="00F47462" w:rsidP="0046764A">
            <w:pPr>
              <w:pStyle w:val="UtilComTabletext"/>
              <w:spacing w:line="280" w:lineRule="exact"/>
            </w:pPr>
            <w:r>
              <w:t>Nil</w:t>
            </w:r>
          </w:p>
        </w:tc>
        <w:tc>
          <w:tcPr>
            <w:tcW w:w="1985" w:type="dxa"/>
          </w:tcPr>
          <w:p w14:paraId="15289DF6" w14:textId="77777777" w:rsidR="00F47462" w:rsidRDefault="00F47462" w:rsidP="0046764A">
            <w:pPr>
              <w:pStyle w:val="UtilComTabletext"/>
              <w:spacing w:line="280" w:lineRule="exact"/>
            </w:pPr>
            <w:r>
              <w:t>Nil</w:t>
            </w:r>
          </w:p>
        </w:tc>
        <w:tc>
          <w:tcPr>
            <w:tcW w:w="3544" w:type="dxa"/>
          </w:tcPr>
          <w:p w14:paraId="5240A18F" w14:textId="4D554B71" w:rsidR="00F47462" w:rsidRDefault="00F47462" w:rsidP="0046764A">
            <w:pPr>
              <w:pStyle w:val="UtilComTabletext"/>
              <w:spacing w:line="280" w:lineRule="exact"/>
            </w:pPr>
            <w:r>
              <w:rPr>
                <w:lang w:val="en-AU"/>
              </w:rPr>
              <w:t>Disconnection and reconnection</w:t>
            </w:r>
            <w:r>
              <w:rPr>
                <w:lang w:val="en-AU"/>
              </w:rPr>
              <w:br/>
              <w:t>Temporary supply services – low voltage</w:t>
            </w:r>
            <w:r>
              <w:rPr>
                <w:lang w:val="en-AU"/>
              </w:rPr>
              <w:br/>
              <w:t xml:space="preserve">Fault response – not </w:t>
            </w:r>
            <w:r w:rsidR="007575BE">
              <w:rPr>
                <w:lang w:val="en-AU"/>
              </w:rPr>
              <w:t xml:space="preserve">network </w:t>
            </w:r>
            <w:r>
              <w:rPr>
                <w:lang w:val="en-AU"/>
              </w:rPr>
              <w:t>service provider’s fault</w:t>
            </w:r>
            <w:r>
              <w:rPr>
                <w:lang w:val="en-AU"/>
              </w:rPr>
              <w:br/>
              <w:t>Wasted attendance</w:t>
            </w:r>
            <w:r>
              <w:rPr>
                <w:lang w:val="en-AU"/>
              </w:rPr>
              <w:br/>
              <w:t>Provision, construction and maintenance of street lighting assets</w:t>
            </w:r>
            <w:r>
              <w:rPr>
                <w:lang w:val="en-AU"/>
              </w:rPr>
              <w:br/>
              <w:t>Non-standard data services</w:t>
            </w:r>
            <w:r>
              <w:rPr>
                <w:lang w:val="en-AU"/>
              </w:rPr>
              <w:br/>
              <w:t>Installation of minor equipment to network assets (eg Tiger Tails)</w:t>
            </w:r>
            <w:r>
              <w:rPr>
                <w:lang w:val="en-AU"/>
              </w:rPr>
              <w:br/>
              <w:t>Cable location services</w:t>
            </w:r>
            <w:r>
              <w:rPr>
                <w:lang w:val="en-AU"/>
              </w:rPr>
              <w:br/>
              <w:t>Unscheduled metering services – chargeable</w:t>
            </w:r>
          </w:p>
        </w:tc>
      </w:tr>
      <w:tr w:rsidR="00F47462" w:rsidRPr="008A4655" w14:paraId="31F94824" w14:textId="77777777" w:rsidTr="0055417A">
        <w:trPr>
          <w:cantSplit/>
          <w:trHeight w:val="360"/>
        </w:trPr>
        <w:tc>
          <w:tcPr>
            <w:tcW w:w="1985" w:type="dxa"/>
            <w:tcBorders>
              <w:bottom w:val="single" w:sz="4" w:space="0" w:color="auto"/>
            </w:tcBorders>
          </w:tcPr>
          <w:p w14:paraId="7A9E6A34" w14:textId="77777777" w:rsidR="00F47462" w:rsidRPr="00340D05" w:rsidRDefault="00F47462" w:rsidP="0046764A">
            <w:pPr>
              <w:pStyle w:val="UtilComTabletext"/>
              <w:spacing w:line="280" w:lineRule="exact"/>
            </w:pPr>
            <w:r>
              <w:t>Quoted services</w:t>
            </w:r>
          </w:p>
        </w:tc>
        <w:tc>
          <w:tcPr>
            <w:tcW w:w="1701" w:type="dxa"/>
            <w:tcBorders>
              <w:bottom w:val="single" w:sz="4" w:space="0" w:color="auto"/>
            </w:tcBorders>
            <w:tcMar>
              <w:right w:w="567" w:type="dxa"/>
            </w:tcMar>
          </w:tcPr>
          <w:p w14:paraId="2A5D41B5" w14:textId="77777777" w:rsidR="00F47462" w:rsidRPr="00340D05" w:rsidRDefault="00F47462" w:rsidP="0046764A">
            <w:pPr>
              <w:pStyle w:val="UtilComTabletext"/>
              <w:spacing w:line="280" w:lineRule="exact"/>
            </w:pPr>
            <w:r>
              <w:t>Nil</w:t>
            </w:r>
          </w:p>
        </w:tc>
        <w:tc>
          <w:tcPr>
            <w:tcW w:w="1985" w:type="dxa"/>
            <w:tcBorders>
              <w:bottom w:val="single" w:sz="4" w:space="0" w:color="auto"/>
            </w:tcBorders>
          </w:tcPr>
          <w:p w14:paraId="56AE771F" w14:textId="77777777" w:rsidR="00F47462" w:rsidRDefault="00F47462" w:rsidP="0046764A">
            <w:pPr>
              <w:pStyle w:val="UtilComTabletext"/>
              <w:spacing w:line="280" w:lineRule="exact"/>
            </w:pPr>
            <w:r>
              <w:t>Nil</w:t>
            </w:r>
          </w:p>
        </w:tc>
        <w:tc>
          <w:tcPr>
            <w:tcW w:w="3544" w:type="dxa"/>
            <w:tcBorders>
              <w:bottom w:val="single" w:sz="4" w:space="0" w:color="auto"/>
            </w:tcBorders>
          </w:tcPr>
          <w:p w14:paraId="7E1CCD34" w14:textId="77777777" w:rsidR="00F47462" w:rsidRDefault="00F47462" w:rsidP="0046764A">
            <w:pPr>
              <w:pStyle w:val="UtilComTabletext"/>
              <w:spacing w:line="280" w:lineRule="exact"/>
            </w:pPr>
            <w:r>
              <w:t xml:space="preserve">High load </w:t>
            </w:r>
            <w:r w:rsidR="00F87D9F">
              <w:t xml:space="preserve">transport </w:t>
            </w:r>
            <w:r>
              <w:t>escorts</w:t>
            </w:r>
            <w:r>
              <w:br/>
              <w:t>Covering of low voltage mains</w:t>
            </w:r>
            <w:r>
              <w:br/>
              <w:t>Rearrangement of network assets</w:t>
            </w:r>
            <w:r>
              <w:br/>
              <w:t>Ancillary metering services</w:t>
            </w:r>
            <w:r>
              <w:br/>
              <w:t>Supply enhancement</w:t>
            </w:r>
            <w:r>
              <w:br/>
              <w:t>Metering enhancement</w:t>
            </w:r>
            <w:r>
              <w:br/>
              <w:t>Emergency recoverable works</w:t>
            </w:r>
            <w:r>
              <w:br/>
              <w:t>Supply abolishment</w:t>
            </w:r>
            <w:r>
              <w:br/>
              <w:t>Temporary supply services – high voltage</w:t>
            </w:r>
            <w:r>
              <w:br/>
              <w:t>Rectifying illegal connections</w:t>
            </w:r>
            <w:r>
              <w:br/>
              <w:t>Unmetered supply services</w:t>
            </w:r>
          </w:p>
        </w:tc>
      </w:tr>
    </w:tbl>
    <w:p w14:paraId="4351577B" w14:textId="77777777" w:rsidR="00F47462" w:rsidRDefault="00F47462" w:rsidP="00F5108F">
      <w:pPr>
        <w:spacing w:before="0" w:after="0" w:line="240" w:lineRule="auto"/>
      </w:pPr>
    </w:p>
    <w:p w14:paraId="2295F1B0" w14:textId="24295A10" w:rsidR="00EF320F" w:rsidRDefault="00EF320F" w:rsidP="00F5108F">
      <w:pPr>
        <w:pStyle w:val="UtilComHeading2"/>
      </w:pPr>
      <w:bookmarkStart w:id="42" w:name="_Toc385241447"/>
      <w:bookmarkStart w:id="43" w:name="_Toc386013000"/>
      <w:r>
        <w:t>PWC Networks</w:t>
      </w:r>
      <w:r w:rsidR="00F87D9F">
        <w:t>’</w:t>
      </w:r>
      <w:r>
        <w:t xml:space="preserve"> </w:t>
      </w:r>
      <w:r w:rsidR="009B51AB">
        <w:t xml:space="preserve">Initial Regulatory </w:t>
      </w:r>
      <w:bookmarkEnd w:id="42"/>
      <w:r w:rsidR="009B51AB">
        <w:t>Proposal</w:t>
      </w:r>
      <w:bookmarkEnd w:id="43"/>
    </w:p>
    <w:p w14:paraId="6D65A4E8" w14:textId="40547276" w:rsidR="00EF320F" w:rsidRDefault="00670845" w:rsidP="00A7159D">
      <w:pPr>
        <w:pStyle w:val="NumberLevel2"/>
        <w:numPr>
          <w:ilvl w:val="1"/>
          <w:numId w:val="5"/>
        </w:numPr>
        <w:tabs>
          <w:tab w:val="num" w:pos="709"/>
        </w:tabs>
        <w:ind w:left="709" w:hanging="709"/>
        <w:rPr>
          <w:lang w:val="en-AU"/>
        </w:rPr>
      </w:pPr>
      <w:r>
        <w:rPr>
          <w:lang w:val="en-AU"/>
        </w:rPr>
        <w:t>PWC </w:t>
      </w:r>
      <w:r w:rsidR="00144ACA">
        <w:rPr>
          <w:lang w:val="en-AU"/>
        </w:rPr>
        <w:t>Networks</w:t>
      </w:r>
      <w:r w:rsidR="00144ACA" w:rsidRPr="00144ACA">
        <w:rPr>
          <w:lang w:val="en-AU"/>
        </w:rPr>
        <w:t xml:space="preserve"> </w:t>
      </w:r>
      <w:r w:rsidR="00511A3F">
        <w:rPr>
          <w:lang w:val="en-AU"/>
        </w:rPr>
        <w:t>stated</w:t>
      </w:r>
      <w:r w:rsidR="00511A3F" w:rsidRPr="00144ACA">
        <w:rPr>
          <w:lang w:val="en-AU"/>
        </w:rPr>
        <w:t xml:space="preserve"> </w:t>
      </w:r>
      <w:r w:rsidR="00144ACA" w:rsidRPr="00144ACA">
        <w:rPr>
          <w:lang w:val="en-AU"/>
        </w:rPr>
        <w:t xml:space="preserve">that its </w:t>
      </w:r>
      <w:r w:rsidR="00511A3F">
        <w:rPr>
          <w:lang w:val="en-AU"/>
        </w:rPr>
        <w:t xml:space="preserve">initial </w:t>
      </w:r>
      <w:r w:rsidR="00144ACA" w:rsidRPr="00144ACA">
        <w:rPr>
          <w:lang w:val="en-AU"/>
        </w:rPr>
        <w:t xml:space="preserve">regulatory proposal </w:t>
      </w:r>
      <w:r>
        <w:rPr>
          <w:lang w:val="en-AU"/>
        </w:rPr>
        <w:t>had</w:t>
      </w:r>
      <w:r w:rsidRPr="00144ACA">
        <w:rPr>
          <w:lang w:val="en-AU"/>
        </w:rPr>
        <w:t xml:space="preserve"> </w:t>
      </w:r>
      <w:r w:rsidR="00144ACA" w:rsidRPr="00144ACA">
        <w:rPr>
          <w:lang w:val="en-AU"/>
        </w:rPr>
        <w:t>been prepared consistent</w:t>
      </w:r>
      <w:r w:rsidR="00511A3F">
        <w:rPr>
          <w:lang w:val="en-AU"/>
        </w:rPr>
        <w:t>ly</w:t>
      </w:r>
      <w:r w:rsidR="00144ACA" w:rsidRPr="00144ACA">
        <w:rPr>
          <w:lang w:val="en-AU"/>
        </w:rPr>
        <w:t xml:space="preserve"> with the classification of services </w:t>
      </w:r>
      <w:r w:rsidR="00144ACA">
        <w:rPr>
          <w:lang w:val="en-AU"/>
        </w:rPr>
        <w:t>set out in the Commission’s Framework Statement</w:t>
      </w:r>
      <w:r w:rsidR="005D4C1E">
        <w:rPr>
          <w:lang w:val="en-AU"/>
        </w:rPr>
        <w:t xml:space="preserve"> with the addition of the following new</w:t>
      </w:r>
      <w:r w:rsidR="00144ACA">
        <w:rPr>
          <w:lang w:val="en-AU"/>
        </w:rPr>
        <w:t xml:space="preserve"> </w:t>
      </w:r>
      <w:r w:rsidR="00511A3F">
        <w:rPr>
          <w:lang w:val="en-AU"/>
        </w:rPr>
        <w:t>excluded network access</w:t>
      </w:r>
      <w:r w:rsidR="005D4C1E">
        <w:rPr>
          <w:lang w:val="en-AU"/>
        </w:rPr>
        <w:t xml:space="preserve"> services:</w:t>
      </w:r>
    </w:p>
    <w:p w14:paraId="6F744C6B" w14:textId="77777777" w:rsidR="005D4C1E" w:rsidRPr="005D4C1E" w:rsidRDefault="0055417A" w:rsidP="008E229D">
      <w:pPr>
        <w:pStyle w:val="UtilComBulletText"/>
        <w:numPr>
          <w:ilvl w:val="0"/>
          <w:numId w:val="6"/>
        </w:numPr>
        <w:tabs>
          <w:tab w:val="clear" w:pos="964"/>
        </w:tabs>
        <w:ind w:left="1134" w:hanging="425"/>
      </w:pPr>
      <w:r>
        <w:t>i</w:t>
      </w:r>
      <w:r w:rsidRPr="005D4C1E">
        <w:t xml:space="preserve">nvestigation </w:t>
      </w:r>
      <w:r w:rsidR="005D4C1E" w:rsidRPr="005D4C1E">
        <w:t>and testing services;</w:t>
      </w:r>
    </w:p>
    <w:p w14:paraId="5BA4938A" w14:textId="5C3BF9F4" w:rsidR="005D4C1E" w:rsidRPr="005D4C1E" w:rsidRDefault="0055417A" w:rsidP="008E229D">
      <w:pPr>
        <w:pStyle w:val="UtilComBulletText"/>
        <w:numPr>
          <w:ilvl w:val="0"/>
          <w:numId w:val="6"/>
        </w:numPr>
        <w:tabs>
          <w:tab w:val="clear" w:pos="964"/>
        </w:tabs>
        <w:ind w:left="1134" w:hanging="425"/>
      </w:pPr>
      <w:r>
        <w:t>p</w:t>
      </w:r>
      <w:r w:rsidRPr="005D4C1E">
        <w:t xml:space="preserve">rovision </w:t>
      </w:r>
      <w:r w:rsidR="005D4C1E" w:rsidRPr="005D4C1E">
        <w:t>of non-standard street</w:t>
      </w:r>
      <w:r w:rsidR="007575BE">
        <w:t xml:space="preserve"> </w:t>
      </w:r>
      <w:r w:rsidR="005D4C1E" w:rsidRPr="005D4C1E">
        <w:t>light assets; and</w:t>
      </w:r>
    </w:p>
    <w:p w14:paraId="53BCF9E9" w14:textId="77777777" w:rsidR="005D4C1E" w:rsidRPr="005D4C1E" w:rsidRDefault="0055417A" w:rsidP="008E229D">
      <w:pPr>
        <w:pStyle w:val="UtilComBulletText"/>
        <w:numPr>
          <w:ilvl w:val="0"/>
          <w:numId w:val="6"/>
        </w:numPr>
        <w:tabs>
          <w:tab w:val="clear" w:pos="964"/>
        </w:tabs>
        <w:ind w:left="1134" w:hanging="425"/>
      </w:pPr>
      <w:r>
        <w:t>p</w:t>
      </w:r>
      <w:r w:rsidRPr="005D4C1E">
        <w:t xml:space="preserve">rovision </w:t>
      </w:r>
      <w:r w:rsidR="005D4C1E" w:rsidRPr="005D4C1E">
        <w:t>of network capacity in excess of Network Technical Code requirements.</w:t>
      </w:r>
    </w:p>
    <w:p w14:paraId="13CC4540" w14:textId="02B7E513" w:rsidR="00EF320F" w:rsidRDefault="00670845" w:rsidP="00A7159D">
      <w:pPr>
        <w:pStyle w:val="NumberLevel2"/>
        <w:numPr>
          <w:ilvl w:val="1"/>
          <w:numId w:val="5"/>
        </w:numPr>
        <w:ind w:left="709" w:hanging="709"/>
        <w:rPr>
          <w:lang w:val="en-AU"/>
        </w:rPr>
      </w:pPr>
      <w:r>
        <w:rPr>
          <w:lang w:val="en-AU"/>
        </w:rPr>
        <w:t>PWC </w:t>
      </w:r>
      <w:r w:rsidR="005D4C1E">
        <w:rPr>
          <w:lang w:val="en-AU"/>
        </w:rPr>
        <w:t xml:space="preserve">Networks also proposed that a number of </w:t>
      </w:r>
      <w:r w:rsidR="00511A3F">
        <w:rPr>
          <w:lang w:val="en-AU"/>
        </w:rPr>
        <w:t>excluded network access</w:t>
      </w:r>
      <w:r w:rsidR="005D4C1E">
        <w:rPr>
          <w:lang w:val="en-AU"/>
        </w:rPr>
        <w:t xml:space="preserve"> services be changed from fee-based services to quoted services.</w:t>
      </w:r>
    </w:p>
    <w:p w14:paraId="1E89676B" w14:textId="77777777" w:rsidR="00DF09D6" w:rsidRPr="00DF09D6" w:rsidRDefault="00670845" w:rsidP="00A7159D">
      <w:pPr>
        <w:pStyle w:val="NumberLevel2"/>
        <w:numPr>
          <w:ilvl w:val="1"/>
          <w:numId w:val="5"/>
        </w:numPr>
        <w:ind w:left="709" w:hanging="709"/>
        <w:rPr>
          <w:lang w:val="en-AU"/>
        </w:rPr>
      </w:pPr>
      <w:r>
        <w:rPr>
          <w:lang w:val="en-AU"/>
        </w:rPr>
        <w:t>PWC </w:t>
      </w:r>
      <w:r w:rsidR="00DF09D6">
        <w:rPr>
          <w:lang w:val="en-AU"/>
        </w:rPr>
        <w:t>Networks</w:t>
      </w:r>
      <w:r w:rsidR="0055417A">
        <w:rPr>
          <w:lang w:val="en-AU"/>
        </w:rPr>
        <w:t>’</w:t>
      </w:r>
      <w:r w:rsidR="00DF09D6">
        <w:rPr>
          <w:lang w:val="en-AU"/>
        </w:rPr>
        <w:t xml:space="preserve"> proposed classification of services was provided in Attachment 4 to </w:t>
      </w:r>
      <w:r w:rsidR="00FF019D">
        <w:rPr>
          <w:lang w:val="en-AU"/>
        </w:rPr>
        <w:t>its</w:t>
      </w:r>
      <w:r w:rsidR="00DF09D6">
        <w:rPr>
          <w:lang w:val="en-AU"/>
        </w:rPr>
        <w:t xml:space="preserve"> </w:t>
      </w:r>
      <w:r>
        <w:rPr>
          <w:lang w:val="en-AU"/>
        </w:rPr>
        <w:t xml:space="preserve">initial </w:t>
      </w:r>
      <w:r w:rsidR="00DF09D6">
        <w:rPr>
          <w:lang w:val="en-AU"/>
        </w:rPr>
        <w:t xml:space="preserve">regulatory proposal and included comprehensive descriptions of the activities in the each service group. </w:t>
      </w:r>
      <w:r w:rsidR="006F34D0">
        <w:rPr>
          <w:lang w:val="en-AU"/>
        </w:rPr>
        <w:t xml:space="preserve">This included some additional changes to activity descriptions for which no explanation was provided in the </w:t>
      </w:r>
      <w:r>
        <w:rPr>
          <w:lang w:val="en-AU"/>
        </w:rPr>
        <w:t xml:space="preserve">initial </w:t>
      </w:r>
      <w:r w:rsidR="006F34D0">
        <w:rPr>
          <w:lang w:val="en-AU"/>
        </w:rPr>
        <w:t>regulatory proposal.</w:t>
      </w:r>
    </w:p>
    <w:p w14:paraId="18512C12" w14:textId="4ED3D1B8" w:rsidR="00EF320F" w:rsidRDefault="00EF320F" w:rsidP="00EF320F">
      <w:pPr>
        <w:pStyle w:val="UtilComHeading2"/>
      </w:pPr>
      <w:bookmarkStart w:id="44" w:name="_Toc385241448"/>
      <w:bookmarkStart w:id="45" w:name="_Toc386013001"/>
      <w:r>
        <w:t>Submissions</w:t>
      </w:r>
      <w:r w:rsidR="00670845">
        <w:t xml:space="preserve"> on </w:t>
      </w:r>
      <w:r w:rsidR="003C0751">
        <w:t xml:space="preserve">Initial Regulatory </w:t>
      </w:r>
      <w:bookmarkEnd w:id="44"/>
      <w:r w:rsidR="003C0751">
        <w:t>Proposal</w:t>
      </w:r>
      <w:bookmarkEnd w:id="45"/>
    </w:p>
    <w:p w14:paraId="7D146ADA" w14:textId="666A50F9" w:rsidR="00FD34AE" w:rsidRDefault="005D4C1E" w:rsidP="00B57C26">
      <w:pPr>
        <w:pStyle w:val="NumberLevel2"/>
        <w:numPr>
          <w:ilvl w:val="1"/>
          <w:numId w:val="5"/>
        </w:numPr>
        <w:tabs>
          <w:tab w:val="num" w:pos="709"/>
        </w:tabs>
        <w:ind w:left="709" w:hanging="709"/>
        <w:rPr>
          <w:lang w:val="en-AU"/>
        </w:rPr>
      </w:pPr>
      <w:r w:rsidRPr="005D4C1E">
        <w:rPr>
          <w:lang w:val="en-AU"/>
        </w:rPr>
        <w:t>The NTMEU</w:t>
      </w:r>
      <w:r w:rsidR="00F6486C">
        <w:rPr>
          <w:lang w:val="en-AU"/>
        </w:rPr>
        <w:t xml:space="preserve"> indicated that it</w:t>
      </w:r>
      <w:r w:rsidRPr="005D4C1E">
        <w:rPr>
          <w:lang w:val="en-AU"/>
        </w:rPr>
        <w:t xml:space="preserve"> d</w:t>
      </w:r>
      <w:r w:rsidR="00F6486C">
        <w:rPr>
          <w:lang w:val="en-AU"/>
        </w:rPr>
        <w:t>id</w:t>
      </w:r>
      <w:r w:rsidRPr="005D4C1E">
        <w:rPr>
          <w:lang w:val="en-AU"/>
        </w:rPr>
        <w:t xml:space="preserve"> not support the </w:t>
      </w:r>
      <w:r w:rsidR="00BD35D3">
        <w:rPr>
          <w:lang w:val="en-AU"/>
        </w:rPr>
        <w:t>introduction of a new</w:t>
      </w:r>
      <w:r w:rsidRPr="005D4C1E">
        <w:rPr>
          <w:lang w:val="en-AU"/>
        </w:rPr>
        <w:t xml:space="preserve"> </w:t>
      </w:r>
      <w:r w:rsidR="00511A3F">
        <w:rPr>
          <w:lang w:val="en-AU"/>
        </w:rPr>
        <w:t>excluded network access service (referred to as an ‘</w:t>
      </w:r>
      <w:r w:rsidRPr="005D4C1E">
        <w:rPr>
          <w:lang w:val="en-AU"/>
        </w:rPr>
        <w:t>alternative</w:t>
      </w:r>
      <w:r>
        <w:rPr>
          <w:lang w:val="en-AU"/>
        </w:rPr>
        <w:t xml:space="preserve"> </w:t>
      </w:r>
      <w:r w:rsidRPr="005D4C1E">
        <w:rPr>
          <w:lang w:val="en-AU"/>
        </w:rPr>
        <w:t>control service</w:t>
      </w:r>
      <w:r w:rsidR="00511A3F">
        <w:rPr>
          <w:lang w:val="en-AU"/>
        </w:rPr>
        <w:t>’)</w:t>
      </w:r>
      <w:r w:rsidRPr="005D4C1E">
        <w:rPr>
          <w:lang w:val="en-AU"/>
        </w:rPr>
        <w:t xml:space="preserve"> for </w:t>
      </w:r>
      <w:r w:rsidR="00511A3F">
        <w:rPr>
          <w:lang w:val="en-AU"/>
        </w:rPr>
        <w:t xml:space="preserve">a </w:t>
      </w:r>
      <w:r w:rsidRPr="005D4C1E">
        <w:rPr>
          <w:lang w:val="en-AU"/>
        </w:rPr>
        <w:t>power factor</w:t>
      </w:r>
      <w:r w:rsidR="00BD35D3">
        <w:rPr>
          <w:lang w:val="en-AU"/>
        </w:rPr>
        <w:t xml:space="preserve"> </w:t>
      </w:r>
      <w:r w:rsidR="00BD35D3" w:rsidRPr="00BD35D3">
        <w:rPr>
          <w:lang w:val="en-AU"/>
        </w:rPr>
        <w:t xml:space="preserve">below the level set by the </w:t>
      </w:r>
      <w:r w:rsidR="00BD35D3">
        <w:rPr>
          <w:lang w:val="en-AU"/>
        </w:rPr>
        <w:t xml:space="preserve">Network </w:t>
      </w:r>
      <w:r w:rsidR="00BD35D3" w:rsidRPr="00BD35D3">
        <w:rPr>
          <w:lang w:val="en-AU"/>
        </w:rPr>
        <w:t>Technical Code</w:t>
      </w:r>
      <w:r w:rsidR="002A1F7B">
        <w:rPr>
          <w:lang w:val="en-AU"/>
        </w:rPr>
        <w:t xml:space="preserve"> requirements</w:t>
      </w:r>
      <w:r w:rsidR="005F177A">
        <w:rPr>
          <w:lang w:val="en-AU"/>
        </w:rPr>
        <w:t>, arguing that the proposed approach was</w:t>
      </w:r>
      <w:r w:rsidR="00FD34AE">
        <w:rPr>
          <w:lang w:val="en-AU"/>
        </w:rPr>
        <w:t>:</w:t>
      </w:r>
    </w:p>
    <w:p w14:paraId="135435DE" w14:textId="77777777" w:rsidR="00FD34AE" w:rsidRPr="00746486" w:rsidRDefault="001177B4" w:rsidP="008E229D">
      <w:pPr>
        <w:pStyle w:val="UtilComBulletText"/>
        <w:numPr>
          <w:ilvl w:val="0"/>
          <w:numId w:val="6"/>
        </w:numPr>
        <w:tabs>
          <w:tab w:val="clear" w:pos="964"/>
          <w:tab w:val="num" w:pos="1134"/>
        </w:tabs>
        <w:ind w:left="1134" w:hanging="425"/>
      </w:pPr>
      <w:r>
        <w:t>in</w:t>
      </w:r>
      <w:r w:rsidR="00FD34AE" w:rsidRPr="00746486">
        <w:t>efficient</w:t>
      </w:r>
      <w:r w:rsidR="00746486" w:rsidRPr="00746486">
        <w:t>, with better approaches used in other networks to address the problem of low power factor;</w:t>
      </w:r>
    </w:p>
    <w:p w14:paraId="20A3451D" w14:textId="41DFD31E" w:rsidR="00FD34AE" w:rsidRPr="00746486" w:rsidRDefault="00FD34AE" w:rsidP="008E229D">
      <w:pPr>
        <w:pStyle w:val="UtilComBulletText"/>
        <w:numPr>
          <w:ilvl w:val="0"/>
          <w:numId w:val="6"/>
        </w:numPr>
        <w:tabs>
          <w:tab w:val="clear" w:pos="964"/>
          <w:tab w:val="num" w:pos="1134"/>
        </w:tabs>
        <w:ind w:left="1134" w:hanging="425"/>
      </w:pPr>
      <w:r w:rsidRPr="00746486">
        <w:t>inequitable</w:t>
      </w:r>
      <w:r w:rsidR="00746486" w:rsidRPr="00746486">
        <w:t xml:space="preserve">, applying only to large </w:t>
      </w:r>
      <w:r w:rsidR="00511A3F">
        <w:t xml:space="preserve">retail </w:t>
      </w:r>
      <w:r w:rsidR="00746486" w:rsidRPr="00746486">
        <w:t>customers with appropriate metering; and</w:t>
      </w:r>
    </w:p>
    <w:p w14:paraId="329F3D9B" w14:textId="42B2F399" w:rsidR="00EF320F" w:rsidRPr="00746486" w:rsidRDefault="00FD34AE" w:rsidP="008E229D">
      <w:pPr>
        <w:pStyle w:val="UtilComBulletText"/>
        <w:numPr>
          <w:ilvl w:val="0"/>
          <w:numId w:val="6"/>
        </w:numPr>
        <w:tabs>
          <w:tab w:val="clear" w:pos="964"/>
          <w:tab w:val="num" w:pos="1134"/>
        </w:tabs>
        <w:ind w:left="1134" w:hanging="425"/>
      </w:pPr>
      <w:r w:rsidRPr="00746486">
        <w:t xml:space="preserve">likely to be difficult for some </w:t>
      </w:r>
      <w:r w:rsidR="00511A3F">
        <w:t xml:space="preserve">retail </w:t>
      </w:r>
      <w:r w:rsidRPr="00746486">
        <w:t>customers to understand and respond to.</w:t>
      </w:r>
      <w:r w:rsidR="005F177A" w:rsidRPr="00746486">
        <w:t xml:space="preserve"> </w:t>
      </w:r>
    </w:p>
    <w:p w14:paraId="220B3582" w14:textId="29AADDE8" w:rsidR="005F177A" w:rsidRDefault="005F177A" w:rsidP="00B57C26">
      <w:pPr>
        <w:pStyle w:val="NumberLevel2"/>
        <w:numPr>
          <w:ilvl w:val="1"/>
          <w:numId w:val="5"/>
        </w:numPr>
        <w:tabs>
          <w:tab w:val="num" w:pos="709"/>
        </w:tabs>
        <w:ind w:left="709" w:hanging="709"/>
        <w:rPr>
          <w:lang w:val="en-AU"/>
        </w:rPr>
      </w:pPr>
      <w:r>
        <w:rPr>
          <w:lang w:val="en-AU"/>
        </w:rPr>
        <w:t xml:space="preserve">The NTMEU also raised concerns about </w:t>
      </w:r>
      <w:r w:rsidR="00196551">
        <w:rPr>
          <w:lang w:val="en-AU"/>
        </w:rPr>
        <w:t>the use of quotation</w:t>
      </w:r>
      <w:r w:rsidR="00FF019D">
        <w:rPr>
          <w:lang w:val="en-AU"/>
        </w:rPr>
        <w:t>s</w:t>
      </w:r>
      <w:r w:rsidR="00196551">
        <w:rPr>
          <w:lang w:val="en-AU"/>
        </w:rPr>
        <w:t xml:space="preserve"> for a significant number of</w:t>
      </w:r>
      <w:r>
        <w:rPr>
          <w:lang w:val="en-AU"/>
        </w:rPr>
        <w:t xml:space="preserve"> </w:t>
      </w:r>
      <w:r w:rsidR="00511A3F">
        <w:rPr>
          <w:lang w:val="en-AU"/>
        </w:rPr>
        <w:t>excluded network access</w:t>
      </w:r>
      <w:r>
        <w:rPr>
          <w:lang w:val="en-AU"/>
        </w:rPr>
        <w:t xml:space="preserve"> services, noting that some will be imposed on </w:t>
      </w:r>
      <w:r w:rsidR="00511A3F">
        <w:rPr>
          <w:lang w:val="en-AU"/>
        </w:rPr>
        <w:t xml:space="preserve">retail </w:t>
      </w:r>
      <w:r>
        <w:rPr>
          <w:lang w:val="en-AU"/>
        </w:rPr>
        <w:t xml:space="preserve">customers with </w:t>
      </w:r>
      <w:r w:rsidR="00511A3F">
        <w:rPr>
          <w:lang w:val="en-AU"/>
        </w:rPr>
        <w:t xml:space="preserve">an </w:t>
      </w:r>
      <w:r>
        <w:rPr>
          <w:lang w:val="en-AU"/>
        </w:rPr>
        <w:t xml:space="preserve">insufficient understanding </w:t>
      </w:r>
      <w:r w:rsidR="00511A3F">
        <w:rPr>
          <w:lang w:val="en-AU"/>
        </w:rPr>
        <w:t xml:space="preserve">about </w:t>
      </w:r>
      <w:r>
        <w:rPr>
          <w:lang w:val="en-AU"/>
        </w:rPr>
        <w:t xml:space="preserve">how </w:t>
      </w:r>
      <w:r w:rsidR="00511A3F">
        <w:rPr>
          <w:lang w:val="en-AU"/>
        </w:rPr>
        <w:t xml:space="preserve">power </w:t>
      </w:r>
      <w:r>
        <w:rPr>
          <w:lang w:val="en-AU"/>
        </w:rPr>
        <w:t xml:space="preserve">systems operate </w:t>
      </w:r>
      <w:r w:rsidR="001177B4">
        <w:rPr>
          <w:lang w:val="en-AU"/>
        </w:rPr>
        <w:t>and an inability to fully</w:t>
      </w:r>
      <w:r>
        <w:rPr>
          <w:lang w:val="en-AU"/>
        </w:rPr>
        <w:t xml:space="preserve"> appreciate the implications of </w:t>
      </w:r>
      <w:r w:rsidR="00670845">
        <w:rPr>
          <w:lang w:val="en-AU"/>
        </w:rPr>
        <w:t>PWC </w:t>
      </w:r>
      <w:r>
        <w:rPr>
          <w:lang w:val="en-AU"/>
        </w:rPr>
        <w:t>Networks’ new requirements.</w:t>
      </w:r>
    </w:p>
    <w:p w14:paraId="231079AB" w14:textId="77777777" w:rsidR="000B6299" w:rsidRPr="001911C2" w:rsidRDefault="000B6299" w:rsidP="00B57C26">
      <w:pPr>
        <w:pStyle w:val="NumberLevel2"/>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 xml:space="preserve">submissions were received on the </w:t>
      </w:r>
      <w:r w:rsidR="00670845">
        <w:rPr>
          <w:lang w:val="en-AU"/>
        </w:rPr>
        <w:t>classification of services</w:t>
      </w:r>
      <w:r>
        <w:rPr>
          <w:lang w:val="en-AU"/>
        </w:rPr>
        <w:t>.</w:t>
      </w:r>
    </w:p>
    <w:p w14:paraId="4A186CDD" w14:textId="30CD39F8" w:rsidR="00A13627" w:rsidRDefault="00A13627" w:rsidP="00A13627">
      <w:pPr>
        <w:pStyle w:val="UtilComHeading2"/>
      </w:pPr>
      <w:bookmarkStart w:id="46" w:name="_Toc385241449"/>
      <w:bookmarkStart w:id="47" w:name="_Toc386013002"/>
      <w:r>
        <w:t xml:space="preserve">Issues and Commission’s </w:t>
      </w:r>
      <w:r w:rsidR="003C0751">
        <w:t xml:space="preserve">Initial </w:t>
      </w:r>
      <w:bookmarkEnd w:id="46"/>
      <w:r w:rsidR="003C0751">
        <w:t>Considerations</w:t>
      </w:r>
      <w:bookmarkEnd w:id="47"/>
    </w:p>
    <w:p w14:paraId="261528A9" w14:textId="1B3FA36D" w:rsidR="00196551" w:rsidRDefault="00196551" w:rsidP="00B57C26">
      <w:pPr>
        <w:pStyle w:val="NumberLevel2"/>
        <w:numPr>
          <w:ilvl w:val="1"/>
          <w:numId w:val="5"/>
        </w:numPr>
        <w:ind w:left="709" w:hanging="709"/>
        <w:rPr>
          <w:lang w:val="en-AU"/>
        </w:rPr>
      </w:pPr>
      <w:r w:rsidRPr="009A51FB">
        <w:rPr>
          <w:lang w:val="en-AU"/>
        </w:rPr>
        <w:t>Classification of services is the key area whe</w:t>
      </w:r>
      <w:r>
        <w:rPr>
          <w:lang w:val="en-AU"/>
        </w:rPr>
        <w:t>re</w:t>
      </w:r>
      <w:r w:rsidRPr="009A51FB">
        <w:rPr>
          <w:lang w:val="en-AU"/>
        </w:rPr>
        <w:t xml:space="preserve"> the requirements of the </w:t>
      </w:r>
      <w:r w:rsidR="00FB2EC5">
        <w:rPr>
          <w:lang w:val="en-AU"/>
        </w:rPr>
        <w:t>Network Access Code</w:t>
      </w:r>
      <w:r>
        <w:rPr>
          <w:lang w:val="en-AU"/>
        </w:rPr>
        <w:t xml:space="preserve"> differ from the requirements </w:t>
      </w:r>
      <w:r w:rsidRPr="009A51FB">
        <w:rPr>
          <w:lang w:val="en-AU"/>
        </w:rPr>
        <w:t>of the NER.</w:t>
      </w:r>
    </w:p>
    <w:p w14:paraId="14C5B516" w14:textId="6097A2DA" w:rsidR="00196551" w:rsidRDefault="00196551" w:rsidP="00B57C26">
      <w:pPr>
        <w:pStyle w:val="NumberLevel2"/>
        <w:numPr>
          <w:ilvl w:val="1"/>
          <w:numId w:val="5"/>
        </w:numPr>
        <w:ind w:left="709" w:hanging="709"/>
        <w:rPr>
          <w:lang w:val="en-AU"/>
        </w:rPr>
      </w:pPr>
      <w:r>
        <w:rPr>
          <w:lang w:val="en-AU"/>
        </w:rPr>
        <w:t xml:space="preserve">While </w:t>
      </w:r>
      <w:r w:rsidR="0036669B">
        <w:rPr>
          <w:lang w:val="en-AU"/>
        </w:rPr>
        <w:t xml:space="preserve">some </w:t>
      </w:r>
      <w:r>
        <w:rPr>
          <w:lang w:val="en-AU"/>
        </w:rPr>
        <w:t>service classification categories broadly align, there are some key differences</w:t>
      </w:r>
      <w:r w:rsidR="0036669B">
        <w:rPr>
          <w:lang w:val="en-AU"/>
        </w:rPr>
        <w:t>. In particular, under the NER</w:t>
      </w:r>
      <w:r>
        <w:rPr>
          <w:lang w:val="en-AU"/>
        </w:rPr>
        <w:t>:</w:t>
      </w:r>
    </w:p>
    <w:p w14:paraId="7FC0D0B9" w14:textId="2DCCCE21" w:rsidR="00196551" w:rsidRPr="00BE238D" w:rsidRDefault="00196551" w:rsidP="008E229D">
      <w:pPr>
        <w:pStyle w:val="UtilComBulletText"/>
        <w:numPr>
          <w:ilvl w:val="0"/>
          <w:numId w:val="6"/>
        </w:numPr>
        <w:tabs>
          <w:tab w:val="clear" w:pos="964"/>
          <w:tab w:val="num" w:pos="1134"/>
        </w:tabs>
        <w:ind w:left="1134" w:hanging="425"/>
      </w:pPr>
      <w:r w:rsidRPr="00BE238D">
        <w:t>any service that is not classified as either a direct control service or a negotiated distribution service defaults to an unregulated service</w:t>
      </w:r>
      <w:r w:rsidR="00E17F83">
        <w:t>,</w:t>
      </w:r>
      <w:r w:rsidR="002A1F7B">
        <w:t xml:space="preserve"> </w:t>
      </w:r>
      <w:r w:rsidR="0036669B">
        <w:t>while by</w:t>
      </w:r>
      <w:r w:rsidRPr="00BE238D">
        <w:t xml:space="preserve"> contrast, under the </w:t>
      </w:r>
      <w:r w:rsidR="00FB2EC5">
        <w:t>Network Access Code</w:t>
      </w:r>
      <w:r w:rsidRPr="00BE238D">
        <w:t xml:space="preserve">, any network access service that is not classified as an excluded network access service is, by default, included as a regulated network access service under the </w:t>
      </w:r>
      <w:r w:rsidR="009F1A71">
        <w:t>revenue</w:t>
      </w:r>
      <w:r w:rsidRPr="00BE238D">
        <w:t xml:space="preserve"> cap</w:t>
      </w:r>
      <w:r w:rsidR="0036669B">
        <w:t xml:space="preserve"> or price cap</w:t>
      </w:r>
      <w:r w:rsidRPr="00BE238D">
        <w:t>;</w:t>
      </w:r>
      <w:r w:rsidR="0055417A">
        <w:t xml:space="preserve"> and</w:t>
      </w:r>
    </w:p>
    <w:p w14:paraId="23145134" w14:textId="079FEA0F" w:rsidR="00196551" w:rsidRPr="00BE238D" w:rsidRDefault="00196551" w:rsidP="008E229D">
      <w:pPr>
        <w:pStyle w:val="UtilComBulletText"/>
        <w:numPr>
          <w:ilvl w:val="0"/>
          <w:numId w:val="6"/>
        </w:numPr>
        <w:tabs>
          <w:tab w:val="clear" w:pos="964"/>
          <w:tab w:val="num" w:pos="1134"/>
        </w:tabs>
        <w:ind w:left="1134" w:hanging="425"/>
      </w:pPr>
      <w:r w:rsidRPr="00BE238D">
        <w:t>services are classified on the basis of the potential for development of competition, effects on administrative costs and the extent to which the costs of providing the service are directly attributable to the person to whom the service is provided</w:t>
      </w:r>
      <w:r w:rsidR="002A1F7B">
        <w:t>,</w:t>
      </w:r>
      <w:r w:rsidR="0036669B">
        <w:t xml:space="preserve"> while by</w:t>
      </w:r>
      <w:r w:rsidRPr="00BE238D">
        <w:t xml:space="preserve"> contrast, the focus of the </w:t>
      </w:r>
      <w:r w:rsidR="00FB2EC5">
        <w:t>Network Access Code</w:t>
      </w:r>
      <w:r w:rsidRPr="00BE238D">
        <w:t xml:space="preserve"> is whether the costs of an excluded </w:t>
      </w:r>
      <w:r w:rsidR="0036669B">
        <w:t xml:space="preserve">network access </w:t>
      </w:r>
      <w:r w:rsidRPr="00BE238D">
        <w:t xml:space="preserve">service can, in the assessment of the Commission, be satisfactorily excluded from the cost base for the revenue </w:t>
      </w:r>
      <w:r w:rsidR="0036669B">
        <w:t xml:space="preserve">cap </w:t>
      </w:r>
      <w:r w:rsidRPr="00BE238D">
        <w:t>or price cap.</w:t>
      </w:r>
    </w:p>
    <w:p w14:paraId="5D7C0571" w14:textId="77777777" w:rsidR="00A36CDD" w:rsidRDefault="00A36CDD" w:rsidP="00A36CDD">
      <w:pPr>
        <w:pStyle w:val="UtilComHeading3"/>
        <w:rPr>
          <w:lang w:val="en-AU"/>
        </w:rPr>
      </w:pPr>
      <w:r>
        <w:rPr>
          <w:lang w:val="en-AU"/>
        </w:rPr>
        <w:t>Fee-based and quoted alternative control services</w:t>
      </w:r>
    </w:p>
    <w:p w14:paraId="79E999D0" w14:textId="3D3C044A" w:rsidR="00410612" w:rsidRPr="00410612" w:rsidRDefault="00670845" w:rsidP="00B57C26">
      <w:pPr>
        <w:pStyle w:val="NumberLevel2"/>
        <w:numPr>
          <w:ilvl w:val="1"/>
          <w:numId w:val="5"/>
        </w:numPr>
        <w:ind w:left="709" w:hanging="709"/>
        <w:rPr>
          <w:lang w:val="en-AU"/>
        </w:rPr>
      </w:pPr>
      <w:r w:rsidRPr="00410612">
        <w:rPr>
          <w:lang w:val="en-AU"/>
        </w:rPr>
        <w:t>PWC</w:t>
      </w:r>
      <w:r>
        <w:rPr>
          <w:lang w:val="en-AU"/>
        </w:rPr>
        <w:t> </w:t>
      </w:r>
      <w:r w:rsidR="00410612" w:rsidRPr="00410612">
        <w:rPr>
          <w:lang w:val="en-AU"/>
        </w:rPr>
        <w:t xml:space="preserve">Networks </w:t>
      </w:r>
      <w:r w:rsidR="00362309" w:rsidRPr="00410612">
        <w:rPr>
          <w:lang w:val="en-AU"/>
        </w:rPr>
        <w:t>distinguishe</w:t>
      </w:r>
      <w:r w:rsidR="00362309">
        <w:rPr>
          <w:lang w:val="en-AU"/>
        </w:rPr>
        <w:t>s</w:t>
      </w:r>
      <w:r w:rsidR="00362309" w:rsidRPr="00410612">
        <w:rPr>
          <w:lang w:val="en-AU"/>
        </w:rPr>
        <w:t xml:space="preserve"> </w:t>
      </w:r>
      <w:r w:rsidR="00410612" w:rsidRPr="00410612">
        <w:rPr>
          <w:lang w:val="en-AU"/>
        </w:rPr>
        <w:t xml:space="preserve">between </w:t>
      </w:r>
      <w:r w:rsidR="0036669B">
        <w:rPr>
          <w:lang w:val="en-AU"/>
        </w:rPr>
        <w:t xml:space="preserve">excluded network access services (described as </w:t>
      </w:r>
      <w:r w:rsidR="007575BE">
        <w:rPr>
          <w:lang w:val="en-AU"/>
        </w:rPr>
        <w:t>‘</w:t>
      </w:r>
      <w:r w:rsidR="00410612" w:rsidRPr="00410612">
        <w:rPr>
          <w:lang w:val="en-AU"/>
        </w:rPr>
        <w:t>alternative control services</w:t>
      </w:r>
      <w:r w:rsidR="007575BE">
        <w:rPr>
          <w:lang w:val="en-AU"/>
        </w:rPr>
        <w:t>’</w:t>
      </w:r>
      <w:r w:rsidR="0036669B">
        <w:rPr>
          <w:lang w:val="en-AU"/>
        </w:rPr>
        <w:t>)</w:t>
      </w:r>
      <w:r w:rsidR="00410612" w:rsidRPr="00410612">
        <w:rPr>
          <w:lang w:val="en-AU"/>
        </w:rPr>
        <w:t xml:space="preserve"> </w:t>
      </w:r>
      <w:r w:rsidR="00F163D5">
        <w:rPr>
          <w:lang w:val="en-AU"/>
        </w:rPr>
        <w:t>that</w:t>
      </w:r>
      <w:r w:rsidR="00F163D5" w:rsidRPr="00410612">
        <w:rPr>
          <w:lang w:val="en-AU"/>
        </w:rPr>
        <w:t xml:space="preserve"> </w:t>
      </w:r>
      <w:r w:rsidR="00410612" w:rsidRPr="00410612">
        <w:rPr>
          <w:lang w:val="en-AU"/>
        </w:rPr>
        <w:t xml:space="preserve">are provided based on a schedule of fees and </w:t>
      </w:r>
      <w:r w:rsidR="0036669B">
        <w:rPr>
          <w:lang w:val="en-AU"/>
        </w:rPr>
        <w:t xml:space="preserve">those excluded network access </w:t>
      </w:r>
      <w:r w:rsidR="009F1A71">
        <w:rPr>
          <w:lang w:val="en-AU"/>
        </w:rPr>
        <w:t>services</w:t>
      </w:r>
      <w:r w:rsidR="00410612" w:rsidRPr="00410612">
        <w:rPr>
          <w:lang w:val="en-AU"/>
        </w:rPr>
        <w:t xml:space="preserve"> </w:t>
      </w:r>
      <w:r w:rsidR="00F163D5">
        <w:rPr>
          <w:lang w:val="en-AU"/>
        </w:rPr>
        <w:t>that</w:t>
      </w:r>
      <w:r w:rsidR="00F163D5" w:rsidRPr="00410612">
        <w:rPr>
          <w:lang w:val="en-AU"/>
        </w:rPr>
        <w:t xml:space="preserve"> </w:t>
      </w:r>
      <w:r w:rsidR="00410612" w:rsidRPr="00410612">
        <w:rPr>
          <w:lang w:val="en-AU"/>
        </w:rPr>
        <w:t>are provided on a quoted basis</w:t>
      </w:r>
      <w:r w:rsidR="0036669B">
        <w:rPr>
          <w:lang w:val="en-AU"/>
        </w:rPr>
        <w:t xml:space="preserve"> (</w:t>
      </w:r>
      <w:r w:rsidR="009F1A71">
        <w:rPr>
          <w:lang w:val="en-AU"/>
        </w:rPr>
        <w:t>that is</w:t>
      </w:r>
      <w:r w:rsidR="00F163D5">
        <w:rPr>
          <w:lang w:val="en-AU"/>
        </w:rPr>
        <w:t>,</w:t>
      </w:r>
      <w:r w:rsidR="009F1A71">
        <w:rPr>
          <w:lang w:val="en-AU"/>
        </w:rPr>
        <w:t xml:space="preserve"> </w:t>
      </w:r>
      <w:r w:rsidR="0036669B">
        <w:rPr>
          <w:lang w:val="en-AU"/>
        </w:rPr>
        <w:t xml:space="preserve">excluded network access </w:t>
      </w:r>
      <w:r w:rsidR="00410612" w:rsidRPr="00410612">
        <w:rPr>
          <w:lang w:val="en-AU"/>
        </w:rPr>
        <w:t xml:space="preserve">services for which the nature and scope cannot be known in advance irrespective of whether </w:t>
      </w:r>
      <w:r w:rsidR="005A6DF8">
        <w:rPr>
          <w:lang w:val="en-AU"/>
        </w:rPr>
        <w:t xml:space="preserve">they are </w:t>
      </w:r>
      <w:r w:rsidR="0036669B">
        <w:rPr>
          <w:lang w:val="en-AU"/>
        </w:rPr>
        <w:t xml:space="preserve">retail </w:t>
      </w:r>
      <w:r w:rsidR="00410612" w:rsidRPr="00410612">
        <w:rPr>
          <w:lang w:val="en-AU"/>
        </w:rPr>
        <w:t xml:space="preserve">customer requested or </w:t>
      </w:r>
      <w:r w:rsidR="00F163D5">
        <w:rPr>
          <w:lang w:val="en-AU"/>
        </w:rPr>
        <w:t xml:space="preserve">triggered by </w:t>
      </w:r>
      <w:r w:rsidR="00410612" w:rsidRPr="00410612">
        <w:rPr>
          <w:lang w:val="en-AU"/>
        </w:rPr>
        <w:t>an external event</w:t>
      </w:r>
      <w:r w:rsidR="0036669B">
        <w:rPr>
          <w:lang w:val="en-AU"/>
        </w:rPr>
        <w:t>)</w:t>
      </w:r>
      <w:r w:rsidR="00410612">
        <w:rPr>
          <w:lang w:val="en-AU"/>
        </w:rPr>
        <w:t>.</w:t>
      </w:r>
    </w:p>
    <w:p w14:paraId="11BEB1A2" w14:textId="77777777" w:rsidR="00410612" w:rsidRDefault="00410612" w:rsidP="00B57C26">
      <w:pPr>
        <w:pStyle w:val="NumberLevel2"/>
        <w:numPr>
          <w:ilvl w:val="1"/>
          <w:numId w:val="5"/>
        </w:numPr>
        <w:tabs>
          <w:tab w:val="num" w:pos="709"/>
        </w:tabs>
        <w:ind w:left="709" w:hanging="709"/>
        <w:rPr>
          <w:lang w:val="en-AU"/>
        </w:rPr>
      </w:pPr>
      <w:r>
        <w:rPr>
          <w:lang w:val="en-AU"/>
        </w:rPr>
        <w:t>This distinction is relevant under the NER, where the AER determines price controls for alternative control services.</w:t>
      </w:r>
    </w:p>
    <w:p w14:paraId="5BB14B13" w14:textId="6FE59C7B" w:rsidR="00410612" w:rsidRPr="00410612" w:rsidRDefault="00F163D5" w:rsidP="00B57C26">
      <w:pPr>
        <w:pStyle w:val="NumberLevel2"/>
        <w:numPr>
          <w:ilvl w:val="1"/>
          <w:numId w:val="5"/>
        </w:numPr>
        <w:tabs>
          <w:tab w:val="num" w:pos="709"/>
        </w:tabs>
        <w:ind w:left="709" w:hanging="709"/>
        <w:rPr>
          <w:lang w:val="en-AU"/>
        </w:rPr>
      </w:pPr>
      <w:r>
        <w:rPr>
          <w:lang w:val="en-AU"/>
        </w:rPr>
        <w:t>However, under</w:t>
      </w:r>
      <w:r w:rsidR="00410612">
        <w:rPr>
          <w:lang w:val="en-AU"/>
        </w:rPr>
        <w:t xml:space="preserve"> the </w:t>
      </w:r>
      <w:r w:rsidR="00FB2EC5">
        <w:rPr>
          <w:lang w:val="en-AU"/>
        </w:rPr>
        <w:t>Network Access Code</w:t>
      </w:r>
      <w:r w:rsidR="00410612">
        <w:rPr>
          <w:lang w:val="en-AU"/>
        </w:rPr>
        <w:t xml:space="preserve">, the Commission does not determine price controls for excluded </w:t>
      </w:r>
      <w:r w:rsidR="0036669B">
        <w:rPr>
          <w:lang w:val="en-AU"/>
        </w:rPr>
        <w:t xml:space="preserve">network access </w:t>
      </w:r>
      <w:r w:rsidR="00410612">
        <w:rPr>
          <w:lang w:val="en-AU"/>
        </w:rPr>
        <w:t xml:space="preserve">services. Rather, for those excluded </w:t>
      </w:r>
      <w:r w:rsidR="0036669B">
        <w:rPr>
          <w:lang w:val="en-AU"/>
        </w:rPr>
        <w:t xml:space="preserve">network access </w:t>
      </w:r>
      <w:r w:rsidR="00410612">
        <w:rPr>
          <w:lang w:val="en-AU"/>
        </w:rPr>
        <w:t>services that, in the Commission’s assessment</w:t>
      </w:r>
      <w:r w:rsidR="00FF019D">
        <w:rPr>
          <w:lang w:val="en-AU"/>
        </w:rPr>
        <w:t>,</w:t>
      </w:r>
      <w:r w:rsidR="00410612">
        <w:rPr>
          <w:lang w:val="en-AU"/>
        </w:rPr>
        <w:t xml:space="preserve"> are not subject to effective competition</w:t>
      </w:r>
      <w:r w:rsidR="002A1F7B" w:rsidRPr="007A0E26">
        <w:rPr>
          <w:rStyle w:val="FootnoteReference"/>
          <w:lang w:val="en-AU"/>
        </w:rPr>
        <w:footnoteReference w:id="23"/>
      </w:r>
      <w:r w:rsidR="007A0E26">
        <w:rPr>
          <w:lang w:val="en-AU"/>
        </w:rPr>
        <w:t xml:space="preserve"> </w:t>
      </w:r>
      <w:r w:rsidR="00410612">
        <w:rPr>
          <w:lang w:val="en-AU"/>
        </w:rPr>
        <w:t xml:space="preserve">(and which are </w:t>
      </w:r>
      <w:r w:rsidR="009F1A71">
        <w:rPr>
          <w:lang w:val="en-AU"/>
        </w:rPr>
        <w:t>similar types of services</w:t>
      </w:r>
      <w:r w:rsidR="00410612">
        <w:rPr>
          <w:lang w:val="en-AU"/>
        </w:rPr>
        <w:t xml:space="preserve"> to alternative control services) </w:t>
      </w:r>
      <w:r w:rsidR="00670845">
        <w:rPr>
          <w:lang w:val="en-AU"/>
        </w:rPr>
        <w:t>PWC </w:t>
      </w:r>
      <w:r w:rsidR="00410612">
        <w:rPr>
          <w:lang w:val="en-AU"/>
        </w:rPr>
        <w:t xml:space="preserve">Networks is required to provide these services to network users </w:t>
      </w:r>
      <w:r w:rsidR="00683206">
        <w:rPr>
          <w:lang w:val="en-AU"/>
        </w:rPr>
        <w:t>on fair and reasonable terms.</w:t>
      </w:r>
    </w:p>
    <w:p w14:paraId="3B99ECB9" w14:textId="5D386200" w:rsidR="00A36CDD" w:rsidRDefault="00683206" w:rsidP="00B57C26">
      <w:pPr>
        <w:pStyle w:val="NumberLevel2"/>
        <w:numPr>
          <w:ilvl w:val="1"/>
          <w:numId w:val="5"/>
        </w:numPr>
        <w:ind w:left="709" w:hanging="709"/>
        <w:rPr>
          <w:lang w:val="en-AU"/>
        </w:rPr>
      </w:pPr>
      <w:r>
        <w:rPr>
          <w:lang w:val="en-AU"/>
        </w:rPr>
        <w:t xml:space="preserve">Only if </w:t>
      </w:r>
      <w:r w:rsidR="00670845">
        <w:rPr>
          <w:lang w:val="en-AU"/>
        </w:rPr>
        <w:t>PWC </w:t>
      </w:r>
      <w:r>
        <w:rPr>
          <w:lang w:val="en-AU"/>
        </w:rPr>
        <w:t xml:space="preserve">Networks and the network user cannot reach agreement does the Commission have a role in determining what </w:t>
      </w:r>
      <w:r w:rsidR="0036669B">
        <w:rPr>
          <w:lang w:val="en-AU"/>
        </w:rPr>
        <w:t xml:space="preserve">constitutes </w:t>
      </w:r>
      <w:r>
        <w:rPr>
          <w:lang w:val="en-AU"/>
        </w:rPr>
        <w:t>fair and reasonable</w:t>
      </w:r>
      <w:r w:rsidR="0036669B">
        <w:rPr>
          <w:lang w:val="en-AU"/>
        </w:rPr>
        <w:t xml:space="preserve"> terms</w:t>
      </w:r>
      <w:r>
        <w:rPr>
          <w:lang w:val="en-AU"/>
        </w:rPr>
        <w:t>.</w:t>
      </w:r>
    </w:p>
    <w:p w14:paraId="1B1B405D" w14:textId="77777777" w:rsidR="00683206" w:rsidRDefault="00683206" w:rsidP="00B57C26">
      <w:pPr>
        <w:pStyle w:val="NumberLevel2"/>
        <w:numPr>
          <w:ilvl w:val="1"/>
          <w:numId w:val="5"/>
        </w:numPr>
        <w:ind w:left="709" w:hanging="709"/>
        <w:rPr>
          <w:lang w:val="en-AU"/>
        </w:rPr>
      </w:pPr>
      <w:r>
        <w:rPr>
          <w:lang w:val="en-AU"/>
        </w:rPr>
        <w:t xml:space="preserve">The NTMEU </w:t>
      </w:r>
      <w:r w:rsidR="00F6486C">
        <w:rPr>
          <w:lang w:val="en-AU"/>
        </w:rPr>
        <w:t>expressed</w:t>
      </w:r>
      <w:r>
        <w:rPr>
          <w:lang w:val="en-AU"/>
        </w:rPr>
        <w:t xml:space="preserve"> concern </w:t>
      </w:r>
      <w:r w:rsidR="007A0E26">
        <w:rPr>
          <w:lang w:val="en-AU"/>
        </w:rPr>
        <w:t>about the use of quotations for the provision of services, noting that:</w:t>
      </w:r>
    </w:p>
    <w:p w14:paraId="7F80EA60" w14:textId="77777777" w:rsidR="007A0E26" w:rsidRDefault="007A0E26" w:rsidP="004B63D8">
      <w:pPr>
        <w:pStyle w:val="UtilComQuotationText"/>
        <w:ind w:left="1134"/>
        <w:rPr>
          <w:lang w:val="en-AU"/>
        </w:rPr>
      </w:pPr>
      <w:r w:rsidRPr="007A0E26">
        <w:rPr>
          <w:lang w:val="en-AU"/>
        </w:rPr>
        <w:t>the use of quotations for provision of services implies that those receiving the</w:t>
      </w:r>
      <w:r>
        <w:rPr>
          <w:lang w:val="en-AU"/>
        </w:rPr>
        <w:t xml:space="preserve"> </w:t>
      </w:r>
      <w:r w:rsidRPr="007A0E26">
        <w:rPr>
          <w:lang w:val="en-AU"/>
        </w:rPr>
        <w:t>quotations have an understanding of what is a reasonable cost in the circumstances and that</w:t>
      </w:r>
      <w:r>
        <w:rPr>
          <w:lang w:val="en-AU"/>
        </w:rPr>
        <w:t xml:space="preserve"> </w:t>
      </w:r>
      <w:r w:rsidRPr="007A0E26">
        <w:rPr>
          <w:lang w:val="en-AU"/>
        </w:rPr>
        <w:t>PWC will not abuse the process to over-recover costs.</w:t>
      </w:r>
      <w:r>
        <w:rPr>
          <w:lang w:val="en-AU"/>
        </w:rPr>
        <w:t>(p</w:t>
      </w:r>
      <w:r w:rsidR="00F163D5">
        <w:rPr>
          <w:lang w:val="en-AU"/>
        </w:rPr>
        <w:t>age</w:t>
      </w:r>
      <w:r>
        <w:rPr>
          <w:lang w:val="en-AU"/>
        </w:rPr>
        <w:t>.18)</w:t>
      </w:r>
    </w:p>
    <w:p w14:paraId="0FAC66BB" w14:textId="1E792905" w:rsidR="007A0E26" w:rsidRDefault="007A0E26" w:rsidP="00B57C26">
      <w:pPr>
        <w:pStyle w:val="NumberLevel2"/>
        <w:numPr>
          <w:ilvl w:val="1"/>
          <w:numId w:val="5"/>
        </w:numPr>
        <w:ind w:left="709" w:hanging="709"/>
        <w:rPr>
          <w:lang w:val="en-AU"/>
        </w:rPr>
      </w:pPr>
      <w:r>
        <w:rPr>
          <w:lang w:val="en-AU"/>
        </w:rPr>
        <w:t xml:space="preserve">The Commission </w:t>
      </w:r>
      <w:r w:rsidR="00362309">
        <w:rPr>
          <w:lang w:val="en-AU"/>
        </w:rPr>
        <w:t xml:space="preserve">noted </w:t>
      </w:r>
      <w:r>
        <w:rPr>
          <w:lang w:val="en-AU"/>
        </w:rPr>
        <w:t xml:space="preserve">the NTMEU’s concerns but </w:t>
      </w:r>
      <w:r w:rsidR="00362309">
        <w:rPr>
          <w:lang w:val="en-AU"/>
        </w:rPr>
        <w:t xml:space="preserve">concluded that it </w:t>
      </w:r>
      <w:r w:rsidR="00CB0FC7">
        <w:rPr>
          <w:lang w:val="en-AU"/>
        </w:rPr>
        <w:t>ha</w:t>
      </w:r>
      <w:r w:rsidR="00647F68">
        <w:rPr>
          <w:lang w:val="en-AU"/>
        </w:rPr>
        <w:t>d</w:t>
      </w:r>
      <w:r w:rsidR="00CB0FC7">
        <w:rPr>
          <w:lang w:val="en-AU"/>
        </w:rPr>
        <w:t xml:space="preserve"> no basis to </w:t>
      </w:r>
      <w:r>
        <w:rPr>
          <w:lang w:val="en-AU"/>
        </w:rPr>
        <w:t xml:space="preserve">consider that </w:t>
      </w:r>
      <w:r w:rsidR="00670845">
        <w:rPr>
          <w:lang w:val="en-AU"/>
        </w:rPr>
        <w:t>PWC </w:t>
      </w:r>
      <w:r>
        <w:rPr>
          <w:lang w:val="en-AU"/>
        </w:rPr>
        <w:t xml:space="preserve">Networks </w:t>
      </w:r>
      <w:r w:rsidR="00647F68">
        <w:rPr>
          <w:lang w:val="en-AU"/>
        </w:rPr>
        <w:t>was</w:t>
      </w:r>
      <w:r>
        <w:rPr>
          <w:lang w:val="en-AU"/>
        </w:rPr>
        <w:t xml:space="preserve"> abusing the process.</w:t>
      </w:r>
      <w:r w:rsidR="009F1A71">
        <w:rPr>
          <w:lang w:val="en-AU"/>
        </w:rPr>
        <w:t xml:space="preserve"> The Commission</w:t>
      </w:r>
      <w:r w:rsidR="00CB0FC7">
        <w:rPr>
          <w:lang w:val="en-AU"/>
        </w:rPr>
        <w:t xml:space="preserve"> </w:t>
      </w:r>
      <w:r w:rsidR="00362309">
        <w:rPr>
          <w:lang w:val="en-AU"/>
        </w:rPr>
        <w:t xml:space="preserve">noted </w:t>
      </w:r>
      <w:r w:rsidR="00CB0FC7">
        <w:rPr>
          <w:lang w:val="en-AU"/>
        </w:rPr>
        <w:t>that its</w:t>
      </w:r>
      <w:r w:rsidR="009F1A71">
        <w:rPr>
          <w:lang w:val="en-AU"/>
        </w:rPr>
        <w:t xml:space="preserve"> ability to scrutinise</w:t>
      </w:r>
      <w:r w:rsidR="00647F68">
        <w:rPr>
          <w:lang w:val="en-AU"/>
        </w:rPr>
        <w:t xml:space="preserve"> the prices for these services was</w:t>
      </w:r>
      <w:r w:rsidR="009F1A71">
        <w:rPr>
          <w:lang w:val="en-AU"/>
        </w:rPr>
        <w:t xml:space="preserve"> limited in the absence of a specific network user complaint.</w:t>
      </w:r>
    </w:p>
    <w:p w14:paraId="63EDBF2A" w14:textId="77777777" w:rsidR="00A36CDD" w:rsidRDefault="00A36CDD" w:rsidP="00A36CDD">
      <w:pPr>
        <w:pStyle w:val="UtilComHeading3"/>
        <w:rPr>
          <w:lang w:val="en-AU"/>
        </w:rPr>
      </w:pPr>
      <w:r>
        <w:rPr>
          <w:lang w:val="en-AU"/>
        </w:rPr>
        <w:t>Proposed classifications</w:t>
      </w:r>
    </w:p>
    <w:p w14:paraId="32CBA70B" w14:textId="3F5E700A" w:rsidR="00246D0C" w:rsidRDefault="00246D0C" w:rsidP="00B57C26">
      <w:pPr>
        <w:pStyle w:val="NumberLevel2"/>
        <w:numPr>
          <w:ilvl w:val="1"/>
          <w:numId w:val="5"/>
        </w:numPr>
        <w:ind w:left="709" w:hanging="709"/>
        <w:rPr>
          <w:lang w:val="en-AU"/>
        </w:rPr>
      </w:pPr>
      <w:r>
        <w:rPr>
          <w:lang w:val="en-AU"/>
        </w:rPr>
        <w:t xml:space="preserve">The Commission </w:t>
      </w:r>
      <w:r w:rsidR="00362309">
        <w:rPr>
          <w:lang w:val="en-AU"/>
        </w:rPr>
        <w:t xml:space="preserve">considered </w:t>
      </w:r>
      <w:r>
        <w:rPr>
          <w:lang w:val="en-AU"/>
        </w:rPr>
        <w:t xml:space="preserve">that most of the service classifications proposed by </w:t>
      </w:r>
      <w:r w:rsidR="00F163D5">
        <w:rPr>
          <w:lang w:val="en-AU"/>
        </w:rPr>
        <w:t xml:space="preserve">PWC Networks </w:t>
      </w:r>
      <w:r w:rsidR="0036669B">
        <w:rPr>
          <w:lang w:val="en-AU"/>
        </w:rPr>
        <w:t>were</w:t>
      </w:r>
      <w:r>
        <w:rPr>
          <w:lang w:val="en-AU"/>
        </w:rPr>
        <w:t xml:space="preserve"> reasonable. The exceptions are discussed below.</w:t>
      </w:r>
    </w:p>
    <w:p w14:paraId="49D42358" w14:textId="77777777" w:rsidR="00A27183" w:rsidRPr="00F163D5" w:rsidRDefault="00A27183" w:rsidP="00F163D5">
      <w:pPr>
        <w:pStyle w:val="UtilComHeading4"/>
        <w:spacing w:before="120"/>
        <w:rPr>
          <w:b/>
          <w:i w:val="0"/>
          <w:lang w:val="en-AU"/>
        </w:rPr>
      </w:pPr>
      <w:r w:rsidRPr="00F163D5">
        <w:rPr>
          <w:b/>
          <w:i w:val="0"/>
          <w:lang w:val="en-AU"/>
        </w:rPr>
        <w:t xml:space="preserve">Above standard </w:t>
      </w:r>
      <w:r w:rsidR="002C537E" w:rsidRPr="00F163D5">
        <w:rPr>
          <w:b/>
          <w:i w:val="0"/>
          <w:lang w:val="en-AU"/>
        </w:rPr>
        <w:t xml:space="preserve">or non-standard </w:t>
      </w:r>
      <w:r w:rsidRPr="00F163D5">
        <w:rPr>
          <w:b/>
          <w:i w:val="0"/>
          <w:lang w:val="en-AU"/>
        </w:rPr>
        <w:t xml:space="preserve">connection </w:t>
      </w:r>
      <w:r w:rsidR="002C537E" w:rsidRPr="00F163D5">
        <w:rPr>
          <w:b/>
          <w:i w:val="0"/>
          <w:lang w:val="en-AU"/>
        </w:rPr>
        <w:t>services</w:t>
      </w:r>
    </w:p>
    <w:p w14:paraId="6A5CB258" w14:textId="30B6ABA7" w:rsidR="00BE238D" w:rsidRDefault="00A27183" w:rsidP="00B57C26">
      <w:pPr>
        <w:pStyle w:val="NumberLevel2"/>
        <w:numPr>
          <w:ilvl w:val="1"/>
          <w:numId w:val="5"/>
        </w:numPr>
        <w:ind w:left="709" w:hanging="709"/>
        <w:rPr>
          <w:lang w:val="en-AU"/>
        </w:rPr>
      </w:pPr>
      <w:r>
        <w:rPr>
          <w:lang w:val="en-AU"/>
        </w:rPr>
        <w:t>PWC</w:t>
      </w:r>
      <w:r w:rsidR="0059173A">
        <w:rPr>
          <w:lang w:val="en-AU"/>
        </w:rPr>
        <w:t> Networks</w:t>
      </w:r>
      <w:r>
        <w:rPr>
          <w:lang w:val="en-AU"/>
        </w:rPr>
        <w:t xml:space="preserve"> </w:t>
      </w:r>
      <w:r w:rsidR="002C537E">
        <w:rPr>
          <w:lang w:val="en-AU"/>
        </w:rPr>
        <w:t>added some additional activity descriptors to this service group:</w:t>
      </w:r>
    </w:p>
    <w:p w14:paraId="0132CFD6" w14:textId="77777777" w:rsidR="002C537E" w:rsidRPr="002C537E" w:rsidRDefault="002C537E" w:rsidP="008E229D">
      <w:pPr>
        <w:pStyle w:val="UtilComBulletText"/>
        <w:numPr>
          <w:ilvl w:val="0"/>
          <w:numId w:val="6"/>
        </w:numPr>
        <w:tabs>
          <w:tab w:val="clear" w:pos="964"/>
          <w:tab w:val="num" w:pos="1134"/>
        </w:tabs>
        <w:ind w:left="1134" w:hanging="425"/>
      </w:pPr>
      <w:r>
        <w:t>s</w:t>
      </w:r>
      <w:r w:rsidRPr="002C537E">
        <w:t>upply enhancement;</w:t>
      </w:r>
    </w:p>
    <w:p w14:paraId="155BED82" w14:textId="77777777" w:rsidR="002C537E" w:rsidRPr="002C537E" w:rsidRDefault="002C537E" w:rsidP="008E229D">
      <w:pPr>
        <w:pStyle w:val="UtilComBulletText"/>
        <w:numPr>
          <w:ilvl w:val="0"/>
          <w:numId w:val="6"/>
        </w:numPr>
        <w:tabs>
          <w:tab w:val="clear" w:pos="964"/>
          <w:tab w:val="num" w:pos="1134"/>
        </w:tabs>
        <w:ind w:left="1134" w:hanging="425"/>
      </w:pPr>
      <w:r>
        <w:t>s</w:t>
      </w:r>
      <w:r w:rsidRPr="002C537E">
        <w:t>upply abolishment; and</w:t>
      </w:r>
    </w:p>
    <w:p w14:paraId="02B34084" w14:textId="77777777" w:rsidR="002C537E" w:rsidRDefault="002C537E" w:rsidP="008E229D">
      <w:pPr>
        <w:pStyle w:val="UtilComBulletText"/>
        <w:numPr>
          <w:ilvl w:val="0"/>
          <w:numId w:val="6"/>
        </w:numPr>
        <w:tabs>
          <w:tab w:val="clear" w:pos="964"/>
          <w:tab w:val="num" w:pos="1134"/>
        </w:tabs>
        <w:ind w:left="1134" w:hanging="425"/>
      </w:pPr>
      <w:r w:rsidRPr="002C537E">
        <w:t>ancillary connection services</w:t>
      </w:r>
      <w:r>
        <w:t>, which includes:</w:t>
      </w:r>
    </w:p>
    <w:p w14:paraId="31BEADFB" w14:textId="77777777" w:rsidR="002C537E" w:rsidRDefault="002C537E" w:rsidP="008E229D">
      <w:pPr>
        <w:pStyle w:val="UtilComBulletText"/>
        <w:numPr>
          <w:ilvl w:val="1"/>
          <w:numId w:val="13"/>
        </w:numPr>
        <w:tabs>
          <w:tab w:val="clear" w:pos="1134"/>
          <w:tab w:val="left" w:pos="1560"/>
        </w:tabs>
        <w:ind w:left="1560" w:hanging="425"/>
      </w:pPr>
      <w:r>
        <w:t>responding to enquiries in relation to the provision of the non-standard connection;</w:t>
      </w:r>
    </w:p>
    <w:p w14:paraId="7B2543D9" w14:textId="77777777" w:rsidR="002C537E" w:rsidRDefault="002C537E" w:rsidP="008E229D">
      <w:pPr>
        <w:pStyle w:val="UtilComBulletText"/>
        <w:numPr>
          <w:ilvl w:val="1"/>
          <w:numId w:val="13"/>
        </w:numPr>
        <w:tabs>
          <w:tab w:val="clear" w:pos="1134"/>
          <w:tab w:val="left" w:pos="1560"/>
        </w:tabs>
        <w:ind w:left="1560" w:hanging="425"/>
      </w:pPr>
      <w:r>
        <w:t>provision of technical specifications in relating to the connection;</w:t>
      </w:r>
    </w:p>
    <w:p w14:paraId="5FA8C3DE" w14:textId="77777777" w:rsidR="002C537E" w:rsidRDefault="002C537E" w:rsidP="008E229D">
      <w:pPr>
        <w:pStyle w:val="UtilComBulletText"/>
        <w:numPr>
          <w:ilvl w:val="1"/>
          <w:numId w:val="13"/>
        </w:numPr>
        <w:tabs>
          <w:tab w:val="clear" w:pos="1134"/>
          <w:tab w:val="left" w:pos="1560"/>
        </w:tabs>
        <w:ind w:left="1560" w:hanging="425"/>
      </w:pPr>
      <w:r>
        <w:t>provision of duplicate supply; and</w:t>
      </w:r>
    </w:p>
    <w:p w14:paraId="686F109C" w14:textId="77777777" w:rsidR="002C537E" w:rsidRPr="002C537E" w:rsidRDefault="002C537E" w:rsidP="008E229D">
      <w:pPr>
        <w:pStyle w:val="UtilComBulletText"/>
        <w:numPr>
          <w:ilvl w:val="1"/>
          <w:numId w:val="13"/>
        </w:numPr>
        <w:tabs>
          <w:tab w:val="clear" w:pos="1134"/>
          <w:tab w:val="left" w:pos="1560"/>
        </w:tabs>
        <w:ind w:left="1560" w:hanging="425"/>
      </w:pPr>
      <w:r>
        <w:t xml:space="preserve">preliminary communications with networks user where more than </w:t>
      </w:r>
      <w:r w:rsidR="00B57C26">
        <w:t xml:space="preserve">six </w:t>
      </w:r>
      <w:r>
        <w:t>hours work is required.</w:t>
      </w:r>
    </w:p>
    <w:p w14:paraId="07DD1F45" w14:textId="6938DB76" w:rsidR="00592B56" w:rsidRPr="00592B56" w:rsidRDefault="00592B56" w:rsidP="00B57C26">
      <w:pPr>
        <w:pStyle w:val="NumberLevel2"/>
        <w:numPr>
          <w:ilvl w:val="1"/>
          <w:numId w:val="5"/>
        </w:numPr>
        <w:tabs>
          <w:tab w:val="num" w:pos="709"/>
        </w:tabs>
        <w:ind w:left="709" w:hanging="709"/>
        <w:rPr>
          <w:lang w:val="en-AU"/>
        </w:rPr>
      </w:pPr>
      <w:r w:rsidRPr="00592B56">
        <w:rPr>
          <w:lang w:val="en-AU"/>
        </w:rPr>
        <w:t xml:space="preserve">The Commission </w:t>
      </w:r>
      <w:r w:rsidR="00362309" w:rsidRPr="00592B56">
        <w:rPr>
          <w:lang w:val="en-AU"/>
        </w:rPr>
        <w:t>consider</w:t>
      </w:r>
      <w:r w:rsidR="00362309">
        <w:rPr>
          <w:lang w:val="en-AU"/>
        </w:rPr>
        <w:t>ed</w:t>
      </w:r>
      <w:r w:rsidR="00362309" w:rsidRPr="00592B56">
        <w:rPr>
          <w:lang w:val="en-AU"/>
        </w:rPr>
        <w:t xml:space="preserve"> </w:t>
      </w:r>
      <w:r w:rsidRPr="00592B56">
        <w:rPr>
          <w:lang w:val="en-AU"/>
        </w:rPr>
        <w:t>that supply enhancement</w:t>
      </w:r>
      <w:r w:rsidR="00647F68">
        <w:rPr>
          <w:lang w:val="en-AU"/>
        </w:rPr>
        <w:t xml:space="preserve"> was</w:t>
      </w:r>
      <w:r w:rsidRPr="00592B56">
        <w:rPr>
          <w:lang w:val="en-AU"/>
        </w:rPr>
        <w:t xml:space="preserve"> captured within the </w:t>
      </w:r>
      <w:r>
        <w:rPr>
          <w:lang w:val="en-AU"/>
        </w:rPr>
        <w:t>existing activity descriptors, as supply enhancement would constitute an above standard connection or an upgraded connection service.</w:t>
      </w:r>
    </w:p>
    <w:p w14:paraId="49055170" w14:textId="77F43CE8" w:rsidR="00592B56" w:rsidRPr="00592B56" w:rsidRDefault="00592B56" w:rsidP="00B57C26">
      <w:pPr>
        <w:pStyle w:val="NumberLevel2"/>
        <w:numPr>
          <w:ilvl w:val="1"/>
          <w:numId w:val="5"/>
        </w:numPr>
        <w:tabs>
          <w:tab w:val="num" w:pos="709"/>
        </w:tabs>
        <w:ind w:left="709" w:hanging="709"/>
        <w:rPr>
          <w:lang w:val="en-AU"/>
        </w:rPr>
      </w:pPr>
      <w:r>
        <w:rPr>
          <w:lang w:val="en-AU"/>
        </w:rPr>
        <w:t xml:space="preserve">It </w:t>
      </w:r>
      <w:r w:rsidR="00362309">
        <w:rPr>
          <w:lang w:val="en-AU"/>
        </w:rPr>
        <w:t xml:space="preserve">was </w:t>
      </w:r>
      <w:r>
        <w:rPr>
          <w:lang w:val="en-AU"/>
        </w:rPr>
        <w:t xml:space="preserve">not clear from the information provided by </w:t>
      </w:r>
      <w:r w:rsidR="0059173A">
        <w:rPr>
          <w:lang w:val="en-AU"/>
        </w:rPr>
        <w:t>PWC </w:t>
      </w:r>
      <w:r>
        <w:rPr>
          <w:lang w:val="en-AU"/>
        </w:rPr>
        <w:t>Networks that supply abolishment of an above standard, non-standard or upgraded connection would impose greater cost</w:t>
      </w:r>
      <w:r w:rsidR="00647F68">
        <w:rPr>
          <w:lang w:val="en-AU"/>
        </w:rPr>
        <w:t>s</w:t>
      </w:r>
      <w:r>
        <w:rPr>
          <w:lang w:val="en-AU"/>
        </w:rPr>
        <w:t xml:space="preserve"> on </w:t>
      </w:r>
      <w:r w:rsidR="0059173A">
        <w:rPr>
          <w:lang w:val="en-AU"/>
        </w:rPr>
        <w:t>PWC Networks</w:t>
      </w:r>
      <w:r>
        <w:rPr>
          <w:lang w:val="en-AU"/>
        </w:rPr>
        <w:t xml:space="preserve"> than supply abolishment of a standard connection. The Commission </w:t>
      </w:r>
      <w:r w:rsidR="00354ADF">
        <w:rPr>
          <w:lang w:val="en-AU"/>
        </w:rPr>
        <w:t xml:space="preserve">amended </w:t>
      </w:r>
      <w:r>
        <w:rPr>
          <w:lang w:val="en-AU"/>
        </w:rPr>
        <w:t xml:space="preserve">this descriptor to clarify that only additional costs incurred </w:t>
      </w:r>
      <w:r w:rsidR="00647F68">
        <w:rPr>
          <w:lang w:val="en-AU"/>
        </w:rPr>
        <w:t>could</w:t>
      </w:r>
      <w:r>
        <w:rPr>
          <w:lang w:val="en-AU"/>
        </w:rPr>
        <w:t xml:space="preserve"> be recovered.</w:t>
      </w:r>
    </w:p>
    <w:p w14:paraId="6C121871" w14:textId="419E60EE" w:rsidR="00196551" w:rsidRDefault="002C537E" w:rsidP="00B57C26">
      <w:pPr>
        <w:pStyle w:val="NumberLevel2"/>
        <w:numPr>
          <w:ilvl w:val="1"/>
          <w:numId w:val="5"/>
        </w:numPr>
        <w:tabs>
          <w:tab w:val="num" w:pos="709"/>
        </w:tabs>
        <w:ind w:left="709" w:hanging="709"/>
        <w:rPr>
          <w:lang w:val="en-AU"/>
        </w:rPr>
      </w:pPr>
      <w:r>
        <w:rPr>
          <w:lang w:val="en-AU"/>
        </w:rPr>
        <w:t xml:space="preserve">The Commission </w:t>
      </w:r>
      <w:r w:rsidR="00362309">
        <w:rPr>
          <w:lang w:val="en-AU"/>
        </w:rPr>
        <w:t xml:space="preserve">was </w:t>
      </w:r>
      <w:r>
        <w:rPr>
          <w:lang w:val="en-AU"/>
        </w:rPr>
        <w:t xml:space="preserve">satisfied that including ancillary connection services as described by PWC Networks </w:t>
      </w:r>
      <w:r w:rsidR="0045214C">
        <w:rPr>
          <w:lang w:val="en-AU"/>
        </w:rPr>
        <w:t xml:space="preserve">was </w:t>
      </w:r>
      <w:r>
        <w:rPr>
          <w:lang w:val="en-AU"/>
        </w:rPr>
        <w:t>reasonable.</w:t>
      </w:r>
    </w:p>
    <w:p w14:paraId="0D409054" w14:textId="77777777" w:rsidR="00246D0C" w:rsidRPr="00BD30DD" w:rsidRDefault="00246D0C" w:rsidP="00BD30DD">
      <w:pPr>
        <w:pStyle w:val="UtilComHeading4"/>
        <w:spacing w:before="120"/>
        <w:rPr>
          <w:b/>
          <w:i w:val="0"/>
          <w:lang w:val="en-AU"/>
        </w:rPr>
      </w:pPr>
      <w:r w:rsidRPr="00BD30DD">
        <w:rPr>
          <w:b/>
          <w:i w:val="0"/>
          <w:lang w:val="en-AU"/>
        </w:rPr>
        <w:t>Above standard or non-standard metering services</w:t>
      </w:r>
    </w:p>
    <w:p w14:paraId="00EDA1F0" w14:textId="264DA20C" w:rsidR="00246D0C" w:rsidRDefault="00246D0C" w:rsidP="00CA783E">
      <w:pPr>
        <w:pStyle w:val="NumberLevel2"/>
        <w:numPr>
          <w:ilvl w:val="1"/>
          <w:numId w:val="5"/>
        </w:numPr>
        <w:ind w:left="709" w:hanging="709"/>
        <w:rPr>
          <w:lang w:val="en-AU"/>
        </w:rPr>
      </w:pPr>
      <w:r>
        <w:rPr>
          <w:lang w:val="en-AU"/>
        </w:rPr>
        <w:t>PWC</w:t>
      </w:r>
      <w:r w:rsidR="0045214C">
        <w:rPr>
          <w:lang w:val="en-AU"/>
        </w:rPr>
        <w:t> Networks</w:t>
      </w:r>
      <w:r>
        <w:rPr>
          <w:lang w:val="en-AU"/>
        </w:rPr>
        <w:t xml:space="preserve"> added some additional activity descriptors to this service group</w:t>
      </w:r>
      <w:r w:rsidR="00BD30DD">
        <w:rPr>
          <w:lang w:val="en-AU"/>
        </w:rPr>
        <w:t>, notably</w:t>
      </w:r>
      <w:r>
        <w:rPr>
          <w:lang w:val="en-AU"/>
        </w:rPr>
        <w:t>:</w:t>
      </w:r>
    </w:p>
    <w:p w14:paraId="376A293D" w14:textId="77777777" w:rsidR="00246D0C" w:rsidRDefault="00246D0C" w:rsidP="008E229D">
      <w:pPr>
        <w:pStyle w:val="UtilComBulletText"/>
        <w:numPr>
          <w:ilvl w:val="0"/>
          <w:numId w:val="6"/>
        </w:numPr>
        <w:tabs>
          <w:tab w:val="clear" w:pos="964"/>
        </w:tabs>
        <w:ind w:left="1134" w:hanging="425"/>
      </w:pPr>
      <w:r w:rsidRPr="002C537E">
        <w:t xml:space="preserve">ancillary </w:t>
      </w:r>
      <w:r w:rsidR="00A47D04">
        <w:t>metering</w:t>
      </w:r>
      <w:r w:rsidRPr="002C537E">
        <w:t xml:space="preserve"> services</w:t>
      </w:r>
      <w:r>
        <w:t>, which include:</w:t>
      </w:r>
    </w:p>
    <w:p w14:paraId="7EBCD3B6" w14:textId="77777777" w:rsidR="00246D0C" w:rsidRDefault="00A47D04" w:rsidP="008E229D">
      <w:pPr>
        <w:pStyle w:val="UtilComBulletText"/>
        <w:numPr>
          <w:ilvl w:val="1"/>
          <w:numId w:val="13"/>
        </w:numPr>
        <w:tabs>
          <w:tab w:val="clear" w:pos="1134"/>
          <w:tab w:val="left" w:pos="1560"/>
        </w:tabs>
        <w:ind w:left="1560" w:hanging="426"/>
      </w:pPr>
      <w:r>
        <w:t>provision of ancillary metering or metering of a type that exceeds normal requirements of a user;</w:t>
      </w:r>
    </w:p>
    <w:p w14:paraId="2D12EE85" w14:textId="77777777" w:rsidR="00A47D04" w:rsidRDefault="00A47D04" w:rsidP="008E229D">
      <w:pPr>
        <w:pStyle w:val="UtilComBulletText"/>
        <w:numPr>
          <w:ilvl w:val="1"/>
          <w:numId w:val="13"/>
        </w:numPr>
        <w:tabs>
          <w:tab w:val="clear" w:pos="1134"/>
          <w:tab w:val="left" w:pos="1560"/>
        </w:tabs>
        <w:ind w:left="1560" w:hanging="426"/>
      </w:pPr>
      <w:r>
        <w:t>installation and commissioning of non-standard metering and associated equipment;</w:t>
      </w:r>
    </w:p>
    <w:p w14:paraId="4A553277" w14:textId="77777777" w:rsidR="00A47D04" w:rsidRDefault="00A47D04" w:rsidP="008E229D">
      <w:pPr>
        <w:pStyle w:val="UtilComBulletText"/>
        <w:numPr>
          <w:ilvl w:val="1"/>
          <w:numId w:val="13"/>
        </w:numPr>
        <w:tabs>
          <w:tab w:val="clear" w:pos="1134"/>
          <w:tab w:val="left" w:pos="1560"/>
        </w:tabs>
        <w:ind w:left="1560" w:hanging="426"/>
      </w:pPr>
      <w:r>
        <w:t>periodic testing of additional or non-standard metering equipment; and</w:t>
      </w:r>
    </w:p>
    <w:p w14:paraId="417DEA61" w14:textId="77777777" w:rsidR="00A47D04" w:rsidRDefault="00A47D04" w:rsidP="008E229D">
      <w:pPr>
        <w:pStyle w:val="UtilComBulletText"/>
        <w:numPr>
          <w:ilvl w:val="1"/>
          <w:numId w:val="13"/>
        </w:numPr>
        <w:tabs>
          <w:tab w:val="clear" w:pos="1134"/>
          <w:tab w:val="left" w:pos="1560"/>
        </w:tabs>
        <w:ind w:left="1560" w:hanging="426"/>
      </w:pPr>
      <w:r>
        <w:t>maintenance and replacement of non-standard metering assets;</w:t>
      </w:r>
    </w:p>
    <w:p w14:paraId="16955B57" w14:textId="77777777" w:rsidR="00246D0C" w:rsidRPr="002C537E" w:rsidRDefault="00246D0C" w:rsidP="008E229D">
      <w:pPr>
        <w:pStyle w:val="UtilComBulletText"/>
        <w:numPr>
          <w:ilvl w:val="0"/>
          <w:numId w:val="6"/>
        </w:numPr>
        <w:tabs>
          <w:tab w:val="clear" w:pos="964"/>
          <w:tab w:val="num" w:pos="1134"/>
        </w:tabs>
        <w:ind w:left="1134" w:hanging="425"/>
      </w:pPr>
      <w:r>
        <w:t>metering</w:t>
      </w:r>
      <w:r w:rsidRPr="002C537E">
        <w:t xml:space="preserve"> enhancement;</w:t>
      </w:r>
      <w:r>
        <w:t xml:space="preserve"> and</w:t>
      </w:r>
    </w:p>
    <w:p w14:paraId="7ADDD2BF" w14:textId="77777777" w:rsidR="00246D0C" w:rsidRPr="002C537E" w:rsidRDefault="00246D0C" w:rsidP="008E229D">
      <w:pPr>
        <w:pStyle w:val="UtilComBulletText"/>
        <w:numPr>
          <w:ilvl w:val="0"/>
          <w:numId w:val="6"/>
        </w:numPr>
        <w:tabs>
          <w:tab w:val="clear" w:pos="964"/>
          <w:tab w:val="num" w:pos="1134"/>
        </w:tabs>
        <w:ind w:left="1134" w:hanging="425"/>
      </w:pPr>
      <w:r>
        <w:t>unmetered supply services.</w:t>
      </w:r>
    </w:p>
    <w:p w14:paraId="38CF7EF8" w14:textId="73F96D10" w:rsidR="0045214C" w:rsidRDefault="00A47D04" w:rsidP="00CA783E">
      <w:pPr>
        <w:pStyle w:val="NumberLevel2"/>
        <w:numPr>
          <w:ilvl w:val="1"/>
          <w:numId w:val="5"/>
        </w:numPr>
        <w:ind w:left="709" w:hanging="709"/>
        <w:rPr>
          <w:lang w:val="en-AU"/>
        </w:rPr>
      </w:pPr>
      <w:r>
        <w:rPr>
          <w:lang w:val="en-AU"/>
        </w:rPr>
        <w:t xml:space="preserve">The ancillary metering services specified by PWC Networks </w:t>
      </w:r>
      <w:r w:rsidR="0045214C">
        <w:rPr>
          <w:lang w:val="en-AU"/>
        </w:rPr>
        <w:t xml:space="preserve">were </w:t>
      </w:r>
      <w:r>
        <w:rPr>
          <w:lang w:val="en-AU"/>
        </w:rPr>
        <w:t xml:space="preserve">the same services as those supplied in relation to standard metering. </w:t>
      </w:r>
    </w:p>
    <w:p w14:paraId="2AEAE7CB" w14:textId="569DAB69" w:rsidR="00A47D04" w:rsidRPr="00592B56" w:rsidRDefault="00A47D04" w:rsidP="00CA783E">
      <w:pPr>
        <w:pStyle w:val="NumberLevel2"/>
        <w:numPr>
          <w:ilvl w:val="1"/>
          <w:numId w:val="5"/>
        </w:numPr>
        <w:ind w:left="709" w:hanging="709"/>
        <w:rPr>
          <w:lang w:val="en-AU"/>
        </w:rPr>
      </w:pPr>
      <w:r>
        <w:rPr>
          <w:lang w:val="en-AU"/>
        </w:rPr>
        <w:t xml:space="preserve">It </w:t>
      </w:r>
      <w:r w:rsidR="00362309">
        <w:rPr>
          <w:lang w:val="en-AU"/>
        </w:rPr>
        <w:t xml:space="preserve">was </w:t>
      </w:r>
      <w:r>
        <w:rPr>
          <w:lang w:val="en-AU"/>
        </w:rPr>
        <w:t xml:space="preserve">not clear from the information provided by </w:t>
      </w:r>
      <w:r w:rsidR="0045214C">
        <w:rPr>
          <w:lang w:val="en-AU"/>
        </w:rPr>
        <w:t>PWC </w:t>
      </w:r>
      <w:r>
        <w:rPr>
          <w:lang w:val="en-AU"/>
        </w:rPr>
        <w:t xml:space="preserve">Networks that providing these services with respect to an above standard or non-standard metering service would impose greater cost on </w:t>
      </w:r>
      <w:r w:rsidR="0045214C">
        <w:rPr>
          <w:lang w:val="en-AU"/>
        </w:rPr>
        <w:t>PWC Networks</w:t>
      </w:r>
      <w:r>
        <w:rPr>
          <w:lang w:val="en-AU"/>
        </w:rPr>
        <w:t xml:space="preserve"> than for a standard connection. The Commission </w:t>
      </w:r>
      <w:r w:rsidR="00354ADF">
        <w:rPr>
          <w:lang w:val="en-AU"/>
        </w:rPr>
        <w:t xml:space="preserve">amended </w:t>
      </w:r>
      <w:r>
        <w:rPr>
          <w:lang w:val="en-AU"/>
        </w:rPr>
        <w:t xml:space="preserve">this descriptor to clarify that only additional costs incurred </w:t>
      </w:r>
      <w:r w:rsidR="00647F68">
        <w:rPr>
          <w:lang w:val="en-AU"/>
        </w:rPr>
        <w:t xml:space="preserve">could </w:t>
      </w:r>
      <w:r>
        <w:rPr>
          <w:lang w:val="en-AU"/>
        </w:rPr>
        <w:t>be recovered.</w:t>
      </w:r>
    </w:p>
    <w:p w14:paraId="10CB1AB6" w14:textId="65D5EF23" w:rsidR="00A47D04" w:rsidRPr="00592B56" w:rsidRDefault="00A47D04" w:rsidP="00CA783E">
      <w:pPr>
        <w:pStyle w:val="NumberLevel2"/>
        <w:numPr>
          <w:ilvl w:val="1"/>
          <w:numId w:val="5"/>
        </w:numPr>
        <w:tabs>
          <w:tab w:val="num" w:pos="709"/>
        </w:tabs>
        <w:ind w:left="709" w:hanging="709"/>
        <w:rPr>
          <w:lang w:val="en-AU"/>
        </w:rPr>
      </w:pPr>
      <w:r w:rsidRPr="00592B56">
        <w:rPr>
          <w:lang w:val="en-AU"/>
        </w:rPr>
        <w:t xml:space="preserve">The Commission </w:t>
      </w:r>
      <w:r w:rsidR="00362309" w:rsidRPr="00592B56">
        <w:rPr>
          <w:lang w:val="en-AU"/>
        </w:rPr>
        <w:t>consider</w:t>
      </w:r>
      <w:r w:rsidR="00362309">
        <w:rPr>
          <w:lang w:val="en-AU"/>
        </w:rPr>
        <w:t>ed</w:t>
      </w:r>
      <w:r w:rsidR="00362309" w:rsidRPr="00592B56">
        <w:rPr>
          <w:lang w:val="en-AU"/>
        </w:rPr>
        <w:t xml:space="preserve"> </w:t>
      </w:r>
      <w:r w:rsidRPr="00592B56">
        <w:rPr>
          <w:lang w:val="en-AU"/>
        </w:rPr>
        <w:t xml:space="preserve">that </w:t>
      </w:r>
      <w:r>
        <w:rPr>
          <w:lang w:val="en-AU"/>
        </w:rPr>
        <w:t>metering</w:t>
      </w:r>
      <w:r w:rsidRPr="00592B56">
        <w:rPr>
          <w:lang w:val="en-AU"/>
        </w:rPr>
        <w:t xml:space="preserve"> enha</w:t>
      </w:r>
      <w:r w:rsidR="00647F68">
        <w:rPr>
          <w:lang w:val="en-AU"/>
        </w:rPr>
        <w:t>ncement was</w:t>
      </w:r>
      <w:r w:rsidRPr="00592B56">
        <w:rPr>
          <w:lang w:val="en-AU"/>
        </w:rPr>
        <w:t xml:space="preserve"> captured within the </w:t>
      </w:r>
      <w:r>
        <w:rPr>
          <w:lang w:val="en-AU"/>
        </w:rPr>
        <w:t>existing activity descriptors, as metering enhancement would constitute an above standard connection or an upgraded metering service.</w:t>
      </w:r>
    </w:p>
    <w:p w14:paraId="5ACC61ED" w14:textId="77777777" w:rsidR="001B5A73" w:rsidRPr="00BD30DD" w:rsidRDefault="001B5A73" w:rsidP="00BD30DD">
      <w:pPr>
        <w:pStyle w:val="UtilComHeading4"/>
        <w:spacing w:before="120"/>
        <w:rPr>
          <w:b/>
          <w:i w:val="0"/>
          <w:lang w:val="en-AU"/>
        </w:rPr>
      </w:pPr>
      <w:r w:rsidRPr="00BD30DD">
        <w:rPr>
          <w:b/>
          <w:i w:val="0"/>
          <w:lang w:val="en-AU"/>
        </w:rPr>
        <w:t>Equipment rental charges for non-network purposes</w:t>
      </w:r>
    </w:p>
    <w:p w14:paraId="6DD5A892" w14:textId="3445408C" w:rsidR="00BE238D" w:rsidRDefault="001B5A73" w:rsidP="00CA783E">
      <w:pPr>
        <w:pStyle w:val="NumberLevel2"/>
        <w:numPr>
          <w:ilvl w:val="1"/>
          <w:numId w:val="5"/>
        </w:numPr>
        <w:tabs>
          <w:tab w:val="num" w:pos="709"/>
        </w:tabs>
        <w:ind w:left="709" w:hanging="709"/>
        <w:rPr>
          <w:lang w:val="en-AU"/>
        </w:rPr>
      </w:pPr>
      <w:r>
        <w:rPr>
          <w:lang w:val="en-AU"/>
        </w:rPr>
        <w:t xml:space="preserve">PWC Networks proposed a new </w:t>
      </w:r>
      <w:r w:rsidR="00CF42C9">
        <w:rPr>
          <w:lang w:val="en-AU"/>
        </w:rPr>
        <w:t xml:space="preserve">excluded </w:t>
      </w:r>
      <w:r w:rsidR="0045214C">
        <w:rPr>
          <w:lang w:val="en-AU"/>
        </w:rPr>
        <w:t xml:space="preserve">network access </w:t>
      </w:r>
      <w:r w:rsidR="00CF42C9">
        <w:rPr>
          <w:lang w:val="en-AU"/>
        </w:rPr>
        <w:t xml:space="preserve">service </w:t>
      </w:r>
      <w:r>
        <w:rPr>
          <w:lang w:val="en-AU"/>
        </w:rPr>
        <w:t>for equipment rental charges for non-network purposes. This would include use of PWC Networks poles</w:t>
      </w:r>
      <w:r w:rsidR="00910A3B">
        <w:rPr>
          <w:lang w:val="en-AU"/>
        </w:rPr>
        <w:t xml:space="preserve"> or other conduits by communications or other services.</w:t>
      </w:r>
    </w:p>
    <w:p w14:paraId="38B0E353" w14:textId="656975A1" w:rsidR="00246D0C" w:rsidRDefault="00910A3B" w:rsidP="00CA783E">
      <w:pPr>
        <w:pStyle w:val="NumberLevel2"/>
        <w:numPr>
          <w:ilvl w:val="1"/>
          <w:numId w:val="5"/>
        </w:numPr>
        <w:tabs>
          <w:tab w:val="num" w:pos="709"/>
        </w:tabs>
        <w:ind w:left="709" w:hanging="709"/>
        <w:rPr>
          <w:lang w:val="en-AU"/>
        </w:rPr>
      </w:pPr>
      <w:r>
        <w:rPr>
          <w:lang w:val="en-AU"/>
        </w:rPr>
        <w:t xml:space="preserve">As this service is not a network service, the Commission </w:t>
      </w:r>
      <w:r w:rsidR="00362309">
        <w:rPr>
          <w:lang w:val="en-AU"/>
        </w:rPr>
        <w:t xml:space="preserve">considered </w:t>
      </w:r>
      <w:r>
        <w:rPr>
          <w:lang w:val="en-AU"/>
        </w:rPr>
        <w:t xml:space="preserve">that </w:t>
      </w:r>
      <w:r w:rsidR="0045214C">
        <w:rPr>
          <w:lang w:val="en-AU"/>
        </w:rPr>
        <w:t xml:space="preserve">it </w:t>
      </w:r>
      <w:r>
        <w:rPr>
          <w:lang w:val="en-AU"/>
        </w:rPr>
        <w:t xml:space="preserve">should be classified as an excluded </w:t>
      </w:r>
      <w:r w:rsidR="0045214C">
        <w:rPr>
          <w:lang w:val="en-AU"/>
        </w:rPr>
        <w:t xml:space="preserve">network access </w:t>
      </w:r>
      <w:r>
        <w:rPr>
          <w:lang w:val="en-AU"/>
        </w:rPr>
        <w:t xml:space="preserve">service under clause 72(2) of the </w:t>
      </w:r>
      <w:r w:rsidR="00FB2EC5">
        <w:rPr>
          <w:lang w:val="en-AU"/>
        </w:rPr>
        <w:t>Network Access Code</w:t>
      </w:r>
      <w:r>
        <w:rPr>
          <w:lang w:val="en-AU"/>
        </w:rPr>
        <w:t xml:space="preserve">. </w:t>
      </w:r>
    </w:p>
    <w:p w14:paraId="750DAB69" w14:textId="77777777" w:rsidR="00910A3B" w:rsidRPr="00BD30DD" w:rsidRDefault="00910A3B" w:rsidP="00BD30DD">
      <w:pPr>
        <w:pStyle w:val="UtilComHeading4"/>
        <w:spacing w:before="120"/>
        <w:rPr>
          <w:b/>
          <w:i w:val="0"/>
          <w:lang w:val="en-AU"/>
        </w:rPr>
      </w:pPr>
      <w:r w:rsidRPr="00BD30DD">
        <w:rPr>
          <w:b/>
          <w:i w:val="0"/>
          <w:lang w:val="en-AU"/>
        </w:rPr>
        <w:t>Connection point services</w:t>
      </w:r>
    </w:p>
    <w:p w14:paraId="2875C731" w14:textId="2F5C7014" w:rsidR="00CA1D34" w:rsidRDefault="00CA1D34" w:rsidP="00CA783E">
      <w:pPr>
        <w:pStyle w:val="NumberLevel2"/>
        <w:numPr>
          <w:ilvl w:val="1"/>
          <w:numId w:val="5"/>
        </w:numPr>
        <w:tabs>
          <w:tab w:val="num" w:pos="709"/>
        </w:tabs>
        <w:ind w:left="709" w:hanging="709"/>
        <w:rPr>
          <w:lang w:val="en-AU"/>
        </w:rPr>
      </w:pPr>
      <w:r>
        <w:rPr>
          <w:lang w:val="en-AU"/>
        </w:rPr>
        <w:t xml:space="preserve">PWC Networks proposed a new </w:t>
      </w:r>
      <w:r w:rsidR="00CF42C9">
        <w:rPr>
          <w:lang w:val="en-AU"/>
        </w:rPr>
        <w:t xml:space="preserve">excluded </w:t>
      </w:r>
      <w:r w:rsidR="0045214C">
        <w:rPr>
          <w:lang w:val="en-AU"/>
        </w:rPr>
        <w:t xml:space="preserve">network access </w:t>
      </w:r>
      <w:r w:rsidR="00CF42C9">
        <w:rPr>
          <w:lang w:val="en-AU"/>
        </w:rPr>
        <w:t xml:space="preserve">service </w:t>
      </w:r>
      <w:r w:rsidRPr="00105589">
        <w:rPr>
          <w:lang w:val="en-AU"/>
        </w:rPr>
        <w:t xml:space="preserve">for </w:t>
      </w:r>
      <w:r>
        <w:rPr>
          <w:lang w:val="en-AU"/>
        </w:rPr>
        <w:t>connection point services associated with:</w:t>
      </w:r>
    </w:p>
    <w:p w14:paraId="496779CB" w14:textId="08446E49" w:rsidR="00CA1D34" w:rsidRPr="00CA1D34" w:rsidRDefault="00CA1D34" w:rsidP="008E229D">
      <w:pPr>
        <w:pStyle w:val="UtilComBulletText"/>
        <w:numPr>
          <w:ilvl w:val="0"/>
          <w:numId w:val="6"/>
        </w:numPr>
        <w:tabs>
          <w:tab w:val="clear" w:pos="964"/>
          <w:tab w:val="num" w:pos="1134"/>
        </w:tabs>
        <w:ind w:left="1134" w:hanging="425"/>
      </w:pPr>
      <w:r w:rsidRPr="00CA1D34">
        <w:t xml:space="preserve">non-compliance of a network </w:t>
      </w:r>
      <w:r w:rsidR="0045214C">
        <w:t xml:space="preserve">user </w:t>
      </w:r>
      <w:r w:rsidRPr="00CA1D34">
        <w:t>with the connection agreement; and</w:t>
      </w:r>
    </w:p>
    <w:p w14:paraId="21B8362B" w14:textId="3329D88A" w:rsidR="00CA1D34" w:rsidRPr="00CA1D34" w:rsidRDefault="00CA1D34" w:rsidP="008E229D">
      <w:pPr>
        <w:pStyle w:val="UtilComBulletText"/>
        <w:numPr>
          <w:ilvl w:val="0"/>
          <w:numId w:val="6"/>
        </w:numPr>
        <w:tabs>
          <w:tab w:val="clear" w:pos="964"/>
          <w:tab w:val="num" w:pos="1134"/>
        </w:tabs>
        <w:ind w:left="1134" w:hanging="425"/>
      </w:pPr>
      <w:r w:rsidRPr="00CA1D34">
        <w:t>services or extension</w:t>
      </w:r>
      <w:r w:rsidR="0045214C">
        <w:t>s</w:t>
      </w:r>
      <w:r w:rsidRPr="00CA1D34">
        <w:t xml:space="preserve"> required to connect a </w:t>
      </w:r>
      <w:r w:rsidR="0045214C">
        <w:t>network user</w:t>
      </w:r>
      <w:r w:rsidRPr="00CA1D34">
        <w:t xml:space="preserve"> and meet the requirements of the Network Technical Code.</w:t>
      </w:r>
    </w:p>
    <w:p w14:paraId="3302C5CC" w14:textId="77777777" w:rsidR="00CA1D34" w:rsidRDefault="002D4F09" w:rsidP="00CA783E">
      <w:pPr>
        <w:pStyle w:val="NumberLevel2"/>
        <w:numPr>
          <w:ilvl w:val="1"/>
          <w:numId w:val="5"/>
        </w:numPr>
        <w:tabs>
          <w:tab w:val="num" w:pos="709"/>
        </w:tabs>
        <w:ind w:left="709" w:hanging="709"/>
        <w:rPr>
          <w:lang w:val="en-AU"/>
        </w:rPr>
      </w:pPr>
      <w:r>
        <w:rPr>
          <w:lang w:val="en-AU"/>
        </w:rPr>
        <w:t>Recouping of costs arising from a network user’s non-compliance with contractual arrangements should be dealt with as part of those contractual arrangements.</w:t>
      </w:r>
    </w:p>
    <w:p w14:paraId="0C6AE31A" w14:textId="5C95BFDF" w:rsidR="002D4F09" w:rsidRPr="00592B56" w:rsidRDefault="002D4F09" w:rsidP="00CB1056">
      <w:pPr>
        <w:pStyle w:val="NumberLevel2"/>
        <w:numPr>
          <w:ilvl w:val="1"/>
          <w:numId w:val="5"/>
        </w:numPr>
        <w:tabs>
          <w:tab w:val="num" w:pos="709"/>
        </w:tabs>
        <w:ind w:left="709" w:hanging="709"/>
        <w:rPr>
          <w:lang w:val="en-AU"/>
        </w:rPr>
      </w:pPr>
      <w:r w:rsidRPr="00592B56">
        <w:rPr>
          <w:lang w:val="en-AU"/>
        </w:rPr>
        <w:t xml:space="preserve">The Commission </w:t>
      </w:r>
      <w:r w:rsidR="00362309" w:rsidRPr="00592B56">
        <w:rPr>
          <w:lang w:val="en-AU"/>
        </w:rPr>
        <w:t>consider</w:t>
      </w:r>
      <w:r w:rsidR="00362309">
        <w:rPr>
          <w:lang w:val="en-AU"/>
        </w:rPr>
        <w:t>ed</w:t>
      </w:r>
      <w:r w:rsidR="00362309" w:rsidRPr="00592B56">
        <w:rPr>
          <w:lang w:val="en-AU"/>
        </w:rPr>
        <w:t xml:space="preserve"> </w:t>
      </w:r>
      <w:r w:rsidRPr="00592B56">
        <w:rPr>
          <w:lang w:val="en-AU"/>
        </w:rPr>
        <w:t xml:space="preserve">that </w:t>
      </w:r>
      <w:r>
        <w:rPr>
          <w:lang w:val="en-AU"/>
        </w:rPr>
        <w:t xml:space="preserve">services or </w:t>
      </w:r>
      <w:r w:rsidR="0045214C">
        <w:rPr>
          <w:lang w:val="en-AU"/>
        </w:rPr>
        <w:t>extensions required</w:t>
      </w:r>
      <w:r>
        <w:rPr>
          <w:lang w:val="en-AU"/>
        </w:rPr>
        <w:t xml:space="preserve"> to connect a </w:t>
      </w:r>
      <w:r w:rsidR="0045214C">
        <w:rPr>
          <w:lang w:val="en-AU"/>
        </w:rPr>
        <w:t>network user</w:t>
      </w:r>
      <w:r>
        <w:rPr>
          <w:lang w:val="en-AU"/>
        </w:rPr>
        <w:t xml:space="preserve"> </w:t>
      </w:r>
      <w:r w:rsidR="00647F68">
        <w:rPr>
          <w:lang w:val="en-AU"/>
        </w:rPr>
        <w:t>were</w:t>
      </w:r>
      <w:r>
        <w:rPr>
          <w:lang w:val="en-AU"/>
        </w:rPr>
        <w:t xml:space="preserve"> captured as part of the standard connection service </w:t>
      </w:r>
      <w:r w:rsidR="0045214C">
        <w:rPr>
          <w:lang w:val="en-AU"/>
        </w:rPr>
        <w:t xml:space="preserve">(that is, a regulated network access service) </w:t>
      </w:r>
      <w:r>
        <w:rPr>
          <w:lang w:val="en-AU"/>
        </w:rPr>
        <w:t>or an above standard connection or an upgraded connection service</w:t>
      </w:r>
      <w:r w:rsidR="0045214C">
        <w:rPr>
          <w:lang w:val="en-AU"/>
        </w:rPr>
        <w:t xml:space="preserve"> (that is, an excluded network access service)</w:t>
      </w:r>
      <w:r>
        <w:rPr>
          <w:lang w:val="en-AU"/>
        </w:rPr>
        <w:t>.</w:t>
      </w:r>
    </w:p>
    <w:p w14:paraId="7B971490" w14:textId="7F065CA9" w:rsidR="00CA1D34" w:rsidRDefault="002D4F09" w:rsidP="00CB1056">
      <w:pPr>
        <w:pStyle w:val="NumberLevel2"/>
        <w:numPr>
          <w:ilvl w:val="1"/>
          <w:numId w:val="5"/>
        </w:numPr>
        <w:tabs>
          <w:tab w:val="num" w:pos="709"/>
        </w:tabs>
        <w:ind w:left="709" w:hanging="709"/>
        <w:rPr>
          <w:lang w:val="en-AU"/>
        </w:rPr>
      </w:pPr>
      <w:r>
        <w:rPr>
          <w:lang w:val="en-AU"/>
        </w:rPr>
        <w:t xml:space="preserve">The Commission </w:t>
      </w:r>
      <w:r w:rsidR="00362309">
        <w:rPr>
          <w:lang w:val="en-AU"/>
        </w:rPr>
        <w:t xml:space="preserve">did </w:t>
      </w:r>
      <w:r>
        <w:rPr>
          <w:lang w:val="en-AU"/>
        </w:rPr>
        <w:t xml:space="preserve">not consider that connection point services should be included as a </w:t>
      </w:r>
      <w:r w:rsidR="004223B2">
        <w:rPr>
          <w:lang w:val="en-AU"/>
        </w:rPr>
        <w:t xml:space="preserve">separate excluded </w:t>
      </w:r>
      <w:r w:rsidR="0045214C">
        <w:rPr>
          <w:lang w:val="en-AU"/>
        </w:rPr>
        <w:t xml:space="preserve">network access </w:t>
      </w:r>
      <w:r w:rsidR="004223B2">
        <w:rPr>
          <w:lang w:val="en-AU"/>
        </w:rPr>
        <w:t>service</w:t>
      </w:r>
      <w:r>
        <w:rPr>
          <w:lang w:val="en-AU"/>
        </w:rPr>
        <w:t>.</w:t>
      </w:r>
    </w:p>
    <w:p w14:paraId="6DFCDA63" w14:textId="77777777" w:rsidR="002D4F09" w:rsidRPr="00BD30DD" w:rsidRDefault="002D4F09" w:rsidP="00BD30DD">
      <w:pPr>
        <w:pStyle w:val="UtilComHeading4"/>
        <w:spacing w:before="120"/>
        <w:rPr>
          <w:b/>
          <w:i w:val="0"/>
          <w:lang w:val="en-AU"/>
        </w:rPr>
      </w:pPr>
      <w:r w:rsidRPr="00BD30DD">
        <w:rPr>
          <w:b/>
          <w:i w:val="0"/>
          <w:lang w:val="en-AU"/>
        </w:rPr>
        <w:t>Investigation and testing services</w:t>
      </w:r>
    </w:p>
    <w:p w14:paraId="1852EE65" w14:textId="58A0807E" w:rsidR="00CA1D34" w:rsidRPr="00CA1D34" w:rsidRDefault="006056C8" w:rsidP="00CB1056">
      <w:pPr>
        <w:pStyle w:val="NumberLevel2"/>
        <w:numPr>
          <w:ilvl w:val="1"/>
          <w:numId w:val="5"/>
        </w:numPr>
        <w:tabs>
          <w:tab w:val="num" w:pos="709"/>
        </w:tabs>
        <w:ind w:left="709" w:hanging="709"/>
        <w:rPr>
          <w:lang w:val="en-AU"/>
        </w:rPr>
      </w:pPr>
      <w:r w:rsidRPr="006056C8">
        <w:rPr>
          <w:lang w:val="en-AU"/>
        </w:rPr>
        <w:t xml:space="preserve">PWC Networks proposed a new </w:t>
      </w:r>
      <w:r w:rsidR="00CF42C9">
        <w:rPr>
          <w:lang w:val="en-AU"/>
        </w:rPr>
        <w:t xml:space="preserve">excluded </w:t>
      </w:r>
      <w:r w:rsidR="00AE38B3">
        <w:rPr>
          <w:lang w:val="en-AU"/>
        </w:rPr>
        <w:t xml:space="preserve">network access </w:t>
      </w:r>
      <w:r w:rsidR="00CF42C9">
        <w:rPr>
          <w:lang w:val="en-AU"/>
        </w:rPr>
        <w:t xml:space="preserve">service </w:t>
      </w:r>
      <w:r w:rsidRPr="006056C8">
        <w:rPr>
          <w:lang w:val="en-AU"/>
        </w:rPr>
        <w:t xml:space="preserve">to make specialised test equipment and trained staff available as a service to </w:t>
      </w:r>
      <w:r w:rsidR="00AE38B3">
        <w:rPr>
          <w:lang w:val="en-AU"/>
        </w:rPr>
        <w:t xml:space="preserve">retail </w:t>
      </w:r>
      <w:r w:rsidRPr="006056C8">
        <w:rPr>
          <w:lang w:val="en-AU"/>
        </w:rPr>
        <w:t>customers to rent or for in</w:t>
      </w:r>
      <w:r w:rsidR="00BD30DD">
        <w:rPr>
          <w:lang w:val="en-AU"/>
        </w:rPr>
        <w:noBreakHyphen/>
      </w:r>
      <w:r w:rsidRPr="006056C8">
        <w:rPr>
          <w:lang w:val="en-AU"/>
        </w:rPr>
        <w:t>house</w:t>
      </w:r>
      <w:r>
        <w:rPr>
          <w:lang w:val="en-AU"/>
        </w:rPr>
        <w:t xml:space="preserve"> </w:t>
      </w:r>
      <w:r w:rsidRPr="006056C8">
        <w:rPr>
          <w:lang w:val="en-AU"/>
        </w:rPr>
        <w:t xml:space="preserve">electrical testing and investigation, as required by </w:t>
      </w:r>
      <w:r w:rsidR="00AE38B3">
        <w:rPr>
          <w:lang w:val="en-AU"/>
        </w:rPr>
        <w:t xml:space="preserve">retail </w:t>
      </w:r>
      <w:r w:rsidRPr="006056C8">
        <w:rPr>
          <w:lang w:val="en-AU"/>
        </w:rPr>
        <w:t xml:space="preserve">customers. </w:t>
      </w:r>
      <w:r w:rsidR="0093030E">
        <w:rPr>
          <w:lang w:val="en-AU"/>
        </w:rPr>
        <w:t>Provision of e</w:t>
      </w:r>
      <w:r w:rsidR="0093030E" w:rsidRPr="0093030E">
        <w:rPr>
          <w:lang w:val="en-AU"/>
        </w:rPr>
        <w:t xml:space="preserve">quipment and/or personnel would be </w:t>
      </w:r>
      <w:r w:rsidR="0093030E">
        <w:rPr>
          <w:lang w:val="en-AU"/>
        </w:rPr>
        <w:t>on an ‘as available’ basis when not needed in relation to the provision of regulated network access services.</w:t>
      </w:r>
    </w:p>
    <w:p w14:paraId="409057DB" w14:textId="206E3F96" w:rsidR="006056C8" w:rsidRPr="006056C8" w:rsidRDefault="006056C8" w:rsidP="00CB1056">
      <w:pPr>
        <w:pStyle w:val="NumberLevel2"/>
        <w:numPr>
          <w:ilvl w:val="1"/>
          <w:numId w:val="5"/>
        </w:numPr>
        <w:tabs>
          <w:tab w:val="num" w:pos="709"/>
        </w:tabs>
        <w:ind w:left="709" w:hanging="709"/>
        <w:rPr>
          <w:lang w:val="en-AU"/>
        </w:rPr>
      </w:pPr>
      <w:r w:rsidRPr="006056C8">
        <w:rPr>
          <w:lang w:val="en-AU"/>
        </w:rPr>
        <w:t xml:space="preserve">As this service is not a network </w:t>
      </w:r>
      <w:r w:rsidR="00AE38B3">
        <w:rPr>
          <w:lang w:val="en-AU"/>
        </w:rPr>
        <w:t xml:space="preserve">access </w:t>
      </w:r>
      <w:r w:rsidRPr="006056C8">
        <w:rPr>
          <w:lang w:val="en-AU"/>
        </w:rPr>
        <w:t xml:space="preserve">service, the Commission </w:t>
      </w:r>
      <w:r w:rsidR="00362309" w:rsidRPr="006056C8">
        <w:rPr>
          <w:lang w:val="en-AU"/>
        </w:rPr>
        <w:t>consider</w:t>
      </w:r>
      <w:r w:rsidR="00362309">
        <w:rPr>
          <w:lang w:val="en-AU"/>
        </w:rPr>
        <w:t>ed</w:t>
      </w:r>
      <w:r w:rsidR="00362309" w:rsidRPr="006056C8">
        <w:rPr>
          <w:lang w:val="en-AU"/>
        </w:rPr>
        <w:t xml:space="preserve"> </w:t>
      </w:r>
      <w:r w:rsidRPr="006056C8">
        <w:rPr>
          <w:lang w:val="en-AU"/>
        </w:rPr>
        <w:t xml:space="preserve">that this should be classified as an excluded </w:t>
      </w:r>
      <w:r w:rsidR="00AE38B3">
        <w:rPr>
          <w:lang w:val="en-AU"/>
        </w:rPr>
        <w:t xml:space="preserve">network access </w:t>
      </w:r>
      <w:r w:rsidRPr="006056C8">
        <w:rPr>
          <w:lang w:val="en-AU"/>
        </w:rPr>
        <w:t>service under clause</w:t>
      </w:r>
      <w:r w:rsidR="00CB1056">
        <w:rPr>
          <w:lang w:val="en-AU"/>
        </w:rPr>
        <w:t> </w:t>
      </w:r>
      <w:r w:rsidRPr="006056C8">
        <w:rPr>
          <w:lang w:val="en-AU"/>
        </w:rPr>
        <w:t>72(2)</w:t>
      </w:r>
      <w:r w:rsidR="00CB1056">
        <w:rPr>
          <w:lang w:val="en-AU"/>
        </w:rPr>
        <w:t> </w:t>
      </w:r>
      <w:r w:rsidRPr="006056C8">
        <w:rPr>
          <w:lang w:val="en-AU"/>
        </w:rPr>
        <w:t xml:space="preserve">of the </w:t>
      </w:r>
      <w:r w:rsidR="00FB2EC5">
        <w:rPr>
          <w:lang w:val="en-AU"/>
        </w:rPr>
        <w:t>Network Access Code</w:t>
      </w:r>
      <w:r w:rsidRPr="006056C8">
        <w:rPr>
          <w:lang w:val="en-AU"/>
        </w:rPr>
        <w:t xml:space="preserve">. </w:t>
      </w:r>
    </w:p>
    <w:p w14:paraId="7C874B1D" w14:textId="77777777" w:rsidR="00A36CDD" w:rsidRPr="00BD30DD" w:rsidRDefault="00A36CDD" w:rsidP="00BD30DD">
      <w:pPr>
        <w:pStyle w:val="UtilComHeading4"/>
        <w:spacing w:before="120"/>
        <w:rPr>
          <w:b/>
          <w:i w:val="0"/>
          <w:lang w:val="en-AU"/>
        </w:rPr>
      </w:pPr>
      <w:r w:rsidRPr="00BD30DD">
        <w:rPr>
          <w:b/>
          <w:i w:val="0"/>
          <w:lang w:val="en-AU"/>
        </w:rPr>
        <w:t>Provision of non-standard street light assets</w:t>
      </w:r>
    </w:p>
    <w:p w14:paraId="6D59A094" w14:textId="77EEADB1" w:rsidR="00A36CDD" w:rsidRPr="00CA1D34" w:rsidRDefault="00A36CDD" w:rsidP="00CB1056">
      <w:pPr>
        <w:pStyle w:val="NumberLevel2"/>
        <w:numPr>
          <w:ilvl w:val="1"/>
          <w:numId w:val="5"/>
        </w:numPr>
        <w:tabs>
          <w:tab w:val="num" w:pos="709"/>
        </w:tabs>
        <w:ind w:left="709" w:hanging="709"/>
        <w:rPr>
          <w:lang w:val="en-AU"/>
        </w:rPr>
      </w:pPr>
      <w:r w:rsidRPr="006056C8">
        <w:rPr>
          <w:lang w:val="en-AU"/>
        </w:rPr>
        <w:t xml:space="preserve">PWC Networks proposed a new </w:t>
      </w:r>
      <w:r w:rsidR="00E00F2C">
        <w:rPr>
          <w:lang w:val="en-AU"/>
        </w:rPr>
        <w:t xml:space="preserve">excluded </w:t>
      </w:r>
      <w:r w:rsidR="00AE38B3">
        <w:rPr>
          <w:lang w:val="en-AU"/>
        </w:rPr>
        <w:t xml:space="preserve">network access </w:t>
      </w:r>
      <w:r w:rsidR="00E00F2C">
        <w:rPr>
          <w:lang w:val="en-AU"/>
        </w:rPr>
        <w:t xml:space="preserve">service </w:t>
      </w:r>
      <w:r>
        <w:rPr>
          <w:lang w:val="en-AU"/>
        </w:rPr>
        <w:t>for the provision of non</w:t>
      </w:r>
      <w:r w:rsidR="00BD30DD">
        <w:rPr>
          <w:lang w:val="en-AU"/>
        </w:rPr>
        <w:noBreakHyphen/>
      </w:r>
      <w:r>
        <w:rPr>
          <w:lang w:val="en-AU"/>
        </w:rPr>
        <w:t>standard street</w:t>
      </w:r>
      <w:r w:rsidR="00647F68">
        <w:rPr>
          <w:lang w:val="en-AU"/>
        </w:rPr>
        <w:t xml:space="preserve"> </w:t>
      </w:r>
      <w:r>
        <w:rPr>
          <w:lang w:val="en-AU"/>
        </w:rPr>
        <w:t>light services</w:t>
      </w:r>
      <w:r w:rsidRPr="006056C8">
        <w:rPr>
          <w:lang w:val="en-AU"/>
        </w:rPr>
        <w:t xml:space="preserve">. </w:t>
      </w:r>
      <w:r>
        <w:rPr>
          <w:lang w:val="en-AU"/>
        </w:rPr>
        <w:t xml:space="preserve">This </w:t>
      </w:r>
      <w:r w:rsidR="00AE38B3">
        <w:rPr>
          <w:lang w:val="en-AU"/>
        </w:rPr>
        <w:t xml:space="preserve">was proposed to be </w:t>
      </w:r>
      <w:r>
        <w:rPr>
          <w:lang w:val="en-AU"/>
        </w:rPr>
        <w:t xml:space="preserve">a quoted service for non-standard street lights, with a fee-based </w:t>
      </w:r>
      <w:r w:rsidR="00E00F2C">
        <w:rPr>
          <w:lang w:val="en-AU"/>
        </w:rPr>
        <w:t xml:space="preserve">excluded </w:t>
      </w:r>
      <w:r w:rsidR="00AE38B3">
        <w:rPr>
          <w:lang w:val="en-AU"/>
        </w:rPr>
        <w:t xml:space="preserve">network access </w:t>
      </w:r>
      <w:r w:rsidR="00E00F2C">
        <w:rPr>
          <w:lang w:val="en-AU"/>
        </w:rPr>
        <w:t xml:space="preserve">service </w:t>
      </w:r>
      <w:r>
        <w:rPr>
          <w:lang w:val="en-AU"/>
        </w:rPr>
        <w:t xml:space="preserve">proposed for </w:t>
      </w:r>
      <w:r w:rsidR="007A0E26">
        <w:rPr>
          <w:lang w:val="en-AU"/>
        </w:rPr>
        <w:t xml:space="preserve">the provision, construction and maintenance of </w:t>
      </w:r>
      <w:r>
        <w:rPr>
          <w:lang w:val="en-AU"/>
        </w:rPr>
        <w:t>standard street lights.</w:t>
      </w:r>
    </w:p>
    <w:p w14:paraId="2783E34B" w14:textId="0ADE5F63" w:rsidR="00AE38B3" w:rsidRDefault="007A0E26" w:rsidP="00CB1056">
      <w:pPr>
        <w:pStyle w:val="NumberLevel2"/>
        <w:numPr>
          <w:ilvl w:val="1"/>
          <w:numId w:val="5"/>
        </w:numPr>
        <w:tabs>
          <w:tab w:val="num" w:pos="709"/>
        </w:tabs>
        <w:ind w:left="709" w:hanging="709"/>
        <w:rPr>
          <w:lang w:val="en-AU"/>
        </w:rPr>
      </w:pPr>
      <w:r>
        <w:rPr>
          <w:lang w:val="en-AU"/>
        </w:rPr>
        <w:t xml:space="preserve">As discussed above, distinguishing between </w:t>
      </w:r>
      <w:r w:rsidR="00E00F2C">
        <w:rPr>
          <w:lang w:val="en-AU"/>
        </w:rPr>
        <w:t xml:space="preserve">excluded </w:t>
      </w:r>
      <w:r w:rsidR="00AE38B3">
        <w:rPr>
          <w:lang w:val="en-AU"/>
        </w:rPr>
        <w:t xml:space="preserve">network access </w:t>
      </w:r>
      <w:r w:rsidR="00E00F2C">
        <w:rPr>
          <w:lang w:val="en-AU"/>
        </w:rPr>
        <w:t xml:space="preserve">services </w:t>
      </w:r>
      <w:r w:rsidRPr="007A0E26">
        <w:rPr>
          <w:lang w:val="en-AU"/>
        </w:rPr>
        <w:t>which are provided based on a schedule of fees and those which are provided on a quoted basis</w:t>
      </w:r>
      <w:r>
        <w:rPr>
          <w:lang w:val="en-AU"/>
        </w:rPr>
        <w:t xml:space="preserve"> is not required for the purposes of determining excluded network access services under the </w:t>
      </w:r>
      <w:r w:rsidR="00FB2EC5">
        <w:rPr>
          <w:lang w:val="en-AU"/>
        </w:rPr>
        <w:t>Network Access Code</w:t>
      </w:r>
      <w:r>
        <w:rPr>
          <w:lang w:val="en-AU"/>
        </w:rPr>
        <w:t xml:space="preserve">. </w:t>
      </w:r>
    </w:p>
    <w:p w14:paraId="22723026" w14:textId="0FFE05B3" w:rsidR="00CA1D34" w:rsidRDefault="007A0E26" w:rsidP="00CB1056">
      <w:pPr>
        <w:pStyle w:val="NumberLevel2"/>
        <w:numPr>
          <w:ilvl w:val="1"/>
          <w:numId w:val="5"/>
        </w:numPr>
        <w:tabs>
          <w:tab w:val="num" w:pos="709"/>
        </w:tabs>
        <w:ind w:left="709" w:hanging="709"/>
        <w:rPr>
          <w:lang w:val="en-AU"/>
        </w:rPr>
      </w:pPr>
      <w:r>
        <w:rPr>
          <w:lang w:val="en-AU"/>
        </w:rPr>
        <w:t>However</w:t>
      </w:r>
      <w:r w:rsidR="008C1623">
        <w:rPr>
          <w:lang w:val="en-AU"/>
        </w:rPr>
        <w:t xml:space="preserve">, </w:t>
      </w:r>
      <w:r>
        <w:rPr>
          <w:lang w:val="en-AU"/>
        </w:rPr>
        <w:t xml:space="preserve">to facilitate alignment with the requirements of the NER, the Commission </w:t>
      </w:r>
      <w:r w:rsidR="00AE38B3">
        <w:rPr>
          <w:lang w:val="en-AU"/>
        </w:rPr>
        <w:t xml:space="preserve">stated that it would </w:t>
      </w:r>
      <w:r w:rsidR="008C1623">
        <w:rPr>
          <w:lang w:val="en-AU"/>
        </w:rPr>
        <w:t xml:space="preserve">continue to separately </w:t>
      </w:r>
      <w:r w:rsidR="004223B2">
        <w:rPr>
          <w:lang w:val="en-AU"/>
        </w:rPr>
        <w:t xml:space="preserve">specify </w:t>
      </w:r>
      <w:r w:rsidR="008C1623">
        <w:rPr>
          <w:lang w:val="en-AU"/>
        </w:rPr>
        <w:t xml:space="preserve">these </w:t>
      </w:r>
      <w:r w:rsidR="00AE38B3">
        <w:rPr>
          <w:lang w:val="en-AU"/>
        </w:rPr>
        <w:t xml:space="preserve">excluded network access </w:t>
      </w:r>
      <w:r w:rsidR="008C1623">
        <w:rPr>
          <w:lang w:val="en-AU"/>
        </w:rPr>
        <w:t>services</w:t>
      </w:r>
      <w:r w:rsidR="00BD30DD">
        <w:rPr>
          <w:lang w:val="en-AU"/>
        </w:rPr>
        <w:t>.</w:t>
      </w:r>
    </w:p>
    <w:p w14:paraId="11ADE851" w14:textId="493C8C82" w:rsidR="00410612" w:rsidRDefault="00410612" w:rsidP="00CB1056">
      <w:pPr>
        <w:pStyle w:val="NumberLevel2"/>
        <w:numPr>
          <w:ilvl w:val="1"/>
          <w:numId w:val="5"/>
        </w:numPr>
        <w:tabs>
          <w:tab w:val="num" w:pos="709"/>
        </w:tabs>
        <w:ind w:left="709" w:hanging="709"/>
        <w:rPr>
          <w:lang w:val="en-AU"/>
        </w:rPr>
      </w:pPr>
      <w:r>
        <w:rPr>
          <w:lang w:val="en-AU"/>
        </w:rPr>
        <w:t xml:space="preserve">The Commission </w:t>
      </w:r>
      <w:r w:rsidR="00362309">
        <w:rPr>
          <w:lang w:val="en-AU"/>
        </w:rPr>
        <w:t xml:space="preserve">was </w:t>
      </w:r>
      <w:r>
        <w:rPr>
          <w:lang w:val="en-AU"/>
        </w:rPr>
        <w:t xml:space="preserve">satisfied that </w:t>
      </w:r>
      <w:r w:rsidR="007A0E26">
        <w:rPr>
          <w:lang w:val="en-AU"/>
        </w:rPr>
        <w:t xml:space="preserve">a specific </w:t>
      </w:r>
      <w:r w:rsidR="00AE38B3">
        <w:rPr>
          <w:lang w:val="en-AU"/>
        </w:rPr>
        <w:t xml:space="preserve">excluded network access </w:t>
      </w:r>
      <w:r w:rsidR="007A0E26">
        <w:rPr>
          <w:lang w:val="en-AU"/>
        </w:rPr>
        <w:t>service for provision of non-standard street lights</w:t>
      </w:r>
      <w:r>
        <w:rPr>
          <w:lang w:val="en-AU"/>
        </w:rPr>
        <w:t xml:space="preserve"> as described by PWC Networks </w:t>
      </w:r>
      <w:r w:rsidR="00647F68">
        <w:rPr>
          <w:lang w:val="en-AU"/>
        </w:rPr>
        <w:t>was</w:t>
      </w:r>
      <w:r>
        <w:rPr>
          <w:lang w:val="en-AU"/>
        </w:rPr>
        <w:t xml:space="preserve"> reasonable.</w:t>
      </w:r>
    </w:p>
    <w:p w14:paraId="57B61BFA" w14:textId="77777777" w:rsidR="005C5021" w:rsidRPr="00BD30DD" w:rsidRDefault="005C5021" w:rsidP="00BD30DD">
      <w:pPr>
        <w:pStyle w:val="UtilComHeading4"/>
        <w:spacing w:before="120"/>
        <w:rPr>
          <w:b/>
          <w:i w:val="0"/>
          <w:lang w:val="en-AU"/>
        </w:rPr>
      </w:pPr>
      <w:r w:rsidRPr="00BD30DD">
        <w:rPr>
          <w:b/>
          <w:i w:val="0"/>
          <w:lang w:val="en-AU"/>
        </w:rPr>
        <w:t>Administrative services – miscellaneous</w:t>
      </w:r>
    </w:p>
    <w:p w14:paraId="005C3AA3" w14:textId="32E742AD" w:rsidR="005C5021" w:rsidRPr="00F13328" w:rsidRDefault="005C5021" w:rsidP="00CB1056">
      <w:pPr>
        <w:pStyle w:val="NumberLevel2"/>
        <w:numPr>
          <w:ilvl w:val="1"/>
          <w:numId w:val="5"/>
        </w:numPr>
        <w:ind w:left="709" w:hanging="709"/>
        <w:rPr>
          <w:lang w:val="en-AU"/>
        </w:rPr>
      </w:pPr>
      <w:r w:rsidRPr="00F13328">
        <w:rPr>
          <w:lang w:val="en-AU"/>
        </w:rPr>
        <w:t xml:space="preserve">PWC Networks proposed a new </w:t>
      </w:r>
      <w:r w:rsidR="00E00F2C">
        <w:rPr>
          <w:lang w:val="en-AU"/>
        </w:rPr>
        <w:t xml:space="preserve">excluded </w:t>
      </w:r>
      <w:r w:rsidR="00AE38B3">
        <w:rPr>
          <w:lang w:val="en-AU"/>
        </w:rPr>
        <w:t xml:space="preserve">network access </w:t>
      </w:r>
      <w:r w:rsidR="00E00F2C">
        <w:rPr>
          <w:lang w:val="en-AU"/>
        </w:rPr>
        <w:t xml:space="preserve">service </w:t>
      </w:r>
      <w:r w:rsidRPr="00F13328">
        <w:rPr>
          <w:lang w:val="en-AU"/>
        </w:rPr>
        <w:t xml:space="preserve">for the provision </w:t>
      </w:r>
      <w:r w:rsidR="00BD30DD">
        <w:rPr>
          <w:lang w:val="en-AU"/>
        </w:rPr>
        <w:t xml:space="preserve">of </w:t>
      </w:r>
      <w:r w:rsidRPr="00F13328">
        <w:rPr>
          <w:lang w:val="en-AU"/>
        </w:rPr>
        <w:t>administrative services</w:t>
      </w:r>
      <w:r w:rsidR="00D44660" w:rsidRPr="00F13328">
        <w:rPr>
          <w:lang w:val="en-AU"/>
        </w:rPr>
        <w:t xml:space="preserve">. PWC Networks explained this fee by providing examples of activities that would attract a charge such </w:t>
      </w:r>
      <w:r w:rsidRPr="00F13328">
        <w:rPr>
          <w:lang w:val="en-AU"/>
        </w:rPr>
        <w:t xml:space="preserve">as arranging permits for high load </w:t>
      </w:r>
      <w:r w:rsidR="00046643">
        <w:rPr>
          <w:lang w:val="en-AU"/>
        </w:rPr>
        <w:t xml:space="preserve">transport </w:t>
      </w:r>
      <w:r w:rsidRPr="00F13328">
        <w:rPr>
          <w:lang w:val="en-AU"/>
        </w:rPr>
        <w:t>escorts</w:t>
      </w:r>
      <w:r w:rsidR="00D44660" w:rsidRPr="00F13328">
        <w:rPr>
          <w:lang w:val="en-AU"/>
        </w:rPr>
        <w:t xml:space="preserve"> and an application for </w:t>
      </w:r>
      <w:r w:rsidR="00647F68">
        <w:rPr>
          <w:lang w:val="en-AU"/>
        </w:rPr>
        <w:t xml:space="preserve">a </w:t>
      </w:r>
      <w:r w:rsidR="00D44660" w:rsidRPr="00F13328">
        <w:rPr>
          <w:lang w:val="en-AU"/>
        </w:rPr>
        <w:t>connection fee for new or upgraded supply.</w:t>
      </w:r>
      <w:r w:rsidRPr="00F13328">
        <w:rPr>
          <w:lang w:val="en-AU"/>
        </w:rPr>
        <w:t xml:space="preserve"> </w:t>
      </w:r>
    </w:p>
    <w:p w14:paraId="6D423982" w14:textId="77777777" w:rsidR="005C5021" w:rsidRPr="00F13328" w:rsidRDefault="00D44660" w:rsidP="00CB1056">
      <w:pPr>
        <w:pStyle w:val="NumberLevel2"/>
        <w:numPr>
          <w:ilvl w:val="1"/>
          <w:numId w:val="5"/>
        </w:numPr>
        <w:ind w:left="709" w:hanging="709"/>
        <w:rPr>
          <w:lang w:val="en-AU"/>
        </w:rPr>
      </w:pPr>
      <w:r w:rsidRPr="00F13328">
        <w:rPr>
          <w:lang w:val="en-AU"/>
        </w:rPr>
        <w:t xml:space="preserve">As PWC Networks intends to provide high load </w:t>
      </w:r>
      <w:r w:rsidR="00046643">
        <w:rPr>
          <w:lang w:val="en-AU"/>
        </w:rPr>
        <w:t xml:space="preserve">transport </w:t>
      </w:r>
      <w:r w:rsidRPr="00F13328">
        <w:rPr>
          <w:lang w:val="en-AU"/>
        </w:rPr>
        <w:t xml:space="preserve">escorts as a quoted service, the Commission </w:t>
      </w:r>
      <w:r w:rsidR="00362309" w:rsidRPr="00F13328">
        <w:rPr>
          <w:lang w:val="en-AU"/>
        </w:rPr>
        <w:t>consider</w:t>
      </w:r>
      <w:r w:rsidR="00362309">
        <w:rPr>
          <w:lang w:val="en-AU"/>
        </w:rPr>
        <w:t>ed</w:t>
      </w:r>
      <w:r w:rsidR="00362309" w:rsidRPr="00F13328">
        <w:rPr>
          <w:lang w:val="en-AU"/>
        </w:rPr>
        <w:t xml:space="preserve"> </w:t>
      </w:r>
      <w:r w:rsidRPr="00F13328">
        <w:rPr>
          <w:lang w:val="en-AU"/>
        </w:rPr>
        <w:t xml:space="preserve">that a pass through of any fees incurred by </w:t>
      </w:r>
      <w:r w:rsidR="004223B2" w:rsidRPr="00F13328">
        <w:rPr>
          <w:lang w:val="en-AU"/>
        </w:rPr>
        <w:t>PWC</w:t>
      </w:r>
      <w:r w:rsidR="004223B2">
        <w:rPr>
          <w:lang w:val="en-AU"/>
        </w:rPr>
        <w:t> </w:t>
      </w:r>
      <w:r w:rsidRPr="00F13328">
        <w:rPr>
          <w:lang w:val="en-AU"/>
        </w:rPr>
        <w:t xml:space="preserve">Networks in arranging permits should be incorporated in this </w:t>
      </w:r>
      <w:r w:rsidR="0093030E">
        <w:rPr>
          <w:lang w:val="en-AU"/>
        </w:rPr>
        <w:t xml:space="preserve">existing </w:t>
      </w:r>
      <w:r w:rsidRPr="00F13328">
        <w:rPr>
          <w:lang w:val="en-AU"/>
        </w:rPr>
        <w:t xml:space="preserve">charge. </w:t>
      </w:r>
    </w:p>
    <w:p w14:paraId="20A51635" w14:textId="63278161" w:rsidR="00F13328" w:rsidRPr="00F13328" w:rsidRDefault="00D44660" w:rsidP="00CB1056">
      <w:pPr>
        <w:pStyle w:val="NumberLevel2"/>
        <w:numPr>
          <w:ilvl w:val="1"/>
          <w:numId w:val="5"/>
        </w:numPr>
        <w:ind w:left="709" w:hanging="709"/>
        <w:rPr>
          <w:lang w:val="en-AU"/>
        </w:rPr>
      </w:pPr>
      <w:r w:rsidRPr="00F13328">
        <w:rPr>
          <w:lang w:val="en-AU"/>
        </w:rPr>
        <w:t xml:space="preserve">With respect to the second example provided by PWC Networks, the Commission </w:t>
      </w:r>
      <w:r w:rsidR="00362309" w:rsidRPr="00F13328">
        <w:rPr>
          <w:lang w:val="en-AU"/>
        </w:rPr>
        <w:t>d</w:t>
      </w:r>
      <w:r w:rsidR="00362309">
        <w:rPr>
          <w:lang w:val="en-AU"/>
        </w:rPr>
        <w:t>id</w:t>
      </w:r>
      <w:r w:rsidR="00362309" w:rsidRPr="00F13328">
        <w:rPr>
          <w:lang w:val="en-AU"/>
        </w:rPr>
        <w:t xml:space="preserve"> </w:t>
      </w:r>
      <w:r w:rsidR="00F13328" w:rsidRPr="00F13328">
        <w:rPr>
          <w:lang w:val="en-AU"/>
        </w:rPr>
        <w:t xml:space="preserve">not consider </w:t>
      </w:r>
      <w:r w:rsidR="00AE38B3">
        <w:rPr>
          <w:lang w:val="en-AU"/>
        </w:rPr>
        <w:t xml:space="preserve">that an </w:t>
      </w:r>
      <w:r w:rsidR="00F13328" w:rsidRPr="00F13328">
        <w:rPr>
          <w:lang w:val="en-AU"/>
        </w:rPr>
        <w:t xml:space="preserve">application for connection fees in addition to the charge for providing connection services </w:t>
      </w:r>
      <w:r w:rsidR="00AE38B3">
        <w:rPr>
          <w:lang w:val="en-AU"/>
        </w:rPr>
        <w:t>was</w:t>
      </w:r>
      <w:r w:rsidR="00AE38B3" w:rsidRPr="00F13328">
        <w:rPr>
          <w:lang w:val="en-AU"/>
        </w:rPr>
        <w:t xml:space="preserve"> </w:t>
      </w:r>
      <w:r w:rsidR="00F13328" w:rsidRPr="00F13328">
        <w:rPr>
          <w:lang w:val="en-AU"/>
        </w:rPr>
        <w:t xml:space="preserve">warranted. </w:t>
      </w:r>
    </w:p>
    <w:p w14:paraId="7851B934" w14:textId="76FCADD5" w:rsidR="00D44660" w:rsidRPr="006B25C1" w:rsidRDefault="00D44660" w:rsidP="00CB1056">
      <w:pPr>
        <w:pStyle w:val="ListParagraph"/>
        <w:numPr>
          <w:ilvl w:val="1"/>
          <w:numId w:val="5"/>
        </w:numPr>
        <w:ind w:left="709" w:hanging="709"/>
        <w:rPr>
          <w:lang w:val="en-AU"/>
        </w:rPr>
      </w:pPr>
      <w:r w:rsidRPr="00F13328">
        <w:rPr>
          <w:lang w:val="en-AU"/>
        </w:rPr>
        <w:t xml:space="preserve">For these reasons, the Commission </w:t>
      </w:r>
      <w:r w:rsidR="00362309" w:rsidRPr="00F13328">
        <w:rPr>
          <w:lang w:val="en-AU"/>
        </w:rPr>
        <w:t>d</w:t>
      </w:r>
      <w:r w:rsidR="00362309">
        <w:rPr>
          <w:lang w:val="en-AU"/>
        </w:rPr>
        <w:t>id</w:t>
      </w:r>
      <w:r w:rsidR="00362309" w:rsidRPr="00F13328">
        <w:rPr>
          <w:lang w:val="en-AU"/>
        </w:rPr>
        <w:t xml:space="preserve"> </w:t>
      </w:r>
      <w:r w:rsidRPr="00F13328">
        <w:rPr>
          <w:lang w:val="en-AU"/>
        </w:rPr>
        <w:t>not consider that administrative services -</w:t>
      </w:r>
      <w:r>
        <w:rPr>
          <w:lang w:val="en-AU"/>
        </w:rPr>
        <w:t xml:space="preserve"> miscellaneous</w:t>
      </w:r>
      <w:r w:rsidRPr="006B25C1">
        <w:rPr>
          <w:lang w:val="en-AU"/>
        </w:rPr>
        <w:t xml:space="preserve"> </w:t>
      </w:r>
      <w:r>
        <w:rPr>
          <w:lang w:val="en-AU"/>
        </w:rPr>
        <w:t>should be an</w:t>
      </w:r>
      <w:r w:rsidRPr="006B25C1">
        <w:rPr>
          <w:lang w:val="en-AU"/>
        </w:rPr>
        <w:t xml:space="preserve"> </w:t>
      </w:r>
      <w:r>
        <w:rPr>
          <w:lang w:val="en-AU"/>
        </w:rPr>
        <w:t xml:space="preserve">excluded </w:t>
      </w:r>
      <w:r w:rsidR="00AE38B3">
        <w:rPr>
          <w:lang w:val="en-AU"/>
        </w:rPr>
        <w:t xml:space="preserve">network access </w:t>
      </w:r>
      <w:r>
        <w:rPr>
          <w:lang w:val="en-AU"/>
        </w:rPr>
        <w:t>service</w:t>
      </w:r>
      <w:r w:rsidRPr="006B25C1">
        <w:rPr>
          <w:lang w:val="en-AU"/>
        </w:rPr>
        <w:t>.</w:t>
      </w:r>
    </w:p>
    <w:p w14:paraId="723B0ACE" w14:textId="77777777" w:rsidR="00354ADF" w:rsidRPr="00BD30DD" w:rsidRDefault="00354ADF" w:rsidP="00BD30DD">
      <w:pPr>
        <w:pStyle w:val="UtilComHeading4"/>
        <w:spacing w:before="120"/>
        <w:rPr>
          <w:b/>
          <w:i w:val="0"/>
          <w:lang w:val="en-AU"/>
        </w:rPr>
      </w:pPr>
      <w:r w:rsidRPr="00BD30DD">
        <w:rPr>
          <w:b/>
          <w:i w:val="0"/>
          <w:lang w:val="en-AU"/>
        </w:rPr>
        <w:t>Travel costs</w:t>
      </w:r>
    </w:p>
    <w:p w14:paraId="5E1A77E5" w14:textId="0A1C762D" w:rsidR="00354ADF" w:rsidRDefault="00354ADF" w:rsidP="00CB1056">
      <w:pPr>
        <w:pStyle w:val="NumberLevel2"/>
        <w:numPr>
          <w:ilvl w:val="1"/>
          <w:numId w:val="5"/>
        </w:numPr>
        <w:tabs>
          <w:tab w:val="num" w:pos="709"/>
        </w:tabs>
        <w:ind w:left="709" w:hanging="709"/>
        <w:rPr>
          <w:lang w:val="en-AU"/>
        </w:rPr>
      </w:pPr>
      <w:r w:rsidRPr="006056C8">
        <w:rPr>
          <w:lang w:val="en-AU"/>
        </w:rPr>
        <w:t xml:space="preserve">PWC Networks proposed a new </w:t>
      </w:r>
      <w:r w:rsidR="00E00F2C">
        <w:rPr>
          <w:lang w:val="en-AU"/>
        </w:rPr>
        <w:t xml:space="preserve">excluded </w:t>
      </w:r>
      <w:r w:rsidR="00AE38B3">
        <w:rPr>
          <w:lang w:val="en-AU"/>
        </w:rPr>
        <w:t xml:space="preserve">network access </w:t>
      </w:r>
      <w:r w:rsidR="00E00F2C">
        <w:rPr>
          <w:lang w:val="en-AU"/>
        </w:rPr>
        <w:t xml:space="preserve">service </w:t>
      </w:r>
      <w:r>
        <w:rPr>
          <w:lang w:val="en-AU"/>
        </w:rPr>
        <w:t>for travel costs to attend rural locations.</w:t>
      </w:r>
    </w:p>
    <w:p w14:paraId="38767E28" w14:textId="0C16E84B" w:rsidR="00D011CC" w:rsidRDefault="00D011CC" w:rsidP="00CB1056">
      <w:pPr>
        <w:pStyle w:val="NumberLevel2"/>
        <w:numPr>
          <w:ilvl w:val="1"/>
          <w:numId w:val="5"/>
        </w:numPr>
        <w:tabs>
          <w:tab w:val="num" w:pos="709"/>
        </w:tabs>
        <w:ind w:left="709" w:hanging="709"/>
        <w:rPr>
          <w:lang w:val="en-AU"/>
        </w:rPr>
      </w:pPr>
      <w:r>
        <w:rPr>
          <w:lang w:val="en-AU"/>
        </w:rPr>
        <w:t xml:space="preserve">The Commission </w:t>
      </w:r>
      <w:r w:rsidR="00362309">
        <w:rPr>
          <w:lang w:val="en-AU"/>
        </w:rPr>
        <w:t xml:space="preserve">was </w:t>
      </w:r>
      <w:r>
        <w:rPr>
          <w:lang w:val="en-AU"/>
        </w:rPr>
        <w:t>satisfied that a specific service provi</w:t>
      </w:r>
      <w:r w:rsidR="0093030E">
        <w:rPr>
          <w:lang w:val="en-AU"/>
        </w:rPr>
        <w:t xml:space="preserve">ding for the </w:t>
      </w:r>
      <w:r>
        <w:rPr>
          <w:lang w:val="en-AU"/>
        </w:rPr>
        <w:t>recovery of excessive travel costs</w:t>
      </w:r>
      <w:r w:rsidR="00647F68">
        <w:rPr>
          <w:lang w:val="en-AU"/>
        </w:rPr>
        <w:t xml:space="preserve"> was</w:t>
      </w:r>
      <w:r>
        <w:rPr>
          <w:lang w:val="en-AU"/>
        </w:rPr>
        <w:t xml:space="preserve"> reasonable, but </w:t>
      </w:r>
      <w:r w:rsidR="00362309">
        <w:rPr>
          <w:lang w:val="en-AU"/>
        </w:rPr>
        <w:t xml:space="preserve">was </w:t>
      </w:r>
      <w:r>
        <w:rPr>
          <w:lang w:val="en-AU"/>
        </w:rPr>
        <w:t xml:space="preserve">concerned </w:t>
      </w:r>
      <w:r w:rsidR="001A4BFF">
        <w:rPr>
          <w:lang w:val="en-AU"/>
        </w:rPr>
        <w:t xml:space="preserve">that PWC Networks use of ‘rural locations’ </w:t>
      </w:r>
      <w:r w:rsidR="000B712C">
        <w:rPr>
          <w:lang w:val="en-AU"/>
        </w:rPr>
        <w:t xml:space="preserve">did </w:t>
      </w:r>
      <w:r w:rsidR="0093030E">
        <w:rPr>
          <w:lang w:val="en-AU"/>
        </w:rPr>
        <w:t xml:space="preserve">not accurately describe the determinant of </w:t>
      </w:r>
      <w:r w:rsidR="001A4BFF">
        <w:rPr>
          <w:lang w:val="en-AU"/>
        </w:rPr>
        <w:t xml:space="preserve">excessive cost. For example, the area commonly referred to as the ‘Darwin rural area’ includes locations within 50km of the CBD. </w:t>
      </w:r>
      <w:r w:rsidR="001A4BFF" w:rsidRPr="00354ADF">
        <w:rPr>
          <w:lang w:val="en-AU"/>
        </w:rPr>
        <w:t xml:space="preserve">The Commission </w:t>
      </w:r>
      <w:r w:rsidR="001A4BFF">
        <w:rPr>
          <w:lang w:val="en-AU"/>
        </w:rPr>
        <w:t xml:space="preserve">amended </w:t>
      </w:r>
      <w:r w:rsidR="001A4BFF" w:rsidRPr="00354ADF">
        <w:rPr>
          <w:lang w:val="en-AU"/>
        </w:rPr>
        <w:t>this descriptor to clarify that</w:t>
      </w:r>
      <w:r w:rsidR="001A4BFF">
        <w:rPr>
          <w:lang w:val="en-AU"/>
        </w:rPr>
        <w:t xml:space="preserve"> only</w:t>
      </w:r>
      <w:r w:rsidR="001A4BFF" w:rsidRPr="00354ADF">
        <w:rPr>
          <w:lang w:val="en-AU"/>
        </w:rPr>
        <w:t xml:space="preserve"> </w:t>
      </w:r>
      <w:r w:rsidR="001A4BFF">
        <w:rPr>
          <w:lang w:val="en-AU"/>
        </w:rPr>
        <w:t xml:space="preserve">travel in excess of 100km from the relevant PWC Networks depot </w:t>
      </w:r>
      <w:r w:rsidR="000B712C">
        <w:rPr>
          <w:lang w:val="en-AU"/>
        </w:rPr>
        <w:t xml:space="preserve">would </w:t>
      </w:r>
      <w:r w:rsidR="001A4BFF">
        <w:rPr>
          <w:lang w:val="en-AU"/>
        </w:rPr>
        <w:t xml:space="preserve">incur additional travel costs. The Commission </w:t>
      </w:r>
      <w:r w:rsidR="000B712C">
        <w:rPr>
          <w:lang w:val="en-AU"/>
        </w:rPr>
        <w:t xml:space="preserve">understood </w:t>
      </w:r>
      <w:r w:rsidR="001A4BFF">
        <w:rPr>
          <w:lang w:val="en-AU"/>
        </w:rPr>
        <w:t xml:space="preserve">that this </w:t>
      </w:r>
      <w:r w:rsidR="00647F68">
        <w:rPr>
          <w:lang w:val="en-AU"/>
        </w:rPr>
        <w:t>was</w:t>
      </w:r>
      <w:r w:rsidR="001A4BFF">
        <w:rPr>
          <w:lang w:val="en-AU"/>
        </w:rPr>
        <w:t xml:space="preserve"> consistent with current practice.</w:t>
      </w:r>
    </w:p>
    <w:p w14:paraId="34D2A8F0" w14:textId="77777777" w:rsidR="00354ADF" w:rsidRPr="00BD30DD" w:rsidRDefault="001A4BFF" w:rsidP="00BD30DD">
      <w:pPr>
        <w:pStyle w:val="UtilComHeading4"/>
        <w:spacing w:before="120"/>
        <w:rPr>
          <w:b/>
          <w:i w:val="0"/>
          <w:lang w:val="en-AU"/>
        </w:rPr>
      </w:pPr>
      <w:r w:rsidRPr="00BD30DD">
        <w:rPr>
          <w:b/>
          <w:i w:val="0"/>
          <w:lang w:val="en-AU"/>
        </w:rPr>
        <w:t>Provision of network capacity in excess of Network Technical Code requirements</w:t>
      </w:r>
    </w:p>
    <w:p w14:paraId="10A7C1F4" w14:textId="2E6ED10D" w:rsidR="00196551" w:rsidRDefault="00910A3B" w:rsidP="00CB1056">
      <w:pPr>
        <w:pStyle w:val="NumberLevel2"/>
        <w:numPr>
          <w:ilvl w:val="1"/>
          <w:numId w:val="5"/>
        </w:numPr>
        <w:tabs>
          <w:tab w:val="left" w:pos="709"/>
        </w:tabs>
        <w:ind w:left="709" w:hanging="709"/>
        <w:rPr>
          <w:lang w:val="en-AU"/>
        </w:rPr>
      </w:pPr>
      <w:r>
        <w:rPr>
          <w:lang w:val="en-AU"/>
        </w:rPr>
        <w:t xml:space="preserve">PWC Networks proposed a new </w:t>
      </w:r>
      <w:r w:rsidR="00E00F2C">
        <w:rPr>
          <w:lang w:val="en-AU"/>
        </w:rPr>
        <w:t xml:space="preserve">excluded </w:t>
      </w:r>
      <w:r w:rsidR="001C2CA4">
        <w:rPr>
          <w:lang w:val="en-AU"/>
        </w:rPr>
        <w:t xml:space="preserve">network access </w:t>
      </w:r>
      <w:r w:rsidR="00E00F2C">
        <w:rPr>
          <w:lang w:val="en-AU"/>
        </w:rPr>
        <w:t xml:space="preserve">service </w:t>
      </w:r>
      <w:r w:rsidR="00CA1D34" w:rsidRPr="00105589">
        <w:rPr>
          <w:lang w:val="en-AU"/>
        </w:rPr>
        <w:t>for provision of network capacity in excess of Network Technical Code requirements</w:t>
      </w:r>
      <w:r w:rsidR="00BD30DD">
        <w:rPr>
          <w:lang w:val="en-AU"/>
        </w:rPr>
        <w:t>.</w:t>
      </w:r>
    </w:p>
    <w:p w14:paraId="0EC85B0D" w14:textId="77777777" w:rsidR="006F34D0" w:rsidRPr="006F34D0" w:rsidRDefault="006F34D0" w:rsidP="00CB1056">
      <w:pPr>
        <w:pStyle w:val="NumberLevel2"/>
        <w:numPr>
          <w:ilvl w:val="1"/>
          <w:numId w:val="5"/>
        </w:numPr>
        <w:tabs>
          <w:tab w:val="left" w:pos="709"/>
        </w:tabs>
        <w:ind w:left="709" w:hanging="709"/>
        <w:rPr>
          <w:lang w:val="en-AU"/>
        </w:rPr>
      </w:pPr>
      <w:r>
        <w:rPr>
          <w:lang w:val="en-AU"/>
        </w:rPr>
        <w:t xml:space="preserve">The Commission </w:t>
      </w:r>
      <w:r w:rsidR="003B6615">
        <w:rPr>
          <w:lang w:val="en-AU"/>
        </w:rPr>
        <w:t xml:space="preserve">considered </w:t>
      </w:r>
      <w:r>
        <w:rPr>
          <w:lang w:val="en-AU"/>
        </w:rPr>
        <w:t xml:space="preserve">that PWC Networks </w:t>
      </w:r>
      <w:r w:rsidR="003B6615">
        <w:rPr>
          <w:lang w:val="en-AU"/>
        </w:rPr>
        <w:t xml:space="preserve">had </w:t>
      </w:r>
      <w:r>
        <w:rPr>
          <w:lang w:val="en-AU"/>
        </w:rPr>
        <w:t>not justified:</w:t>
      </w:r>
    </w:p>
    <w:p w14:paraId="3759B80C" w14:textId="0101A032" w:rsidR="00105589" w:rsidRPr="00105589" w:rsidRDefault="00105589" w:rsidP="008E229D">
      <w:pPr>
        <w:pStyle w:val="UtilComBulletText"/>
        <w:numPr>
          <w:ilvl w:val="0"/>
          <w:numId w:val="6"/>
        </w:numPr>
        <w:tabs>
          <w:tab w:val="clear" w:pos="964"/>
          <w:tab w:val="num" w:pos="1134"/>
        </w:tabs>
        <w:ind w:left="1134" w:hanging="425"/>
      </w:pPr>
      <w:r w:rsidRPr="00105589">
        <w:t xml:space="preserve">why </w:t>
      </w:r>
      <w:r w:rsidR="001C2CA4">
        <w:t>this network access service</w:t>
      </w:r>
      <w:r w:rsidRPr="00105589">
        <w:t xml:space="preserve"> should be an </w:t>
      </w:r>
      <w:r w:rsidR="001C2CA4">
        <w:t>excluded network access service</w:t>
      </w:r>
      <w:r w:rsidRPr="00105589">
        <w:t xml:space="preserve">, given </w:t>
      </w:r>
      <w:r w:rsidR="001C2CA4">
        <w:t xml:space="preserve">that </w:t>
      </w:r>
      <w:r w:rsidRPr="00105589">
        <w:t xml:space="preserve">the recovery of </w:t>
      </w:r>
      <w:r w:rsidR="001C2CA4">
        <w:t>extension</w:t>
      </w:r>
      <w:r w:rsidRPr="00105589">
        <w:t xml:space="preserve"> costs are recovered through </w:t>
      </w:r>
      <w:r w:rsidR="00E00F2C">
        <w:t>the revenue cap for regulated network access services</w:t>
      </w:r>
      <w:r w:rsidR="0093030E">
        <w:t xml:space="preserve">; </w:t>
      </w:r>
      <w:r w:rsidR="00BD30DD">
        <w:t>and</w:t>
      </w:r>
    </w:p>
    <w:p w14:paraId="07F6724A" w14:textId="17D484EC" w:rsidR="00105589" w:rsidRPr="00105589" w:rsidRDefault="001C2CA4" w:rsidP="008E229D">
      <w:pPr>
        <w:pStyle w:val="UtilComBulletText"/>
        <w:numPr>
          <w:ilvl w:val="0"/>
          <w:numId w:val="6"/>
        </w:numPr>
        <w:tabs>
          <w:tab w:val="clear" w:pos="964"/>
          <w:tab w:val="num" w:pos="1134"/>
        </w:tabs>
        <w:ind w:left="1134" w:hanging="425"/>
      </w:pPr>
      <w:r>
        <w:t xml:space="preserve">that </w:t>
      </w:r>
      <w:r w:rsidR="00105589" w:rsidRPr="00105589">
        <w:t xml:space="preserve">the proposal to </w:t>
      </w:r>
      <w:r>
        <w:t>charge</w:t>
      </w:r>
      <w:r w:rsidR="00105589" w:rsidRPr="00105589">
        <w:t xml:space="preserve"> as a </w:t>
      </w:r>
      <w:r w:rsidR="0093030E">
        <w:t>f</w:t>
      </w:r>
      <w:r w:rsidR="00105589" w:rsidRPr="00105589">
        <w:t xml:space="preserve">ee-based </w:t>
      </w:r>
      <w:r>
        <w:t xml:space="preserve">excluded network access </w:t>
      </w:r>
      <w:r w:rsidR="00105589" w:rsidRPr="00105589">
        <w:t xml:space="preserve">service is appropriate, given </w:t>
      </w:r>
      <w:r>
        <w:t>that the fee</w:t>
      </w:r>
      <w:r w:rsidRPr="00105589">
        <w:t xml:space="preserve"> </w:t>
      </w:r>
      <w:r w:rsidR="00105589" w:rsidRPr="00105589">
        <w:t xml:space="preserve">is effectively a penalty for </w:t>
      </w:r>
      <w:r w:rsidR="00BD30DD">
        <w:t xml:space="preserve">a </w:t>
      </w:r>
      <w:r w:rsidR="00105589" w:rsidRPr="00105589">
        <w:t xml:space="preserve">non-compliant power factor and </w:t>
      </w:r>
      <w:r w:rsidR="00BD30DD">
        <w:t xml:space="preserve">an </w:t>
      </w:r>
      <w:r w:rsidR="00105589" w:rsidRPr="00105589">
        <w:t xml:space="preserve">incentive pricing signal rather than cost-recovery for the provision of a separate </w:t>
      </w:r>
      <w:r>
        <w:t xml:space="preserve">excluded network access </w:t>
      </w:r>
      <w:r w:rsidR="00105589" w:rsidRPr="00105589">
        <w:t>service.</w:t>
      </w:r>
    </w:p>
    <w:p w14:paraId="148B30C4" w14:textId="0051BB38" w:rsidR="006B25C1" w:rsidRDefault="001C2CA4" w:rsidP="00CB1056">
      <w:pPr>
        <w:pStyle w:val="NumberLevel2"/>
        <w:numPr>
          <w:ilvl w:val="1"/>
          <w:numId w:val="5"/>
        </w:numPr>
        <w:ind w:left="709" w:hanging="709"/>
        <w:rPr>
          <w:lang w:val="en-AU"/>
        </w:rPr>
      </w:pPr>
      <w:r>
        <w:rPr>
          <w:lang w:val="en-AU"/>
        </w:rPr>
        <w:t>The Commission stated</w:t>
      </w:r>
      <w:r w:rsidR="006B25C1">
        <w:rPr>
          <w:lang w:val="en-AU"/>
        </w:rPr>
        <w:t xml:space="preserve"> that for a </w:t>
      </w:r>
      <w:r>
        <w:rPr>
          <w:lang w:val="en-AU"/>
        </w:rPr>
        <w:t xml:space="preserve">network access </w:t>
      </w:r>
      <w:r w:rsidR="006B25C1">
        <w:rPr>
          <w:lang w:val="en-AU"/>
        </w:rPr>
        <w:t xml:space="preserve">service to be determined to be an excluded </w:t>
      </w:r>
      <w:r>
        <w:rPr>
          <w:lang w:val="en-AU"/>
        </w:rPr>
        <w:t xml:space="preserve">network access </w:t>
      </w:r>
      <w:r w:rsidR="006B25C1">
        <w:rPr>
          <w:lang w:val="en-AU"/>
        </w:rPr>
        <w:t xml:space="preserve">service, </w:t>
      </w:r>
      <w:r>
        <w:rPr>
          <w:lang w:val="en-AU"/>
        </w:rPr>
        <w:t xml:space="preserve">the Network Access Code required </w:t>
      </w:r>
      <w:r w:rsidR="006B25C1">
        <w:rPr>
          <w:lang w:val="en-AU"/>
        </w:rPr>
        <w:t xml:space="preserve">the Commission </w:t>
      </w:r>
      <w:r>
        <w:rPr>
          <w:lang w:val="en-AU"/>
        </w:rPr>
        <w:t xml:space="preserve">to </w:t>
      </w:r>
      <w:r w:rsidR="006B25C1">
        <w:rPr>
          <w:lang w:val="en-AU"/>
        </w:rPr>
        <w:t xml:space="preserve">be satisfied that the costs associated with that service </w:t>
      </w:r>
      <w:r>
        <w:rPr>
          <w:lang w:val="en-AU"/>
        </w:rPr>
        <w:t xml:space="preserve">could </w:t>
      </w:r>
      <w:r w:rsidR="006B25C1">
        <w:rPr>
          <w:lang w:val="en-AU"/>
        </w:rPr>
        <w:t>be excluded from the cost base used for the purpose of calculating the revenue cap.</w:t>
      </w:r>
      <w:r w:rsidR="0093030E">
        <w:rPr>
          <w:lang w:val="en-AU"/>
        </w:rPr>
        <w:t xml:space="preserve"> The Commission </w:t>
      </w:r>
      <w:r w:rsidR="003B6615">
        <w:rPr>
          <w:lang w:val="en-AU"/>
        </w:rPr>
        <w:t xml:space="preserve">was </w:t>
      </w:r>
      <w:r w:rsidR="0093030E">
        <w:rPr>
          <w:lang w:val="en-AU"/>
        </w:rPr>
        <w:t xml:space="preserve">not satisfied that the specific costs of a low power factor of a specific </w:t>
      </w:r>
      <w:r>
        <w:rPr>
          <w:lang w:val="en-AU"/>
        </w:rPr>
        <w:t xml:space="preserve">retail </w:t>
      </w:r>
      <w:r w:rsidR="0093030E">
        <w:rPr>
          <w:lang w:val="en-AU"/>
        </w:rPr>
        <w:t xml:space="preserve">customer </w:t>
      </w:r>
      <w:r>
        <w:rPr>
          <w:lang w:val="en-AU"/>
        </w:rPr>
        <w:t xml:space="preserve">could </w:t>
      </w:r>
      <w:r w:rsidR="0093030E">
        <w:rPr>
          <w:lang w:val="en-AU"/>
        </w:rPr>
        <w:t>be identified.</w:t>
      </w:r>
    </w:p>
    <w:p w14:paraId="3ADA854D" w14:textId="77777777" w:rsidR="00746486" w:rsidRDefault="008F1C9D" w:rsidP="00CB1056">
      <w:pPr>
        <w:pStyle w:val="NumberLevel2"/>
        <w:numPr>
          <w:ilvl w:val="1"/>
          <w:numId w:val="5"/>
        </w:numPr>
        <w:ind w:left="709" w:hanging="709"/>
        <w:rPr>
          <w:lang w:val="en-AU"/>
        </w:rPr>
      </w:pPr>
      <w:r>
        <w:rPr>
          <w:lang w:val="en-AU"/>
        </w:rPr>
        <w:t>The NTMEU also raised concerns regarding equity considerations, noting that determining whether a network user has a low power factor is dependent on the network user having appropriate metering to allow measurement to occur</w:t>
      </w:r>
      <w:r w:rsidR="006B25C1">
        <w:rPr>
          <w:lang w:val="en-AU"/>
        </w:rPr>
        <w:t>:</w:t>
      </w:r>
    </w:p>
    <w:p w14:paraId="6C38BA5B" w14:textId="77777777" w:rsidR="006B25C1" w:rsidRPr="006B25C1" w:rsidRDefault="006B25C1" w:rsidP="004B63D8">
      <w:pPr>
        <w:pStyle w:val="UtilComQuotationText"/>
        <w:ind w:left="1134"/>
        <w:rPr>
          <w:lang w:val="en-AU"/>
        </w:rPr>
      </w:pPr>
      <w:r w:rsidRPr="006B25C1">
        <w:rPr>
          <w:lang w:val="en-AU"/>
        </w:rPr>
        <w:t>This means that only consumers that have appropriate metering</w:t>
      </w:r>
      <w:r>
        <w:rPr>
          <w:lang w:val="en-AU"/>
        </w:rPr>
        <w:t xml:space="preserve"> </w:t>
      </w:r>
      <w:r w:rsidRPr="006B25C1">
        <w:rPr>
          <w:lang w:val="en-AU"/>
        </w:rPr>
        <w:t>will be exposed to the alternative control service fee even though there will be</w:t>
      </w:r>
      <w:r>
        <w:rPr>
          <w:lang w:val="en-AU"/>
        </w:rPr>
        <w:t xml:space="preserve"> </w:t>
      </w:r>
      <w:r w:rsidRPr="006B25C1">
        <w:rPr>
          <w:lang w:val="en-AU"/>
        </w:rPr>
        <w:t>many others with low power factors which can't be measured but still have a similar</w:t>
      </w:r>
      <w:r>
        <w:rPr>
          <w:lang w:val="en-AU"/>
        </w:rPr>
        <w:t xml:space="preserve"> </w:t>
      </w:r>
      <w:r w:rsidRPr="006B25C1">
        <w:rPr>
          <w:lang w:val="en-AU"/>
        </w:rPr>
        <w:t>impact on the network carrying capacity. This is inequitable.</w:t>
      </w:r>
      <w:r>
        <w:rPr>
          <w:lang w:val="en-AU"/>
        </w:rPr>
        <w:t xml:space="preserve"> (p</w:t>
      </w:r>
      <w:r w:rsidR="00BD30DD">
        <w:rPr>
          <w:lang w:val="en-AU"/>
        </w:rPr>
        <w:t>age</w:t>
      </w:r>
      <w:r>
        <w:rPr>
          <w:lang w:val="en-AU"/>
        </w:rPr>
        <w:t>.17)</w:t>
      </w:r>
    </w:p>
    <w:p w14:paraId="575217AA" w14:textId="2CAB4AB5" w:rsidR="006B25C1" w:rsidRPr="006B25C1" w:rsidRDefault="006B25C1" w:rsidP="00CB1056">
      <w:pPr>
        <w:pStyle w:val="ListParagraph"/>
        <w:numPr>
          <w:ilvl w:val="1"/>
          <w:numId w:val="5"/>
        </w:numPr>
        <w:tabs>
          <w:tab w:val="num" w:pos="709"/>
        </w:tabs>
        <w:ind w:left="709" w:hanging="709"/>
        <w:rPr>
          <w:lang w:val="en-AU"/>
        </w:rPr>
      </w:pPr>
      <w:r w:rsidRPr="006B25C1">
        <w:rPr>
          <w:lang w:val="en-AU"/>
        </w:rPr>
        <w:t xml:space="preserve">For these reasons, the Commission </w:t>
      </w:r>
      <w:r w:rsidR="003B6615">
        <w:rPr>
          <w:lang w:val="en-AU"/>
        </w:rPr>
        <w:t>did</w:t>
      </w:r>
      <w:r w:rsidR="003B6615" w:rsidRPr="006B25C1">
        <w:rPr>
          <w:lang w:val="en-AU"/>
        </w:rPr>
        <w:t xml:space="preserve"> </w:t>
      </w:r>
      <w:r w:rsidRPr="006B25C1">
        <w:rPr>
          <w:lang w:val="en-AU"/>
        </w:rPr>
        <w:t xml:space="preserve">not consider that </w:t>
      </w:r>
      <w:r>
        <w:rPr>
          <w:lang w:val="en-AU"/>
        </w:rPr>
        <w:t>p</w:t>
      </w:r>
      <w:r w:rsidRPr="006B25C1">
        <w:rPr>
          <w:lang w:val="en-AU"/>
        </w:rPr>
        <w:t xml:space="preserve">rovision of network capacity in excess of Network Technical Code requirements </w:t>
      </w:r>
      <w:r>
        <w:rPr>
          <w:lang w:val="en-AU"/>
        </w:rPr>
        <w:t>should be an</w:t>
      </w:r>
      <w:r w:rsidRPr="006B25C1">
        <w:rPr>
          <w:lang w:val="en-AU"/>
        </w:rPr>
        <w:t xml:space="preserve"> </w:t>
      </w:r>
      <w:r>
        <w:rPr>
          <w:lang w:val="en-AU"/>
        </w:rPr>
        <w:t xml:space="preserve">excluded </w:t>
      </w:r>
      <w:r w:rsidR="001C2CA4">
        <w:rPr>
          <w:lang w:val="en-AU"/>
        </w:rPr>
        <w:t xml:space="preserve">network access </w:t>
      </w:r>
      <w:r>
        <w:rPr>
          <w:lang w:val="en-AU"/>
        </w:rPr>
        <w:t>service</w:t>
      </w:r>
      <w:r w:rsidRPr="006B25C1">
        <w:rPr>
          <w:lang w:val="en-AU"/>
        </w:rPr>
        <w:t>.</w:t>
      </w:r>
      <w:r w:rsidR="001C2CA4">
        <w:rPr>
          <w:lang w:val="en-AU"/>
        </w:rPr>
        <w:t xml:space="preserve"> Therefore this network access service </w:t>
      </w:r>
      <w:r w:rsidR="002A1F7B">
        <w:rPr>
          <w:lang w:val="en-AU"/>
        </w:rPr>
        <w:t>was</w:t>
      </w:r>
      <w:r w:rsidR="001C2CA4">
        <w:rPr>
          <w:lang w:val="en-AU"/>
        </w:rPr>
        <w:t xml:space="preserve"> classified as a regulated network access service.</w:t>
      </w:r>
    </w:p>
    <w:p w14:paraId="0362B019" w14:textId="3ADC280E" w:rsidR="00EF320F" w:rsidRDefault="00EF320F" w:rsidP="00EF320F">
      <w:pPr>
        <w:pStyle w:val="UtilComHeading2"/>
      </w:pPr>
      <w:bookmarkStart w:id="48" w:name="_Toc385241450"/>
      <w:bookmarkStart w:id="49" w:name="_Toc386013003"/>
      <w:r>
        <w:t xml:space="preserve">Commission’s </w:t>
      </w:r>
      <w:r w:rsidR="00D36DF0">
        <w:t xml:space="preserve">Draft </w:t>
      </w:r>
      <w:bookmarkEnd w:id="48"/>
      <w:r w:rsidR="00D36DF0">
        <w:t>Decision</w:t>
      </w:r>
      <w:bookmarkEnd w:id="49"/>
    </w:p>
    <w:p w14:paraId="5CEE8FD7" w14:textId="138409F7" w:rsidR="00A13560" w:rsidRDefault="00FB1607" w:rsidP="00FB1607">
      <w:pPr>
        <w:pStyle w:val="NumberLevel2"/>
        <w:numPr>
          <w:ilvl w:val="1"/>
          <w:numId w:val="5"/>
        </w:numPr>
        <w:tabs>
          <w:tab w:val="num" w:pos="709"/>
        </w:tabs>
        <w:ind w:left="709" w:hanging="709"/>
        <w:rPr>
          <w:lang w:val="en-AU"/>
        </w:rPr>
      </w:pPr>
      <w:r>
        <w:rPr>
          <w:lang w:val="en-AU"/>
        </w:rPr>
        <w:t>The Commission</w:t>
      </w:r>
      <w:r w:rsidR="00A13560">
        <w:rPr>
          <w:lang w:val="en-AU"/>
        </w:rPr>
        <w:t>’s</w:t>
      </w:r>
      <w:r>
        <w:rPr>
          <w:lang w:val="en-AU"/>
        </w:rPr>
        <w:t xml:space="preserve"> decision </w:t>
      </w:r>
      <w:r w:rsidR="00A13560">
        <w:rPr>
          <w:lang w:val="en-AU"/>
        </w:rPr>
        <w:t xml:space="preserve">in the Draft Determination </w:t>
      </w:r>
      <w:r>
        <w:rPr>
          <w:lang w:val="en-AU"/>
        </w:rPr>
        <w:t>was</w:t>
      </w:r>
      <w:r w:rsidRPr="00F13328">
        <w:rPr>
          <w:lang w:val="en-AU"/>
        </w:rPr>
        <w:t xml:space="preserve"> to </w:t>
      </w:r>
      <w:r>
        <w:rPr>
          <w:lang w:val="en-AU"/>
        </w:rPr>
        <w:t xml:space="preserve">accept the classification of services proposed by PWC Networks with specific exceptions. </w:t>
      </w:r>
    </w:p>
    <w:p w14:paraId="7C0A72AA" w14:textId="642AD191" w:rsidR="00FB1607" w:rsidRDefault="00FB1607" w:rsidP="00FB1607">
      <w:pPr>
        <w:pStyle w:val="NumberLevel2"/>
        <w:numPr>
          <w:ilvl w:val="1"/>
          <w:numId w:val="5"/>
        </w:numPr>
        <w:tabs>
          <w:tab w:val="num" w:pos="709"/>
        </w:tabs>
        <w:ind w:left="709" w:hanging="709"/>
        <w:rPr>
          <w:lang w:val="en-AU"/>
        </w:rPr>
      </w:pPr>
      <w:r>
        <w:rPr>
          <w:lang w:val="en-AU"/>
        </w:rPr>
        <w:t>The</w:t>
      </w:r>
      <w:r w:rsidR="00A13560">
        <w:rPr>
          <w:lang w:val="en-AU"/>
        </w:rPr>
        <w:t xml:space="preserve"> specific exceptions were</w:t>
      </w:r>
      <w:r>
        <w:rPr>
          <w:lang w:val="en-AU"/>
        </w:rPr>
        <w:t>:</w:t>
      </w:r>
    </w:p>
    <w:p w14:paraId="37DDDDD1" w14:textId="59B698AB" w:rsidR="00FB1607" w:rsidRDefault="00FB1607" w:rsidP="008E229D">
      <w:pPr>
        <w:pStyle w:val="UtilComBulletText"/>
        <w:numPr>
          <w:ilvl w:val="0"/>
          <w:numId w:val="6"/>
        </w:numPr>
        <w:tabs>
          <w:tab w:val="clear" w:pos="964"/>
          <w:tab w:val="num" w:pos="1134"/>
        </w:tabs>
        <w:ind w:left="1134" w:hanging="425"/>
      </w:pPr>
      <w:r w:rsidRPr="006B25C1">
        <w:t>amend</w:t>
      </w:r>
      <w:r>
        <w:t>ment</w:t>
      </w:r>
      <w:r w:rsidRPr="006B25C1">
        <w:t xml:space="preserve"> </w:t>
      </w:r>
      <w:r>
        <w:t xml:space="preserve">of the </w:t>
      </w:r>
      <w:r w:rsidRPr="006B25C1">
        <w:t xml:space="preserve">descriptor </w:t>
      </w:r>
      <w:r>
        <w:t>for a</w:t>
      </w:r>
      <w:r w:rsidRPr="00555C32">
        <w:t>bove standard or non-standard connection services</w:t>
      </w:r>
      <w:r w:rsidRPr="006B25C1">
        <w:t xml:space="preserve"> to clarify that only additional costs incurred </w:t>
      </w:r>
      <w:r>
        <w:t xml:space="preserve">above those for a standard connection service </w:t>
      </w:r>
      <w:r w:rsidR="00A13560">
        <w:t>could</w:t>
      </w:r>
      <w:r>
        <w:t xml:space="preserve"> be recovered;</w:t>
      </w:r>
    </w:p>
    <w:p w14:paraId="559370B8" w14:textId="4D0BAEAA" w:rsidR="00FB1607" w:rsidRDefault="00FB1607" w:rsidP="008E229D">
      <w:pPr>
        <w:pStyle w:val="UtilComBulletText"/>
        <w:numPr>
          <w:ilvl w:val="0"/>
          <w:numId w:val="6"/>
        </w:numPr>
        <w:tabs>
          <w:tab w:val="clear" w:pos="964"/>
          <w:tab w:val="num" w:pos="1134"/>
        </w:tabs>
        <w:ind w:left="1134" w:hanging="425"/>
      </w:pPr>
      <w:r w:rsidRPr="006B25C1">
        <w:t>amend</w:t>
      </w:r>
      <w:r>
        <w:t>ment</w:t>
      </w:r>
      <w:r w:rsidRPr="006B25C1">
        <w:t xml:space="preserve"> </w:t>
      </w:r>
      <w:r>
        <w:t xml:space="preserve">of the </w:t>
      </w:r>
      <w:r w:rsidRPr="006B25C1">
        <w:t xml:space="preserve">descriptor </w:t>
      </w:r>
      <w:r>
        <w:t>for a</w:t>
      </w:r>
      <w:r w:rsidRPr="00555C32">
        <w:t xml:space="preserve">bove standard or non-standard </w:t>
      </w:r>
      <w:r>
        <w:t>metering</w:t>
      </w:r>
      <w:r w:rsidRPr="00555C32">
        <w:t xml:space="preserve"> services</w:t>
      </w:r>
      <w:r w:rsidRPr="006B25C1">
        <w:t xml:space="preserve"> to clarify that only additional costs incurred </w:t>
      </w:r>
      <w:r>
        <w:t xml:space="preserve">above those for a standard metering service </w:t>
      </w:r>
      <w:r w:rsidR="00A13560">
        <w:t>could</w:t>
      </w:r>
      <w:r>
        <w:t xml:space="preserve"> be recovered;</w:t>
      </w:r>
    </w:p>
    <w:p w14:paraId="14581BDD" w14:textId="543881BA" w:rsidR="00FB1607" w:rsidRDefault="00FB1607" w:rsidP="008E229D">
      <w:pPr>
        <w:pStyle w:val="UtilComBulletText"/>
        <w:numPr>
          <w:ilvl w:val="0"/>
          <w:numId w:val="6"/>
        </w:numPr>
        <w:tabs>
          <w:tab w:val="clear" w:pos="964"/>
          <w:tab w:val="num" w:pos="1134"/>
        </w:tabs>
        <w:ind w:left="1134" w:hanging="425"/>
      </w:pPr>
      <w:r w:rsidRPr="006B25C1">
        <w:t>amend</w:t>
      </w:r>
      <w:r>
        <w:t>ment</w:t>
      </w:r>
      <w:r w:rsidRPr="006B25C1">
        <w:t xml:space="preserve"> </w:t>
      </w:r>
      <w:r>
        <w:t xml:space="preserve">of the </w:t>
      </w:r>
      <w:r w:rsidRPr="006B25C1">
        <w:t xml:space="preserve">descriptor </w:t>
      </w:r>
      <w:r>
        <w:t xml:space="preserve">for </w:t>
      </w:r>
      <w:r w:rsidR="00A13560">
        <w:t xml:space="preserve">additional </w:t>
      </w:r>
      <w:r>
        <w:t>travel costs</w:t>
      </w:r>
      <w:r w:rsidRPr="006B25C1">
        <w:t xml:space="preserve"> to clarify that </w:t>
      </w:r>
      <w:r w:rsidRPr="00555C32">
        <w:t xml:space="preserve">only travel in excess of 100km from the relevant PWC Networks depot </w:t>
      </w:r>
      <w:r w:rsidR="00A13560">
        <w:t>would trigger the requirement to pay</w:t>
      </w:r>
      <w:r w:rsidRPr="00555C32">
        <w:t xml:space="preserve"> additional travel costs</w:t>
      </w:r>
      <w:r>
        <w:t>;</w:t>
      </w:r>
    </w:p>
    <w:p w14:paraId="133198AC" w14:textId="1F141C7C" w:rsidR="00FB1607" w:rsidRDefault="00FB1607" w:rsidP="008E229D">
      <w:pPr>
        <w:pStyle w:val="UtilComBulletText"/>
        <w:numPr>
          <w:ilvl w:val="0"/>
          <w:numId w:val="6"/>
        </w:numPr>
        <w:tabs>
          <w:tab w:val="clear" w:pos="964"/>
          <w:tab w:val="num" w:pos="1134"/>
        </w:tabs>
        <w:ind w:left="1134" w:hanging="425"/>
      </w:pPr>
      <w:r>
        <w:t xml:space="preserve">classification of equipment rental charges for non-network purposes as an excluded </w:t>
      </w:r>
      <w:r w:rsidR="00A13560">
        <w:t xml:space="preserve">network access </w:t>
      </w:r>
      <w:r>
        <w:t>service under clause 72(2), rather than under clause 72(3);</w:t>
      </w:r>
    </w:p>
    <w:p w14:paraId="70BAB87A" w14:textId="4180DDDD" w:rsidR="00FB1607" w:rsidRDefault="00FB1607" w:rsidP="008E229D">
      <w:pPr>
        <w:pStyle w:val="UtilComBulletText"/>
        <w:numPr>
          <w:ilvl w:val="0"/>
          <w:numId w:val="6"/>
        </w:numPr>
        <w:tabs>
          <w:tab w:val="clear" w:pos="964"/>
          <w:tab w:val="num" w:pos="1134"/>
        </w:tabs>
        <w:ind w:left="1134" w:hanging="425"/>
      </w:pPr>
      <w:r>
        <w:t>classification of investigation and testing services as an excluded service under clause 72(2), rather than under clause 72(3);</w:t>
      </w:r>
    </w:p>
    <w:p w14:paraId="464410CA" w14:textId="421EF7F8" w:rsidR="00FB1607" w:rsidRDefault="00FB1607" w:rsidP="008E229D">
      <w:pPr>
        <w:pStyle w:val="UtilComBulletText"/>
        <w:numPr>
          <w:ilvl w:val="0"/>
          <w:numId w:val="6"/>
        </w:numPr>
        <w:tabs>
          <w:tab w:val="clear" w:pos="964"/>
          <w:tab w:val="num" w:pos="1134"/>
        </w:tabs>
        <w:ind w:left="1134" w:hanging="425"/>
      </w:pPr>
      <w:r>
        <w:t xml:space="preserve">that the proposed new </w:t>
      </w:r>
      <w:r w:rsidR="00A13560">
        <w:t>excluded network access</w:t>
      </w:r>
      <w:r w:rsidRPr="00246D0C">
        <w:t xml:space="preserve"> service</w:t>
      </w:r>
      <w:r w:rsidRPr="006B25C1">
        <w:t xml:space="preserve"> </w:t>
      </w:r>
      <w:r>
        <w:t>for administrative services - miscellaneous</w:t>
      </w:r>
      <w:r w:rsidRPr="006B25C1">
        <w:t xml:space="preserve"> </w:t>
      </w:r>
      <w:r w:rsidR="00A13560">
        <w:t xml:space="preserve">was </w:t>
      </w:r>
      <w:r>
        <w:t>not approved; and</w:t>
      </w:r>
    </w:p>
    <w:p w14:paraId="3C44E196" w14:textId="78C924DF" w:rsidR="00FB1607" w:rsidRPr="00246D0C" w:rsidRDefault="00FB1607" w:rsidP="008E229D">
      <w:pPr>
        <w:pStyle w:val="UtilComBulletText"/>
        <w:numPr>
          <w:ilvl w:val="0"/>
          <w:numId w:val="6"/>
        </w:numPr>
        <w:tabs>
          <w:tab w:val="clear" w:pos="964"/>
          <w:tab w:val="num" w:pos="1134"/>
        </w:tabs>
        <w:ind w:left="1134" w:hanging="425"/>
      </w:pPr>
      <w:r>
        <w:t xml:space="preserve">that the proposed new </w:t>
      </w:r>
      <w:r w:rsidR="00A13560">
        <w:t>excluded network access</w:t>
      </w:r>
      <w:r w:rsidRPr="00246D0C">
        <w:t xml:space="preserve"> service for provision of network capacity in excess of Network Technical Code requirements</w:t>
      </w:r>
      <w:r>
        <w:t xml:space="preserve"> </w:t>
      </w:r>
      <w:r w:rsidR="00A13560">
        <w:t xml:space="preserve">was </w:t>
      </w:r>
      <w:r>
        <w:t>not approved.</w:t>
      </w:r>
    </w:p>
    <w:p w14:paraId="398F06EB" w14:textId="6A67321C" w:rsidR="004D6F69" w:rsidRDefault="00FB1607" w:rsidP="00CB1056">
      <w:pPr>
        <w:pStyle w:val="ListParagraph"/>
        <w:numPr>
          <w:ilvl w:val="1"/>
          <w:numId w:val="5"/>
        </w:numPr>
        <w:tabs>
          <w:tab w:val="num" w:pos="709"/>
        </w:tabs>
        <w:ind w:left="709" w:hanging="709"/>
        <w:rPr>
          <w:lang w:val="en-AU"/>
        </w:rPr>
      </w:pPr>
      <w:r>
        <w:rPr>
          <w:lang w:val="en-AU"/>
        </w:rPr>
        <w:t>The</w:t>
      </w:r>
      <w:r w:rsidR="004D6F69" w:rsidRPr="004D6F69">
        <w:rPr>
          <w:lang w:val="en-AU"/>
        </w:rPr>
        <w:t xml:space="preserve"> Commission’s </w:t>
      </w:r>
      <w:r w:rsidR="00A13560">
        <w:rPr>
          <w:lang w:val="en-AU"/>
        </w:rPr>
        <w:t xml:space="preserve">decision on </w:t>
      </w:r>
      <w:r w:rsidR="004D6F69" w:rsidRPr="004D6F69">
        <w:rPr>
          <w:lang w:val="en-AU"/>
        </w:rPr>
        <w:t xml:space="preserve">excluded </w:t>
      </w:r>
      <w:r w:rsidR="00A13560">
        <w:rPr>
          <w:lang w:val="en-AU"/>
        </w:rPr>
        <w:t xml:space="preserve">network access </w:t>
      </w:r>
      <w:r w:rsidR="004D6F69" w:rsidRPr="004D6F69">
        <w:rPr>
          <w:lang w:val="en-AU"/>
        </w:rPr>
        <w:t xml:space="preserve">services </w:t>
      </w:r>
      <w:r>
        <w:rPr>
          <w:lang w:val="en-AU"/>
        </w:rPr>
        <w:t>was</w:t>
      </w:r>
      <w:r w:rsidRPr="004D6F69">
        <w:rPr>
          <w:lang w:val="en-AU"/>
        </w:rPr>
        <w:t xml:space="preserve"> </w:t>
      </w:r>
      <w:r w:rsidR="004D6F69" w:rsidRPr="004D6F69">
        <w:rPr>
          <w:lang w:val="en-AU"/>
        </w:rPr>
        <w:t xml:space="preserve">set out in </w:t>
      </w:r>
      <w:r w:rsidR="00F6486C">
        <w:rPr>
          <w:lang w:val="en-AU"/>
        </w:rPr>
        <w:t>A</w:t>
      </w:r>
      <w:r w:rsidR="004D6F69" w:rsidRPr="004D6F69">
        <w:rPr>
          <w:lang w:val="en-AU"/>
        </w:rPr>
        <w:t xml:space="preserve">ppendix A of </w:t>
      </w:r>
      <w:r w:rsidR="003B3035">
        <w:rPr>
          <w:lang w:val="en-AU"/>
        </w:rPr>
        <w:t xml:space="preserve">the </w:t>
      </w:r>
      <w:r w:rsidR="00A13560">
        <w:rPr>
          <w:lang w:val="en-AU"/>
        </w:rPr>
        <w:t>Draft Determination</w:t>
      </w:r>
      <w:r w:rsidR="004D6F69" w:rsidRPr="004D6F69">
        <w:rPr>
          <w:lang w:val="en-AU"/>
        </w:rPr>
        <w:t>.</w:t>
      </w:r>
    </w:p>
    <w:p w14:paraId="3F092D87" w14:textId="099073DA" w:rsidR="00F87AC6" w:rsidRDefault="00F87AC6" w:rsidP="00F87AC6">
      <w:pPr>
        <w:pStyle w:val="UtilComHeading2"/>
      </w:pPr>
      <w:bookmarkStart w:id="50" w:name="_Toc385241451"/>
      <w:bookmarkStart w:id="51" w:name="_Toc386013004"/>
      <w:r>
        <w:t xml:space="preserve">PWC Networks’ </w:t>
      </w:r>
      <w:r w:rsidR="00D36DF0">
        <w:t xml:space="preserve">Revised Regulatory </w:t>
      </w:r>
      <w:bookmarkEnd w:id="50"/>
      <w:r w:rsidR="00D36DF0">
        <w:t>Proposal</w:t>
      </w:r>
      <w:bookmarkEnd w:id="51"/>
    </w:p>
    <w:p w14:paraId="5E246ACF" w14:textId="01B2E424" w:rsidR="00F87AC6" w:rsidRDefault="00F87AC6" w:rsidP="00F87AC6">
      <w:pPr>
        <w:pStyle w:val="ListParagraph"/>
        <w:numPr>
          <w:ilvl w:val="1"/>
          <w:numId w:val="5"/>
        </w:numPr>
        <w:tabs>
          <w:tab w:val="num" w:pos="709"/>
        </w:tabs>
        <w:ind w:left="709" w:hanging="709"/>
        <w:rPr>
          <w:lang w:val="en-AU"/>
        </w:rPr>
      </w:pPr>
      <w:r>
        <w:rPr>
          <w:lang w:val="en-AU"/>
        </w:rPr>
        <w:t>PWC Networks</w:t>
      </w:r>
      <w:r w:rsidRPr="00F87AC6">
        <w:rPr>
          <w:lang w:val="en-AU"/>
        </w:rPr>
        <w:t xml:space="preserve"> accepted the classification of services set out in the </w:t>
      </w:r>
      <w:r w:rsidR="00D01825">
        <w:rPr>
          <w:lang w:val="en-AU"/>
        </w:rPr>
        <w:t>D</w:t>
      </w:r>
      <w:r w:rsidR="00D01825" w:rsidRPr="00F87AC6">
        <w:rPr>
          <w:lang w:val="en-AU"/>
        </w:rPr>
        <w:t xml:space="preserve">raft </w:t>
      </w:r>
      <w:r w:rsidR="00D01825">
        <w:rPr>
          <w:lang w:val="en-AU"/>
        </w:rPr>
        <w:t>Determination</w:t>
      </w:r>
      <w:r w:rsidR="00D01825" w:rsidRPr="00F87AC6">
        <w:rPr>
          <w:lang w:val="en-AU"/>
        </w:rPr>
        <w:t xml:space="preserve"> </w:t>
      </w:r>
      <w:r>
        <w:rPr>
          <w:lang w:val="en-AU"/>
        </w:rPr>
        <w:t>except for the Commission’s decision not to cla</w:t>
      </w:r>
      <w:r w:rsidR="002A1F7B">
        <w:rPr>
          <w:lang w:val="en-AU"/>
        </w:rPr>
        <w:t>ss</w:t>
      </w:r>
      <w:r>
        <w:rPr>
          <w:lang w:val="en-AU"/>
        </w:rPr>
        <w:t xml:space="preserve">ify the proposed excluded </w:t>
      </w:r>
      <w:r w:rsidR="00D01825">
        <w:rPr>
          <w:lang w:val="en-AU"/>
        </w:rPr>
        <w:t xml:space="preserve">network access </w:t>
      </w:r>
      <w:r>
        <w:rPr>
          <w:lang w:val="en-AU"/>
        </w:rPr>
        <w:t>service</w:t>
      </w:r>
      <w:r w:rsidR="002A1F7B">
        <w:rPr>
          <w:lang w:val="en-AU"/>
        </w:rPr>
        <w:t xml:space="preserve"> for the provision of network capacity in excess of Network Technical Code requirements</w:t>
      </w:r>
      <w:r>
        <w:rPr>
          <w:lang w:val="en-AU"/>
        </w:rPr>
        <w:t xml:space="preserve">. PWC Networks also made some modifications to the service descriptions to provide further clarification for </w:t>
      </w:r>
      <w:r w:rsidR="00D01825">
        <w:rPr>
          <w:lang w:val="en-AU"/>
        </w:rPr>
        <w:t xml:space="preserve">retail </w:t>
      </w:r>
      <w:r>
        <w:rPr>
          <w:lang w:val="en-AU"/>
        </w:rPr>
        <w:t>customers and improve transparency and certainty.</w:t>
      </w:r>
    </w:p>
    <w:p w14:paraId="36226E14" w14:textId="05B91A70" w:rsidR="00926610" w:rsidRDefault="00D01825" w:rsidP="00F87AC6">
      <w:pPr>
        <w:pStyle w:val="ListParagraph"/>
        <w:numPr>
          <w:ilvl w:val="1"/>
          <w:numId w:val="5"/>
        </w:numPr>
        <w:tabs>
          <w:tab w:val="num" w:pos="709"/>
        </w:tabs>
        <w:ind w:left="709" w:hanging="709"/>
        <w:rPr>
          <w:lang w:val="en-AU"/>
        </w:rPr>
      </w:pPr>
      <w:r>
        <w:rPr>
          <w:lang w:val="en-AU"/>
        </w:rPr>
        <w:t>PWC Networks’</w:t>
      </w:r>
      <w:r w:rsidR="00926610">
        <w:rPr>
          <w:lang w:val="en-AU"/>
        </w:rPr>
        <w:t xml:space="preserve"> revised regulatory proposal advised that the power factor of loads on the </w:t>
      </w:r>
      <w:r w:rsidR="00BE3950">
        <w:rPr>
          <w:lang w:val="en-AU"/>
        </w:rPr>
        <w:t xml:space="preserve">electricity </w:t>
      </w:r>
      <w:r w:rsidR="00926610">
        <w:rPr>
          <w:lang w:val="en-AU"/>
        </w:rPr>
        <w:t>network has a significant impact on the network capacity that needs to be provided to maintain supply. PWC</w:t>
      </w:r>
      <w:r w:rsidR="00BE3950">
        <w:rPr>
          <w:lang w:val="en-AU"/>
        </w:rPr>
        <w:t> Networks</w:t>
      </w:r>
      <w:r w:rsidR="00926610">
        <w:rPr>
          <w:lang w:val="en-AU"/>
        </w:rPr>
        <w:t xml:space="preserve"> provided an example </w:t>
      </w:r>
      <w:r w:rsidR="00BE3950">
        <w:rPr>
          <w:lang w:val="en-AU"/>
        </w:rPr>
        <w:t xml:space="preserve">that </w:t>
      </w:r>
      <w:r w:rsidR="00926610">
        <w:rPr>
          <w:lang w:val="en-AU"/>
        </w:rPr>
        <w:t xml:space="preserve">a non-compliant </w:t>
      </w:r>
      <w:r w:rsidR="00BE3950">
        <w:rPr>
          <w:lang w:val="en-AU"/>
        </w:rPr>
        <w:t xml:space="preserve">retail </w:t>
      </w:r>
      <w:r w:rsidR="00926610">
        <w:rPr>
          <w:lang w:val="en-AU"/>
        </w:rPr>
        <w:t xml:space="preserve">customer with a low power factor of 0.7 presents a total power </w:t>
      </w:r>
      <w:r w:rsidR="006054B8">
        <w:rPr>
          <w:lang w:val="en-AU"/>
        </w:rPr>
        <w:t>demand</w:t>
      </w:r>
      <w:r w:rsidR="00926610">
        <w:rPr>
          <w:lang w:val="en-AU"/>
        </w:rPr>
        <w:t xml:space="preserve"> that is 29 per cent greater than that of a compliant </w:t>
      </w:r>
      <w:r w:rsidR="00BE3950">
        <w:rPr>
          <w:lang w:val="en-AU"/>
        </w:rPr>
        <w:t xml:space="preserve">retail </w:t>
      </w:r>
      <w:r w:rsidR="00926610">
        <w:rPr>
          <w:lang w:val="en-AU"/>
        </w:rPr>
        <w:t xml:space="preserve">customer with a power factor of 0.9, with each component of the </w:t>
      </w:r>
      <w:r w:rsidR="00BE3950">
        <w:rPr>
          <w:lang w:val="en-AU"/>
        </w:rPr>
        <w:t xml:space="preserve">electricity </w:t>
      </w:r>
      <w:r w:rsidR="00926610">
        <w:rPr>
          <w:lang w:val="en-AU"/>
        </w:rPr>
        <w:t>network (low and high voltage) required to be designed to accommodate the additional demand. PWC</w:t>
      </w:r>
      <w:r w:rsidR="00BE3950">
        <w:rPr>
          <w:lang w:val="en-AU"/>
        </w:rPr>
        <w:t> Networks</w:t>
      </w:r>
      <w:r w:rsidR="00926610">
        <w:rPr>
          <w:lang w:val="en-AU"/>
        </w:rPr>
        <w:t xml:space="preserve"> also added that electrical losses in the </w:t>
      </w:r>
      <w:r w:rsidR="00BE3950">
        <w:rPr>
          <w:lang w:val="en-AU"/>
        </w:rPr>
        <w:t xml:space="preserve">electricity </w:t>
      </w:r>
      <w:r w:rsidR="00926610">
        <w:rPr>
          <w:lang w:val="en-AU"/>
        </w:rPr>
        <w:t xml:space="preserve">network are proportional to the </w:t>
      </w:r>
      <w:r w:rsidR="006054B8">
        <w:rPr>
          <w:lang w:val="en-AU"/>
        </w:rPr>
        <w:t>square</w:t>
      </w:r>
      <w:r w:rsidR="00926610">
        <w:rPr>
          <w:lang w:val="en-AU"/>
        </w:rPr>
        <w:t xml:space="preserve"> of the load and the non-compliant </w:t>
      </w:r>
      <w:r w:rsidR="00BE3950">
        <w:rPr>
          <w:lang w:val="en-AU"/>
        </w:rPr>
        <w:t xml:space="preserve">retail </w:t>
      </w:r>
      <w:r w:rsidR="00926610">
        <w:rPr>
          <w:lang w:val="en-AU"/>
        </w:rPr>
        <w:t xml:space="preserve">customer would contribute 65 per cent more </w:t>
      </w:r>
      <w:r w:rsidR="00BE3950">
        <w:rPr>
          <w:lang w:val="en-AU"/>
        </w:rPr>
        <w:t xml:space="preserve">electricity </w:t>
      </w:r>
      <w:r w:rsidR="00926610">
        <w:rPr>
          <w:lang w:val="en-AU"/>
        </w:rPr>
        <w:t xml:space="preserve">network losses. </w:t>
      </w:r>
    </w:p>
    <w:p w14:paraId="61E5B7CD" w14:textId="0F8D2A0E" w:rsidR="00926610" w:rsidRDefault="00926610" w:rsidP="00F87AC6">
      <w:pPr>
        <w:pStyle w:val="ListParagraph"/>
        <w:numPr>
          <w:ilvl w:val="1"/>
          <w:numId w:val="5"/>
        </w:numPr>
        <w:tabs>
          <w:tab w:val="num" w:pos="709"/>
        </w:tabs>
        <w:ind w:left="709" w:hanging="709"/>
        <w:rPr>
          <w:lang w:val="en-AU"/>
        </w:rPr>
      </w:pPr>
      <w:r>
        <w:rPr>
          <w:lang w:val="en-AU"/>
        </w:rPr>
        <w:t>PWC</w:t>
      </w:r>
      <w:r w:rsidR="00BE3950">
        <w:rPr>
          <w:lang w:val="en-AU"/>
        </w:rPr>
        <w:t> Networks</w:t>
      </w:r>
      <w:r>
        <w:rPr>
          <w:lang w:val="en-AU"/>
        </w:rPr>
        <w:t xml:space="preserve"> recognised that power factor correction for small </w:t>
      </w:r>
      <w:r w:rsidR="00BE3950">
        <w:rPr>
          <w:lang w:val="en-AU"/>
        </w:rPr>
        <w:t xml:space="preserve">retail </w:t>
      </w:r>
      <w:r>
        <w:rPr>
          <w:lang w:val="en-AU"/>
        </w:rPr>
        <w:t xml:space="preserve">customers is usually not economic but correction for large </w:t>
      </w:r>
      <w:r w:rsidR="00BE3950">
        <w:rPr>
          <w:lang w:val="en-AU"/>
        </w:rPr>
        <w:t xml:space="preserve">retail </w:t>
      </w:r>
      <w:r>
        <w:rPr>
          <w:lang w:val="en-AU"/>
        </w:rPr>
        <w:t xml:space="preserve">customers is a cost effective solution as it reduces the demand placed on the </w:t>
      </w:r>
      <w:r w:rsidR="00BE3950">
        <w:rPr>
          <w:lang w:val="en-AU"/>
        </w:rPr>
        <w:t xml:space="preserve">electricity </w:t>
      </w:r>
      <w:r>
        <w:rPr>
          <w:lang w:val="en-AU"/>
        </w:rPr>
        <w:t xml:space="preserve">network at each upstream level. </w:t>
      </w:r>
    </w:p>
    <w:p w14:paraId="44C918B3" w14:textId="3B80C4D6" w:rsidR="00926610" w:rsidRDefault="00926610" w:rsidP="00F87AC6">
      <w:pPr>
        <w:pStyle w:val="ListParagraph"/>
        <w:numPr>
          <w:ilvl w:val="1"/>
          <w:numId w:val="5"/>
        </w:numPr>
        <w:tabs>
          <w:tab w:val="num" w:pos="709"/>
        </w:tabs>
        <w:ind w:left="709" w:hanging="709"/>
        <w:rPr>
          <w:lang w:val="en-AU"/>
        </w:rPr>
      </w:pPr>
      <w:r>
        <w:rPr>
          <w:lang w:val="en-AU"/>
        </w:rPr>
        <w:t>PWC</w:t>
      </w:r>
      <w:r w:rsidR="00BE3950">
        <w:rPr>
          <w:lang w:val="en-AU"/>
        </w:rPr>
        <w:t> Networks</w:t>
      </w:r>
      <w:r>
        <w:rPr>
          <w:lang w:val="en-AU"/>
        </w:rPr>
        <w:t xml:space="preserve"> noted that the proportion of large </w:t>
      </w:r>
      <w:r w:rsidR="00BE3950">
        <w:rPr>
          <w:lang w:val="en-AU"/>
        </w:rPr>
        <w:t xml:space="preserve">retail </w:t>
      </w:r>
      <w:r>
        <w:rPr>
          <w:lang w:val="en-AU"/>
        </w:rPr>
        <w:t>customers that have a power factor lower than the Network Technical Code requirement is significant. PWC</w:t>
      </w:r>
      <w:r w:rsidR="00BE3950">
        <w:rPr>
          <w:lang w:val="en-AU"/>
        </w:rPr>
        <w:t> Networks</w:t>
      </w:r>
      <w:r>
        <w:rPr>
          <w:lang w:val="en-AU"/>
        </w:rPr>
        <w:t xml:space="preserve"> advised that while PWC Networks already has kVA tariffs, the financial incentive for non-compliant </w:t>
      </w:r>
      <w:r w:rsidR="00BE3950">
        <w:rPr>
          <w:lang w:val="en-AU"/>
        </w:rPr>
        <w:t xml:space="preserve">retail </w:t>
      </w:r>
      <w:r>
        <w:rPr>
          <w:lang w:val="en-AU"/>
        </w:rPr>
        <w:t xml:space="preserve">customers to reduce their power factor is insufficient and a small fraction of the costs the </w:t>
      </w:r>
      <w:r w:rsidR="00BE3950">
        <w:rPr>
          <w:lang w:val="en-AU"/>
        </w:rPr>
        <w:t xml:space="preserve">retail </w:t>
      </w:r>
      <w:r>
        <w:rPr>
          <w:lang w:val="en-AU"/>
        </w:rPr>
        <w:t xml:space="preserve">customers impose on the </w:t>
      </w:r>
      <w:r w:rsidR="00BE3950">
        <w:rPr>
          <w:lang w:val="en-AU"/>
        </w:rPr>
        <w:t xml:space="preserve">electricity </w:t>
      </w:r>
      <w:r>
        <w:rPr>
          <w:lang w:val="en-AU"/>
        </w:rPr>
        <w:t>network.</w:t>
      </w:r>
    </w:p>
    <w:p w14:paraId="71C57413" w14:textId="255E2622" w:rsidR="005C6980" w:rsidRDefault="005C6980" w:rsidP="00F87AC6">
      <w:pPr>
        <w:pStyle w:val="ListParagraph"/>
        <w:numPr>
          <w:ilvl w:val="1"/>
          <w:numId w:val="5"/>
        </w:numPr>
        <w:tabs>
          <w:tab w:val="num" w:pos="709"/>
        </w:tabs>
        <w:ind w:left="709" w:hanging="709"/>
        <w:rPr>
          <w:lang w:val="en-AU"/>
        </w:rPr>
      </w:pPr>
      <w:r>
        <w:rPr>
          <w:lang w:val="en-AU"/>
        </w:rPr>
        <w:t>PWC</w:t>
      </w:r>
      <w:r w:rsidR="00BE3950">
        <w:rPr>
          <w:lang w:val="en-AU"/>
        </w:rPr>
        <w:t> Networks</w:t>
      </w:r>
      <w:r>
        <w:rPr>
          <w:lang w:val="en-AU"/>
        </w:rPr>
        <w:t xml:space="preserve"> noted that experience in the NEM suggests that power factor improvements have only been obtained as a result of direct negotiation with the </w:t>
      </w:r>
      <w:r w:rsidR="00BE3950">
        <w:rPr>
          <w:lang w:val="en-AU"/>
        </w:rPr>
        <w:t xml:space="preserve">retail </w:t>
      </w:r>
      <w:r>
        <w:rPr>
          <w:lang w:val="en-AU"/>
        </w:rPr>
        <w:t xml:space="preserve">customers concerned or, as in the case of SA Power Networks, through the use of an </w:t>
      </w:r>
      <w:r w:rsidR="002A1F7B">
        <w:rPr>
          <w:lang w:val="en-AU"/>
        </w:rPr>
        <w:t>e</w:t>
      </w:r>
      <w:r>
        <w:rPr>
          <w:lang w:val="en-AU"/>
        </w:rPr>
        <w:t>xcess kVAr charge.</w:t>
      </w:r>
    </w:p>
    <w:p w14:paraId="3F02F011" w14:textId="7DDE84F4" w:rsidR="00BB4EB2" w:rsidRDefault="00BE3950" w:rsidP="00F87AC6">
      <w:pPr>
        <w:pStyle w:val="ListParagraph"/>
        <w:numPr>
          <w:ilvl w:val="1"/>
          <w:numId w:val="5"/>
        </w:numPr>
        <w:tabs>
          <w:tab w:val="num" w:pos="709"/>
        </w:tabs>
        <w:ind w:left="709" w:hanging="709"/>
        <w:rPr>
          <w:lang w:val="en-AU"/>
        </w:rPr>
      </w:pPr>
      <w:r>
        <w:rPr>
          <w:lang w:val="en-AU"/>
        </w:rPr>
        <w:t xml:space="preserve">PWC Networks’ </w:t>
      </w:r>
      <w:r w:rsidR="005C6980">
        <w:rPr>
          <w:lang w:val="en-AU"/>
        </w:rPr>
        <w:t xml:space="preserve">revised regulatory proposal noted that the proposed kVAr tariffs was not designed to recover the costs of </w:t>
      </w:r>
      <w:r>
        <w:rPr>
          <w:lang w:val="en-AU"/>
        </w:rPr>
        <w:t>extension</w:t>
      </w:r>
      <w:r w:rsidR="005C6980">
        <w:rPr>
          <w:lang w:val="en-AU"/>
        </w:rPr>
        <w:t xml:space="preserve">, but rather seeks to avoid imposing </w:t>
      </w:r>
      <w:r>
        <w:rPr>
          <w:lang w:val="en-AU"/>
        </w:rPr>
        <w:t xml:space="preserve">extension </w:t>
      </w:r>
      <w:r w:rsidR="005C6980">
        <w:rPr>
          <w:lang w:val="en-AU"/>
        </w:rPr>
        <w:t xml:space="preserve">costs on all </w:t>
      </w:r>
      <w:r w:rsidR="004D5765">
        <w:rPr>
          <w:lang w:val="en-AU"/>
        </w:rPr>
        <w:t xml:space="preserve">retail </w:t>
      </w:r>
      <w:r w:rsidR="005C6980">
        <w:rPr>
          <w:lang w:val="en-AU"/>
        </w:rPr>
        <w:t xml:space="preserve">customers through standard </w:t>
      </w:r>
      <w:r w:rsidR="004D5765">
        <w:rPr>
          <w:lang w:val="en-AU"/>
        </w:rPr>
        <w:t xml:space="preserve">network access </w:t>
      </w:r>
      <w:r w:rsidR="005C6980">
        <w:rPr>
          <w:lang w:val="en-AU"/>
        </w:rPr>
        <w:t xml:space="preserve">service charges, by providing sufficient incentive for a non-compliant </w:t>
      </w:r>
      <w:r w:rsidR="004D5765">
        <w:rPr>
          <w:lang w:val="en-AU"/>
        </w:rPr>
        <w:t xml:space="preserve">retail </w:t>
      </w:r>
      <w:r w:rsidR="005C6980">
        <w:rPr>
          <w:lang w:val="en-AU"/>
        </w:rPr>
        <w:t xml:space="preserve">customer to comply with the Network Technical Code requirements. </w:t>
      </w:r>
    </w:p>
    <w:p w14:paraId="6EC09D0E" w14:textId="78A1FEC4" w:rsidR="005C6980" w:rsidRDefault="004D5765" w:rsidP="004D5765">
      <w:pPr>
        <w:pStyle w:val="ListParagraph"/>
        <w:numPr>
          <w:ilvl w:val="1"/>
          <w:numId w:val="5"/>
        </w:numPr>
        <w:tabs>
          <w:tab w:val="num" w:pos="709"/>
        </w:tabs>
        <w:ind w:left="709" w:hanging="709"/>
        <w:rPr>
          <w:lang w:val="en-AU"/>
        </w:rPr>
      </w:pPr>
      <w:r>
        <w:rPr>
          <w:lang w:val="en-AU"/>
        </w:rPr>
        <w:t xml:space="preserve">PWC Networks’ </w:t>
      </w:r>
      <w:r w:rsidR="005C6980">
        <w:rPr>
          <w:lang w:val="en-AU"/>
        </w:rPr>
        <w:t xml:space="preserve">revised regulatory </w:t>
      </w:r>
      <w:r>
        <w:rPr>
          <w:lang w:val="en-AU"/>
        </w:rPr>
        <w:t xml:space="preserve">proposal </w:t>
      </w:r>
      <w:r w:rsidR="005C6980">
        <w:rPr>
          <w:lang w:val="en-AU"/>
        </w:rPr>
        <w:t xml:space="preserve">noted that costs associated with the provision of excess reactive power can be identified on an average basis, and while the costs are material, they are an average across all </w:t>
      </w:r>
      <w:r>
        <w:rPr>
          <w:lang w:val="en-AU"/>
        </w:rPr>
        <w:t xml:space="preserve">retail </w:t>
      </w:r>
      <w:r w:rsidR="005C6980">
        <w:rPr>
          <w:lang w:val="en-AU"/>
        </w:rPr>
        <w:t>customers. PWC further noted that while specific costs cannot be readily identified as a component of PWC Networks</w:t>
      </w:r>
      <w:r w:rsidR="002A1F7B">
        <w:rPr>
          <w:lang w:val="en-AU"/>
        </w:rPr>
        <w:t>’</w:t>
      </w:r>
      <w:r w:rsidR="005C6980">
        <w:rPr>
          <w:lang w:val="en-AU"/>
        </w:rPr>
        <w:t xml:space="preserve"> cost base, they </w:t>
      </w:r>
      <w:r>
        <w:rPr>
          <w:lang w:val="en-AU"/>
        </w:rPr>
        <w:t xml:space="preserve">were </w:t>
      </w:r>
      <w:r w:rsidR="005C6980">
        <w:rPr>
          <w:lang w:val="en-AU"/>
        </w:rPr>
        <w:t xml:space="preserve">unlikely to be material and should not preclude the </w:t>
      </w:r>
      <w:r>
        <w:rPr>
          <w:lang w:val="en-AU"/>
        </w:rPr>
        <w:t xml:space="preserve">charge for </w:t>
      </w:r>
      <w:r w:rsidRPr="004D5765">
        <w:rPr>
          <w:lang w:val="en-AU"/>
        </w:rPr>
        <w:t xml:space="preserve">provision of network capacity in excess of Network Technical Code requirements </w:t>
      </w:r>
      <w:r w:rsidR="005C6980">
        <w:rPr>
          <w:lang w:val="en-AU"/>
        </w:rPr>
        <w:t xml:space="preserve">being an </w:t>
      </w:r>
      <w:r>
        <w:rPr>
          <w:lang w:val="en-AU"/>
        </w:rPr>
        <w:t>excluded network access service</w:t>
      </w:r>
      <w:r w:rsidR="005C6980">
        <w:rPr>
          <w:lang w:val="en-AU"/>
        </w:rPr>
        <w:t xml:space="preserve">. </w:t>
      </w:r>
    </w:p>
    <w:p w14:paraId="78A22BBC" w14:textId="4646598B" w:rsidR="00BB4EB2" w:rsidRDefault="00BB4EB2" w:rsidP="00BB4EB2">
      <w:pPr>
        <w:pStyle w:val="UtilComHeading2"/>
      </w:pPr>
      <w:bookmarkStart w:id="52" w:name="_Toc385241452"/>
      <w:bookmarkStart w:id="53" w:name="_Toc386013005"/>
      <w:r>
        <w:t xml:space="preserve">Submissions on </w:t>
      </w:r>
      <w:r w:rsidR="003F0B6D">
        <w:t xml:space="preserve">Draft Determination </w:t>
      </w:r>
      <w:r>
        <w:t xml:space="preserve">and </w:t>
      </w:r>
      <w:r w:rsidR="001F36EB">
        <w:t xml:space="preserve">Revised Regulatory </w:t>
      </w:r>
      <w:bookmarkEnd w:id="52"/>
      <w:r w:rsidR="001F36EB">
        <w:t>Proposal</w:t>
      </w:r>
      <w:bookmarkEnd w:id="53"/>
    </w:p>
    <w:p w14:paraId="0074BCD1" w14:textId="77777777" w:rsidR="008B54F4" w:rsidRDefault="008B54F4" w:rsidP="00F87AC6">
      <w:pPr>
        <w:pStyle w:val="ListParagraph"/>
        <w:numPr>
          <w:ilvl w:val="1"/>
          <w:numId w:val="5"/>
        </w:numPr>
        <w:tabs>
          <w:tab w:val="num" w:pos="709"/>
        </w:tabs>
        <w:ind w:left="709" w:hanging="709"/>
        <w:rPr>
          <w:lang w:val="en-AU"/>
        </w:rPr>
      </w:pPr>
      <w:r>
        <w:rPr>
          <w:lang w:val="en-AU"/>
        </w:rPr>
        <w:t>The Commission received two submissions in relation to the classification of public lighting</w:t>
      </w:r>
      <w:r w:rsidR="00957E34">
        <w:rPr>
          <w:lang w:val="en-AU"/>
        </w:rPr>
        <w:t xml:space="preserve"> (street lighting)</w:t>
      </w:r>
      <w:r>
        <w:rPr>
          <w:lang w:val="en-AU"/>
        </w:rPr>
        <w:t>.</w:t>
      </w:r>
    </w:p>
    <w:p w14:paraId="197C5899" w14:textId="65DA48C1" w:rsidR="008B54F4" w:rsidRDefault="008B54F4" w:rsidP="00F87AC6">
      <w:pPr>
        <w:pStyle w:val="ListParagraph"/>
        <w:numPr>
          <w:ilvl w:val="1"/>
          <w:numId w:val="5"/>
        </w:numPr>
        <w:tabs>
          <w:tab w:val="num" w:pos="709"/>
        </w:tabs>
        <w:ind w:left="709" w:hanging="709"/>
        <w:rPr>
          <w:lang w:val="en-AU"/>
        </w:rPr>
      </w:pPr>
      <w:r>
        <w:rPr>
          <w:lang w:val="en-AU"/>
        </w:rPr>
        <w:t xml:space="preserve">The submission from the </w:t>
      </w:r>
      <w:r w:rsidR="00742795">
        <w:rPr>
          <w:lang w:val="en-AU"/>
        </w:rPr>
        <w:t>LGANT</w:t>
      </w:r>
      <w:r>
        <w:rPr>
          <w:lang w:val="en-AU"/>
        </w:rPr>
        <w:t xml:space="preserve"> supported </w:t>
      </w:r>
      <w:r w:rsidR="003F0B6D">
        <w:rPr>
          <w:lang w:val="en-AU"/>
        </w:rPr>
        <w:t xml:space="preserve">PWC Networks’ </w:t>
      </w:r>
      <w:r>
        <w:rPr>
          <w:lang w:val="en-AU"/>
        </w:rPr>
        <w:t>proposal to establish a separate unmetered public lighting tariff but raised concerns that the tariff would not be cost-reflective and PWC</w:t>
      </w:r>
      <w:r w:rsidR="003F0B6D">
        <w:rPr>
          <w:lang w:val="en-AU"/>
        </w:rPr>
        <w:t> Networks</w:t>
      </w:r>
      <w:r>
        <w:rPr>
          <w:lang w:val="en-AU"/>
        </w:rPr>
        <w:t xml:space="preserve"> should be required to establish a cost reflective charge for unmetered street lighting that recognises its unique characteristics (including</w:t>
      </w:r>
      <w:r w:rsidR="00647F68">
        <w:rPr>
          <w:lang w:val="en-AU"/>
        </w:rPr>
        <w:t xml:space="preserve"> that it is</w:t>
      </w:r>
      <w:r>
        <w:rPr>
          <w:lang w:val="en-AU"/>
        </w:rPr>
        <w:t xml:space="preserve"> predominately off-peak</w:t>
      </w:r>
      <w:r w:rsidR="00742795">
        <w:rPr>
          <w:lang w:val="en-AU"/>
        </w:rPr>
        <w:t xml:space="preserve"> </w:t>
      </w:r>
      <w:r>
        <w:rPr>
          <w:lang w:val="en-AU"/>
        </w:rPr>
        <w:t xml:space="preserve">with a flat load when in operation). </w:t>
      </w:r>
    </w:p>
    <w:p w14:paraId="525FA1AD" w14:textId="02260735" w:rsidR="00957E34" w:rsidRDefault="00FE4BF8" w:rsidP="00F87AC6">
      <w:pPr>
        <w:pStyle w:val="ListParagraph"/>
        <w:numPr>
          <w:ilvl w:val="1"/>
          <w:numId w:val="5"/>
        </w:numPr>
        <w:tabs>
          <w:tab w:val="num" w:pos="709"/>
        </w:tabs>
        <w:ind w:left="709" w:hanging="709"/>
        <w:rPr>
          <w:lang w:val="en-AU"/>
        </w:rPr>
      </w:pPr>
      <w:r>
        <w:rPr>
          <w:lang w:val="en-AU"/>
        </w:rPr>
        <w:t xml:space="preserve">LGANT </w:t>
      </w:r>
      <w:r w:rsidR="00957E34">
        <w:rPr>
          <w:lang w:val="en-AU"/>
        </w:rPr>
        <w:t xml:space="preserve">also raised the issue of classification and </w:t>
      </w:r>
      <w:r w:rsidR="00647F68">
        <w:rPr>
          <w:lang w:val="en-AU"/>
        </w:rPr>
        <w:t xml:space="preserve">that </w:t>
      </w:r>
      <w:r w:rsidR="00957E34">
        <w:rPr>
          <w:lang w:val="en-AU"/>
        </w:rPr>
        <w:t xml:space="preserve">the transition to NER classifications and supported street lighting being classified as a </w:t>
      </w:r>
      <w:r w:rsidR="00045AA3">
        <w:rPr>
          <w:lang w:val="en-AU"/>
        </w:rPr>
        <w:t>’</w:t>
      </w:r>
      <w:r w:rsidR="00957E34">
        <w:rPr>
          <w:lang w:val="en-AU"/>
        </w:rPr>
        <w:t xml:space="preserve">negotiated </w:t>
      </w:r>
      <w:r w:rsidR="003F0B6D">
        <w:rPr>
          <w:lang w:val="en-AU"/>
        </w:rPr>
        <w:t xml:space="preserve">distribution </w:t>
      </w:r>
      <w:r w:rsidR="00957E34">
        <w:rPr>
          <w:lang w:val="en-AU"/>
        </w:rPr>
        <w:t>service</w:t>
      </w:r>
      <w:r w:rsidR="00045AA3">
        <w:rPr>
          <w:lang w:val="en-AU"/>
        </w:rPr>
        <w:t xml:space="preserve">‘ </w:t>
      </w:r>
      <w:r w:rsidR="00957E34">
        <w:rPr>
          <w:lang w:val="en-AU"/>
        </w:rPr>
        <w:t xml:space="preserve">under the NER. In support of its view, LGANT advised that classification of street lighting as a negotiated distribution services allowed flexibility of both service provision and price, a critical consideration due to the increasing changes in technology and related services. </w:t>
      </w:r>
    </w:p>
    <w:p w14:paraId="39CA42C0" w14:textId="3F80BC92" w:rsidR="00BB4EB2" w:rsidRDefault="00957E34" w:rsidP="00F87AC6">
      <w:pPr>
        <w:pStyle w:val="ListParagraph"/>
        <w:numPr>
          <w:ilvl w:val="1"/>
          <w:numId w:val="5"/>
        </w:numPr>
        <w:tabs>
          <w:tab w:val="num" w:pos="709"/>
        </w:tabs>
        <w:ind w:left="709" w:hanging="709"/>
        <w:rPr>
          <w:lang w:val="en-AU"/>
        </w:rPr>
      </w:pPr>
      <w:r>
        <w:rPr>
          <w:lang w:val="en-AU"/>
        </w:rPr>
        <w:t xml:space="preserve">The submission from TTEG also focused on the classification and form of price control for public lighting. </w:t>
      </w:r>
      <w:r w:rsidR="00FD4554">
        <w:rPr>
          <w:lang w:val="en-AU"/>
        </w:rPr>
        <w:t xml:space="preserve">TTEG noted the Commission’s classification of street lighting as an </w:t>
      </w:r>
      <w:r w:rsidR="003F0B6D">
        <w:rPr>
          <w:lang w:val="en-AU"/>
        </w:rPr>
        <w:t>excluded network access</w:t>
      </w:r>
      <w:r w:rsidR="00FD4554">
        <w:rPr>
          <w:lang w:val="en-AU"/>
        </w:rPr>
        <w:t xml:space="preserve"> which required PWC</w:t>
      </w:r>
      <w:r w:rsidR="003F0B6D">
        <w:rPr>
          <w:lang w:val="en-AU"/>
        </w:rPr>
        <w:t> Networks</w:t>
      </w:r>
      <w:r w:rsidR="00FD4554">
        <w:rPr>
          <w:lang w:val="en-AU"/>
        </w:rPr>
        <w:t xml:space="preserve"> and its </w:t>
      </w:r>
      <w:r w:rsidR="003F0B6D">
        <w:rPr>
          <w:lang w:val="en-AU"/>
        </w:rPr>
        <w:t xml:space="preserve">retail </w:t>
      </w:r>
      <w:r w:rsidR="00FD4554">
        <w:rPr>
          <w:lang w:val="en-AU"/>
        </w:rPr>
        <w:t xml:space="preserve">customers to negotiate on services and costs. TTEG purported that with references to the NER, street lighting would be considered a </w:t>
      </w:r>
      <w:r w:rsidR="003F0B6D">
        <w:rPr>
          <w:lang w:val="en-AU"/>
        </w:rPr>
        <w:t>’negotiated distribution service</w:t>
      </w:r>
      <w:r w:rsidR="00045AA3">
        <w:rPr>
          <w:lang w:val="en-AU"/>
        </w:rPr>
        <w:t xml:space="preserve">‘. </w:t>
      </w:r>
    </w:p>
    <w:p w14:paraId="1F6F9A44" w14:textId="5B910620" w:rsidR="00BB4EB2" w:rsidRPr="00BB4EB2" w:rsidRDefault="00BB4EB2" w:rsidP="00BB4EB2">
      <w:pPr>
        <w:pStyle w:val="UtilComHeading2"/>
      </w:pPr>
      <w:bookmarkStart w:id="54" w:name="_Toc385241453"/>
      <w:bookmarkStart w:id="55" w:name="_Toc386013006"/>
      <w:r w:rsidRPr="00BB4EB2">
        <w:t xml:space="preserve">Issues and Commission’s </w:t>
      </w:r>
      <w:r w:rsidR="001F36EB">
        <w:t>Further</w:t>
      </w:r>
      <w:r w:rsidR="001F36EB" w:rsidRPr="00BB4EB2">
        <w:t xml:space="preserve"> </w:t>
      </w:r>
      <w:bookmarkEnd w:id="54"/>
      <w:r w:rsidR="001F36EB">
        <w:t>C</w:t>
      </w:r>
      <w:r w:rsidR="001F36EB" w:rsidRPr="00BB4EB2">
        <w:t>onsiderations</w:t>
      </w:r>
      <w:bookmarkEnd w:id="55"/>
      <w:r w:rsidR="001F36EB">
        <w:t xml:space="preserve"> </w:t>
      </w:r>
    </w:p>
    <w:p w14:paraId="177DE65E" w14:textId="3E60C865" w:rsidR="00F27807" w:rsidRDefault="00F27807" w:rsidP="00F27807">
      <w:pPr>
        <w:pStyle w:val="ListParagraph"/>
        <w:numPr>
          <w:ilvl w:val="1"/>
          <w:numId w:val="5"/>
        </w:numPr>
        <w:tabs>
          <w:tab w:val="num" w:pos="709"/>
        </w:tabs>
        <w:ind w:left="709" w:hanging="709"/>
        <w:rPr>
          <w:lang w:val="en-AU"/>
        </w:rPr>
      </w:pPr>
      <w:r>
        <w:rPr>
          <w:lang w:val="en-AU"/>
        </w:rPr>
        <w:t xml:space="preserve">The Commission notes that previous use of the term ‘alternative control services’ has caused confusion. The correct terminology </w:t>
      </w:r>
      <w:r w:rsidR="004E3725">
        <w:rPr>
          <w:lang w:val="en-AU"/>
        </w:rPr>
        <w:t xml:space="preserve">under the Network Access Code </w:t>
      </w:r>
      <w:r>
        <w:rPr>
          <w:lang w:val="en-AU"/>
        </w:rPr>
        <w:t>is ‘excluded network access services’</w:t>
      </w:r>
      <w:r w:rsidR="004E3725">
        <w:rPr>
          <w:lang w:val="en-AU"/>
        </w:rPr>
        <w:t>. The correct terminology has been used</w:t>
      </w:r>
      <w:r>
        <w:rPr>
          <w:lang w:val="en-AU"/>
        </w:rPr>
        <w:t xml:space="preserve"> for this Final Determination. A</w:t>
      </w:r>
      <w:r w:rsidR="00CB4CEA">
        <w:rPr>
          <w:lang w:val="en-AU"/>
        </w:rPr>
        <w:t>ny</w:t>
      </w:r>
      <w:r>
        <w:rPr>
          <w:lang w:val="en-AU"/>
        </w:rPr>
        <w:t xml:space="preserve"> </w:t>
      </w:r>
      <w:r w:rsidR="004E3725">
        <w:rPr>
          <w:lang w:val="en-AU"/>
        </w:rPr>
        <w:t>p</w:t>
      </w:r>
      <w:r w:rsidR="00E17F83">
        <w:rPr>
          <w:lang w:val="en-AU"/>
        </w:rPr>
        <w:t xml:space="preserve">revious </w:t>
      </w:r>
      <w:r>
        <w:rPr>
          <w:lang w:val="en-AU"/>
        </w:rPr>
        <w:t xml:space="preserve">references to alternative control services should be taken </w:t>
      </w:r>
      <w:r w:rsidR="004E3725">
        <w:rPr>
          <w:lang w:val="en-AU"/>
        </w:rPr>
        <w:t xml:space="preserve">as references </w:t>
      </w:r>
      <w:r>
        <w:rPr>
          <w:lang w:val="en-AU"/>
        </w:rPr>
        <w:t xml:space="preserve">to </w:t>
      </w:r>
      <w:r w:rsidRPr="00B55CB0">
        <w:rPr>
          <w:lang w:val="en-AU"/>
        </w:rPr>
        <w:t>excluded network access services</w:t>
      </w:r>
      <w:r>
        <w:rPr>
          <w:lang w:val="en-AU"/>
        </w:rPr>
        <w:t>.</w:t>
      </w:r>
    </w:p>
    <w:p w14:paraId="1230E709" w14:textId="4799D098" w:rsidR="00CB4CEA" w:rsidRDefault="00F27807">
      <w:pPr>
        <w:pStyle w:val="ListParagraph"/>
        <w:numPr>
          <w:ilvl w:val="1"/>
          <w:numId w:val="5"/>
        </w:numPr>
        <w:tabs>
          <w:tab w:val="num" w:pos="709"/>
        </w:tabs>
        <w:ind w:left="709" w:hanging="709"/>
        <w:rPr>
          <w:lang w:val="en-AU"/>
        </w:rPr>
      </w:pPr>
      <w:r>
        <w:rPr>
          <w:lang w:val="en-AU"/>
        </w:rPr>
        <w:t>In relation to the submissions from LGANT and TTEG</w:t>
      </w:r>
      <w:r w:rsidR="00CB4CEA">
        <w:rPr>
          <w:lang w:val="en-AU"/>
        </w:rPr>
        <w:t xml:space="preserve">, </w:t>
      </w:r>
      <w:r>
        <w:rPr>
          <w:lang w:val="en-AU"/>
        </w:rPr>
        <w:t xml:space="preserve">charges for </w:t>
      </w:r>
      <w:r w:rsidR="009C5131">
        <w:rPr>
          <w:lang w:val="en-AU"/>
        </w:rPr>
        <w:t>street</w:t>
      </w:r>
      <w:r w:rsidR="00FD4554">
        <w:rPr>
          <w:lang w:val="en-AU"/>
        </w:rPr>
        <w:t xml:space="preserve"> </w:t>
      </w:r>
      <w:r w:rsidR="009C5131">
        <w:rPr>
          <w:lang w:val="en-AU"/>
        </w:rPr>
        <w:t xml:space="preserve">lighting </w:t>
      </w:r>
      <w:r w:rsidR="00CB4CEA">
        <w:rPr>
          <w:lang w:val="en-AU"/>
        </w:rPr>
        <w:t xml:space="preserve">as an excluded network access service (either subject to competition or not) are </w:t>
      </w:r>
      <w:r w:rsidR="009C5131">
        <w:rPr>
          <w:lang w:val="en-AU"/>
        </w:rPr>
        <w:t xml:space="preserve">outside of </w:t>
      </w:r>
      <w:r w:rsidR="00647F68">
        <w:rPr>
          <w:lang w:val="en-AU"/>
        </w:rPr>
        <w:t xml:space="preserve">the </w:t>
      </w:r>
      <w:r w:rsidR="009C5131">
        <w:rPr>
          <w:lang w:val="en-AU"/>
        </w:rPr>
        <w:t xml:space="preserve">scope </w:t>
      </w:r>
      <w:r w:rsidR="00647F68">
        <w:rPr>
          <w:lang w:val="en-AU"/>
        </w:rPr>
        <w:t xml:space="preserve">of the </w:t>
      </w:r>
      <w:r w:rsidR="009C5131">
        <w:rPr>
          <w:lang w:val="en-AU"/>
        </w:rPr>
        <w:t>Commission’s</w:t>
      </w:r>
      <w:r w:rsidR="00CB4CEA">
        <w:rPr>
          <w:lang w:val="en-AU"/>
        </w:rPr>
        <w:t xml:space="preserve"> authority</w:t>
      </w:r>
      <w:r w:rsidR="004E3725">
        <w:rPr>
          <w:lang w:val="en-AU"/>
        </w:rPr>
        <w:t xml:space="preserve"> for the purposes of making the 2014</w:t>
      </w:r>
      <w:r w:rsidR="00647F68">
        <w:rPr>
          <w:lang w:val="en-AU"/>
        </w:rPr>
        <w:t> </w:t>
      </w:r>
      <w:r w:rsidR="004E3725">
        <w:rPr>
          <w:lang w:val="en-AU"/>
        </w:rPr>
        <w:t>Network Price Determination</w:t>
      </w:r>
      <w:r w:rsidR="00CB4CEA">
        <w:rPr>
          <w:lang w:val="en-AU"/>
        </w:rPr>
        <w:t xml:space="preserve">. </w:t>
      </w:r>
    </w:p>
    <w:p w14:paraId="791BEE87" w14:textId="1AA8F33A" w:rsidR="00CB4CEA" w:rsidRDefault="00CB4CEA">
      <w:pPr>
        <w:pStyle w:val="ListParagraph"/>
        <w:numPr>
          <w:ilvl w:val="1"/>
          <w:numId w:val="5"/>
        </w:numPr>
        <w:tabs>
          <w:tab w:val="num" w:pos="709"/>
        </w:tabs>
        <w:ind w:left="709" w:hanging="709"/>
        <w:rPr>
          <w:lang w:val="en-AU"/>
        </w:rPr>
      </w:pPr>
      <w:r>
        <w:rPr>
          <w:lang w:val="en-AU"/>
        </w:rPr>
        <w:t xml:space="preserve">The only authority the Commission has is to determine whether costs associated with </w:t>
      </w:r>
      <w:r w:rsidR="00647F68">
        <w:rPr>
          <w:lang w:val="en-AU"/>
        </w:rPr>
        <w:t>an</w:t>
      </w:r>
      <w:r>
        <w:rPr>
          <w:lang w:val="en-AU"/>
        </w:rPr>
        <w:t xml:space="preserve"> excluded </w:t>
      </w:r>
      <w:r w:rsidR="004914B8">
        <w:rPr>
          <w:lang w:val="en-AU"/>
        </w:rPr>
        <w:t xml:space="preserve">network access </w:t>
      </w:r>
      <w:r>
        <w:rPr>
          <w:lang w:val="en-AU"/>
        </w:rPr>
        <w:t xml:space="preserve">service </w:t>
      </w:r>
      <w:r w:rsidR="009C5131">
        <w:rPr>
          <w:lang w:val="en-AU"/>
        </w:rPr>
        <w:t>can be excluded from revenue cap</w:t>
      </w:r>
      <w:r w:rsidR="004914B8">
        <w:rPr>
          <w:lang w:val="en-AU"/>
        </w:rPr>
        <w:t xml:space="preserve"> or price cap</w:t>
      </w:r>
      <w:r w:rsidR="009C5131">
        <w:rPr>
          <w:lang w:val="en-AU"/>
        </w:rPr>
        <w:t xml:space="preserve">. </w:t>
      </w:r>
      <w:r>
        <w:rPr>
          <w:lang w:val="en-AU"/>
        </w:rPr>
        <w:t xml:space="preserve">The Commission considers that </w:t>
      </w:r>
      <w:r w:rsidR="007B00C7">
        <w:rPr>
          <w:lang w:val="en-AU"/>
        </w:rPr>
        <w:t xml:space="preserve">costs relating to the repair and maintenance of </w:t>
      </w:r>
      <w:r>
        <w:rPr>
          <w:lang w:val="en-AU"/>
        </w:rPr>
        <w:t>street lighting costs can be appropriately separated from the revenue cap</w:t>
      </w:r>
      <w:r w:rsidR="004914B8">
        <w:rPr>
          <w:lang w:val="en-AU"/>
        </w:rPr>
        <w:t xml:space="preserve"> or price cap</w:t>
      </w:r>
      <w:r>
        <w:rPr>
          <w:lang w:val="en-AU"/>
        </w:rPr>
        <w:t>.</w:t>
      </w:r>
      <w:r w:rsidR="007B00C7">
        <w:rPr>
          <w:lang w:val="en-AU"/>
        </w:rPr>
        <w:t xml:space="preserve"> The Commission notes that use of the system charge for delivery of energy to </w:t>
      </w:r>
      <w:r w:rsidR="005276EC">
        <w:rPr>
          <w:lang w:val="en-AU"/>
        </w:rPr>
        <w:t>street lighting</w:t>
      </w:r>
      <w:r w:rsidR="007B00C7">
        <w:rPr>
          <w:lang w:val="en-AU"/>
        </w:rPr>
        <w:t xml:space="preserve"> is a regulated networks access service included in the revenue cap.</w:t>
      </w:r>
    </w:p>
    <w:p w14:paraId="3F9A9BF7" w14:textId="1C6A1114" w:rsidR="00BB4EB2" w:rsidRDefault="00CB4CEA">
      <w:pPr>
        <w:pStyle w:val="ListParagraph"/>
        <w:numPr>
          <w:ilvl w:val="1"/>
          <w:numId w:val="5"/>
        </w:numPr>
        <w:tabs>
          <w:tab w:val="num" w:pos="709"/>
        </w:tabs>
        <w:ind w:left="709" w:hanging="709"/>
        <w:rPr>
          <w:lang w:val="en-AU"/>
        </w:rPr>
      </w:pPr>
      <w:r>
        <w:rPr>
          <w:lang w:val="en-AU"/>
        </w:rPr>
        <w:t xml:space="preserve">While the Commission agrees that a charge for </w:t>
      </w:r>
      <w:r w:rsidR="007B00C7">
        <w:rPr>
          <w:lang w:val="en-AU"/>
        </w:rPr>
        <w:t xml:space="preserve">provision of network capacity in </w:t>
      </w:r>
      <w:r>
        <w:rPr>
          <w:lang w:val="en-AU"/>
        </w:rPr>
        <w:t xml:space="preserve">excess </w:t>
      </w:r>
      <w:r w:rsidR="007B00C7">
        <w:rPr>
          <w:lang w:val="en-AU"/>
        </w:rPr>
        <w:t xml:space="preserve">of Network Technical Code requirements </w:t>
      </w:r>
      <w:r>
        <w:rPr>
          <w:lang w:val="en-AU"/>
        </w:rPr>
        <w:t xml:space="preserve">is a reasonable management tool to control demand, the Commission is not </w:t>
      </w:r>
      <w:r w:rsidR="004914B8">
        <w:rPr>
          <w:lang w:val="en-AU"/>
        </w:rPr>
        <w:t xml:space="preserve">satisfied </w:t>
      </w:r>
      <w:r>
        <w:rPr>
          <w:lang w:val="en-AU"/>
        </w:rPr>
        <w:t>that costs associated</w:t>
      </w:r>
      <w:r w:rsidR="002A1F7B">
        <w:rPr>
          <w:lang w:val="en-AU"/>
        </w:rPr>
        <w:t xml:space="preserve"> with</w:t>
      </w:r>
      <w:r>
        <w:rPr>
          <w:lang w:val="en-AU"/>
        </w:rPr>
        <w:t xml:space="preserve"> providing reactive power (that is</w:t>
      </w:r>
      <w:r w:rsidR="00F5108F">
        <w:rPr>
          <w:lang w:val="en-AU"/>
        </w:rPr>
        <w:t>,</w:t>
      </w:r>
      <w:r>
        <w:rPr>
          <w:lang w:val="en-AU"/>
        </w:rPr>
        <w:t xml:space="preserve"> avoiding augmentation of the </w:t>
      </w:r>
      <w:r w:rsidR="00647F68">
        <w:rPr>
          <w:lang w:val="en-AU"/>
        </w:rPr>
        <w:t xml:space="preserve">electricity </w:t>
      </w:r>
      <w:r>
        <w:rPr>
          <w:lang w:val="en-AU"/>
        </w:rPr>
        <w:t xml:space="preserve">network) can be excluded as part of </w:t>
      </w:r>
      <w:r w:rsidR="00647F68">
        <w:rPr>
          <w:lang w:val="en-AU"/>
        </w:rPr>
        <w:t xml:space="preserve">the </w:t>
      </w:r>
      <w:r>
        <w:rPr>
          <w:lang w:val="en-AU"/>
        </w:rPr>
        <w:t>revenue cap</w:t>
      </w:r>
      <w:r w:rsidR="004914B8">
        <w:rPr>
          <w:lang w:val="en-AU"/>
        </w:rPr>
        <w:t xml:space="preserve"> or price cap or</w:t>
      </w:r>
      <w:r>
        <w:rPr>
          <w:lang w:val="en-AU"/>
        </w:rPr>
        <w:t xml:space="preserve"> that the </w:t>
      </w:r>
      <w:r w:rsidR="009C5131">
        <w:rPr>
          <w:lang w:val="en-AU"/>
        </w:rPr>
        <w:t xml:space="preserve">kVAr costs </w:t>
      </w:r>
      <w:r w:rsidR="00815D63">
        <w:rPr>
          <w:lang w:val="en-AU"/>
        </w:rPr>
        <w:t xml:space="preserve">associated with the excess capacity </w:t>
      </w:r>
      <w:r w:rsidR="009C5131">
        <w:rPr>
          <w:lang w:val="en-AU"/>
        </w:rPr>
        <w:t xml:space="preserve">can be identified and excluded. </w:t>
      </w:r>
    </w:p>
    <w:p w14:paraId="295E345D" w14:textId="6AB69CBC" w:rsidR="00B6632F" w:rsidRDefault="00B6632F">
      <w:pPr>
        <w:pStyle w:val="ListParagraph"/>
        <w:numPr>
          <w:ilvl w:val="1"/>
          <w:numId w:val="5"/>
        </w:numPr>
        <w:tabs>
          <w:tab w:val="num" w:pos="709"/>
        </w:tabs>
        <w:ind w:left="709" w:hanging="709"/>
        <w:rPr>
          <w:lang w:val="en-AU"/>
        </w:rPr>
      </w:pPr>
      <w:r>
        <w:rPr>
          <w:lang w:val="en-AU"/>
        </w:rPr>
        <w:t>PWC</w:t>
      </w:r>
      <w:r w:rsidR="004914B8">
        <w:rPr>
          <w:lang w:val="en-AU"/>
        </w:rPr>
        <w:t> Networks</w:t>
      </w:r>
      <w:r>
        <w:rPr>
          <w:lang w:val="en-AU"/>
        </w:rPr>
        <w:t xml:space="preserve"> noted that the cost </w:t>
      </w:r>
      <w:r w:rsidR="002A1F7B">
        <w:rPr>
          <w:lang w:val="en-AU"/>
        </w:rPr>
        <w:t xml:space="preserve">of providing network capacity in excess of the Network Technical Code requirements </w:t>
      </w:r>
      <w:r>
        <w:rPr>
          <w:lang w:val="en-AU"/>
        </w:rPr>
        <w:t>during the 2014</w:t>
      </w:r>
      <w:r w:rsidR="007B00C7">
        <w:rPr>
          <w:lang w:val="en-AU"/>
        </w:rPr>
        <w:t>-19</w:t>
      </w:r>
      <w:r>
        <w:rPr>
          <w:lang w:val="en-AU"/>
        </w:rPr>
        <w:t xml:space="preserve"> regulatory control period cannot be identified as a component of the </w:t>
      </w:r>
      <w:r w:rsidR="007B00C7">
        <w:rPr>
          <w:lang w:val="en-AU"/>
        </w:rPr>
        <w:t>cost</w:t>
      </w:r>
      <w:r>
        <w:rPr>
          <w:lang w:val="en-AU"/>
        </w:rPr>
        <w:t xml:space="preserve"> base</w:t>
      </w:r>
      <w:r w:rsidR="007B00C7">
        <w:rPr>
          <w:lang w:val="en-AU"/>
        </w:rPr>
        <w:t xml:space="preserve"> for </w:t>
      </w:r>
      <w:r w:rsidR="004914B8">
        <w:rPr>
          <w:lang w:val="en-AU"/>
        </w:rPr>
        <w:t xml:space="preserve">the purposes of calculating the revenue </w:t>
      </w:r>
      <w:r w:rsidR="00647F68">
        <w:rPr>
          <w:lang w:val="en-AU"/>
        </w:rPr>
        <w:t xml:space="preserve">cap </w:t>
      </w:r>
      <w:r w:rsidR="004914B8">
        <w:rPr>
          <w:lang w:val="en-AU"/>
        </w:rPr>
        <w:t xml:space="preserve">or price cap applying to </w:t>
      </w:r>
      <w:r w:rsidR="007B00C7">
        <w:rPr>
          <w:lang w:val="en-AU"/>
        </w:rPr>
        <w:t>regulated network access services</w:t>
      </w:r>
      <w:r>
        <w:rPr>
          <w:lang w:val="en-AU"/>
        </w:rPr>
        <w:t xml:space="preserve">. In accordance the </w:t>
      </w:r>
      <w:r w:rsidR="00FB2EC5">
        <w:rPr>
          <w:lang w:val="en-AU"/>
        </w:rPr>
        <w:t>Network Access Code</w:t>
      </w:r>
      <w:r>
        <w:rPr>
          <w:lang w:val="en-AU"/>
        </w:rPr>
        <w:t>, the Commission is not able to determine</w:t>
      </w:r>
      <w:r w:rsidR="00E17F83">
        <w:rPr>
          <w:lang w:val="en-AU"/>
        </w:rPr>
        <w:t xml:space="preserve"> that </w:t>
      </w:r>
      <w:r>
        <w:rPr>
          <w:lang w:val="en-AU"/>
        </w:rPr>
        <w:t xml:space="preserve">the </w:t>
      </w:r>
      <w:r w:rsidR="004914B8">
        <w:rPr>
          <w:lang w:val="en-AU"/>
        </w:rPr>
        <w:t>charge for</w:t>
      </w:r>
      <w:r w:rsidR="00647F68">
        <w:rPr>
          <w:lang w:val="en-AU"/>
        </w:rPr>
        <w:t xml:space="preserve"> the</w:t>
      </w:r>
      <w:r w:rsidR="004914B8">
        <w:rPr>
          <w:lang w:val="en-AU"/>
        </w:rPr>
        <w:t xml:space="preserve"> </w:t>
      </w:r>
      <w:r w:rsidR="004914B8" w:rsidRPr="004D5765">
        <w:rPr>
          <w:lang w:val="en-AU"/>
        </w:rPr>
        <w:t>provision of network capacity in excess of Network Technical Code requirements</w:t>
      </w:r>
      <w:r>
        <w:rPr>
          <w:lang w:val="en-AU"/>
        </w:rPr>
        <w:t xml:space="preserve"> </w:t>
      </w:r>
      <w:r w:rsidR="00647F68">
        <w:rPr>
          <w:lang w:val="en-AU"/>
        </w:rPr>
        <w:t xml:space="preserve">(which </w:t>
      </w:r>
      <w:r w:rsidR="004914B8">
        <w:rPr>
          <w:lang w:val="en-AU"/>
        </w:rPr>
        <w:t xml:space="preserve">is </w:t>
      </w:r>
      <w:r>
        <w:rPr>
          <w:lang w:val="en-AU"/>
        </w:rPr>
        <w:t xml:space="preserve">an excluded network access service </w:t>
      </w:r>
      <w:r w:rsidR="00647F68">
        <w:rPr>
          <w:lang w:val="en-AU"/>
        </w:rPr>
        <w:t>for the purposes of the 2014 Network Price Determination).</w:t>
      </w:r>
    </w:p>
    <w:p w14:paraId="3F365A23" w14:textId="7EC4743C" w:rsidR="00BB4EB2" w:rsidRPr="00BB4EB2" w:rsidRDefault="00BB4EB2" w:rsidP="00BB4EB2">
      <w:pPr>
        <w:pStyle w:val="UtilComHeading2"/>
      </w:pPr>
      <w:bookmarkStart w:id="56" w:name="_Toc385241454"/>
      <w:bookmarkStart w:id="57" w:name="_Toc386013007"/>
      <w:r w:rsidRPr="00BB4EB2">
        <w:t xml:space="preserve">Commission’s </w:t>
      </w:r>
      <w:r w:rsidR="001F36EB">
        <w:t>F</w:t>
      </w:r>
      <w:r w:rsidR="001F36EB" w:rsidRPr="00BB4EB2">
        <w:t xml:space="preserve">inal </w:t>
      </w:r>
      <w:bookmarkEnd w:id="56"/>
      <w:r w:rsidR="001F36EB">
        <w:t>D</w:t>
      </w:r>
      <w:r w:rsidR="001F36EB" w:rsidRPr="00BB4EB2">
        <w:t>ecision</w:t>
      </w:r>
      <w:bookmarkEnd w:id="57"/>
    </w:p>
    <w:p w14:paraId="232CBF8B" w14:textId="385B210A" w:rsidR="00BB4EB2" w:rsidRDefault="00BB4EB2" w:rsidP="00BB4EB2">
      <w:pPr>
        <w:pStyle w:val="ListParagraph"/>
        <w:numPr>
          <w:ilvl w:val="1"/>
          <w:numId w:val="5"/>
        </w:numPr>
        <w:tabs>
          <w:tab w:val="num" w:pos="709"/>
        </w:tabs>
        <w:ind w:left="709" w:hanging="709"/>
        <w:rPr>
          <w:lang w:val="en-AU"/>
        </w:rPr>
      </w:pPr>
      <w:r w:rsidRPr="00BB4EB2">
        <w:rPr>
          <w:lang w:val="en-AU"/>
        </w:rPr>
        <w:t xml:space="preserve">The </w:t>
      </w:r>
      <w:r>
        <w:rPr>
          <w:lang w:val="en-AU"/>
        </w:rPr>
        <w:t>Commission</w:t>
      </w:r>
      <w:r w:rsidRPr="00BB4EB2">
        <w:rPr>
          <w:lang w:val="en-AU"/>
        </w:rPr>
        <w:t>’s service classification remain</w:t>
      </w:r>
      <w:r w:rsidR="004E3F2F">
        <w:rPr>
          <w:lang w:val="en-AU"/>
        </w:rPr>
        <w:t>s</w:t>
      </w:r>
      <w:r w:rsidRPr="00BB4EB2">
        <w:rPr>
          <w:lang w:val="en-AU"/>
        </w:rPr>
        <w:t xml:space="preserve"> consistent with its </w:t>
      </w:r>
      <w:r w:rsidR="004E3F2F">
        <w:rPr>
          <w:lang w:val="en-AU"/>
        </w:rPr>
        <w:t>D</w:t>
      </w:r>
      <w:r w:rsidR="004E3F2F" w:rsidRPr="00BB4EB2">
        <w:rPr>
          <w:lang w:val="en-AU"/>
        </w:rPr>
        <w:t xml:space="preserve">raft </w:t>
      </w:r>
      <w:r w:rsidR="004E3F2F">
        <w:rPr>
          <w:lang w:val="en-AU"/>
        </w:rPr>
        <w:t>Determination</w:t>
      </w:r>
      <w:r w:rsidR="004E3F2F" w:rsidRPr="00BB4EB2">
        <w:rPr>
          <w:lang w:val="en-AU"/>
        </w:rPr>
        <w:t xml:space="preserve"> </w:t>
      </w:r>
      <w:r w:rsidRPr="00BB4EB2">
        <w:rPr>
          <w:lang w:val="en-AU"/>
        </w:rPr>
        <w:t xml:space="preserve">and </w:t>
      </w:r>
      <w:r w:rsidR="00A25E29">
        <w:rPr>
          <w:lang w:val="en-AU"/>
        </w:rPr>
        <w:t>is</w:t>
      </w:r>
      <w:r w:rsidRPr="00BB4EB2">
        <w:rPr>
          <w:lang w:val="en-AU"/>
        </w:rPr>
        <w:t xml:space="preserve"> set out in </w:t>
      </w:r>
      <w:r w:rsidR="00815D63">
        <w:rPr>
          <w:lang w:val="en-AU"/>
        </w:rPr>
        <w:t>Appendix A</w:t>
      </w:r>
      <w:r>
        <w:rPr>
          <w:lang w:val="en-AU"/>
        </w:rPr>
        <w:t>. S</w:t>
      </w:r>
      <w:r w:rsidRPr="00BB4EB2">
        <w:rPr>
          <w:lang w:val="en-AU"/>
        </w:rPr>
        <w:t xml:space="preserve">ome modifications </w:t>
      </w:r>
      <w:r>
        <w:rPr>
          <w:lang w:val="en-AU"/>
        </w:rPr>
        <w:t xml:space="preserve">have been made </w:t>
      </w:r>
      <w:r w:rsidRPr="00BB4EB2">
        <w:rPr>
          <w:lang w:val="en-AU"/>
        </w:rPr>
        <w:t>to the service descriptions to improve transparency and certainty</w:t>
      </w:r>
      <w:r>
        <w:rPr>
          <w:lang w:val="en-AU"/>
        </w:rPr>
        <w:t>.</w:t>
      </w:r>
    </w:p>
    <w:p w14:paraId="78BE12F2" w14:textId="3C9B264E" w:rsidR="00481E71" w:rsidRDefault="00481E71" w:rsidP="00BB4EB2">
      <w:pPr>
        <w:pStyle w:val="ListParagraph"/>
        <w:numPr>
          <w:ilvl w:val="1"/>
          <w:numId w:val="5"/>
        </w:numPr>
        <w:tabs>
          <w:tab w:val="num" w:pos="709"/>
        </w:tabs>
        <w:ind w:left="709" w:hanging="709"/>
        <w:rPr>
          <w:lang w:val="en-AU"/>
        </w:rPr>
      </w:pPr>
      <w:r>
        <w:rPr>
          <w:lang w:val="en-AU"/>
        </w:rPr>
        <w:t xml:space="preserve">The Commission’s determination </w:t>
      </w:r>
      <w:r w:rsidR="00647F68">
        <w:rPr>
          <w:lang w:val="en-AU"/>
        </w:rPr>
        <w:t xml:space="preserve">on PWC Networks’ </w:t>
      </w:r>
      <w:r>
        <w:rPr>
          <w:lang w:val="en-AU"/>
        </w:rPr>
        <w:t>excluded network access services is set out in Schedule 3 of the 2014 Network Price Determination.</w:t>
      </w:r>
    </w:p>
    <w:tbl>
      <w:tblPr>
        <w:tblW w:w="0" w:type="auto"/>
        <w:tblLayout w:type="fixed"/>
        <w:tblLook w:val="01E0" w:firstRow="1" w:lastRow="1" w:firstColumn="1" w:lastColumn="1" w:noHBand="0" w:noVBand="0"/>
      </w:tblPr>
      <w:tblGrid>
        <w:gridCol w:w="9288"/>
      </w:tblGrid>
      <w:tr w:rsidR="000C1567" w14:paraId="190D9E71" w14:textId="77777777" w:rsidTr="000C1567">
        <w:tc>
          <w:tcPr>
            <w:tcW w:w="9288" w:type="dxa"/>
          </w:tcPr>
          <w:p w14:paraId="06BCEE46" w14:textId="5771817E" w:rsidR="000C1567" w:rsidRDefault="000C1567" w:rsidP="00EF320F">
            <w:pPr>
              <w:pStyle w:val="NumberLevel1"/>
              <w:pageBreakBefore/>
              <w:numPr>
                <w:ilvl w:val="0"/>
                <w:numId w:val="4"/>
              </w:numPr>
              <w:ind w:left="431" w:hanging="431"/>
            </w:pPr>
            <w:r>
              <w:br w:type="page"/>
            </w:r>
          </w:p>
        </w:tc>
      </w:tr>
      <w:tr w:rsidR="000C1567" w14:paraId="77C92362" w14:textId="77777777" w:rsidTr="000C1567">
        <w:tc>
          <w:tcPr>
            <w:tcW w:w="9288" w:type="dxa"/>
          </w:tcPr>
          <w:p w14:paraId="3A841291" w14:textId="26969760" w:rsidR="000C1567" w:rsidRDefault="003B28CD">
            <w:pPr>
              <w:pStyle w:val="UtilComChapterHeading"/>
              <w:outlineLvl w:val="0"/>
            </w:pPr>
            <w:bookmarkStart w:id="58" w:name="_Toc385241455"/>
            <w:bookmarkStart w:id="59" w:name="_Toc386013008"/>
            <w:r>
              <w:t xml:space="preserve">Control </w:t>
            </w:r>
            <w:r w:rsidR="001F36EB">
              <w:t xml:space="preserve">Mechanism </w:t>
            </w:r>
            <w:r>
              <w:t xml:space="preserve">for </w:t>
            </w:r>
            <w:r w:rsidR="001F36EB">
              <w:t xml:space="preserve">Regulated Network Access </w:t>
            </w:r>
            <w:bookmarkEnd w:id="58"/>
            <w:r w:rsidR="001F36EB">
              <w:t>Services</w:t>
            </w:r>
            <w:bookmarkEnd w:id="59"/>
          </w:p>
        </w:tc>
      </w:tr>
    </w:tbl>
    <w:p w14:paraId="7A5F5737" w14:textId="77777777" w:rsidR="000C1567" w:rsidRDefault="002E3669" w:rsidP="000C1567">
      <w:pPr>
        <w:pStyle w:val="UtilComHeading2"/>
      </w:pPr>
      <w:bookmarkStart w:id="60" w:name="_Toc385241456"/>
      <w:bookmarkStart w:id="61" w:name="_Toc386013009"/>
      <w:r>
        <w:t>Introduction</w:t>
      </w:r>
      <w:bookmarkEnd w:id="60"/>
      <w:bookmarkEnd w:id="61"/>
    </w:p>
    <w:p w14:paraId="36A1D97C" w14:textId="10DB30AC" w:rsidR="00653F79" w:rsidRDefault="002E3669" w:rsidP="00CB1056">
      <w:pPr>
        <w:pStyle w:val="NumberLevel2"/>
        <w:numPr>
          <w:ilvl w:val="1"/>
          <w:numId w:val="5"/>
        </w:numPr>
        <w:ind w:left="709" w:hanging="709"/>
        <w:rPr>
          <w:lang w:val="en-AU"/>
        </w:rPr>
      </w:pPr>
      <w:r w:rsidRPr="009A51FB">
        <w:rPr>
          <w:lang w:val="en-AU"/>
        </w:rPr>
        <w:t xml:space="preserve">A </w:t>
      </w:r>
      <w:r w:rsidR="007E4CBE">
        <w:rPr>
          <w:lang w:val="en-AU"/>
        </w:rPr>
        <w:t>network price</w:t>
      </w:r>
      <w:r w:rsidRPr="009A51FB">
        <w:rPr>
          <w:lang w:val="en-AU"/>
        </w:rPr>
        <w:t xml:space="preserve"> determination imposes controls</w:t>
      </w:r>
      <w:r w:rsidR="007E4CBE">
        <w:rPr>
          <w:lang w:val="en-AU"/>
        </w:rPr>
        <w:t xml:space="preserve"> over the </w:t>
      </w:r>
      <w:r w:rsidR="00F5108F">
        <w:rPr>
          <w:lang w:val="en-AU"/>
        </w:rPr>
        <w:t>tariffs and charges</w:t>
      </w:r>
      <w:r w:rsidR="007E4CBE">
        <w:rPr>
          <w:lang w:val="en-AU"/>
        </w:rPr>
        <w:t xml:space="preserve">, and revenues, </w:t>
      </w:r>
      <w:r w:rsidRPr="009A51FB">
        <w:rPr>
          <w:lang w:val="en-AU"/>
        </w:rPr>
        <w:t xml:space="preserve">that </w:t>
      </w:r>
      <w:r w:rsidR="007E4CBE">
        <w:rPr>
          <w:lang w:val="en-AU"/>
        </w:rPr>
        <w:t>a network service provider</w:t>
      </w:r>
      <w:r w:rsidRPr="009A51FB">
        <w:rPr>
          <w:lang w:val="en-AU"/>
        </w:rPr>
        <w:t xml:space="preserve"> may recover from providing </w:t>
      </w:r>
      <w:r w:rsidR="007E4CBE">
        <w:rPr>
          <w:lang w:val="en-AU"/>
        </w:rPr>
        <w:t>regulated network access services</w:t>
      </w:r>
      <w:r w:rsidR="00653F79">
        <w:rPr>
          <w:lang w:val="en-AU"/>
        </w:rPr>
        <w:t>.</w:t>
      </w:r>
      <w:r w:rsidR="00FA2985">
        <w:rPr>
          <w:lang w:val="en-AU"/>
        </w:rPr>
        <w:t xml:space="preserve"> </w:t>
      </w:r>
    </w:p>
    <w:p w14:paraId="7A21314D" w14:textId="3BBD143D" w:rsidR="0052797B" w:rsidRDefault="002E3669" w:rsidP="00CB1056">
      <w:pPr>
        <w:pStyle w:val="NumberLevel2"/>
        <w:numPr>
          <w:ilvl w:val="1"/>
          <w:numId w:val="5"/>
        </w:numPr>
        <w:ind w:left="709" w:hanging="709"/>
        <w:rPr>
          <w:lang w:val="en-AU"/>
        </w:rPr>
      </w:pPr>
      <w:r w:rsidRPr="009A51FB">
        <w:rPr>
          <w:lang w:val="en-AU"/>
        </w:rPr>
        <w:t xml:space="preserve">The </w:t>
      </w:r>
      <w:r w:rsidR="00FA2985">
        <w:rPr>
          <w:lang w:val="en-AU"/>
        </w:rPr>
        <w:t>Commission</w:t>
      </w:r>
      <w:r w:rsidR="009E5735">
        <w:rPr>
          <w:lang w:val="en-AU"/>
        </w:rPr>
        <w:t>’s Framework Statement</w:t>
      </w:r>
      <w:r w:rsidR="00FA2985">
        <w:rPr>
          <w:lang w:val="en-AU"/>
        </w:rPr>
        <w:t xml:space="preserve">, consistent with </w:t>
      </w:r>
      <w:r w:rsidRPr="009A51FB">
        <w:rPr>
          <w:lang w:val="en-AU"/>
        </w:rPr>
        <w:t>clause 6.8.1 of the NER</w:t>
      </w:r>
      <w:r w:rsidR="00FA2985">
        <w:rPr>
          <w:lang w:val="en-AU"/>
        </w:rPr>
        <w:t>,</w:t>
      </w:r>
      <w:r w:rsidRPr="009A51FB">
        <w:rPr>
          <w:lang w:val="en-AU"/>
        </w:rPr>
        <w:t xml:space="preserve"> set out the control mechanism </w:t>
      </w:r>
      <w:r w:rsidR="009E5735">
        <w:rPr>
          <w:lang w:val="en-AU"/>
        </w:rPr>
        <w:t>that will</w:t>
      </w:r>
      <w:r w:rsidRPr="009A51FB">
        <w:rPr>
          <w:lang w:val="en-AU"/>
        </w:rPr>
        <w:t xml:space="preserve"> apply to </w:t>
      </w:r>
      <w:r w:rsidR="001305C3">
        <w:rPr>
          <w:lang w:val="en-AU"/>
        </w:rPr>
        <w:t xml:space="preserve">the provision of </w:t>
      </w:r>
      <w:r w:rsidR="00770909">
        <w:rPr>
          <w:lang w:val="en-AU"/>
        </w:rPr>
        <w:t>reg</w:t>
      </w:r>
      <w:r w:rsidR="00770909" w:rsidRPr="00FD4554">
        <w:rPr>
          <w:lang w:val="en-AU"/>
        </w:rPr>
        <w:t>ul</w:t>
      </w:r>
      <w:r w:rsidR="00770909">
        <w:rPr>
          <w:lang w:val="en-AU"/>
        </w:rPr>
        <w:t>ated network access</w:t>
      </w:r>
      <w:r w:rsidRPr="009A51FB">
        <w:rPr>
          <w:lang w:val="en-AU"/>
        </w:rPr>
        <w:t xml:space="preserve"> services by </w:t>
      </w:r>
      <w:r w:rsidR="00E44B45">
        <w:rPr>
          <w:lang w:val="en-AU"/>
        </w:rPr>
        <w:t xml:space="preserve">PWC </w:t>
      </w:r>
      <w:r w:rsidR="00FA2985">
        <w:rPr>
          <w:lang w:val="en-AU"/>
        </w:rPr>
        <w:t>Networks</w:t>
      </w:r>
      <w:r w:rsidRPr="009A51FB">
        <w:rPr>
          <w:lang w:val="en-AU"/>
        </w:rPr>
        <w:t xml:space="preserve"> during the </w:t>
      </w:r>
      <w:r w:rsidR="00E44B45">
        <w:rPr>
          <w:lang w:val="en-AU"/>
        </w:rPr>
        <w:t>2014-19</w:t>
      </w:r>
      <w:r w:rsidR="00E44B45" w:rsidRPr="009A51FB">
        <w:rPr>
          <w:lang w:val="en-AU"/>
        </w:rPr>
        <w:t xml:space="preserve"> </w:t>
      </w:r>
      <w:r w:rsidRPr="009A51FB">
        <w:rPr>
          <w:lang w:val="en-AU"/>
        </w:rPr>
        <w:t xml:space="preserve">regulatory control period. </w:t>
      </w:r>
      <w:r w:rsidR="001305C3">
        <w:rPr>
          <w:lang w:val="en-AU"/>
        </w:rPr>
        <w:t xml:space="preserve">The control mechanism for </w:t>
      </w:r>
      <w:r w:rsidR="00770909">
        <w:rPr>
          <w:lang w:val="en-AU"/>
        </w:rPr>
        <w:t>regulated network access</w:t>
      </w:r>
      <w:r w:rsidRPr="009A51FB">
        <w:rPr>
          <w:lang w:val="en-AU"/>
        </w:rPr>
        <w:t xml:space="preserve"> services</w:t>
      </w:r>
      <w:r w:rsidR="0052797B">
        <w:rPr>
          <w:lang w:val="en-AU"/>
        </w:rPr>
        <w:t xml:space="preserve"> is a revenue cap</w:t>
      </w:r>
      <w:r w:rsidR="0052797B" w:rsidRPr="00096EEA">
        <w:rPr>
          <w:lang w:val="en-AU"/>
        </w:rPr>
        <w:t xml:space="preserve"> </w:t>
      </w:r>
      <w:r w:rsidR="0052797B">
        <w:rPr>
          <w:lang w:val="en-AU"/>
        </w:rPr>
        <w:t xml:space="preserve">of the </w:t>
      </w:r>
      <w:r w:rsidR="0052797B" w:rsidRPr="00096EEA">
        <w:rPr>
          <w:lang w:val="en-AU"/>
        </w:rPr>
        <w:t>prospective CPI</w:t>
      </w:r>
      <w:r w:rsidR="00CB1056">
        <w:rPr>
          <w:lang w:val="en-AU"/>
        </w:rPr>
        <w:t> </w:t>
      </w:r>
      <w:r w:rsidR="0052797B" w:rsidRPr="00096EEA">
        <w:rPr>
          <w:lang w:val="en-AU"/>
        </w:rPr>
        <w:t>minus X form</w:t>
      </w:r>
      <w:r w:rsidRPr="009A51FB">
        <w:rPr>
          <w:lang w:val="en-AU"/>
        </w:rPr>
        <w:t xml:space="preserve">. </w:t>
      </w:r>
    </w:p>
    <w:p w14:paraId="666D4D35" w14:textId="7E237597" w:rsidR="002E3669" w:rsidRPr="009A51FB" w:rsidRDefault="002E3669" w:rsidP="00CB1056">
      <w:pPr>
        <w:pStyle w:val="NumberLevel2"/>
        <w:numPr>
          <w:ilvl w:val="1"/>
          <w:numId w:val="5"/>
        </w:numPr>
        <w:ind w:left="709" w:hanging="709"/>
        <w:rPr>
          <w:lang w:val="en-AU"/>
        </w:rPr>
      </w:pPr>
      <w:r w:rsidRPr="009A51FB">
        <w:rPr>
          <w:lang w:val="en-AU"/>
        </w:rPr>
        <w:t xml:space="preserve">This chapter discusses how </w:t>
      </w:r>
      <w:r w:rsidR="001305C3">
        <w:rPr>
          <w:lang w:val="en-AU"/>
        </w:rPr>
        <w:t>the control</w:t>
      </w:r>
      <w:r w:rsidR="001305C3" w:rsidRPr="009A51FB">
        <w:rPr>
          <w:lang w:val="en-AU"/>
        </w:rPr>
        <w:t xml:space="preserve"> </w:t>
      </w:r>
      <w:r w:rsidRPr="009A51FB">
        <w:rPr>
          <w:lang w:val="en-AU"/>
        </w:rPr>
        <w:t xml:space="preserve">mechanism will be applied and sets out how </w:t>
      </w:r>
      <w:r w:rsidR="009E5735">
        <w:rPr>
          <w:lang w:val="en-AU"/>
        </w:rPr>
        <w:t>the</w:t>
      </w:r>
      <w:r w:rsidR="00096EEA">
        <w:rPr>
          <w:lang w:val="en-AU"/>
        </w:rPr>
        <w:t xml:space="preserve"> </w:t>
      </w:r>
      <w:r w:rsidR="00FA2985">
        <w:rPr>
          <w:lang w:val="en-AU"/>
        </w:rPr>
        <w:t>Commission</w:t>
      </w:r>
      <w:r w:rsidRPr="009A51FB">
        <w:rPr>
          <w:lang w:val="en-AU"/>
        </w:rPr>
        <w:t xml:space="preserve"> will </w:t>
      </w:r>
      <w:r w:rsidR="001305C3">
        <w:rPr>
          <w:lang w:val="en-AU"/>
        </w:rPr>
        <w:t>monitor</w:t>
      </w:r>
      <w:r w:rsidR="001305C3" w:rsidRPr="009A51FB">
        <w:rPr>
          <w:lang w:val="en-AU"/>
        </w:rPr>
        <w:t xml:space="preserve"> </w:t>
      </w:r>
      <w:r w:rsidRPr="009A51FB">
        <w:rPr>
          <w:lang w:val="en-AU"/>
        </w:rPr>
        <w:t xml:space="preserve">compliance with the </w:t>
      </w:r>
      <w:r w:rsidR="001305C3">
        <w:rPr>
          <w:lang w:val="en-AU"/>
        </w:rPr>
        <w:t xml:space="preserve">control </w:t>
      </w:r>
      <w:r w:rsidRPr="009A51FB">
        <w:rPr>
          <w:lang w:val="en-AU"/>
        </w:rPr>
        <w:t xml:space="preserve">mechanism during the </w:t>
      </w:r>
      <w:r w:rsidR="002A1F7B">
        <w:rPr>
          <w:lang w:val="en-AU"/>
        </w:rPr>
        <w:br/>
      </w:r>
      <w:r w:rsidR="009D64CF">
        <w:rPr>
          <w:lang w:val="en-AU"/>
        </w:rPr>
        <w:t>2014-19</w:t>
      </w:r>
      <w:r w:rsidR="009D64CF" w:rsidRPr="009A51FB">
        <w:rPr>
          <w:lang w:val="en-AU"/>
        </w:rPr>
        <w:t xml:space="preserve"> </w:t>
      </w:r>
      <w:r w:rsidRPr="009A51FB">
        <w:rPr>
          <w:lang w:val="en-AU"/>
        </w:rPr>
        <w:t>regulatory control period.</w:t>
      </w:r>
    </w:p>
    <w:p w14:paraId="0A37DC39" w14:textId="7A3A05CE" w:rsidR="002E3669" w:rsidRDefault="002E3669" w:rsidP="002E3669">
      <w:pPr>
        <w:pStyle w:val="UtilComHeading2"/>
      </w:pPr>
      <w:bookmarkStart w:id="62" w:name="_Toc385241457"/>
      <w:bookmarkStart w:id="63" w:name="_Toc386013010"/>
      <w:r>
        <w:t xml:space="preserve">Regulatory </w:t>
      </w:r>
      <w:bookmarkEnd w:id="62"/>
      <w:r w:rsidR="001F36EB">
        <w:t>Requirements</w:t>
      </w:r>
      <w:bookmarkEnd w:id="63"/>
    </w:p>
    <w:p w14:paraId="1C0834C0" w14:textId="55A23985" w:rsidR="00321BDA" w:rsidRDefault="00FB2EC5" w:rsidP="00321BDA">
      <w:pPr>
        <w:pStyle w:val="UtilComHeading3"/>
      </w:pPr>
      <w:r>
        <w:t>Network Access Code</w:t>
      </w:r>
    </w:p>
    <w:p w14:paraId="01DC6C84" w14:textId="753F17EE" w:rsidR="00321BDA" w:rsidRDefault="002B5BB1" w:rsidP="00CB1056">
      <w:pPr>
        <w:pStyle w:val="NumberLevel2"/>
        <w:numPr>
          <w:ilvl w:val="1"/>
          <w:numId w:val="5"/>
        </w:numPr>
        <w:tabs>
          <w:tab w:val="num" w:pos="709"/>
        </w:tabs>
        <w:ind w:left="709" w:hanging="709"/>
        <w:rPr>
          <w:lang w:val="en-AU"/>
        </w:rPr>
      </w:pPr>
      <w:r>
        <w:rPr>
          <w:lang w:val="en-AU"/>
        </w:rPr>
        <w:t xml:space="preserve">Clause 66(1) of the </w:t>
      </w:r>
      <w:r w:rsidR="00FB2EC5">
        <w:rPr>
          <w:lang w:val="en-AU"/>
        </w:rPr>
        <w:t>Network Access Code</w:t>
      </w:r>
      <w:r>
        <w:rPr>
          <w:lang w:val="en-AU"/>
        </w:rPr>
        <w:t xml:space="preserve"> </w:t>
      </w:r>
      <w:r w:rsidR="001305C3">
        <w:rPr>
          <w:lang w:val="en-AU"/>
        </w:rPr>
        <w:t>makes</w:t>
      </w:r>
      <w:r>
        <w:rPr>
          <w:lang w:val="en-AU"/>
        </w:rPr>
        <w:t xml:space="preserve"> the Commission </w:t>
      </w:r>
      <w:r w:rsidR="001305C3">
        <w:rPr>
          <w:lang w:val="en-AU"/>
        </w:rPr>
        <w:t xml:space="preserve">responsible </w:t>
      </w:r>
      <w:r>
        <w:rPr>
          <w:lang w:val="en-AU"/>
        </w:rPr>
        <w:t xml:space="preserve">for </w:t>
      </w:r>
      <w:r w:rsidRPr="002B5BB1">
        <w:rPr>
          <w:lang w:val="en-AU"/>
        </w:rPr>
        <w:t xml:space="preserve">determining the revenue </w:t>
      </w:r>
      <w:r w:rsidR="001305C3">
        <w:rPr>
          <w:lang w:val="en-AU"/>
        </w:rPr>
        <w:t xml:space="preserve">cap </w:t>
      </w:r>
      <w:r w:rsidRPr="002B5BB1">
        <w:rPr>
          <w:lang w:val="en-AU"/>
        </w:rPr>
        <w:t xml:space="preserve">or price cap to apply to </w:t>
      </w:r>
      <w:r w:rsidR="001305C3">
        <w:rPr>
          <w:lang w:val="en-AU"/>
        </w:rPr>
        <w:t>PWC Networks</w:t>
      </w:r>
      <w:r w:rsidRPr="002B5BB1">
        <w:rPr>
          <w:lang w:val="en-AU"/>
        </w:rPr>
        <w:t xml:space="preserve"> with regard to </w:t>
      </w:r>
      <w:r w:rsidR="001305C3">
        <w:rPr>
          <w:lang w:val="en-AU"/>
        </w:rPr>
        <w:t>its electricity</w:t>
      </w:r>
      <w:r w:rsidR="001305C3" w:rsidRPr="002B5BB1">
        <w:rPr>
          <w:lang w:val="en-AU"/>
        </w:rPr>
        <w:t xml:space="preserve"> </w:t>
      </w:r>
      <w:r w:rsidRPr="002B5BB1">
        <w:rPr>
          <w:lang w:val="en-AU"/>
        </w:rPr>
        <w:t>network</w:t>
      </w:r>
      <w:r>
        <w:rPr>
          <w:lang w:val="en-AU"/>
        </w:rPr>
        <w:t>.</w:t>
      </w:r>
    </w:p>
    <w:p w14:paraId="003BB15D" w14:textId="57D2C01C" w:rsidR="002B5BB1" w:rsidRDefault="0059679E" w:rsidP="00CB1056">
      <w:pPr>
        <w:pStyle w:val="NumberLevel2"/>
        <w:numPr>
          <w:ilvl w:val="1"/>
          <w:numId w:val="5"/>
        </w:numPr>
        <w:tabs>
          <w:tab w:val="num" w:pos="709"/>
        </w:tabs>
        <w:ind w:left="709" w:hanging="709"/>
        <w:rPr>
          <w:lang w:val="en-AU"/>
        </w:rPr>
      </w:pPr>
      <w:r>
        <w:rPr>
          <w:lang w:val="en-AU"/>
        </w:rPr>
        <w:t xml:space="preserve">For the </w:t>
      </w:r>
      <w:r w:rsidR="001305C3">
        <w:rPr>
          <w:lang w:val="en-AU"/>
        </w:rPr>
        <w:t>2014-19</w:t>
      </w:r>
      <w:r>
        <w:rPr>
          <w:lang w:val="en-AU"/>
        </w:rPr>
        <w:t xml:space="preserve"> regulatory control period, the revenue </w:t>
      </w:r>
      <w:r w:rsidR="001305C3">
        <w:rPr>
          <w:lang w:val="en-AU"/>
        </w:rPr>
        <w:t xml:space="preserve">cap </w:t>
      </w:r>
      <w:r>
        <w:rPr>
          <w:lang w:val="en-AU"/>
        </w:rPr>
        <w:t xml:space="preserve">or price cap that </w:t>
      </w:r>
      <w:r w:rsidR="001305C3">
        <w:rPr>
          <w:lang w:val="en-AU"/>
        </w:rPr>
        <w:t xml:space="preserve">is </w:t>
      </w:r>
      <w:r>
        <w:rPr>
          <w:lang w:val="en-AU"/>
        </w:rPr>
        <w:t xml:space="preserve">to apply </w:t>
      </w:r>
      <w:r w:rsidR="001305C3">
        <w:rPr>
          <w:lang w:val="en-AU"/>
        </w:rPr>
        <w:t xml:space="preserve">to PWC Networks is </w:t>
      </w:r>
      <w:r>
        <w:rPr>
          <w:lang w:val="en-AU"/>
        </w:rPr>
        <w:t>to be determined by the Commission in a manner that:</w:t>
      </w:r>
    </w:p>
    <w:p w14:paraId="0D0FF31D" w14:textId="77777777" w:rsidR="0059679E" w:rsidRPr="0059679E" w:rsidRDefault="0059679E" w:rsidP="002A1F7B">
      <w:pPr>
        <w:pStyle w:val="UtilComQuotationText"/>
        <w:ind w:left="1418" w:hanging="567"/>
      </w:pPr>
      <w:r w:rsidRPr="0059679E">
        <w:t>(a)</w:t>
      </w:r>
      <w:r w:rsidRPr="0059679E">
        <w:tab/>
        <w:t>in the regulator's opinion, most effectively achieves the desired outcomes set out in clause 63; and</w:t>
      </w:r>
    </w:p>
    <w:p w14:paraId="37EE5E18" w14:textId="77777777" w:rsidR="0059679E" w:rsidRPr="0059679E" w:rsidRDefault="0059679E" w:rsidP="002A1F7B">
      <w:pPr>
        <w:pStyle w:val="UtilComQuotationText"/>
        <w:ind w:left="1418" w:hanging="567"/>
      </w:pPr>
      <w:r w:rsidRPr="0059679E">
        <w:t>(b)</w:t>
      </w:r>
      <w:r w:rsidRPr="0059679E">
        <w:tab/>
        <w:t>is consistent with generally accepted regulatory practice at the time.</w:t>
      </w:r>
      <w:r w:rsidRPr="00F01DA3">
        <w:rPr>
          <w:rStyle w:val="FootnoteReference"/>
          <w:i w:val="0"/>
          <w:sz w:val="22"/>
          <w:lang w:val="en-AU"/>
        </w:rPr>
        <w:footnoteReference w:id="24"/>
      </w:r>
    </w:p>
    <w:p w14:paraId="4E9CA202" w14:textId="748DD81D" w:rsidR="0059679E" w:rsidRDefault="0059679E" w:rsidP="00CB1056">
      <w:pPr>
        <w:pStyle w:val="NumberLevel2"/>
        <w:numPr>
          <w:ilvl w:val="1"/>
          <w:numId w:val="5"/>
        </w:numPr>
        <w:tabs>
          <w:tab w:val="num" w:pos="709"/>
        </w:tabs>
        <w:ind w:left="709" w:hanging="709"/>
        <w:rPr>
          <w:lang w:val="en-AU"/>
        </w:rPr>
      </w:pPr>
      <w:r>
        <w:rPr>
          <w:lang w:val="en-AU"/>
        </w:rPr>
        <w:t xml:space="preserve">A revenue </w:t>
      </w:r>
      <w:r w:rsidR="00CE09D3">
        <w:rPr>
          <w:lang w:val="en-AU"/>
        </w:rPr>
        <w:t xml:space="preserve">cap </w:t>
      </w:r>
      <w:r>
        <w:rPr>
          <w:lang w:val="en-AU"/>
        </w:rPr>
        <w:t xml:space="preserve">or price cap applies only to </w:t>
      </w:r>
      <w:r w:rsidR="00CE09D3">
        <w:rPr>
          <w:lang w:val="en-AU"/>
        </w:rPr>
        <w:t xml:space="preserve">reference </w:t>
      </w:r>
      <w:r>
        <w:rPr>
          <w:lang w:val="en-AU"/>
        </w:rPr>
        <w:t xml:space="preserve">tariffs and </w:t>
      </w:r>
      <w:r w:rsidR="00CE09D3">
        <w:rPr>
          <w:lang w:val="en-AU"/>
        </w:rPr>
        <w:t xml:space="preserve">other </w:t>
      </w:r>
      <w:r>
        <w:rPr>
          <w:lang w:val="en-AU"/>
        </w:rPr>
        <w:t>charges for regulated network access services.</w:t>
      </w:r>
    </w:p>
    <w:p w14:paraId="1D8CE791" w14:textId="77777777" w:rsidR="00321BDA" w:rsidRDefault="00321BDA" w:rsidP="00321BDA">
      <w:pPr>
        <w:pStyle w:val="UtilComHeading3"/>
      </w:pPr>
      <w:r w:rsidRPr="00321BDA">
        <w:t>National Electricity Rules</w:t>
      </w:r>
    </w:p>
    <w:p w14:paraId="419C59AD" w14:textId="63AE522A" w:rsidR="008C15CF" w:rsidRPr="008C15CF" w:rsidRDefault="008C15CF" w:rsidP="00CB1056">
      <w:pPr>
        <w:pStyle w:val="NumberLevel2"/>
        <w:numPr>
          <w:ilvl w:val="1"/>
          <w:numId w:val="5"/>
        </w:numPr>
        <w:tabs>
          <w:tab w:val="num" w:pos="709"/>
        </w:tabs>
        <w:ind w:left="709" w:hanging="709"/>
        <w:rPr>
          <w:lang w:val="en-AU"/>
        </w:rPr>
      </w:pPr>
      <w:r w:rsidRPr="008C15CF">
        <w:rPr>
          <w:lang w:val="en-AU"/>
        </w:rPr>
        <w:t xml:space="preserve">Clause 6.12.1 the NER requires the AER to make the following constituent decisions </w:t>
      </w:r>
      <w:r w:rsidR="00CE09D3">
        <w:rPr>
          <w:lang w:val="en-AU"/>
        </w:rPr>
        <w:t>relating</w:t>
      </w:r>
      <w:r w:rsidRPr="008C15CF">
        <w:rPr>
          <w:lang w:val="en-AU"/>
        </w:rPr>
        <w:t xml:space="preserve"> to the form of control mechanism for standard control services:</w:t>
      </w:r>
    </w:p>
    <w:p w14:paraId="26291DF0" w14:textId="7F1AF2A0" w:rsidR="008C15CF" w:rsidRPr="008C15CF" w:rsidRDefault="008C15CF" w:rsidP="008E229D">
      <w:pPr>
        <w:pStyle w:val="UtilComBulletText"/>
        <w:numPr>
          <w:ilvl w:val="0"/>
          <w:numId w:val="6"/>
        </w:numPr>
        <w:tabs>
          <w:tab w:val="clear" w:pos="964"/>
          <w:tab w:val="num" w:pos="1276"/>
        </w:tabs>
        <w:ind w:left="1134" w:hanging="425"/>
      </w:pPr>
      <w:r w:rsidRPr="008C15CF">
        <w:t>a decision on the control mechanism (including the X factor) for standard control services (</w:t>
      </w:r>
      <w:r w:rsidR="00CE09D3">
        <w:t xml:space="preserve">NER </w:t>
      </w:r>
      <w:r w:rsidRPr="008C15CF">
        <w:t>clause 6.12.1(11))</w:t>
      </w:r>
      <w:r w:rsidR="0059679E">
        <w:t>;</w:t>
      </w:r>
      <w:r w:rsidR="00CE09D3">
        <w:t xml:space="preserve"> and</w:t>
      </w:r>
    </w:p>
    <w:p w14:paraId="126E3CBC" w14:textId="31930580" w:rsidR="008C15CF" w:rsidRPr="008C15CF" w:rsidRDefault="008C15CF" w:rsidP="008E229D">
      <w:pPr>
        <w:pStyle w:val="UtilComBulletText"/>
        <w:numPr>
          <w:ilvl w:val="0"/>
          <w:numId w:val="6"/>
        </w:numPr>
        <w:tabs>
          <w:tab w:val="clear" w:pos="964"/>
          <w:tab w:val="num" w:pos="1276"/>
        </w:tabs>
        <w:ind w:left="1134" w:hanging="425"/>
      </w:pPr>
      <w:r w:rsidRPr="008C15CF">
        <w:t>a decision on how compliance with the relevant control mechanism is to be demonstrated (clause 6.12.1(13))</w:t>
      </w:r>
      <w:r w:rsidR="00CE09D3">
        <w:t>.</w:t>
      </w:r>
    </w:p>
    <w:p w14:paraId="279DAC1F" w14:textId="77777777" w:rsidR="008C15CF" w:rsidRPr="008C15CF" w:rsidRDefault="002B5BB1" w:rsidP="00CB1056">
      <w:pPr>
        <w:pStyle w:val="NumberLevel2"/>
        <w:numPr>
          <w:ilvl w:val="1"/>
          <w:numId w:val="5"/>
        </w:numPr>
        <w:tabs>
          <w:tab w:val="num" w:pos="709"/>
        </w:tabs>
        <w:ind w:left="709" w:hanging="709"/>
        <w:rPr>
          <w:lang w:val="en-AU"/>
        </w:rPr>
      </w:pPr>
      <w:r>
        <w:rPr>
          <w:lang w:val="en-AU"/>
        </w:rPr>
        <w:t>Clause 6.</w:t>
      </w:r>
      <w:r w:rsidR="0052797B">
        <w:rPr>
          <w:lang w:val="en-AU"/>
        </w:rPr>
        <w:t>2</w:t>
      </w:r>
      <w:r>
        <w:rPr>
          <w:lang w:val="en-AU"/>
        </w:rPr>
        <w:t>.</w:t>
      </w:r>
      <w:r w:rsidR="0052797B">
        <w:rPr>
          <w:lang w:val="en-AU"/>
        </w:rPr>
        <w:t>5</w:t>
      </w:r>
      <w:r>
        <w:rPr>
          <w:lang w:val="en-AU"/>
        </w:rPr>
        <w:t>(b) of the NER provides that t</w:t>
      </w:r>
      <w:r w:rsidR="008C15CF" w:rsidRPr="008C15CF">
        <w:rPr>
          <w:lang w:val="en-AU"/>
        </w:rPr>
        <w:t>he control mechanism may consist of:</w:t>
      </w:r>
    </w:p>
    <w:p w14:paraId="66E0F674" w14:textId="77777777" w:rsidR="008C15CF" w:rsidRPr="002B5BB1" w:rsidRDefault="00AA1C62" w:rsidP="004B63D8">
      <w:pPr>
        <w:pStyle w:val="UtilComQuotationText"/>
        <w:ind w:left="1570" w:hanging="425"/>
      </w:pPr>
      <w:r>
        <w:t xml:space="preserve">(1) </w:t>
      </w:r>
      <w:r w:rsidR="008074DA">
        <w:tab/>
      </w:r>
      <w:r w:rsidR="008C15CF" w:rsidRPr="002B5BB1">
        <w:t>a schedule of fixed prices; or</w:t>
      </w:r>
    </w:p>
    <w:p w14:paraId="5F5BAE22" w14:textId="77777777" w:rsidR="008C15CF" w:rsidRPr="002B5BB1" w:rsidRDefault="00AA1C62" w:rsidP="004B63D8">
      <w:pPr>
        <w:pStyle w:val="UtilComQuotationText"/>
        <w:ind w:left="1570" w:hanging="425"/>
      </w:pPr>
      <w:r>
        <w:t xml:space="preserve">(2) </w:t>
      </w:r>
      <w:r w:rsidR="008074DA">
        <w:tab/>
      </w:r>
      <w:r w:rsidR="008C15CF" w:rsidRPr="002B5BB1">
        <w:t>caps on the prices of individual services; or</w:t>
      </w:r>
    </w:p>
    <w:p w14:paraId="5B344111" w14:textId="77777777" w:rsidR="008C15CF" w:rsidRPr="002B5BB1" w:rsidRDefault="00AA1C62" w:rsidP="004B63D8">
      <w:pPr>
        <w:pStyle w:val="UtilComQuotationText"/>
        <w:ind w:left="1570" w:hanging="425"/>
      </w:pPr>
      <w:r>
        <w:t xml:space="preserve">(3) </w:t>
      </w:r>
      <w:r w:rsidR="008074DA">
        <w:tab/>
      </w:r>
      <w:r w:rsidR="008C15CF" w:rsidRPr="002B5BB1">
        <w:t>caps on the revenue to be derived from a particular combination of services; or</w:t>
      </w:r>
    </w:p>
    <w:p w14:paraId="7EB10688" w14:textId="77777777" w:rsidR="008C15CF" w:rsidRPr="002B5BB1" w:rsidRDefault="00AA1C62" w:rsidP="004B63D8">
      <w:pPr>
        <w:pStyle w:val="UtilComQuotationText"/>
        <w:ind w:left="1570" w:hanging="425"/>
      </w:pPr>
      <w:r>
        <w:t xml:space="preserve">(4) </w:t>
      </w:r>
      <w:r w:rsidR="008074DA">
        <w:tab/>
      </w:r>
      <w:r w:rsidR="008C15CF" w:rsidRPr="002B5BB1">
        <w:t>tariff basket price control; or</w:t>
      </w:r>
    </w:p>
    <w:p w14:paraId="68549C0B" w14:textId="77777777" w:rsidR="008C15CF" w:rsidRPr="002B5BB1" w:rsidRDefault="00AA1C62" w:rsidP="004B63D8">
      <w:pPr>
        <w:pStyle w:val="UtilComQuotationText"/>
        <w:ind w:left="1570" w:hanging="425"/>
      </w:pPr>
      <w:r>
        <w:t xml:space="preserve">(5) </w:t>
      </w:r>
      <w:r w:rsidR="008074DA">
        <w:tab/>
      </w:r>
      <w:r w:rsidR="008C15CF" w:rsidRPr="002B5BB1">
        <w:t>revenue yield control; or</w:t>
      </w:r>
    </w:p>
    <w:p w14:paraId="10F34FF4" w14:textId="77777777" w:rsidR="002E3669" w:rsidRPr="002B5BB1" w:rsidRDefault="00AA1C62" w:rsidP="004B63D8">
      <w:pPr>
        <w:pStyle w:val="UtilComQuotationText"/>
        <w:ind w:left="1570" w:hanging="425"/>
      </w:pPr>
      <w:r>
        <w:t xml:space="preserve">(6) </w:t>
      </w:r>
      <w:r w:rsidR="008074DA">
        <w:tab/>
      </w:r>
      <w:r w:rsidR="008C15CF" w:rsidRPr="002B5BB1">
        <w:t>a combination of any of the above.</w:t>
      </w:r>
    </w:p>
    <w:p w14:paraId="614F0414" w14:textId="77777777" w:rsidR="002B5BB1" w:rsidRDefault="002B5BB1" w:rsidP="00CB1056">
      <w:pPr>
        <w:pStyle w:val="NumberLevel2"/>
        <w:numPr>
          <w:ilvl w:val="1"/>
          <w:numId w:val="5"/>
        </w:numPr>
        <w:tabs>
          <w:tab w:val="num" w:pos="709"/>
        </w:tabs>
        <w:ind w:left="709" w:hanging="709"/>
        <w:rPr>
          <w:lang w:val="en-AU"/>
        </w:rPr>
      </w:pPr>
      <w:r w:rsidRPr="002B5BB1">
        <w:rPr>
          <w:lang w:val="en-AU"/>
        </w:rPr>
        <w:t>Clause 6.</w:t>
      </w:r>
      <w:r w:rsidR="0052797B">
        <w:rPr>
          <w:lang w:val="en-AU"/>
        </w:rPr>
        <w:t>2</w:t>
      </w:r>
      <w:r w:rsidRPr="002B5BB1">
        <w:rPr>
          <w:lang w:val="en-AU"/>
        </w:rPr>
        <w:t>.</w:t>
      </w:r>
      <w:r w:rsidR="0052797B">
        <w:rPr>
          <w:lang w:val="en-AU"/>
        </w:rPr>
        <w:t>5</w:t>
      </w:r>
      <w:r w:rsidRPr="002B5BB1">
        <w:rPr>
          <w:lang w:val="en-AU"/>
        </w:rPr>
        <w:t>(c) lists the matters to which the AER must have regard in deciding on a control mechanism for standard control services</w:t>
      </w:r>
      <w:r>
        <w:rPr>
          <w:lang w:val="en-AU"/>
        </w:rPr>
        <w:t>.</w:t>
      </w:r>
    </w:p>
    <w:p w14:paraId="2F5C5533" w14:textId="11D16E1A" w:rsidR="00755B8D" w:rsidRPr="00755B8D" w:rsidRDefault="00755B8D" w:rsidP="00CB1056">
      <w:pPr>
        <w:pStyle w:val="NumberLevel2"/>
        <w:numPr>
          <w:ilvl w:val="1"/>
          <w:numId w:val="5"/>
        </w:numPr>
        <w:tabs>
          <w:tab w:val="num" w:pos="709"/>
        </w:tabs>
        <w:ind w:left="709" w:hanging="709"/>
        <w:rPr>
          <w:lang w:val="en-AU"/>
        </w:rPr>
      </w:pPr>
      <w:r>
        <w:rPr>
          <w:lang w:val="en-AU"/>
        </w:rPr>
        <w:t xml:space="preserve">Clause 6.18.6 of the NER </w:t>
      </w:r>
      <w:r w:rsidR="001341F0">
        <w:rPr>
          <w:lang w:val="en-AU"/>
        </w:rPr>
        <w:t>sets</w:t>
      </w:r>
      <w:r>
        <w:rPr>
          <w:lang w:val="en-AU"/>
        </w:rPr>
        <w:t xml:space="preserve"> a side constraint of </w:t>
      </w:r>
      <w:r w:rsidR="00CE09D3">
        <w:rPr>
          <w:lang w:val="en-AU"/>
        </w:rPr>
        <w:t>2 per </w:t>
      </w:r>
      <w:r>
        <w:rPr>
          <w:lang w:val="en-AU"/>
        </w:rPr>
        <w:t xml:space="preserve">cent on the amount that weighted average revenue </w:t>
      </w:r>
      <w:r w:rsidR="00647F68">
        <w:rPr>
          <w:lang w:val="en-AU"/>
        </w:rPr>
        <w:t>to</w:t>
      </w:r>
      <w:r w:rsidR="00CE09D3">
        <w:rPr>
          <w:lang w:val="en-AU"/>
        </w:rPr>
        <w:t xml:space="preserve"> </w:t>
      </w:r>
      <w:r>
        <w:rPr>
          <w:lang w:val="en-AU"/>
        </w:rPr>
        <w:t xml:space="preserve">be raised from a tariff class can be increased </w:t>
      </w:r>
      <w:r w:rsidR="00CE09D3">
        <w:rPr>
          <w:lang w:val="en-AU"/>
        </w:rPr>
        <w:t xml:space="preserve">from one regulatory year to the next regulatory </w:t>
      </w:r>
      <w:r>
        <w:rPr>
          <w:lang w:val="en-AU"/>
        </w:rPr>
        <w:t>year.</w:t>
      </w:r>
    </w:p>
    <w:p w14:paraId="043D4884" w14:textId="3CF81C70" w:rsidR="002E3669" w:rsidRDefault="002E3669" w:rsidP="002E3669">
      <w:pPr>
        <w:pStyle w:val="UtilComHeading3"/>
      </w:pPr>
      <w:r>
        <w:t xml:space="preserve">Framework </w:t>
      </w:r>
      <w:r w:rsidR="00CE09D3">
        <w:t>Statement</w:t>
      </w:r>
    </w:p>
    <w:p w14:paraId="3E13B244" w14:textId="14A362F4" w:rsidR="00096EEA" w:rsidRPr="00096EEA" w:rsidRDefault="00096EEA" w:rsidP="004B4085">
      <w:pPr>
        <w:pStyle w:val="NumberLevel2"/>
        <w:numPr>
          <w:ilvl w:val="1"/>
          <w:numId w:val="5"/>
        </w:numPr>
        <w:tabs>
          <w:tab w:val="num" w:pos="709"/>
        </w:tabs>
        <w:ind w:left="709" w:hanging="709"/>
        <w:rPr>
          <w:lang w:val="en-AU"/>
        </w:rPr>
      </w:pPr>
      <w:r>
        <w:rPr>
          <w:lang w:val="en-AU"/>
        </w:rPr>
        <w:t xml:space="preserve">In its Framework </w:t>
      </w:r>
      <w:r w:rsidR="009E5735">
        <w:rPr>
          <w:lang w:val="en-AU"/>
        </w:rPr>
        <w:t>Statement</w:t>
      </w:r>
      <w:r>
        <w:rPr>
          <w:lang w:val="en-AU"/>
        </w:rPr>
        <w:t xml:space="preserve">, the </w:t>
      </w:r>
      <w:r w:rsidRPr="00096EEA">
        <w:rPr>
          <w:lang w:val="en-AU"/>
        </w:rPr>
        <w:t xml:space="preserve">Commission set out the control mechanism </w:t>
      </w:r>
      <w:r w:rsidR="009E5735">
        <w:rPr>
          <w:lang w:val="en-AU"/>
        </w:rPr>
        <w:t xml:space="preserve">that </w:t>
      </w:r>
      <w:r w:rsidR="00647F68">
        <w:rPr>
          <w:lang w:val="en-AU"/>
        </w:rPr>
        <w:t>would</w:t>
      </w:r>
      <w:r w:rsidRPr="00096EEA">
        <w:rPr>
          <w:lang w:val="en-AU"/>
        </w:rPr>
        <w:t xml:space="preserve"> apply to </w:t>
      </w:r>
      <w:r w:rsidR="00770909">
        <w:rPr>
          <w:lang w:val="en-AU"/>
        </w:rPr>
        <w:t>regulated network access</w:t>
      </w:r>
      <w:r w:rsidRPr="00096EEA">
        <w:rPr>
          <w:lang w:val="en-AU"/>
        </w:rPr>
        <w:t xml:space="preserve"> services provided by </w:t>
      </w:r>
      <w:r w:rsidR="007B5320" w:rsidRPr="00096EEA">
        <w:rPr>
          <w:lang w:val="en-AU"/>
        </w:rPr>
        <w:t>PWC</w:t>
      </w:r>
      <w:r w:rsidR="007B5320">
        <w:rPr>
          <w:lang w:val="en-AU"/>
        </w:rPr>
        <w:t> </w:t>
      </w:r>
      <w:r w:rsidRPr="00096EEA">
        <w:rPr>
          <w:lang w:val="en-AU"/>
        </w:rPr>
        <w:t xml:space="preserve">Networks during the </w:t>
      </w:r>
      <w:r w:rsidR="00770909">
        <w:rPr>
          <w:lang w:val="en-AU"/>
        </w:rPr>
        <w:t>2014-19</w:t>
      </w:r>
      <w:r w:rsidR="00770909" w:rsidRPr="00096EEA">
        <w:rPr>
          <w:lang w:val="en-AU"/>
        </w:rPr>
        <w:t xml:space="preserve"> </w:t>
      </w:r>
      <w:r w:rsidRPr="00096EEA">
        <w:rPr>
          <w:lang w:val="en-AU"/>
        </w:rPr>
        <w:t>regulatory control period.</w:t>
      </w:r>
      <w:r>
        <w:rPr>
          <w:lang w:val="en-AU"/>
        </w:rPr>
        <w:t xml:space="preserve"> This mechanism is a revenue cap</w:t>
      </w:r>
      <w:r w:rsidRPr="00096EEA">
        <w:rPr>
          <w:lang w:val="en-AU"/>
        </w:rPr>
        <w:t xml:space="preserve"> </w:t>
      </w:r>
      <w:r w:rsidR="00116B4C">
        <w:rPr>
          <w:lang w:val="en-AU"/>
        </w:rPr>
        <w:t xml:space="preserve">of the </w:t>
      </w:r>
      <w:r w:rsidR="00116B4C" w:rsidRPr="00096EEA">
        <w:rPr>
          <w:lang w:val="en-AU"/>
        </w:rPr>
        <w:t>prospective CPI</w:t>
      </w:r>
      <w:r w:rsidR="004B4085">
        <w:rPr>
          <w:lang w:val="en-AU"/>
        </w:rPr>
        <w:t> </w:t>
      </w:r>
      <w:r w:rsidR="00116B4C" w:rsidRPr="00096EEA">
        <w:rPr>
          <w:lang w:val="en-AU"/>
        </w:rPr>
        <w:t xml:space="preserve">minus X form </w:t>
      </w:r>
      <w:r w:rsidRPr="00096EEA">
        <w:rPr>
          <w:lang w:val="en-AU"/>
        </w:rPr>
        <w:t>on the basis that:</w:t>
      </w:r>
    </w:p>
    <w:p w14:paraId="14AAAB07" w14:textId="3D635A10" w:rsidR="00096EEA" w:rsidRPr="00096EEA" w:rsidRDefault="00647F68" w:rsidP="008E229D">
      <w:pPr>
        <w:pStyle w:val="UtilComBulletText"/>
        <w:numPr>
          <w:ilvl w:val="0"/>
          <w:numId w:val="6"/>
        </w:numPr>
        <w:tabs>
          <w:tab w:val="clear" w:pos="964"/>
          <w:tab w:val="num" w:pos="1134"/>
        </w:tabs>
        <w:ind w:left="1134" w:hanging="425"/>
      </w:pPr>
      <w:r>
        <w:t>e</w:t>
      </w:r>
      <w:r w:rsidR="00CE09D3">
        <w:t xml:space="preserve">lectricity </w:t>
      </w:r>
      <w:r w:rsidR="00096EEA" w:rsidRPr="00096EEA">
        <w:t>network costs are largely fixed, and given that the effect on demand of foreshadowed increases in retail prices is largely unknown at this time</w:t>
      </w:r>
      <w:r w:rsidR="00E17F83">
        <w:t xml:space="preserve"> </w:t>
      </w:r>
      <w:r w:rsidR="00CE09D3">
        <w:t xml:space="preserve">(which </w:t>
      </w:r>
      <w:r w:rsidR="00CE09D3" w:rsidRPr="00096EEA">
        <w:t>mak</w:t>
      </w:r>
      <w:r w:rsidR="00CE09D3">
        <w:t>es</w:t>
      </w:r>
      <w:r w:rsidR="00CE09D3" w:rsidRPr="00096EEA">
        <w:t xml:space="preserve"> </w:t>
      </w:r>
      <w:r w:rsidR="00096EEA" w:rsidRPr="00096EEA">
        <w:t>robust demand forecasting difficult</w:t>
      </w:r>
      <w:r w:rsidR="00CE09D3">
        <w:t>)</w:t>
      </w:r>
      <w:r w:rsidR="00096EEA" w:rsidRPr="00096EEA">
        <w:t xml:space="preserve">, a revenue cap is more likely to provide </w:t>
      </w:r>
      <w:r w:rsidR="00992EDD" w:rsidRPr="00096EEA">
        <w:t>PWC</w:t>
      </w:r>
      <w:r w:rsidR="00992EDD">
        <w:t> </w:t>
      </w:r>
      <w:r w:rsidR="00AA1C62">
        <w:t xml:space="preserve">Networks </w:t>
      </w:r>
      <w:r w:rsidR="00096EEA" w:rsidRPr="00096EEA">
        <w:t>with sufficient revenue, but no more;</w:t>
      </w:r>
    </w:p>
    <w:p w14:paraId="726FFA97" w14:textId="7A08A3C9" w:rsidR="00096EEA" w:rsidRPr="00096EEA" w:rsidRDefault="00096EEA" w:rsidP="008E229D">
      <w:pPr>
        <w:pStyle w:val="UtilComBulletText"/>
        <w:numPr>
          <w:ilvl w:val="0"/>
          <w:numId w:val="6"/>
        </w:numPr>
        <w:tabs>
          <w:tab w:val="clear" w:pos="964"/>
          <w:tab w:val="num" w:pos="1134"/>
        </w:tabs>
        <w:ind w:left="1134" w:hanging="425"/>
      </w:pPr>
      <w:r w:rsidRPr="00096EEA">
        <w:t xml:space="preserve">while a revenue cap can lead to more price volatility, price signals to </w:t>
      </w:r>
      <w:r w:rsidR="007F01D9">
        <w:t xml:space="preserve">most </w:t>
      </w:r>
      <w:r w:rsidR="00CE09D3">
        <w:t>retail</w:t>
      </w:r>
      <w:r w:rsidRPr="00096EEA">
        <w:t xml:space="preserve"> customers </w:t>
      </w:r>
      <w:r w:rsidR="007F01D9">
        <w:t>in</w:t>
      </w:r>
      <w:r w:rsidRPr="00096EEA">
        <w:t xml:space="preserve"> final retail prices</w:t>
      </w:r>
      <w:r w:rsidR="007F01D9">
        <w:t xml:space="preserve"> are constrained by the imposition of the </w:t>
      </w:r>
      <w:r w:rsidR="00CE09D3">
        <w:t>Territory Governments’ Electricity Pricing Order</w:t>
      </w:r>
      <w:r w:rsidRPr="00096EEA">
        <w:t>; and</w:t>
      </w:r>
    </w:p>
    <w:p w14:paraId="4CED64E5" w14:textId="77777777" w:rsidR="00096EEA" w:rsidRPr="00096EEA" w:rsidRDefault="00096EEA" w:rsidP="008E229D">
      <w:pPr>
        <w:pStyle w:val="UtilComBulletText"/>
        <w:numPr>
          <w:ilvl w:val="0"/>
          <w:numId w:val="6"/>
        </w:numPr>
        <w:tabs>
          <w:tab w:val="clear" w:pos="964"/>
          <w:tab w:val="num" w:pos="1134"/>
        </w:tabs>
        <w:ind w:left="1134" w:hanging="425"/>
      </w:pPr>
      <w:r w:rsidRPr="00096EEA">
        <w:t>it is consistent with current views of the AER and expected future direction in the NEM.</w:t>
      </w:r>
    </w:p>
    <w:p w14:paraId="4A449090" w14:textId="08F8003B" w:rsidR="00116B4C" w:rsidRPr="00116B4C" w:rsidRDefault="00116B4C" w:rsidP="004B4085">
      <w:pPr>
        <w:pStyle w:val="ListParagraph"/>
        <w:numPr>
          <w:ilvl w:val="1"/>
          <w:numId w:val="5"/>
        </w:numPr>
        <w:tabs>
          <w:tab w:val="num" w:pos="709"/>
        </w:tabs>
        <w:ind w:left="709" w:hanging="709"/>
        <w:rPr>
          <w:lang w:val="en-AU"/>
        </w:rPr>
      </w:pPr>
      <w:r w:rsidRPr="00116B4C">
        <w:rPr>
          <w:lang w:val="en-AU"/>
        </w:rPr>
        <w:t xml:space="preserve">A side constraint </w:t>
      </w:r>
      <w:r w:rsidR="00647F68">
        <w:rPr>
          <w:lang w:val="en-AU"/>
        </w:rPr>
        <w:t>would</w:t>
      </w:r>
      <w:r w:rsidRPr="00116B4C">
        <w:rPr>
          <w:lang w:val="en-AU"/>
        </w:rPr>
        <w:t xml:space="preserve"> also be applied such that the weighted average </w:t>
      </w:r>
      <w:r w:rsidR="00F3258B">
        <w:rPr>
          <w:lang w:val="en-AU"/>
        </w:rPr>
        <w:t>network tariff</w:t>
      </w:r>
      <w:r w:rsidR="00F3258B" w:rsidRPr="00116B4C">
        <w:rPr>
          <w:lang w:val="en-AU"/>
        </w:rPr>
        <w:t xml:space="preserve"> </w:t>
      </w:r>
      <w:r w:rsidRPr="00116B4C">
        <w:rPr>
          <w:lang w:val="en-AU"/>
        </w:rPr>
        <w:t xml:space="preserve">for each individual </w:t>
      </w:r>
      <w:r w:rsidR="00F3258B">
        <w:rPr>
          <w:lang w:val="en-AU"/>
        </w:rPr>
        <w:t>retail</w:t>
      </w:r>
      <w:r w:rsidRPr="00116B4C">
        <w:rPr>
          <w:lang w:val="en-AU"/>
        </w:rPr>
        <w:t xml:space="preserve"> customer for a particular </w:t>
      </w:r>
      <w:r w:rsidR="00F3258B">
        <w:rPr>
          <w:lang w:val="en-AU"/>
        </w:rPr>
        <w:t xml:space="preserve">regulatory </w:t>
      </w:r>
      <w:r w:rsidRPr="00116B4C">
        <w:rPr>
          <w:lang w:val="en-AU"/>
        </w:rPr>
        <w:t xml:space="preserve">year of the regulatory control period is not to exceed the corresponding weighted average </w:t>
      </w:r>
      <w:r w:rsidR="00F3258B">
        <w:rPr>
          <w:lang w:val="en-AU"/>
        </w:rPr>
        <w:t>network tariff</w:t>
      </w:r>
      <w:r w:rsidR="00F3258B" w:rsidRPr="00116B4C">
        <w:rPr>
          <w:lang w:val="en-AU"/>
        </w:rPr>
        <w:t xml:space="preserve"> </w:t>
      </w:r>
      <w:r w:rsidRPr="00116B4C">
        <w:rPr>
          <w:lang w:val="en-AU"/>
        </w:rPr>
        <w:t xml:space="preserve">for that individual </w:t>
      </w:r>
      <w:r w:rsidR="00F3258B">
        <w:rPr>
          <w:lang w:val="en-AU"/>
        </w:rPr>
        <w:t>retail</w:t>
      </w:r>
      <w:r w:rsidRPr="00116B4C">
        <w:rPr>
          <w:lang w:val="en-AU"/>
        </w:rPr>
        <w:t xml:space="preserve"> customer for the preceding regulatory year by more than a permissible percentage</w:t>
      </w:r>
      <w:r w:rsidR="00F3258B">
        <w:rPr>
          <w:lang w:val="en-AU"/>
        </w:rPr>
        <w:t xml:space="preserve"> of 2 per cent</w:t>
      </w:r>
      <w:r w:rsidRPr="00116B4C">
        <w:rPr>
          <w:lang w:val="en-AU"/>
        </w:rPr>
        <w:t>.</w:t>
      </w:r>
    </w:p>
    <w:p w14:paraId="436AC951" w14:textId="7DED3CB6" w:rsidR="00E41CDC" w:rsidRDefault="00096EEA" w:rsidP="004B4085">
      <w:pPr>
        <w:pStyle w:val="NumberLevel2"/>
        <w:numPr>
          <w:ilvl w:val="1"/>
          <w:numId w:val="5"/>
        </w:numPr>
        <w:tabs>
          <w:tab w:val="num" w:pos="709"/>
        </w:tabs>
        <w:ind w:left="709" w:hanging="709"/>
        <w:rPr>
          <w:lang w:val="en-AU"/>
        </w:rPr>
      </w:pPr>
      <w:r w:rsidRPr="00E41CDC">
        <w:rPr>
          <w:lang w:val="en-AU"/>
        </w:rPr>
        <w:t>An</w:t>
      </w:r>
      <w:r w:rsidR="00116B4C" w:rsidRPr="00E41CDC">
        <w:rPr>
          <w:lang w:val="en-AU"/>
        </w:rPr>
        <w:t xml:space="preserve"> unders and overs account </w:t>
      </w:r>
      <w:r w:rsidR="00647F68">
        <w:rPr>
          <w:lang w:val="en-AU"/>
        </w:rPr>
        <w:t xml:space="preserve">would </w:t>
      </w:r>
      <w:r w:rsidR="00116B4C" w:rsidRPr="00E41CDC">
        <w:rPr>
          <w:lang w:val="en-AU"/>
        </w:rPr>
        <w:t xml:space="preserve">monitor any </w:t>
      </w:r>
      <w:r w:rsidRPr="00E41CDC">
        <w:rPr>
          <w:lang w:val="en-AU"/>
        </w:rPr>
        <w:t xml:space="preserve">variation between the </w:t>
      </w:r>
      <w:r w:rsidR="00B50E85">
        <w:rPr>
          <w:lang w:val="en-AU"/>
        </w:rPr>
        <w:t>annual revenue requirement</w:t>
      </w:r>
      <w:r w:rsidRPr="00E41CDC">
        <w:rPr>
          <w:lang w:val="en-AU"/>
        </w:rPr>
        <w:t xml:space="preserve"> and the actual revenue collected by </w:t>
      </w:r>
      <w:r w:rsidR="00F3258B">
        <w:rPr>
          <w:lang w:val="en-AU"/>
        </w:rPr>
        <w:t>PWC Networks</w:t>
      </w:r>
      <w:r w:rsidR="00116B4C" w:rsidRPr="00E41CDC">
        <w:rPr>
          <w:lang w:val="en-AU"/>
        </w:rPr>
        <w:t>.</w:t>
      </w:r>
      <w:r w:rsidRPr="00E41CDC">
        <w:rPr>
          <w:lang w:val="en-AU"/>
        </w:rPr>
        <w:t xml:space="preserve"> </w:t>
      </w:r>
      <w:r w:rsidR="00E41CDC" w:rsidRPr="00E41CDC">
        <w:rPr>
          <w:lang w:val="en-AU"/>
        </w:rPr>
        <w:t xml:space="preserve">A notional interest charge, or interest credit </w:t>
      </w:r>
      <w:r w:rsidR="00F3258B">
        <w:rPr>
          <w:lang w:val="en-AU"/>
        </w:rPr>
        <w:t>(</w:t>
      </w:r>
      <w:r w:rsidR="00E41CDC" w:rsidRPr="00E41CDC">
        <w:rPr>
          <w:lang w:val="en-AU"/>
        </w:rPr>
        <w:t>as appropriate</w:t>
      </w:r>
      <w:r w:rsidR="00F3258B">
        <w:rPr>
          <w:lang w:val="en-AU"/>
        </w:rPr>
        <w:t>)</w:t>
      </w:r>
      <w:r w:rsidR="00E41CDC" w:rsidRPr="00E41CDC">
        <w:rPr>
          <w:lang w:val="en-AU"/>
        </w:rPr>
        <w:t xml:space="preserve">, </w:t>
      </w:r>
      <w:r w:rsidR="00F3258B">
        <w:rPr>
          <w:lang w:val="en-AU"/>
        </w:rPr>
        <w:t>w</w:t>
      </w:r>
      <w:r w:rsidR="00647F68">
        <w:rPr>
          <w:lang w:val="en-AU"/>
        </w:rPr>
        <w:t>ould</w:t>
      </w:r>
      <w:r w:rsidR="00F3258B">
        <w:rPr>
          <w:lang w:val="en-AU"/>
        </w:rPr>
        <w:t xml:space="preserve"> be approved by the Commission and </w:t>
      </w:r>
      <w:r w:rsidR="00E41CDC" w:rsidRPr="00E41CDC">
        <w:rPr>
          <w:lang w:val="en-AU"/>
        </w:rPr>
        <w:t xml:space="preserve">applied </w:t>
      </w:r>
      <w:r w:rsidR="00464CAC">
        <w:rPr>
          <w:lang w:val="en-AU"/>
        </w:rPr>
        <w:t>to</w:t>
      </w:r>
      <w:r w:rsidR="00464CAC" w:rsidRPr="00E41CDC">
        <w:rPr>
          <w:lang w:val="en-AU"/>
        </w:rPr>
        <w:t xml:space="preserve"> </w:t>
      </w:r>
      <w:r w:rsidR="00E41CDC" w:rsidRPr="00E41CDC">
        <w:rPr>
          <w:lang w:val="en-AU"/>
        </w:rPr>
        <w:t xml:space="preserve">the cumulative balance at the end of each </w:t>
      </w:r>
      <w:r w:rsidR="00464CAC">
        <w:rPr>
          <w:lang w:val="en-AU"/>
        </w:rPr>
        <w:t>regulatory</w:t>
      </w:r>
      <w:r w:rsidR="00464CAC" w:rsidRPr="00E41CDC">
        <w:rPr>
          <w:lang w:val="en-AU"/>
        </w:rPr>
        <w:t xml:space="preserve"> </w:t>
      </w:r>
      <w:r w:rsidR="00E41CDC" w:rsidRPr="00E41CDC">
        <w:rPr>
          <w:lang w:val="en-AU"/>
        </w:rPr>
        <w:t>year.</w:t>
      </w:r>
    </w:p>
    <w:p w14:paraId="72B9FC91" w14:textId="6665E5B7" w:rsidR="00E41CDC" w:rsidRPr="00E41CDC" w:rsidRDefault="00E41CDC" w:rsidP="004B4085">
      <w:pPr>
        <w:pStyle w:val="NumberLevel2"/>
        <w:numPr>
          <w:ilvl w:val="1"/>
          <w:numId w:val="5"/>
        </w:numPr>
        <w:tabs>
          <w:tab w:val="num" w:pos="709"/>
        </w:tabs>
        <w:ind w:left="709" w:hanging="709"/>
        <w:rPr>
          <w:lang w:val="en-AU"/>
        </w:rPr>
      </w:pPr>
      <w:r>
        <w:rPr>
          <w:lang w:val="en-AU"/>
        </w:rPr>
        <w:t xml:space="preserve">The Framework Statement also provided for tolerance </w:t>
      </w:r>
      <w:r w:rsidR="00706BC3">
        <w:rPr>
          <w:lang w:val="en-AU"/>
        </w:rPr>
        <w:t xml:space="preserve">margins to be applied in adjusting future </w:t>
      </w:r>
      <w:r w:rsidR="00464CAC">
        <w:rPr>
          <w:lang w:val="en-AU"/>
        </w:rPr>
        <w:t xml:space="preserve">regulatory </w:t>
      </w:r>
      <w:r w:rsidR="00706BC3">
        <w:rPr>
          <w:lang w:val="en-AU"/>
        </w:rPr>
        <w:t xml:space="preserve">year </w:t>
      </w:r>
      <w:r w:rsidR="00464CAC">
        <w:rPr>
          <w:lang w:val="en-AU"/>
        </w:rPr>
        <w:t xml:space="preserve">reference </w:t>
      </w:r>
      <w:r w:rsidR="00706BC3">
        <w:rPr>
          <w:lang w:val="en-AU"/>
        </w:rPr>
        <w:t>tariffs for</w:t>
      </w:r>
      <w:r w:rsidRPr="00E41CDC">
        <w:rPr>
          <w:lang w:val="en-AU"/>
        </w:rPr>
        <w:t xml:space="preserve"> under</w:t>
      </w:r>
      <w:r w:rsidR="00275223">
        <w:rPr>
          <w:lang w:val="en-AU"/>
        </w:rPr>
        <w:t xml:space="preserve"> or </w:t>
      </w:r>
      <w:r w:rsidRPr="00E41CDC">
        <w:rPr>
          <w:lang w:val="en-AU"/>
        </w:rPr>
        <w:t xml:space="preserve">over recoveries compared to the </w:t>
      </w:r>
      <w:r w:rsidR="00464CAC">
        <w:rPr>
          <w:lang w:val="en-AU"/>
        </w:rPr>
        <w:t>relevant annual revenue requirement</w:t>
      </w:r>
      <w:r w:rsidR="00706BC3">
        <w:rPr>
          <w:lang w:val="en-AU"/>
        </w:rPr>
        <w:t>.</w:t>
      </w:r>
    </w:p>
    <w:p w14:paraId="641B4634" w14:textId="276FA996" w:rsidR="002E3669" w:rsidRDefault="002E3669" w:rsidP="002E3669">
      <w:pPr>
        <w:pStyle w:val="UtilComHeading2"/>
      </w:pPr>
      <w:bookmarkStart w:id="64" w:name="_Toc385241458"/>
      <w:bookmarkStart w:id="65" w:name="_Toc386013011"/>
      <w:r>
        <w:t>PWC Networks</w:t>
      </w:r>
      <w:r w:rsidR="00D624BF">
        <w:t>’</w:t>
      </w:r>
      <w:r>
        <w:t xml:space="preserve"> </w:t>
      </w:r>
      <w:r w:rsidR="001F36EB">
        <w:t xml:space="preserve">Initial Regulatory </w:t>
      </w:r>
      <w:bookmarkEnd w:id="64"/>
      <w:r w:rsidR="001F36EB">
        <w:t>Proposal</w:t>
      </w:r>
      <w:bookmarkEnd w:id="65"/>
    </w:p>
    <w:p w14:paraId="05611894" w14:textId="01C9A4CF" w:rsidR="008E5DA1" w:rsidRPr="008E5DA1" w:rsidRDefault="008E5DA1" w:rsidP="008E5DA1">
      <w:pPr>
        <w:pStyle w:val="UtilComHeading3"/>
        <w:rPr>
          <w:lang w:val="en-AU"/>
        </w:rPr>
      </w:pPr>
      <w:r w:rsidRPr="008E5DA1">
        <w:rPr>
          <w:lang w:val="en-AU"/>
        </w:rPr>
        <w:t xml:space="preserve">Form of </w:t>
      </w:r>
      <w:r w:rsidR="001F36EB">
        <w:rPr>
          <w:lang w:val="en-AU"/>
        </w:rPr>
        <w:t>C</w:t>
      </w:r>
      <w:r w:rsidR="001F36EB" w:rsidRPr="008E5DA1">
        <w:rPr>
          <w:lang w:val="en-AU"/>
        </w:rPr>
        <w:t>ontrol</w:t>
      </w:r>
    </w:p>
    <w:p w14:paraId="78F89784" w14:textId="6E2A7D16" w:rsidR="008E5DA1" w:rsidRPr="007F01D9" w:rsidRDefault="008E5DA1" w:rsidP="004B4085">
      <w:pPr>
        <w:pStyle w:val="NumberLevel2"/>
        <w:numPr>
          <w:ilvl w:val="1"/>
          <w:numId w:val="5"/>
        </w:numPr>
        <w:tabs>
          <w:tab w:val="num" w:pos="709"/>
        </w:tabs>
        <w:ind w:left="709" w:hanging="709"/>
        <w:rPr>
          <w:lang w:val="en-AU"/>
        </w:rPr>
      </w:pPr>
      <w:r>
        <w:rPr>
          <w:lang w:val="en-AU"/>
        </w:rPr>
        <w:t>PWC Networks</w:t>
      </w:r>
      <w:r w:rsidRPr="008E5DA1">
        <w:rPr>
          <w:lang w:val="en-AU"/>
        </w:rPr>
        <w:t xml:space="preserve"> proposed a revenue cap control mechanism, of a CPI</w:t>
      </w:r>
      <w:r w:rsidR="00C4358C">
        <w:rPr>
          <w:lang w:val="en-AU"/>
        </w:rPr>
        <w:t xml:space="preserve"> minus </w:t>
      </w:r>
      <w:r w:rsidRPr="008E5DA1">
        <w:rPr>
          <w:lang w:val="en-AU"/>
        </w:rPr>
        <w:t xml:space="preserve">X form for its </w:t>
      </w:r>
      <w:r w:rsidR="00770909">
        <w:rPr>
          <w:lang w:val="en-AU"/>
        </w:rPr>
        <w:t>regulated network access</w:t>
      </w:r>
      <w:r w:rsidRPr="008E5DA1">
        <w:rPr>
          <w:lang w:val="en-AU"/>
        </w:rPr>
        <w:t xml:space="preserve"> services</w:t>
      </w:r>
      <w:r>
        <w:rPr>
          <w:lang w:val="en-AU"/>
        </w:rPr>
        <w:t xml:space="preserve">, consistent with the Commission’s </w:t>
      </w:r>
      <w:r w:rsidR="007E3A05">
        <w:rPr>
          <w:lang w:val="en-AU"/>
        </w:rPr>
        <w:t>Framework Statement</w:t>
      </w:r>
      <w:r w:rsidRPr="008E5DA1">
        <w:rPr>
          <w:lang w:val="en-AU"/>
        </w:rPr>
        <w:t xml:space="preserve">. The building blocks that make up </w:t>
      </w:r>
      <w:r>
        <w:rPr>
          <w:lang w:val="en-AU"/>
        </w:rPr>
        <w:t>PWC Networks’</w:t>
      </w:r>
      <w:r w:rsidRPr="008E5DA1">
        <w:rPr>
          <w:lang w:val="en-AU"/>
        </w:rPr>
        <w:t xml:space="preserve"> revenue</w:t>
      </w:r>
      <w:r>
        <w:rPr>
          <w:lang w:val="en-AU"/>
        </w:rPr>
        <w:t xml:space="preserve"> cap </w:t>
      </w:r>
      <w:r w:rsidR="00C4358C">
        <w:rPr>
          <w:lang w:val="en-AU"/>
        </w:rPr>
        <w:t xml:space="preserve">(or annual revenue requirement) </w:t>
      </w:r>
      <w:r>
        <w:rPr>
          <w:lang w:val="en-AU"/>
        </w:rPr>
        <w:t xml:space="preserve">are discussed in </w:t>
      </w:r>
      <w:r w:rsidR="00D82F70" w:rsidRPr="009D64CF">
        <w:rPr>
          <w:lang w:val="en-AU"/>
        </w:rPr>
        <w:t xml:space="preserve">Chapter </w:t>
      </w:r>
      <w:r w:rsidR="009D64CF" w:rsidRPr="009D64CF">
        <w:rPr>
          <w:lang w:val="en-AU"/>
        </w:rPr>
        <w:t>14</w:t>
      </w:r>
      <w:r w:rsidRPr="007F01D9">
        <w:rPr>
          <w:lang w:val="en-AU"/>
        </w:rPr>
        <w:t>.</w:t>
      </w:r>
    </w:p>
    <w:p w14:paraId="73D9942B" w14:textId="168AF3DF" w:rsidR="008E5DA1" w:rsidRPr="008E5DA1" w:rsidRDefault="008E5DA1" w:rsidP="008E5DA1">
      <w:pPr>
        <w:pStyle w:val="UtilComHeading3"/>
        <w:rPr>
          <w:lang w:val="en-AU"/>
        </w:rPr>
      </w:pPr>
      <w:r w:rsidRPr="008E5DA1">
        <w:rPr>
          <w:lang w:val="en-AU"/>
        </w:rPr>
        <w:t xml:space="preserve">Application of the </w:t>
      </w:r>
      <w:r w:rsidR="001F36EB">
        <w:rPr>
          <w:lang w:val="en-AU"/>
        </w:rPr>
        <w:t>R</w:t>
      </w:r>
      <w:r w:rsidR="001F36EB" w:rsidRPr="008E5DA1">
        <w:rPr>
          <w:lang w:val="en-AU"/>
        </w:rPr>
        <w:t xml:space="preserve">evenue </w:t>
      </w:r>
      <w:r w:rsidR="001F36EB">
        <w:rPr>
          <w:lang w:val="en-AU"/>
        </w:rPr>
        <w:t>C</w:t>
      </w:r>
      <w:r w:rsidR="001F36EB" w:rsidRPr="008E5DA1">
        <w:rPr>
          <w:lang w:val="en-AU"/>
        </w:rPr>
        <w:t>ap</w:t>
      </w:r>
    </w:p>
    <w:p w14:paraId="7D162124" w14:textId="6F0DAC80" w:rsidR="008E5DA1" w:rsidRPr="008E5DA1" w:rsidRDefault="008E5DA1" w:rsidP="004B4085">
      <w:pPr>
        <w:pStyle w:val="NumberLevel2"/>
        <w:numPr>
          <w:ilvl w:val="1"/>
          <w:numId w:val="5"/>
        </w:numPr>
        <w:tabs>
          <w:tab w:val="left" w:pos="709"/>
        </w:tabs>
        <w:ind w:left="709" w:hanging="709"/>
        <w:rPr>
          <w:lang w:val="en-AU"/>
        </w:rPr>
      </w:pPr>
      <w:r>
        <w:rPr>
          <w:lang w:val="en-AU"/>
        </w:rPr>
        <w:t>PWC Networks</w:t>
      </w:r>
      <w:r w:rsidRPr="008E5DA1">
        <w:rPr>
          <w:lang w:val="en-AU"/>
        </w:rPr>
        <w:t xml:space="preserve"> proposed annual adjustments to its annual revenue </w:t>
      </w:r>
      <w:r w:rsidR="00C4358C">
        <w:rPr>
          <w:lang w:val="en-AU"/>
        </w:rPr>
        <w:t>requirement</w:t>
      </w:r>
      <w:r w:rsidR="00C4358C" w:rsidRPr="008E5DA1">
        <w:rPr>
          <w:lang w:val="en-AU"/>
        </w:rPr>
        <w:t xml:space="preserve"> </w:t>
      </w:r>
      <w:r w:rsidRPr="008E5DA1">
        <w:rPr>
          <w:lang w:val="en-AU"/>
        </w:rPr>
        <w:t>for:</w:t>
      </w:r>
    </w:p>
    <w:p w14:paraId="55025518" w14:textId="7A9F9FE9" w:rsidR="008E5DA1" w:rsidRPr="008E5DA1" w:rsidRDefault="008E5DA1" w:rsidP="008E229D">
      <w:pPr>
        <w:pStyle w:val="UtilComBulletText"/>
        <w:numPr>
          <w:ilvl w:val="0"/>
          <w:numId w:val="6"/>
        </w:numPr>
        <w:tabs>
          <w:tab w:val="clear" w:pos="964"/>
          <w:tab w:val="num" w:pos="1134"/>
        </w:tabs>
        <w:ind w:left="1134" w:hanging="425"/>
      </w:pPr>
      <w:r w:rsidRPr="008E5DA1">
        <w:t>any under</w:t>
      </w:r>
      <w:r w:rsidR="00992EDD">
        <w:t xml:space="preserve"> or </w:t>
      </w:r>
      <w:r w:rsidRPr="008E5DA1">
        <w:t xml:space="preserve">over recoveries related to </w:t>
      </w:r>
      <w:r w:rsidR="007E3A05">
        <w:t>regulated network</w:t>
      </w:r>
      <w:r w:rsidRPr="008E5DA1">
        <w:t xml:space="preserve"> </w:t>
      </w:r>
      <w:r w:rsidR="00C4358C">
        <w:t>access service</w:t>
      </w:r>
      <w:r w:rsidR="00956846">
        <w:t xml:space="preserve"> revenues</w:t>
      </w:r>
      <w:r w:rsidRPr="008E5DA1">
        <w:t>; and</w:t>
      </w:r>
    </w:p>
    <w:p w14:paraId="55874CAA" w14:textId="56EBC7E4" w:rsidR="002E3669" w:rsidRPr="008E5DA1" w:rsidRDefault="008E5DA1" w:rsidP="008E229D">
      <w:pPr>
        <w:pStyle w:val="UtilComBulletText"/>
        <w:numPr>
          <w:ilvl w:val="0"/>
          <w:numId w:val="6"/>
        </w:numPr>
        <w:tabs>
          <w:tab w:val="clear" w:pos="964"/>
          <w:tab w:val="num" w:pos="1134"/>
        </w:tabs>
        <w:ind w:left="1134" w:hanging="425"/>
      </w:pPr>
      <w:r w:rsidRPr="008E5DA1">
        <w:t xml:space="preserve">any </w:t>
      </w:r>
      <w:r w:rsidR="00C4358C">
        <w:t xml:space="preserve">cost </w:t>
      </w:r>
      <w:r w:rsidRPr="008E5DA1">
        <w:t xml:space="preserve">pass throughs approved by the </w:t>
      </w:r>
      <w:r w:rsidR="00C4358C">
        <w:t>Commission</w:t>
      </w:r>
      <w:r w:rsidR="00C4358C" w:rsidRPr="008E5DA1">
        <w:t xml:space="preserve"> </w:t>
      </w:r>
      <w:r w:rsidRPr="008E5DA1">
        <w:t xml:space="preserve">during the </w:t>
      </w:r>
      <w:r w:rsidR="00770909">
        <w:t>2014</w:t>
      </w:r>
      <w:r w:rsidR="00C4358C">
        <w:noBreakHyphen/>
      </w:r>
      <w:r w:rsidR="00770909">
        <w:t xml:space="preserve">19 </w:t>
      </w:r>
      <w:r w:rsidRPr="008E5DA1">
        <w:t>regulatory control period.</w:t>
      </w:r>
    </w:p>
    <w:p w14:paraId="4294F285" w14:textId="6BBA7E23" w:rsidR="008E5DA1" w:rsidRPr="008E5DA1" w:rsidRDefault="008E5DA1" w:rsidP="008E5DA1">
      <w:pPr>
        <w:pStyle w:val="UtilComHeading3"/>
        <w:rPr>
          <w:lang w:val="en-AU"/>
        </w:rPr>
      </w:pPr>
      <w:r>
        <w:rPr>
          <w:lang w:val="en-AU"/>
        </w:rPr>
        <w:t>U</w:t>
      </w:r>
      <w:r w:rsidRPr="008E5DA1">
        <w:rPr>
          <w:lang w:val="en-AU"/>
        </w:rPr>
        <w:t xml:space="preserve">nder/over </w:t>
      </w:r>
      <w:r w:rsidR="001F36EB">
        <w:rPr>
          <w:lang w:val="en-AU"/>
        </w:rPr>
        <w:t>R</w:t>
      </w:r>
      <w:r w:rsidR="001F36EB" w:rsidRPr="008E5DA1">
        <w:rPr>
          <w:lang w:val="en-AU"/>
        </w:rPr>
        <w:t>ecoveries</w:t>
      </w:r>
    </w:p>
    <w:p w14:paraId="6728AD35" w14:textId="2E605DAE" w:rsidR="008E5DA1" w:rsidRDefault="008E5DA1" w:rsidP="004B4085">
      <w:pPr>
        <w:pStyle w:val="NumberLevel2"/>
        <w:numPr>
          <w:ilvl w:val="1"/>
          <w:numId w:val="5"/>
        </w:numPr>
        <w:tabs>
          <w:tab w:val="num" w:pos="709"/>
        </w:tabs>
        <w:ind w:left="709" w:hanging="709"/>
        <w:rPr>
          <w:lang w:val="en-AU"/>
        </w:rPr>
      </w:pPr>
      <w:r>
        <w:rPr>
          <w:lang w:val="en-AU"/>
        </w:rPr>
        <w:t>PWC Networks</w:t>
      </w:r>
      <w:r w:rsidRPr="008E5DA1">
        <w:rPr>
          <w:lang w:val="en-AU"/>
        </w:rPr>
        <w:t xml:space="preserve"> proposed </w:t>
      </w:r>
      <w:r w:rsidR="00F668C7">
        <w:rPr>
          <w:lang w:val="en-AU"/>
        </w:rPr>
        <w:t>an</w:t>
      </w:r>
      <w:r w:rsidRPr="008E5DA1">
        <w:rPr>
          <w:lang w:val="en-AU"/>
        </w:rPr>
        <w:t xml:space="preserve"> approach to the treatment of under</w:t>
      </w:r>
      <w:r w:rsidR="00992EDD">
        <w:rPr>
          <w:lang w:val="en-AU"/>
        </w:rPr>
        <w:t xml:space="preserve"> or </w:t>
      </w:r>
      <w:r w:rsidRPr="008E5DA1">
        <w:rPr>
          <w:lang w:val="en-AU"/>
        </w:rPr>
        <w:t xml:space="preserve">over recoveries </w:t>
      </w:r>
      <w:r w:rsidR="001F42BA">
        <w:rPr>
          <w:lang w:val="en-AU"/>
        </w:rPr>
        <w:t xml:space="preserve">related to </w:t>
      </w:r>
      <w:r w:rsidR="007E3A05">
        <w:rPr>
          <w:lang w:val="en-AU"/>
        </w:rPr>
        <w:t xml:space="preserve">regulated network </w:t>
      </w:r>
      <w:r w:rsidR="00956846">
        <w:rPr>
          <w:lang w:val="en-AU"/>
        </w:rPr>
        <w:t>access service annual revenues</w:t>
      </w:r>
      <w:r w:rsidR="00956846" w:rsidRPr="008E5DA1">
        <w:rPr>
          <w:lang w:val="en-AU"/>
        </w:rPr>
        <w:t xml:space="preserve"> </w:t>
      </w:r>
      <w:r w:rsidRPr="008E5DA1">
        <w:rPr>
          <w:lang w:val="en-AU"/>
        </w:rPr>
        <w:t xml:space="preserve">for the </w:t>
      </w:r>
      <w:r w:rsidR="00770909">
        <w:rPr>
          <w:lang w:val="en-AU"/>
        </w:rPr>
        <w:t>2014-19</w:t>
      </w:r>
      <w:r w:rsidR="00770909" w:rsidRPr="008E5DA1">
        <w:rPr>
          <w:lang w:val="en-AU"/>
        </w:rPr>
        <w:t xml:space="preserve"> </w:t>
      </w:r>
      <w:r w:rsidRPr="008E5DA1">
        <w:rPr>
          <w:lang w:val="en-AU"/>
        </w:rPr>
        <w:t xml:space="preserve">regulatory control period </w:t>
      </w:r>
      <w:r w:rsidR="001F42BA">
        <w:rPr>
          <w:lang w:val="en-AU"/>
        </w:rPr>
        <w:t>in accordance with</w:t>
      </w:r>
      <w:r>
        <w:rPr>
          <w:lang w:val="en-AU"/>
        </w:rPr>
        <w:t xml:space="preserve"> the Commission’s </w:t>
      </w:r>
      <w:r w:rsidR="001F42BA">
        <w:rPr>
          <w:lang w:val="en-AU"/>
        </w:rPr>
        <w:t>Framework Statement</w:t>
      </w:r>
      <w:r w:rsidR="00F668C7">
        <w:rPr>
          <w:lang w:val="en-AU"/>
        </w:rPr>
        <w:t>.</w:t>
      </w:r>
    </w:p>
    <w:p w14:paraId="1E89C2BE" w14:textId="29EE0E84" w:rsidR="002E3669" w:rsidRDefault="008E5DA1" w:rsidP="004B4085">
      <w:pPr>
        <w:pStyle w:val="NumberLevel2"/>
        <w:numPr>
          <w:ilvl w:val="1"/>
          <w:numId w:val="5"/>
        </w:numPr>
        <w:tabs>
          <w:tab w:val="num" w:pos="709"/>
        </w:tabs>
        <w:ind w:left="709" w:hanging="709"/>
        <w:rPr>
          <w:lang w:val="en-AU"/>
        </w:rPr>
      </w:pPr>
      <w:r w:rsidRPr="008E5DA1">
        <w:rPr>
          <w:lang w:val="en-AU"/>
        </w:rPr>
        <w:t xml:space="preserve">Under this approach, the balance of the unders and overs account </w:t>
      </w:r>
      <w:r w:rsidR="00647F68">
        <w:rPr>
          <w:lang w:val="en-AU"/>
        </w:rPr>
        <w:t xml:space="preserve">was to be </w:t>
      </w:r>
      <w:r w:rsidRPr="008E5DA1">
        <w:rPr>
          <w:lang w:val="en-AU"/>
        </w:rPr>
        <w:t>assessed at the end of each regulatory year (based on two year lagged data</w:t>
      </w:r>
      <w:r>
        <w:rPr>
          <w:lang w:val="en-AU"/>
        </w:rPr>
        <w:t>). The b</w:t>
      </w:r>
      <w:r w:rsidR="00647F68">
        <w:rPr>
          <w:lang w:val="en-AU"/>
        </w:rPr>
        <w:t>a</w:t>
      </w:r>
      <w:r>
        <w:rPr>
          <w:lang w:val="en-AU"/>
        </w:rPr>
        <w:t>lance of the unders and overs account would be adjusted for the time value of money (</w:t>
      </w:r>
      <w:r w:rsidR="00275223">
        <w:rPr>
          <w:lang w:val="en-AU"/>
        </w:rPr>
        <w:t>that is,</w:t>
      </w:r>
      <w:r w:rsidR="00275223" w:rsidRPr="008E5DA1">
        <w:rPr>
          <w:lang w:val="en-AU"/>
        </w:rPr>
        <w:t xml:space="preserve"> </w:t>
      </w:r>
      <w:r w:rsidRPr="008E5DA1">
        <w:rPr>
          <w:lang w:val="en-AU"/>
        </w:rPr>
        <w:t xml:space="preserve">indexed by the nominal WACC) and an adjustment made to the </w:t>
      </w:r>
      <w:r w:rsidR="009D64CF">
        <w:rPr>
          <w:lang w:val="en-AU"/>
        </w:rPr>
        <w:t>PWC </w:t>
      </w:r>
      <w:r>
        <w:rPr>
          <w:lang w:val="en-AU"/>
        </w:rPr>
        <w:t>Networks’</w:t>
      </w:r>
      <w:r w:rsidRPr="008E5DA1">
        <w:rPr>
          <w:lang w:val="en-AU"/>
        </w:rPr>
        <w:t xml:space="preserve"> </w:t>
      </w:r>
      <w:r w:rsidR="00956846">
        <w:rPr>
          <w:lang w:val="en-AU"/>
        </w:rPr>
        <w:t>annual revenue requirement</w:t>
      </w:r>
      <w:r w:rsidR="00956846" w:rsidRPr="008E5DA1">
        <w:rPr>
          <w:lang w:val="en-AU"/>
        </w:rPr>
        <w:t xml:space="preserve"> </w:t>
      </w:r>
      <w:r w:rsidRPr="008E5DA1">
        <w:rPr>
          <w:lang w:val="en-AU"/>
        </w:rPr>
        <w:t>in the next regulatory year to offset the balance.</w:t>
      </w:r>
    </w:p>
    <w:p w14:paraId="2600A980" w14:textId="2CAFB492" w:rsidR="008E5DA1" w:rsidRPr="008E5DA1" w:rsidRDefault="008E5DA1" w:rsidP="004B4085">
      <w:pPr>
        <w:pStyle w:val="NumberLevel2"/>
        <w:numPr>
          <w:ilvl w:val="1"/>
          <w:numId w:val="5"/>
        </w:numPr>
        <w:tabs>
          <w:tab w:val="num" w:pos="709"/>
        </w:tabs>
        <w:ind w:left="709" w:hanging="709"/>
        <w:rPr>
          <w:lang w:val="en-AU"/>
        </w:rPr>
      </w:pPr>
      <w:r>
        <w:rPr>
          <w:lang w:val="en-AU"/>
        </w:rPr>
        <w:t>PWC Networks</w:t>
      </w:r>
      <w:r w:rsidRPr="008E5DA1">
        <w:rPr>
          <w:lang w:val="en-AU"/>
        </w:rPr>
        <w:t xml:space="preserve"> proposed that the size of the adjustment to </w:t>
      </w:r>
      <w:r w:rsidR="00956846">
        <w:rPr>
          <w:lang w:val="en-AU"/>
        </w:rPr>
        <w:t>its annual revenue requirement</w:t>
      </w:r>
      <w:r w:rsidR="00956846" w:rsidRPr="008E5DA1">
        <w:rPr>
          <w:lang w:val="en-AU"/>
        </w:rPr>
        <w:t xml:space="preserve"> </w:t>
      </w:r>
      <w:r w:rsidRPr="008E5DA1">
        <w:rPr>
          <w:lang w:val="en-AU"/>
        </w:rPr>
        <w:t>for under</w:t>
      </w:r>
      <w:r w:rsidR="00992EDD">
        <w:rPr>
          <w:lang w:val="en-AU"/>
        </w:rPr>
        <w:t xml:space="preserve"> or </w:t>
      </w:r>
      <w:r w:rsidRPr="008E5DA1">
        <w:rPr>
          <w:lang w:val="en-AU"/>
        </w:rPr>
        <w:t xml:space="preserve">over recoveries would depend on tolerance limits consistent </w:t>
      </w:r>
      <w:r w:rsidR="00397C05">
        <w:rPr>
          <w:lang w:val="en-AU"/>
        </w:rPr>
        <w:t xml:space="preserve">with </w:t>
      </w:r>
      <w:r>
        <w:rPr>
          <w:lang w:val="en-AU"/>
        </w:rPr>
        <w:t xml:space="preserve">those set out in the Commission’s </w:t>
      </w:r>
      <w:r w:rsidR="001F42BA">
        <w:rPr>
          <w:lang w:val="en-AU"/>
        </w:rPr>
        <w:t>Framework Statement</w:t>
      </w:r>
      <w:r w:rsidRPr="008E5DA1">
        <w:rPr>
          <w:lang w:val="en-AU"/>
        </w:rPr>
        <w:t>, specifically:</w:t>
      </w:r>
    </w:p>
    <w:p w14:paraId="02734901" w14:textId="1897DB90" w:rsidR="008E5DA1" w:rsidRPr="008E5DA1" w:rsidRDefault="008E5DA1" w:rsidP="008E229D">
      <w:pPr>
        <w:pStyle w:val="UtilComBulletText"/>
        <w:numPr>
          <w:ilvl w:val="0"/>
          <w:numId w:val="6"/>
        </w:numPr>
        <w:tabs>
          <w:tab w:val="clear" w:pos="964"/>
          <w:tab w:val="num" w:pos="1134"/>
        </w:tabs>
        <w:ind w:left="1134" w:hanging="425"/>
      </w:pPr>
      <w:r w:rsidRPr="008E5DA1">
        <w:t xml:space="preserve">less than </w:t>
      </w:r>
      <w:r w:rsidR="00397C05" w:rsidRPr="008E5DA1">
        <w:t>2</w:t>
      </w:r>
      <w:r w:rsidR="00397C05">
        <w:t> </w:t>
      </w:r>
      <w:r w:rsidR="00397C05" w:rsidRPr="008E5DA1">
        <w:t>per</w:t>
      </w:r>
      <w:r w:rsidR="00397C05">
        <w:t> </w:t>
      </w:r>
      <w:r w:rsidRPr="008E5DA1">
        <w:t xml:space="preserve">cent – </w:t>
      </w:r>
      <w:r w:rsidR="00397C05">
        <w:t xml:space="preserve">PWC </w:t>
      </w:r>
      <w:r>
        <w:t>Networks</w:t>
      </w:r>
      <w:r w:rsidRPr="008E5DA1">
        <w:t xml:space="preserve"> proposed that the under</w:t>
      </w:r>
      <w:r w:rsidR="00992EDD">
        <w:t xml:space="preserve"> or </w:t>
      </w:r>
      <w:r w:rsidRPr="008E5DA1">
        <w:t xml:space="preserve">over recovery </w:t>
      </w:r>
      <w:r w:rsidR="00647F68">
        <w:t xml:space="preserve">would </w:t>
      </w:r>
      <w:r w:rsidRPr="008E5DA1">
        <w:t>be cleared within one regulatory year</w:t>
      </w:r>
      <w:r w:rsidR="00275223">
        <w:t>;</w:t>
      </w:r>
    </w:p>
    <w:p w14:paraId="1BC45301" w14:textId="2E9909C9" w:rsidR="008E5DA1" w:rsidRPr="008E5DA1" w:rsidRDefault="008E5DA1" w:rsidP="008E229D">
      <w:pPr>
        <w:pStyle w:val="UtilComBulletText"/>
        <w:numPr>
          <w:ilvl w:val="0"/>
          <w:numId w:val="6"/>
        </w:numPr>
        <w:tabs>
          <w:tab w:val="clear" w:pos="964"/>
          <w:tab w:val="num" w:pos="1134"/>
        </w:tabs>
        <w:ind w:left="1134" w:hanging="425"/>
      </w:pPr>
      <w:r w:rsidRPr="008E5DA1">
        <w:t xml:space="preserve">between </w:t>
      </w:r>
      <w:r w:rsidR="00397C05" w:rsidRPr="008E5DA1">
        <w:t>2</w:t>
      </w:r>
      <w:r w:rsidR="00397C05">
        <w:t> </w:t>
      </w:r>
      <w:r w:rsidR="00397C05" w:rsidRPr="008E5DA1">
        <w:t>per</w:t>
      </w:r>
      <w:r w:rsidR="00397C05">
        <w:t> </w:t>
      </w:r>
      <w:r w:rsidRPr="008E5DA1">
        <w:t xml:space="preserve">cent and </w:t>
      </w:r>
      <w:r w:rsidR="00397C05" w:rsidRPr="008E5DA1">
        <w:t>5</w:t>
      </w:r>
      <w:r w:rsidR="00397C05">
        <w:t> </w:t>
      </w:r>
      <w:r w:rsidR="00397C05" w:rsidRPr="008E5DA1">
        <w:t>per</w:t>
      </w:r>
      <w:r w:rsidR="00397C05">
        <w:t> </w:t>
      </w:r>
      <w:r w:rsidRPr="008E5DA1">
        <w:t xml:space="preserve">cent – </w:t>
      </w:r>
      <w:r w:rsidR="00397C05">
        <w:t>PWC </w:t>
      </w:r>
      <w:r>
        <w:t>Networks</w:t>
      </w:r>
      <w:r w:rsidRPr="008E5DA1">
        <w:t xml:space="preserve"> proposed the under</w:t>
      </w:r>
      <w:r w:rsidR="00992EDD">
        <w:t xml:space="preserve"> or </w:t>
      </w:r>
      <w:r w:rsidRPr="008E5DA1">
        <w:t>over recovery c</w:t>
      </w:r>
      <w:r w:rsidR="00647F68">
        <w:t xml:space="preserve">ould </w:t>
      </w:r>
      <w:r w:rsidRPr="008E5DA1">
        <w:t>be spread over two regulatory years</w:t>
      </w:r>
      <w:r w:rsidR="00275223">
        <w:t>; and</w:t>
      </w:r>
    </w:p>
    <w:p w14:paraId="55B10436" w14:textId="77777777" w:rsidR="008E5DA1" w:rsidRPr="008E5DA1" w:rsidRDefault="008E5DA1" w:rsidP="008E229D">
      <w:pPr>
        <w:pStyle w:val="UtilComBulletText"/>
        <w:numPr>
          <w:ilvl w:val="0"/>
          <w:numId w:val="6"/>
        </w:numPr>
        <w:tabs>
          <w:tab w:val="clear" w:pos="964"/>
          <w:tab w:val="num" w:pos="1134"/>
        </w:tabs>
        <w:ind w:left="1134" w:hanging="425"/>
      </w:pPr>
      <w:r w:rsidRPr="008E5DA1">
        <w:t xml:space="preserve">greater than </w:t>
      </w:r>
      <w:r w:rsidR="00397C05" w:rsidRPr="008E5DA1">
        <w:t>5</w:t>
      </w:r>
      <w:r w:rsidR="00397C05">
        <w:t> </w:t>
      </w:r>
      <w:r w:rsidR="00397C05" w:rsidRPr="008E5DA1">
        <w:t>per</w:t>
      </w:r>
      <w:r w:rsidR="00397C05">
        <w:t> </w:t>
      </w:r>
      <w:r w:rsidRPr="008E5DA1">
        <w:t xml:space="preserve">cent – </w:t>
      </w:r>
      <w:r w:rsidR="00397C05">
        <w:t>PWC </w:t>
      </w:r>
      <w:r>
        <w:t>Networks</w:t>
      </w:r>
      <w:r w:rsidRPr="008E5DA1">
        <w:t xml:space="preserve"> proposed to submit a plan to the </w:t>
      </w:r>
      <w:r>
        <w:t>Commission</w:t>
      </w:r>
      <w:r w:rsidRPr="008E5DA1">
        <w:t xml:space="preserve"> detailing how it proposes to clear the balance.</w:t>
      </w:r>
    </w:p>
    <w:p w14:paraId="02FB7AF7" w14:textId="6C85F388" w:rsidR="007F56B6" w:rsidRPr="007F56B6" w:rsidRDefault="007F56B6" w:rsidP="007F56B6">
      <w:pPr>
        <w:pStyle w:val="UtilComHeading3"/>
        <w:rPr>
          <w:lang w:val="en-AU"/>
        </w:rPr>
      </w:pPr>
      <w:r w:rsidRPr="007F56B6">
        <w:rPr>
          <w:lang w:val="en-AU"/>
        </w:rPr>
        <w:t xml:space="preserve">Side </w:t>
      </w:r>
      <w:r w:rsidR="001F36EB">
        <w:rPr>
          <w:lang w:val="en-AU"/>
        </w:rPr>
        <w:t>C</w:t>
      </w:r>
      <w:r w:rsidR="001F36EB" w:rsidRPr="007F56B6">
        <w:rPr>
          <w:lang w:val="en-AU"/>
        </w:rPr>
        <w:t>onstraint</w:t>
      </w:r>
    </w:p>
    <w:p w14:paraId="04A90610" w14:textId="6760784E" w:rsidR="007F56B6" w:rsidRDefault="007F56B6" w:rsidP="004B4085">
      <w:pPr>
        <w:pStyle w:val="NumberLevel2"/>
        <w:numPr>
          <w:ilvl w:val="1"/>
          <w:numId w:val="5"/>
        </w:numPr>
        <w:tabs>
          <w:tab w:val="num" w:pos="709"/>
        </w:tabs>
        <w:ind w:left="709" w:hanging="709"/>
        <w:rPr>
          <w:lang w:val="en-AU"/>
        </w:rPr>
      </w:pPr>
      <w:r>
        <w:rPr>
          <w:lang w:val="en-AU"/>
        </w:rPr>
        <w:t xml:space="preserve">PWC Networks proposed that the side constraint formula for </w:t>
      </w:r>
      <w:r w:rsidR="00956846">
        <w:rPr>
          <w:lang w:val="en-AU"/>
        </w:rPr>
        <w:t>regulated network access</w:t>
      </w:r>
      <w:r>
        <w:rPr>
          <w:lang w:val="en-AU"/>
        </w:rPr>
        <w:t xml:space="preserve"> services be applied to tariff classes, rather than </w:t>
      </w:r>
      <w:r w:rsidR="00956846">
        <w:rPr>
          <w:lang w:val="en-AU"/>
        </w:rPr>
        <w:t xml:space="preserve">individual retail </w:t>
      </w:r>
      <w:r>
        <w:rPr>
          <w:lang w:val="en-AU"/>
        </w:rPr>
        <w:t>customers, consistent with clause 6.18 of the NER.</w:t>
      </w:r>
    </w:p>
    <w:p w14:paraId="635A4D5C" w14:textId="723A90A2" w:rsidR="007F56B6" w:rsidRPr="007F56B6" w:rsidRDefault="007F56B6" w:rsidP="004B4085">
      <w:pPr>
        <w:pStyle w:val="NumberLevel2"/>
        <w:numPr>
          <w:ilvl w:val="1"/>
          <w:numId w:val="5"/>
        </w:numPr>
        <w:tabs>
          <w:tab w:val="num" w:pos="709"/>
        </w:tabs>
        <w:ind w:left="709" w:hanging="709"/>
        <w:rPr>
          <w:lang w:val="en-AU"/>
        </w:rPr>
      </w:pPr>
      <w:r w:rsidRPr="007F56B6">
        <w:rPr>
          <w:lang w:val="en-AU"/>
        </w:rPr>
        <w:t xml:space="preserve">A maximum permissible change of </w:t>
      </w:r>
      <w:r w:rsidR="00956846" w:rsidRPr="007F56B6">
        <w:rPr>
          <w:lang w:val="en-AU"/>
        </w:rPr>
        <w:t>2</w:t>
      </w:r>
      <w:r w:rsidR="00956846">
        <w:rPr>
          <w:lang w:val="en-AU"/>
        </w:rPr>
        <w:t> </w:t>
      </w:r>
      <w:r w:rsidR="00956846" w:rsidRPr="007F56B6">
        <w:rPr>
          <w:lang w:val="en-AU"/>
        </w:rPr>
        <w:t>per</w:t>
      </w:r>
      <w:r w:rsidR="00956846">
        <w:rPr>
          <w:lang w:val="en-AU"/>
        </w:rPr>
        <w:t> </w:t>
      </w:r>
      <w:r w:rsidRPr="007F56B6">
        <w:rPr>
          <w:lang w:val="en-AU"/>
        </w:rPr>
        <w:t xml:space="preserve">cent on any increase in the weighted average revenue of each tariff class would apply in </w:t>
      </w:r>
      <w:r w:rsidR="00956846">
        <w:rPr>
          <w:lang w:val="en-AU"/>
        </w:rPr>
        <w:t xml:space="preserve">relation to </w:t>
      </w:r>
      <w:r w:rsidRPr="007F56B6">
        <w:rPr>
          <w:lang w:val="en-AU"/>
        </w:rPr>
        <w:t>any</w:t>
      </w:r>
      <w:r>
        <w:rPr>
          <w:lang w:val="en-AU"/>
        </w:rPr>
        <w:t xml:space="preserve"> </w:t>
      </w:r>
      <w:r w:rsidRPr="007F56B6">
        <w:rPr>
          <w:lang w:val="en-AU"/>
        </w:rPr>
        <w:t>regulatory year.</w:t>
      </w:r>
    </w:p>
    <w:p w14:paraId="1A56A015" w14:textId="2B7486E9" w:rsidR="002E3669" w:rsidRDefault="002E3669" w:rsidP="002E3669">
      <w:pPr>
        <w:pStyle w:val="UtilComHeading2"/>
      </w:pPr>
      <w:bookmarkStart w:id="66" w:name="_Toc385241459"/>
      <w:bookmarkStart w:id="67" w:name="_Toc386013012"/>
      <w:r>
        <w:t>Submissions</w:t>
      </w:r>
      <w:r w:rsidR="007B5320">
        <w:t xml:space="preserve"> on </w:t>
      </w:r>
      <w:r w:rsidR="001F36EB">
        <w:t xml:space="preserve">Initial Regulatory </w:t>
      </w:r>
      <w:bookmarkEnd w:id="66"/>
      <w:r w:rsidR="001F36EB">
        <w:t>Proposal</w:t>
      </w:r>
      <w:bookmarkEnd w:id="67"/>
    </w:p>
    <w:p w14:paraId="0847F36A" w14:textId="77777777" w:rsidR="002E3669" w:rsidRDefault="007F56B6" w:rsidP="004B4085">
      <w:pPr>
        <w:pStyle w:val="NumberLevel2"/>
        <w:numPr>
          <w:ilvl w:val="1"/>
          <w:numId w:val="5"/>
        </w:numPr>
        <w:tabs>
          <w:tab w:val="num" w:pos="709"/>
        </w:tabs>
        <w:ind w:left="709" w:hanging="709"/>
        <w:rPr>
          <w:lang w:val="en-AU"/>
        </w:rPr>
      </w:pPr>
      <w:r>
        <w:rPr>
          <w:lang w:val="en-AU"/>
        </w:rPr>
        <w:t xml:space="preserve">The </w:t>
      </w:r>
      <w:r w:rsidRPr="007F56B6">
        <w:rPr>
          <w:lang w:val="en-AU"/>
        </w:rPr>
        <w:t>NTMEU co</w:t>
      </w:r>
      <w:r w:rsidR="00296B6B">
        <w:rPr>
          <w:lang w:val="en-AU"/>
        </w:rPr>
        <w:t xml:space="preserve">mmented </w:t>
      </w:r>
      <w:r w:rsidRPr="007F56B6">
        <w:rPr>
          <w:lang w:val="en-AU"/>
        </w:rPr>
        <w:t xml:space="preserve">that a revenue cap approach </w:t>
      </w:r>
      <w:r w:rsidR="00296B6B">
        <w:rPr>
          <w:lang w:val="en-AU"/>
        </w:rPr>
        <w:t>wa</w:t>
      </w:r>
      <w:r w:rsidRPr="007F56B6">
        <w:rPr>
          <w:lang w:val="en-AU"/>
        </w:rPr>
        <w:t xml:space="preserve">s preferable to continuing with the price cap form of regulation for PWC </w:t>
      </w:r>
      <w:r>
        <w:rPr>
          <w:lang w:val="en-AU"/>
        </w:rPr>
        <w:t xml:space="preserve">Networks </w:t>
      </w:r>
      <w:r w:rsidRPr="007F56B6">
        <w:rPr>
          <w:lang w:val="en-AU"/>
        </w:rPr>
        <w:t xml:space="preserve">in </w:t>
      </w:r>
      <w:r>
        <w:rPr>
          <w:lang w:val="en-AU"/>
        </w:rPr>
        <w:t xml:space="preserve">the </w:t>
      </w:r>
      <w:r w:rsidR="002C5C65">
        <w:rPr>
          <w:lang w:val="en-AU"/>
        </w:rPr>
        <w:t xml:space="preserve">2014-19 </w:t>
      </w:r>
      <w:r w:rsidR="001911C2">
        <w:rPr>
          <w:lang w:val="en-AU"/>
        </w:rPr>
        <w:t>regulatory control period and note</w:t>
      </w:r>
      <w:r w:rsidR="00296B6B">
        <w:rPr>
          <w:lang w:val="en-AU"/>
        </w:rPr>
        <w:t>d</w:t>
      </w:r>
      <w:r w:rsidR="001911C2">
        <w:rPr>
          <w:lang w:val="en-AU"/>
        </w:rPr>
        <w:t xml:space="preserve"> that</w:t>
      </w:r>
      <w:r w:rsidRPr="007F56B6">
        <w:rPr>
          <w:lang w:val="en-AU"/>
        </w:rPr>
        <w:t xml:space="preserve"> </w:t>
      </w:r>
      <w:r w:rsidR="001F42BA">
        <w:rPr>
          <w:lang w:val="en-AU"/>
        </w:rPr>
        <w:t xml:space="preserve">there </w:t>
      </w:r>
      <w:r w:rsidR="00296B6B">
        <w:rPr>
          <w:lang w:val="en-AU"/>
        </w:rPr>
        <w:t>we</w:t>
      </w:r>
      <w:r w:rsidRPr="007F56B6">
        <w:rPr>
          <w:lang w:val="en-AU"/>
        </w:rPr>
        <w:t xml:space="preserve">re some constraints as to how the annual </w:t>
      </w:r>
      <w:r w:rsidR="00275223">
        <w:rPr>
          <w:lang w:val="en-AU"/>
        </w:rPr>
        <w:t>under or over recovery of revenue</w:t>
      </w:r>
      <w:r w:rsidRPr="007F56B6">
        <w:rPr>
          <w:lang w:val="en-AU"/>
        </w:rPr>
        <w:t xml:space="preserve"> w</w:t>
      </w:r>
      <w:r w:rsidR="00296B6B">
        <w:rPr>
          <w:lang w:val="en-AU"/>
        </w:rPr>
        <w:t>ould</w:t>
      </w:r>
      <w:r w:rsidRPr="007F56B6">
        <w:rPr>
          <w:lang w:val="en-AU"/>
        </w:rPr>
        <w:t xml:space="preserve"> be adjusted. The</w:t>
      </w:r>
      <w:r>
        <w:rPr>
          <w:lang w:val="en-AU"/>
        </w:rPr>
        <w:t xml:space="preserve"> </w:t>
      </w:r>
      <w:r w:rsidRPr="007F56B6">
        <w:rPr>
          <w:lang w:val="en-AU"/>
        </w:rPr>
        <w:t>NTMEU support</w:t>
      </w:r>
      <w:r w:rsidR="00296B6B">
        <w:rPr>
          <w:lang w:val="en-AU"/>
        </w:rPr>
        <w:t>ed</w:t>
      </w:r>
      <w:r w:rsidRPr="007F56B6">
        <w:rPr>
          <w:lang w:val="en-AU"/>
        </w:rPr>
        <w:t xml:space="preserve"> the </w:t>
      </w:r>
      <w:r w:rsidR="007F01D9">
        <w:rPr>
          <w:lang w:val="en-AU"/>
        </w:rPr>
        <w:t>Commission’s</w:t>
      </w:r>
      <w:r w:rsidRPr="007F56B6">
        <w:rPr>
          <w:lang w:val="en-AU"/>
        </w:rPr>
        <w:t xml:space="preserve"> approach in this regard.</w:t>
      </w:r>
    </w:p>
    <w:p w14:paraId="4B51DC4F" w14:textId="77777777" w:rsidR="001911C2" w:rsidRPr="001911C2" w:rsidRDefault="001911C2" w:rsidP="004B4085">
      <w:pPr>
        <w:pStyle w:val="NumberLevel2"/>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 the form of control</w:t>
      </w:r>
      <w:r>
        <w:rPr>
          <w:lang w:val="en-AU"/>
        </w:rPr>
        <w:t>.</w:t>
      </w:r>
    </w:p>
    <w:p w14:paraId="1E7DA263" w14:textId="3F3869A3" w:rsidR="002E3669" w:rsidRDefault="002E3669" w:rsidP="002E3669">
      <w:pPr>
        <w:pStyle w:val="UtilComHeading2"/>
      </w:pPr>
      <w:bookmarkStart w:id="68" w:name="_Toc385241460"/>
      <w:bookmarkStart w:id="69" w:name="_Toc386013013"/>
      <w:r>
        <w:t xml:space="preserve">Issues and Commission’s </w:t>
      </w:r>
      <w:r w:rsidR="001F36EB">
        <w:t xml:space="preserve">Initial </w:t>
      </w:r>
      <w:bookmarkEnd w:id="68"/>
      <w:r w:rsidR="001F36EB">
        <w:t>Considerations</w:t>
      </w:r>
      <w:bookmarkEnd w:id="69"/>
    </w:p>
    <w:p w14:paraId="54CB61B7" w14:textId="72396695" w:rsidR="001911C2" w:rsidRPr="001911C2" w:rsidRDefault="001911C2" w:rsidP="001911C2">
      <w:pPr>
        <w:pStyle w:val="UtilComHeading3"/>
        <w:rPr>
          <w:lang w:val="en-AU"/>
        </w:rPr>
      </w:pPr>
      <w:r w:rsidRPr="001911C2">
        <w:rPr>
          <w:lang w:val="en-AU"/>
        </w:rPr>
        <w:t xml:space="preserve">Form of </w:t>
      </w:r>
      <w:r w:rsidR="001F36EB">
        <w:rPr>
          <w:lang w:val="en-AU"/>
        </w:rPr>
        <w:t>C</w:t>
      </w:r>
      <w:r w:rsidR="001F36EB" w:rsidRPr="001911C2">
        <w:rPr>
          <w:lang w:val="en-AU"/>
        </w:rPr>
        <w:t>ontrol</w:t>
      </w:r>
    </w:p>
    <w:p w14:paraId="19709AB3" w14:textId="655E27A7" w:rsidR="001911C2" w:rsidRPr="001911C2" w:rsidRDefault="001911C2" w:rsidP="004B4085">
      <w:pPr>
        <w:pStyle w:val="NumberLevel2"/>
        <w:numPr>
          <w:ilvl w:val="1"/>
          <w:numId w:val="5"/>
        </w:numPr>
        <w:tabs>
          <w:tab w:val="left" w:pos="709"/>
        </w:tabs>
        <w:ind w:left="709" w:hanging="709"/>
        <w:rPr>
          <w:lang w:val="en-AU"/>
        </w:rPr>
      </w:pPr>
      <w:r>
        <w:rPr>
          <w:lang w:val="en-AU"/>
        </w:rPr>
        <w:t xml:space="preserve">PWC Networks </w:t>
      </w:r>
      <w:r w:rsidRPr="001911C2">
        <w:rPr>
          <w:lang w:val="en-AU"/>
        </w:rPr>
        <w:t xml:space="preserve">proposed </w:t>
      </w:r>
      <w:r>
        <w:rPr>
          <w:lang w:val="en-AU"/>
        </w:rPr>
        <w:t xml:space="preserve">a </w:t>
      </w:r>
      <w:r w:rsidRPr="001911C2">
        <w:rPr>
          <w:lang w:val="en-AU"/>
        </w:rPr>
        <w:t xml:space="preserve">revenue cap for </w:t>
      </w:r>
      <w:r>
        <w:rPr>
          <w:lang w:val="en-AU"/>
        </w:rPr>
        <w:t>its</w:t>
      </w:r>
      <w:r w:rsidRPr="001911C2">
        <w:rPr>
          <w:lang w:val="en-AU"/>
        </w:rPr>
        <w:t xml:space="preserve"> </w:t>
      </w:r>
      <w:r w:rsidR="00770909">
        <w:rPr>
          <w:lang w:val="en-AU"/>
        </w:rPr>
        <w:t>regulated network access</w:t>
      </w:r>
      <w:r w:rsidRPr="001911C2">
        <w:rPr>
          <w:lang w:val="en-AU"/>
        </w:rPr>
        <w:t xml:space="preserve"> services. The </w:t>
      </w:r>
      <w:r>
        <w:rPr>
          <w:lang w:val="en-AU"/>
        </w:rPr>
        <w:t>Commission</w:t>
      </w:r>
      <w:r w:rsidRPr="001911C2">
        <w:rPr>
          <w:lang w:val="en-AU"/>
        </w:rPr>
        <w:t xml:space="preserve"> </w:t>
      </w:r>
      <w:r w:rsidR="002C5C65" w:rsidRPr="001911C2">
        <w:rPr>
          <w:lang w:val="en-AU"/>
        </w:rPr>
        <w:t>accept</w:t>
      </w:r>
      <w:r w:rsidR="002C5C65">
        <w:rPr>
          <w:lang w:val="en-AU"/>
        </w:rPr>
        <w:t>ed</w:t>
      </w:r>
      <w:r w:rsidR="002C5C65" w:rsidRPr="001911C2">
        <w:rPr>
          <w:lang w:val="en-AU"/>
        </w:rPr>
        <w:t xml:space="preserve"> </w:t>
      </w:r>
      <w:r>
        <w:rPr>
          <w:lang w:val="en-AU"/>
        </w:rPr>
        <w:t>PWC Networks</w:t>
      </w:r>
      <w:r w:rsidRPr="001911C2">
        <w:rPr>
          <w:lang w:val="en-AU"/>
        </w:rPr>
        <w:t xml:space="preserve"> proposed form of control as it </w:t>
      </w:r>
      <w:r w:rsidR="00647F68">
        <w:rPr>
          <w:lang w:val="en-AU"/>
        </w:rPr>
        <w:t xml:space="preserve">was </w:t>
      </w:r>
      <w:r w:rsidRPr="001911C2">
        <w:rPr>
          <w:lang w:val="en-AU"/>
        </w:rPr>
        <w:t xml:space="preserve">consistent with the </w:t>
      </w:r>
      <w:r>
        <w:rPr>
          <w:lang w:val="en-AU"/>
        </w:rPr>
        <w:t>Commission</w:t>
      </w:r>
      <w:r w:rsidRPr="001911C2">
        <w:rPr>
          <w:lang w:val="en-AU"/>
        </w:rPr>
        <w:t xml:space="preserve">’s </w:t>
      </w:r>
      <w:r w:rsidR="001F42BA">
        <w:rPr>
          <w:lang w:val="en-AU"/>
        </w:rPr>
        <w:t>decision</w:t>
      </w:r>
      <w:r w:rsidRPr="001911C2">
        <w:rPr>
          <w:lang w:val="en-AU"/>
        </w:rPr>
        <w:t xml:space="preserve"> in its </w:t>
      </w:r>
      <w:r w:rsidR="001F42BA">
        <w:rPr>
          <w:lang w:val="en-AU"/>
        </w:rPr>
        <w:t>Framework Statement</w:t>
      </w:r>
      <w:r w:rsidRPr="001911C2">
        <w:rPr>
          <w:lang w:val="en-AU"/>
        </w:rPr>
        <w:t>. The revenue cap w</w:t>
      </w:r>
      <w:r w:rsidR="00647F68">
        <w:rPr>
          <w:lang w:val="en-AU"/>
        </w:rPr>
        <w:t xml:space="preserve">ould </w:t>
      </w:r>
      <w:r w:rsidRPr="001911C2">
        <w:rPr>
          <w:lang w:val="en-AU"/>
        </w:rPr>
        <w:t>take the form of a CPI</w:t>
      </w:r>
      <w:r w:rsidR="001D78D3">
        <w:rPr>
          <w:lang w:val="en-AU"/>
        </w:rPr>
        <w:t xml:space="preserve"> minus </w:t>
      </w:r>
      <w:r w:rsidRPr="001911C2">
        <w:rPr>
          <w:lang w:val="en-AU"/>
        </w:rPr>
        <w:t xml:space="preserve">X approach, with the X factors based on the various building block costs. </w:t>
      </w:r>
    </w:p>
    <w:p w14:paraId="0FEB8A1D" w14:textId="5C0E87EC" w:rsidR="001911C2" w:rsidRPr="001911C2" w:rsidRDefault="001911C2" w:rsidP="001911C2">
      <w:pPr>
        <w:pStyle w:val="UtilComHeading3"/>
        <w:rPr>
          <w:lang w:val="en-AU"/>
        </w:rPr>
      </w:pPr>
      <w:r w:rsidRPr="001911C2">
        <w:rPr>
          <w:lang w:val="en-AU"/>
        </w:rPr>
        <w:t xml:space="preserve">Application of the </w:t>
      </w:r>
      <w:r w:rsidR="001F36EB">
        <w:rPr>
          <w:lang w:val="en-AU"/>
        </w:rPr>
        <w:t>R</w:t>
      </w:r>
      <w:r w:rsidR="001F36EB" w:rsidRPr="001911C2">
        <w:rPr>
          <w:lang w:val="en-AU"/>
        </w:rPr>
        <w:t xml:space="preserve">evenue </w:t>
      </w:r>
      <w:r w:rsidR="001F36EB">
        <w:rPr>
          <w:lang w:val="en-AU"/>
        </w:rPr>
        <w:t>C</w:t>
      </w:r>
      <w:r w:rsidR="001F36EB" w:rsidRPr="001911C2">
        <w:rPr>
          <w:lang w:val="en-AU"/>
        </w:rPr>
        <w:t>aps</w:t>
      </w:r>
    </w:p>
    <w:p w14:paraId="5A1E4024" w14:textId="5ED82814" w:rsidR="001911C2" w:rsidRPr="002A5D75" w:rsidRDefault="00F668C7" w:rsidP="002A5D75">
      <w:pPr>
        <w:pStyle w:val="UtilComHeading4"/>
        <w:spacing w:before="120"/>
        <w:rPr>
          <w:b/>
          <w:i w:val="0"/>
          <w:lang w:val="en-AU"/>
        </w:rPr>
      </w:pPr>
      <w:r w:rsidRPr="002A5D75">
        <w:rPr>
          <w:b/>
          <w:i w:val="0"/>
          <w:lang w:val="en-AU"/>
        </w:rPr>
        <w:t>U</w:t>
      </w:r>
      <w:r w:rsidR="001911C2" w:rsidRPr="002A5D75">
        <w:rPr>
          <w:b/>
          <w:i w:val="0"/>
          <w:lang w:val="en-AU"/>
        </w:rPr>
        <w:t xml:space="preserve">nders and </w:t>
      </w:r>
      <w:r w:rsidR="001F36EB">
        <w:rPr>
          <w:b/>
          <w:i w:val="0"/>
          <w:lang w:val="en-AU"/>
        </w:rPr>
        <w:t>O</w:t>
      </w:r>
      <w:r w:rsidR="001F36EB" w:rsidRPr="002A5D75">
        <w:rPr>
          <w:b/>
          <w:i w:val="0"/>
          <w:lang w:val="en-AU"/>
        </w:rPr>
        <w:t xml:space="preserve">vers </w:t>
      </w:r>
      <w:r w:rsidR="001F36EB">
        <w:rPr>
          <w:b/>
          <w:i w:val="0"/>
          <w:lang w:val="en-AU"/>
        </w:rPr>
        <w:t>A</w:t>
      </w:r>
      <w:r w:rsidR="001F36EB" w:rsidRPr="002A5D75">
        <w:rPr>
          <w:b/>
          <w:i w:val="0"/>
          <w:lang w:val="en-AU"/>
        </w:rPr>
        <w:t>ccount</w:t>
      </w:r>
    </w:p>
    <w:p w14:paraId="558F9B77" w14:textId="7DC0672E" w:rsidR="00F668C7" w:rsidRDefault="00F668C7" w:rsidP="004B4085">
      <w:pPr>
        <w:pStyle w:val="NumberLevel2"/>
        <w:numPr>
          <w:ilvl w:val="1"/>
          <w:numId w:val="5"/>
        </w:numPr>
        <w:tabs>
          <w:tab w:val="num" w:pos="709"/>
        </w:tabs>
        <w:ind w:left="709" w:hanging="709"/>
        <w:rPr>
          <w:lang w:val="en-AU"/>
        </w:rPr>
      </w:pPr>
      <w:r w:rsidRPr="002A5D75">
        <w:rPr>
          <w:lang w:val="en-AU"/>
        </w:rPr>
        <w:t>The approach proposed by PWC Networks</w:t>
      </w:r>
      <w:r w:rsidR="001911C2" w:rsidRPr="002A5D75">
        <w:rPr>
          <w:lang w:val="en-AU"/>
        </w:rPr>
        <w:t xml:space="preserve"> </w:t>
      </w:r>
      <w:r w:rsidR="002C5C65">
        <w:rPr>
          <w:lang w:val="en-AU"/>
        </w:rPr>
        <w:t>wa</w:t>
      </w:r>
      <w:r w:rsidR="002C5C65" w:rsidRPr="002A5D75">
        <w:rPr>
          <w:lang w:val="en-AU"/>
        </w:rPr>
        <w:t xml:space="preserve">s </w:t>
      </w:r>
      <w:r w:rsidRPr="002A5D75">
        <w:rPr>
          <w:lang w:val="en-AU"/>
        </w:rPr>
        <w:t xml:space="preserve">the approach set out in the Commission’s </w:t>
      </w:r>
      <w:r w:rsidR="001F42BA" w:rsidRPr="002A5D75">
        <w:rPr>
          <w:lang w:val="en-AU"/>
        </w:rPr>
        <w:t>Framework Statement</w:t>
      </w:r>
      <w:r w:rsidRPr="002A5D75">
        <w:rPr>
          <w:lang w:val="en-AU"/>
        </w:rPr>
        <w:t xml:space="preserve">. This approach </w:t>
      </w:r>
      <w:r w:rsidR="00647F68">
        <w:rPr>
          <w:lang w:val="en-AU"/>
        </w:rPr>
        <w:t>was</w:t>
      </w:r>
      <w:r w:rsidRPr="002A5D75">
        <w:rPr>
          <w:lang w:val="en-AU"/>
        </w:rPr>
        <w:t xml:space="preserve"> consistent with the approach</w:t>
      </w:r>
      <w:r>
        <w:rPr>
          <w:lang w:val="en-AU"/>
        </w:rPr>
        <w:t xml:space="preserve"> applied by the Commission in the </w:t>
      </w:r>
      <w:r w:rsidR="00F477BA">
        <w:rPr>
          <w:lang w:val="en-AU"/>
        </w:rPr>
        <w:t xml:space="preserve">2000-2004 </w:t>
      </w:r>
      <w:r>
        <w:rPr>
          <w:lang w:val="en-AU"/>
        </w:rPr>
        <w:t>regulatory control period (</w:t>
      </w:r>
      <w:r w:rsidR="00770909">
        <w:rPr>
          <w:lang w:val="en-AU"/>
        </w:rPr>
        <w:t xml:space="preserve">which was </w:t>
      </w:r>
      <w:r>
        <w:rPr>
          <w:lang w:val="en-AU"/>
        </w:rPr>
        <w:t xml:space="preserve">the last time a revenue cap form of control was used in the Territory) and with the approach currently used by the AER for Queensland </w:t>
      </w:r>
      <w:r w:rsidR="007471E2">
        <w:rPr>
          <w:lang w:val="en-AU"/>
        </w:rPr>
        <w:t xml:space="preserve">and Tasmanian </w:t>
      </w:r>
      <w:r>
        <w:rPr>
          <w:lang w:val="en-AU"/>
        </w:rPr>
        <w:t xml:space="preserve">DNSPs who are subject to a revenue cap form of control. </w:t>
      </w:r>
    </w:p>
    <w:p w14:paraId="014BFDC6" w14:textId="31F23A3E" w:rsidR="001911C2" w:rsidRPr="001911C2" w:rsidRDefault="001911C2" w:rsidP="004B4085">
      <w:pPr>
        <w:pStyle w:val="NumberLevel2"/>
        <w:numPr>
          <w:ilvl w:val="1"/>
          <w:numId w:val="5"/>
        </w:numPr>
        <w:tabs>
          <w:tab w:val="num" w:pos="709"/>
        </w:tabs>
        <w:ind w:left="709" w:hanging="709"/>
        <w:rPr>
          <w:lang w:val="en-AU"/>
        </w:rPr>
      </w:pPr>
      <w:r w:rsidRPr="001911C2">
        <w:rPr>
          <w:lang w:val="en-AU"/>
        </w:rPr>
        <w:t xml:space="preserve">The </w:t>
      </w:r>
      <w:r w:rsidR="00F668C7">
        <w:rPr>
          <w:lang w:val="en-AU"/>
        </w:rPr>
        <w:t>Commission</w:t>
      </w:r>
      <w:r w:rsidRPr="001911C2">
        <w:rPr>
          <w:lang w:val="en-AU"/>
        </w:rPr>
        <w:t xml:space="preserve"> </w:t>
      </w:r>
      <w:r w:rsidR="002C5C65" w:rsidRPr="001911C2">
        <w:rPr>
          <w:lang w:val="en-AU"/>
        </w:rPr>
        <w:t>consider</w:t>
      </w:r>
      <w:r w:rsidR="002C5C65">
        <w:rPr>
          <w:lang w:val="en-AU"/>
        </w:rPr>
        <w:t>ed</w:t>
      </w:r>
      <w:r w:rsidR="002C5C65" w:rsidRPr="001911C2">
        <w:rPr>
          <w:lang w:val="en-AU"/>
        </w:rPr>
        <w:t xml:space="preserve"> </w:t>
      </w:r>
      <w:r w:rsidRPr="001911C2">
        <w:rPr>
          <w:lang w:val="en-AU"/>
        </w:rPr>
        <w:t>that th</w:t>
      </w:r>
      <w:r w:rsidR="00F668C7">
        <w:rPr>
          <w:lang w:val="en-AU"/>
        </w:rPr>
        <w:t>is</w:t>
      </w:r>
      <w:r w:rsidRPr="001911C2">
        <w:rPr>
          <w:lang w:val="en-AU"/>
        </w:rPr>
        <w:t xml:space="preserve"> approach w</w:t>
      </w:r>
      <w:r w:rsidR="00647F68">
        <w:rPr>
          <w:lang w:val="en-AU"/>
        </w:rPr>
        <w:t>ould</w:t>
      </w:r>
      <w:r w:rsidRPr="001911C2">
        <w:rPr>
          <w:lang w:val="en-AU"/>
        </w:rPr>
        <w:t xml:space="preserve"> allow </w:t>
      </w:r>
      <w:r w:rsidR="00F668C7">
        <w:rPr>
          <w:lang w:val="en-AU"/>
        </w:rPr>
        <w:t>PWC Networks</w:t>
      </w:r>
      <w:r w:rsidRPr="001911C2">
        <w:rPr>
          <w:lang w:val="en-AU"/>
        </w:rPr>
        <w:t xml:space="preserve"> to recover its </w:t>
      </w:r>
      <w:r w:rsidR="00F477BA">
        <w:rPr>
          <w:lang w:val="en-AU"/>
        </w:rPr>
        <w:t>total revenue requirement</w:t>
      </w:r>
      <w:r w:rsidR="00647F68">
        <w:rPr>
          <w:lang w:val="en-AU"/>
        </w:rPr>
        <w:t xml:space="preserve"> in a manner that wa</w:t>
      </w:r>
      <w:r w:rsidRPr="001911C2">
        <w:rPr>
          <w:lang w:val="en-AU"/>
        </w:rPr>
        <w:t>s neutral</w:t>
      </w:r>
      <w:r w:rsidR="001F42BA">
        <w:rPr>
          <w:lang w:val="en-AU"/>
        </w:rPr>
        <w:t xml:space="preserve"> in NPV terms</w:t>
      </w:r>
      <w:r w:rsidRPr="001911C2">
        <w:rPr>
          <w:lang w:val="en-AU"/>
        </w:rPr>
        <w:t>.</w:t>
      </w:r>
    </w:p>
    <w:p w14:paraId="5B534ABA" w14:textId="0CFE6E61" w:rsidR="001911C2" w:rsidRPr="001911C2" w:rsidRDefault="001911C2" w:rsidP="004B4085">
      <w:pPr>
        <w:pStyle w:val="NumberLevel2"/>
        <w:numPr>
          <w:ilvl w:val="1"/>
          <w:numId w:val="5"/>
        </w:numPr>
        <w:tabs>
          <w:tab w:val="num" w:pos="709"/>
        </w:tabs>
        <w:ind w:left="709" w:hanging="709"/>
        <w:rPr>
          <w:lang w:val="en-AU"/>
        </w:rPr>
      </w:pPr>
      <w:r w:rsidRPr="001911C2">
        <w:rPr>
          <w:lang w:val="en-AU"/>
        </w:rPr>
        <w:t xml:space="preserve">The </w:t>
      </w:r>
      <w:r w:rsidR="00F668C7">
        <w:rPr>
          <w:lang w:val="en-AU"/>
        </w:rPr>
        <w:t>Commission</w:t>
      </w:r>
      <w:r w:rsidRPr="001911C2">
        <w:rPr>
          <w:lang w:val="en-AU"/>
        </w:rPr>
        <w:t xml:space="preserve"> also </w:t>
      </w:r>
      <w:r w:rsidR="002C5C65" w:rsidRPr="001911C2">
        <w:rPr>
          <w:lang w:val="en-AU"/>
        </w:rPr>
        <w:t>accept</w:t>
      </w:r>
      <w:r w:rsidR="002C5C65">
        <w:rPr>
          <w:lang w:val="en-AU"/>
        </w:rPr>
        <w:t>ed</w:t>
      </w:r>
      <w:r w:rsidR="002C5C65" w:rsidRPr="001911C2">
        <w:rPr>
          <w:lang w:val="en-AU"/>
        </w:rPr>
        <w:t xml:space="preserve"> </w:t>
      </w:r>
      <w:r w:rsidR="00F668C7">
        <w:rPr>
          <w:lang w:val="en-AU"/>
        </w:rPr>
        <w:t>PWC Networks</w:t>
      </w:r>
      <w:r w:rsidR="001F42BA">
        <w:rPr>
          <w:lang w:val="en-AU"/>
        </w:rPr>
        <w:t>’</w:t>
      </w:r>
      <w:r w:rsidRPr="001911C2">
        <w:rPr>
          <w:lang w:val="en-AU"/>
        </w:rPr>
        <w:t xml:space="preserve"> proposal to include tolerance limits in the settlement of this </w:t>
      </w:r>
      <w:r w:rsidR="00F477BA">
        <w:rPr>
          <w:lang w:val="en-AU"/>
        </w:rPr>
        <w:t xml:space="preserve">unders and overs </w:t>
      </w:r>
      <w:r w:rsidRPr="001911C2">
        <w:rPr>
          <w:lang w:val="en-AU"/>
        </w:rPr>
        <w:t xml:space="preserve">account. </w:t>
      </w:r>
    </w:p>
    <w:p w14:paraId="2566AB72" w14:textId="16EC5014" w:rsidR="005474FE" w:rsidRPr="002A5D75" w:rsidRDefault="00F477BA" w:rsidP="002A5D75">
      <w:pPr>
        <w:pStyle w:val="UtilComHeading4"/>
        <w:spacing w:before="120"/>
        <w:rPr>
          <w:b/>
          <w:i w:val="0"/>
          <w:lang w:val="en-AU"/>
        </w:rPr>
      </w:pPr>
      <w:r>
        <w:rPr>
          <w:b/>
          <w:i w:val="0"/>
          <w:lang w:val="en-AU"/>
        </w:rPr>
        <w:t xml:space="preserve">Cost </w:t>
      </w:r>
      <w:r w:rsidR="001F36EB">
        <w:rPr>
          <w:b/>
          <w:i w:val="0"/>
          <w:lang w:val="en-AU"/>
        </w:rPr>
        <w:t>P</w:t>
      </w:r>
      <w:r w:rsidR="001F36EB" w:rsidRPr="002A5D75">
        <w:rPr>
          <w:b/>
          <w:i w:val="0"/>
          <w:lang w:val="en-AU"/>
        </w:rPr>
        <w:t xml:space="preserve">ass </w:t>
      </w:r>
      <w:r w:rsidR="001F36EB">
        <w:rPr>
          <w:b/>
          <w:i w:val="0"/>
          <w:lang w:val="en-AU"/>
        </w:rPr>
        <w:t>T</w:t>
      </w:r>
      <w:r w:rsidR="001F36EB" w:rsidRPr="002A5D75">
        <w:rPr>
          <w:b/>
          <w:i w:val="0"/>
          <w:lang w:val="en-AU"/>
        </w:rPr>
        <w:t>hroughs</w:t>
      </w:r>
    </w:p>
    <w:p w14:paraId="6ECC0C9A" w14:textId="06840264" w:rsidR="005474FE" w:rsidRDefault="005474FE" w:rsidP="00F477BA">
      <w:pPr>
        <w:pStyle w:val="NumberLevel2"/>
        <w:numPr>
          <w:ilvl w:val="1"/>
          <w:numId w:val="5"/>
        </w:numPr>
        <w:tabs>
          <w:tab w:val="num" w:pos="709"/>
        </w:tabs>
        <w:ind w:left="709" w:hanging="709"/>
        <w:rPr>
          <w:lang w:val="en-AU"/>
        </w:rPr>
      </w:pPr>
      <w:r w:rsidRPr="005474FE">
        <w:rPr>
          <w:lang w:val="en-AU"/>
        </w:rPr>
        <w:t xml:space="preserve">The </w:t>
      </w:r>
      <w:r>
        <w:rPr>
          <w:lang w:val="en-AU"/>
        </w:rPr>
        <w:t>Commission</w:t>
      </w:r>
      <w:r w:rsidRPr="005474FE">
        <w:rPr>
          <w:lang w:val="en-AU"/>
        </w:rPr>
        <w:t xml:space="preserve"> </w:t>
      </w:r>
      <w:r w:rsidR="002C5C65" w:rsidRPr="005474FE">
        <w:rPr>
          <w:lang w:val="en-AU"/>
        </w:rPr>
        <w:t>accept</w:t>
      </w:r>
      <w:r w:rsidR="002C5C65">
        <w:rPr>
          <w:lang w:val="en-AU"/>
        </w:rPr>
        <w:t>ed</w:t>
      </w:r>
      <w:r w:rsidR="002C5C65" w:rsidRPr="005474FE">
        <w:rPr>
          <w:lang w:val="en-AU"/>
        </w:rPr>
        <w:t xml:space="preserve"> </w:t>
      </w:r>
      <w:r w:rsidRPr="005474FE">
        <w:rPr>
          <w:lang w:val="en-AU"/>
        </w:rPr>
        <w:t xml:space="preserve">that </w:t>
      </w:r>
      <w:r>
        <w:rPr>
          <w:lang w:val="en-AU"/>
        </w:rPr>
        <w:t>PWC Networks</w:t>
      </w:r>
      <w:r w:rsidRPr="005474FE">
        <w:rPr>
          <w:lang w:val="en-AU"/>
        </w:rPr>
        <w:t xml:space="preserve">’ </w:t>
      </w:r>
      <w:r w:rsidR="00F477BA">
        <w:rPr>
          <w:lang w:val="en-AU"/>
        </w:rPr>
        <w:t>total revenue requirement</w:t>
      </w:r>
      <w:r w:rsidRPr="005474FE">
        <w:rPr>
          <w:lang w:val="en-AU"/>
        </w:rPr>
        <w:t xml:space="preserve"> </w:t>
      </w:r>
      <w:r w:rsidR="00647F68">
        <w:rPr>
          <w:lang w:val="en-AU"/>
        </w:rPr>
        <w:t>would</w:t>
      </w:r>
      <w:r w:rsidRPr="005474FE">
        <w:rPr>
          <w:lang w:val="en-AU"/>
        </w:rPr>
        <w:t xml:space="preserve"> </w:t>
      </w:r>
      <w:r w:rsidR="00F477BA">
        <w:rPr>
          <w:lang w:val="en-AU"/>
        </w:rPr>
        <w:t xml:space="preserve">(if necessary) </w:t>
      </w:r>
      <w:r w:rsidRPr="005474FE">
        <w:rPr>
          <w:lang w:val="en-AU"/>
        </w:rPr>
        <w:t>be adjusted for approved cost pass throughs</w:t>
      </w:r>
      <w:r w:rsidR="007F01D9">
        <w:rPr>
          <w:lang w:val="en-AU"/>
        </w:rPr>
        <w:t xml:space="preserve">, subject to </w:t>
      </w:r>
      <w:r w:rsidR="00F477BA" w:rsidRPr="00F477BA">
        <w:rPr>
          <w:lang w:val="en-AU"/>
        </w:rPr>
        <w:t xml:space="preserve">receiving legal confirmation that clause 66(3) of the Network Access Code </w:t>
      </w:r>
      <w:r w:rsidR="005276EC" w:rsidRPr="00F477BA">
        <w:rPr>
          <w:lang w:val="en-AU"/>
        </w:rPr>
        <w:t>permit</w:t>
      </w:r>
      <w:r w:rsidR="005276EC">
        <w:rPr>
          <w:lang w:val="en-AU"/>
        </w:rPr>
        <w:t>ted</w:t>
      </w:r>
      <w:r w:rsidR="00F477BA" w:rsidRPr="00F477BA">
        <w:rPr>
          <w:lang w:val="en-AU"/>
        </w:rPr>
        <w:t xml:space="preserve"> the inclusion of the NER cost pass through procedures in the 2014 Network Price Determination</w:t>
      </w:r>
      <w:r w:rsidRPr="005474FE">
        <w:rPr>
          <w:lang w:val="en-AU"/>
        </w:rPr>
        <w:t xml:space="preserve">. </w:t>
      </w:r>
    </w:p>
    <w:p w14:paraId="250C6822" w14:textId="02C8C225" w:rsidR="005474FE" w:rsidRPr="005474FE" w:rsidRDefault="005474FE" w:rsidP="005474FE">
      <w:pPr>
        <w:pStyle w:val="UtilComHeading3"/>
        <w:rPr>
          <w:lang w:val="en-AU"/>
        </w:rPr>
      </w:pPr>
      <w:r w:rsidRPr="005474FE">
        <w:rPr>
          <w:lang w:val="en-AU"/>
        </w:rPr>
        <w:t xml:space="preserve">Side </w:t>
      </w:r>
      <w:r w:rsidR="001F36EB">
        <w:rPr>
          <w:lang w:val="en-AU"/>
        </w:rPr>
        <w:t>C</w:t>
      </w:r>
      <w:r w:rsidR="001F36EB" w:rsidRPr="005474FE">
        <w:rPr>
          <w:lang w:val="en-AU"/>
        </w:rPr>
        <w:t>onstraint</w:t>
      </w:r>
    </w:p>
    <w:p w14:paraId="6803A150" w14:textId="0AF901B8" w:rsidR="005474FE" w:rsidRDefault="00E66D90" w:rsidP="004B4085">
      <w:pPr>
        <w:pStyle w:val="NumberLevel2"/>
        <w:numPr>
          <w:ilvl w:val="1"/>
          <w:numId w:val="5"/>
        </w:numPr>
        <w:tabs>
          <w:tab w:val="num" w:pos="709"/>
        </w:tabs>
        <w:ind w:left="709" w:hanging="709"/>
        <w:rPr>
          <w:lang w:val="en-AU"/>
        </w:rPr>
      </w:pPr>
      <w:r>
        <w:rPr>
          <w:lang w:val="en-AU"/>
        </w:rPr>
        <w:t xml:space="preserve">PWC Networks proposed that </w:t>
      </w:r>
      <w:r w:rsidR="00647F68">
        <w:rPr>
          <w:lang w:val="en-AU"/>
        </w:rPr>
        <w:t xml:space="preserve">the </w:t>
      </w:r>
      <w:r>
        <w:rPr>
          <w:lang w:val="en-AU"/>
        </w:rPr>
        <w:t>side constraint be applied</w:t>
      </w:r>
      <w:r w:rsidRPr="00E66D90">
        <w:rPr>
          <w:lang w:val="en-AU"/>
        </w:rPr>
        <w:t xml:space="preserve"> </w:t>
      </w:r>
      <w:r>
        <w:rPr>
          <w:lang w:val="en-AU"/>
        </w:rPr>
        <w:t>to tariff classes, r</w:t>
      </w:r>
      <w:r w:rsidR="00453DF9">
        <w:rPr>
          <w:lang w:val="en-AU"/>
        </w:rPr>
        <w:t xml:space="preserve">ather than individual </w:t>
      </w:r>
      <w:r w:rsidR="00F477BA">
        <w:rPr>
          <w:lang w:val="en-AU"/>
        </w:rPr>
        <w:t xml:space="preserve">retail </w:t>
      </w:r>
      <w:r w:rsidR="00453DF9">
        <w:rPr>
          <w:lang w:val="en-AU"/>
        </w:rPr>
        <w:t>customers</w:t>
      </w:r>
      <w:r w:rsidR="002A5D75">
        <w:rPr>
          <w:lang w:val="en-AU"/>
        </w:rPr>
        <w:t>. That</w:t>
      </w:r>
      <w:r w:rsidR="00453DF9">
        <w:rPr>
          <w:lang w:val="en-AU"/>
        </w:rPr>
        <w:t xml:space="preserve"> is, the side constraint would be applied to </w:t>
      </w:r>
      <w:r w:rsidR="00453DF9" w:rsidRPr="00453DF9">
        <w:rPr>
          <w:lang w:val="en-AU"/>
        </w:rPr>
        <w:t xml:space="preserve">the weighted average revenue </w:t>
      </w:r>
      <w:r w:rsidR="00F477BA">
        <w:rPr>
          <w:lang w:val="en-AU"/>
        </w:rPr>
        <w:t>from</w:t>
      </w:r>
      <w:r w:rsidR="00F477BA" w:rsidRPr="00453DF9">
        <w:rPr>
          <w:lang w:val="en-AU"/>
        </w:rPr>
        <w:t xml:space="preserve"> </w:t>
      </w:r>
      <w:r w:rsidR="00453DF9" w:rsidRPr="00453DF9">
        <w:rPr>
          <w:lang w:val="en-AU"/>
        </w:rPr>
        <w:t>each tariff class in any regulatory year</w:t>
      </w:r>
      <w:r w:rsidR="00453DF9">
        <w:rPr>
          <w:lang w:val="en-AU"/>
        </w:rPr>
        <w:t xml:space="preserve">, rather than to the weighted average </w:t>
      </w:r>
      <w:r w:rsidR="00F477BA">
        <w:rPr>
          <w:lang w:val="en-AU"/>
        </w:rPr>
        <w:t xml:space="preserve">reference </w:t>
      </w:r>
      <w:r w:rsidR="00453DF9">
        <w:rPr>
          <w:lang w:val="en-AU"/>
        </w:rPr>
        <w:t xml:space="preserve">tariff of the individual </w:t>
      </w:r>
      <w:r w:rsidR="00F477BA">
        <w:rPr>
          <w:lang w:val="en-AU"/>
        </w:rPr>
        <w:t xml:space="preserve">retail </w:t>
      </w:r>
      <w:r w:rsidR="00453DF9">
        <w:rPr>
          <w:lang w:val="en-AU"/>
        </w:rPr>
        <w:t>customer.</w:t>
      </w:r>
    </w:p>
    <w:p w14:paraId="6CA8A036" w14:textId="26040AF6" w:rsidR="00F477BA" w:rsidRDefault="00E66D90" w:rsidP="004B4085">
      <w:pPr>
        <w:pStyle w:val="NumberLevel2"/>
        <w:numPr>
          <w:ilvl w:val="1"/>
          <w:numId w:val="5"/>
        </w:numPr>
        <w:tabs>
          <w:tab w:val="num" w:pos="709"/>
        </w:tabs>
        <w:ind w:left="709" w:hanging="709"/>
        <w:rPr>
          <w:lang w:val="en-AU"/>
        </w:rPr>
      </w:pPr>
      <w:r>
        <w:rPr>
          <w:lang w:val="en-AU"/>
        </w:rPr>
        <w:t>The Commission note</w:t>
      </w:r>
      <w:r w:rsidR="00647F68">
        <w:rPr>
          <w:lang w:val="en-AU"/>
        </w:rPr>
        <w:t>d</w:t>
      </w:r>
      <w:r>
        <w:rPr>
          <w:lang w:val="en-AU"/>
        </w:rPr>
        <w:t xml:space="preserve"> that practice to date has been for the side constraint to be applied to</w:t>
      </w:r>
      <w:r w:rsidR="00F477BA">
        <w:rPr>
          <w:lang w:val="en-AU"/>
        </w:rPr>
        <w:t>:</w:t>
      </w:r>
    </w:p>
    <w:p w14:paraId="7746F7DD" w14:textId="6ACCC5BA" w:rsidR="00F477BA" w:rsidRDefault="00F477BA" w:rsidP="00F477BA">
      <w:pPr>
        <w:pStyle w:val="UtilComBulletText"/>
        <w:numPr>
          <w:ilvl w:val="0"/>
          <w:numId w:val="6"/>
        </w:numPr>
        <w:tabs>
          <w:tab w:val="clear" w:pos="964"/>
          <w:tab w:val="num" w:pos="1134"/>
        </w:tabs>
        <w:ind w:left="1134" w:hanging="425"/>
      </w:pPr>
      <w:r w:rsidRPr="00F477BA">
        <w:t>retail</w:t>
      </w:r>
      <w:r w:rsidR="00E66D90" w:rsidRPr="00F477BA">
        <w:t xml:space="preserve"> customers covered by the </w:t>
      </w:r>
      <w:r>
        <w:t>Territory Governments’</w:t>
      </w:r>
      <w:r w:rsidRPr="00F477BA">
        <w:t xml:space="preserve"> </w:t>
      </w:r>
      <w:r w:rsidR="00E66D90" w:rsidRPr="00F477BA">
        <w:t xml:space="preserve">Electricity Pricing Order (which sets the retail </w:t>
      </w:r>
      <w:r w:rsidR="00E23A17">
        <w:t>prices</w:t>
      </w:r>
      <w:r w:rsidR="00E23A17" w:rsidRPr="00F477BA">
        <w:t xml:space="preserve"> </w:t>
      </w:r>
      <w:r w:rsidR="00E66D90" w:rsidRPr="00F477BA">
        <w:t xml:space="preserve">for all </w:t>
      </w:r>
      <w:r>
        <w:t xml:space="preserve">retail </w:t>
      </w:r>
      <w:r w:rsidR="00E66D90" w:rsidRPr="00F477BA">
        <w:t>customers using less than 750MWh of electricity per annum) as a single class</w:t>
      </w:r>
      <w:r>
        <w:t>;</w:t>
      </w:r>
      <w:r w:rsidRPr="00F477BA">
        <w:t xml:space="preserve"> </w:t>
      </w:r>
      <w:r w:rsidR="00E66D90" w:rsidRPr="00F477BA">
        <w:t xml:space="preserve">and </w:t>
      </w:r>
    </w:p>
    <w:p w14:paraId="6E506668" w14:textId="2677A7F7" w:rsidR="00E66D90" w:rsidRPr="00F477BA" w:rsidRDefault="00E66D90" w:rsidP="00F477BA">
      <w:pPr>
        <w:pStyle w:val="UtilComBulletText"/>
        <w:numPr>
          <w:ilvl w:val="0"/>
          <w:numId w:val="6"/>
        </w:numPr>
        <w:tabs>
          <w:tab w:val="clear" w:pos="964"/>
          <w:tab w:val="num" w:pos="1134"/>
        </w:tabs>
        <w:ind w:left="1134" w:hanging="425"/>
      </w:pPr>
      <w:r w:rsidRPr="00F477BA">
        <w:t xml:space="preserve">individual </w:t>
      </w:r>
      <w:r w:rsidR="00F03D86">
        <w:t xml:space="preserve">retail </w:t>
      </w:r>
      <w:r w:rsidRPr="00F477BA">
        <w:t xml:space="preserve">customers for those </w:t>
      </w:r>
      <w:r w:rsidR="00F03D86">
        <w:t xml:space="preserve">retail </w:t>
      </w:r>
      <w:r w:rsidRPr="00F477BA">
        <w:t>customers on negotiated contracts</w:t>
      </w:r>
      <w:r w:rsidR="00647F68">
        <w:t>.</w:t>
      </w:r>
      <w:r w:rsidR="001F42BA" w:rsidRPr="00F477BA">
        <w:rPr>
          <w:rStyle w:val="FootnoteReference"/>
          <w:lang w:val="en-AU"/>
        </w:rPr>
        <w:footnoteReference w:id="25"/>
      </w:r>
      <w:r w:rsidR="001F42BA" w:rsidRPr="00F477BA">
        <w:t xml:space="preserve"> </w:t>
      </w:r>
    </w:p>
    <w:p w14:paraId="1D7596A6" w14:textId="5EE2D30B" w:rsidR="00442F72" w:rsidRDefault="00E66D90" w:rsidP="004B4085">
      <w:pPr>
        <w:pStyle w:val="NumberLevel2"/>
        <w:numPr>
          <w:ilvl w:val="1"/>
          <w:numId w:val="5"/>
        </w:numPr>
        <w:tabs>
          <w:tab w:val="num" w:pos="709"/>
        </w:tabs>
        <w:ind w:left="709" w:hanging="709"/>
        <w:rPr>
          <w:lang w:val="en-AU"/>
        </w:rPr>
      </w:pPr>
      <w:r>
        <w:rPr>
          <w:lang w:val="en-AU"/>
        </w:rPr>
        <w:t xml:space="preserve">PWC Networks </w:t>
      </w:r>
      <w:r w:rsidR="002C5C65">
        <w:rPr>
          <w:lang w:val="en-AU"/>
        </w:rPr>
        <w:t xml:space="preserve">did </w:t>
      </w:r>
      <w:r>
        <w:rPr>
          <w:lang w:val="en-AU"/>
        </w:rPr>
        <w:t xml:space="preserve">not provide details on the possible impact of this change in approach on individual </w:t>
      </w:r>
      <w:r w:rsidR="00F03D86">
        <w:rPr>
          <w:lang w:val="en-AU"/>
        </w:rPr>
        <w:t xml:space="preserve">retail </w:t>
      </w:r>
      <w:r>
        <w:rPr>
          <w:lang w:val="en-AU"/>
        </w:rPr>
        <w:t>customers.</w:t>
      </w:r>
      <w:r w:rsidR="009B31E9">
        <w:rPr>
          <w:lang w:val="en-AU"/>
        </w:rPr>
        <w:t xml:space="preserve"> </w:t>
      </w:r>
      <w:r w:rsidR="00442F72">
        <w:rPr>
          <w:lang w:val="en-AU"/>
        </w:rPr>
        <w:t xml:space="preserve">The Commission </w:t>
      </w:r>
      <w:r w:rsidR="002C5C65">
        <w:rPr>
          <w:lang w:val="en-AU"/>
        </w:rPr>
        <w:t xml:space="preserve">was </w:t>
      </w:r>
      <w:r w:rsidR="00442F72">
        <w:rPr>
          <w:lang w:val="en-AU"/>
        </w:rPr>
        <w:t xml:space="preserve">concerned that, by applying the side constraint to the revenue for </w:t>
      </w:r>
      <w:r w:rsidR="00F03D86">
        <w:rPr>
          <w:lang w:val="en-AU"/>
        </w:rPr>
        <w:t xml:space="preserve">a </w:t>
      </w:r>
      <w:r w:rsidR="00442F72">
        <w:rPr>
          <w:lang w:val="en-AU"/>
        </w:rPr>
        <w:t xml:space="preserve">tariff class, some </w:t>
      </w:r>
      <w:r w:rsidR="00F03D86">
        <w:rPr>
          <w:lang w:val="en-AU"/>
        </w:rPr>
        <w:t xml:space="preserve">retail </w:t>
      </w:r>
      <w:r w:rsidR="00442F72">
        <w:rPr>
          <w:lang w:val="en-AU"/>
        </w:rPr>
        <w:t xml:space="preserve">customers </w:t>
      </w:r>
      <w:r w:rsidR="002C5C65">
        <w:rPr>
          <w:lang w:val="en-AU"/>
        </w:rPr>
        <w:t xml:space="preserve">within a tariff class </w:t>
      </w:r>
      <w:r w:rsidR="00442F72">
        <w:rPr>
          <w:lang w:val="en-AU"/>
        </w:rPr>
        <w:t>m</w:t>
      </w:r>
      <w:r w:rsidR="00647F68">
        <w:rPr>
          <w:lang w:val="en-AU"/>
        </w:rPr>
        <w:t xml:space="preserve">ight </w:t>
      </w:r>
      <w:r w:rsidR="00442F72">
        <w:rPr>
          <w:lang w:val="en-AU"/>
        </w:rPr>
        <w:t xml:space="preserve">be subject to higher increases which </w:t>
      </w:r>
      <w:r w:rsidR="00647F68">
        <w:rPr>
          <w:lang w:val="en-AU"/>
        </w:rPr>
        <w:t>were</w:t>
      </w:r>
      <w:r w:rsidR="00442F72">
        <w:rPr>
          <w:lang w:val="en-AU"/>
        </w:rPr>
        <w:t xml:space="preserve"> offset by correspondingly lower increases for other </w:t>
      </w:r>
      <w:r w:rsidR="00F03D86">
        <w:rPr>
          <w:lang w:val="en-AU"/>
        </w:rPr>
        <w:t xml:space="preserve">retail </w:t>
      </w:r>
      <w:r w:rsidR="00442F72">
        <w:rPr>
          <w:lang w:val="en-AU"/>
        </w:rPr>
        <w:t>customers</w:t>
      </w:r>
      <w:r w:rsidR="002C5C65">
        <w:rPr>
          <w:lang w:val="en-AU"/>
        </w:rPr>
        <w:t xml:space="preserve"> within that same tariff class</w:t>
      </w:r>
      <w:r w:rsidR="00442F72">
        <w:rPr>
          <w:lang w:val="en-AU"/>
        </w:rPr>
        <w:t>.</w:t>
      </w:r>
    </w:p>
    <w:p w14:paraId="43212350" w14:textId="0A3AFA38" w:rsidR="00442F72" w:rsidRDefault="00442F72" w:rsidP="004B4085">
      <w:pPr>
        <w:pStyle w:val="NumberLevel2"/>
        <w:numPr>
          <w:ilvl w:val="1"/>
          <w:numId w:val="5"/>
        </w:numPr>
        <w:tabs>
          <w:tab w:val="num" w:pos="709"/>
        </w:tabs>
        <w:ind w:left="709" w:hanging="709"/>
        <w:rPr>
          <w:lang w:val="en-AU"/>
        </w:rPr>
      </w:pPr>
      <w:r>
        <w:rPr>
          <w:lang w:val="en-AU"/>
        </w:rPr>
        <w:t xml:space="preserve">In approving PWC Networks’ </w:t>
      </w:r>
      <w:r w:rsidR="00F03D86">
        <w:rPr>
          <w:lang w:val="en-AU"/>
        </w:rPr>
        <w:t xml:space="preserve">reference </w:t>
      </w:r>
      <w:r>
        <w:rPr>
          <w:lang w:val="en-AU"/>
        </w:rPr>
        <w:t xml:space="preserve">tariffs for </w:t>
      </w:r>
      <w:r w:rsidR="00F03D86">
        <w:rPr>
          <w:lang w:val="en-AU"/>
        </w:rPr>
        <w:t xml:space="preserve">the </w:t>
      </w:r>
      <w:r>
        <w:rPr>
          <w:lang w:val="en-AU"/>
        </w:rPr>
        <w:t>2013-14</w:t>
      </w:r>
      <w:r w:rsidR="00F03D86">
        <w:rPr>
          <w:lang w:val="en-AU"/>
        </w:rPr>
        <w:t xml:space="preserve"> regulatory year</w:t>
      </w:r>
      <w:r>
        <w:rPr>
          <w:lang w:val="en-AU"/>
        </w:rPr>
        <w:t xml:space="preserve">, the side constraint was only required to be calculated for 195 individual </w:t>
      </w:r>
      <w:r w:rsidR="00F03D86">
        <w:rPr>
          <w:lang w:val="en-AU"/>
        </w:rPr>
        <w:t xml:space="preserve">retail </w:t>
      </w:r>
      <w:r>
        <w:rPr>
          <w:lang w:val="en-AU"/>
        </w:rPr>
        <w:t xml:space="preserve">customers. The Commission </w:t>
      </w:r>
      <w:r w:rsidR="002C5C65">
        <w:rPr>
          <w:lang w:val="en-AU"/>
        </w:rPr>
        <w:t xml:space="preserve">did </w:t>
      </w:r>
      <w:r>
        <w:rPr>
          <w:lang w:val="en-AU"/>
        </w:rPr>
        <w:t xml:space="preserve">not consider that this </w:t>
      </w:r>
      <w:r w:rsidR="002C5C65">
        <w:rPr>
          <w:lang w:val="en-AU"/>
        </w:rPr>
        <w:t xml:space="preserve">imposed </w:t>
      </w:r>
      <w:r>
        <w:rPr>
          <w:lang w:val="en-AU"/>
        </w:rPr>
        <w:t xml:space="preserve">an unduly onerous burden on PWC Networks. </w:t>
      </w:r>
    </w:p>
    <w:p w14:paraId="69549910" w14:textId="398C2EB4" w:rsidR="00E66D90" w:rsidRPr="00E66D90" w:rsidRDefault="009B31E9" w:rsidP="004B4085">
      <w:pPr>
        <w:pStyle w:val="NumberLevel2"/>
        <w:numPr>
          <w:ilvl w:val="1"/>
          <w:numId w:val="5"/>
        </w:numPr>
        <w:tabs>
          <w:tab w:val="num" w:pos="709"/>
        </w:tabs>
        <w:ind w:left="709" w:hanging="709"/>
        <w:rPr>
          <w:lang w:val="en-AU"/>
        </w:rPr>
      </w:pPr>
      <w:r>
        <w:rPr>
          <w:lang w:val="en-AU"/>
        </w:rPr>
        <w:t>In the absence of information</w:t>
      </w:r>
      <w:r w:rsidR="00442F72">
        <w:rPr>
          <w:lang w:val="en-AU"/>
        </w:rPr>
        <w:t xml:space="preserve"> on the impact on individual </w:t>
      </w:r>
      <w:r w:rsidR="00F03D86">
        <w:rPr>
          <w:lang w:val="en-AU"/>
        </w:rPr>
        <w:t xml:space="preserve">retail </w:t>
      </w:r>
      <w:r w:rsidR="00442F72">
        <w:rPr>
          <w:lang w:val="en-AU"/>
        </w:rPr>
        <w:t>customers</w:t>
      </w:r>
      <w:r>
        <w:rPr>
          <w:lang w:val="en-AU"/>
        </w:rPr>
        <w:t xml:space="preserve">, the Commission’s preference </w:t>
      </w:r>
      <w:r w:rsidR="002C5C65">
        <w:rPr>
          <w:lang w:val="en-AU"/>
        </w:rPr>
        <w:t xml:space="preserve">was </w:t>
      </w:r>
      <w:r>
        <w:rPr>
          <w:lang w:val="en-AU"/>
        </w:rPr>
        <w:t xml:space="preserve">to continue the existing practice of assessing the side constraint for individual </w:t>
      </w:r>
      <w:r w:rsidR="00F03D86">
        <w:rPr>
          <w:lang w:val="en-AU"/>
        </w:rPr>
        <w:t xml:space="preserve">retail </w:t>
      </w:r>
      <w:r>
        <w:rPr>
          <w:lang w:val="en-AU"/>
        </w:rPr>
        <w:t xml:space="preserve">customers </w:t>
      </w:r>
      <w:r w:rsidR="00F03D86">
        <w:rPr>
          <w:lang w:val="en-AU"/>
        </w:rPr>
        <w:t xml:space="preserve">only </w:t>
      </w:r>
      <w:r>
        <w:rPr>
          <w:lang w:val="en-AU"/>
        </w:rPr>
        <w:t xml:space="preserve">where those </w:t>
      </w:r>
      <w:r w:rsidR="00F03D86">
        <w:rPr>
          <w:lang w:val="en-AU"/>
        </w:rPr>
        <w:t xml:space="preserve">retail </w:t>
      </w:r>
      <w:r>
        <w:rPr>
          <w:lang w:val="en-AU"/>
        </w:rPr>
        <w:t xml:space="preserve">customers </w:t>
      </w:r>
      <w:r w:rsidR="00647F68">
        <w:rPr>
          <w:lang w:val="en-AU"/>
        </w:rPr>
        <w:t xml:space="preserve">were </w:t>
      </w:r>
      <w:r>
        <w:rPr>
          <w:lang w:val="en-AU"/>
        </w:rPr>
        <w:t>on a negotiated contract.</w:t>
      </w:r>
      <w:r w:rsidR="00442F72">
        <w:rPr>
          <w:lang w:val="en-AU"/>
        </w:rPr>
        <w:t xml:space="preserve"> </w:t>
      </w:r>
    </w:p>
    <w:p w14:paraId="6D80F551" w14:textId="01C17B2A" w:rsidR="002E3669" w:rsidRDefault="002E3669" w:rsidP="002E3669">
      <w:pPr>
        <w:pStyle w:val="UtilComHeading2"/>
      </w:pPr>
      <w:bookmarkStart w:id="70" w:name="_Toc385241461"/>
      <w:bookmarkStart w:id="71" w:name="_Toc386013014"/>
      <w:r>
        <w:t xml:space="preserve">Commission’s </w:t>
      </w:r>
      <w:r w:rsidR="001F36EB">
        <w:t xml:space="preserve">Draft </w:t>
      </w:r>
      <w:bookmarkEnd w:id="70"/>
      <w:r w:rsidR="001F36EB">
        <w:t>Decision</w:t>
      </w:r>
      <w:bookmarkEnd w:id="71"/>
    </w:p>
    <w:p w14:paraId="075023F5" w14:textId="7AD8DE03" w:rsidR="007C4616" w:rsidRPr="004278AC" w:rsidRDefault="0036583B" w:rsidP="004B4085">
      <w:pPr>
        <w:pStyle w:val="NumberLevel2"/>
        <w:numPr>
          <w:ilvl w:val="1"/>
          <w:numId w:val="5"/>
        </w:numPr>
        <w:tabs>
          <w:tab w:val="num" w:pos="709"/>
        </w:tabs>
        <w:ind w:left="709" w:hanging="709"/>
        <w:rPr>
          <w:lang w:val="en-AU"/>
        </w:rPr>
      </w:pPr>
      <w:r>
        <w:rPr>
          <w:lang w:val="en-AU"/>
        </w:rPr>
        <w:t xml:space="preserve">In accordance with clause 66 of the </w:t>
      </w:r>
      <w:r w:rsidR="00FB2EC5">
        <w:rPr>
          <w:lang w:val="en-AU"/>
        </w:rPr>
        <w:t>Network Access Code</w:t>
      </w:r>
      <w:r w:rsidR="007C4616" w:rsidRPr="004278AC">
        <w:rPr>
          <w:lang w:val="en-AU"/>
        </w:rPr>
        <w:t xml:space="preserve">, </w:t>
      </w:r>
      <w:r>
        <w:rPr>
          <w:lang w:val="en-AU"/>
        </w:rPr>
        <w:t xml:space="preserve">the Commission decided that the basis of </w:t>
      </w:r>
      <w:r w:rsidR="007C4616" w:rsidRPr="004278AC">
        <w:rPr>
          <w:lang w:val="en-AU"/>
        </w:rPr>
        <w:t xml:space="preserve">the control mechanism for </w:t>
      </w:r>
      <w:r>
        <w:rPr>
          <w:lang w:val="en-AU"/>
        </w:rPr>
        <w:t>regulated network access</w:t>
      </w:r>
      <w:r w:rsidR="007C4616" w:rsidRPr="004278AC">
        <w:rPr>
          <w:lang w:val="en-AU"/>
        </w:rPr>
        <w:t xml:space="preserve"> services provided by </w:t>
      </w:r>
      <w:r w:rsidR="007C4616">
        <w:rPr>
          <w:lang w:val="en-AU"/>
        </w:rPr>
        <w:t>PWC Networks</w:t>
      </w:r>
      <w:r w:rsidR="007C4616" w:rsidRPr="004278AC">
        <w:rPr>
          <w:lang w:val="en-AU"/>
        </w:rPr>
        <w:t xml:space="preserve"> </w:t>
      </w:r>
      <w:r w:rsidR="00647F68">
        <w:rPr>
          <w:lang w:val="en-AU"/>
        </w:rPr>
        <w:t>was</w:t>
      </w:r>
      <w:r w:rsidR="007C4616" w:rsidRPr="004278AC">
        <w:rPr>
          <w:lang w:val="en-AU"/>
        </w:rPr>
        <w:t xml:space="preserve"> a revenue cap</w:t>
      </w:r>
      <w:r>
        <w:rPr>
          <w:lang w:val="en-AU"/>
        </w:rPr>
        <w:t xml:space="preserve"> of the prospective CPI minus X form</w:t>
      </w:r>
      <w:r w:rsidR="007C4616" w:rsidRPr="004278AC">
        <w:rPr>
          <w:lang w:val="en-AU"/>
        </w:rPr>
        <w:t>.</w:t>
      </w:r>
    </w:p>
    <w:p w14:paraId="28802753" w14:textId="68007AE9" w:rsidR="0036583B" w:rsidRDefault="0036583B" w:rsidP="004B4085">
      <w:pPr>
        <w:pStyle w:val="NumberLevel2"/>
        <w:numPr>
          <w:ilvl w:val="1"/>
          <w:numId w:val="5"/>
        </w:numPr>
        <w:tabs>
          <w:tab w:val="num" w:pos="709"/>
        </w:tabs>
        <w:ind w:left="709" w:hanging="709"/>
        <w:rPr>
          <w:lang w:val="en-AU"/>
        </w:rPr>
      </w:pPr>
      <w:r>
        <w:rPr>
          <w:lang w:val="en-AU"/>
        </w:rPr>
        <w:t xml:space="preserve">The methodology used to determine the revenue cap </w:t>
      </w:r>
      <w:r w:rsidR="00D063B8">
        <w:rPr>
          <w:lang w:val="en-AU"/>
        </w:rPr>
        <w:t>was</w:t>
      </w:r>
      <w:r>
        <w:rPr>
          <w:lang w:val="en-AU"/>
        </w:rPr>
        <w:t xml:space="preserve"> the building block approach.</w:t>
      </w:r>
    </w:p>
    <w:p w14:paraId="57717344" w14:textId="04EB7EAE" w:rsidR="00B57F2C" w:rsidRDefault="00B57F2C" w:rsidP="00B57F2C">
      <w:pPr>
        <w:pStyle w:val="NumberLevel2"/>
        <w:numPr>
          <w:ilvl w:val="1"/>
          <w:numId w:val="5"/>
        </w:numPr>
        <w:tabs>
          <w:tab w:val="num" w:pos="709"/>
        </w:tabs>
        <w:ind w:left="709" w:hanging="709"/>
        <w:rPr>
          <w:lang w:val="en-AU"/>
        </w:rPr>
      </w:pPr>
      <w:r w:rsidRPr="007C4616">
        <w:rPr>
          <w:lang w:val="en-AU"/>
        </w:rPr>
        <w:t xml:space="preserve">As part of </w:t>
      </w:r>
      <w:r>
        <w:rPr>
          <w:lang w:val="en-AU"/>
        </w:rPr>
        <w:t>its</w:t>
      </w:r>
      <w:r w:rsidRPr="007C4616">
        <w:rPr>
          <w:lang w:val="en-AU"/>
        </w:rPr>
        <w:t xml:space="preserve"> pricing proposals</w:t>
      </w:r>
      <w:r>
        <w:rPr>
          <w:lang w:val="en-AU"/>
        </w:rPr>
        <w:t xml:space="preserve"> to be submitted to the Commission in accordance with clause 78(1) of the </w:t>
      </w:r>
      <w:r w:rsidR="00FB2EC5">
        <w:rPr>
          <w:lang w:val="en-AU"/>
        </w:rPr>
        <w:t>Network Access Code</w:t>
      </w:r>
      <w:r>
        <w:rPr>
          <w:lang w:val="en-AU"/>
        </w:rPr>
        <w:t xml:space="preserve"> for each </w:t>
      </w:r>
      <w:r w:rsidR="00F03D86">
        <w:rPr>
          <w:lang w:val="en-AU"/>
        </w:rPr>
        <w:t xml:space="preserve">regulatory </w:t>
      </w:r>
      <w:r>
        <w:rPr>
          <w:lang w:val="en-AU"/>
        </w:rPr>
        <w:t>year of the regulatory control period</w:t>
      </w:r>
      <w:r w:rsidRPr="007C4616">
        <w:rPr>
          <w:lang w:val="en-AU"/>
        </w:rPr>
        <w:t xml:space="preserve">, </w:t>
      </w:r>
      <w:r>
        <w:rPr>
          <w:lang w:val="en-AU"/>
        </w:rPr>
        <w:t>PWC Networks</w:t>
      </w:r>
      <w:r w:rsidRPr="007C4616">
        <w:rPr>
          <w:lang w:val="en-AU"/>
        </w:rPr>
        <w:t xml:space="preserve"> must submit to the </w:t>
      </w:r>
      <w:r>
        <w:rPr>
          <w:lang w:val="en-AU"/>
        </w:rPr>
        <w:t>Commission</w:t>
      </w:r>
      <w:r w:rsidRPr="007C4616">
        <w:rPr>
          <w:lang w:val="en-AU"/>
        </w:rPr>
        <w:t xml:space="preserve"> proposed </w:t>
      </w:r>
      <w:r w:rsidR="00F03D86">
        <w:rPr>
          <w:lang w:val="en-AU"/>
        </w:rPr>
        <w:t xml:space="preserve">reference </w:t>
      </w:r>
      <w:r w:rsidRPr="007C4616">
        <w:rPr>
          <w:lang w:val="en-AU"/>
        </w:rPr>
        <w:t>tariffs and charging parameters which lead to expected revenues consistent with the formula set out</w:t>
      </w:r>
      <w:r>
        <w:rPr>
          <w:lang w:val="en-AU"/>
        </w:rPr>
        <w:t xml:space="preserve"> </w:t>
      </w:r>
      <w:r w:rsidR="00C56A5D">
        <w:rPr>
          <w:lang w:val="en-AU"/>
        </w:rPr>
        <w:t xml:space="preserve">in </w:t>
      </w:r>
      <w:r w:rsidR="00F03D86">
        <w:rPr>
          <w:lang w:val="en-AU"/>
        </w:rPr>
        <w:t>paragraph </w:t>
      </w:r>
      <w:r w:rsidR="00770909">
        <w:rPr>
          <w:lang w:val="en-AU"/>
        </w:rPr>
        <w:t>2</w:t>
      </w:r>
      <w:r w:rsidR="00C56A5D">
        <w:rPr>
          <w:lang w:val="en-AU"/>
        </w:rPr>
        <w:t>.</w:t>
      </w:r>
      <w:r w:rsidR="00770909">
        <w:rPr>
          <w:lang w:val="en-AU"/>
        </w:rPr>
        <w:t>15</w:t>
      </w:r>
      <w:r w:rsidR="00C56A5D">
        <w:rPr>
          <w:lang w:val="en-AU"/>
        </w:rPr>
        <w:t xml:space="preserve"> of the Draft Determination.</w:t>
      </w:r>
    </w:p>
    <w:p w14:paraId="365FE8EC" w14:textId="0BF85CD4" w:rsidR="002F7DB9" w:rsidRDefault="007C4616" w:rsidP="004B4085">
      <w:pPr>
        <w:pStyle w:val="NumberLevel2"/>
        <w:numPr>
          <w:ilvl w:val="1"/>
          <w:numId w:val="5"/>
        </w:numPr>
        <w:tabs>
          <w:tab w:val="num" w:pos="709"/>
        </w:tabs>
        <w:ind w:left="709" w:hanging="709"/>
        <w:rPr>
          <w:lang w:val="en-AU"/>
        </w:rPr>
      </w:pPr>
      <w:r w:rsidRPr="004278AC">
        <w:rPr>
          <w:lang w:val="en-AU"/>
        </w:rPr>
        <w:t xml:space="preserve">The side constraint to apply to each of </w:t>
      </w:r>
      <w:r w:rsidR="00F03D86">
        <w:rPr>
          <w:lang w:val="en-AU"/>
        </w:rPr>
        <w:t>PWC </w:t>
      </w:r>
      <w:r>
        <w:rPr>
          <w:lang w:val="en-AU"/>
        </w:rPr>
        <w:t>Networks</w:t>
      </w:r>
      <w:r w:rsidR="00E82D5F">
        <w:rPr>
          <w:lang w:val="en-AU"/>
        </w:rPr>
        <w:t>’</w:t>
      </w:r>
      <w:r w:rsidRPr="004278AC">
        <w:rPr>
          <w:lang w:val="en-AU"/>
        </w:rPr>
        <w:t xml:space="preserve"> tariff classes must be consistent with the formula </w:t>
      </w:r>
      <w:r w:rsidR="00C56A5D">
        <w:rPr>
          <w:lang w:val="en-AU"/>
        </w:rPr>
        <w:t xml:space="preserve">set out </w:t>
      </w:r>
      <w:r w:rsidRPr="004278AC">
        <w:rPr>
          <w:lang w:val="en-AU"/>
        </w:rPr>
        <w:t xml:space="preserve">in </w:t>
      </w:r>
      <w:r w:rsidR="00F03D86">
        <w:rPr>
          <w:lang w:val="en-AU"/>
        </w:rPr>
        <w:t>paragraph </w:t>
      </w:r>
      <w:r w:rsidR="00770909">
        <w:rPr>
          <w:lang w:val="en-AU"/>
        </w:rPr>
        <w:t>2.16</w:t>
      </w:r>
      <w:r w:rsidR="009B31E9" w:rsidRPr="004278AC">
        <w:rPr>
          <w:lang w:val="en-AU"/>
        </w:rPr>
        <w:t xml:space="preserve"> </w:t>
      </w:r>
      <w:r w:rsidRPr="007C4616">
        <w:rPr>
          <w:lang w:val="en-AU"/>
        </w:rPr>
        <w:t>of</w:t>
      </w:r>
      <w:r w:rsidRPr="004278AC">
        <w:rPr>
          <w:lang w:val="en-AU"/>
        </w:rPr>
        <w:t xml:space="preserve"> </w:t>
      </w:r>
      <w:r w:rsidR="00C56A5D">
        <w:rPr>
          <w:lang w:val="en-AU"/>
        </w:rPr>
        <w:t>the Draft Determination</w:t>
      </w:r>
      <w:r w:rsidRPr="004278AC">
        <w:rPr>
          <w:lang w:val="en-AU"/>
        </w:rPr>
        <w:t>.</w:t>
      </w:r>
    </w:p>
    <w:p w14:paraId="18776AD2" w14:textId="1DB545AF" w:rsidR="00B57F2C" w:rsidRPr="00474092" w:rsidRDefault="00B57F2C" w:rsidP="00B57F2C">
      <w:pPr>
        <w:pStyle w:val="NumberLevel2"/>
        <w:numPr>
          <w:ilvl w:val="1"/>
          <w:numId w:val="5"/>
        </w:numPr>
        <w:tabs>
          <w:tab w:val="num" w:pos="709"/>
        </w:tabs>
        <w:ind w:left="709" w:hanging="709"/>
        <w:rPr>
          <w:lang w:val="en-AU"/>
        </w:rPr>
      </w:pPr>
      <w:r>
        <w:rPr>
          <w:lang w:val="en-AU"/>
        </w:rPr>
        <w:t xml:space="preserve">The Commission accepted the side constraint of </w:t>
      </w:r>
      <w:r w:rsidR="00F03D86">
        <w:rPr>
          <w:lang w:val="en-AU"/>
        </w:rPr>
        <w:t>2 per </w:t>
      </w:r>
      <w:r>
        <w:rPr>
          <w:lang w:val="en-AU"/>
        </w:rPr>
        <w:t xml:space="preserve">cent proposed by </w:t>
      </w:r>
      <w:r w:rsidR="00F03D86">
        <w:rPr>
          <w:lang w:val="en-AU"/>
        </w:rPr>
        <w:t>PWC </w:t>
      </w:r>
      <w:r>
        <w:rPr>
          <w:lang w:val="en-AU"/>
        </w:rPr>
        <w:t xml:space="preserve">Networks for the </w:t>
      </w:r>
      <w:r w:rsidR="00F03D86">
        <w:rPr>
          <w:lang w:val="en-AU"/>
        </w:rPr>
        <w:t>Draft Determination</w:t>
      </w:r>
      <w:r>
        <w:rPr>
          <w:lang w:val="en-AU"/>
        </w:rPr>
        <w:t>, but require</w:t>
      </w:r>
      <w:r w:rsidR="00770909">
        <w:rPr>
          <w:lang w:val="en-AU"/>
        </w:rPr>
        <w:t>d</w:t>
      </w:r>
      <w:r>
        <w:rPr>
          <w:lang w:val="en-AU"/>
        </w:rPr>
        <w:t xml:space="preserve"> that for </w:t>
      </w:r>
      <w:r w:rsidR="00F03D86">
        <w:rPr>
          <w:lang w:val="en-AU"/>
        </w:rPr>
        <w:t xml:space="preserve">retail </w:t>
      </w:r>
      <w:r>
        <w:rPr>
          <w:lang w:val="en-AU"/>
        </w:rPr>
        <w:t>customers using more than 750</w:t>
      </w:r>
      <w:r w:rsidR="00F03D86">
        <w:rPr>
          <w:lang w:val="en-AU"/>
        </w:rPr>
        <w:t> </w:t>
      </w:r>
      <w:r>
        <w:rPr>
          <w:lang w:val="en-AU"/>
        </w:rPr>
        <w:t xml:space="preserve">MWh per annum, the side constraint </w:t>
      </w:r>
      <w:r w:rsidR="00D063B8">
        <w:rPr>
          <w:lang w:val="en-AU"/>
        </w:rPr>
        <w:t>wa</w:t>
      </w:r>
      <w:r>
        <w:rPr>
          <w:lang w:val="en-AU"/>
        </w:rPr>
        <w:t xml:space="preserve">s to be applied with respect to each individual </w:t>
      </w:r>
      <w:r w:rsidR="00F03D86">
        <w:rPr>
          <w:lang w:val="en-AU"/>
        </w:rPr>
        <w:t xml:space="preserve">retail </w:t>
      </w:r>
      <w:r>
        <w:rPr>
          <w:lang w:val="en-AU"/>
        </w:rPr>
        <w:t>customer, rather than to the tariff class as a whole.</w:t>
      </w:r>
    </w:p>
    <w:p w14:paraId="3849BFE6" w14:textId="6FE5BEF7" w:rsidR="007C4616" w:rsidRPr="00083FAA" w:rsidRDefault="00083FAA" w:rsidP="00083FAA">
      <w:pPr>
        <w:pStyle w:val="UtilComHeading2"/>
      </w:pPr>
      <w:bookmarkStart w:id="72" w:name="_Toc385241462"/>
      <w:bookmarkStart w:id="73" w:name="_Toc386013015"/>
      <w:r w:rsidRPr="00083FAA">
        <w:t xml:space="preserve">PWC Networks’ </w:t>
      </w:r>
      <w:r w:rsidR="001F36EB">
        <w:t>R</w:t>
      </w:r>
      <w:r w:rsidR="001F36EB" w:rsidRPr="00083FAA">
        <w:t xml:space="preserve">evised </w:t>
      </w:r>
      <w:r w:rsidR="001F36EB">
        <w:t>R</w:t>
      </w:r>
      <w:r w:rsidR="001F36EB" w:rsidRPr="00083FAA">
        <w:t xml:space="preserve">egulatory </w:t>
      </w:r>
      <w:r w:rsidR="001F36EB">
        <w:t>P</w:t>
      </w:r>
      <w:r w:rsidRPr="00083FAA">
        <w:t>roposal</w:t>
      </w:r>
      <w:bookmarkEnd w:id="72"/>
      <w:bookmarkEnd w:id="73"/>
    </w:p>
    <w:p w14:paraId="0053AA95" w14:textId="77777777" w:rsidR="00083FAA" w:rsidRDefault="001430C0" w:rsidP="001430C0">
      <w:pPr>
        <w:pStyle w:val="NumberLevel2"/>
        <w:numPr>
          <w:ilvl w:val="1"/>
          <w:numId w:val="5"/>
        </w:numPr>
        <w:tabs>
          <w:tab w:val="num" w:pos="709"/>
        </w:tabs>
        <w:ind w:left="709" w:hanging="709"/>
        <w:rPr>
          <w:lang w:val="en-AU"/>
        </w:rPr>
      </w:pPr>
      <w:r>
        <w:rPr>
          <w:lang w:val="en-AU"/>
        </w:rPr>
        <w:t>PWC Networks</w:t>
      </w:r>
      <w:r w:rsidRPr="001430C0">
        <w:rPr>
          <w:lang w:val="en-AU"/>
        </w:rPr>
        <w:t xml:space="preserve"> accepted the control mechanism for </w:t>
      </w:r>
      <w:r>
        <w:rPr>
          <w:lang w:val="en-AU"/>
        </w:rPr>
        <w:t>regulated network access</w:t>
      </w:r>
      <w:r w:rsidRPr="001430C0">
        <w:rPr>
          <w:lang w:val="en-AU"/>
        </w:rPr>
        <w:t xml:space="preserve"> services.</w:t>
      </w:r>
    </w:p>
    <w:p w14:paraId="24C3C94F" w14:textId="196CB2C5" w:rsidR="00FF2A59" w:rsidRDefault="001430C0" w:rsidP="001430C0">
      <w:pPr>
        <w:pStyle w:val="NumberLevel2"/>
        <w:numPr>
          <w:ilvl w:val="1"/>
          <w:numId w:val="5"/>
        </w:numPr>
        <w:tabs>
          <w:tab w:val="num" w:pos="709"/>
        </w:tabs>
        <w:ind w:left="709" w:hanging="709"/>
        <w:rPr>
          <w:lang w:val="en-AU"/>
        </w:rPr>
      </w:pPr>
      <w:r>
        <w:rPr>
          <w:lang w:val="en-AU"/>
        </w:rPr>
        <w:t xml:space="preserve">PWC Networks resubmitted its proposal that the side constraint should be applied to the weighted average revenue to be raised from a tariff class, rather than applied to individual </w:t>
      </w:r>
      <w:r w:rsidR="003018B7">
        <w:rPr>
          <w:lang w:val="en-AU"/>
        </w:rPr>
        <w:t xml:space="preserve">retail </w:t>
      </w:r>
      <w:r>
        <w:rPr>
          <w:lang w:val="en-AU"/>
        </w:rPr>
        <w:t xml:space="preserve">customers. </w:t>
      </w:r>
      <w:r w:rsidR="00FF2A59">
        <w:rPr>
          <w:lang w:val="en-AU"/>
        </w:rPr>
        <w:t xml:space="preserve">PWC Networks’ </w:t>
      </w:r>
      <w:r w:rsidR="003018B7">
        <w:rPr>
          <w:lang w:val="en-AU"/>
        </w:rPr>
        <w:t xml:space="preserve">NPPS and </w:t>
      </w:r>
      <w:r w:rsidR="00FF2A59">
        <w:rPr>
          <w:lang w:val="en-AU"/>
        </w:rPr>
        <w:t xml:space="preserve">indicative pricing proposal set out a range of proposed </w:t>
      </w:r>
      <w:r w:rsidR="003018B7">
        <w:rPr>
          <w:lang w:val="en-AU"/>
        </w:rPr>
        <w:t xml:space="preserve">reference </w:t>
      </w:r>
      <w:r w:rsidR="00FF2A59">
        <w:rPr>
          <w:lang w:val="en-AU"/>
        </w:rPr>
        <w:t>tariff reforms to enhance cost reflectivity, curtail peak demand growth and encourage demand side participation and energy efficiency.</w:t>
      </w:r>
    </w:p>
    <w:p w14:paraId="060E9181" w14:textId="0E26C0EA" w:rsidR="001430C0" w:rsidRDefault="00087264" w:rsidP="001430C0">
      <w:pPr>
        <w:pStyle w:val="NumberLevel2"/>
        <w:numPr>
          <w:ilvl w:val="1"/>
          <w:numId w:val="5"/>
        </w:numPr>
        <w:tabs>
          <w:tab w:val="num" w:pos="709"/>
        </w:tabs>
        <w:ind w:left="709" w:hanging="709"/>
        <w:rPr>
          <w:lang w:val="en-AU"/>
        </w:rPr>
      </w:pPr>
      <w:r>
        <w:rPr>
          <w:lang w:val="en-AU"/>
        </w:rPr>
        <w:t xml:space="preserve">PWC Networks argued that limiting </w:t>
      </w:r>
      <w:r w:rsidR="00E23A17">
        <w:rPr>
          <w:lang w:val="en-AU"/>
        </w:rPr>
        <w:t xml:space="preserve">reference </w:t>
      </w:r>
      <w:r w:rsidR="003018B7">
        <w:rPr>
          <w:lang w:val="en-AU"/>
        </w:rPr>
        <w:t xml:space="preserve">tariff </w:t>
      </w:r>
      <w:r>
        <w:rPr>
          <w:lang w:val="en-AU"/>
        </w:rPr>
        <w:t xml:space="preserve">changes to accommodate a single </w:t>
      </w:r>
      <w:r w:rsidR="003018B7">
        <w:rPr>
          <w:lang w:val="en-AU"/>
        </w:rPr>
        <w:t xml:space="preserve">retail </w:t>
      </w:r>
      <w:r>
        <w:rPr>
          <w:lang w:val="en-AU"/>
        </w:rPr>
        <w:t xml:space="preserve">customer would result in extended periods for any meaningful </w:t>
      </w:r>
      <w:r w:rsidR="00E23A17">
        <w:rPr>
          <w:lang w:val="en-AU"/>
        </w:rPr>
        <w:t xml:space="preserve">reference </w:t>
      </w:r>
      <w:r w:rsidR="003018B7">
        <w:rPr>
          <w:lang w:val="en-AU"/>
        </w:rPr>
        <w:t xml:space="preserve">tariff </w:t>
      </w:r>
      <w:r>
        <w:rPr>
          <w:lang w:val="en-AU"/>
        </w:rPr>
        <w:t xml:space="preserve">reform to take place. </w:t>
      </w:r>
    </w:p>
    <w:p w14:paraId="77F0AD65" w14:textId="7FC38ED2" w:rsidR="007B064D" w:rsidRDefault="007B064D" w:rsidP="007B064D">
      <w:pPr>
        <w:pStyle w:val="NumberLevel2"/>
        <w:numPr>
          <w:ilvl w:val="1"/>
          <w:numId w:val="5"/>
        </w:numPr>
        <w:tabs>
          <w:tab w:val="num" w:pos="709"/>
        </w:tabs>
        <w:ind w:left="709" w:hanging="709"/>
        <w:rPr>
          <w:lang w:val="en-AU"/>
        </w:rPr>
      </w:pPr>
      <w:r>
        <w:rPr>
          <w:lang w:val="en-AU"/>
        </w:rPr>
        <w:t xml:space="preserve">PWC Networks also advised that it did not intend to subject </w:t>
      </w:r>
      <w:r w:rsidR="003018B7">
        <w:rPr>
          <w:lang w:val="en-AU"/>
        </w:rPr>
        <w:t xml:space="preserve">retail </w:t>
      </w:r>
      <w:r>
        <w:rPr>
          <w:lang w:val="en-AU"/>
        </w:rPr>
        <w:t xml:space="preserve">customers to large changes </w:t>
      </w:r>
      <w:r w:rsidR="003018B7">
        <w:rPr>
          <w:lang w:val="en-AU"/>
        </w:rPr>
        <w:t xml:space="preserve">in </w:t>
      </w:r>
      <w:r w:rsidR="00E23A17">
        <w:rPr>
          <w:lang w:val="en-AU"/>
        </w:rPr>
        <w:t xml:space="preserve">reference </w:t>
      </w:r>
      <w:r w:rsidR="003018B7">
        <w:rPr>
          <w:lang w:val="en-AU"/>
        </w:rPr>
        <w:t>tariffs</w:t>
      </w:r>
      <w:r w:rsidR="00622883">
        <w:rPr>
          <w:lang w:val="en-AU"/>
        </w:rPr>
        <w:t xml:space="preserve">, </w:t>
      </w:r>
      <w:r>
        <w:rPr>
          <w:lang w:val="en-AU"/>
        </w:rPr>
        <w:t>that the pace of restructuring would be limited</w:t>
      </w:r>
      <w:r w:rsidR="003018B7">
        <w:rPr>
          <w:lang w:val="en-AU"/>
        </w:rPr>
        <w:t xml:space="preserve"> and that the pace of any restructuring would be carried out in accordance with the consultation process in the NER</w:t>
      </w:r>
      <w:r>
        <w:rPr>
          <w:lang w:val="en-AU"/>
        </w:rPr>
        <w:t>.</w:t>
      </w:r>
    </w:p>
    <w:p w14:paraId="6738E9FC" w14:textId="34D9B51C" w:rsidR="007B064D" w:rsidRPr="007B064D" w:rsidRDefault="007B064D" w:rsidP="007B064D">
      <w:pPr>
        <w:pStyle w:val="UtilComHeading2"/>
      </w:pPr>
      <w:bookmarkStart w:id="74" w:name="_Toc385241463"/>
      <w:bookmarkStart w:id="75" w:name="_Toc386013016"/>
      <w:r w:rsidRPr="007B064D">
        <w:t xml:space="preserve">Submissions on </w:t>
      </w:r>
      <w:r w:rsidR="006B433A">
        <w:t>D</w:t>
      </w:r>
      <w:r w:rsidR="006B433A" w:rsidRPr="007B064D">
        <w:t xml:space="preserve">raft </w:t>
      </w:r>
      <w:r w:rsidR="006B433A">
        <w:t>D</w:t>
      </w:r>
      <w:r w:rsidR="006B433A" w:rsidRPr="007B064D">
        <w:t xml:space="preserve">etermination </w:t>
      </w:r>
      <w:r w:rsidRPr="007B064D">
        <w:t xml:space="preserve">and </w:t>
      </w:r>
      <w:r w:rsidR="006B433A">
        <w:t>R</w:t>
      </w:r>
      <w:r w:rsidR="006B433A" w:rsidRPr="007B064D">
        <w:t xml:space="preserve">evised </w:t>
      </w:r>
      <w:r w:rsidR="006B433A">
        <w:t>R</w:t>
      </w:r>
      <w:r w:rsidR="006B433A" w:rsidRPr="007B064D">
        <w:t xml:space="preserve">egulatory </w:t>
      </w:r>
      <w:bookmarkEnd w:id="74"/>
      <w:r w:rsidR="006B433A">
        <w:t>P</w:t>
      </w:r>
      <w:r w:rsidR="006B433A" w:rsidRPr="007B064D">
        <w:t>roposal</w:t>
      </w:r>
      <w:bookmarkEnd w:id="75"/>
    </w:p>
    <w:p w14:paraId="0D7550C7" w14:textId="77777777" w:rsidR="007B064D" w:rsidRDefault="007B064D" w:rsidP="007B064D">
      <w:pPr>
        <w:pStyle w:val="NumberLevel2"/>
        <w:numPr>
          <w:ilvl w:val="1"/>
          <w:numId w:val="5"/>
        </w:numPr>
        <w:tabs>
          <w:tab w:val="num" w:pos="709"/>
        </w:tabs>
        <w:ind w:left="709" w:hanging="709"/>
        <w:rPr>
          <w:lang w:val="en-AU"/>
        </w:rPr>
      </w:pPr>
      <w:r>
        <w:rPr>
          <w:lang w:val="en-AU"/>
        </w:rPr>
        <w:t>N</w:t>
      </w:r>
      <w:r w:rsidRPr="007B064D">
        <w:rPr>
          <w:lang w:val="en-AU"/>
        </w:rPr>
        <w:t xml:space="preserve">o </w:t>
      </w:r>
      <w:r w:rsidR="00B82AB1">
        <w:rPr>
          <w:lang w:val="en-AU"/>
        </w:rPr>
        <w:t>submissions</w:t>
      </w:r>
      <w:r w:rsidRPr="007B064D">
        <w:rPr>
          <w:lang w:val="en-AU"/>
        </w:rPr>
        <w:t xml:space="preserve"> on the </w:t>
      </w:r>
      <w:r>
        <w:rPr>
          <w:lang w:val="en-AU"/>
        </w:rPr>
        <w:t xml:space="preserve">control mechanism for regulated network access services </w:t>
      </w:r>
      <w:r w:rsidRPr="007B064D">
        <w:rPr>
          <w:lang w:val="en-AU"/>
        </w:rPr>
        <w:t>were received from interested parties.</w:t>
      </w:r>
    </w:p>
    <w:p w14:paraId="68A888CE" w14:textId="15C654DB" w:rsidR="00C56A5D" w:rsidRPr="00BB4EB2" w:rsidRDefault="00C56A5D" w:rsidP="00C56A5D">
      <w:pPr>
        <w:pStyle w:val="UtilComHeading2"/>
      </w:pPr>
      <w:bookmarkStart w:id="76" w:name="_Toc385241464"/>
      <w:bookmarkStart w:id="77" w:name="_Toc386013017"/>
      <w:r w:rsidRPr="00BB4EB2">
        <w:t xml:space="preserve">Issues and Commission’s </w:t>
      </w:r>
      <w:r w:rsidR="006B433A">
        <w:t>Further</w:t>
      </w:r>
      <w:r w:rsidR="006B433A" w:rsidRPr="00BB4EB2">
        <w:t xml:space="preserve"> </w:t>
      </w:r>
      <w:bookmarkEnd w:id="76"/>
      <w:r w:rsidR="006B433A">
        <w:t>C</w:t>
      </w:r>
      <w:r w:rsidR="006B433A" w:rsidRPr="00BB4EB2">
        <w:t>onsiderations</w:t>
      </w:r>
      <w:bookmarkEnd w:id="77"/>
    </w:p>
    <w:p w14:paraId="3571EC81" w14:textId="31631300" w:rsidR="00666E59" w:rsidRPr="00C70BE4" w:rsidRDefault="00666E59" w:rsidP="00666E59">
      <w:pPr>
        <w:pStyle w:val="ListParagraph"/>
        <w:numPr>
          <w:ilvl w:val="1"/>
          <w:numId w:val="5"/>
        </w:numPr>
        <w:tabs>
          <w:tab w:val="num" w:pos="709"/>
        </w:tabs>
        <w:ind w:left="709" w:hanging="709"/>
        <w:rPr>
          <w:lang w:val="en-AU"/>
        </w:rPr>
      </w:pPr>
      <w:r w:rsidRPr="00C70BE4">
        <w:rPr>
          <w:lang w:val="en-AU"/>
        </w:rPr>
        <w:t xml:space="preserve">All stakeholders support the use of a revenue cap of the prospective CPI minus X </w:t>
      </w:r>
      <w:r w:rsidR="002A1F7B">
        <w:rPr>
          <w:lang w:val="en-AU"/>
        </w:rPr>
        <w:t xml:space="preserve">form </w:t>
      </w:r>
      <w:r w:rsidRPr="00C70BE4">
        <w:rPr>
          <w:lang w:val="en-AU"/>
        </w:rPr>
        <w:t>with provision for adjustments relating to:</w:t>
      </w:r>
    </w:p>
    <w:p w14:paraId="682DBDC1" w14:textId="5E31F23D" w:rsidR="00666E59" w:rsidRPr="00C70BE4" w:rsidRDefault="00666E59" w:rsidP="008E229D">
      <w:pPr>
        <w:pStyle w:val="UtilComBulletText"/>
        <w:numPr>
          <w:ilvl w:val="0"/>
          <w:numId w:val="6"/>
        </w:numPr>
        <w:tabs>
          <w:tab w:val="clear" w:pos="964"/>
          <w:tab w:val="num" w:pos="1134"/>
        </w:tabs>
        <w:ind w:left="1134" w:hanging="425"/>
      </w:pPr>
      <w:r w:rsidRPr="00C70BE4">
        <w:t xml:space="preserve">under or over-recovery of revenue in a particular </w:t>
      </w:r>
      <w:r w:rsidR="00C70BE4">
        <w:t xml:space="preserve">regulatory </w:t>
      </w:r>
      <w:r w:rsidRPr="00C70BE4">
        <w:t>year;</w:t>
      </w:r>
    </w:p>
    <w:p w14:paraId="246F9471" w14:textId="0AE88B86" w:rsidR="00666E59" w:rsidRPr="00C70BE4" w:rsidRDefault="00666E59" w:rsidP="008E229D">
      <w:pPr>
        <w:pStyle w:val="UtilComBulletText"/>
        <w:numPr>
          <w:ilvl w:val="0"/>
          <w:numId w:val="6"/>
        </w:numPr>
        <w:tabs>
          <w:tab w:val="clear" w:pos="964"/>
          <w:tab w:val="num" w:pos="1134"/>
        </w:tabs>
        <w:ind w:left="1134" w:hanging="425"/>
      </w:pPr>
      <w:r w:rsidRPr="00C70BE4">
        <w:t xml:space="preserve">cost pass through events; and </w:t>
      </w:r>
    </w:p>
    <w:p w14:paraId="163D55EB" w14:textId="5E1C8577" w:rsidR="00666E59" w:rsidRPr="00C70BE4" w:rsidRDefault="00666E59" w:rsidP="008E229D">
      <w:pPr>
        <w:pStyle w:val="UtilComBulletText"/>
        <w:numPr>
          <w:ilvl w:val="0"/>
          <w:numId w:val="6"/>
        </w:numPr>
        <w:tabs>
          <w:tab w:val="clear" w:pos="964"/>
          <w:tab w:val="num" w:pos="1134"/>
        </w:tabs>
        <w:ind w:left="1134" w:hanging="425"/>
      </w:pPr>
      <w:r w:rsidRPr="00C70BE4">
        <w:t>contingent projects</w:t>
      </w:r>
      <w:r w:rsidR="00D32B9A">
        <w:t>.</w:t>
      </w:r>
    </w:p>
    <w:p w14:paraId="59262CDD" w14:textId="6C22DAAC" w:rsidR="00666E59" w:rsidRPr="00C70BE4" w:rsidRDefault="00666E59" w:rsidP="00C56A5D">
      <w:pPr>
        <w:pStyle w:val="ListParagraph"/>
        <w:numPr>
          <w:ilvl w:val="1"/>
          <w:numId w:val="5"/>
        </w:numPr>
        <w:tabs>
          <w:tab w:val="num" w:pos="709"/>
        </w:tabs>
        <w:ind w:left="709" w:hanging="709"/>
        <w:rPr>
          <w:lang w:val="en-AU"/>
        </w:rPr>
      </w:pPr>
      <w:r w:rsidRPr="00C70BE4">
        <w:rPr>
          <w:lang w:val="en-AU"/>
        </w:rPr>
        <w:t>To align</w:t>
      </w:r>
      <w:r w:rsidR="004B5D17" w:rsidRPr="00C70BE4">
        <w:rPr>
          <w:lang w:val="en-AU"/>
        </w:rPr>
        <w:t xml:space="preserve"> with the requirements of </w:t>
      </w:r>
      <w:r w:rsidRPr="00C70BE4">
        <w:rPr>
          <w:lang w:val="en-AU"/>
        </w:rPr>
        <w:t xml:space="preserve">the NER, the Commission’s </w:t>
      </w:r>
      <w:r w:rsidR="00C70BE4">
        <w:rPr>
          <w:lang w:val="en-AU"/>
        </w:rPr>
        <w:t>F</w:t>
      </w:r>
      <w:r w:rsidR="00C70BE4" w:rsidRPr="00C70BE4">
        <w:rPr>
          <w:lang w:val="en-AU"/>
        </w:rPr>
        <w:t xml:space="preserve">inal </w:t>
      </w:r>
      <w:r w:rsidR="00C70BE4">
        <w:rPr>
          <w:lang w:val="en-AU"/>
        </w:rPr>
        <w:t>D</w:t>
      </w:r>
      <w:r w:rsidR="00C70BE4" w:rsidRPr="00C70BE4">
        <w:rPr>
          <w:lang w:val="en-AU"/>
        </w:rPr>
        <w:t xml:space="preserve">etermination </w:t>
      </w:r>
      <w:r w:rsidRPr="00C70BE4">
        <w:rPr>
          <w:lang w:val="en-AU"/>
        </w:rPr>
        <w:t>has also added provision for reopening the revenue cap if PWC Networks is required to undertake unexpected capital expenditure to rectify the adverse consequences of an unforeseen event that is outside PWC Networks’ control.</w:t>
      </w:r>
      <w:r w:rsidR="004B5D17" w:rsidRPr="00C70BE4">
        <w:rPr>
          <w:lang w:val="en-AU"/>
        </w:rPr>
        <w:t xml:space="preserve"> In line with the NER, such a reopening will only occur if the amount of capital expenditure exceeds 5 per cent of the value of the RAB in the first </w:t>
      </w:r>
      <w:r w:rsidR="004458DE">
        <w:rPr>
          <w:lang w:val="en-AU"/>
        </w:rPr>
        <w:t xml:space="preserve">regulatory </w:t>
      </w:r>
      <w:r w:rsidR="004B5D17" w:rsidRPr="00C70BE4">
        <w:rPr>
          <w:lang w:val="en-AU"/>
        </w:rPr>
        <w:t>year of the regulatory control period (that is, $46 million).</w:t>
      </w:r>
    </w:p>
    <w:p w14:paraId="6C9AA513" w14:textId="3CB4767E" w:rsidR="004B5D17" w:rsidRPr="009E39EB" w:rsidRDefault="00853347" w:rsidP="004B5D17">
      <w:pPr>
        <w:pStyle w:val="ListParagraph"/>
        <w:numPr>
          <w:ilvl w:val="1"/>
          <w:numId w:val="5"/>
        </w:numPr>
        <w:tabs>
          <w:tab w:val="num" w:pos="709"/>
        </w:tabs>
        <w:ind w:left="709" w:hanging="709"/>
        <w:rPr>
          <w:lang w:val="en-AU"/>
        </w:rPr>
      </w:pPr>
      <w:r w:rsidRPr="004B5D17">
        <w:rPr>
          <w:lang w:val="en-AU"/>
        </w:rPr>
        <w:t>The Commission further consider</w:t>
      </w:r>
      <w:r w:rsidR="00D063B8">
        <w:rPr>
          <w:lang w:val="en-AU"/>
        </w:rPr>
        <w:t>s</w:t>
      </w:r>
      <w:r w:rsidRPr="004B5D17">
        <w:rPr>
          <w:lang w:val="en-AU"/>
        </w:rPr>
        <w:t xml:space="preserve"> PWC Networks’ submission that the side constraint be applied to tariff class</w:t>
      </w:r>
      <w:r w:rsidR="003018B7">
        <w:rPr>
          <w:lang w:val="en-AU"/>
        </w:rPr>
        <w:t>es</w:t>
      </w:r>
      <w:r w:rsidRPr="004B5D17">
        <w:rPr>
          <w:lang w:val="en-AU"/>
        </w:rPr>
        <w:t xml:space="preserve">. </w:t>
      </w:r>
      <w:r w:rsidR="004B5D17" w:rsidRPr="003F529D">
        <w:rPr>
          <w:lang w:val="en-AU"/>
        </w:rPr>
        <w:t xml:space="preserve">While the overall revenue constraint limits the amount by which PWC Networks can increase its total revenue </w:t>
      </w:r>
      <w:r w:rsidR="004B5D17" w:rsidRPr="00DD2D5C">
        <w:rPr>
          <w:lang w:val="en-AU"/>
        </w:rPr>
        <w:t xml:space="preserve">in a given year, the side constraint is about relativities between </w:t>
      </w:r>
      <w:r w:rsidR="004B5D17" w:rsidRPr="0024393C">
        <w:rPr>
          <w:lang w:val="en-AU"/>
        </w:rPr>
        <w:t xml:space="preserve">classes of </w:t>
      </w:r>
      <w:r w:rsidR="004B5D17" w:rsidRPr="004176AD">
        <w:rPr>
          <w:lang w:val="en-AU"/>
        </w:rPr>
        <w:t>customers</w:t>
      </w:r>
      <w:r w:rsidR="004B5D17" w:rsidRPr="003159C1">
        <w:rPr>
          <w:lang w:val="en-AU"/>
        </w:rPr>
        <w:t>.</w:t>
      </w:r>
    </w:p>
    <w:p w14:paraId="0A2A0678" w14:textId="3D40C8F9" w:rsidR="00FD4554" w:rsidRDefault="00FD4554" w:rsidP="00C56A5D">
      <w:pPr>
        <w:pStyle w:val="ListParagraph"/>
        <w:numPr>
          <w:ilvl w:val="1"/>
          <w:numId w:val="5"/>
        </w:numPr>
        <w:tabs>
          <w:tab w:val="num" w:pos="709"/>
        </w:tabs>
        <w:ind w:left="709" w:hanging="709"/>
        <w:rPr>
          <w:lang w:val="en-AU"/>
        </w:rPr>
      </w:pPr>
      <w:r>
        <w:rPr>
          <w:lang w:val="en-AU"/>
        </w:rPr>
        <w:t>The Commission consider</w:t>
      </w:r>
      <w:r w:rsidR="00D063B8">
        <w:rPr>
          <w:lang w:val="en-AU"/>
        </w:rPr>
        <w:t>s</w:t>
      </w:r>
      <w:r>
        <w:rPr>
          <w:lang w:val="en-AU"/>
        </w:rPr>
        <w:t xml:space="preserve"> information provided by PWC</w:t>
      </w:r>
      <w:r w:rsidR="00B41637">
        <w:rPr>
          <w:lang w:val="en-AU"/>
        </w:rPr>
        <w:t> Networks</w:t>
      </w:r>
      <w:r>
        <w:rPr>
          <w:lang w:val="en-AU"/>
        </w:rPr>
        <w:t xml:space="preserve">, including an example of the structural </w:t>
      </w:r>
      <w:r w:rsidR="004458DE">
        <w:rPr>
          <w:lang w:val="en-AU"/>
        </w:rPr>
        <w:t xml:space="preserve">reference </w:t>
      </w:r>
      <w:r w:rsidR="003018B7">
        <w:rPr>
          <w:lang w:val="en-AU"/>
        </w:rPr>
        <w:t xml:space="preserve">tariff </w:t>
      </w:r>
      <w:r>
        <w:rPr>
          <w:lang w:val="en-AU"/>
        </w:rPr>
        <w:t xml:space="preserve">changes it intends to implement during the </w:t>
      </w:r>
      <w:r w:rsidR="003018B7">
        <w:rPr>
          <w:lang w:val="en-AU"/>
        </w:rPr>
        <w:t xml:space="preserve">2014-19 </w:t>
      </w:r>
      <w:r>
        <w:rPr>
          <w:lang w:val="en-AU"/>
        </w:rPr>
        <w:t xml:space="preserve">regulatory control period. </w:t>
      </w:r>
      <w:r w:rsidR="00853347">
        <w:rPr>
          <w:lang w:val="en-AU"/>
        </w:rPr>
        <w:t xml:space="preserve">The Commission </w:t>
      </w:r>
      <w:r w:rsidR="004458DE">
        <w:rPr>
          <w:lang w:val="en-AU"/>
        </w:rPr>
        <w:t>note</w:t>
      </w:r>
      <w:r w:rsidR="00D063B8">
        <w:rPr>
          <w:lang w:val="en-AU"/>
        </w:rPr>
        <w:t>s</w:t>
      </w:r>
      <w:r w:rsidR="004458DE">
        <w:rPr>
          <w:lang w:val="en-AU"/>
        </w:rPr>
        <w:t xml:space="preserve"> </w:t>
      </w:r>
      <w:r w:rsidR="00853347">
        <w:rPr>
          <w:lang w:val="en-AU"/>
        </w:rPr>
        <w:t xml:space="preserve">that </w:t>
      </w:r>
      <w:r w:rsidR="00853347" w:rsidRPr="000F62EB">
        <w:rPr>
          <w:lang w:val="en-AU"/>
        </w:rPr>
        <w:t>PWC</w:t>
      </w:r>
      <w:r w:rsidR="00B41637">
        <w:rPr>
          <w:lang w:val="en-AU"/>
        </w:rPr>
        <w:t> Networks</w:t>
      </w:r>
      <w:r w:rsidR="00853347" w:rsidRPr="000F62EB">
        <w:rPr>
          <w:lang w:val="en-AU"/>
        </w:rPr>
        <w:t xml:space="preserve"> intends to move from declining block to inclining block structure over the </w:t>
      </w:r>
      <w:r w:rsidR="003018B7">
        <w:rPr>
          <w:lang w:val="en-AU"/>
        </w:rPr>
        <w:t xml:space="preserve">2014-19 </w:t>
      </w:r>
      <w:r w:rsidR="00853347" w:rsidRPr="000F62EB">
        <w:rPr>
          <w:lang w:val="en-AU"/>
        </w:rPr>
        <w:t xml:space="preserve">regulatory control period and to reduce </w:t>
      </w:r>
      <w:r w:rsidR="004458DE">
        <w:rPr>
          <w:lang w:val="en-AU"/>
        </w:rPr>
        <w:t xml:space="preserve">the </w:t>
      </w:r>
      <w:r w:rsidR="00853347" w:rsidRPr="000F62EB">
        <w:rPr>
          <w:lang w:val="en-AU"/>
        </w:rPr>
        <w:t xml:space="preserve">number of blocks. </w:t>
      </w:r>
      <w:r w:rsidR="00D063B8">
        <w:rPr>
          <w:lang w:val="en-AU"/>
        </w:rPr>
        <w:t>T</w:t>
      </w:r>
      <w:r w:rsidR="00853347" w:rsidRPr="000F62EB">
        <w:rPr>
          <w:lang w:val="en-AU"/>
        </w:rPr>
        <w:t xml:space="preserve">his means large </w:t>
      </w:r>
      <w:r w:rsidR="003018B7">
        <w:rPr>
          <w:lang w:val="en-AU"/>
        </w:rPr>
        <w:t xml:space="preserve">retail </w:t>
      </w:r>
      <w:r w:rsidR="00853347" w:rsidRPr="000F62EB">
        <w:rPr>
          <w:lang w:val="en-AU"/>
        </w:rPr>
        <w:t>customers (</w:t>
      </w:r>
      <w:r w:rsidR="003018B7">
        <w:rPr>
          <w:lang w:val="en-AU"/>
        </w:rPr>
        <w:t>that is, those</w:t>
      </w:r>
      <w:r w:rsidR="003018B7" w:rsidRPr="000F62EB">
        <w:rPr>
          <w:lang w:val="en-AU"/>
        </w:rPr>
        <w:t xml:space="preserve"> </w:t>
      </w:r>
      <w:r w:rsidR="00853347" w:rsidRPr="000F62EB">
        <w:rPr>
          <w:lang w:val="en-AU"/>
        </w:rPr>
        <w:t>using more energy and with higher peak demand) are likely to see higher costs than those who use less</w:t>
      </w:r>
      <w:r w:rsidR="003018B7">
        <w:rPr>
          <w:lang w:val="en-AU"/>
        </w:rPr>
        <w:t>,</w:t>
      </w:r>
      <w:r w:rsidR="00853347">
        <w:rPr>
          <w:lang w:val="en-AU"/>
        </w:rPr>
        <w:t xml:space="preserve"> but noted </w:t>
      </w:r>
      <w:r w:rsidR="004458DE">
        <w:rPr>
          <w:lang w:val="en-AU"/>
        </w:rPr>
        <w:t xml:space="preserve">PWC Networks’ </w:t>
      </w:r>
      <w:r w:rsidR="00D063B8">
        <w:rPr>
          <w:lang w:val="en-AU"/>
        </w:rPr>
        <w:t xml:space="preserve">has </w:t>
      </w:r>
      <w:r w:rsidR="00853347">
        <w:rPr>
          <w:lang w:val="en-AU"/>
        </w:rPr>
        <w:t>undertak</w:t>
      </w:r>
      <w:r w:rsidR="00D063B8">
        <w:rPr>
          <w:lang w:val="en-AU"/>
        </w:rPr>
        <w:t>en th</w:t>
      </w:r>
      <w:r w:rsidR="00853347">
        <w:rPr>
          <w:lang w:val="en-AU"/>
        </w:rPr>
        <w:t>at it does not intend to introduce price restructuring at a pace that subjects</w:t>
      </w:r>
      <w:r w:rsidR="004458DE">
        <w:rPr>
          <w:lang w:val="en-AU"/>
        </w:rPr>
        <w:t xml:space="preserve"> retail</w:t>
      </w:r>
      <w:r w:rsidR="00853347">
        <w:rPr>
          <w:lang w:val="en-AU"/>
        </w:rPr>
        <w:t xml:space="preserve"> customers to large price shocks</w:t>
      </w:r>
      <w:r w:rsidR="00853347" w:rsidRPr="000F62EB">
        <w:rPr>
          <w:lang w:val="en-AU"/>
        </w:rPr>
        <w:t>.</w:t>
      </w:r>
    </w:p>
    <w:p w14:paraId="4ED1A491" w14:textId="5A39CDB3" w:rsidR="00622883" w:rsidRPr="004458DE" w:rsidRDefault="00622883" w:rsidP="00C56A5D">
      <w:pPr>
        <w:pStyle w:val="ListParagraph"/>
        <w:numPr>
          <w:ilvl w:val="1"/>
          <w:numId w:val="5"/>
        </w:numPr>
        <w:tabs>
          <w:tab w:val="num" w:pos="709"/>
        </w:tabs>
        <w:ind w:left="709" w:hanging="709"/>
        <w:rPr>
          <w:lang w:val="en-AU"/>
        </w:rPr>
      </w:pPr>
      <w:r w:rsidRPr="004458DE">
        <w:rPr>
          <w:lang w:val="en-AU"/>
        </w:rPr>
        <w:t>The Commission accepted PWC Networks</w:t>
      </w:r>
      <w:r w:rsidR="0056323D">
        <w:rPr>
          <w:lang w:val="en-AU"/>
        </w:rPr>
        <w:t>’</w:t>
      </w:r>
      <w:r w:rsidRPr="004458DE">
        <w:rPr>
          <w:lang w:val="en-AU"/>
        </w:rPr>
        <w:t xml:space="preserve"> argument that limiting </w:t>
      </w:r>
      <w:r w:rsidR="004458DE">
        <w:rPr>
          <w:lang w:val="en-AU"/>
        </w:rPr>
        <w:t xml:space="preserve">reference </w:t>
      </w:r>
      <w:r w:rsidRPr="004458DE">
        <w:rPr>
          <w:lang w:val="en-AU"/>
        </w:rPr>
        <w:t xml:space="preserve">tariff changes on the basis of the effect on a single </w:t>
      </w:r>
      <w:r w:rsidR="004458DE">
        <w:rPr>
          <w:lang w:val="en-AU"/>
        </w:rPr>
        <w:t xml:space="preserve">retail </w:t>
      </w:r>
      <w:r w:rsidRPr="004458DE">
        <w:rPr>
          <w:lang w:val="en-AU"/>
        </w:rPr>
        <w:t>customer would significantly slow the rate at which change can be implemented. The Commission also notes the incentives for more efficient energy use contained in an inclining block tariff structure, and that incentives for energy efficiency have strong community support.</w:t>
      </w:r>
    </w:p>
    <w:p w14:paraId="0946DD5F" w14:textId="140988A7" w:rsidR="00853347" w:rsidRPr="004458DE" w:rsidRDefault="00FD4554" w:rsidP="00C56A5D">
      <w:pPr>
        <w:pStyle w:val="ListParagraph"/>
        <w:numPr>
          <w:ilvl w:val="1"/>
          <w:numId w:val="5"/>
        </w:numPr>
        <w:tabs>
          <w:tab w:val="num" w:pos="709"/>
        </w:tabs>
        <w:ind w:left="709" w:hanging="709"/>
        <w:rPr>
          <w:lang w:val="en-AU"/>
        </w:rPr>
      </w:pPr>
      <w:r w:rsidRPr="004458DE">
        <w:rPr>
          <w:lang w:val="en-AU"/>
        </w:rPr>
        <w:t>The Commission consider</w:t>
      </w:r>
      <w:r w:rsidR="00D063B8">
        <w:rPr>
          <w:lang w:val="en-AU"/>
        </w:rPr>
        <w:t>s</w:t>
      </w:r>
      <w:r w:rsidRPr="004458DE">
        <w:rPr>
          <w:lang w:val="en-AU"/>
        </w:rPr>
        <w:t xml:space="preserve"> that it should not unnecessarily restrict </w:t>
      </w:r>
      <w:r w:rsidR="00622883" w:rsidRPr="004458DE">
        <w:rPr>
          <w:lang w:val="en-AU"/>
        </w:rPr>
        <w:t xml:space="preserve">PWC Networks’ </w:t>
      </w:r>
      <w:r w:rsidRPr="004458DE">
        <w:rPr>
          <w:lang w:val="en-AU"/>
        </w:rPr>
        <w:t xml:space="preserve">ability to move to an efficient </w:t>
      </w:r>
      <w:r w:rsidR="00622883" w:rsidRPr="004458DE">
        <w:rPr>
          <w:lang w:val="en-AU"/>
        </w:rPr>
        <w:t xml:space="preserve">reference </w:t>
      </w:r>
      <w:r w:rsidRPr="004458DE">
        <w:rPr>
          <w:lang w:val="en-AU"/>
        </w:rPr>
        <w:t>tariff structure.</w:t>
      </w:r>
      <w:r w:rsidR="00853347" w:rsidRPr="004458DE">
        <w:rPr>
          <w:lang w:val="en-AU"/>
        </w:rPr>
        <w:t xml:space="preserve"> </w:t>
      </w:r>
      <w:r w:rsidR="00622883" w:rsidRPr="004458DE">
        <w:rPr>
          <w:lang w:val="en-AU"/>
        </w:rPr>
        <w:t xml:space="preserve">Accordingly, given PWC Networks’ commitment to limit the pace of restructuring so that individual retail customers are not subject to unduly large </w:t>
      </w:r>
      <w:r w:rsidR="004458DE">
        <w:rPr>
          <w:lang w:val="en-AU"/>
        </w:rPr>
        <w:t xml:space="preserve">reference </w:t>
      </w:r>
      <w:r w:rsidR="00622883" w:rsidRPr="004458DE">
        <w:rPr>
          <w:lang w:val="en-AU"/>
        </w:rPr>
        <w:t>tariff increases</w:t>
      </w:r>
      <w:r w:rsidR="00BF5C4F" w:rsidRPr="004458DE">
        <w:rPr>
          <w:lang w:val="en-AU"/>
        </w:rPr>
        <w:t>, the Commission accepts that applying the side constraint to the tariff class is reasonable.</w:t>
      </w:r>
    </w:p>
    <w:p w14:paraId="32524839" w14:textId="77777777" w:rsidR="00BF5C4F" w:rsidRPr="004458DE" w:rsidRDefault="00BF5C4F" w:rsidP="00BF5C4F">
      <w:pPr>
        <w:pStyle w:val="ListParagraph"/>
        <w:numPr>
          <w:ilvl w:val="1"/>
          <w:numId w:val="5"/>
        </w:numPr>
        <w:tabs>
          <w:tab w:val="num" w:pos="709"/>
        </w:tabs>
        <w:ind w:left="709" w:hanging="709"/>
        <w:rPr>
          <w:lang w:val="en-AU"/>
        </w:rPr>
      </w:pPr>
      <w:bookmarkStart w:id="78" w:name="_Toc385241465"/>
      <w:r w:rsidRPr="004458DE">
        <w:rPr>
          <w:lang w:val="en-AU"/>
        </w:rPr>
        <w:t>The Commission also notes that applying a side constraint to a tariff class is consistent with the requirements of the NER.</w:t>
      </w:r>
    </w:p>
    <w:p w14:paraId="73361191" w14:textId="386D2057" w:rsidR="00C56A5D" w:rsidRPr="00BB4EB2" w:rsidRDefault="00C56A5D" w:rsidP="00C56A5D">
      <w:pPr>
        <w:pStyle w:val="UtilComHeading2"/>
      </w:pPr>
      <w:bookmarkStart w:id="79" w:name="_Toc386013018"/>
      <w:r w:rsidRPr="00BB4EB2">
        <w:t xml:space="preserve">Commission’s </w:t>
      </w:r>
      <w:r w:rsidR="001F36EB">
        <w:t>F</w:t>
      </w:r>
      <w:r w:rsidR="001F36EB" w:rsidRPr="00BB4EB2">
        <w:t xml:space="preserve">inal </w:t>
      </w:r>
      <w:bookmarkEnd w:id="78"/>
      <w:r w:rsidR="001F36EB">
        <w:t>D</w:t>
      </w:r>
      <w:r w:rsidR="001F36EB" w:rsidRPr="00BB4EB2">
        <w:t>ecision</w:t>
      </w:r>
      <w:bookmarkEnd w:id="79"/>
    </w:p>
    <w:p w14:paraId="7C4CDDD6" w14:textId="7AE710AB" w:rsidR="00C55F54" w:rsidRDefault="00C55F54" w:rsidP="00323FDE">
      <w:pPr>
        <w:pStyle w:val="ListParagraph"/>
        <w:numPr>
          <w:ilvl w:val="1"/>
          <w:numId w:val="5"/>
        </w:numPr>
        <w:tabs>
          <w:tab w:val="num" w:pos="709"/>
        </w:tabs>
        <w:ind w:left="709" w:hanging="709"/>
        <w:rPr>
          <w:lang w:val="en-AU"/>
        </w:rPr>
      </w:pPr>
      <w:r w:rsidRPr="00323FDE">
        <w:rPr>
          <w:lang w:val="en-AU"/>
        </w:rPr>
        <w:t xml:space="preserve">The Commission’s decision on the basis of the control mechanism for regulated network access services provided by PWC Networks </w:t>
      </w:r>
      <w:r w:rsidRPr="00094A91">
        <w:rPr>
          <w:lang w:val="en-AU"/>
        </w:rPr>
        <w:t xml:space="preserve">remains consistent with its </w:t>
      </w:r>
      <w:r w:rsidR="00BF5C4F">
        <w:rPr>
          <w:lang w:val="en-AU"/>
        </w:rPr>
        <w:t>D</w:t>
      </w:r>
      <w:r w:rsidR="00BF5C4F" w:rsidRPr="00094A91">
        <w:rPr>
          <w:lang w:val="en-AU"/>
        </w:rPr>
        <w:t xml:space="preserve">raft </w:t>
      </w:r>
      <w:r w:rsidR="00BF5C4F">
        <w:rPr>
          <w:lang w:val="en-AU"/>
        </w:rPr>
        <w:t>Determination</w:t>
      </w:r>
      <w:r w:rsidRPr="00094A91">
        <w:rPr>
          <w:lang w:val="en-AU"/>
        </w:rPr>
        <w:t xml:space="preserve">. </w:t>
      </w:r>
      <w:r w:rsidRPr="006A24F7">
        <w:rPr>
          <w:lang w:val="en-AU"/>
        </w:rPr>
        <w:t xml:space="preserve">The form </w:t>
      </w:r>
      <w:r w:rsidRPr="007229DE">
        <w:rPr>
          <w:lang w:val="en-AU"/>
        </w:rPr>
        <w:t xml:space="preserve">of control </w:t>
      </w:r>
      <w:r w:rsidRPr="00D81C2B">
        <w:rPr>
          <w:lang w:val="en-AU"/>
        </w:rPr>
        <w:t>is a revenue cap of the prospective CPI minus X form</w:t>
      </w:r>
      <w:r w:rsidRPr="00992D0D">
        <w:rPr>
          <w:lang w:val="en-AU"/>
        </w:rPr>
        <w:t xml:space="preserve">, </w:t>
      </w:r>
      <w:r w:rsidRPr="001A4E81">
        <w:rPr>
          <w:lang w:val="en-AU"/>
        </w:rPr>
        <w:t>determined</w:t>
      </w:r>
      <w:r w:rsidRPr="00B121CF">
        <w:rPr>
          <w:lang w:val="en-AU"/>
        </w:rPr>
        <w:t xml:space="preserve"> using </w:t>
      </w:r>
      <w:r w:rsidRPr="005026F0">
        <w:rPr>
          <w:lang w:val="en-AU"/>
        </w:rPr>
        <w:t>a</w:t>
      </w:r>
      <w:r w:rsidRPr="00AC27D1">
        <w:rPr>
          <w:lang w:val="en-AU"/>
        </w:rPr>
        <w:t xml:space="preserve"> building block approach.</w:t>
      </w:r>
    </w:p>
    <w:p w14:paraId="2BE745D1" w14:textId="0D776157" w:rsidR="00094A91" w:rsidRDefault="00094A91" w:rsidP="00094A91">
      <w:pPr>
        <w:pStyle w:val="NumberLevel2"/>
        <w:numPr>
          <w:ilvl w:val="1"/>
          <w:numId w:val="4"/>
        </w:numPr>
        <w:tabs>
          <w:tab w:val="num" w:pos="709"/>
        </w:tabs>
        <w:ind w:left="709" w:hanging="709"/>
        <w:rPr>
          <w:lang w:val="en-AU"/>
        </w:rPr>
      </w:pPr>
      <w:r>
        <w:rPr>
          <w:lang w:val="en-AU"/>
        </w:rPr>
        <w:t xml:space="preserve">Adjustments to the annual revenue </w:t>
      </w:r>
      <w:r w:rsidR="00BF5C4F">
        <w:rPr>
          <w:lang w:val="en-AU"/>
        </w:rPr>
        <w:t xml:space="preserve">requirement </w:t>
      </w:r>
      <w:r>
        <w:rPr>
          <w:lang w:val="en-AU"/>
        </w:rPr>
        <w:t>will be allowed for any:</w:t>
      </w:r>
    </w:p>
    <w:p w14:paraId="626E2C21" w14:textId="77777777" w:rsidR="00094A91" w:rsidRPr="00D51D4B" w:rsidRDefault="00094A91" w:rsidP="00094A91">
      <w:pPr>
        <w:pStyle w:val="UtilComBulletText"/>
        <w:tabs>
          <w:tab w:val="clear" w:pos="964"/>
          <w:tab w:val="num" w:pos="1134"/>
        </w:tabs>
        <w:ind w:left="1134" w:hanging="425"/>
      </w:pPr>
      <w:r>
        <w:t>under or over recoveries;</w:t>
      </w:r>
      <w:r w:rsidRPr="00D51D4B">
        <w:t xml:space="preserve"> </w:t>
      </w:r>
    </w:p>
    <w:p w14:paraId="379FD996" w14:textId="37DE0BC4" w:rsidR="00094A91" w:rsidRDefault="00094A91" w:rsidP="00094A91">
      <w:pPr>
        <w:pStyle w:val="UtilComBulletText"/>
        <w:tabs>
          <w:tab w:val="clear" w:pos="964"/>
          <w:tab w:val="num" w:pos="1134"/>
        </w:tabs>
        <w:ind w:left="1134" w:hanging="425"/>
      </w:pPr>
      <w:r>
        <w:t xml:space="preserve">cost </w:t>
      </w:r>
      <w:r w:rsidRPr="00D51D4B">
        <w:t xml:space="preserve">pass throughs approved by the Commission during the </w:t>
      </w:r>
      <w:r>
        <w:t>2014-19</w:t>
      </w:r>
      <w:r w:rsidRPr="00D51D4B">
        <w:t xml:space="preserve"> regulatory control period</w:t>
      </w:r>
      <w:r>
        <w:t>;</w:t>
      </w:r>
    </w:p>
    <w:p w14:paraId="4E678FA9" w14:textId="4D7E8804" w:rsidR="00BF5C4F" w:rsidRDefault="00094A91" w:rsidP="00094A91">
      <w:pPr>
        <w:pStyle w:val="UtilComBulletText"/>
        <w:tabs>
          <w:tab w:val="clear" w:pos="964"/>
          <w:tab w:val="num" w:pos="1134"/>
        </w:tabs>
        <w:ind w:left="1134" w:hanging="425"/>
      </w:pPr>
      <w:r>
        <w:t xml:space="preserve">additional capital expenditure for any contingent projects specified in the </w:t>
      </w:r>
      <w:r w:rsidR="00BF5C4F">
        <w:t>2014</w:t>
      </w:r>
      <w:r w:rsidR="0056323D">
        <w:t> </w:t>
      </w:r>
      <w:r w:rsidR="00BF5C4F">
        <w:t xml:space="preserve">Network Price </w:t>
      </w:r>
      <w:r>
        <w:t>Determination where the specified trigger event occurs</w:t>
      </w:r>
      <w:r w:rsidR="00BF5C4F">
        <w:t xml:space="preserve">; and </w:t>
      </w:r>
    </w:p>
    <w:p w14:paraId="0A6B230A" w14:textId="47DF6296" w:rsidR="00094A91" w:rsidRPr="00094A91" w:rsidRDefault="00BF5C4F" w:rsidP="00094A91">
      <w:pPr>
        <w:pStyle w:val="UtilComBulletText"/>
        <w:tabs>
          <w:tab w:val="clear" w:pos="964"/>
          <w:tab w:val="num" w:pos="1134"/>
        </w:tabs>
        <w:ind w:left="1134" w:hanging="425"/>
      </w:pPr>
      <w:r>
        <w:t>unexpected additional capital expenditure that meets the requirements set out in Chapter 3 of the 2014 Network Price Determination</w:t>
      </w:r>
      <w:r w:rsidR="001D78D3">
        <w:t>.</w:t>
      </w:r>
    </w:p>
    <w:p w14:paraId="4B2BFE6A" w14:textId="4CCC297C" w:rsidR="004D637C" w:rsidRDefault="004D637C" w:rsidP="004D637C">
      <w:pPr>
        <w:pStyle w:val="NumberLevel2"/>
        <w:numPr>
          <w:ilvl w:val="1"/>
          <w:numId w:val="4"/>
        </w:numPr>
        <w:tabs>
          <w:tab w:val="num" w:pos="709"/>
        </w:tabs>
        <w:ind w:left="709" w:hanging="709"/>
        <w:rPr>
          <w:lang w:val="en-AU"/>
        </w:rPr>
      </w:pPr>
      <w:r w:rsidRPr="007C4616">
        <w:rPr>
          <w:lang w:val="en-AU"/>
        </w:rPr>
        <w:t xml:space="preserve">As part of </w:t>
      </w:r>
      <w:r>
        <w:rPr>
          <w:lang w:val="en-AU"/>
        </w:rPr>
        <w:t>its</w:t>
      </w:r>
      <w:r w:rsidRPr="007C4616">
        <w:rPr>
          <w:lang w:val="en-AU"/>
        </w:rPr>
        <w:t xml:space="preserve"> pricing proposals</w:t>
      </w:r>
      <w:r>
        <w:rPr>
          <w:lang w:val="en-AU"/>
        </w:rPr>
        <w:t xml:space="preserve"> to be submitted in accordance with clause 78(1) of the </w:t>
      </w:r>
      <w:r w:rsidR="00FB2EC5">
        <w:rPr>
          <w:lang w:val="en-AU"/>
        </w:rPr>
        <w:t>Network Access Code</w:t>
      </w:r>
      <w:r>
        <w:rPr>
          <w:lang w:val="en-AU"/>
        </w:rPr>
        <w:t xml:space="preserve"> for each </w:t>
      </w:r>
      <w:r w:rsidR="00BF5C4F">
        <w:rPr>
          <w:lang w:val="en-AU"/>
        </w:rPr>
        <w:t xml:space="preserve">regulatory </w:t>
      </w:r>
      <w:r>
        <w:rPr>
          <w:lang w:val="en-AU"/>
        </w:rPr>
        <w:t xml:space="preserve">year of the </w:t>
      </w:r>
      <w:r w:rsidR="00BF5C4F">
        <w:rPr>
          <w:lang w:val="en-AU"/>
        </w:rPr>
        <w:t xml:space="preserve">2014-19 </w:t>
      </w:r>
      <w:r>
        <w:rPr>
          <w:lang w:val="en-AU"/>
        </w:rPr>
        <w:t>regulatory control period</w:t>
      </w:r>
      <w:r w:rsidRPr="007C4616">
        <w:rPr>
          <w:lang w:val="en-AU"/>
        </w:rPr>
        <w:t xml:space="preserve">, </w:t>
      </w:r>
      <w:r>
        <w:rPr>
          <w:lang w:val="en-AU"/>
        </w:rPr>
        <w:t>PWC Networks</w:t>
      </w:r>
      <w:r w:rsidRPr="007C4616">
        <w:rPr>
          <w:lang w:val="en-AU"/>
        </w:rPr>
        <w:t xml:space="preserve"> must submit to the </w:t>
      </w:r>
      <w:r>
        <w:rPr>
          <w:lang w:val="en-AU"/>
        </w:rPr>
        <w:t>Commission</w:t>
      </w:r>
      <w:r w:rsidRPr="007C4616">
        <w:rPr>
          <w:lang w:val="en-AU"/>
        </w:rPr>
        <w:t xml:space="preserve"> </w:t>
      </w:r>
      <w:r w:rsidR="00D063B8">
        <w:rPr>
          <w:lang w:val="en-AU"/>
        </w:rPr>
        <w:t xml:space="preserve">its </w:t>
      </w:r>
      <w:r w:rsidRPr="007C4616">
        <w:rPr>
          <w:lang w:val="en-AU"/>
        </w:rPr>
        <w:t xml:space="preserve">proposed </w:t>
      </w:r>
      <w:r w:rsidR="00BF5C4F">
        <w:rPr>
          <w:lang w:val="en-AU"/>
        </w:rPr>
        <w:t xml:space="preserve">reference </w:t>
      </w:r>
      <w:r w:rsidRPr="007C4616">
        <w:rPr>
          <w:lang w:val="en-AU"/>
        </w:rPr>
        <w:t xml:space="preserve">tariffs and charging parameters which lead to expected revenues consistent with the </w:t>
      </w:r>
      <w:r w:rsidR="00BF5C4F">
        <w:rPr>
          <w:lang w:val="en-AU"/>
        </w:rPr>
        <w:t xml:space="preserve">revenue control </w:t>
      </w:r>
      <w:r w:rsidRPr="007C4616">
        <w:rPr>
          <w:lang w:val="en-AU"/>
        </w:rPr>
        <w:t>formula set out</w:t>
      </w:r>
      <w:r>
        <w:rPr>
          <w:lang w:val="en-AU"/>
        </w:rPr>
        <w:t xml:space="preserve"> below:</w:t>
      </w:r>
    </w:p>
    <w:p w14:paraId="71CC02CB" w14:textId="77777777" w:rsidR="004D637C" w:rsidRDefault="004D637C" w:rsidP="004D637C">
      <w:pPr>
        <w:rPr>
          <w:lang w:val="en-AU"/>
        </w:rPr>
      </w:pPr>
      <w:r>
        <w:rPr>
          <w:noProof/>
          <w:lang w:val="en-AU" w:eastAsia="en-AU"/>
        </w:rPr>
        <w:drawing>
          <wp:anchor distT="0" distB="0" distL="114300" distR="114300" simplePos="0" relativeHeight="251686912" behindDoc="0" locked="0" layoutInCell="1" allowOverlap="1" wp14:anchorId="3BEC3C5B" wp14:editId="70D433D7">
            <wp:simplePos x="0" y="0"/>
            <wp:positionH relativeFrom="column">
              <wp:posOffset>434340</wp:posOffset>
            </wp:positionH>
            <wp:positionV relativeFrom="paragraph">
              <wp:posOffset>180340</wp:posOffset>
            </wp:positionV>
            <wp:extent cx="5763600" cy="60840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srcRect/>
                    <a:stretch>
                      <a:fillRect/>
                    </a:stretch>
                  </pic:blipFill>
                  <pic:spPr bwMode="auto">
                    <a:xfrm>
                      <a:off x="0" y="0"/>
                      <a:ext cx="5763600" cy="608400"/>
                    </a:xfrm>
                    <a:prstGeom prst="rect">
                      <a:avLst/>
                    </a:prstGeom>
                    <a:noFill/>
                    <a:ln w="9525">
                      <a:noFill/>
                      <a:miter lim="800000"/>
                      <a:headEnd/>
                      <a:tailEnd/>
                    </a:ln>
                  </pic:spPr>
                </pic:pic>
              </a:graphicData>
            </a:graphic>
          </wp:anchor>
        </w:drawing>
      </w:r>
    </w:p>
    <w:p w14:paraId="3A94213B" w14:textId="77777777" w:rsidR="004D637C" w:rsidRDefault="004D637C" w:rsidP="004D637C">
      <w:pPr>
        <w:rPr>
          <w:lang w:val="en-AU"/>
        </w:rPr>
      </w:pPr>
    </w:p>
    <w:p w14:paraId="5FCB9518" w14:textId="77777777" w:rsidR="004D637C" w:rsidRDefault="004D637C" w:rsidP="004D637C">
      <w:pPr>
        <w:rPr>
          <w:lang w:val="en-AU"/>
        </w:rPr>
      </w:pPr>
    </w:p>
    <w:p w14:paraId="2023B08F" w14:textId="77777777" w:rsidR="004D637C" w:rsidRDefault="004D637C" w:rsidP="004D637C">
      <w:pPr>
        <w:rPr>
          <w:lang w:val="en-AU"/>
        </w:rPr>
      </w:pPr>
    </w:p>
    <w:p w14:paraId="14391493" w14:textId="77777777" w:rsidR="004D637C" w:rsidRPr="00D506FA" w:rsidRDefault="004D637C" w:rsidP="004D637C">
      <w:pPr>
        <w:ind w:left="576"/>
        <w:rPr>
          <w:lang w:val="en-AU"/>
        </w:rPr>
      </w:pPr>
      <w:r w:rsidRPr="00D506FA">
        <w:rPr>
          <w:lang w:val="en-AU"/>
        </w:rPr>
        <w:t>where:</w:t>
      </w:r>
    </w:p>
    <w:p w14:paraId="6CD70ED6" w14:textId="257532B0" w:rsidR="004D637C" w:rsidRPr="00D506FA" w:rsidRDefault="004D637C" w:rsidP="004D637C">
      <w:pPr>
        <w:ind w:left="576"/>
        <w:rPr>
          <w:lang w:val="en-AU"/>
        </w:rPr>
      </w:pPr>
      <w:r w:rsidRPr="00D506FA">
        <w:rPr>
          <w:i/>
          <w:lang w:val="en-AU"/>
        </w:rPr>
        <w:t>R</w:t>
      </w:r>
      <w:r w:rsidRPr="00D506FA">
        <w:rPr>
          <w:i/>
          <w:vertAlign w:val="subscript"/>
          <w:lang w:val="en-AU"/>
        </w:rPr>
        <w:t>t-1</w:t>
      </w:r>
      <w:r w:rsidRPr="00D506FA">
        <w:rPr>
          <w:lang w:val="en-AU"/>
        </w:rPr>
        <w:tab/>
      </w:r>
      <w:r w:rsidRPr="00D506FA">
        <w:rPr>
          <w:lang w:val="en-AU"/>
        </w:rPr>
        <w:tab/>
        <w:t xml:space="preserve">is the revenue in </w:t>
      </w:r>
      <w:r w:rsidR="00BF5C4F">
        <w:rPr>
          <w:lang w:val="en-AU"/>
        </w:rPr>
        <w:t xml:space="preserve">regulatory </w:t>
      </w:r>
      <w:r w:rsidRPr="00D506FA">
        <w:rPr>
          <w:lang w:val="en-AU"/>
        </w:rPr>
        <w:t xml:space="preserve">year </w:t>
      </w:r>
      <w:r w:rsidRPr="00D506FA">
        <w:rPr>
          <w:i/>
          <w:lang w:val="en-AU"/>
        </w:rPr>
        <w:t>t-1</w:t>
      </w:r>
    </w:p>
    <w:p w14:paraId="116113DE" w14:textId="7E8C75DC" w:rsidR="004D637C" w:rsidRPr="00D506FA" w:rsidRDefault="004D637C" w:rsidP="004D637C">
      <w:pPr>
        <w:ind w:left="2160" w:hanging="1584"/>
        <w:rPr>
          <w:i/>
          <w:lang w:val="en-AU"/>
        </w:rPr>
      </w:pPr>
      <w:r w:rsidRPr="00D506FA">
        <w:rPr>
          <w:i/>
          <w:lang w:val="en-AU"/>
        </w:rPr>
        <w:t>CPI</w:t>
      </w:r>
      <w:r w:rsidRPr="00D506FA">
        <w:rPr>
          <w:i/>
          <w:vertAlign w:val="subscript"/>
          <w:lang w:val="en-AU"/>
        </w:rPr>
        <w:t>t</w:t>
      </w:r>
      <w:r w:rsidRPr="00D506FA">
        <w:rPr>
          <w:lang w:val="en-AU"/>
        </w:rPr>
        <w:tab/>
        <w:t xml:space="preserve">is the annual percentage change in </w:t>
      </w:r>
      <w:r w:rsidR="00BF5C4F">
        <w:rPr>
          <w:lang w:val="en-AU"/>
        </w:rPr>
        <w:t>CPI</w:t>
      </w:r>
      <w:r w:rsidRPr="00D506FA">
        <w:rPr>
          <w:lang w:val="en-AU"/>
        </w:rPr>
        <w:t xml:space="preserve"> from March in regulatory year </w:t>
      </w:r>
      <w:r w:rsidRPr="00D506FA">
        <w:rPr>
          <w:i/>
          <w:lang w:val="en-AU"/>
        </w:rPr>
        <w:t>t-2</w:t>
      </w:r>
      <w:r w:rsidRPr="00D506FA">
        <w:rPr>
          <w:lang w:val="en-AU"/>
        </w:rPr>
        <w:t xml:space="preserve"> to March in regulatory year </w:t>
      </w:r>
      <w:r w:rsidRPr="00D506FA">
        <w:rPr>
          <w:i/>
          <w:lang w:val="en-AU"/>
        </w:rPr>
        <w:t>t-1</w:t>
      </w:r>
    </w:p>
    <w:p w14:paraId="5443E352" w14:textId="4D13CD56" w:rsidR="004D637C" w:rsidRPr="00D506FA" w:rsidRDefault="004D637C" w:rsidP="004D637C">
      <w:pPr>
        <w:ind w:left="2160" w:hanging="1584"/>
        <w:rPr>
          <w:lang w:val="en-AU"/>
        </w:rPr>
      </w:pPr>
      <w:r w:rsidRPr="00D506FA">
        <w:rPr>
          <w:i/>
          <w:lang w:val="en-AU"/>
        </w:rPr>
        <w:t>X</w:t>
      </w:r>
      <w:r w:rsidRPr="00D506FA">
        <w:rPr>
          <w:i/>
          <w:vertAlign w:val="subscript"/>
          <w:lang w:val="en-AU"/>
        </w:rPr>
        <w:t>t</w:t>
      </w:r>
      <w:r w:rsidRPr="00D506FA">
        <w:rPr>
          <w:i/>
          <w:lang w:val="en-AU"/>
        </w:rPr>
        <w:tab/>
      </w:r>
      <w:r w:rsidRPr="003D015A">
        <w:rPr>
          <w:lang w:val="en-AU"/>
        </w:rPr>
        <w:t xml:space="preserve">is the allowed real change in revenue from </w:t>
      </w:r>
      <w:r w:rsidR="00BF5C4F">
        <w:rPr>
          <w:lang w:val="en-AU"/>
        </w:rPr>
        <w:t xml:space="preserve">regulatory </w:t>
      </w:r>
      <w:r w:rsidRPr="003D015A">
        <w:rPr>
          <w:lang w:val="en-AU"/>
        </w:rPr>
        <w:t xml:space="preserve">year </w:t>
      </w:r>
      <w:r w:rsidRPr="00D506FA">
        <w:rPr>
          <w:i/>
          <w:lang w:val="en-AU"/>
        </w:rPr>
        <w:t>t-1</w:t>
      </w:r>
      <w:r w:rsidRPr="003D015A">
        <w:rPr>
          <w:lang w:val="en-AU"/>
        </w:rPr>
        <w:t xml:space="preserve"> to </w:t>
      </w:r>
      <w:r w:rsidR="00BF5C4F">
        <w:rPr>
          <w:lang w:val="en-AU"/>
        </w:rPr>
        <w:t xml:space="preserve">regulatory </w:t>
      </w:r>
      <w:r w:rsidRPr="003D015A">
        <w:rPr>
          <w:lang w:val="en-AU"/>
        </w:rPr>
        <w:t xml:space="preserve">year </w:t>
      </w:r>
      <w:r w:rsidRPr="00445EE5">
        <w:rPr>
          <w:i/>
          <w:lang w:val="en-AU"/>
        </w:rPr>
        <w:t>t</w:t>
      </w:r>
      <w:r w:rsidRPr="003D015A">
        <w:rPr>
          <w:lang w:val="en-AU"/>
        </w:rPr>
        <w:t xml:space="preserve"> of the </w:t>
      </w:r>
      <w:r w:rsidR="00BF5C4F">
        <w:rPr>
          <w:lang w:val="en-AU"/>
        </w:rPr>
        <w:t xml:space="preserve">2014-19 </w:t>
      </w:r>
      <w:r w:rsidRPr="003D015A">
        <w:rPr>
          <w:lang w:val="en-AU"/>
        </w:rPr>
        <w:t>regulatory control period as determined by the Commission</w:t>
      </w:r>
    </w:p>
    <w:p w14:paraId="4B74990E" w14:textId="2009DEA1" w:rsidR="004D637C" w:rsidRPr="00D506FA" w:rsidRDefault="004D637C" w:rsidP="004D637C">
      <w:pPr>
        <w:ind w:left="2160" w:hanging="1584"/>
        <w:rPr>
          <w:lang w:val="en-AU"/>
        </w:rPr>
      </w:pPr>
      <w:r w:rsidRPr="00D506FA">
        <w:rPr>
          <w:i/>
          <w:lang w:val="en-AU"/>
        </w:rPr>
        <w:t>Passthrough</w:t>
      </w:r>
      <w:r w:rsidRPr="00D506FA">
        <w:rPr>
          <w:i/>
          <w:lang w:val="en-AU"/>
        </w:rPr>
        <w:tab/>
      </w:r>
      <w:r w:rsidRPr="00D506FA">
        <w:rPr>
          <w:lang w:val="en-AU"/>
        </w:rPr>
        <w:t xml:space="preserve">is any </w:t>
      </w:r>
      <w:r w:rsidR="00BF5C4F">
        <w:rPr>
          <w:lang w:val="en-AU"/>
        </w:rPr>
        <w:t xml:space="preserve">positive </w:t>
      </w:r>
      <w:r w:rsidRPr="00D506FA">
        <w:rPr>
          <w:lang w:val="en-AU"/>
        </w:rPr>
        <w:t xml:space="preserve">pass through amount </w:t>
      </w:r>
      <w:r w:rsidR="00BF5C4F">
        <w:rPr>
          <w:lang w:val="en-AU"/>
        </w:rPr>
        <w:t xml:space="preserve">or negative pass through amount </w:t>
      </w:r>
      <w:r w:rsidRPr="00D506FA">
        <w:rPr>
          <w:lang w:val="en-AU"/>
        </w:rPr>
        <w:t xml:space="preserve">in </w:t>
      </w:r>
      <w:r w:rsidR="00BF5C4F">
        <w:rPr>
          <w:lang w:val="en-AU"/>
        </w:rPr>
        <w:t xml:space="preserve">regulatory </w:t>
      </w:r>
      <w:r w:rsidRPr="00D506FA">
        <w:rPr>
          <w:lang w:val="en-AU"/>
        </w:rPr>
        <w:t>year</w:t>
      </w:r>
      <w:r w:rsidRPr="00D506FA">
        <w:rPr>
          <w:i/>
          <w:lang w:val="en-AU"/>
        </w:rPr>
        <w:t xml:space="preserve"> t</w:t>
      </w:r>
      <w:r w:rsidRPr="00D506FA">
        <w:rPr>
          <w:lang w:val="en-AU"/>
        </w:rPr>
        <w:t xml:space="preserve"> determined by the Commission, expressed as a percentage of the annual revenue</w:t>
      </w:r>
      <w:r w:rsidR="00BF5C4F">
        <w:rPr>
          <w:lang w:val="en-AU"/>
        </w:rPr>
        <w:t xml:space="preserve"> requirement</w:t>
      </w:r>
    </w:p>
    <w:p w14:paraId="532086E0" w14:textId="6AE0CC8A" w:rsidR="004D637C" w:rsidRPr="00D506FA" w:rsidRDefault="004D637C" w:rsidP="004D637C">
      <w:pPr>
        <w:ind w:left="2160" w:hanging="1584"/>
        <w:rPr>
          <w:lang w:val="en-AU"/>
        </w:rPr>
      </w:pPr>
      <w:r w:rsidRPr="00D506FA">
        <w:rPr>
          <w:i/>
          <w:lang w:val="en-AU"/>
        </w:rPr>
        <w:sym w:font="Symbol" w:char="F044"/>
      </w:r>
      <w:r w:rsidRPr="00D506FA">
        <w:rPr>
          <w:i/>
          <w:lang w:val="en-AU"/>
        </w:rPr>
        <w:t>Rt</w:t>
      </w:r>
      <w:r w:rsidRPr="00D506FA">
        <w:rPr>
          <w:i/>
          <w:lang w:val="en-AU"/>
        </w:rPr>
        <w:tab/>
      </w:r>
      <w:r w:rsidRPr="00D506FA">
        <w:rPr>
          <w:lang w:val="en-AU"/>
        </w:rPr>
        <w:t xml:space="preserve">is the overs and unders adjustment to </w:t>
      </w:r>
      <w:r w:rsidR="00BF5C4F">
        <w:rPr>
          <w:lang w:val="en-AU"/>
        </w:rPr>
        <w:t xml:space="preserve">the annual </w:t>
      </w:r>
      <w:r w:rsidRPr="00D506FA">
        <w:rPr>
          <w:lang w:val="en-AU"/>
        </w:rPr>
        <w:t>revenue</w:t>
      </w:r>
      <w:r w:rsidR="00BF5C4F">
        <w:rPr>
          <w:lang w:val="en-AU"/>
        </w:rPr>
        <w:t xml:space="preserve"> requirement</w:t>
      </w:r>
      <w:r w:rsidRPr="00D506FA">
        <w:rPr>
          <w:lang w:val="en-AU"/>
        </w:rPr>
        <w:t xml:space="preserve"> in </w:t>
      </w:r>
      <w:r w:rsidR="00BF5C4F">
        <w:rPr>
          <w:lang w:val="en-AU"/>
        </w:rPr>
        <w:t xml:space="preserve">regulatory </w:t>
      </w:r>
      <w:r w:rsidRPr="00D506FA">
        <w:rPr>
          <w:lang w:val="en-AU"/>
        </w:rPr>
        <w:t xml:space="preserve">year </w:t>
      </w:r>
      <w:r w:rsidRPr="00D506FA">
        <w:rPr>
          <w:i/>
          <w:lang w:val="en-AU"/>
        </w:rPr>
        <w:t>t</w:t>
      </w:r>
    </w:p>
    <w:p w14:paraId="21E32295" w14:textId="77777777" w:rsidR="004D637C" w:rsidRPr="00D506FA" w:rsidRDefault="004D637C" w:rsidP="004D637C">
      <w:pPr>
        <w:ind w:left="2160" w:hanging="1584"/>
        <w:rPr>
          <w:i/>
          <w:lang w:val="en-AU"/>
        </w:rPr>
      </w:pPr>
      <w:r w:rsidRPr="00D506FA">
        <w:rPr>
          <w:i/>
          <w:lang w:val="en-AU"/>
        </w:rPr>
        <w:t>n</w:t>
      </w:r>
      <w:r w:rsidRPr="00D506FA">
        <w:rPr>
          <w:i/>
          <w:lang w:val="en-AU"/>
        </w:rPr>
        <w:tab/>
      </w:r>
      <w:r w:rsidRPr="00D506FA">
        <w:rPr>
          <w:lang w:val="en-AU"/>
        </w:rPr>
        <w:t xml:space="preserve">is the number of </w:t>
      </w:r>
      <w:r>
        <w:rPr>
          <w:lang w:val="en-AU"/>
        </w:rPr>
        <w:t xml:space="preserve">network </w:t>
      </w:r>
      <w:r w:rsidRPr="00D506FA">
        <w:rPr>
          <w:lang w:val="en-AU"/>
        </w:rPr>
        <w:t>tariff</w:t>
      </w:r>
      <w:r>
        <w:rPr>
          <w:lang w:val="en-AU"/>
        </w:rPr>
        <w:t>s</w:t>
      </w:r>
      <w:r w:rsidRPr="00D506FA">
        <w:rPr>
          <w:lang w:val="en-AU"/>
        </w:rPr>
        <w:t xml:space="preserve"> </w:t>
      </w:r>
    </w:p>
    <w:p w14:paraId="21B2747D" w14:textId="77777777" w:rsidR="004D637C" w:rsidRPr="00D506FA" w:rsidRDefault="004D637C" w:rsidP="004D637C">
      <w:pPr>
        <w:ind w:left="2160" w:hanging="1584"/>
        <w:rPr>
          <w:lang w:val="en-AU"/>
        </w:rPr>
      </w:pPr>
      <w:r w:rsidRPr="00D506FA">
        <w:rPr>
          <w:i/>
          <w:lang w:val="en-AU"/>
        </w:rPr>
        <w:t xml:space="preserve">m </w:t>
      </w:r>
      <w:r w:rsidRPr="00D506FA">
        <w:rPr>
          <w:i/>
          <w:lang w:val="en-AU"/>
        </w:rPr>
        <w:tab/>
      </w:r>
      <w:r w:rsidRPr="00D506FA">
        <w:rPr>
          <w:lang w:val="en-AU"/>
        </w:rPr>
        <w:t>is the number of tariff</w:t>
      </w:r>
      <w:r>
        <w:rPr>
          <w:lang w:val="en-AU"/>
        </w:rPr>
        <w:t xml:space="preserve"> components</w:t>
      </w:r>
    </w:p>
    <w:p w14:paraId="562BA864" w14:textId="0BB928BF" w:rsidR="004D637C" w:rsidRPr="00D506FA" w:rsidRDefault="004D637C" w:rsidP="004D637C">
      <w:pPr>
        <w:ind w:left="2160" w:hanging="1584"/>
        <w:rPr>
          <w:i/>
          <w:szCs w:val="22"/>
        </w:rPr>
      </w:pPr>
      <w:r w:rsidRPr="00D506FA">
        <w:rPr>
          <w:szCs w:val="22"/>
        </w:rPr>
        <w:t>p</w:t>
      </w:r>
      <w:r w:rsidRPr="00D506FA">
        <w:rPr>
          <w:szCs w:val="22"/>
          <w:vertAlign w:val="subscript"/>
        </w:rPr>
        <w:t>t</w:t>
      </w:r>
      <w:r w:rsidRPr="00D506FA">
        <w:rPr>
          <w:szCs w:val="22"/>
          <w:vertAlign w:val="superscript"/>
        </w:rPr>
        <w:t>i,j</w:t>
      </w:r>
      <w:r w:rsidRPr="00D506FA">
        <w:rPr>
          <w:szCs w:val="22"/>
          <w:vertAlign w:val="superscript"/>
        </w:rPr>
        <w:tab/>
      </w:r>
      <w:r w:rsidRPr="00D506FA">
        <w:rPr>
          <w:szCs w:val="22"/>
        </w:rPr>
        <w:t xml:space="preserve">is the price of component </w:t>
      </w:r>
      <w:r w:rsidRPr="00D506FA">
        <w:rPr>
          <w:i/>
          <w:szCs w:val="22"/>
        </w:rPr>
        <w:t xml:space="preserve">i </w:t>
      </w:r>
      <w:r w:rsidRPr="00D506FA">
        <w:rPr>
          <w:szCs w:val="22"/>
        </w:rPr>
        <w:t xml:space="preserve">of tariff </w:t>
      </w:r>
      <w:r w:rsidRPr="00D506FA">
        <w:rPr>
          <w:i/>
          <w:szCs w:val="22"/>
        </w:rPr>
        <w:t>j</w:t>
      </w:r>
      <w:r w:rsidRPr="00D506FA">
        <w:rPr>
          <w:szCs w:val="22"/>
        </w:rPr>
        <w:t xml:space="preserve"> in </w:t>
      </w:r>
      <w:r w:rsidR="00BF5C4F">
        <w:rPr>
          <w:szCs w:val="22"/>
        </w:rPr>
        <w:t xml:space="preserve">regulatory </w:t>
      </w:r>
      <w:r w:rsidRPr="00D506FA">
        <w:rPr>
          <w:szCs w:val="22"/>
        </w:rPr>
        <w:t xml:space="preserve">year </w:t>
      </w:r>
      <w:r w:rsidRPr="00D506FA">
        <w:rPr>
          <w:i/>
          <w:szCs w:val="22"/>
        </w:rPr>
        <w:t>t</w:t>
      </w:r>
    </w:p>
    <w:p w14:paraId="63E7DB05" w14:textId="595CEC52" w:rsidR="004D637C" w:rsidRPr="00D506FA" w:rsidRDefault="004D637C" w:rsidP="004D637C">
      <w:pPr>
        <w:ind w:left="2160" w:hanging="1584"/>
        <w:rPr>
          <w:i/>
          <w:szCs w:val="22"/>
        </w:rPr>
      </w:pPr>
      <w:r w:rsidRPr="00D506FA">
        <w:rPr>
          <w:szCs w:val="22"/>
        </w:rPr>
        <w:t>q</w:t>
      </w:r>
      <w:r w:rsidRPr="00D506FA">
        <w:rPr>
          <w:szCs w:val="22"/>
          <w:vertAlign w:val="subscript"/>
        </w:rPr>
        <w:t>t</w:t>
      </w:r>
      <w:r w:rsidRPr="00D506FA">
        <w:rPr>
          <w:szCs w:val="22"/>
          <w:vertAlign w:val="superscript"/>
        </w:rPr>
        <w:t xml:space="preserve">i,j   </w:t>
      </w:r>
      <w:r w:rsidRPr="00D506FA">
        <w:rPr>
          <w:szCs w:val="22"/>
          <w:vertAlign w:val="superscript"/>
        </w:rPr>
        <w:tab/>
      </w:r>
      <w:r w:rsidRPr="00D506FA">
        <w:rPr>
          <w:szCs w:val="22"/>
        </w:rPr>
        <w:t>is the forecast volume of component</w:t>
      </w:r>
      <w:r w:rsidRPr="00D506FA">
        <w:rPr>
          <w:i/>
          <w:szCs w:val="22"/>
        </w:rPr>
        <w:t xml:space="preserve"> i</w:t>
      </w:r>
      <w:r w:rsidRPr="00D506FA">
        <w:rPr>
          <w:szCs w:val="22"/>
        </w:rPr>
        <w:t xml:space="preserve"> of tariff </w:t>
      </w:r>
      <w:r w:rsidRPr="00D506FA">
        <w:rPr>
          <w:i/>
          <w:szCs w:val="22"/>
        </w:rPr>
        <w:t>j</w:t>
      </w:r>
      <w:r w:rsidRPr="00D506FA">
        <w:rPr>
          <w:szCs w:val="22"/>
        </w:rPr>
        <w:t xml:space="preserve"> in </w:t>
      </w:r>
      <w:r w:rsidR="00BF5C4F">
        <w:rPr>
          <w:szCs w:val="22"/>
        </w:rPr>
        <w:t xml:space="preserve">regulatory </w:t>
      </w:r>
      <w:r w:rsidRPr="00D506FA">
        <w:rPr>
          <w:szCs w:val="22"/>
        </w:rPr>
        <w:t xml:space="preserve">year </w:t>
      </w:r>
      <w:r w:rsidRPr="00D506FA">
        <w:rPr>
          <w:i/>
          <w:szCs w:val="22"/>
        </w:rPr>
        <w:t>t</w:t>
      </w:r>
    </w:p>
    <w:p w14:paraId="50CA2EB9" w14:textId="77777777" w:rsidR="004D637C" w:rsidRPr="00470F33" w:rsidRDefault="004D637C" w:rsidP="004D637C">
      <w:pPr>
        <w:rPr>
          <w:lang w:val="en-AU"/>
        </w:rPr>
      </w:pPr>
    </w:p>
    <w:p w14:paraId="776F5C3A" w14:textId="77777777" w:rsidR="00F21DDE" w:rsidRPr="008E5DA1" w:rsidRDefault="00F21DDE" w:rsidP="00F21DDE">
      <w:pPr>
        <w:pStyle w:val="NumberLevel2"/>
        <w:numPr>
          <w:ilvl w:val="1"/>
          <w:numId w:val="5"/>
        </w:numPr>
        <w:tabs>
          <w:tab w:val="num" w:pos="709"/>
        </w:tabs>
        <w:ind w:left="709" w:hanging="709"/>
        <w:rPr>
          <w:lang w:val="en-AU"/>
        </w:rPr>
      </w:pPr>
      <w:r>
        <w:rPr>
          <w:lang w:val="en-AU"/>
        </w:rPr>
        <w:t xml:space="preserve">The </w:t>
      </w:r>
      <w:r w:rsidRPr="008E5DA1">
        <w:rPr>
          <w:lang w:val="en-AU"/>
        </w:rPr>
        <w:t>size of the adjustment to revenues for under</w:t>
      </w:r>
      <w:r>
        <w:rPr>
          <w:lang w:val="en-AU"/>
        </w:rPr>
        <w:t xml:space="preserve"> or </w:t>
      </w:r>
      <w:r w:rsidRPr="008E5DA1">
        <w:rPr>
          <w:lang w:val="en-AU"/>
        </w:rPr>
        <w:t>over recoveries w</w:t>
      </w:r>
      <w:r>
        <w:rPr>
          <w:lang w:val="en-AU"/>
        </w:rPr>
        <w:t>ill</w:t>
      </w:r>
      <w:r w:rsidRPr="008E5DA1">
        <w:rPr>
          <w:lang w:val="en-AU"/>
        </w:rPr>
        <w:t xml:space="preserve"> depend on </w:t>
      </w:r>
      <w:r>
        <w:rPr>
          <w:lang w:val="en-AU"/>
        </w:rPr>
        <w:t xml:space="preserve">the following </w:t>
      </w:r>
      <w:r w:rsidRPr="008E5DA1">
        <w:rPr>
          <w:lang w:val="en-AU"/>
        </w:rPr>
        <w:t>tolerance limits:</w:t>
      </w:r>
    </w:p>
    <w:p w14:paraId="063201ED" w14:textId="77777777" w:rsidR="00F21DDE" w:rsidRPr="008E5DA1" w:rsidRDefault="00F21DDE" w:rsidP="008E229D">
      <w:pPr>
        <w:pStyle w:val="UtilComBulletText"/>
        <w:numPr>
          <w:ilvl w:val="0"/>
          <w:numId w:val="6"/>
        </w:numPr>
        <w:tabs>
          <w:tab w:val="clear" w:pos="964"/>
          <w:tab w:val="num" w:pos="1134"/>
        </w:tabs>
        <w:ind w:left="1134" w:hanging="425"/>
      </w:pPr>
      <w:r w:rsidRPr="008E5DA1">
        <w:t>less than 2</w:t>
      </w:r>
      <w:r>
        <w:t> </w:t>
      </w:r>
      <w:r w:rsidRPr="008E5DA1">
        <w:t>per</w:t>
      </w:r>
      <w:r>
        <w:t> </w:t>
      </w:r>
      <w:r w:rsidRPr="008E5DA1">
        <w:t xml:space="preserve">cent – </w:t>
      </w:r>
      <w:r>
        <w:t>PWC Networks</w:t>
      </w:r>
      <w:r w:rsidRPr="008E5DA1">
        <w:t xml:space="preserve"> </w:t>
      </w:r>
      <w:r>
        <w:t>must clear</w:t>
      </w:r>
      <w:r w:rsidRPr="008E5DA1">
        <w:t xml:space="preserve"> the </w:t>
      </w:r>
      <w:r>
        <w:t xml:space="preserve">balance of the </w:t>
      </w:r>
      <w:r w:rsidRPr="008E5DA1">
        <w:t>under</w:t>
      </w:r>
      <w:r>
        <w:t xml:space="preserve">s and </w:t>
      </w:r>
      <w:r w:rsidRPr="008E5DA1">
        <w:t xml:space="preserve">over </w:t>
      </w:r>
      <w:r>
        <w:t>account</w:t>
      </w:r>
      <w:r w:rsidRPr="008E5DA1">
        <w:t xml:space="preserve"> within one regulatory year</w:t>
      </w:r>
      <w:r>
        <w:t>;</w:t>
      </w:r>
    </w:p>
    <w:p w14:paraId="4780A74E" w14:textId="77777777" w:rsidR="00F21DDE" w:rsidRPr="008E5DA1" w:rsidRDefault="00F21DDE" w:rsidP="008E229D">
      <w:pPr>
        <w:pStyle w:val="UtilComBulletText"/>
        <w:numPr>
          <w:ilvl w:val="0"/>
          <w:numId w:val="6"/>
        </w:numPr>
        <w:tabs>
          <w:tab w:val="clear" w:pos="964"/>
          <w:tab w:val="num" w:pos="1134"/>
        </w:tabs>
        <w:ind w:left="1134" w:hanging="425"/>
      </w:pPr>
      <w:r w:rsidRPr="008E5DA1">
        <w:t>between 2</w:t>
      </w:r>
      <w:r>
        <w:t> </w:t>
      </w:r>
      <w:r w:rsidRPr="008E5DA1">
        <w:t>per</w:t>
      </w:r>
      <w:r>
        <w:t> </w:t>
      </w:r>
      <w:r w:rsidRPr="008E5DA1">
        <w:t>cent and 5</w:t>
      </w:r>
      <w:r>
        <w:t> </w:t>
      </w:r>
      <w:r w:rsidRPr="008E5DA1">
        <w:t>per</w:t>
      </w:r>
      <w:r>
        <w:t> </w:t>
      </w:r>
      <w:r w:rsidRPr="008E5DA1">
        <w:t xml:space="preserve">cent – </w:t>
      </w:r>
      <w:r>
        <w:t>PWC Networks</w:t>
      </w:r>
      <w:r w:rsidRPr="008E5DA1">
        <w:t xml:space="preserve"> </w:t>
      </w:r>
      <w:r>
        <w:t>must clear</w:t>
      </w:r>
      <w:r w:rsidRPr="008E5DA1">
        <w:t xml:space="preserve"> the </w:t>
      </w:r>
      <w:r>
        <w:t xml:space="preserve">balance of the </w:t>
      </w:r>
      <w:r w:rsidRPr="008E5DA1">
        <w:t>under</w:t>
      </w:r>
      <w:r>
        <w:t xml:space="preserve">s and </w:t>
      </w:r>
      <w:r w:rsidRPr="008E5DA1">
        <w:t xml:space="preserve">over </w:t>
      </w:r>
      <w:r>
        <w:t>account</w:t>
      </w:r>
      <w:r w:rsidRPr="008E5DA1">
        <w:t xml:space="preserve"> over two regulatory years</w:t>
      </w:r>
      <w:r>
        <w:t>; and</w:t>
      </w:r>
    </w:p>
    <w:p w14:paraId="2D9F3CBF" w14:textId="77777777" w:rsidR="00F21DDE" w:rsidRPr="008E5DA1" w:rsidRDefault="00F21DDE" w:rsidP="008E229D">
      <w:pPr>
        <w:pStyle w:val="UtilComBulletText"/>
        <w:numPr>
          <w:ilvl w:val="0"/>
          <w:numId w:val="6"/>
        </w:numPr>
        <w:tabs>
          <w:tab w:val="clear" w:pos="964"/>
          <w:tab w:val="num" w:pos="1134"/>
        </w:tabs>
        <w:ind w:left="1134" w:hanging="425"/>
      </w:pPr>
      <w:r w:rsidRPr="008E5DA1">
        <w:t>greater than 5</w:t>
      </w:r>
      <w:r>
        <w:t> </w:t>
      </w:r>
      <w:r w:rsidRPr="008E5DA1">
        <w:t>per</w:t>
      </w:r>
      <w:r>
        <w:t> </w:t>
      </w:r>
      <w:r w:rsidRPr="008E5DA1">
        <w:t xml:space="preserve">cent – </w:t>
      </w:r>
      <w:r>
        <w:t>PWC Networks</w:t>
      </w:r>
      <w:r w:rsidRPr="008E5DA1">
        <w:t xml:space="preserve"> </w:t>
      </w:r>
      <w:r>
        <w:t>must</w:t>
      </w:r>
      <w:r w:rsidRPr="008E5DA1">
        <w:t xml:space="preserve"> submit a plan to the </w:t>
      </w:r>
      <w:r>
        <w:t>Commission</w:t>
      </w:r>
      <w:r w:rsidRPr="008E5DA1">
        <w:t xml:space="preserve"> detailing how it proposes to clear the balance</w:t>
      </w:r>
      <w:r>
        <w:t xml:space="preserve"> of the unders and overs account</w:t>
      </w:r>
      <w:r w:rsidRPr="008E5DA1">
        <w:t>.</w:t>
      </w:r>
    </w:p>
    <w:p w14:paraId="68827CBB" w14:textId="4F606A70" w:rsidR="00BF5C4F" w:rsidRPr="00BF5C4F" w:rsidRDefault="00BF5C4F" w:rsidP="00BF5C4F">
      <w:pPr>
        <w:pStyle w:val="NumberLevel2"/>
        <w:numPr>
          <w:ilvl w:val="1"/>
          <w:numId w:val="5"/>
        </w:numPr>
        <w:tabs>
          <w:tab w:val="num" w:pos="709"/>
        </w:tabs>
        <w:ind w:left="709" w:hanging="709"/>
        <w:rPr>
          <w:lang w:val="en-AU"/>
        </w:rPr>
      </w:pPr>
      <w:r w:rsidRPr="00BF5C4F">
        <w:rPr>
          <w:lang w:val="en-AU"/>
        </w:rPr>
        <w:t xml:space="preserve">The percentage referred to in </w:t>
      </w:r>
      <w:r>
        <w:rPr>
          <w:lang w:val="en-AU"/>
        </w:rPr>
        <w:t>paragraph </w:t>
      </w:r>
      <w:r w:rsidRPr="00BF5C4F">
        <w:rPr>
          <w:lang w:val="en-AU"/>
        </w:rPr>
        <w:t>4.</w:t>
      </w:r>
      <w:r>
        <w:rPr>
          <w:lang w:val="en-AU"/>
        </w:rPr>
        <w:t>54</w:t>
      </w:r>
      <w:r w:rsidRPr="00BF5C4F">
        <w:rPr>
          <w:lang w:val="en-AU"/>
        </w:rPr>
        <w:t xml:space="preserve"> will be determined by reference to the percentage difference between the annual revenue requirement for the relevant regulatory year and the </w:t>
      </w:r>
      <w:r w:rsidR="00D063B8">
        <w:rPr>
          <w:lang w:val="en-AU"/>
        </w:rPr>
        <w:t xml:space="preserve">actual </w:t>
      </w:r>
      <w:r w:rsidRPr="00BF5C4F">
        <w:rPr>
          <w:lang w:val="en-AU"/>
        </w:rPr>
        <w:t xml:space="preserve">revenue received during that regulatory year from the provision of regulated network access services. When determining whether </w:t>
      </w:r>
      <w:r>
        <w:rPr>
          <w:lang w:val="en-AU"/>
        </w:rPr>
        <w:t>the tolerance limit specified in paragraph 4.54</w:t>
      </w:r>
      <w:r w:rsidRPr="00BF5C4F">
        <w:rPr>
          <w:lang w:val="en-AU"/>
        </w:rPr>
        <w:t xml:space="preserve"> applies in relation to a regulatory year, PWC Networks must take into account any balance of the unders and overs account that remains to be cleared during that regulatory year as well as the unders and overs for the previous regulatory year.  </w:t>
      </w:r>
    </w:p>
    <w:p w14:paraId="50EA23F5" w14:textId="77777777" w:rsidR="004D637C" w:rsidRPr="00474092" w:rsidRDefault="004D637C" w:rsidP="004D637C">
      <w:pPr>
        <w:pStyle w:val="NumberLevel2"/>
        <w:numPr>
          <w:ilvl w:val="1"/>
          <w:numId w:val="5"/>
        </w:numPr>
        <w:tabs>
          <w:tab w:val="num" w:pos="709"/>
        </w:tabs>
        <w:ind w:left="709" w:hanging="709"/>
        <w:rPr>
          <w:lang w:val="en-AU"/>
        </w:rPr>
      </w:pPr>
      <w:r>
        <w:rPr>
          <w:lang w:val="en-AU"/>
        </w:rPr>
        <w:t>The Commission’s final decision is that a side constraint of 2 per cent is to be applied to the weighted average revenue to be raised from a tariff class for a particular regulatory year.</w:t>
      </w:r>
    </w:p>
    <w:p w14:paraId="41724D2A" w14:textId="40E03636" w:rsidR="004D637C" w:rsidRPr="00AB1AFD" w:rsidRDefault="004D637C" w:rsidP="004D637C">
      <w:pPr>
        <w:pStyle w:val="NumberLevel2"/>
        <w:numPr>
          <w:ilvl w:val="1"/>
          <w:numId w:val="5"/>
        </w:numPr>
        <w:tabs>
          <w:tab w:val="num" w:pos="709"/>
        </w:tabs>
        <w:ind w:left="709" w:hanging="709"/>
        <w:rPr>
          <w:lang w:val="en-AU"/>
        </w:rPr>
      </w:pPr>
      <w:r w:rsidRPr="00AB1AFD">
        <w:rPr>
          <w:lang w:val="en-AU"/>
        </w:rPr>
        <w:t>In its annual pricing proposals, PWC</w:t>
      </w:r>
      <w:r>
        <w:rPr>
          <w:lang w:val="en-AU"/>
        </w:rPr>
        <w:t> </w:t>
      </w:r>
      <w:r w:rsidRPr="00AB1AFD">
        <w:rPr>
          <w:lang w:val="en-AU"/>
        </w:rPr>
        <w:t xml:space="preserve">Networks will be required to demonstrate that its proposed </w:t>
      </w:r>
      <w:r w:rsidR="007E222E">
        <w:rPr>
          <w:lang w:val="en-AU"/>
        </w:rPr>
        <w:t>reference tariffs</w:t>
      </w:r>
      <w:r w:rsidR="007E222E" w:rsidRPr="00AB1AFD">
        <w:rPr>
          <w:lang w:val="en-AU"/>
        </w:rPr>
        <w:t xml:space="preserve"> </w:t>
      </w:r>
      <w:r w:rsidRPr="00AB1AFD">
        <w:rPr>
          <w:lang w:val="en-AU"/>
        </w:rPr>
        <w:t xml:space="preserve">for the next </w:t>
      </w:r>
      <w:r w:rsidR="007E222E">
        <w:rPr>
          <w:lang w:val="en-AU"/>
        </w:rPr>
        <w:t xml:space="preserve">regulatory </w:t>
      </w:r>
      <w:r w:rsidRPr="00AB1AFD">
        <w:rPr>
          <w:lang w:val="en-AU"/>
        </w:rPr>
        <w:t xml:space="preserve">year will meet the side constraint, as specified in </w:t>
      </w:r>
      <w:r>
        <w:rPr>
          <w:lang w:val="en-AU"/>
        </w:rPr>
        <w:t xml:space="preserve">the </w:t>
      </w:r>
      <w:r w:rsidR="007E222E">
        <w:rPr>
          <w:lang w:val="en-AU"/>
        </w:rPr>
        <w:t xml:space="preserve">2014 Network Price </w:t>
      </w:r>
      <w:r>
        <w:rPr>
          <w:lang w:val="en-AU"/>
        </w:rPr>
        <w:t xml:space="preserve">Determination </w:t>
      </w:r>
      <w:r w:rsidRPr="00AB1AFD">
        <w:rPr>
          <w:lang w:val="en-AU"/>
        </w:rPr>
        <w:t xml:space="preserve">and </w:t>
      </w:r>
      <w:r w:rsidR="00D063B8">
        <w:rPr>
          <w:lang w:val="en-AU"/>
        </w:rPr>
        <w:t xml:space="preserve">are </w:t>
      </w:r>
      <w:r w:rsidRPr="00AB1AFD">
        <w:rPr>
          <w:lang w:val="en-AU"/>
        </w:rPr>
        <w:t xml:space="preserve">consistent with the </w:t>
      </w:r>
      <w:r w:rsidR="007E222E">
        <w:rPr>
          <w:lang w:val="en-AU"/>
        </w:rPr>
        <w:t xml:space="preserve">side constraint </w:t>
      </w:r>
      <w:r w:rsidRPr="00AB1AFD">
        <w:rPr>
          <w:lang w:val="en-AU"/>
        </w:rPr>
        <w:t xml:space="preserve">formula set out below: </w:t>
      </w:r>
    </w:p>
    <w:p w14:paraId="590711F5" w14:textId="77777777" w:rsidR="004D637C" w:rsidRDefault="004D637C" w:rsidP="004D637C">
      <w:pPr>
        <w:rPr>
          <w:lang w:val="en-AU"/>
        </w:rPr>
      </w:pPr>
      <w:r w:rsidRPr="007E6F48">
        <w:rPr>
          <w:noProof/>
          <w:lang w:val="en-AU" w:eastAsia="en-AU"/>
        </w:rPr>
        <w:drawing>
          <wp:anchor distT="0" distB="0" distL="114300" distR="114300" simplePos="0" relativeHeight="251687936" behindDoc="0" locked="0" layoutInCell="1" allowOverlap="1" wp14:anchorId="6ADA57DF" wp14:editId="5569E3AC">
            <wp:simplePos x="0" y="0"/>
            <wp:positionH relativeFrom="column">
              <wp:posOffset>329565</wp:posOffset>
            </wp:positionH>
            <wp:positionV relativeFrom="paragraph">
              <wp:posOffset>99060</wp:posOffset>
            </wp:positionV>
            <wp:extent cx="4943475" cy="120967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43475" cy="1209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48CBB3" w14:textId="77777777" w:rsidR="004D637C" w:rsidRDefault="004D637C" w:rsidP="004D637C">
      <w:pPr>
        <w:rPr>
          <w:lang w:val="en-AU"/>
        </w:rPr>
      </w:pPr>
    </w:p>
    <w:p w14:paraId="26BBA138" w14:textId="77777777" w:rsidR="004D637C" w:rsidRDefault="004D637C" w:rsidP="004D637C">
      <w:pPr>
        <w:rPr>
          <w:lang w:val="en-AU"/>
        </w:rPr>
      </w:pPr>
    </w:p>
    <w:p w14:paraId="07249952" w14:textId="77777777" w:rsidR="004D637C" w:rsidRDefault="004D637C" w:rsidP="004D637C">
      <w:pPr>
        <w:rPr>
          <w:lang w:val="en-AU"/>
        </w:rPr>
      </w:pPr>
    </w:p>
    <w:p w14:paraId="221A8634" w14:textId="77777777" w:rsidR="004D637C" w:rsidRPr="003D015A" w:rsidRDefault="004D637C" w:rsidP="004D637C">
      <w:pPr>
        <w:rPr>
          <w:lang w:val="en-AU"/>
        </w:rPr>
      </w:pPr>
    </w:p>
    <w:p w14:paraId="6E9B4132" w14:textId="77777777" w:rsidR="004D637C" w:rsidRPr="003D015A" w:rsidRDefault="004D637C" w:rsidP="004D637C">
      <w:pPr>
        <w:ind w:left="576"/>
        <w:rPr>
          <w:lang w:val="en-AU"/>
        </w:rPr>
      </w:pPr>
      <w:r>
        <w:rPr>
          <w:lang w:val="en-AU"/>
        </w:rPr>
        <w:t>w</w:t>
      </w:r>
      <w:r w:rsidRPr="003D015A">
        <w:rPr>
          <w:lang w:val="en-AU"/>
        </w:rPr>
        <w:t>here:</w:t>
      </w:r>
    </w:p>
    <w:p w14:paraId="5520FFDE" w14:textId="3F2A5603" w:rsidR="004D637C" w:rsidRPr="00D506FA" w:rsidRDefault="004D637C" w:rsidP="004D637C">
      <w:pPr>
        <w:ind w:left="2160" w:hanging="1584"/>
        <w:rPr>
          <w:i/>
          <w:lang w:val="en-AU"/>
        </w:rPr>
      </w:pPr>
      <w:r w:rsidRPr="00D506FA">
        <w:rPr>
          <w:i/>
          <w:lang w:val="en-AU"/>
        </w:rPr>
        <w:t>CPI</w:t>
      </w:r>
      <w:r w:rsidRPr="00D506FA">
        <w:rPr>
          <w:i/>
          <w:vertAlign w:val="subscript"/>
          <w:lang w:val="en-AU"/>
        </w:rPr>
        <w:t>t</w:t>
      </w:r>
      <w:r w:rsidRPr="00D506FA">
        <w:rPr>
          <w:lang w:val="en-AU"/>
        </w:rPr>
        <w:tab/>
        <w:t xml:space="preserve">is the annual percentage change in </w:t>
      </w:r>
      <w:r w:rsidR="007E222E">
        <w:rPr>
          <w:lang w:val="en-AU"/>
        </w:rPr>
        <w:t>CPI</w:t>
      </w:r>
      <w:r w:rsidRPr="00D506FA">
        <w:rPr>
          <w:lang w:val="en-AU"/>
        </w:rPr>
        <w:t xml:space="preserve"> from March in regulatory year </w:t>
      </w:r>
      <w:r w:rsidRPr="00D506FA">
        <w:rPr>
          <w:i/>
          <w:lang w:val="en-AU"/>
        </w:rPr>
        <w:t>t-2</w:t>
      </w:r>
      <w:r w:rsidRPr="00D506FA">
        <w:rPr>
          <w:lang w:val="en-AU"/>
        </w:rPr>
        <w:t xml:space="preserve"> to March in regulatory year </w:t>
      </w:r>
      <w:r w:rsidRPr="00D506FA">
        <w:rPr>
          <w:i/>
          <w:lang w:val="en-AU"/>
        </w:rPr>
        <w:t>t-1</w:t>
      </w:r>
    </w:p>
    <w:p w14:paraId="6E04C648" w14:textId="56C057F5" w:rsidR="004D637C" w:rsidRPr="00D506FA" w:rsidRDefault="004D637C" w:rsidP="004D637C">
      <w:pPr>
        <w:ind w:left="2160" w:hanging="1584"/>
        <w:rPr>
          <w:lang w:val="en-AU"/>
        </w:rPr>
      </w:pPr>
      <w:r w:rsidRPr="00D506FA">
        <w:rPr>
          <w:i/>
          <w:lang w:val="en-AU"/>
        </w:rPr>
        <w:t>X</w:t>
      </w:r>
      <w:r w:rsidRPr="00D506FA">
        <w:rPr>
          <w:i/>
          <w:vertAlign w:val="subscript"/>
          <w:lang w:val="en-AU"/>
        </w:rPr>
        <w:t>t</w:t>
      </w:r>
      <w:r w:rsidRPr="00D506FA">
        <w:rPr>
          <w:i/>
          <w:lang w:val="en-AU"/>
        </w:rPr>
        <w:tab/>
      </w:r>
      <w:r w:rsidRPr="003D015A">
        <w:rPr>
          <w:lang w:val="en-AU"/>
        </w:rPr>
        <w:t xml:space="preserve">is the allowed real change in revenue from </w:t>
      </w:r>
      <w:r w:rsidR="007E222E">
        <w:rPr>
          <w:lang w:val="en-AU"/>
        </w:rPr>
        <w:t xml:space="preserve">regulatory </w:t>
      </w:r>
      <w:r w:rsidRPr="003D015A">
        <w:rPr>
          <w:lang w:val="en-AU"/>
        </w:rPr>
        <w:t xml:space="preserve">year </w:t>
      </w:r>
      <w:r w:rsidRPr="00D506FA">
        <w:rPr>
          <w:i/>
          <w:lang w:val="en-AU"/>
        </w:rPr>
        <w:t>t-1</w:t>
      </w:r>
      <w:r w:rsidRPr="003D015A">
        <w:rPr>
          <w:lang w:val="en-AU"/>
        </w:rPr>
        <w:t xml:space="preserve"> to </w:t>
      </w:r>
      <w:r w:rsidR="007E222E">
        <w:rPr>
          <w:lang w:val="en-AU"/>
        </w:rPr>
        <w:t xml:space="preserve">regulatory </w:t>
      </w:r>
      <w:r w:rsidRPr="003D015A">
        <w:rPr>
          <w:lang w:val="en-AU"/>
        </w:rPr>
        <w:t xml:space="preserve">year </w:t>
      </w:r>
      <w:r w:rsidRPr="00445EE5">
        <w:rPr>
          <w:i/>
          <w:lang w:val="en-AU"/>
        </w:rPr>
        <w:t>t</w:t>
      </w:r>
      <w:r w:rsidRPr="003D015A">
        <w:rPr>
          <w:lang w:val="en-AU"/>
        </w:rPr>
        <w:t xml:space="preserve"> of the </w:t>
      </w:r>
      <w:r w:rsidR="007E222E">
        <w:rPr>
          <w:lang w:val="en-AU"/>
        </w:rPr>
        <w:t xml:space="preserve">2014-19 </w:t>
      </w:r>
      <w:r w:rsidRPr="003D015A">
        <w:rPr>
          <w:lang w:val="en-AU"/>
        </w:rPr>
        <w:t>regulatory control period as determined by the Commission</w:t>
      </w:r>
    </w:p>
    <w:p w14:paraId="4837A1CE" w14:textId="563290C6" w:rsidR="004D637C" w:rsidRPr="00D506FA" w:rsidRDefault="004D637C" w:rsidP="004D637C">
      <w:pPr>
        <w:ind w:left="2160" w:hanging="1584"/>
        <w:rPr>
          <w:lang w:val="en-AU"/>
        </w:rPr>
      </w:pPr>
      <w:r>
        <w:rPr>
          <w:i/>
          <w:lang w:val="en-AU"/>
        </w:rPr>
        <w:t>Y</w:t>
      </w:r>
      <w:r w:rsidRPr="00D506FA">
        <w:rPr>
          <w:i/>
          <w:vertAlign w:val="subscript"/>
          <w:lang w:val="en-AU"/>
        </w:rPr>
        <w:t>t</w:t>
      </w:r>
      <w:r w:rsidRPr="00D506FA">
        <w:rPr>
          <w:i/>
          <w:lang w:val="en-AU"/>
        </w:rPr>
        <w:tab/>
      </w:r>
      <w:r w:rsidRPr="003D015A">
        <w:rPr>
          <w:lang w:val="en-AU"/>
        </w:rPr>
        <w:t xml:space="preserve">is the </w:t>
      </w:r>
      <w:r>
        <w:rPr>
          <w:lang w:val="en-AU"/>
        </w:rPr>
        <w:t>side constraint o</w:t>
      </w:r>
      <w:r w:rsidRPr="003D015A">
        <w:rPr>
          <w:lang w:val="en-AU"/>
        </w:rPr>
        <w:t xml:space="preserve">n revenue </w:t>
      </w:r>
      <w:r>
        <w:rPr>
          <w:lang w:val="en-AU"/>
        </w:rPr>
        <w:t xml:space="preserve">recovered from a tariff class </w:t>
      </w:r>
      <w:r w:rsidRPr="003D015A">
        <w:rPr>
          <w:lang w:val="en-AU"/>
        </w:rPr>
        <w:t xml:space="preserve">from </w:t>
      </w:r>
      <w:r w:rsidR="007E222E">
        <w:rPr>
          <w:lang w:val="en-AU"/>
        </w:rPr>
        <w:t xml:space="preserve">regulatory </w:t>
      </w:r>
      <w:r w:rsidRPr="003D015A">
        <w:rPr>
          <w:lang w:val="en-AU"/>
        </w:rPr>
        <w:t xml:space="preserve">year </w:t>
      </w:r>
      <w:r w:rsidRPr="00D506FA">
        <w:rPr>
          <w:i/>
          <w:lang w:val="en-AU"/>
        </w:rPr>
        <w:t>t-1</w:t>
      </w:r>
      <w:r w:rsidRPr="003D015A">
        <w:rPr>
          <w:lang w:val="en-AU"/>
        </w:rPr>
        <w:t xml:space="preserve"> to </w:t>
      </w:r>
      <w:r w:rsidR="007E222E">
        <w:rPr>
          <w:lang w:val="en-AU"/>
        </w:rPr>
        <w:t xml:space="preserve">regulatory </w:t>
      </w:r>
      <w:r w:rsidRPr="003D015A">
        <w:rPr>
          <w:lang w:val="en-AU"/>
        </w:rPr>
        <w:t xml:space="preserve">year </w:t>
      </w:r>
      <w:r w:rsidRPr="00445EE5">
        <w:rPr>
          <w:i/>
          <w:lang w:val="en-AU"/>
        </w:rPr>
        <w:t>t</w:t>
      </w:r>
      <w:r w:rsidRPr="003D015A">
        <w:rPr>
          <w:lang w:val="en-AU"/>
        </w:rPr>
        <w:t xml:space="preserve"> of the </w:t>
      </w:r>
      <w:r w:rsidR="007E222E">
        <w:rPr>
          <w:lang w:val="en-AU"/>
        </w:rPr>
        <w:t xml:space="preserve">2014-19 </w:t>
      </w:r>
      <w:r w:rsidRPr="003D015A">
        <w:rPr>
          <w:lang w:val="en-AU"/>
        </w:rPr>
        <w:t>regulatory control period as determined by the Commission</w:t>
      </w:r>
    </w:p>
    <w:p w14:paraId="19473A06" w14:textId="064FBFA9" w:rsidR="004D637C" w:rsidRPr="00D506FA" w:rsidRDefault="004D637C" w:rsidP="004D637C">
      <w:pPr>
        <w:ind w:left="2160" w:hanging="1584"/>
        <w:rPr>
          <w:lang w:val="en-AU"/>
        </w:rPr>
      </w:pPr>
      <w:r w:rsidRPr="00D506FA">
        <w:rPr>
          <w:i/>
          <w:lang w:val="en-AU"/>
        </w:rPr>
        <w:t>Passthrough</w:t>
      </w:r>
      <w:r w:rsidRPr="00D506FA">
        <w:rPr>
          <w:i/>
          <w:lang w:val="en-AU"/>
        </w:rPr>
        <w:tab/>
      </w:r>
      <w:r w:rsidRPr="00D506FA">
        <w:rPr>
          <w:lang w:val="en-AU"/>
        </w:rPr>
        <w:t xml:space="preserve">is any </w:t>
      </w:r>
      <w:r w:rsidR="007E222E">
        <w:rPr>
          <w:lang w:val="en-AU"/>
        </w:rPr>
        <w:t xml:space="preserve">positive pass through amount or negative </w:t>
      </w:r>
      <w:r w:rsidRPr="00D506FA">
        <w:rPr>
          <w:lang w:val="en-AU"/>
        </w:rPr>
        <w:t xml:space="preserve">pass through amount in </w:t>
      </w:r>
      <w:r w:rsidR="007E222E">
        <w:rPr>
          <w:lang w:val="en-AU"/>
        </w:rPr>
        <w:t xml:space="preserve">regulatory </w:t>
      </w:r>
      <w:r w:rsidRPr="00D506FA">
        <w:rPr>
          <w:lang w:val="en-AU"/>
        </w:rPr>
        <w:t>year</w:t>
      </w:r>
      <w:r w:rsidRPr="00D506FA">
        <w:rPr>
          <w:i/>
          <w:lang w:val="en-AU"/>
        </w:rPr>
        <w:t xml:space="preserve"> t</w:t>
      </w:r>
      <w:r w:rsidRPr="00D506FA">
        <w:rPr>
          <w:lang w:val="en-AU"/>
        </w:rPr>
        <w:t xml:space="preserve"> determined by the Commission, expressed as a percentage of the annual revenue</w:t>
      </w:r>
      <w:r w:rsidR="007E222E">
        <w:rPr>
          <w:lang w:val="en-AU"/>
        </w:rPr>
        <w:t xml:space="preserve"> requirement</w:t>
      </w:r>
    </w:p>
    <w:p w14:paraId="5C89B804" w14:textId="77777777" w:rsidR="004D637C" w:rsidRPr="003D015A" w:rsidRDefault="004D637C" w:rsidP="004D637C">
      <w:pPr>
        <w:ind w:left="2160" w:hanging="1584"/>
        <w:rPr>
          <w:lang w:val="en-AU"/>
        </w:rPr>
      </w:pPr>
      <w:r w:rsidRPr="003D015A">
        <w:rPr>
          <w:lang w:val="en-AU"/>
        </w:rPr>
        <w:t xml:space="preserve">m </w:t>
      </w:r>
      <w:r w:rsidRPr="003D015A">
        <w:rPr>
          <w:lang w:val="en-AU"/>
        </w:rPr>
        <w:tab/>
      </w:r>
      <w:r>
        <w:rPr>
          <w:lang w:val="en-AU"/>
        </w:rPr>
        <w:t xml:space="preserve">is </w:t>
      </w:r>
      <w:r w:rsidRPr="003D015A">
        <w:rPr>
          <w:lang w:val="en-AU"/>
        </w:rPr>
        <w:t xml:space="preserve">the number of </w:t>
      </w:r>
      <w:r>
        <w:rPr>
          <w:lang w:val="en-AU"/>
        </w:rPr>
        <w:t xml:space="preserve">tariff </w:t>
      </w:r>
      <w:r w:rsidRPr="003D015A">
        <w:rPr>
          <w:lang w:val="en-AU"/>
        </w:rPr>
        <w:t xml:space="preserve">components </w:t>
      </w:r>
    </w:p>
    <w:p w14:paraId="2A65685E" w14:textId="77777777" w:rsidR="004D637C" w:rsidRPr="003D015A" w:rsidRDefault="004D637C" w:rsidP="004D637C">
      <w:pPr>
        <w:ind w:left="2160" w:hanging="1584"/>
        <w:rPr>
          <w:lang w:val="en-AU"/>
        </w:rPr>
      </w:pPr>
      <w:r w:rsidRPr="003D015A">
        <w:rPr>
          <w:lang w:val="en-AU"/>
        </w:rPr>
        <w:t>p</w:t>
      </w:r>
      <w:r w:rsidRPr="003D015A">
        <w:rPr>
          <w:vertAlign w:val="superscript"/>
          <w:lang w:val="en-AU"/>
        </w:rPr>
        <w:t>j</w:t>
      </w:r>
      <w:r w:rsidRPr="003D015A">
        <w:rPr>
          <w:vertAlign w:val="subscript"/>
          <w:lang w:val="en-AU"/>
        </w:rPr>
        <w:t>t</w:t>
      </w:r>
      <w:r w:rsidRPr="003D015A">
        <w:rPr>
          <w:lang w:val="en-AU"/>
        </w:rPr>
        <w:tab/>
        <w:t xml:space="preserve">is the proposed price for component </w:t>
      </w:r>
      <w:r w:rsidRPr="003D015A">
        <w:rPr>
          <w:i/>
          <w:lang w:val="en-AU"/>
        </w:rPr>
        <w:t>j</w:t>
      </w:r>
      <w:r w:rsidRPr="003D015A">
        <w:rPr>
          <w:lang w:val="en-AU"/>
        </w:rPr>
        <w:t xml:space="preserve"> of the tariff class in year </w:t>
      </w:r>
      <w:r w:rsidRPr="003D015A">
        <w:rPr>
          <w:i/>
          <w:lang w:val="en-AU"/>
        </w:rPr>
        <w:t>t</w:t>
      </w:r>
    </w:p>
    <w:p w14:paraId="0F619BBE" w14:textId="77777777" w:rsidR="004D637C" w:rsidRPr="003D015A" w:rsidRDefault="004D637C" w:rsidP="004D637C">
      <w:pPr>
        <w:ind w:left="2160" w:hanging="1584"/>
        <w:rPr>
          <w:lang w:val="en-AU"/>
        </w:rPr>
      </w:pPr>
      <w:r w:rsidRPr="003D015A">
        <w:rPr>
          <w:lang w:val="en-AU"/>
        </w:rPr>
        <w:t>p</w:t>
      </w:r>
      <w:r w:rsidRPr="003D015A">
        <w:rPr>
          <w:vertAlign w:val="superscript"/>
          <w:lang w:val="en-AU"/>
        </w:rPr>
        <w:t>j</w:t>
      </w:r>
      <w:r w:rsidRPr="003D015A">
        <w:rPr>
          <w:vertAlign w:val="subscript"/>
          <w:lang w:val="en-AU"/>
        </w:rPr>
        <w:t>t-1</w:t>
      </w:r>
      <w:r w:rsidRPr="003D015A">
        <w:rPr>
          <w:vertAlign w:val="subscript"/>
          <w:lang w:val="en-AU"/>
        </w:rPr>
        <w:tab/>
      </w:r>
      <w:r w:rsidRPr="003D015A">
        <w:rPr>
          <w:lang w:val="en-AU"/>
        </w:rPr>
        <w:t xml:space="preserve">is the price charged for component </w:t>
      </w:r>
      <w:r w:rsidRPr="003D015A">
        <w:rPr>
          <w:i/>
          <w:lang w:val="en-AU"/>
        </w:rPr>
        <w:t>j</w:t>
      </w:r>
      <w:r w:rsidRPr="003D015A">
        <w:rPr>
          <w:lang w:val="en-AU"/>
        </w:rPr>
        <w:t xml:space="preserve"> of the tariff class in year </w:t>
      </w:r>
      <w:r w:rsidRPr="003D015A">
        <w:rPr>
          <w:i/>
          <w:lang w:val="en-AU"/>
        </w:rPr>
        <w:t>t-1</w:t>
      </w:r>
    </w:p>
    <w:p w14:paraId="2EA08757" w14:textId="77777777" w:rsidR="004D637C" w:rsidRPr="003D015A" w:rsidRDefault="004D637C" w:rsidP="004D637C">
      <w:pPr>
        <w:ind w:left="2160" w:hanging="1584"/>
        <w:rPr>
          <w:lang w:val="en-AU"/>
        </w:rPr>
      </w:pPr>
      <w:r w:rsidRPr="003D015A">
        <w:rPr>
          <w:lang w:val="en-AU"/>
        </w:rPr>
        <w:t>q</w:t>
      </w:r>
      <w:r w:rsidRPr="003D015A">
        <w:rPr>
          <w:vertAlign w:val="superscript"/>
          <w:lang w:val="en-AU"/>
        </w:rPr>
        <w:t>j</w:t>
      </w:r>
      <w:r w:rsidRPr="003D015A">
        <w:rPr>
          <w:vertAlign w:val="subscript"/>
          <w:lang w:val="en-AU"/>
        </w:rPr>
        <w:t>t-2</w:t>
      </w:r>
      <w:r w:rsidRPr="003D015A">
        <w:rPr>
          <w:vertAlign w:val="subscript"/>
          <w:lang w:val="en-AU"/>
        </w:rPr>
        <w:tab/>
      </w:r>
      <w:r w:rsidRPr="003D015A">
        <w:rPr>
          <w:lang w:val="en-AU"/>
        </w:rPr>
        <w:t xml:space="preserve">is the actual volume of component </w:t>
      </w:r>
      <w:r w:rsidRPr="003D015A">
        <w:rPr>
          <w:i/>
          <w:lang w:val="en-AU"/>
        </w:rPr>
        <w:t>j</w:t>
      </w:r>
      <w:r w:rsidRPr="003D015A">
        <w:rPr>
          <w:lang w:val="en-AU"/>
        </w:rPr>
        <w:t xml:space="preserve"> of the tariff class in year </w:t>
      </w:r>
      <w:r w:rsidRPr="003D015A">
        <w:rPr>
          <w:i/>
          <w:lang w:val="en-AU"/>
        </w:rPr>
        <w:t>t-2</w:t>
      </w:r>
    </w:p>
    <w:p w14:paraId="5F74DABD" w14:textId="77777777" w:rsidR="007B064D" w:rsidRPr="007B064D" w:rsidRDefault="007B064D" w:rsidP="007B064D">
      <w:pPr>
        <w:rPr>
          <w:lang w:val="en-AU"/>
        </w:rPr>
      </w:pPr>
    </w:p>
    <w:p w14:paraId="20F85F1A" w14:textId="77777777" w:rsidR="00815A91" w:rsidRDefault="00815A91" w:rsidP="00815A91">
      <w:pPr>
        <w:rPr>
          <w:lang w:val="en-AU"/>
        </w:rPr>
      </w:pPr>
    </w:p>
    <w:tbl>
      <w:tblPr>
        <w:tblW w:w="0" w:type="auto"/>
        <w:tblLayout w:type="fixed"/>
        <w:tblLook w:val="01E0" w:firstRow="1" w:lastRow="1" w:firstColumn="1" w:lastColumn="1" w:noHBand="0" w:noVBand="0"/>
      </w:tblPr>
      <w:tblGrid>
        <w:gridCol w:w="9288"/>
      </w:tblGrid>
      <w:tr w:rsidR="00815A91" w14:paraId="0A4E8E81" w14:textId="77777777" w:rsidTr="007E71A1">
        <w:tc>
          <w:tcPr>
            <w:tcW w:w="9288" w:type="dxa"/>
          </w:tcPr>
          <w:p w14:paraId="73652522" w14:textId="77777777" w:rsidR="00815A91" w:rsidRDefault="00815A91" w:rsidP="007E71A1">
            <w:pPr>
              <w:pStyle w:val="NumberLevel1"/>
              <w:pageBreakBefore/>
              <w:numPr>
                <w:ilvl w:val="0"/>
                <w:numId w:val="4"/>
              </w:numPr>
              <w:ind w:left="431" w:hanging="431"/>
            </w:pPr>
            <w:r>
              <w:br w:type="page"/>
            </w:r>
          </w:p>
        </w:tc>
      </w:tr>
      <w:tr w:rsidR="00815A91" w14:paraId="3E289005" w14:textId="77777777" w:rsidTr="007E71A1">
        <w:tc>
          <w:tcPr>
            <w:tcW w:w="9288" w:type="dxa"/>
          </w:tcPr>
          <w:p w14:paraId="02BD95CD" w14:textId="280A26B7" w:rsidR="00815A91" w:rsidRDefault="00815A91">
            <w:pPr>
              <w:pStyle w:val="UtilComChapterHeading"/>
              <w:outlineLvl w:val="0"/>
            </w:pPr>
            <w:bookmarkStart w:id="80" w:name="_Toc385241466"/>
            <w:bookmarkStart w:id="81" w:name="_Toc386013019"/>
            <w:r>
              <w:t xml:space="preserve">Cost </w:t>
            </w:r>
            <w:r w:rsidR="001F36EB">
              <w:t xml:space="preserve">Allocation </w:t>
            </w:r>
            <w:bookmarkEnd w:id="80"/>
            <w:r w:rsidR="001F36EB">
              <w:t>Methodology</w:t>
            </w:r>
            <w:bookmarkEnd w:id="81"/>
          </w:p>
        </w:tc>
      </w:tr>
    </w:tbl>
    <w:p w14:paraId="3529F2A6" w14:textId="77777777" w:rsidR="00815A91" w:rsidRDefault="00815A91" w:rsidP="00815A91">
      <w:pPr>
        <w:pStyle w:val="UtilComHeading2"/>
      </w:pPr>
      <w:bookmarkStart w:id="82" w:name="_Toc385241467"/>
      <w:bookmarkStart w:id="83" w:name="_Toc386013020"/>
      <w:r>
        <w:t>Introduction</w:t>
      </w:r>
      <w:bookmarkEnd w:id="82"/>
      <w:bookmarkEnd w:id="83"/>
    </w:p>
    <w:p w14:paraId="254EAB30" w14:textId="5EADDCDD" w:rsidR="00477A71" w:rsidRPr="00477A71" w:rsidRDefault="00477A71" w:rsidP="00DE5237">
      <w:pPr>
        <w:pStyle w:val="NumberLevel2"/>
        <w:numPr>
          <w:ilvl w:val="1"/>
          <w:numId w:val="5"/>
        </w:numPr>
        <w:tabs>
          <w:tab w:val="num" w:pos="709"/>
        </w:tabs>
        <w:ind w:left="709" w:hanging="709"/>
        <w:rPr>
          <w:lang w:val="en-AU"/>
        </w:rPr>
      </w:pPr>
      <w:r w:rsidRPr="00477A71">
        <w:rPr>
          <w:lang w:val="en-AU"/>
        </w:rPr>
        <w:t xml:space="preserve">Effective cost allocation aims to </w:t>
      </w:r>
      <w:r w:rsidR="00D063B8">
        <w:rPr>
          <w:lang w:val="en-AU"/>
        </w:rPr>
        <w:t>inform business decision-</w:t>
      </w:r>
      <w:r w:rsidR="00353169">
        <w:rPr>
          <w:lang w:val="en-AU"/>
        </w:rPr>
        <w:t xml:space="preserve">making by improving understanding of the true costs of operating </w:t>
      </w:r>
      <w:r w:rsidR="009A447F">
        <w:rPr>
          <w:lang w:val="en-AU"/>
        </w:rPr>
        <w:t xml:space="preserve">a regulated network </w:t>
      </w:r>
      <w:r w:rsidR="00353169">
        <w:rPr>
          <w:lang w:val="en-AU"/>
        </w:rPr>
        <w:t xml:space="preserve">business </w:t>
      </w:r>
      <w:r w:rsidR="00D063B8">
        <w:rPr>
          <w:lang w:val="en-AU"/>
        </w:rPr>
        <w:t xml:space="preserve">(such as PWC Networks) </w:t>
      </w:r>
      <w:r w:rsidR="00353169">
        <w:rPr>
          <w:lang w:val="en-AU"/>
        </w:rPr>
        <w:t xml:space="preserve">and to </w:t>
      </w:r>
      <w:r w:rsidRPr="00477A71">
        <w:rPr>
          <w:lang w:val="en-AU"/>
        </w:rPr>
        <w:t xml:space="preserve">prevent </w:t>
      </w:r>
      <w:r w:rsidR="00353169">
        <w:rPr>
          <w:lang w:val="en-AU"/>
        </w:rPr>
        <w:t xml:space="preserve">distortions from </w:t>
      </w:r>
      <w:r w:rsidRPr="00477A71">
        <w:rPr>
          <w:lang w:val="en-AU"/>
        </w:rPr>
        <w:t>cost shifting or incorrect allocation of costs between</w:t>
      </w:r>
      <w:r>
        <w:rPr>
          <w:lang w:val="en-AU"/>
        </w:rPr>
        <w:t>, firstly,</w:t>
      </w:r>
      <w:r w:rsidRPr="00477A71">
        <w:rPr>
          <w:lang w:val="en-AU"/>
        </w:rPr>
        <w:t xml:space="preserve"> </w:t>
      </w:r>
      <w:r>
        <w:rPr>
          <w:lang w:val="en-AU"/>
        </w:rPr>
        <w:t xml:space="preserve">the regulated network business and any other lines of business, and secondly, between </w:t>
      </w:r>
      <w:r w:rsidR="00AE36AF">
        <w:rPr>
          <w:lang w:val="en-AU"/>
        </w:rPr>
        <w:t>regulated services</w:t>
      </w:r>
      <w:r w:rsidR="00FD3193">
        <w:rPr>
          <w:rStyle w:val="FootnoteReference"/>
          <w:lang w:val="en-AU"/>
        </w:rPr>
        <w:footnoteReference w:id="26"/>
      </w:r>
      <w:r w:rsidR="00AE36AF">
        <w:rPr>
          <w:lang w:val="en-AU"/>
        </w:rPr>
        <w:t xml:space="preserve"> </w:t>
      </w:r>
      <w:r w:rsidRPr="00477A71">
        <w:rPr>
          <w:lang w:val="en-AU"/>
        </w:rPr>
        <w:t>and other services</w:t>
      </w:r>
      <w:r>
        <w:rPr>
          <w:lang w:val="en-AU"/>
        </w:rPr>
        <w:t xml:space="preserve"> provided by the regulated network business</w:t>
      </w:r>
      <w:r w:rsidR="00A6269B">
        <w:rPr>
          <w:lang w:val="en-AU"/>
        </w:rPr>
        <w:t>.</w:t>
      </w:r>
      <w:r w:rsidR="00AE36AF">
        <w:rPr>
          <w:lang w:val="en-AU"/>
        </w:rPr>
        <w:t xml:space="preserve"> </w:t>
      </w:r>
      <w:r w:rsidRPr="00477A71">
        <w:rPr>
          <w:lang w:val="en-AU"/>
        </w:rPr>
        <w:t xml:space="preserve">In achieving this objective, cost allocation prevents </w:t>
      </w:r>
      <w:r w:rsidR="00353169">
        <w:rPr>
          <w:lang w:val="en-AU"/>
        </w:rPr>
        <w:t xml:space="preserve">distortionary </w:t>
      </w:r>
      <w:r w:rsidR="00D32B9A">
        <w:rPr>
          <w:lang w:val="en-AU"/>
        </w:rPr>
        <w:br/>
      </w:r>
      <w:r w:rsidRPr="00477A71">
        <w:rPr>
          <w:lang w:val="en-AU"/>
        </w:rPr>
        <w:t xml:space="preserve">cross-subsidisation between the different </w:t>
      </w:r>
      <w:r w:rsidR="004B4592">
        <w:rPr>
          <w:lang w:val="en-AU"/>
        </w:rPr>
        <w:t xml:space="preserve">businesses or </w:t>
      </w:r>
      <w:r w:rsidRPr="00477A71">
        <w:rPr>
          <w:lang w:val="en-AU"/>
        </w:rPr>
        <w:t>services.</w:t>
      </w:r>
    </w:p>
    <w:p w14:paraId="560A24F5" w14:textId="5841752E" w:rsidR="00815A91" w:rsidRPr="009A51FB" w:rsidRDefault="00477A71" w:rsidP="00DE5237">
      <w:pPr>
        <w:pStyle w:val="NumberLevel2"/>
        <w:numPr>
          <w:ilvl w:val="1"/>
          <w:numId w:val="5"/>
        </w:numPr>
        <w:tabs>
          <w:tab w:val="num" w:pos="709"/>
        </w:tabs>
        <w:ind w:left="709" w:hanging="709"/>
        <w:rPr>
          <w:lang w:val="en-AU"/>
        </w:rPr>
      </w:pPr>
      <w:r w:rsidRPr="00477A71">
        <w:rPr>
          <w:lang w:val="en-AU"/>
        </w:rPr>
        <w:t>In addition, by allocat</w:t>
      </w:r>
      <w:r w:rsidR="00353169">
        <w:rPr>
          <w:lang w:val="en-AU"/>
        </w:rPr>
        <w:t>ing</w:t>
      </w:r>
      <w:r w:rsidRPr="00477A71">
        <w:rPr>
          <w:lang w:val="en-AU"/>
        </w:rPr>
        <w:t xml:space="preserve"> costs transparent</w:t>
      </w:r>
      <w:r w:rsidR="00353169">
        <w:rPr>
          <w:lang w:val="en-AU"/>
        </w:rPr>
        <w:t>ly</w:t>
      </w:r>
      <w:r w:rsidRPr="00477A71">
        <w:rPr>
          <w:lang w:val="en-AU"/>
        </w:rPr>
        <w:t xml:space="preserve">, it enhances the ability of the </w:t>
      </w:r>
      <w:r>
        <w:rPr>
          <w:lang w:val="en-AU"/>
        </w:rPr>
        <w:t>Commission</w:t>
      </w:r>
      <w:r w:rsidRPr="00477A71">
        <w:rPr>
          <w:lang w:val="en-AU"/>
        </w:rPr>
        <w:t xml:space="preserve"> to ensure that only efficient costs relevant to the </w:t>
      </w:r>
      <w:r w:rsidR="000D2EC0">
        <w:rPr>
          <w:lang w:val="en-AU"/>
        </w:rPr>
        <w:t>regulated network access</w:t>
      </w:r>
      <w:r w:rsidR="000D2EC0" w:rsidRPr="00477A71">
        <w:rPr>
          <w:lang w:val="en-AU"/>
        </w:rPr>
        <w:t xml:space="preserve"> </w:t>
      </w:r>
      <w:r w:rsidRPr="00477A71">
        <w:rPr>
          <w:lang w:val="en-AU"/>
        </w:rPr>
        <w:t>service</w:t>
      </w:r>
      <w:r w:rsidR="000D2EC0">
        <w:rPr>
          <w:lang w:val="en-AU"/>
        </w:rPr>
        <w:t>s provided by PWC Networks</w:t>
      </w:r>
      <w:r w:rsidRPr="00477A71">
        <w:rPr>
          <w:lang w:val="en-AU"/>
        </w:rPr>
        <w:t xml:space="preserve"> are passed through to </w:t>
      </w:r>
      <w:r w:rsidR="000D2EC0">
        <w:rPr>
          <w:lang w:val="en-AU"/>
        </w:rPr>
        <w:t xml:space="preserve">retail </w:t>
      </w:r>
      <w:r w:rsidRPr="00477A71">
        <w:rPr>
          <w:lang w:val="en-AU"/>
        </w:rPr>
        <w:t>customers.</w:t>
      </w:r>
    </w:p>
    <w:p w14:paraId="5E38A0A5" w14:textId="287BF932" w:rsidR="00477A71" w:rsidRDefault="00477A71" w:rsidP="00477A71">
      <w:pPr>
        <w:pStyle w:val="UtilComHeading2"/>
      </w:pPr>
      <w:bookmarkStart w:id="84" w:name="_Toc385241468"/>
      <w:bookmarkStart w:id="85" w:name="_Toc386013021"/>
      <w:r>
        <w:t xml:space="preserve">Regulatory </w:t>
      </w:r>
      <w:bookmarkEnd w:id="84"/>
      <w:r w:rsidR="003C0751">
        <w:t>Requirements</w:t>
      </w:r>
      <w:bookmarkEnd w:id="85"/>
    </w:p>
    <w:p w14:paraId="3D77CB62" w14:textId="5D4E81C0" w:rsidR="00477A71" w:rsidRDefault="00FB2EC5" w:rsidP="00477A71">
      <w:pPr>
        <w:pStyle w:val="UtilComHeading3"/>
      </w:pPr>
      <w:r>
        <w:t>Network Access Code</w:t>
      </w:r>
    </w:p>
    <w:p w14:paraId="37C24897" w14:textId="62393BA7" w:rsidR="00E1561E" w:rsidRDefault="00477A71" w:rsidP="00DE5237">
      <w:pPr>
        <w:pStyle w:val="NumberLevel2"/>
        <w:numPr>
          <w:ilvl w:val="1"/>
          <w:numId w:val="5"/>
        </w:numPr>
        <w:tabs>
          <w:tab w:val="num" w:pos="709"/>
        </w:tabs>
        <w:ind w:left="709" w:hanging="709"/>
        <w:rPr>
          <w:lang w:val="en-AU"/>
        </w:rPr>
      </w:pPr>
      <w:r w:rsidRPr="00477A71">
        <w:rPr>
          <w:lang w:val="en-AU"/>
        </w:rPr>
        <w:t xml:space="preserve">Clause </w:t>
      </w:r>
      <w:r w:rsidR="00E1561E">
        <w:rPr>
          <w:lang w:val="en-AU"/>
        </w:rPr>
        <w:t>7A</w:t>
      </w:r>
      <w:r w:rsidRPr="00477A71">
        <w:rPr>
          <w:lang w:val="en-AU"/>
        </w:rPr>
        <w:t xml:space="preserve"> of the </w:t>
      </w:r>
      <w:r w:rsidR="00FB2EC5">
        <w:rPr>
          <w:lang w:val="en-AU"/>
        </w:rPr>
        <w:t>Network Access Code</w:t>
      </w:r>
      <w:r w:rsidRPr="00477A71">
        <w:rPr>
          <w:lang w:val="en-AU"/>
        </w:rPr>
        <w:t xml:space="preserve"> </w:t>
      </w:r>
      <w:r w:rsidR="00BA2F70">
        <w:rPr>
          <w:lang w:val="en-AU"/>
        </w:rPr>
        <w:t xml:space="preserve">provides </w:t>
      </w:r>
      <w:r w:rsidR="00E1561E">
        <w:rPr>
          <w:lang w:val="en-AU"/>
        </w:rPr>
        <w:t xml:space="preserve">that: </w:t>
      </w:r>
    </w:p>
    <w:p w14:paraId="3367A877" w14:textId="77777777" w:rsidR="00815A91" w:rsidRPr="00E1561E" w:rsidRDefault="00E1561E" w:rsidP="004B63D8">
      <w:pPr>
        <w:pStyle w:val="UtilComQuotationText"/>
        <w:ind w:left="1134"/>
      </w:pPr>
      <w:r w:rsidRPr="00E1561E">
        <w:t>The network provider must keep the business of operating the electricity network separate from any other business conducted by the network provider or any associate or related body corporate of the network provider in the manner and to the extent specified in a ring-fencing code to be determined by the regulator.</w:t>
      </w:r>
    </w:p>
    <w:p w14:paraId="2AB6AE61" w14:textId="50692BEA" w:rsidR="00E1561E" w:rsidRDefault="00E1561E" w:rsidP="00DE5237">
      <w:pPr>
        <w:pStyle w:val="NumberLevel2"/>
        <w:numPr>
          <w:ilvl w:val="1"/>
          <w:numId w:val="5"/>
        </w:numPr>
        <w:tabs>
          <w:tab w:val="num" w:pos="709"/>
        </w:tabs>
        <w:ind w:left="709" w:hanging="709"/>
        <w:rPr>
          <w:lang w:val="en-AU"/>
        </w:rPr>
      </w:pPr>
      <w:r>
        <w:rPr>
          <w:lang w:val="en-AU"/>
        </w:rPr>
        <w:t xml:space="preserve">The Northern Territory Electricity Ring-fencing Code </w:t>
      </w:r>
      <w:r w:rsidR="000227FE">
        <w:rPr>
          <w:lang w:val="en-AU"/>
        </w:rPr>
        <w:t>version</w:t>
      </w:r>
      <w:r w:rsidR="009F7F55">
        <w:rPr>
          <w:lang w:val="en-AU"/>
        </w:rPr>
        <w:t xml:space="preserve"> </w:t>
      </w:r>
      <w:r w:rsidR="000227FE">
        <w:rPr>
          <w:lang w:val="en-AU"/>
        </w:rPr>
        <w:t>3 took effect from 1</w:t>
      </w:r>
      <w:r w:rsidR="009F7F55">
        <w:rPr>
          <w:lang w:val="en-AU"/>
        </w:rPr>
        <w:t> </w:t>
      </w:r>
      <w:r w:rsidR="009A447F">
        <w:rPr>
          <w:lang w:val="en-AU"/>
        </w:rPr>
        <w:t>January </w:t>
      </w:r>
      <w:r w:rsidR="000227FE">
        <w:rPr>
          <w:lang w:val="en-AU"/>
        </w:rPr>
        <w:t>2009.</w:t>
      </w:r>
      <w:r w:rsidR="00D063B8" w:rsidRPr="00D063B8">
        <w:rPr>
          <w:rStyle w:val="FootnoteReference"/>
          <w:lang w:val="en-AU"/>
        </w:rPr>
        <w:t xml:space="preserve"> </w:t>
      </w:r>
      <w:r w:rsidR="00D063B8">
        <w:rPr>
          <w:rStyle w:val="FootnoteReference"/>
          <w:lang w:val="en-AU"/>
        </w:rPr>
        <w:footnoteReference w:id="27"/>
      </w:r>
    </w:p>
    <w:p w14:paraId="3D4C8E37" w14:textId="48B25C9F" w:rsidR="00E1561E" w:rsidRDefault="00635AB3" w:rsidP="00DE5237">
      <w:pPr>
        <w:pStyle w:val="NumberLevel2"/>
        <w:numPr>
          <w:ilvl w:val="1"/>
          <w:numId w:val="5"/>
        </w:numPr>
        <w:tabs>
          <w:tab w:val="num" w:pos="709"/>
        </w:tabs>
        <w:ind w:left="709" w:hanging="709"/>
        <w:rPr>
          <w:lang w:val="en-AU"/>
        </w:rPr>
      </w:pPr>
      <w:r>
        <w:rPr>
          <w:lang w:val="en-AU"/>
        </w:rPr>
        <w:t>Further, clause </w:t>
      </w:r>
      <w:r w:rsidR="000227FE">
        <w:rPr>
          <w:lang w:val="en-AU"/>
        </w:rPr>
        <w:t xml:space="preserve">7 of the </w:t>
      </w:r>
      <w:r w:rsidR="00FB2EC5">
        <w:rPr>
          <w:lang w:val="en-AU"/>
        </w:rPr>
        <w:t>Network Access Code</w:t>
      </w:r>
      <w:r w:rsidR="000227FE">
        <w:rPr>
          <w:lang w:val="en-AU"/>
        </w:rPr>
        <w:t xml:space="preserve"> requires, among other things:</w:t>
      </w:r>
    </w:p>
    <w:p w14:paraId="3CF898B1" w14:textId="77777777" w:rsidR="000227FE" w:rsidRPr="000227FE" w:rsidRDefault="000227FE" w:rsidP="004B63D8">
      <w:pPr>
        <w:pStyle w:val="UtilComQuotationText"/>
        <w:ind w:left="1560" w:hanging="426"/>
      </w:pPr>
      <w:r w:rsidRPr="000227FE">
        <w:t>(1)</w:t>
      </w:r>
      <w:r w:rsidR="00FF4B21">
        <w:t xml:space="preserve"> </w:t>
      </w:r>
      <w:r w:rsidR="00EE144A">
        <w:tab/>
      </w:r>
      <w:r w:rsidRPr="000227FE">
        <w:t>The network provider must keep accounts and records relating to its electricity network business that give a true and fair view of the business (as distinct from other businesses carried on by the network provider or any associate or related body corporate of the network provider).</w:t>
      </w:r>
    </w:p>
    <w:p w14:paraId="2806876F" w14:textId="7160825C" w:rsidR="000227FE" w:rsidRDefault="000227FE" w:rsidP="00DE5237">
      <w:pPr>
        <w:pStyle w:val="NumberLevel2"/>
        <w:numPr>
          <w:ilvl w:val="1"/>
          <w:numId w:val="5"/>
        </w:numPr>
        <w:tabs>
          <w:tab w:val="num" w:pos="709"/>
        </w:tabs>
        <w:ind w:left="709" w:hanging="709"/>
        <w:rPr>
          <w:lang w:val="en-AU"/>
        </w:rPr>
      </w:pPr>
      <w:r>
        <w:rPr>
          <w:lang w:val="en-AU"/>
        </w:rPr>
        <w:t>Further, the accounts must comply with any guidelines published by the Commission</w:t>
      </w:r>
      <w:r w:rsidRPr="000227FE">
        <w:rPr>
          <w:rStyle w:val="FootnoteReference"/>
          <w:lang w:val="en-AU"/>
        </w:rPr>
        <w:footnoteReference w:id="28"/>
      </w:r>
      <w:r>
        <w:rPr>
          <w:lang w:val="en-AU"/>
        </w:rPr>
        <w:t xml:space="preserve"> and be kept in a way that gives sufficient information to enable the pricing principles and methodologies set out in Part 3 of the </w:t>
      </w:r>
      <w:r w:rsidR="00FB2EC5">
        <w:rPr>
          <w:lang w:val="en-AU"/>
        </w:rPr>
        <w:t>Network Access Code</w:t>
      </w:r>
      <w:r>
        <w:rPr>
          <w:lang w:val="en-AU"/>
        </w:rPr>
        <w:t xml:space="preserve"> to be applied in a reasonable manner</w:t>
      </w:r>
      <w:r w:rsidR="00D063B8">
        <w:rPr>
          <w:lang w:val="en-AU"/>
        </w:rPr>
        <w:t>.</w:t>
      </w:r>
      <w:r w:rsidRPr="000227FE">
        <w:rPr>
          <w:rStyle w:val="FootnoteReference"/>
          <w:lang w:val="en-AU"/>
        </w:rPr>
        <w:footnoteReference w:id="29"/>
      </w:r>
    </w:p>
    <w:p w14:paraId="1D866B98" w14:textId="4CA856CF" w:rsidR="008B7F1D" w:rsidRDefault="008B7F1D" w:rsidP="00DE5237">
      <w:pPr>
        <w:pStyle w:val="NumberLevel2"/>
        <w:numPr>
          <w:ilvl w:val="1"/>
          <w:numId w:val="5"/>
        </w:numPr>
        <w:tabs>
          <w:tab w:val="num" w:pos="709"/>
        </w:tabs>
        <w:ind w:left="709" w:hanging="709"/>
        <w:rPr>
          <w:lang w:val="en-AU"/>
        </w:rPr>
      </w:pPr>
      <w:r>
        <w:rPr>
          <w:lang w:val="en-AU"/>
        </w:rPr>
        <w:t xml:space="preserve">Specific to access pricing, clause 65 of the </w:t>
      </w:r>
      <w:r w:rsidR="00FB2EC5">
        <w:rPr>
          <w:lang w:val="en-AU"/>
        </w:rPr>
        <w:t>Network Access Code</w:t>
      </w:r>
      <w:r>
        <w:rPr>
          <w:lang w:val="en-AU"/>
        </w:rPr>
        <w:t xml:space="preserve"> sets out the requirements for information disclosure to the </w:t>
      </w:r>
      <w:r w:rsidR="00635AB3">
        <w:rPr>
          <w:lang w:val="en-AU"/>
        </w:rPr>
        <w:t xml:space="preserve">Commission </w:t>
      </w:r>
      <w:r>
        <w:rPr>
          <w:lang w:val="en-AU"/>
        </w:rPr>
        <w:t xml:space="preserve">by </w:t>
      </w:r>
      <w:r w:rsidR="00635AB3">
        <w:rPr>
          <w:lang w:val="en-AU"/>
        </w:rPr>
        <w:t>PWC Networks</w:t>
      </w:r>
      <w:r w:rsidR="00477514">
        <w:rPr>
          <w:lang w:val="en-AU"/>
        </w:rPr>
        <w:t xml:space="preserve">: </w:t>
      </w:r>
    </w:p>
    <w:p w14:paraId="48DA5785" w14:textId="77777777" w:rsidR="008B7F1D" w:rsidRPr="00EE144A" w:rsidRDefault="008B7F1D" w:rsidP="004B63D8">
      <w:pPr>
        <w:pStyle w:val="UtilComQuotationText"/>
        <w:ind w:left="1559" w:hanging="425"/>
      </w:pPr>
      <w:r w:rsidRPr="00EE144A">
        <w:t>(1)</w:t>
      </w:r>
      <w:r w:rsidR="00477514" w:rsidRPr="00EE144A">
        <w:t xml:space="preserve"> </w:t>
      </w:r>
      <w:r w:rsidR="00EE144A">
        <w:tab/>
      </w:r>
      <w:r w:rsidRPr="00EE144A">
        <w:t>Before the network or service provider publishes the annual pricing schedules required under this Part, it must within a reasonable time before doing so (or a period set by this Code or by the regulator) provide the regulator with:</w:t>
      </w:r>
    </w:p>
    <w:p w14:paraId="7B5C7715" w14:textId="77777777" w:rsidR="008B7F1D" w:rsidRPr="00EE144A" w:rsidRDefault="008B7F1D" w:rsidP="00D8712A">
      <w:pPr>
        <w:pStyle w:val="UtilComQuotationText"/>
        <w:ind w:left="2127" w:hanging="567"/>
      </w:pPr>
      <w:r w:rsidRPr="00EE144A">
        <w:t>(a)</w:t>
      </w:r>
      <w:r w:rsidRPr="00EE144A">
        <w:tab/>
        <w:t>information relating to the proposed prices that is required under the arrangements set out in Chapters 7 and 9; and</w:t>
      </w:r>
    </w:p>
    <w:p w14:paraId="255164CE" w14:textId="77777777" w:rsidR="008B7F1D" w:rsidRPr="00EE144A" w:rsidRDefault="008B7F1D" w:rsidP="00D8712A">
      <w:pPr>
        <w:pStyle w:val="UtilComQuotationText"/>
        <w:ind w:left="2127" w:hanging="567"/>
      </w:pPr>
      <w:r w:rsidRPr="00EE144A">
        <w:t>(b)</w:t>
      </w:r>
      <w:r w:rsidRPr="00EE144A">
        <w:tab/>
        <w:t>any other information that the regulator reasonably requires for the purpose of performing his or her functions.</w:t>
      </w:r>
    </w:p>
    <w:p w14:paraId="3E94F632" w14:textId="77777777" w:rsidR="008B7F1D" w:rsidRPr="00EE144A" w:rsidRDefault="008B7F1D" w:rsidP="004B63D8">
      <w:pPr>
        <w:pStyle w:val="UtilComQuotationText"/>
        <w:ind w:left="1559" w:hanging="425"/>
      </w:pPr>
      <w:r w:rsidRPr="00EE144A">
        <w:t>…</w:t>
      </w:r>
    </w:p>
    <w:p w14:paraId="73B5C150" w14:textId="77777777" w:rsidR="008B7F1D" w:rsidRPr="00EE144A" w:rsidRDefault="008B7F1D" w:rsidP="004B63D8">
      <w:pPr>
        <w:pStyle w:val="UtilComQuotationText"/>
        <w:ind w:left="1559" w:hanging="425"/>
      </w:pPr>
      <w:r w:rsidRPr="00EE144A">
        <w:t>(9)</w:t>
      </w:r>
      <w:r w:rsidR="00477514" w:rsidRPr="00EE144A">
        <w:t xml:space="preserve"> </w:t>
      </w:r>
      <w:r w:rsidR="00EE144A">
        <w:tab/>
      </w:r>
      <w:r w:rsidRPr="00EE144A">
        <w:t>If information is provided in the form of certified annual financial statements, the financial statements must provide a true and fair statement of the financial and operating performance for the reporting period and be in a form and be provided by the date determined by the regulator.</w:t>
      </w:r>
    </w:p>
    <w:p w14:paraId="1EC62282" w14:textId="77777777" w:rsidR="008B7F1D" w:rsidRPr="00EE144A" w:rsidRDefault="008B7F1D" w:rsidP="004B63D8">
      <w:pPr>
        <w:pStyle w:val="UtilComQuotationText"/>
        <w:ind w:left="1559" w:hanging="425"/>
      </w:pPr>
      <w:r w:rsidRPr="00EE144A">
        <w:t>(10)</w:t>
      </w:r>
      <w:r w:rsidR="00477514" w:rsidRPr="00EE144A">
        <w:t xml:space="preserve"> </w:t>
      </w:r>
      <w:r w:rsidR="00EE144A">
        <w:tab/>
      </w:r>
      <w:r w:rsidRPr="00EE144A">
        <w:t>Certified annual financial statements submitted under subclause (1) may be used by the regulator:</w:t>
      </w:r>
    </w:p>
    <w:p w14:paraId="3226A63A" w14:textId="77777777" w:rsidR="008B7F1D" w:rsidRPr="00EE144A" w:rsidRDefault="008B7F1D" w:rsidP="00D8712A">
      <w:pPr>
        <w:pStyle w:val="UtilComQuotationText"/>
        <w:ind w:left="2127" w:hanging="567"/>
      </w:pPr>
      <w:r w:rsidRPr="00EE144A">
        <w:t>(a)</w:t>
      </w:r>
      <w:r w:rsidR="00477514" w:rsidRPr="00EE144A">
        <w:t xml:space="preserve"> </w:t>
      </w:r>
      <w:r w:rsidR="00EE144A">
        <w:tab/>
      </w:r>
      <w:r w:rsidRPr="00EE144A">
        <w:t>to monitor the compliance of the network provider with the revenue or price cap;</w:t>
      </w:r>
    </w:p>
    <w:p w14:paraId="0FC3C01D" w14:textId="77777777" w:rsidR="008B7F1D" w:rsidRPr="00EE144A" w:rsidRDefault="008B7F1D" w:rsidP="00D8712A">
      <w:pPr>
        <w:pStyle w:val="UtilComQuotationText"/>
        <w:ind w:left="2127" w:hanging="567"/>
      </w:pPr>
      <w:r w:rsidRPr="00EE144A">
        <w:t>(b)</w:t>
      </w:r>
      <w:r w:rsidR="00477514" w:rsidRPr="00EE144A">
        <w:t xml:space="preserve"> </w:t>
      </w:r>
      <w:r w:rsidR="00EE144A">
        <w:tab/>
      </w:r>
      <w:r w:rsidRPr="00EE144A">
        <w:rPr>
          <w:b/>
        </w:rPr>
        <w:t>to assess the allocation of costs between services that are subject to regulation under the revenue or price cap and services or activities that are not and to identify any cross-subsidy between these different types of services or activities</w:t>
      </w:r>
      <w:r w:rsidRPr="00EE144A">
        <w:t>; and</w:t>
      </w:r>
      <w:r w:rsidR="00F831AE" w:rsidRPr="00EE144A">
        <w:t xml:space="preserve"> (emphasis added)</w:t>
      </w:r>
    </w:p>
    <w:p w14:paraId="63ADBF1F" w14:textId="77777777" w:rsidR="008B7F1D" w:rsidRPr="00EE144A" w:rsidRDefault="008B7F1D" w:rsidP="00D8712A">
      <w:pPr>
        <w:pStyle w:val="UtilComQuotationText"/>
        <w:ind w:left="2127" w:hanging="567"/>
      </w:pPr>
      <w:r w:rsidRPr="00EE144A">
        <w:t>(c)</w:t>
      </w:r>
      <w:r w:rsidR="00477514" w:rsidRPr="00EE144A">
        <w:t xml:space="preserve"> </w:t>
      </w:r>
      <w:r w:rsidR="00EE144A">
        <w:tab/>
      </w:r>
      <w:r w:rsidRPr="00EE144A">
        <w:t>to collate data regarding the financial, economic and operational performance of the network provider and to be used as input to the regulator's decision making regarding the setting of revenue or price caps.</w:t>
      </w:r>
    </w:p>
    <w:p w14:paraId="1B89F702" w14:textId="77777777" w:rsidR="000227FE" w:rsidRDefault="000227FE" w:rsidP="000227FE">
      <w:pPr>
        <w:pStyle w:val="UtilComHeading3"/>
      </w:pPr>
      <w:r>
        <w:t>National Electricity Rules</w:t>
      </w:r>
    </w:p>
    <w:p w14:paraId="16D5CD0A" w14:textId="2117BF68" w:rsidR="000227FE" w:rsidRDefault="001E261A" w:rsidP="00DE5237">
      <w:pPr>
        <w:pStyle w:val="NumberLevel2"/>
        <w:numPr>
          <w:ilvl w:val="1"/>
          <w:numId w:val="5"/>
        </w:numPr>
        <w:tabs>
          <w:tab w:val="num" w:pos="709"/>
        </w:tabs>
        <w:ind w:left="709" w:hanging="709"/>
        <w:rPr>
          <w:lang w:val="en-AU"/>
        </w:rPr>
      </w:pPr>
      <w:r>
        <w:rPr>
          <w:lang w:val="en-AU"/>
        </w:rPr>
        <w:t>Under the NER</w:t>
      </w:r>
      <w:r w:rsidR="00705E7A">
        <w:rPr>
          <w:lang w:val="en-AU"/>
        </w:rPr>
        <w:t xml:space="preserve">, </w:t>
      </w:r>
      <w:r w:rsidR="00AE276F">
        <w:rPr>
          <w:lang w:val="en-AU"/>
        </w:rPr>
        <w:t xml:space="preserve">development of cost allocation methodologies by DNSPs and </w:t>
      </w:r>
      <w:r>
        <w:rPr>
          <w:lang w:val="en-AU"/>
        </w:rPr>
        <w:t xml:space="preserve">the </w:t>
      </w:r>
      <w:r w:rsidR="00AE276F">
        <w:rPr>
          <w:lang w:val="en-AU"/>
        </w:rPr>
        <w:t xml:space="preserve">approval of these </w:t>
      </w:r>
      <w:r>
        <w:rPr>
          <w:lang w:val="en-AU"/>
        </w:rPr>
        <w:t xml:space="preserve">methodologies </w:t>
      </w:r>
      <w:r w:rsidR="00AE276F">
        <w:rPr>
          <w:lang w:val="en-AU"/>
        </w:rPr>
        <w:t xml:space="preserve">by the AER </w:t>
      </w:r>
      <w:r w:rsidR="00705E7A">
        <w:rPr>
          <w:lang w:val="en-AU"/>
        </w:rPr>
        <w:t xml:space="preserve">takes place outside the </w:t>
      </w:r>
      <w:r>
        <w:rPr>
          <w:lang w:val="en-AU"/>
        </w:rPr>
        <w:t xml:space="preserve">distribution </w:t>
      </w:r>
      <w:r w:rsidR="00705E7A">
        <w:rPr>
          <w:lang w:val="en-AU"/>
        </w:rPr>
        <w:t>determination process.</w:t>
      </w:r>
    </w:p>
    <w:p w14:paraId="2327ACC9" w14:textId="2F8FC6F9" w:rsidR="00AE276F" w:rsidRDefault="00AE276F" w:rsidP="00DE5237">
      <w:pPr>
        <w:pStyle w:val="NumberLevel2"/>
        <w:numPr>
          <w:ilvl w:val="1"/>
          <w:numId w:val="5"/>
        </w:numPr>
        <w:tabs>
          <w:tab w:val="num" w:pos="709"/>
        </w:tabs>
        <w:ind w:left="709" w:hanging="709"/>
        <w:rPr>
          <w:lang w:val="en-AU"/>
        </w:rPr>
      </w:pPr>
      <w:r>
        <w:rPr>
          <w:lang w:val="en-AU"/>
        </w:rPr>
        <w:t>Clause 6.15.3 of the NER requires the</w:t>
      </w:r>
      <w:r w:rsidRPr="00AE276F">
        <w:rPr>
          <w:lang w:val="en-AU"/>
        </w:rPr>
        <w:t xml:space="preserve"> AER</w:t>
      </w:r>
      <w:r>
        <w:rPr>
          <w:lang w:val="en-AU"/>
        </w:rPr>
        <w:t xml:space="preserve"> to</w:t>
      </w:r>
      <w:r w:rsidRPr="00AE276F">
        <w:rPr>
          <w:lang w:val="en-AU"/>
        </w:rPr>
        <w:t xml:space="preserve"> make guidelines relating to the preparation by a </w:t>
      </w:r>
      <w:r>
        <w:rPr>
          <w:lang w:val="en-AU"/>
        </w:rPr>
        <w:t>DNSP</w:t>
      </w:r>
      <w:r w:rsidRPr="00AE276F">
        <w:rPr>
          <w:lang w:val="en-AU"/>
        </w:rPr>
        <w:t xml:space="preserve"> of its </w:t>
      </w:r>
      <w:r w:rsidR="008E76F1">
        <w:rPr>
          <w:lang w:val="en-AU"/>
        </w:rPr>
        <w:t>c</w:t>
      </w:r>
      <w:r w:rsidR="008E76F1" w:rsidRPr="00AE276F">
        <w:rPr>
          <w:lang w:val="en-AU"/>
        </w:rPr>
        <w:t xml:space="preserve">ost </w:t>
      </w:r>
      <w:r w:rsidR="008E76F1">
        <w:rPr>
          <w:lang w:val="en-AU"/>
        </w:rPr>
        <w:t>a</w:t>
      </w:r>
      <w:r w:rsidR="008E76F1" w:rsidRPr="00AE276F">
        <w:rPr>
          <w:lang w:val="en-AU"/>
        </w:rPr>
        <w:t xml:space="preserve">llocation </w:t>
      </w:r>
      <w:r w:rsidR="008E76F1">
        <w:rPr>
          <w:lang w:val="en-AU"/>
        </w:rPr>
        <w:t>m</w:t>
      </w:r>
      <w:r w:rsidR="008E76F1" w:rsidRPr="00AE276F">
        <w:rPr>
          <w:lang w:val="en-AU"/>
        </w:rPr>
        <w:t>ethod</w:t>
      </w:r>
      <w:r w:rsidRPr="00AE276F">
        <w:rPr>
          <w:lang w:val="en-AU"/>
        </w:rPr>
        <w:t>.</w:t>
      </w:r>
    </w:p>
    <w:p w14:paraId="441C5EAE" w14:textId="2723D061" w:rsidR="00AE276F" w:rsidRPr="00AE276F" w:rsidRDefault="00AE276F" w:rsidP="00DE5237">
      <w:pPr>
        <w:pStyle w:val="NumberLevel2"/>
        <w:numPr>
          <w:ilvl w:val="1"/>
          <w:numId w:val="5"/>
        </w:numPr>
        <w:tabs>
          <w:tab w:val="num" w:pos="709"/>
        </w:tabs>
        <w:ind w:left="709" w:hanging="709"/>
        <w:rPr>
          <w:lang w:val="en-AU"/>
        </w:rPr>
      </w:pPr>
      <w:r>
        <w:rPr>
          <w:lang w:val="en-AU"/>
        </w:rPr>
        <w:t xml:space="preserve">The </w:t>
      </w:r>
      <w:r w:rsidR="001E261A">
        <w:rPr>
          <w:lang w:val="en-AU"/>
        </w:rPr>
        <w:t xml:space="preserve">AER’s </w:t>
      </w:r>
      <w:r>
        <w:rPr>
          <w:lang w:val="en-AU"/>
        </w:rPr>
        <w:t xml:space="preserve">current Cost Allocation Guidelines </w:t>
      </w:r>
      <w:r w:rsidR="00461515">
        <w:rPr>
          <w:lang w:val="en-AU"/>
        </w:rPr>
        <w:t xml:space="preserve">were published in </w:t>
      </w:r>
      <w:r w:rsidR="001E261A">
        <w:rPr>
          <w:lang w:val="en-AU"/>
        </w:rPr>
        <w:t>June </w:t>
      </w:r>
      <w:r>
        <w:rPr>
          <w:lang w:val="en-AU"/>
        </w:rPr>
        <w:t>2008</w:t>
      </w:r>
      <w:r w:rsidR="00D063B8">
        <w:rPr>
          <w:rStyle w:val="FootnoteReference"/>
          <w:lang w:val="en-AU"/>
        </w:rPr>
        <w:footnoteReference w:id="30"/>
      </w:r>
      <w:r>
        <w:rPr>
          <w:lang w:val="en-AU"/>
        </w:rPr>
        <w:t>.</w:t>
      </w:r>
    </w:p>
    <w:p w14:paraId="0F6913E1" w14:textId="40DCA51E" w:rsidR="00705E7A" w:rsidRPr="00705E7A" w:rsidRDefault="00705E7A" w:rsidP="00DE5237">
      <w:pPr>
        <w:pStyle w:val="NumberLevel2"/>
        <w:numPr>
          <w:ilvl w:val="1"/>
          <w:numId w:val="5"/>
        </w:numPr>
        <w:tabs>
          <w:tab w:val="num" w:pos="709"/>
        </w:tabs>
        <w:ind w:left="709" w:hanging="709"/>
        <w:rPr>
          <w:lang w:val="en-AU"/>
        </w:rPr>
      </w:pPr>
      <w:r w:rsidRPr="00705E7A">
        <w:rPr>
          <w:lang w:val="en-AU"/>
        </w:rPr>
        <w:t xml:space="preserve">Clause 6.15.4 of the </w:t>
      </w:r>
      <w:r w:rsidR="00AE276F">
        <w:rPr>
          <w:lang w:val="en-AU"/>
        </w:rPr>
        <w:t>NER</w:t>
      </w:r>
      <w:r w:rsidRPr="00705E7A">
        <w:rPr>
          <w:lang w:val="en-AU"/>
        </w:rPr>
        <w:t xml:space="preserve"> sets out the requirements </w:t>
      </w:r>
      <w:r w:rsidR="001E261A">
        <w:rPr>
          <w:lang w:val="en-AU"/>
        </w:rPr>
        <w:t>that apply to</w:t>
      </w:r>
      <w:r w:rsidR="001E261A" w:rsidRPr="00705E7A">
        <w:rPr>
          <w:lang w:val="en-AU"/>
        </w:rPr>
        <w:t xml:space="preserve"> </w:t>
      </w:r>
      <w:r w:rsidRPr="00705E7A">
        <w:rPr>
          <w:lang w:val="en-AU"/>
        </w:rPr>
        <w:t xml:space="preserve">each DNSP </w:t>
      </w:r>
      <w:r w:rsidR="001E261A">
        <w:rPr>
          <w:lang w:val="en-AU"/>
        </w:rPr>
        <w:t>when</w:t>
      </w:r>
      <w:r w:rsidR="001E261A" w:rsidRPr="00705E7A">
        <w:rPr>
          <w:lang w:val="en-AU"/>
        </w:rPr>
        <w:t xml:space="preserve"> </w:t>
      </w:r>
      <w:r w:rsidRPr="00705E7A">
        <w:rPr>
          <w:lang w:val="en-AU"/>
        </w:rPr>
        <w:t xml:space="preserve">preparing and submitting a CAM to the AER for approval. These requirements include that DNSPs </w:t>
      </w:r>
      <w:r w:rsidR="001E261A">
        <w:rPr>
          <w:lang w:val="en-AU"/>
        </w:rPr>
        <w:t xml:space="preserve">must </w:t>
      </w:r>
      <w:r w:rsidRPr="00705E7A">
        <w:rPr>
          <w:lang w:val="en-AU"/>
        </w:rPr>
        <w:t xml:space="preserve">submit a proposed CAM to the AER by </w:t>
      </w:r>
      <w:r w:rsidR="001E261A" w:rsidRPr="00705E7A">
        <w:rPr>
          <w:lang w:val="en-AU"/>
        </w:rPr>
        <w:t>1</w:t>
      </w:r>
      <w:r w:rsidR="001E261A">
        <w:rPr>
          <w:lang w:val="en-AU"/>
        </w:rPr>
        <w:t> </w:t>
      </w:r>
      <w:r w:rsidR="001E261A" w:rsidRPr="00705E7A">
        <w:rPr>
          <w:lang w:val="en-AU"/>
        </w:rPr>
        <w:t>January</w:t>
      </w:r>
      <w:r w:rsidR="001E261A">
        <w:rPr>
          <w:lang w:val="en-AU"/>
        </w:rPr>
        <w:t> </w:t>
      </w:r>
      <w:r w:rsidRPr="00705E7A">
        <w:rPr>
          <w:lang w:val="en-AU"/>
        </w:rPr>
        <w:t xml:space="preserve">2009 </w:t>
      </w:r>
      <w:r w:rsidR="005752C7">
        <w:rPr>
          <w:lang w:val="en-AU"/>
        </w:rPr>
        <w:t xml:space="preserve">(or within six months after being required to do so by the AER if an entity becomes a DNSP covered by the NER after the commencement of the NER) </w:t>
      </w:r>
      <w:r w:rsidRPr="00705E7A">
        <w:rPr>
          <w:lang w:val="en-AU"/>
        </w:rPr>
        <w:t>and that the proposed CAMs must give effect to</w:t>
      </w:r>
      <w:r w:rsidR="008E76F1">
        <w:rPr>
          <w:lang w:val="en-AU"/>
        </w:rPr>
        <w:t>,</w:t>
      </w:r>
      <w:r w:rsidRPr="00705E7A">
        <w:rPr>
          <w:lang w:val="en-AU"/>
        </w:rPr>
        <w:t xml:space="preserve"> and be consistent</w:t>
      </w:r>
      <w:r w:rsidR="008E76F1">
        <w:rPr>
          <w:lang w:val="en-AU"/>
        </w:rPr>
        <w:t>,</w:t>
      </w:r>
      <w:r w:rsidRPr="00705E7A">
        <w:rPr>
          <w:lang w:val="en-AU"/>
        </w:rPr>
        <w:t xml:space="preserve"> with the </w:t>
      </w:r>
      <w:r w:rsidR="001E261A">
        <w:rPr>
          <w:lang w:val="en-AU"/>
        </w:rPr>
        <w:t>Cost Allocation</w:t>
      </w:r>
      <w:r w:rsidR="002A1F7B">
        <w:rPr>
          <w:lang w:val="en-AU"/>
        </w:rPr>
        <w:t xml:space="preserve"> </w:t>
      </w:r>
      <w:r w:rsidRPr="00705E7A">
        <w:rPr>
          <w:lang w:val="en-AU"/>
        </w:rPr>
        <w:t>Guidelines issued by the</w:t>
      </w:r>
      <w:r w:rsidR="00461515">
        <w:rPr>
          <w:lang w:val="en-AU"/>
        </w:rPr>
        <w:t xml:space="preserve"> AER</w:t>
      </w:r>
      <w:r w:rsidRPr="00705E7A">
        <w:rPr>
          <w:lang w:val="en-AU"/>
        </w:rPr>
        <w:t>.</w:t>
      </w:r>
    </w:p>
    <w:p w14:paraId="4D2C49F9" w14:textId="77777777" w:rsidR="00705E7A" w:rsidRDefault="00705E7A" w:rsidP="00DE5237">
      <w:pPr>
        <w:pStyle w:val="NumberLevel2"/>
        <w:numPr>
          <w:ilvl w:val="1"/>
          <w:numId w:val="5"/>
        </w:numPr>
        <w:tabs>
          <w:tab w:val="num" w:pos="709"/>
        </w:tabs>
        <w:ind w:left="709" w:hanging="709"/>
        <w:rPr>
          <w:lang w:val="en-AU"/>
        </w:rPr>
      </w:pPr>
      <w:r w:rsidRPr="00705E7A">
        <w:rPr>
          <w:lang w:val="en-AU"/>
        </w:rPr>
        <w:t>As part of giving any approval, the AER may, after consulting with the relevant DNSP, amend the CAM submitted to it, in which case the CAM as so amended will be taken to be approved by the AER.</w:t>
      </w:r>
    </w:p>
    <w:p w14:paraId="371EA7E1" w14:textId="61868600" w:rsidR="009E3EE4" w:rsidRPr="009E3EE4" w:rsidRDefault="009E3EE4" w:rsidP="00DE5237">
      <w:pPr>
        <w:pStyle w:val="NumberLevel2"/>
        <w:numPr>
          <w:ilvl w:val="1"/>
          <w:numId w:val="5"/>
        </w:numPr>
        <w:tabs>
          <w:tab w:val="num" w:pos="709"/>
        </w:tabs>
        <w:ind w:left="709" w:hanging="709"/>
        <w:rPr>
          <w:lang w:val="en-AU"/>
        </w:rPr>
      </w:pPr>
      <w:r>
        <w:rPr>
          <w:lang w:val="en-AU"/>
        </w:rPr>
        <w:t xml:space="preserve">The AER may amend the </w:t>
      </w:r>
      <w:r w:rsidR="001E261A">
        <w:rPr>
          <w:lang w:val="en-AU"/>
        </w:rPr>
        <w:t xml:space="preserve">Cost Allocation </w:t>
      </w:r>
      <w:r>
        <w:rPr>
          <w:lang w:val="en-AU"/>
        </w:rPr>
        <w:t>Guidelines from time to time, following public consultation. A DNSP may submit a revised CAM to the AER for approval at any time.</w:t>
      </w:r>
    </w:p>
    <w:p w14:paraId="2E1B3516" w14:textId="3713CE47" w:rsidR="00877167" w:rsidRDefault="00877167" w:rsidP="00877167">
      <w:pPr>
        <w:pStyle w:val="UtilComHeading3"/>
      </w:pPr>
      <w:r>
        <w:t xml:space="preserve">Framework and </w:t>
      </w:r>
      <w:r w:rsidR="001F36EB">
        <w:t>Approach</w:t>
      </w:r>
    </w:p>
    <w:p w14:paraId="64D0585E" w14:textId="3E2335CA" w:rsidR="00877167" w:rsidRPr="00096EEA" w:rsidRDefault="00877167" w:rsidP="00DE5237">
      <w:pPr>
        <w:pStyle w:val="NumberLevel2"/>
        <w:numPr>
          <w:ilvl w:val="1"/>
          <w:numId w:val="5"/>
        </w:numPr>
        <w:tabs>
          <w:tab w:val="num" w:pos="709"/>
        </w:tabs>
        <w:ind w:left="709" w:hanging="709"/>
        <w:rPr>
          <w:lang w:val="en-AU"/>
        </w:rPr>
      </w:pPr>
      <w:r>
        <w:rPr>
          <w:lang w:val="en-AU"/>
        </w:rPr>
        <w:t xml:space="preserve">In its Framework </w:t>
      </w:r>
      <w:r w:rsidR="00677BC3">
        <w:rPr>
          <w:lang w:val="en-AU"/>
        </w:rPr>
        <w:t>Statement</w:t>
      </w:r>
      <w:r>
        <w:rPr>
          <w:lang w:val="en-AU"/>
        </w:rPr>
        <w:t xml:space="preserve">, the </w:t>
      </w:r>
      <w:r w:rsidRPr="00096EEA">
        <w:rPr>
          <w:lang w:val="en-AU"/>
        </w:rPr>
        <w:t xml:space="preserve">Commission </w:t>
      </w:r>
      <w:r>
        <w:rPr>
          <w:lang w:val="en-AU"/>
        </w:rPr>
        <w:t>noted that, w</w:t>
      </w:r>
      <w:r w:rsidRPr="00877167">
        <w:rPr>
          <w:lang w:val="en-AU"/>
        </w:rPr>
        <w:t xml:space="preserve">hile the </w:t>
      </w:r>
      <w:r w:rsidR="00FB2EC5">
        <w:rPr>
          <w:lang w:val="en-AU"/>
        </w:rPr>
        <w:t>Network Access Code</w:t>
      </w:r>
      <w:r w:rsidRPr="00877167">
        <w:rPr>
          <w:lang w:val="en-AU"/>
        </w:rPr>
        <w:t xml:space="preserve"> does not explicitly require </w:t>
      </w:r>
      <w:r w:rsidR="001E261A">
        <w:rPr>
          <w:lang w:val="en-AU"/>
        </w:rPr>
        <w:t>PWC Networks</w:t>
      </w:r>
      <w:r w:rsidRPr="00877167">
        <w:rPr>
          <w:lang w:val="en-AU"/>
        </w:rPr>
        <w:t xml:space="preserve"> to submit a </w:t>
      </w:r>
      <w:r w:rsidR="001E261A">
        <w:rPr>
          <w:lang w:val="en-AU"/>
        </w:rPr>
        <w:t>CAM</w:t>
      </w:r>
      <w:r w:rsidRPr="00877167">
        <w:rPr>
          <w:lang w:val="en-AU"/>
        </w:rPr>
        <w:t xml:space="preserve"> to the Commission, </w:t>
      </w:r>
      <w:r w:rsidR="001E261A">
        <w:rPr>
          <w:lang w:val="en-AU"/>
        </w:rPr>
        <w:t>PWC Networks</w:t>
      </w:r>
      <w:r w:rsidRPr="00877167">
        <w:rPr>
          <w:lang w:val="en-AU"/>
        </w:rPr>
        <w:t xml:space="preserve"> </w:t>
      </w:r>
      <w:r w:rsidR="001E261A">
        <w:rPr>
          <w:lang w:val="en-AU"/>
        </w:rPr>
        <w:t>still needs</w:t>
      </w:r>
      <w:r w:rsidRPr="00877167">
        <w:rPr>
          <w:lang w:val="en-AU"/>
        </w:rPr>
        <w:t xml:space="preserve"> to allocate costs between </w:t>
      </w:r>
      <w:r w:rsidR="001E261A">
        <w:rPr>
          <w:lang w:val="en-AU"/>
        </w:rPr>
        <w:t>its regulated network access services and excluded network access services when preparing its regulatory proposal</w:t>
      </w:r>
      <w:r>
        <w:rPr>
          <w:lang w:val="en-AU"/>
        </w:rPr>
        <w:t>.</w:t>
      </w:r>
    </w:p>
    <w:p w14:paraId="27DB0403" w14:textId="7A327612" w:rsidR="00877167" w:rsidRPr="00877167" w:rsidRDefault="00963F8E" w:rsidP="00DE5237">
      <w:pPr>
        <w:pStyle w:val="NumberLevel2"/>
        <w:numPr>
          <w:ilvl w:val="1"/>
          <w:numId w:val="5"/>
        </w:numPr>
        <w:tabs>
          <w:tab w:val="num" w:pos="709"/>
        </w:tabs>
        <w:ind w:left="709" w:hanging="709"/>
        <w:rPr>
          <w:lang w:val="en-AU"/>
        </w:rPr>
      </w:pPr>
      <w:r>
        <w:rPr>
          <w:lang w:val="en-AU"/>
        </w:rPr>
        <w:t xml:space="preserve">However, noting </w:t>
      </w:r>
      <w:r w:rsidR="001F086B">
        <w:rPr>
          <w:lang w:val="en-AU"/>
        </w:rPr>
        <w:t xml:space="preserve">PWC Networks’ </w:t>
      </w:r>
      <w:r w:rsidR="0050137E">
        <w:rPr>
          <w:lang w:val="en-AU"/>
        </w:rPr>
        <w:t>resource constraints</w:t>
      </w:r>
      <w:r w:rsidR="00977F71">
        <w:rPr>
          <w:lang w:val="en-AU"/>
        </w:rPr>
        <w:t>,</w:t>
      </w:r>
      <w:r w:rsidR="00877167" w:rsidRPr="00877167">
        <w:rPr>
          <w:lang w:val="en-AU"/>
        </w:rPr>
        <w:t xml:space="preserve"> the Commission </w:t>
      </w:r>
      <w:r w:rsidR="00977F71">
        <w:rPr>
          <w:lang w:val="en-AU"/>
        </w:rPr>
        <w:t>did not require PWC</w:t>
      </w:r>
      <w:r w:rsidR="00210C7E">
        <w:rPr>
          <w:lang w:val="en-AU"/>
        </w:rPr>
        <w:t> Networks</w:t>
      </w:r>
      <w:r w:rsidR="00977F71">
        <w:rPr>
          <w:lang w:val="en-AU"/>
        </w:rPr>
        <w:t xml:space="preserve"> to fully comply with the AER’s Cost Allocation Guidelines, but </w:t>
      </w:r>
      <w:r w:rsidR="00877167" w:rsidRPr="00877167">
        <w:rPr>
          <w:lang w:val="en-AU"/>
        </w:rPr>
        <w:t>require</w:t>
      </w:r>
      <w:r w:rsidR="00977F71">
        <w:rPr>
          <w:lang w:val="en-AU"/>
        </w:rPr>
        <w:t>d</w:t>
      </w:r>
      <w:r w:rsidR="00877167" w:rsidRPr="00877167">
        <w:rPr>
          <w:lang w:val="en-AU"/>
        </w:rPr>
        <w:t xml:space="preserve"> </w:t>
      </w:r>
      <w:r w:rsidR="00210C7E">
        <w:rPr>
          <w:lang w:val="en-AU"/>
        </w:rPr>
        <w:t>that</w:t>
      </w:r>
      <w:r w:rsidR="00877167" w:rsidRPr="00877167">
        <w:rPr>
          <w:lang w:val="en-AU"/>
        </w:rPr>
        <w:t xml:space="preserve"> its existing cost allocation methodology </w:t>
      </w:r>
      <w:r w:rsidR="00210C7E">
        <w:rPr>
          <w:lang w:val="en-AU"/>
        </w:rPr>
        <w:t xml:space="preserve">be fully documented </w:t>
      </w:r>
      <w:r w:rsidR="00877167" w:rsidRPr="00877167">
        <w:rPr>
          <w:lang w:val="en-AU"/>
        </w:rPr>
        <w:t>such that the following c</w:t>
      </w:r>
      <w:r w:rsidR="00D063B8">
        <w:rPr>
          <w:lang w:val="en-AU"/>
        </w:rPr>
        <w:t>ould</w:t>
      </w:r>
      <w:r w:rsidR="00877167" w:rsidRPr="00877167">
        <w:rPr>
          <w:lang w:val="en-AU"/>
        </w:rPr>
        <w:t xml:space="preserve"> be audited against it:</w:t>
      </w:r>
    </w:p>
    <w:p w14:paraId="1835B638" w14:textId="67D36ADC" w:rsidR="00877167" w:rsidRPr="00877167" w:rsidRDefault="00877167" w:rsidP="008E229D">
      <w:pPr>
        <w:pStyle w:val="UtilComBulletText"/>
        <w:numPr>
          <w:ilvl w:val="0"/>
          <w:numId w:val="6"/>
        </w:numPr>
        <w:tabs>
          <w:tab w:val="clear" w:pos="964"/>
          <w:tab w:val="num" w:pos="1134"/>
        </w:tabs>
        <w:ind w:left="1134" w:hanging="425"/>
      </w:pPr>
      <w:r w:rsidRPr="00877167">
        <w:t xml:space="preserve">allocation of costs to </w:t>
      </w:r>
      <w:r w:rsidR="001E261A">
        <w:t>PWC Networks</w:t>
      </w:r>
      <w:r w:rsidRPr="00877167">
        <w:t>;</w:t>
      </w:r>
    </w:p>
    <w:p w14:paraId="5F9C2EA0" w14:textId="724F5EE6" w:rsidR="00877167" w:rsidRPr="00877167" w:rsidRDefault="00877167" w:rsidP="008E229D">
      <w:pPr>
        <w:pStyle w:val="UtilComBulletText"/>
        <w:numPr>
          <w:ilvl w:val="0"/>
          <w:numId w:val="6"/>
        </w:numPr>
        <w:tabs>
          <w:tab w:val="clear" w:pos="964"/>
          <w:tab w:val="num" w:pos="1134"/>
        </w:tabs>
        <w:ind w:left="1134" w:hanging="425"/>
      </w:pPr>
      <w:r w:rsidRPr="00877167">
        <w:t xml:space="preserve">allocation of costs between </w:t>
      </w:r>
      <w:r w:rsidR="003F529D" w:rsidRPr="003F529D">
        <w:t>regulated network access</w:t>
      </w:r>
      <w:r w:rsidRPr="003F529D">
        <w:t xml:space="preserve"> services and </w:t>
      </w:r>
      <w:r w:rsidR="00B87432">
        <w:t xml:space="preserve">excluded network access </w:t>
      </w:r>
      <w:r w:rsidR="003F529D">
        <w:t>services</w:t>
      </w:r>
      <w:r w:rsidRPr="00877167">
        <w:t>; and</w:t>
      </w:r>
    </w:p>
    <w:p w14:paraId="05B59761" w14:textId="2844AEAC" w:rsidR="00877167" w:rsidRPr="00877167" w:rsidRDefault="00877167" w:rsidP="008E229D">
      <w:pPr>
        <w:pStyle w:val="UtilComBulletText"/>
        <w:numPr>
          <w:ilvl w:val="0"/>
          <w:numId w:val="6"/>
        </w:numPr>
        <w:tabs>
          <w:tab w:val="clear" w:pos="964"/>
          <w:tab w:val="num" w:pos="1134"/>
        </w:tabs>
        <w:ind w:left="1134" w:hanging="425"/>
      </w:pPr>
      <w:r w:rsidRPr="00877167">
        <w:t xml:space="preserve">allocation of costs between </w:t>
      </w:r>
      <w:r w:rsidR="001E261A">
        <w:t xml:space="preserve">retail </w:t>
      </w:r>
      <w:r w:rsidRPr="00877167">
        <w:t>customer classes and geographic regions.</w:t>
      </w:r>
    </w:p>
    <w:p w14:paraId="227D2341" w14:textId="384860DD" w:rsidR="00977F71" w:rsidRDefault="00977F71" w:rsidP="00977F71">
      <w:pPr>
        <w:pStyle w:val="UtilComHeading2"/>
      </w:pPr>
      <w:bookmarkStart w:id="86" w:name="_Toc385241469"/>
      <w:bookmarkStart w:id="87" w:name="_Toc386013022"/>
      <w:r>
        <w:t>PWC Networks</w:t>
      </w:r>
      <w:r w:rsidR="009F7F55">
        <w:t>’</w:t>
      </w:r>
      <w:r>
        <w:t xml:space="preserve"> </w:t>
      </w:r>
      <w:r w:rsidR="001F36EB">
        <w:t xml:space="preserve">Initial Regulatory </w:t>
      </w:r>
      <w:bookmarkEnd w:id="86"/>
      <w:r w:rsidR="001F36EB">
        <w:t>Proposal</w:t>
      </w:r>
      <w:bookmarkEnd w:id="87"/>
    </w:p>
    <w:p w14:paraId="35BE453D" w14:textId="6DEDB44E" w:rsidR="00977F71" w:rsidRDefault="005752C7" w:rsidP="00DE5237">
      <w:pPr>
        <w:pStyle w:val="NumberLevel2"/>
        <w:numPr>
          <w:ilvl w:val="1"/>
          <w:numId w:val="5"/>
        </w:numPr>
        <w:ind w:left="709" w:hanging="709"/>
        <w:rPr>
          <w:lang w:val="en-AU"/>
        </w:rPr>
      </w:pPr>
      <w:r>
        <w:rPr>
          <w:lang w:val="en-AU"/>
        </w:rPr>
        <w:t>PWC </w:t>
      </w:r>
      <w:r w:rsidR="005243AC">
        <w:rPr>
          <w:lang w:val="en-AU"/>
        </w:rPr>
        <w:t xml:space="preserve">Networks submitted a CAM as part of its </w:t>
      </w:r>
      <w:r w:rsidR="001E261A">
        <w:rPr>
          <w:lang w:val="en-AU"/>
        </w:rPr>
        <w:t xml:space="preserve">initial </w:t>
      </w:r>
      <w:r w:rsidR="00347403">
        <w:rPr>
          <w:lang w:val="en-AU"/>
        </w:rPr>
        <w:t>regulatory proposal</w:t>
      </w:r>
      <w:r w:rsidR="005243AC">
        <w:rPr>
          <w:lang w:val="en-AU"/>
        </w:rPr>
        <w:t>.</w:t>
      </w:r>
    </w:p>
    <w:p w14:paraId="5F72F9B8" w14:textId="77777777" w:rsidR="005243AC" w:rsidRPr="005243AC" w:rsidRDefault="005752C7" w:rsidP="00DE5237">
      <w:pPr>
        <w:pStyle w:val="NumberLevel2"/>
        <w:numPr>
          <w:ilvl w:val="1"/>
          <w:numId w:val="5"/>
        </w:numPr>
        <w:ind w:left="709" w:hanging="709"/>
        <w:rPr>
          <w:lang w:val="en-AU"/>
        </w:rPr>
      </w:pPr>
      <w:r>
        <w:rPr>
          <w:lang w:val="en-AU"/>
        </w:rPr>
        <w:t>PWC </w:t>
      </w:r>
      <w:r w:rsidR="005243AC">
        <w:rPr>
          <w:lang w:val="en-AU"/>
        </w:rPr>
        <w:t xml:space="preserve">Networks’ advised that the CAM </w:t>
      </w:r>
      <w:r w:rsidR="009F7F55">
        <w:rPr>
          <w:lang w:val="en-AU"/>
        </w:rPr>
        <w:t xml:space="preserve">was </w:t>
      </w:r>
      <w:r w:rsidR="005243AC" w:rsidRPr="005243AC">
        <w:rPr>
          <w:lang w:val="en-AU"/>
        </w:rPr>
        <w:t>prepared for</w:t>
      </w:r>
      <w:r w:rsidR="005243AC">
        <w:rPr>
          <w:lang w:val="en-AU"/>
        </w:rPr>
        <w:t xml:space="preserve"> </w:t>
      </w:r>
      <w:r w:rsidR="005243AC" w:rsidRPr="005243AC">
        <w:rPr>
          <w:lang w:val="en-AU"/>
        </w:rPr>
        <w:t>the approval of the Commission, in a manner that contain</w:t>
      </w:r>
      <w:r w:rsidR="009F7F55">
        <w:rPr>
          <w:lang w:val="en-AU"/>
        </w:rPr>
        <w:t>ed</w:t>
      </w:r>
      <w:r w:rsidR="005243AC" w:rsidRPr="005243AC">
        <w:rPr>
          <w:lang w:val="en-AU"/>
        </w:rPr>
        <w:t xml:space="preserve"> detailed principles,</w:t>
      </w:r>
      <w:r w:rsidR="005243AC">
        <w:rPr>
          <w:lang w:val="en-AU"/>
        </w:rPr>
        <w:t xml:space="preserve"> </w:t>
      </w:r>
      <w:r w:rsidR="005243AC" w:rsidRPr="005243AC">
        <w:rPr>
          <w:lang w:val="en-AU"/>
        </w:rPr>
        <w:t xml:space="preserve">policies and methodology, having regard to the </w:t>
      </w:r>
      <w:r w:rsidR="00677BC3">
        <w:rPr>
          <w:lang w:val="en-AU"/>
        </w:rPr>
        <w:t>NER</w:t>
      </w:r>
      <w:r w:rsidR="00677BC3" w:rsidRPr="005243AC">
        <w:rPr>
          <w:lang w:val="en-AU"/>
        </w:rPr>
        <w:t xml:space="preserve"> </w:t>
      </w:r>
      <w:r w:rsidR="005243AC" w:rsidRPr="005243AC">
        <w:rPr>
          <w:lang w:val="en-AU"/>
        </w:rPr>
        <w:t>requirements.</w:t>
      </w:r>
    </w:p>
    <w:p w14:paraId="58E2E966" w14:textId="23AA1963" w:rsidR="00470217" w:rsidRDefault="00470217" w:rsidP="00470217">
      <w:pPr>
        <w:pStyle w:val="UtilComHeading2"/>
      </w:pPr>
      <w:bookmarkStart w:id="88" w:name="_Toc385241470"/>
      <w:bookmarkStart w:id="89" w:name="_Toc386013023"/>
      <w:r>
        <w:t>Submissions</w:t>
      </w:r>
      <w:r w:rsidR="005752C7">
        <w:t xml:space="preserve"> on </w:t>
      </w:r>
      <w:r w:rsidR="001F36EB">
        <w:t xml:space="preserve">Initial Regulatory </w:t>
      </w:r>
      <w:bookmarkEnd w:id="88"/>
      <w:r w:rsidR="001F36EB">
        <w:t>Proposal</w:t>
      </w:r>
      <w:bookmarkEnd w:id="89"/>
    </w:p>
    <w:p w14:paraId="1420DAEE" w14:textId="77777777" w:rsidR="002E19E2" w:rsidRDefault="002E19E2" w:rsidP="00DE5237">
      <w:pPr>
        <w:pStyle w:val="NumberLevel2"/>
        <w:numPr>
          <w:ilvl w:val="1"/>
          <w:numId w:val="5"/>
        </w:numPr>
        <w:tabs>
          <w:tab w:val="num" w:pos="709"/>
        </w:tabs>
        <w:ind w:left="709" w:hanging="709"/>
        <w:rPr>
          <w:lang w:val="en-AU"/>
        </w:rPr>
      </w:pPr>
      <w:r>
        <w:rPr>
          <w:lang w:val="en-AU"/>
        </w:rPr>
        <w:t xml:space="preserve">While making no specific comment on </w:t>
      </w:r>
      <w:r w:rsidR="005752C7">
        <w:rPr>
          <w:lang w:val="en-AU"/>
        </w:rPr>
        <w:t>PWC </w:t>
      </w:r>
      <w:r>
        <w:rPr>
          <w:lang w:val="en-AU"/>
        </w:rPr>
        <w:t>Networks’ CAM, the NTMEU noted that:</w:t>
      </w:r>
    </w:p>
    <w:p w14:paraId="4B7B8D04" w14:textId="77777777" w:rsidR="002E19E2" w:rsidRPr="002E19E2" w:rsidRDefault="002E19E2" w:rsidP="004B63D8">
      <w:pPr>
        <w:pStyle w:val="UtilComQuotationText"/>
        <w:ind w:left="1134"/>
        <w:rPr>
          <w:lang w:val="en-AU"/>
        </w:rPr>
      </w:pPr>
      <w:r>
        <w:rPr>
          <w:lang w:val="en-AU"/>
        </w:rPr>
        <w:t>…</w:t>
      </w:r>
      <w:r w:rsidRPr="002E19E2">
        <w:rPr>
          <w:lang w:val="en-AU"/>
        </w:rPr>
        <w:t>as PWC is a multi-utility, it has the ability to</w:t>
      </w:r>
      <w:r>
        <w:rPr>
          <w:lang w:val="en-AU"/>
        </w:rPr>
        <w:t xml:space="preserve"> </w:t>
      </w:r>
      <w:r w:rsidRPr="002E19E2">
        <w:rPr>
          <w:lang w:val="en-AU"/>
        </w:rPr>
        <w:t>maximise the allocation of overhead costs to regulated elements of its portfolio so as to</w:t>
      </w:r>
      <w:r>
        <w:rPr>
          <w:lang w:val="en-AU"/>
        </w:rPr>
        <w:t xml:space="preserve"> </w:t>
      </w:r>
      <w:r w:rsidRPr="002E19E2">
        <w:rPr>
          <w:lang w:val="en-AU"/>
        </w:rPr>
        <w:t>minimise the overhead share carried by its unregulated elements</w:t>
      </w:r>
      <w:r>
        <w:rPr>
          <w:lang w:val="en-AU"/>
        </w:rPr>
        <w:t>. (p</w:t>
      </w:r>
      <w:r w:rsidR="00347403">
        <w:rPr>
          <w:lang w:val="en-AU"/>
        </w:rPr>
        <w:t>age</w:t>
      </w:r>
      <w:r>
        <w:rPr>
          <w:lang w:val="en-AU"/>
        </w:rPr>
        <w:t>.36)</w:t>
      </w:r>
    </w:p>
    <w:p w14:paraId="5DDDA0E7" w14:textId="7B6AEB19" w:rsidR="00470217" w:rsidRPr="001911C2" w:rsidRDefault="00470217" w:rsidP="00DE5237">
      <w:pPr>
        <w:pStyle w:val="NumberLevel2"/>
        <w:numPr>
          <w:ilvl w:val="1"/>
          <w:numId w:val="5"/>
        </w:numPr>
        <w:tabs>
          <w:tab w:val="num" w:pos="709"/>
        </w:tabs>
        <w:ind w:left="709" w:hanging="709"/>
        <w:rPr>
          <w:lang w:val="en-AU"/>
        </w:rPr>
      </w:pPr>
      <w:r w:rsidRPr="001911C2">
        <w:rPr>
          <w:lang w:val="en-AU"/>
        </w:rPr>
        <w:t xml:space="preserve">No </w:t>
      </w:r>
      <w:r w:rsidR="002E19E2">
        <w:rPr>
          <w:lang w:val="en-AU"/>
        </w:rPr>
        <w:t xml:space="preserve">further </w:t>
      </w:r>
      <w:r w:rsidRPr="001911C2">
        <w:rPr>
          <w:lang w:val="en-AU"/>
        </w:rPr>
        <w:t xml:space="preserve">submissions were received on </w:t>
      </w:r>
      <w:r w:rsidR="001E261A">
        <w:rPr>
          <w:lang w:val="en-AU"/>
        </w:rPr>
        <w:t>PWC Networks’ CAM</w:t>
      </w:r>
      <w:r>
        <w:rPr>
          <w:lang w:val="en-AU"/>
        </w:rPr>
        <w:t>.</w:t>
      </w:r>
    </w:p>
    <w:p w14:paraId="1A729E94" w14:textId="474BDD27" w:rsidR="00470217" w:rsidRDefault="00470217" w:rsidP="00470217">
      <w:pPr>
        <w:pStyle w:val="UtilComHeading2"/>
      </w:pPr>
      <w:bookmarkStart w:id="90" w:name="_Toc385241471"/>
      <w:bookmarkStart w:id="91" w:name="_Toc386013024"/>
      <w:r>
        <w:t xml:space="preserve">Issues and Commission’s </w:t>
      </w:r>
      <w:r w:rsidR="001F36EB">
        <w:t xml:space="preserve">Initial </w:t>
      </w:r>
      <w:bookmarkEnd w:id="90"/>
      <w:r w:rsidR="001F36EB">
        <w:t>Considerations</w:t>
      </w:r>
      <w:bookmarkEnd w:id="91"/>
    </w:p>
    <w:p w14:paraId="393F57DF" w14:textId="3E7C03A4" w:rsidR="00210C7E" w:rsidRDefault="00D063B8" w:rsidP="00DE5237">
      <w:pPr>
        <w:pStyle w:val="NumberLevel2"/>
        <w:numPr>
          <w:ilvl w:val="1"/>
          <w:numId w:val="5"/>
        </w:numPr>
        <w:tabs>
          <w:tab w:val="num" w:pos="709"/>
        </w:tabs>
        <w:ind w:left="709" w:hanging="709"/>
        <w:rPr>
          <w:lang w:val="en-AU"/>
        </w:rPr>
      </w:pPr>
      <w:r>
        <w:rPr>
          <w:lang w:val="en-AU"/>
        </w:rPr>
        <w:t xml:space="preserve">PWC Networks’ </w:t>
      </w:r>
      <w:r w:rsidR="00210C7E">
        <w:rPr>
          <w:lang w:val="en-AU"/>
        </w:rPr>
        <w:t>financial management system is maintained by PWC for all</w:t>
      </w:r>
      <w:r>
        <w:rPr>
          <w:lang w:val="en-AU"/>
        </w:rPr>
        <w:t xml:space="preserve"> of PWC’s</w:t>
      </w:r>
      <w:r w:rsidR="00210C7E">
        <w:rPr>
          <w:lang w:val="en-AU"/>
        </w:rPr>
        <w:t xml:space="preserve"> business units. Accordingly, </w:t>
      </w:r>
      <w:r w:rsidR="00390CEA">
        <w:rPr>
          <w:lang w:val="en-AU"/>
        </w:rPr>
        <w:t>the Commission’s considerations have been undertaken with the re</w:t>
      </w:r>
      <w:r>
        <w:rPr>
          <w:lang w:val="en-AU"/>
        </w:rPr>
        <w:t>s</w:t>
      </w:r>
      <w:r w:rsidR="00390CEA">
        <w:rPr>
          <w:lang w:val="en-AU"/>
        </w:rPr>
        <w:t>pect to the PWC</w:t>
      </w:r>
      <w:r>
        <w:rPr>
          <w:lang w:val="en-AU"/>
        </w:rPr>
        <w:t>’s</w:t>
      </w:r>
      <w:r w:rsidR="00390CEA">
        <w:rPr>
          <w:lang w:val="en-AU"/>
        </w:rPr>
        <w:t xml:space="preserve"> CAM, which includes allocation of costs to the business units, rather than a CAM specific to PWC Networks.</w:t>
      </w:r>
    </w:p>
    <w:p w14:paraId="40CCF03D" w14:textId="7E7646EF" w:rsidR="009C1C6A" w:rsidRDefault="00296B6B" w:rsidP="00DE5237">
      <w:pPr>
        <w:pStyle w:val="NumberLevel2"/>
        <w:numPr>
          <w:ilvl w:val="1"/>
          <w:numId w:val="5"/>
        </w:numPr>
        <w:tabs>
          <w:tab w:val="num" w:pos="709"/>
        </w:tabs>
        <w:ind w:left="709" w:hanging="709"/>
        <w:rPr>
          <w:lang w:val="en-AU"/>
        </w:rPr>
      </w:pPr>
      <w:r>
        <w:rPr>
          <w:lang w:val="en-AU"/>
        </w:rPr>
        <w:t>PWC</w:t>
      </w:r>
      <w:r w:rsidR="0042090B">
        <w:rPr>
          <w:lang w:val="en-AU"/>
        </w:rPr>
        <w:t xml:space="preserve"> assigns the direct cost of services where they are provided between</w:t>
      </w:r>
      <w:r w:rsidR="00F667CE">
        <w:rPr>
          <w:lang w:val="en-AU"/>
        </w:rPr>
        <w:t xml:space="preserve"> its </w:t>
      </w:r>
      <w:r w:rsidR="0042090B">
        <w:rPr>
          <w:lang w:val="en-AU"/>
        </w:rPr>
        <w:t xml:space="preserve">business </w:t>
      </w:r>
      <w:r w:rsidR="00D063B8">
        <w:rPr>
          <w:lang w:val="en-AU"/>
        </w:rPr>
        <w:t xml:space="preserve">divisions </w:t>
      </w:r>
      <w:r w:rsidR="00F667CE">
        <w:rPr>
          <w:lang w:val="en-AU"/>
        </w:rPr>
        <w:t xml:space="preserve">wherever feasible. </w:t>
      </w:r>
    </w:p>
    <w:p w14:paraId="3A3A5361" w14:textId="54F8E9B7" w:rsidR="0042090B" w:rsidRDefault="00F667CE" w:rsidP="00DE5237">
      <w:pPr>
        <w:pStyle w:val="NumberLevel2"/>
        <w:numPr>
          <w:ilvl w:val="1"/>
          <w:numId w:val="5"/>
        </w:numPr>
        <w:tabs>
          <w:tab w:val="num" w:pos="709"/>
        </w:tabs>
        <w:ind w:left="709" w:hanging="709"/>
        <w:rPr>
          <w:lang w:val="en-AU"/>
        </w:rPr>
      </w:pPr>
      <w:r>
        <w:rPr>
          <w:lang w:val="en-AU"/>
        </w:rPr>
        <w:t>The Commission understands this to mean that where a corporate support unit provides a specific service to a</w:t>
      </w:r>
      <w:r w:rsidR="002A4F45">
        <w:rPr>
          <w:lang w:val="en-AU"/>
        </w:rPr>
        <w:t>n</w:t>
      </w:r>
      <w:r>
        <w:rPr>
          <w:lang w:val="en-AU"/>
        </w:rPr>
        <w:t xml:space="preserve"> </w:t>
      </w:r>
      <w:r w:rsidR="002A4F45">
        <w:rPr>
          <w:lang w:val="en-AU"/>
        </w:rPr>
        <w:t xml:space="preserve">operating </w:t>
      </w:r>
      <w:r>
        <w:rPr>
          <w:lang w:val="en-AU"/>
        </w:rPr>
        <w:t>business unit (for example</w:t>
      </w:r>
      <w:r w:rsidR="009C1C6A">
        <w:rPr>
          <w:lang w:val="en-AU"/>
        </w:rPr>
        <w:t>,</w:t>
      </w:r>
      <w:r>
        <w:rPr>
          <w:lang w:val="en-AU"/>
        </w:rPr>
        <w:t xml:space="preserve"> employee services undertaking specific recruitment activity for PWC </w:t>
      </w:r>
      <w:r w:rsidR="002A4F45">
        <w:rPr>
          <w:lang w:val="en-AU"/>
        </w:rPr>
        <w:t>N</w:t>
      </w:r>
      <w:r>
        <w:rPr>
          <w:lang w:val="en-AU"/>
        </w:rPr>
        <w:t xml:space="preserve">etworks, or the economics and regulation unit assisting with the preparation of </w:t>
      </w:r>
      <w:r w:rsidR="002A4F45">
        <w:rPr>
          <w:lang w:val="en-AU"/>
        </w:rPr>
        <w:t>PWC Networks’</w:t>
      </w:r>
      <w:r>
        <w:rPr>
          <w:lang w:val="en-AU"/>
        </w:rPr>
        <w:t xml:space="preserve"> regulatory proposal), </w:t>
      </w:r>
      <w:r w:rsidR="00E606DF">
        <w:rPr>
          <w:lang w:val="en-AU"/>
        </w:rPr>
        <w:t>the cost</w:t>
      </w:r>
      <w:r w:rsidR="00AE36AF">
        <w:rPr>
          <w:lang w:val="en-AU"/>
        </w:rPr>
        <w:t xml:space="preserve">, </w:t>
      </w:r>
      <w:r w:rsidR="00697CA4">
        <w:rPr>
          <w:lang w:val="en-AU"/>
        </w:rPr>
        <w:t>based on a set charge out rate,</w:t>
      </w:r>
      <w:r w:rsidR="00E606DF">
        <w:rPr>
          <w:lang w:val="en-AU"/>
        </w:rPr>
        <w:t xml:space="preserve"> will be directly attributed to the </w:t>
      </w:r>
      <w:r w:rsidR="009C1C6A">
        <w:rPr>
          <w:lang w:val="en-AU"/>
        </w:rPr>
        <w:t xml:space="preserve">relevant </w:t>
      </w:r>
      <w:r w:rsidR="00E606DF">
        <w:rPr>
          <w:lang w:val="en-AU"/>
        </w:rPr>
        <w:t>business unit, with a corresponding credit to the corporate support unit.</w:t>
      </w:r>
    </w:p>
    <w:p w14:paraId="6A9D923E" w14:textId="77777777" w:rsidR="00E606DF" w:rsidRDefault="00E606DF" w:rsidP="00DE5237">
      <w:pPr>
        <w:pStyle w:val="NumberLevel2"/>
        <w:numPr>
          <w:ilvl w:val="1"/>
          <w:numId w:val="5"/>
        </w:numPr>
        <w:tabs>
          <w:tab w:val="num" w:pos="709"/>
        </w:tabs>
        <w:ind w:left="709" w:hanging="709"/>
        <w:rPr>
          <w:lang w:val="en-AU"/>
        </w:rPr>
      </w:pPr>
      <w:r>
        <w:rPr>
          <w:lang w:val="en-AU"/>
        </w:rPr>
        <w:t>The remaining costs of each corporate support unit are allocated to each business unit on a causal basis using an appropriate allocator. The</w:t>
      </w:r>
      <w:r w:rsidR="00F00194">
        <w:rPr>
          <w:lang w:val="en-AU"/>
        </w:rPr>
        <w:t xml:space="preserve"> method and rationale underlying the calculation of the</w:t>
      </w:r>
      <w:r>
        <w:rPr>
          <w:lang w:val="en-AU"/>
        </w:rPr>
        <w:t>se allocators are specified in the CAM.</w:t>
      </w:r>
    </w:p>
    <w:p w14:paraId="3A0044D7" w14:textId="44B79E96" w:rsidR="002A4F45" w:rsidRDefault="002A4F45" w:rsidP="00DE5237">
      <w:pPr>
        <w:pStyle w:val="NumberLevel2"/>
        <w:numPr>
          <w:ilvl w:val="1"/>
          <w:numId w:val="5"/>
        </w:numPr>
        <w:tabs>
          <w:tab w:val="num" w:pos="709"/>
        </w:tabs>
        <w:ind w:left="709" w:hanging="709"/>
        <w:rPr>
          <w:lang w:val="en-AU"/>
        </w:rPr>
      </w:pPr>
      <w:r w:rsidRPr="002A4F45">
        <w:rPr>
          <w:lang w:val="en-AU"/>
        </w:rPr>
        <w:t>Where one operating business unit provides a service to another operating business unit, a service level agreement (</w:t>
      </w:r>
      <w:r w:rsidR="009C1C6A">
        <w:rPr>
          <w:lang w:val="en-AU"/>
        </w:rPr>
        <w:t xml:space="preserve">or </w:t>
      </w:r>
      <w:r w:rsidRPr="002A4F45">
        <w:rPr>
          <w:lang w:val="en-AU"/>
        </w:rPr>
        <w:t>SLA) is ente</w:t>
      </w:r>
      <w:r w:rsidRPr="00F00194">
        <w:rPr>
          <w:lang w:val="en-AU"/>
        </w:rPr>
        <w:t xml:space="preserve">red into, which details the services to be provided and the </w:t>
      </w:r>
      <w:r>
        <w:rPr>
          <w:lang w:val="en-AU"/>
        </w:rPr>
        <w:t>fees</w:t>
      </w:r>
      <w:r w:rsidRPr="002A4F45">
        <w:rPr>
          <w:lang w:val="en-AU"/>
        </w:rPr>
        <w:t xml:space="preserve"> for these services. The CAM sets ou</w:t>
      </w:r>
      <w:r>
        <w:rPr>
          <w:lang w:val="en-AU"/>
        </w:rPr>
        <w:t>t the method and rationale underlying the calculation of the fees associated with SLAs to which PWC Networks is a party.</w:t>
      </w:r>
    </w:p>
    <w:p w14:paraId="375DD0A9" w14:textId="2A257521" w:rsidR="004764F4" w:rsidRDefault="00F00194" w:rsidP="003F529D">
      <w:pPr>
        <w:pStyle w:val="NumberLevel2"/>
        <w:numPr>
          <w:ilvl w:val="1"/>
          <w:numId w:val="5"/>
        </w:numPr>
        <w:tabs>
          <w:tab w:val="num" w:pos="709"/>
        </w:tabs>
        <w:ind w:left="709" w:hanging="709"/>
        <w:rPr>
          <w:lang w:val="en-AU"/>
        </w:rPr>
      </w:pPr>
      <w:r>
        <w:rPr>
          <w:lang w:val="en-AU"/>
        </w:rPr>
        <w:t>Within PWC Networks</w:t>
      </w:r>
      <w:r w:rsidR="00697CA4" w:rsidRPr="003F529D">
        <w:rPr>
          <w:rStyle w:val="FootnoteReference"/>
          <w:lang w:val="en-AU"/>
        </w:rPr>
        <w:footnoteReference w:id="31"/>
      </w:r>
      <w:r>
        <w:rPr>
          <w:lang w:val="en-AU"/>
        </w:rPr>
        <w:t xml:space="preserve">, the cost allocations to </w:t>
      </w:r>
      <w:r w:rsidR="003F529D" w:rsidRPr="003F529D">
        <w:rPr>
          <w:lang w:val="en-AU"/>
        </w:rPr>
        <w:t xml:space="preserve">regulated </w:t>
      </w:r>
      <w:r w:rsidRPr="003F529D">
        <w:rPr>
          <w:lang w:val="en-AU"/>
        </w:rPr>
        <w:t>network access services</w:t>
      </w:r>
      <w:r w:rsidR="003F529D">
        <w:rPr>
          <w:lang w:val="en-AU"/>
        </w:rPr>
        <w:t xml:space="preserve"> and</w:t>
      </w:r>
      <w:r w:rsidR="003F529D" w:rsidRPr="003F529D">
        <w:rPr>
          <w:lang w:val="en-AU"/>
        </w:rPr>
        <w:t xml:space="preserve"> </w:t>
      </w:r>
      <w:r w:rsidR="00B87432" w:rsidRPr="003F529D">
        <w:rPr>
          <w:lang w:val="en-AU"/>
        </w:rPr>
        <w:t xml:space="preserve">excluded network access </w:t>
      </w:r>
      <w:r w:rsidRPr="003F529D">
        <w:rPr>
          <w:lang w:val="en-AU"/>
        </w:rPr>
        <w:t xml:space="preserve">services </w:t>
      </w:r>
      <w:r w:rsidR="003F529D">
        <w:rPr>
          <w:lang w:val="en-AU"/>
        </w:rPr>
        <w:t xml:space="preserve">(which </w:t>
      </w:r>
      <w:r w:rsidR="009C1C6A">
        <w:rPr>
          <w:lang w:val="en-AU"/>
        </w:rPr>
        <w:t xml:space="preserve">are </w:t>
      </w:r>
      <w:r w:rsidR="003F529D" w:rsidRPr="003F529D">
        <w:rPr>
          <w:lang w:val="en-AU"/>
        </w:rPr>
        <w:t>further distinguished between those services subject to effective competition and those that are not subjective to effective completion</w:t>
      </w:r>
      <w:r w:rsidR="003F529D">
        <w:rPr>
          <w:lang w:val="en-AU"/>
        </w:rPr>
        <w:t>)</w:t>
      </w:r>
      <w:r w:rsidR="00EB7AF3" w:rsidRPr="003F529D">
        <w:rPr>
          <w:rStyle w:val="FootnoteReference"/>
          <w:lang w:val="en-AU"/>
        </w:rPr>
        <w:footnoteReference w:id="32"/>
      </w:r>
      <w:r>
        <w:rPr>
          <w:lang w:val="en-AU"/>
        </w:rPr>
        <w:t xml:space="preserve"> </w:t>
      </w:r>
      <w:r w:rsidR="00347403">
        <w:rPr>
          <w:lang w:val="en-AU"/>
        </w:rPr>
        <w:t xml:space="preserve">are </w:t>
      </w:r>
      <w:r>
        <w:rPr>
          <w:lang w:val="en-AU"/>
        </w:rPr>
        <w:t xml:space="preserve">less well developed. </w:t>
      </w:r>
      <w:r w:rsidR="00F41090">
        <w:rPr>
          <w:lang w:val="en-AU"/>
        </w:rPr>
        <w:t xml:space="preserve">With the exception of </w:t>
      </w:r>
      <w:r w:rsidR="009C1C6A">
        <w:rPr>
          <w:lang w:val="en-AU"/>
        </w:rPr>
        <w:t>the</w:t>
      </w:r>
      <w:r w:rsidR="00F41090">
        <w:rPr>
          <w:lang w:val="en-AU"/>
        </w:rPr>
        <w:t xml:space="preserve"> street</w:t>
      </w:r>
      <w:r w:rsidR="00B0486D">
        <w:rPr>
          <w:lang w:val="en-AU"/>
        </w:rPr>
        <w:t xml:space="preserve"> </w:t>
      </w:r>
      <w:r w:rsidR="00F41090">
        <w:rPr>
          <w:lang w:val="en-AU"/>
        </w:rPr>
        <w:t>lighting</w:t>
      </w:r>
      <w:r w:rsidR="009C1C6A">
        <w:rPr>
          <w:lang w:val="en-AU"/>
        </w:rPr>
        <w:t xml:space="preserve"> excluded network access service</w:t>
      </w:r>
      <w:r w:rsidR="00F41090">
        <w:rPr>
          <w:lang w:val="en-AU"/>
        </w:rPr>
        <w:t xml:space="preserve">, which are directly attributable and separately recorded, allocation of costs between </w:t>
      </w:r>
      <w:r w:rsidR="003F529D">
        <w:rPr>
          <w:lang w:val="en-AU"/>
        </w:rPr>
        <w:t>regulated network access</w:t>
      </w:r>
      <w:r w:rsidR="00F41090">
        <w:rPr>
          <w:lang w:val="en-AU"/>
        </w:rPr>
        <w:t xml:space="preserve"> services and </w:t>
      </w:r>
      <w:r w:rsidR="003F529D">
        <w:rPr>
          <w:lang w:val="en-AU"/>
        </w:rPr>
        <w:t>excluded network access</w:t>
      </w:r>
      <w:r w:rsidR="00F41090">
        <w:rPr>
          <w:lang w:val="en-AU"/>
        </w:rPr>
        <w:t xml:space="preserve"> services are determined manually in an </w:t>
      </w:r>
      <w:r w:rsidR="00347403">
        <w:rPr>
          <w:lang w:val="en-AU"/>
        </w:rPr>
        <w:t xml:space="preserve">Excel </w:t>
      </w:r>
      <w:r w:rsidR="00B66F29">
        <w:rPr>
          <w:lang w:val="en-AU"/>
        </w:rPr>
        <w:t>spreadsheet.</w:t>
      </w:r>
    </w:p>
    <w:p w14:paraId="0C7BC840" w14:textId="09FA4B68" w:rsidR="0088050B" w:rsidRDefault="003122B7" w:rsidP="003122B7">
      <w:pPr>
        <w:pStyle w:val="NumberLevel2"/>
        <w:numPr>
          <w:ilvl w:val="1"/>
          <w:numId w:val="5"/>
        </w:numPr>
        <w:tabs>
          <w:tab w:val="num" w:pos="709"/>
        </w:tabs>
        <w:ind w:left="709" w:hanging="709"/>
        <w:rPr>
          <w:lang w:val="en-AU"/>
        </w:rPr>
      </w:pPr>
      <w:r>
        <w:rPr>
          <w:lang w:val="en-AU"/>
        </w:rPr>
        <w:t xml:space="preserve">While the </w:t>
      </w:r>
      <w:r w:rsidR="0042090B">
        <w:rPr>
          <w:lang w:val="en-AU"/>
        </w:rPr>
        <w:t>Commission considers that</w:t>
      </w:r>
      <w:r w:rsidR="009F298D">
        <w:rPr>
          <w:lang w:val="en-AU"/>
        </w:rPr>
        <w:t xml:space="preserve"> PWC Networks has met the </w:t>
      </w:r>
      <w:r w:rsidR="00EE71F7">
        <w:rPr>
          <w:lang w:val="en-AU"/>
        </w:rPr>
        <w:t xml:space="preserve">requirements </w:t>
      </w:r>
      <w:r w:rsidR="00883391">
        <w:rPr>
          <w:lang w:val="en-AU"/>
        </w:rPr>
        <w:t xml:space="preserve">(substantially modified from those specified by the AER) </w:t>
      </w:r>
      <w:r w:rsidR="00EE71F7">
        <w:rPr>
          <w:lang w:val="en-AU"/>
        </w:rPr>
        <w:t xml:space="preserve">set </w:t>
      </w:r>
      <w:r>
        <w:rPr>
          <w:lang w:val="en-AU"/>
        </w:rPr>
        <w:t xml:space="preserve">in </w:t>
      </w:r>
      <w:r w:rsidR="00EE71F7">
        <w:rPr>
          <w:lang w:val="en-AU"/>
        </w:rPr>
        <w:t>the Commission</w:t>
      </w:r>
      <w:r>
        <w:rPr>
          <w:lang w:val="en-AU"/>
        </w:rPr>
        <w:t>’s</w:t>
      </w:r>
      <w:r w:rsidR="00EE71F7">
        <w:rPr>
          <w:lang w:val="en-AU"/>
        </w:rPr>
        <w:t xml:space="preserve"> Framework Statement</w:t>
      </w:r>
      <w:r>
        <w:rPr>
          <w:lang w:val="en-AU"/>
        </w:rPr>
        <w:t>,</w:t>
      </w:r>
      <w:r w:rsidR="0042090B">
        <w:rPr>
          <w:lang w:val="en-AU"/>
        </w:rPr>
        <w:t xml:space="preserve"> t</w:t>
      </w:r>
      <w:r w:rsidR="0088050B">
        <w:rPr>
          <w:lang w:val="en-AU"/>
        </w:rPr>
        <w:t xml:space="preserve">he Commission </w:t>
      </w:r>
      <w:r>
        <w:rPr>
          <w:lang w:val="en-AU"/>
        </w:rPr>
        <w:t xml:space="preserve">also </w:t>
      </w:r>
      <w:r w:rsidR="00F667CE">
        <w:rPr>
          <w:lang w:val="en-AU"/>
        </w:rPr>
        <w:t>considers that the CAM could be improved by:</w:t>
      </w:r>
    </w:p>
    <w:p w14:paraId="03BDF654" w14:textId="6D927120" w:rsidR="004155D5" w:rsidRPr="004155D5" w:rsidRDefault="004155D5" w:rsidP="008E229D">
      <w:pPr>
        <w:pStyle w:val="UtilComBulletText"/>
        <w:numPr>
          <w:ilvl w:val="0"/>
          <w:numId w:val="6"/>
        </w:numPr>
        <w:tabs>
          <w:tab w:val="clear" w:pos="964"/>
          <w:tab w:val="num" w:pos="1134"/>
        </w:tabs>
        <w:ind w:left="1134" w:hanging="425"/>
      </w:pPr>
      <w:r w:rsidRPr="004155D5">
        <w:t xml:space="preserve">including a statement </w:t>
      </w:r>
      <w:r w:rsidR="00883391">
        <w:t>regarding</w:t>
      </w:r>
      <w:r w:rsidRPr="004155D5">
        <w:t xml:space="preserve"> the nature, scope and purpose of the document (beyond satisfying requirements set by the Commission) and the way in which it is to be used by </w:t>
      </w:r>
      <w:r w:rsidR="00390CEA">
        <w:t xml:space="preserve">PWC, and specifically </w:t>
      </w:r>
      <w:r w:rsidRPr="004155D5">
        <w:t>PWC</w:t>
      </w:r>
      <w:r w:rsidR="003122B7">
        <w:t> Networks</w:t>
      </w:r>
      <w:r>
        <w:t>;</w:t>
      </w:r>
    </w:p>
    <w:p w14:paraId="299F9509" w14:textId="446FFC81" w:rsidR="004764F4" w:rsidRDefault="004764F4" w:rsidP="008E229D">
      <w:pPr>
        <w:pStyle w:val="UtilComBulletText"/>
        <w:numPr>
          <w:ilvl w:val="0"/>
          <w:numId w:val="6"/>
        </w:numPr>
        <w:tabs>
          <w:tab w:val="clear" w:pos="964"/>
          <w:tab w:val="num" w:pos="1134"/>
        </w:tabs>
        <w:ind w:left="1134" w:hanging="425"/>
      </w:pPr>
      <w:r>
        <w:t xml:space="preserve">clarifying the accountabilities within </w:t>
      </w:r>
      <w:r w:rsidR="00390CEA">
        <w:t>PWC</w:t>
      </w:r>
      <w:r>
        <w:t xml:space="preserve"> for implementing the CAM, responsibilities for updating, maintaining and applying the CAM</w:t>
      </w:r>
      <w:r w:rsidR="00883391">
        <w:t>,</w:t>
      </w:r>
      <w:r>
        <w:t xml:space="preserve"> and for internal monitoring and reporting on its application</w:t>
      </w:r>
      <w:r w:rsidR="00390CEA">
        <w:t xml:space="preserve"> by both PWC and PWC Networks</w:t>
      </w:r>
      <w:r>
        <w:t>;</w:t>
      </w:r>
    </w:p>
    <w:p w14:paraId="6A254DAA" w14:textId="1736CAD1" w:rsidR="00F667CE" w:rsidRDefault="00347403" w:rsidP="008E229D">
      <w:pPr>
        <w:pStyle w:val="UtilComBulletText"/>
        <w:numPr>
          <w:ilvl w:val="0"/>
          <w:numId w:val="6"/>
        </w:numPr>
        <w:tabs>
          <w:tab w:val="clear" w:pos="964"/>
          <w:tab w:val="num" w:pos="1134"/>
        </w:tabs>
        <w:ind w:left="1134" w:hanging="425"/>
      </w:pPr>
      <w:r>
        <w:t xml:space="preserve">providing </w:t>
      </w:r>
      <w:r w:rsidR="00F667CE" w:rsidRPr="004155D5">
        <w:t xml:space="preserve">details of how direct costs </w:t>
      </w:r>
      <w:r w:rsidR="00883391">
        <w:t xml:space="preserve">are </w:t>
      </w:r>
      <w:r w:rsidR="0044029A">
        <w:t>processed</w:t>
      </w:r>
      <w:r w:rsidR="004155D5" w:rsidRPr="004155D5">
        <w:t xml:space="preserve"> through </w:t>
      </w:r>
      <w:r w:rsidR="00390CEA">
        <w:t>PWC’s</w:t>
      </w:r>
      <w:r w:rsidR="004155D5" w:rsidRPr="004155D5">
        <w:t xml:space="preserve"> financial systems</w:t>
      </w:r>
      <w:r w:rsidR="004155D5">
        <w:t>, possibly illustrated by mapping the chart of accounts;</w:t>
      </w:r>
    </w:p>
    <w:p w14:paraId="342152F7" w14:textId="77777777" w:rsidR="0044029A" w:rsidRDefault="00347403" w:rsidP="008E229D">
      <w:pPr>
        <w:pStyle w:val="UtilComBulletText"/>
        <w:numPr>
          <w:ilvl w:val="0"/>
          <w:numId w:val="6"/>
        </w:numPr>
        <w:tabs>
          <w:tab w:val="clear" w:pos="964"/>
          <w:tab w:val="num" w:pos="1134"/>
        </w:tabs>
        <w:ind w:left="1134" w:hanging="425"/>
      </w:pPr>
      <w:r>
        <w:t xml:space="preserve">providing </w:t>
      </w:r>
      <w:r w:rsidR="0044029A">
        <w:t>further details of how directly attributable costs for services provided betwee</w:t>
      </w:r>
      <w:r w:rsidR="002A4F45">
        <w:t>n business units are determined</w:t>
      </w:r>
      <w:r w:rsidR="0044029A">
        <w:t>;</w:t>
      </w:r>
    </w:p>
    <w:p w14:paraId="7D78B042" w14:textId="730C91D1" w:rsidR="004155D5" w:rsidRDefault="00347403" w:rsidP="008E229D">
      <w:pPr>
        <w:pStyle w:val="UtilComBulletText"/>
        <w:numPr>
          <w:ilvl w:val="0"/>
          <w:numId w:val="6"/>
        </w:numPr>
        <w:tabs>
          <w:tab w:val="clear" w:pos="964"/>
          <w:tab w:val="num" w:pos="1134"/>
        </w:tabs>
        <w:ind w:left="1134" w:hanging="425"/>
      </w:pPr>
      <w:r>
        <w:t xml:space="preserve">providing </w:t>
      </w:r>
      <w:r w:rsidR="004155D5">
        <w:t xml:space="preserve">further details </w:t>
      </w:r>
      <w:r w:rsidR="00FD0CAE">
        <w:t xml:space="preserve">of </w:t>
      </w:r>
      <w:r w:rsidR="004155D5">
        <w:t>the process for establishing the monthly journals to be uploaded to the general ledger system, including accountabilities for calculating and approving the percentage rates</w:t>
      </w:r>
      <w:r w:rsidR="002A4F45">
        <w:t>;</w:t>
      </w:r>
      <w:r w:rsidR="006309F5">
        <w:t xml:space="preserve"> </w:t>
      </w:r>
    </w:p>
    <w:p w14:paraId="1A0ECEB6" w14:textId="6512F6B1" w:rsidR="00F41090" w:rsidRDefault="00347403" w:rsidP="008E229D">
      <w:pPr>
        <w:pStyle w:val="UtilComBulletText"/>
        <w:numPr>
          <w:ilvl w:val="0"/>
          <w:numId w:val="6"/>
        </w:numPr>
        <w:tabs>
          <w:tab w:val="clear" w:pos="964"/>
          <w:tab w:val="num" w:pos="1134"/>
        </w:tabs>
        <w:ind w:left="1134" w:hanging="425"/>
      </w:pPr>
      <w:r>
        <w:t xml:space="preserve">providing </w:t>
      </w:r>
      <w:r w:rsidR="006309F5">
        <w:t xml:space="preserve">further details of how </w:t>
      </w:r>
      <w:r w:rsidR="00390CEA">
        <w:t>PWC</w:t>
      </w:r>
      <w:r w:rsidR="006309F5">
        <w:t xml:space="preserve"> maintains records of the attribution or allocation of costs, for example the outputs that are obtained from the financial management system such as financial reports or views of the posting of financial transactions that can be produced depending on the nature of the enquiry, and the safeguards in place to ensure that records cannot be modified or deleted</w:t>
      </w:r>
      <w:r w:rsidR="00F41090">
        <w:t>;</w:t>
      </w:r>
      <w:r w:rsidR="003122B7">
        <w:t xml:space="preserve"> and</w:t>
      </w:r>
    </w:p>
    <w:p w14:paraId="451CE3D3" w14:textId="0AC23841" w:rsidR="004764F4" w:rsidRPr="004155D5" w:rsidRDefault="00F41090" w:rsidP="008E229D">
      <w:pPr>
        <w:pStyle w:val="UtilComBulletText"/>
        <w:numPr>
          <w:ilvl w:val="0"/>
          <w:numId w:val="6"/>
        </w:numPr>
        <w:tabs>
          <w:tab w:val="clear" w:pos="964"/>
          <w:tab w:val="num" w:pos="1134"/>
        </w:tabs>
        <w:ind w:left="1134" w:hanging="425"/>
      </w:pPr>
      <w:r>
        <w:t xml:space="preserve">further development of cost allocations between </w:t>
      </w:r>
      <w:r w:rsidR="003F529D">
        <w:t>regulated network access</w:t>
      </w:r>
      <w:r>
        <w:t xml:space="preserve"> services, </w:t>
      </w:r>
      <w:r w:rsidR="009A56CA">
        <w:t xml:space="preserve">excluded network access services not subject to effective competition </w:t>
      </w:r>
      <w:r>
        <w:t xml:space="preserve">and </w:t>
      </w:r>
      <w:r w:rsidR="009A56CA">
        <w:t>excluded network access services subject to effective competition</w:t>
      </w:r>
      <w:r w:rsidR="006309F5">
        <w:t xml:space="preserve">. </w:t>
      </w:r>
    </w:p>
    <w:p w14:paraId="005CE8FA" w14:textId="77777777" w:rsidR="0088050B" w:rsidRDefault="00883391" w:rsidP="00DE5237">
      <w:pPr>
        <w:pStyle w:val="NumberLevel2"/>
        <w:numPr>
          <w:ilvl w:val="1"/>
          <w:numId w:val="5"/>
        </w:numPr>
        <w:tabs>
          <w:tab w:val="num" w:pos="709"/>
        </w:tabs>
        <w:ind w:left="709" w:hanging="709"/>
        <w:rPr>
          <w:lang w:val="en-AU"/>
        </w:rPr>
      </w:pPr>
      <w:r>
        <w:rPr>
          <w:lang w:val="en-AU"/>
        </w:rPr>
        <w:t xml:space="preserve">PB </w:t>
      </w:r>
      <w:r w:rsidR="0088050B" w:rsidRPr="0088050B">
        <w:rPr>
          <w:lang w:val="en-AU"/>
        </w:rPr>
        <w:t>undertook a detailed assessment of the methodology and approach taken by PWC to</w:t>
      </w:r>
      <w:r w:rsidR="0088050B" w:rsidRPr="00891D4A">
        <w:rPr>
          <w:lang w:val="en-AU"/>
        </w:rPr>
        <w:t xml:space="preserve"> allocate the corporate and shared services between </w:t>
      </w:r>
      <w:r>
        <w:rPr>
          <w:lang w:val="en-AU"/>
        </w:rPr>
        <w:t>business</w:t>
      </w:r>
      <w:r w:rsidR="0088050B" w:rsidRPr="00891D4A">
        <w:rPr>
          <w:lang w:val="en-AU"/>
        </w:rPr>
        <w:t xml:space="preserve"> divisions. PB reviewed the</w:t>
      </w:r>
      <w:r w:rsidR="0088050B" w:rsidRPr="00F667CE">
        <w:rPr>
          <w:lang w:val="en-AU"/>
        </w:rPr>
        <w:t xml:space="preserve"> allocation method and rationale use</w:t>
      </w:r>
      <w:r>
        <w:rPr>
          <w:lang w:val="en-AU"/>
        </w:rPr>
        <w:t>d</w:t>
      </w:r>
      <w:r w:rsidR="0088050B" w:rsidRPr="00F667CE">
        <w:rPr>
          <w:lang w:val="en-AU"/>
        </w:rPr>
        <w:t xml:space="preserve"> for each division within the corporate business units and </w:t>
      </w:r>
      <w:r>
        <w:rPr>
          <w:lang w:val="en-AU"/>
        </w:rPr>
        <w:t xml:space="preserve">expressed the view that </w:t>
      </w:r>
      <w:r w:rsidR="0088050B" w:rsidRPr="0088050B">
        <w:rPr>
          <w:lang w:val="en-AU"/>
        </w:rPr>
        <w:t>suitable driver</w:t>
      </w:r>
      <w:r>
        <w:rPr>
          <w:lang w:val="en-AU"/>
        </w:rPr>
        <w:t>s were used</w:t>
      </w:r>
      <w:r w:rsidR="0088050B" w:rsidRPr="0088050B">
        <w:rPr>
          <w:lang w:val="en-AU"/>
        </w:rPr>
        <w:t xml:space="preserve"> for each allocation.</w:t>
      </w:r>
    </w:p>
    <w:p w14:paraId="076271B3" w14:textId="3F34C124" w:rsidR="00FA5FCC" w:rsidRDefault="009F7F55" w:rsidP="00DE5237">
      <w:pPr>
        <w:pStyle w:val="NumberLevel2"/>
        <w:numPr>
          <w:ilvl w:val="1"/>
          <w:numId w:val="5"/>
        </w:numPr>
        <w:tabs>
          <w:tab w:val="num" w:pos="709"/>
        </w:tabs>
        <w:ind w:left="709" w:hanging="709"/>
        <w:rPr>
          <w:lang w:val="en-AU"/>
        </w:rPr>
      </w:pPr>
      <w:r w:rsidRPr="0088050B">
        <w:rPr>
          <w:lang w:val="en-AU"/>
        </w:rPr>
        <w:t xml:space="preserve">The Commission’s </w:t>
      </w:r>
      <w:r w:rsidR="006B2AD1" w:rsidRPr="00891D4A">
        <w:rPr>
          <w:lang w:val="en-AU"/>
        </w:rPr>
        <w:t xml:space="preserve">detailed analysis of </w:t>
      </w:r>
      <w:r w:rsidR="00D063B8">
        <w:rPr>
          <w:lang w:val="en-AU"/>
        </w:rPr>
        <w:t xml:space="preserve">PWC Networks’ </w:t>
      </w:r>
      <w:r w:rsidR="003122B7">
        <w:rPr>
          <w:lang w:val="en-AU"/>
        </w:rPr>
        <w:t>capex and opex</w:t>
      </w:r>
      <w:r w:rsidR="006B2AD1" w:rsidRPr="00891D4A">
        <w:rPr>
          <w:lang w:val="en-AU"/>
        </w:rPr>
        <w:t xml:space="preserve"> forecasts </w:t>
      </w:r>
      <w:r w:rsidR="003122B7">
        <w:rPr>
          <w:lang w:val="en-AU"/>
        </w:rPr>
        <w:t>did</w:t>
      </w:r>
      <w:r w:rsidR="003122B7" w:rsidRPr="00891D4A">
        <w:rPr>
          <w:lang w:val="en-AU"/>
        </w:rPr>
        <w:t xml:space="preserve"> </w:t>
      </w:r>
      <w:r w:rsidR="006B2AD1" w:rsidRPr="00891D4A">
        <w:rPr>
          <w:lang w:val="en-AU"/>
        </w:rPr>
        <w:t>not identif</w:t>
      </w:r>
      <w:r w:rsidR="001D78D3">
        <w:rPr>
          <w:lang w:val="en-AU"/>
        </w:rPr>
        <w:t xml:space="preserve">y </w:t>
      </w:r>
      <w:r w:rsidR="006B2AD1" w:rsidRPr="00891D4A">
        <w:rPr>
          <w:lang w:val="en-AU"/>
        </w:rPr>
        <w:t xml:space="preserve">any costs attributable to the </w:t>
      </w:r>
      <w:r w:rsidR="003122B7">
        <w:rPr>
          <w:lang w:val="en-AU"/>
        </w:rPr>
        <w:t>other business units of PWC</w:t>
      </w:r>
      <w:r w:rsidR="006B2AD1" w:rsidRPr="00F667CE">
        <w:rPr>
          <w:lang w:val="en-AU"/>
        </w:rPr>
        <w:t>.</w:t>
      </w:r>
    </w:p>
    <w:p w14:paraId="66B0A051" w14:textId="26200AD5" w:rsidR="0044029A" w:rsidRDefault="0044029A" w:rsidP="00DE5237">
      <w:pPr>
        <w:pStyle w:val="NumberLevel2"/>
        <w:numPr>
          <w:ilvl w:val="1"/>
          <w:numId w:val="5"/>
        </w:numPr>
        <w:tabs>
          <w:tab w:val="num" w:pos="709"/>
        </w:tabs>
        <w:ind w:left="709" w:hanging="709"/>
        <w:rPr>
          <w:lang w:val="en-AU"/>
        </w:rPr>
      </w:pPr>
      <w:r>
        <w:rPr>
          <w:lang w:val="en-AU"/>
        </w:rPr>
        <w:t xml:space="preserve">In assessing the level of shared corporate costs allocated to PWC Networks, </w:t>
      </w:r>
      <w:r w:rsidRPr="0088050B">
        <w:rPr>
          <w:lang w:val="en-AU"/>
        </w:rPr>
        <w:t>P</w:t>
      </w:r>
      <w:r>
        <w:rPr>
          <w:lang w:val="en-AU"/>
        </w:rPr>
        <w:t>B</w:t>
      </w:r>
      <w:r w:rsidRPr="0088050B">
        <w:rPr>
          <w:lang w:val="en-AU"/>
        </w:rPr>
        <w:t xml:space="preserve"> undertook a detailed assessment of the methodology and approach taken by PWC to</w:t>
      </w:r>
      <w:r w:rsidRPr="00891D4A">
        <w:rPr>
          <w:lang w:val="en-AU"/>
        </w:rPr>
        <w:t xml:space="preserve"> allocate the corporate and shared services between </w:t>
      </w:r>
      <w:r w:rsidR="003122B7">
        <w:rPr>
          <w:lang w:val="en-AU"/>
        </w:rPr>
        <w:t>its business</w:t>
      </w:r>
      <w:r w:rsidR="003122B7" w:rsidRPr="00891D4A">
        <w:rPr>
          <w:lang w:val="en-AU"/>
        </w:rPr>
        <w:t xml:space="preserve"> </w:t>
      </w:r>
      <w:r w:rsidRPr="00891D4A">
        <w:rPr>
          <w:lang w:val="en-AU"/>
        </w:rPr>
        <w:t xml:space="preserve">divisions. </w:t>
      </w:r>
      <w:r w:rsidR="00E83000">
        <w:rPr>
          <w:lang w:val="en-AU"/>
        </w:rPr>
        <w:t>T</w:t>
      </w:r>
      <w:r>
        <w:rPr>
          <w:lang w:val="en-AU"/>
        </w:rPr>
        <w:t xml:space="preserve">he Commission </w:t>
      </w:r>
      <w:r w:rsidR="00D063B8">
        <w:rPr>
          <w:lang w:val="en-AU"/>
        </w:rPr>
        <w:t>was</w:t>
      </w:r>
      <w:r>
        <w:rPr>
          <w:lang w:val="en-AU"/>
        </w:rPr>
        <w:t xml:space="preserve"> satisfied that </w:t>
      </w:r>
      <w:r w:rsidRPr="00891D4A">
        <w:rPr>
          <w:lang w:val="en-AU"/>
        </w:rPr>
        <w:t>the</w:t>
      </w:r>
      <w:r w:rsidRPr="00F667CE">
        <w:rPr>
          <w:lang w:val="en-AU"/>
        </w:rPr>
        <w:t xml:space="preserve"> allocation method and rationale use</w:t>
      </w:r>
      <w:r>
        <w:rPr>
          <w:lang w:val="en-AU"/>
        </w:rPr>
        <w:t>d</w:t>
      </w:r>
      <w:r w:rsidRPr="00F667CE">
        <w:rPr>
          <w:lang w:val="en-AU"/>
        </w:rPr>
        <w:t xml:space="preserve"> </w:t>
      </w:r>
      <w:r w:rsidR="003122B7">
        <w:rPr>
          <w:lang w:val="en-AU"/>
        </w:rPr>
        <w:t xml:space="preserve">to allocate costs between </w:t>
      </w:r>
      <w:r w:rsidR="00327F32">
        <w:rPr>
          <w:lang w:val="en-AU"/>
        </w:rPr>
        <w:t>PWC</w:t>
      </w:r>
      <w:r w:rsidR="00D063B8">
        <w:rPr>
          <w:lang w:val="en-AU"/>
        </w:rPr>
        <w:t>’s</w:t>
      </w:r>
      <w:r w:rsidR="00327F32">
        <w:rPr>
          <w:lang w:val="en-AU"/>
        </w:rPr>
        <w:t xml:space="preserve"> </w:t>
      </w:r>
      <w:r w:rsidRPr="00F667CE">
        <w:rPr>
          <w:lang w:val="en-AU"/>
        </w:rPr>
        <w:t xml:space="preserve">business units </w:t>
      </w:r>
      <w:r w:rsidR="00D063B8">
        <w:rPr>
          <w:lang w:val="en-AU"/>
        </w:rPr>
        <w:t>were</w:t>
      </w:r>
      <w:r w:rsidRPr="0088050B">
        <w:rPr>
          <w:lang w:val="en-AU"/>
        </w:rPr>
        <w:t xml:space="preserve"> based on a suitable driver for each allocation.</w:t>
      </w:r>
    </w:p>
    <w:p w14:paraId="210325CD" w14:textId="3AB607FC" w:rsidR="00470217" w:rsidRDefault="00470217" w:rsidP="00470217">
      <w:pPr>
        <w:pStyle w:val="UtilComHeading2"/>
      </w:pPr>
      <w:bookmarkStart w:id="92" w:name="_Toc385241472"/>
      <w:bookmarkStart w:id="93" w:name="_Toc386013025"/>
      <w:r>
        <w:t xml:space="preserve">Commission’s </w:t>
      </w:r>
      <w:r w:rsidR="00327F32">
        <w:t xml:space="preserve">Draft </w:t>
      </w:r>
      <w:bookmarkEnd w:id="92"/>
      <w:r w:rsidR="00327F32">
        <w:t>Decision</w:t>
      </w:r>
      <w:bookmarkEnd w:id="93"/>
    </w:p>
    <w:p w14:paraId="10CDE0A0" w14:textId="77777777" w:rsidR="00470217" w:rsidRDefault="00EE71F7" w:rsidP="00DE5237">
      <w:pPr>
        <w:pStyle w:val="NumberLevel2"/>
        <w:numPr>
          <w:ilvl w:val="1"/>
          <w:numId w:val="5"/>
        </w:numPr>
        <w:tabs>
          <w:tab w:val="num" w:pos="709"/>
        </w:tabs>
        <w:ind w:left="709" w:hanging="709"/>
        <w:rPr>
          <w:lang w:val="en-AU"/>
        </w:rPr>
      </w:pPr>
      <w:r>
        <w:rPr>
          <w:lang w:val="en-AU"/>
        </w:rPr>
        <w:t xml:space="preserve">The Commission </w:t>
      </w:r>
      <w:r w:rsidR="006E295D">
        <w:rPr>
          <w:lang w:val="en-AU"/>
        </w:rPr>
        <w:t>accepted</w:t>
      </w:r>
      <w:r>
        <w:rPr>
          <w:lang w:val="en-AU"/>
        </w:rPr>
        <w:t xml:space="preserve"> that PWC Networks </w:t>
      </w:r>
      <w:r w:rsidR="005752C7">
        <w:rPr>
          <w:lang w:val="en-AU"/>
        </w:rPr>
        <w:t xml:space="preserve">had </w:t>
      </w:r>
      <w:r>
        <w:rPr>
          <w:lang w:val="en-AU"/>
        </w:rPr>
        <w:t>documen</w:t>
      </w:r>
      <w:r w:rsidR="00794B2D">
        <w:rPr>
          <w:lang w:val="en-AU"/>
        </w:rPr>
        <w:t>t</w:t>
      </w:r>
      <w:r>
        <w:rPr>
          <w:lang w:val="en-AU"/>
        </w:rPr>
        <w:t>ed</w:t>
      </w:r>
      <w:r w:rsidR="00794B2D">
        <w:rPr>
          <w:lang w:val="en-AU"/>
        </w:rPr>
        <w:t xml:space="preserve"> its existing cost allocation methodology, as required in the Commission’s Framework Statement.</w:t>
      </w:r>
    </w:p>
    <w:p w14:paraId="452F019D" w14:textId="77777777" w:rsidR="005752C7" w:rsidRDefault="005752C7" w:rsidP="005752C7">
      <w:pPr>
        <w:pStyle w:val="NumberLevel2"/>
        <w:numPr>
          <w:ilvl w:val="1"/>
          <w:numId w:val="5"/>
        </w:numPr>
        <w:tabs>
          <w:tab w:val="num" w:pos="709"/>
        </w:tabs>
        <w:ind w:left="709" w:hanging="709"/>
        <w:rPr>
          <w:lang w:val="en-AU"/>
        </w:rPr>
      </w:pPr>
      <w:r>
        <w:rPr>
          <w:lang w:val="en-AU"/>
        </w:rPr>
        <w:t xml:space="preserve">The Commission’s Framework Statement noted that </w:t>
      </w:r>
      <w:r w:rsidRPr="006508BA">
        <w:rPr>
          <w:lang w:val="en-AU"/>
        </w:rPr>
        <w:t xml:space="preserve">full adoption of an approach consistent with the AER processes may not be practical </w:t>
      </w:r>
      <w:r>
        <w:rPr>
          <w:lang w:val="en-AU"/>
        </w:rPr>
        <w:t>in the Territory at this time due to</w:t>
      </w:r>
      <w:r w:rsidRPr="006508BA">
        <w:rPr>
          <w:lang w:val="en-AU"/>
        </w:rPr>
        <w:t xml:space="preserve"> resourcing constraints </w:t>
      </w:r>
      <w:r>
        <w:rPr>
          <w:lang w:val="en-AU"/>
        </w:rPr>
        <w:t>and economies of scale.</w:t>
      </w:r>
    </w:p>
    <w:p w14:paraId="375DB34F" w14:textId="18298552" w:rsidR="005752C7" w:rsidRDefault="005752C7" w:rsidP="005752C7">
      <w:pPr>
        <w:pStyle w:val="NumberLevel2"/>
        <w:numPr>
          <w:ilvl w:val="1"/>
          <w:numId w:val="5"/>
        </w:numPr>
        <w:tabs>
          <w:tab w:val="num" w:pos="709"/>
        </w:tabs>
        <w:ind w:left="709" w:hanging="709"/>
        <w:rPr>
          <w:lang w:val="en-AU"/>
        </w:rPr>
      </w:pPr>
      <w:r>
        <w:rPr>
          <w:lang w:val="en-AU"/>
        </w:rPr>
        <w:t xml:space="preserve">However, the Commission </w:t>
      </w:r>
      <w:r w:rsidR="003742B4">
        <w:rPr>
          <w:lang w:val="en-AU"/>
        </w:rPr>
        <w:t>considers</w:t>
      </w:r>
      <w:r>
        <w:rPr>
          <w:lang w:val="en-AU"/>
        </w:rPr>
        <w:t xml:space="preserve"> that, over the course of the 2014-19 regulatory control period, progress w</w:t>
      </w:r>
      <w:r w:rsidR="00D063B8">
        <w:rPr>
          <w:lang w:val="en-AU"/>
        </w:rPr>
        <w:t>ould</w:t>
      </w:r>
      <w:r>
        <w:rPr>
          <w:lang w:val="en-AU"/>
        </w:rPr>
        <w:t xml:space="preserve"> be required in the development of the CAM and its application to the regulatory process, particularly with respect to the allocation of costs between </w:t>
      </w:r>
      <w:r w:rsidR="000D0B8E">
        <w:rPr>
          <w:lang w:val="en-AU"/>
        </w:rPr>
        <w:t xml:space="preserve">regulated </w:t>
      </w:r>
      <w:r>
        <w:rPr>
          <w:lang w:val="en-AU"/>
        </w:rPr>
        <w:t>network access services</w:t>
      </w:r>
      <w:r w:rsidR="000D0B8E">
        <w:rPr>
          <w:lang w:val="en-AU"/>
        </w:rPr>
        <w:t xml:space="preserve"> and excluded network access services</w:t>
      </w:r>
      <w:r>
        <w:rPr>
          <w:lang w:val="en-AU"/>
        </w:rPr>
        <w:t xml:space="preserve">. In addition to enhancing the transparency, reliability and certainty of the </w:t>
      </w:r>
      <w:r w:rsidR="000D0B8E">
        <w:rPr>
          <w:lang w:val="en-AU"/>
        </w:rPr>
        <w:t xml:space="preserve">network </w:t>
      </w:r>
      <w:r>
        <w:rPr>
          <w:lang w:val="en-AU"/>
        </w:rPr>
        <w:t xml:space="preserve">price determination process, a more comprehensive and defined CAM </w:t>
      </w:r>
      <w:r w:rsidR="00D063B8">
        <w:rPr>
          <w:lang w:val="en-AU"/>
        </w:rPr>
        <w:t xml:space="preserve">would </w:t>
      </w:r>
      <w:r>
        <w:rPr>
          <w:lang w:val="en-AU"/>
        </w:rPr>
        <w:t>be required to enable effective transition to national regulation by the AER.</w:t>
      </w:r>
    </w:p>
    <w:p w14:paraId="20B4BE49" w14:textId="3F942653" w:rsidR="003742B4" w:rsidRPr="009F298D" w:rsidRDefault="00D063B8" w:rsidP="003742B4">
      <w:pPr>
        <w:pStyle w:val="NumberLevel2"/>
        <w:numPr>
          <w:ilvl w:val="1"/>
          <w:numId w:val="5"/>
        </w:numPr>
        <w:tabs>
          <w:tab w:val="num" w:pos="709"/>
        </w:tabs>
        <w:ind w:left="709" w:hanging="709"/>
        <w:rPr>
          <w:lang w:val="en-AU"/>
        </w:rPr>
      </w:pPr>
      <w:r>
        <w:rPr>
          <w:lang w:val="en-AU"/>
        </w:rPr>
        <w:t>The Commission also noted that c</w:t>
      </w:r>
      <w:r w:rsidR="003742B4">
        <w:rPr>
          <w:lang w:val="en-AU"/>
        </w:rPr>
        <w:t xml:space="preserve">ost allocation is also key </w:t>
      </w:r>
      <w:r w:rsidR="000D0B8E">
        <w:rPr>
          <w:lang w:val="en-AU"/>
        </w:rPr>
        <w:t>to the</w:t>
      </w:r>
      <w:r w:rsidR="003742B4">
        <w:rPr>
          <w:lang w:val="en-AU"/>
        </w:rPr>
        <w:t xml:space="preserve"> structural separation of the </w:t>
      </w:r>
      <w:r>
        <w:rPr>
          <w:lang w:val="en-AU"/>
        </w:rPr>
        <w:t xml:space="preserve">electricity </w:t>
      </w:r>
      <w:r w:rsidR="003742B4">
        <w:rPr>
          <w:lang w:val="en-AU"/>
        </w:rPr>
        <w:t xml:space="preserve">supply chain, </w:t>
      </w:r>
      <w:r w:rsidR="000D0B8E">
        <w:rPr>
          <w:lang w:val="en-AU"/>
        </w:rPr>
        <w:t>with separation of PWC Generation and PWC Retail from PWC</w:t>
      </w:r>
      <w:r w:rsidR="0057228A">
        <w:rPr>
          <w:lang w:val="en-AU"/>
        </w:rPr>
        <w:t xml:space="preserve"> </w:t>
      </w:r>
      <w:r w:rsidR="003742B4">
        <w:rPr>
          <w:lang w:val="en-AU"/>
        </w:rPr>
        <w:t xml:space="preserve">likely to occur </w:t>
      </w:r>
      <w:r w:rsidR="00390CEA">
        <w:rPr>
          <w:lang w:val="en-AU"/>
        </w:rPr>
        <w:t xml:space="preserve">early in </w:t>
      </w:r>
      <w:r w:rsidR="003742B4">
        <w:rPr>
          <w:lang w:val="en-AU"/>
        </w:rPr>
        <w:t xml:space="preserve">the </w:t>
      </w:r>
      <w:r w:rsidR="00B121CF">
        <w:rPr>
          <w:lang w:val="en-AU"/>
        </w:rPr>
        <w:t>2014-19</w:t>
      </w:r>
      <w:r w:rsidR="003742B4">
        <w:rPr>
          <w:lang w:val="en-AU"/>
        </w:rPr>
        <w:t xml:space="preserve"> regulatory control period.</w:t>
      </w:r>
    </w:p>
    <w:p w14:paraId="50F4AF2A" w14:textId="410718C8" w:rsidR="0032071E" w:rsidRPr="00083FAA" w:rsidRDefault="0032071E" w:rsidP="0032071E">
      <w:pPr>
        <w:pStyle w:val="UtilComHeading2"/>
      </w:pPr>
      <w:bookmarkStart w:id="94" w:name="_Toc385241473"/>
      <w:bookmarkStart w:id="95" w:name="_Toc386013026"/>
      <w:r w:rsidRPr="00083FAA">
        <w:t xml:space="preserve">PWC Networks’ </w:t>
      </w:r>
      <w:r w:rsidR="00327F32">
        <w:t>R</w:t>
      </w:r>
      <w:r w:rsidR="00327F32" w:rsidRPr="00083FAA">
        <w:t xml:space="preserve">evised </w:t>
      </w:r>
      <w:r w:rsidR="00327F32">
        <w:t>R</w:t>
      </w:r>
      <w:r w:rsidR="00327F32" w:rsidRPr="00083FAA">
        <w:t xml:space="preserve">egulatory </w:t>
      </w:r>
      <w:bookmarkEnd w:id="94"/>
      <w:r w:rsidR="00327F32">
        <w:t>P</w:t>
      </w:r>
      <w:r w:rsidR="00327F32" w:rsidRPr="00083FAA">
        <w:t>roposal</w:t>
      </w:r>
      <w:bookmarkEnd w:id="95"/>
    </w:p>
    <w:p w14:paraId="55F0C462" w14:textId="58704145" w:rsidR="0032071E" w:rsidRDefault="0032071E" w:rsidP="0032071E">
      <w:pPr>
        <w:pStyle w:val="NumberLevel2"/>
        <w:numPr>
          <w:ilvl w:val="1"/>
          <w:numId w:val="5"/>
        </w:numPr>
        <w:tabs>
          <w:tab w:val="num" w:pos="709"/>
        </w:tabs>
        <w:ind w:left="709" w:hanging="709"/>
        <w:rPr>
          <w:lang w:val="en-AU"/>
        </w:rPr>
      </w:pPr>
      <w:r>
        <w:rPr>
          <w:lang w:val="en-AU"/>
        </w:rPr>
        <w:t>PWC Networks</w:t>
      </w:r>
      <w:r w:rsidRPr="001430C0">
        <w:rPr>
          <w:lang w:val="en-AU"/>
        </w:rPr>
        <w:t xml:space="preserve"> </w:t>
      </w:r>
      <w:r>
        <w:rPr>
          <w:lang w:val="en-AU"/>
        </w:rPr>
        <w:t xml:space="preserve">made a minor amendment to its CAM following the </w:t>
      </w:r>
      <w:r w:rsidR="000D0B8E">
        <w:rPr>
          <w:lang w:val="en-AU"/>
        </w:rPr>
        <w:t xml:space="preserve">Draft Determination </w:t>
      </w:r>
      <w:r>
        <w:rPr>
          <w:lang w:val="en-AU"/>
        </w:rPr>
        <w:t xml:space="preserve">by the Commission to </w:t>
      </w:r>
      <w:r w:rsidR="000D0B8E">
        <w:rPr>
          <w:lang w:val="en-AU"/>
        </w:rPr>
        <w:t xml:space="preserve">reflect the proposed classification of </w:t>
      </w:r>
      <w:r>
        <w:rPr>
          <w:lang w:val="en-AU"/>
        </w:rPr>
        <w:t xml:space="preserve">some services as excluded </w:t>
      </w:r>
      <w:r w:rsidR="000D0B8E">
        <w:rPr>
          <w:lang w:val="en-AU"/>
        </w:rPr>
        <w:t xml:space="preserve">network access </w:t>
      </w:r>
      <w:r>
        <w:rPr>
          <w:lang w:val="en-AU"/>
        </w:rPr>
        <w:t xml:space="preserve">services </w:t>
      </w:r>
      <w:r w:rsidR="00DD2D5C">
        <w:rPr>
          <w:lang w:val="en-AU"/>
        </w:rPr>
        <w:t xml:space="preserve">subject to effective </w:t>
      </w:r>
      <w:r w:rsidR="00D063B8">
        <w:rPr>
          <w:lang w:val="en-AU"/>
        </w:rPr>
        <w:t>competition</w:t>
      </w:r>
      <w:r w:rsidR="00DD2D5C">
        <w:rPr>
          <w:lang w:val="en-AU"/>
        </w:rPr>
        <w:t xml:space="preserve"> </w:t>
      </w:r>
      <w:r>
        <w:rPr>
          <w:lang w:val="en-AU"/>
        </w:rPr>
        <w:t>under clause</w:t>
      </w:r>
      <w:r w:rsidR="009454AF">
        <w:rPr>
          <w:lang w:val="en-AU"/>
        </w:rPr>
        <w:t> 72(2</w:t>
      </w:r>
      <w:r w:rsidR="00327F32">
        <w:rPr>
          <w:lang w:val="en-AU"/>
        </w:rPr>
        <w:t>)</w:t>
      </w:r>
      <w:r w:rsidR="009454AF">
        <w:rPr>
          <w:lang w:val="en-AU"/>
        </w:rPr>
        <w:t>.</w:t>
      </w:r>
    </w:p>
    <w:p w14:paraId="10AAD38C" w14:textId="72D50E12" w:rsidR="009454AF" w:rsidRPr="009454AF" w:rsidRDefault="009454AF" w:rsidP="009454AF">
      <w:pPr>
        <w:pStyle w:val="NumberLevel2"/>
        <w:numPr>
          <w:ilvl w:val="1"/>
          <w:numId w:val="5"/>
        </w:numPr>
        <w:tabs>
          <w:tab w:val="num" w:pos="709"/>
        </w:tabs>
        <w:ind w:left="709" w:hanging="709"/>
        <w:rPr>
          <w:lang w:val="en-AU"/>
        </w:rPr>
      </w:pPr>
      <w:r>
        <w:rPr>
          <w:lang w:val="en-AU"/>
        </w:rPr>
        <w:t xml:space="preserve">This </w:t>
      </w:r>
      <w:r w:rsidR="00D063B8">
        <w:rPr>
          <w:lang w:val="en-AU"/>
        </w:rPr>
        <w:t>did</w:t>
      </w:r>
      <w:r>
        <w:rPr>
          <w:lang w:val="en-AU"/>
        </w:rPr>
        <w:t xml:space="preserve"> not affect the allocation of costs for regulated network access services.</w:t>
      </w:r>
    </w:p>
    <w:p w14:paraId="04826393" w14:textId="526956F2" w:rsidR="0032071E" w:rsidRPr="007B064D" w:rsidRDefault="0032071E" w:rsidP="0032071E">
      <w:pPr>
        <w:pStyle w:val="UtilComHeading2"/>
      </w:pPr>
      <w:bookmarkStart w:id="96" w:name="_Toc385241474"/>
      <w:bookmarkStart w:id="97" w:name="_Toc386013027"/>
      <w:r w:rsidRPr="007B064D">
        <w:t xml:space="preserve">Submissions on </w:t>
      </w:r>
      <w:r w:rsidR="00327F32">
        <w:t>D</w:t>
      </w:r>
      <w:r w:rsidR="00327F32" w:rsidRPr="007B064D">
        <w:t xml:space="preserve">raft </w:t>
      </w:r>
      <w:r w:rsidR="00327F32">
        <w:t>D</w:t>
      </w:r>
      <w:r w:rsidR="00327F32" w:rsidRPr="007B064D">
        <w:t xml:space="preserve">etermination </w:t>
      </w:r>
      <w:r w:rsidRPr="007B064D">
        <w:t xml:space="preserve">and </w:t>
      </w:r>
      <w:r w:rsidR="00327F32">
        <w:t>R</w:t>
      </w:r>
      <w:r w:rsidR="00327F32" w:rsidRPr="007B064D">
        <w:t xml:space="preserve">evised </w:t>
      </w:r>
      <w:r w:rsidR="00327F32">
        <w:t>R</w:t>
      </w:r>
      <w:r w:rsidR="00327F32" w:rsidRPr="007B064D">
        <w:t xml:space="preserve">egulatory </w:t>
      </w:r>
      <w:bookmarkEnd w:id="96"/>
      <w:r w:rsidR="00327F32">
        <w:t>P</w:t>
      </w:r>
      <w:r w:rsidR="00327F32" w:rsidRPr="007B064D">
        <w:t>roposal</w:t>
      </w:r>
      <w:bookmarkEnd w:id="97"/>
    </w:p>
    <w:p w14:paraId="1932BD58" w14:textId="77777777" w:rsidR="006A24F7" w:rsidRDefault="009454AF" w:rsidP="0032071E">
      <w:pPr>
        <w:pStyle w:val="NumberLevel2"/>
        <w:numPr>
          <w:ilvl w:val="1"/>
          <w:numId w:val="5"/>
        </w:numPr>
        <w:tabs>
          <w:tab w:val="num" w:pos="709"/>
        </w:tabs>
        <w:ind w:left="709" w:hanging="709"/>
        <w:rPr>
          <w:lang w:val="en-AU"/>
        </w:rPr>
      </w:pPr>
      <w:r>
        <w:rPr>
          <w:lang w:val="en-AU"/>
        </w:rPr>
        <w:t>The Treasurer submitted that</w:t>
      </w:r>
      <w:r w:rsidR="006A24F7">
        <w:rPr>
          <w:lang w:val="en-AU"/>
        </w:rPr>
        <w:t>:</w:t>
      </w:r>
    </w:p>
    <w:p w14:paraId="4A96A29F" w14:textId="35C63AEE" w:rsidR="0032071E" w:rsidRDefault="000D0B8E" w:rsidP="006A24F7">
      <w:pPr>
        <w:pStyle w:val="UtilComQuotationText"/>
        <w:ind w:left="1134"/>
        <w:rPr>
          <w:lang w:val="en-AU"/>
        </w:rPr>
      </w:pPr>
      <w:r>
        <w:rPr>
          <w:lang w:val="en-AU"/>
        </w:rPr>
        <w:t>…</w:t>
      </w:r>
      <w:r w:rsidR="006A24F7">
        <w:rPr>
          <w:lang w:val="en-AU"/>
        </w:rPr>
        <w:t>there is insufficient evidence or transparency in the Commission’s Draft Determination to establish that the actual allocation of costs is consistent with the CAM and that cost shifting to the regulated network business has not occurred. (page.3)</w:t>
      </w:r>
    </w:p>
    <w:p w14:paraId="0FE99CCF" w14:textId="26A863A8" w:rsidR="006A24F7" w:rsidRDefault="006A24F7" w:rsidP="006A24F7">
      <w:pPr>
        <w:pStyle w:val="ListParagraph"/>
        <w:numPr>
          <w:ilvl w:val="1"/>
          <w:numId w:val="5"/>
        </w:numPr>
        <w:tabs>
          <w:tab w:val="num" w:pos="709"/>
        </w:tabs>
        <w:ind w:left="709" w:hanging="709"/>
        <w:rPr>
          <w:lang w:val="en-AU"/>
        </w:rPr>
      </w:pPr>
      <w:r>
        <w:rPr>
          <w:lang w:val="en-AU"/>
        </w:rPr>
        <w:t xml:space="preserve">The Treasurer urged the Commission to undertake rigorous scrutiny of costs allocated to PWC Networks, noting that this </w:t>
      </w:r>
      <w:r w:rsidR="00D063B8">
        <w:rPr>
          <w:lang w:val="en-AU"/>
        </w:rPr>
        <w:t>was</w:t>
      </w:r>
      <w:r>
        <w:rPr>
          <w:lang w:val="en-AU"/>
        </w:rPr>
        <w:t xml:space="preserve"> particularly pertinent given the Government’s recent decision to structurally separate PWC’s monopoly and contestable businesses.</w:t>
      </w:r>
    </w:p>
    <w:p w14:paraId="10316C05" w14:textId="2503F555" w:rsidR="00C07AC9" w:rsidRDefault="00C07AC9" w:rsidP="006A24F7">
      <w:pPr>
        <w:pStyle w:val="ListParagraph"/>
        <w:numPr>
          <w:ilvl w:val="1"/>
          <w:numId w:val="5"/>
        </w:numPr>
        <w:tabs>
          <w:tab w:val="num" w:pos="709"/>
        </w:tabs>
        <w:ind w:left="709" w:hanging="709"/>
        <w:rPr>
          <w:lang w:val="en-AU"/>
        </w:rPr>
      </w:pPr>
      <w:r>
        <w:rPr>
          <w:lang w:val="en-AU"/>
        </w:rPr>
        <w:t xml:space="preserve">The Treasurer noted that the timing of the 2014 </w:t>
      </w:r>
      <w:r w:rsidR="00DD2D5C">
        <w:rPr>
          <w:lang w:val="en-AU"/>
        </w:rPr>
        <w:t xml:space="preserve">Network Price </w:t>
      </w:r>
      <w:r>
        <w:rPr>
          <w:lang w:val="en-AU"/>
        </w:rPr>
        <w:t xml:space="preserve">Determination and the commencement of structural separation placed greater emphasis on the need to ensure </w:t>
      </w:r>
      <w:r w:rsidR="00E23A17">
        <w:rPr>
          <w:lang w:val="en-AU"/>
        </w:rPr>
        <w:t xml:space="preserve">reference </w:t>
      </w:r>
      <w:r w:rsidR="000D0B8E">
        <w:rPr>
          <w:lang w:val="en-AU"/>
        </w:rPr>
        <w:t xml:space="preserve">tariffs </w:t>
      </w:r>
      <w:r>
        <w:rPr>
          <w:lang w:val="en-AU"/>
        </w:rPr>
        <w:t>for the 2014-19 regulatory control period represent</w:t>
      </w:r>
      <w:r w:rsidR="00D063B8">
        <w:rPr>
          <w:lang w:val="en-AU"/>
        </w:rPr>
        <w:t>ed</w:t>
      </w:r>
      <w:r>
        <w:rPr>
          <w:lang w:val="en-AU"/>
        </w:rPr>
        <w:t xml:space="preserve"> efficient and forward looking costs. </w:t>
      </w:r>
    </w:p>
    <w:p w14:paraId="5309C5D8" w14:textId="016A5C6F" w:rsidR="006A24F7" w:rsidRDefault="006A24F7" w:rsidP="007229DE">
      <w:pPr>
        <w:pStyle w:val="ListParagraph"/>
        <w:numPr>
          <w:ilvl w:val="1"/>
          <w:numId w:val="5"/>
        </w:numPr>
        <w:tabs>
          <w:tab w:val="num" w:pos="709"/>
        </w:tabs>
        <w:ind w:left="709" w:hanging="709"/>
        <w:rPr>
          <w:lang w:val="en-AU"/>
        </w:rPr>
      </w:pPr>
      <w:r>
        <w:rPr>
          <w:lang w:val="en-AU"/>
        </w:rPr>
        <w:t xml:space="preserve">The NTMEU </w:t>
      </w:r>
      <w:r w:rsidR="007229DE">
        <w:rPr>
          <w:lang w:val="en-AU"/>
        </w:rPr>
        <w:t xml:space="preserve">noted that </w:t>
      </w:r>
      <w:r w:rsidR="007229DE" w:rsidRPr="007229DE">
        <w:rPr>
          <w:lang w:val="en-AU"/>
        </w:rPr>
        <w:t>the lack of certainty associated with a range of data issues, including cost allocations, contribute</w:t>
      </w:r>
      <w:r w:rsidR="00D063B8">
        <w:rPr>
          <w:lang w:val="en-AU"/>
        </w:rPr>
        <w:t>d</w:t>
      </w:r>
      <w:r w:rsidR="007229DE" w:rsidRPr="007229DE">
        <w:rPr>
          <w:lang w:val="en-AU"/>
        </w:rPr>
        <w:t xml:space="preserve"> to the difficulties in evaluating PWC</w:t>
      </w:r>
      <w:r w:rsidR="007229DE">
        <w:rPr>
          <w:lang w:val="en-AU"/>
        </w:rPr>
        <w:t> Network</w:t>
      </w:r>
      <w:r w:rsidR="007229DE" w:rsidRPr="007229DE">
        <w:rPr>
          <w:lang w:val="en-AU"/>
        </w:rPr>
        <w:t>s</w:t>
      </w:r>
      <w:r w:rsidR="007229DE">
        <w:rPr>
          <w:lang w:val="en-AU"/>
        </w:rPr>
        <w:t>’</w:t>
      </w:r>
      <w:r w:rsidR="007229DE" w:rsidRPr="007229DE">
        <w:rPr>
          <w:lang w:val="en-AU"/>
        </w:rPr>
        <w:t xml:space="preserve"> </w:t>
      </w:r>
      <w:r w:rsidR="000D0B8E">
        <w:rPr>
          <w:lang w:val="en-AU"/>
        </w:rPr>
        <w:t xml:space="preserve">regulatory </w:t>
      </w:r>
      <w:r w:rsidR="007229DE" w:rsidRPr="007229DE">
        <w:rPr>
          <w:lang w:val="en-AU"/>
        </w:rPr>
        <w:t>proposal</w:t>
      </w:r>
      <w:r w:rsidR="00D81C2B">
        <w:rPr>
          <w:lang w:val="en-AU"/>
        </w:rPr>
        <w:t>.</w:t>
      </w:r>
    </w:p>
    <w:p w14:paraId="38F7DAFE" w14:textId="39AE0647" w:rsidR="0032071E" w:rsidRPr="00BB4EB2" w:rsidRDefault="0032071E" w:rsidP="0032071E">
      <w:pPr>
        <w:pStyle w:val="UtilComHeading2"/>
      </w:pPr>
      <w:bookmarkStart w:id="98" w:name="_Toc385241475"/>
      <w:bookmarkStart w:id="99" w:name="_Toc386013028"/>
      <w:r w:rsidRPr="00BB4EB2">
        <w:t xml:space="preserve">Issues and Commission’s </w:t>
      </w:r>
      <w:r w:rsidR="00327F32">
        <w:t>Further</w:t>
      </w:r>
      <w:r w:rsidR="00327F32" w:rsidRPr="00BB4EB2">
        <w:t xml:space="preserve"> </w:t>
      </w:r>
      <w:bookmarkEnd w:id="98"/>
      <w:r w:rsidR="00327F32">
        <w:t>C</w:t>
      </w:r>
      <w:r w:rsidR="00327F32" w:rsidRPr="00BB4EB2">
        <w:t>onsiderations</w:t>
      </w:r>
      <w:bookmarkEnd w:id="99"/>
    </w:p>
    <w:p w14:paraId="17990EDA" w14:textId="2EDDEE8A" w:rsidR="00D81C2B" w:rsidRDefault="00B84AEA" w:rsidP="00D81C2B">
      <w:pPr>
        <w:pStyle w:val="ListParagraph"/>
        <w:numPr>
          <w:ilvl w:val="1"/>
          <w:numId w:val="5"/>
        </w:numPr>
        <w:tabs>
          <w:tab w:val="num" w:pos="709"/>
        </w:tabs>
        <w:ind w:left="709" w:hanging="709"/>
        <w:rPr>
          <w:lang w:val="en-AU"/>
        </w:rPr>
      </w:pPr>
      <w:r>
        <w:rPr>
          <w:lang w:val="en-AU"/>
        </w:rPr>
        <w:t>C</w:t>
      </w:r>
      <w:r w:rsidR="001A4E81">
        <w:rPr>
          <w:lang w:val="en-AU"/>
        </w:rPr>
        <w:t>oncern about</w:t>
      </w:r>
      <w:r w:rsidR="00D81C2B" w:rsidRPr="00D81C2B">
        <w:rPr>
          <w:lang w:val="en-AU"/>
        </w:rPr>
        <w:t xml:space="preserve"> cost shifting </w:t>
      </w:r>
      <w:r w:rsidR="001A4E81">
        <w:rPr>
          <w:lang w:val="en-AU"/>
        </w:rPr>
        <w:t>is predominantly a</w:t>
      </w:r>
      <w:r w:rsidR="00D81C2B" w:rsidRPr="00D81C2B">
        <w:rPr>
          <w:lang w:val="en-AU"/>
        </w:rPr>
        <w:t xml:space="preserve"> </w:t>
      </w:r>
      <w:r w:rsidR="00D81C2B">
        <w:rPr>
          <w:lang w:val="en-AU"/>
        </w:rPr>
        <w:t>Territory</w:t>
      </w:r>
      <w:r w:rsidR="000D0B8E">
        <w:rPr>
          <w:lang w:val="en-AU"/>
        </w:rPr>
        <w:t xml:space="preserve"> </w:t>
      </w:r>
      <w:r w:rsidR="00D81C2B" w:rsidRPr="00D81C2B">
        <w:rPr>
          <w:lang w:val="en-AU"/>
        </w:rPr>
        <w:t>specific problem, as the AER does not regulate vertically integrated and multi-utility monopolies in other jurisdictions. The AER’s role i</w:t>
      </w:r>
      <w:r w:rsidR="00D81C2B">
        <w:rPr>
          <w:lang w:val="en-AU"/>
        </w:rPr>
        <w:t>s</w:t>
      </w:r>
      <w:r w:rsidR="00D81C2B" w:rsidRPr="00D81C2B">
        <w:rPr>
          <w:lang w:val="en-AU"/>
        </w:rPr>
        <w:t xml:space="preserve"> generally limited to approving the CAM submitted by </w:t>
      </w:r>
      <w:r w:rsidR="000D0B8E">
        <w:rPr>
          <w:lang w:val="en-AU"/>
        </w:rPr>
        <w:t>a</w:t>
      </w:r>
      <w:r w:rsidR="000D0B8E" w:rsidRPr="00D81C2B">
        <w:rPr>
          <w:lang w:val="en-AU"/>
        </w:rPr>
        <w:t xml:space="preserve"> </w:t>
      </w:r>
      <w:r w:rsidR="00D81C2B" w:rsidRPr="00D81C2B">
        <w:rPr>
          <w:lang w:val="en-AU"/>
        </w:rPr>
        <w:t>DNSP, with an audit of whether the CAM is being correctly applied only being required if specific concerns are identified.</w:t>
      </w:r>
    </w:p>
    <w:p w14:paraId="65DB8D18" w14:textId="153C549D" w:rsidR="005026F0" w:rsidRDefault="005026F0" w:rsidP="005026F0">
      <w:pPr>
        <w:pStyle w:val="ListParagraph"/>
        <w:numPr>
          <w:ilvl w:val="1"/>
          <w:numId w:val="5"/>
        </w:numPr>
        <w:tabs>
          <w:tab w:val="num" w:pos="709"/>
        </w:tabs>
        <w:ind w:left="709" w:hanging="709"/>
        <w:rPr>
          <w:lang w:val="en-AU"/>
        </w:rPr>
      </w:pPr>
      <w:r w:rsidRPr="005026F0">
        <w:rPr>
          <w:lang w:val="en-AU"/>
        </w:rPr>
        <w:t xml:space="preserve">The Commission acknowledges </w:t>
      </w:r>
      <w:r w:rsidR="008B3A8D">
        <w:rPr>
          <w:lang w:val="en-AU"/>
        </w:rPr>
        <w:t xml:space="preserve">that some concession was provided to PWC </w:t>
      </w:r>
      <w:r w:rsidR="00D32B9A">
        <w:rPr>
          <w:lang w:val="en-AU"/>
        </w:rPr>
        <w:t xml:space="preserve">Networks </w:t>
      </w:r>
      <w:r w:rsidR="008B3A8D">
        <w:rPr>
          <w:lang w:val="en-AU"/>
        </w:rPr>
        <w:t>in recognition of its resource constraints and the developmental stage of its CAM</w:t>
      </w:r>
      <w:r w:rsidR="00C07AC9">
        <w:rPr>
          <w:lang w:val="en-AU"/>
        </w:rPr>
        <w:t>, as was identified in the Commission’s Framework Statement</w:t>
      </w:r>
      <w:r w:rsidR="008B3A8D">
        <w:rPr>
          <w:lang w:val="en-AU"/>
        </w:rPr>
        <w:t>. The Commission undert</w:t>
      </w:r>
      <w:r w:rsidR="00D063B8">
        <w:rPr>
          <w:lang w:val="en-AU"/>
        </w:rPr>
        <w:t xml:space="preserve">ook </w:t>
      </w:r>
      <w:r w:rsidR="008B3A8D">
        <w:rPr>
          <w:lang w:val="en-AU"/>
        </w:rPr>
        <w:t>a detailed examination of</w:t>
      </w:r>
      <w:r w:rsidR="008B3A8D" w:rsidRPr="009A0692">
        <w:rPr>
          <w:lang w:val="en-AU"/>
        </w:rPr>
        <w:t xml:space="preserve"> </w:t>
      </w:r>
      <w:r w:rsidR="008B3A8D">
        <w:rPr>
          <w:lang w:val="en-AU"/>
        </w:rPr>
        <w:t xml:space="preserve">the individual cost categories making up </w:t>
      </w:r>
      <w:r w:rsidR="008B3A8D" w:rsidRPr="009A0692">
        <w:rPr>
          <w:lang w:val="en-AU"/>
        </w:rPr>
        <w:t>PWC</w:t>
      </w:r>
      <w:r w:rsidR="008B3A8D">
        <w:rPr>
          <w:lang w:val="en-AU"/>
        </w:rPr>
        <w:t> Networks</w:t>
      </w:r>
      <w:r w:rsidR="008B3A8D" w:rsidRPr="009A0692">
        <w:rPr>
          <w:lang w:val="en-AU"/>
        </w:rPr>
        <w:t xml:space="preserve">’ </w:t>
      </w:r>
      <w:r w:rsidR="000D0B8E">
        <w:rPr>
          <w:lang w:val="en-AU"/>
        </w:rPr>
        <w:t xml:space="preserve">forecast </w:t>
      </w:r>
      <w:r w:rsidR="008B3A8D" w:rsidRPr="009A0692">
        <w:rPr>
          <w:lang w:val="en-AU"/>
        </w:rPr>
        <w:t>opex</w:t>
      </w:r>
      <w:r w:rsidR="008B3A8D">
        <w:rPr>
          <w:lang w:val="en-AU"/>
        </w:rPr>
        <w:t xml:space="preserve">, </w:t>
      </w:r>
      <w:r w:rsidR="00BA00C4">
        <w:rPr>
          <w:lang w:val="en-AU"/>
        </w:rPr>
        <w:t xml:space="preserve">and </w:t>
      </w:r>
      <w:r w:rsidR="008B3A8D" w:rsidRPr="009A0692">
        <w:rPr>
          <w:lang w:val="en-AU"/>
        </w:rPr>
        <w:t xml:space="preserve">identified </w:t>
      </w:r>
      <w:r w:rsidR="008B3A8D">
        <w:rPr>
          <w:lang w:val="en-AU"/>
        </w:rPr>
        <w:t>only a single instance of the inclusion of costs</w:t>
      </w:r>
      <w:r w:rsidR="0023054E">
        <w:rPr>
          <w:lang w:val="en-AU"/>
        </w:rPr>
        <w:t xml:space="preserve"> not related to PWC Networks’ regulated network access services</w:t>
      </w:r>
      <w:r w:rsidR="008B3A8D">
        <w:rPr>
          <w:lang w:val="en-AU"/>
        </w:rPr>
        <w:t xml:space="preserve"> which was removed from the </w:t>
      </w:r>
      <w:r w:rsidR="0023054E">
        <w:rPr>
          <w:lang w:val="en-AU"/>
        </w:rPr>
        <w:t xml:space="preserve">forecast </w:t>
      </w:r>
      <w:r w:rsidR="008B3A8D">
        <w:rPr>
          <w:lang w:val="en-AU"/>
        </w:rPr>
        <w:t>opex.</w:t>
      </w:r>
    </w:p>
    <w:p w14:paraId="32C0D1FF" w14:textId="440BF6BD" w:rsidR="00D81C2B" w:rsidRPr="009A0692" w:rsidRDefault="009A0692" w:rsidP="009A0692">
      <w:pPr>
        <w:pStyle w:val="ListParagraph"/>
        <w:numPr>
          <w:ilvl w:val="1"/>
          <w:numId w:val="5"/>
        </w:numPr>
        <w:tabs>
          <w:tab w:val="num" w:pos="709"/>
        </w:tabs>
        <w:ind w:left="709" w:hanging="709"/>
        <w:rPr>
          <w:lang w:val="en-AU"/>
        </w:rPr>
      </w:pPr>
      <w:r>
        <w:rPr>
          <w:lang w:val="en-AU"/>
        </w:rPr>
        <w:t>Detailed examination of the individual capex projects making up PWC Networks</w:t>
      </w:r>
      <w:r w:rsidR="00D32B9A">
        <w:rPr>
          <w:lang w:val="en-AU"/>
        </w:rPr>
        <w:t>’</w:t>
      </w:r>
      <w:r>
        <w:rPr>
          <w:lang w:val="en-AU"/>
        </w:rPr>
        <w:t xml:space="preserve"> </w:t>
      </w:r>
      <w:r w:rsidR="0023054E">
        <w:rPr>
          <w:lang w:val="en-AU"/>
        </w:rPr>
        <w:t xml:space="preserve">forecast </w:t>
      </w:r>
      <w:r>
        <w:rPr>
          <w:lang w:val="en-AU"/>
        </w:rPr>
        <w:t xml:space="preserve">capex </w:t>
      </w:r>
      <w:r w:rsidR="008B3A8D">
        <w:rPr>
          <w:lang w:val="en-AU"/>
        </w:rPr>
        <w:t xml:space="preserve">did </w:t>
      </w:r>
      <w:r w:rsidR="00D81C2B" w:rsidRPr="009A0692">
        <w:rPr>
          <w:lang w:val="en-AU"/>
        </w:rPr>
        <w:t>not identif</w:t>
      </w:r>
      <w:r w:rsidR="008B3A8D">
        <w:rPr>
          <w:lang w:val="en-AU"/>
        </w:rPr>
        <w:t>y</w:t>
      </w:r>
      <w:r w:rsidR="00D81C2B" w:rsidRPr="009A0692">
        <w:rPr>
          <w:lang w:val="en-AU"/>
        </w:rPr>
        <w:t xml:space="preserve"> any costs </w:t>
      </w:r>
      <w:r w:rsidR="0023054E">
        <w:rPr>
          <w:lang w:val="en-AU"/>
        </w:rPr>
        <w:t>not related to</w:t>
      </w:r>
      <w:r w:rsidR="0023054E" w:rsidRPr="0023054E">
        <w:rPr>
          <w:lang w:val="en-AU"/>
        </w:rPr>
        <w:t xml:space="preserve"> </w:t>
      </w:r>
      <w:r w:rsidR="0023054E">
        <w:rPr>
          <w:lang w:val="en-AU"/>
        </w:rPr>
        <w:t xml:space="preserve">PWC Networks’ regulated network access services </w:t>
      </w:r>
      <w:r w:rsidR="00D81C2B" w:rsidRPr="009A0692">
        <w:rPr>
          <w:lang w:val="en-AU"/>
        </w:rPr>
        <w:t>in</w:t>
      </w:r>
      <w:r w:rsidRPr="009A0692">
        <w:rPr>
          <w:lang w:val="en-AU"/>
        </w:rPr>
        <w:t xml:space="preserve">cluded in the proposed projects. </w:t>
      </w:r>
    </w:p>
    <w:p w14:paraId="2A44FC47" w14:textId="177E8925" w:rsidR="00D81C2B" w:rsidRPr="005026F0" w:rsidRDefault="009A0692" w:rsidP="005026F0">
      <w:pPr>
        <w:pStyle w:val="ListParagraph"/>
        <w:numPr>
          <w:ilvl w:val="1"/>
          <w:numId w:val="5"/>
        </w:numPr>
        <w:tabs>
          <w:tab w:val="num" w:pos="709"/>
        </w:tabs>
        <w:ind w:left="709" w:hanging="709"/>
        <w:rPr>
          <w:lang w:val="en-AU"/>
        </w:rPr>
      </w:pPr>
      <w:r>
        <w:rPr>
          <w:lang w:val="en-AU"/>
        </w:rPr>
        <w:t>The manner in which the</w:t>
      </w:r>
      <w:r w:rsidR="00AC1FE6">
        <w:rPr>
          <w:lang w:val="en-AU"/>
        </w:rPr>
        <w:t xml:space="preserve"> PWC Networks’ </w:t>
      </w:r>
      <w:r w:rsidR="00D81C2B" w:rsidRPr="005026F0">
        <w:rPr>
          <w:lang w:val="en-AU"/>
        </w:rPr>
        <w:t>share of corporate costs</w:t>
      </w:r>
      <w:r>
        <w:rPr>
          <w:lang w:val="en-AU"/>
        </w:rPr>
        <w:t xml:space="preserve"> </w:t>
      </w:r>
      <w:r w:rsidR="009D7F4C">
        <w:rPr>
          <w:lang w:val="en-AU"/>
        </w:rPr>
        <w:t xml:space="preserve">are determined was scrutinised, including </w:t>
      </w:r>
      <w:r w:rsidR="00D81C2B" w:rsidRPr="005026F0">
        <w:rPr>
          <w:lang w:val="en-AU"/>
        </w:rPr>
        <w:t>examin</w:t>
      </w:r>
      <w:r w:rsidR="009D7F4C">
        <w:rPr>
          <w:lang w:val="en-AU"/>
        </w:rPr>
        <w:t>ation</w:t>
      </w:r>
      <w:r w:rsidR="00D81C2B" w:rsidRPr="005026F0">
        <w:rPr>
          <w:lang w:val="en-AU"/>
        </w:rPr>
        <w:t xml:space="preserve"> </w:t>
      </w:r>
      <w:r w:rsidR="009D7F4C">
        <w:rPr>
          <w:lang w:val="en-AU"/>
        </w:rPr>
        <w:t>of the processes and procedures for calculating the percentage allocations and how these are input into PWC’s</w:t>
      </w:r>
      <w:r w:rsidR="00D81C2B" w:rsidRPr="005026F0">
        <w:rPr>
          <w:lang w:val="en-AU"/>
        </w:rPr>
        <w:t xml:space="preserve"> business systems.</w:t>
      </w:r>
    </w:p>
    <w:p w14:paraId="338F0510" w14:textId="233E69A7" w:rsidR="00085EBA" w:rsidRDefault="009D7F4C" w:rsidP="009D7F4C">
      <w:pPr>
        <w:pStyle w:val="ListParagraph"/>
        <w:numPr>
          <w:ilvl w:val="1"/>
          <w:numId w:val="5"/>
        </w:numPr>
        <w:tabs>
          <w:tab w:val="num" w:pos="709"/>
        </w:tabs>
        <w:ind w:left="709" w:hanging="709"/>
        <w:rPr>
          <w:lang w:val="en-AU"/>
        </w:rPr>
      </w:pPr>
      <w:r>
        <w:rPr>
          <w:lang w:val="en-AU"/>
        </w:rPr>
        <w:t xml:space="preserve">The Commission identified some shortcomings in </w:t>
      </w:r>
      <w:r w:rsidRPr="005026F0">
        <w:rPr>
          <w:lang w:val="en-AU"/>
        </w:rPr>
        <w:t>PWC’s CAM</w:t>
      </w:r>
      <w:r>
        <w:rPr>
          <w:lang w:val="en-AU"/>
        </w:rPr>
        <w:t xml:space="preserve">, particularly with respect to the </w:t>
      </w:r>
      <w:r w:rsidRPr="005026F0">
        <w:rPr>
          <w:lang w:val="en-AU"/>
        </w:rPr>
        <w:t xml:space="preserve">allocation of costs between regulated network access </w:t>
      </w:r>
      <w:r w:rsidR="0023054E">
        <w:rPr>
          <w:lang w:val="en-AU"/>
        </w:rPr>
        <w:t xml:space="preserve">services </w:t>
      </w:r>
      <w:r w:rsidRPr="005026F0">
        <w:rPr>
          <w:lang w:val="en-AU"/>
        </w:rPr>
        <w:t xml:space="preserve">and excluded </w:t>
      </w:r>
      <w:r w:rsidR="0023054E">
        <w:rPr>
          <w:lang w:val="en-AU"/>
        </w:rPr>
        <w:t xml:space="preserve">network access </w:t>
      </w:r>
      <w:r w:rsidRPr="005026F0">
        <w:rPr>
          <w:lang w:val="en-AU"/>
        </w:rPr>
        <w:t>services</w:t>
      </w:r>
      <w:r>
        <w:rPr>
          <w:lang w:val="en-AU"/>
        </w:rPr>
        <w:t xml:space="preserve">. However, there </w:t>
      </w:r>
      <w:r w:rsidR="008B3A8D">
        <w:rPr>
          <w:lang w:val="en-AU"/>
        </w:rPr>
        <w:t>was</w:t>
      </w:r>
      <w:r>
        <w:rPr>
          <w:lang w:val="en-AU"/>
        </w:rPr>
        <w:t xml:space="preserve"> no evidence before the Commission that PWC Networks is not allocating actual costs consistent with the CAM</w:t>
      </w:r>
      <w:r w:rsidR="00085EBA">
        <w:rPr>
          <w:lang w:val="en-AU"/>
        </w:rPr>
        <w:t xml:space="preserve"> or that other costs were being shifted from </w:t>
      </w:r>
      <w:r w:rsidR="0023054E">
        <w:rPr>
          <w:lang w:val="en-AU"/>
        </w:rPr>
        <w:t xml:space="preserve">PWC’s </w:t>
      </w:r>
      <w:r w:rsidR="00085EBA">
        <w:rPr>
          <w:lang w:val="en-AU"/>
        </w:rPr>
        <w:t xml:space="preserve">other business </w:t>
      </w:r>
      <w:r w:rsidR="0023054E">
        <w:rPr>
          <w:lang w:val="en-AU"/>
        </w:rPr>
        <w:t xml:space="preserve">units </w:t>
      </w:r>
      <w:r w:rsidR="00085EBA">
        <w:rPr>
          <w:lang w:val="en-AU"/>
        </w:rPr>
        <w:t xml:space="preserve">to </w:t>
      </w:r>
      <w:r w:rsidR="0023054E">
        <w:rPr>
          <w:lang w:val="en-AU"/>
        </w:rPr>
        <w:t>PWC </w:t>
      </w:r>
      <w:r w:rsidR="00085EBA">
        <w:rPr>
          <w:lang w:val="en-AU"/>
        </w:rPr>
        <w:t>Networks.</w:t>
      </w:r>
    </w:p>
    <w:p w14:paraId="10C2056A" w14:textId="2BD952B9" w:rsidR="009D7F4C" w:rsidRDefault="00085EBA" w:rsidP="009D7F4C">
      <w:pPr>
        <w:pStyle w:val="ListParagraph"/>
        <w:numPr>
          <w:ilvl w:val="1"/>
          <w:numId w:val="5"/>
        </w:numPr>
        <w:tabs>
          <w:tab w:val="num" w:pos="709"/>
        </w:tabs>
        <w:ind w:left="709" w:hanging="709"/>
        <w:rPr>
          <w:lang w:val="en-AU"/>
        </w:rPr>
      </w:pPr>
      <w:r>
        <w:rPr>
          <w:lang w:val="en-AU"/>
        </w:rPr>
        <w:t xml:space="preserve">In undertaking its benchmarking analysis, it was not evident that there had been cost shifting between </w:t>
      </w:r>
      <w:r w:rsidR="0023054E">
        <w:rPr>
          <w:lang w:val="en-AU"/>
        </w:rPr>
        <w:t xml:space="preserve">PWC’s </w:t>
      </w:r>
      <w:r>
        <w:rPr>
          <w:lang w:val="en-AU"/>
        </w:rPr>
        <w:t xml:space="preserve">business units in relation to </w:t>
      </w:r>
      <w:r w:rsidR="0023054E">
        <w:rPr>
          <w:lang w:val="en-AU"/>
        </w:rPr>
        <w:t>capex or opex</w:t>
      </w:r>
      <w:r>
        <w:rPr>
          <w:lang w:val="en-AU"/>
        </w:rPr>
        <w:t xml:space="preserve">.  </w:t>
      </w:r>
    </w:p>
    <w:p w14:paraId="7E567BBC" w14:textId="414BCB6C" w:rsidR="008B3A8D" w:rsidRDefault="008B3A8D" w:rsidP="009D7F4C">
      <w:pPr>
        <w:pStyle w:val="ListParagraph"/>
        <w:numPr>
          <w:ilvl w:val="1"/>
          <w:numId w:val="5"/>
        </w:numPr>
        <w:tabs>
          <w:tab w:val="num" w:pos="709"/>
        </w:tabs>
        <w:ind w:left="709" w:hanging="709"/>
        <w:rPr>
          <w:lang w:val="en-AU"/>
        </w:rPr>
      </w:pPr>
      <w:r>
        <w:rPr>
          <w:lang w:val="en-AU"/>
        </w:rPr>
        <w:t>The Commission also required a statutory declaration from the Managing Director of PWC, which declared that PWC Networks</w:t>
      </w:r>
      <w:r w:rsidR="00D32B9A">
        <w:rPr>
          <w:lang w:val="en-AU"/>
        </w:rPr>
        <w:t>’</w:t>
      </w:r>
      <w:r>
        <w:rPr>
          <w:lang w:val="en-AU"/>
        </w:rPr>
        <w:t xml:space="preserve"> response to the Commission’s </w:t>
      </w:r>
      <w:r w:rsidR="00BA00C4">
        <w:rPr>
          <w:lang w:val="en-AU"/>
        </w:rPr>
        <w:t>r</w:t>
      </w:r>
      <w:r>
        <w:rPr>
          <w:lang w:val="en-AU"/>
        </w:rPr>
        <w:t xml:space="preserve">egulatory </w:t>
      </w:r>
      <w:r w:rsidR="00BA00C4">
        <w:rPr>
          <w:lang w:val="en-AU"/>
        </w:rPr>
        <w:t>i</w:t>
      </w:r>
      <w:r>
        <w:rPr>
          <w:lang w:val="en-AU"/>
        </w:rPr>
        <w:t xml:space="preserve">nformation </w:t>
      </w:r>
      <w:r w:rsidR="00BA00C4">
        <w:rPr>
          <w:lang w:val="en-AU"/>
        </w:rPr>
        <w:t>n</w:t>
      </w:r>
      <w:r>
        <w:rPr>
          <w:lang w:val="en-AU"/>
        </w:rPr>
        <w:t xml:space="preserve">otice </w:t>
      </w:r>
      <w:r w:rsidR="0023054E">
        <w:rPr>
          <w:lang w:val="en-AU"/>
        </w:rPr>
        <w:t xml:space="preserve">relating to the 2014 Network Price Determination </w:t>
      </w:r>
      <w:r>
        <w:rPr>
          <w:lang w:val="en-AU"/>
        </w:rPr>
        <w:t xml:space="preserve">was true and accurate with respect to the </w:t>
      </w:r>
      <w:r w:rsidR="008F11BD">
        <w:rPr>
          <w:lang w:val="en-AU"/>
        </w:rPr>
        <w:t xml:space="preserve">network </w:t>
      </w:r>
      <w:r w:rsidR="0023054E">
        <w:rPr>
          <w:lang w:val="en-AU"/>
        </w:rPr>
        <w:t xml:space="preserve">access </w:t>
      </w:r>
      <w:r>
        <w:rPr>
          <w:lang w:val="en-AU"/>
        </w:rPr>
        <w:t>services PWC Networks provides.</w:t>
      </w:r>
    </w:p>
    <w:p w14:paraId="56D5DF65" w14:textId="397AABF1" w:rsidR="00085EBA" w:rsidRPr="005026F0" w:rsidRDefault="00085EBA" w:rsidP="009D7F4C">
      <w:pPr>
        <w:pStyle w:val="ListParagraph"/>
        <w:numPr>
          <w:ilvl w:val="1"/>
          <w:numId w:val="5"/>
        </w:numPr>
        <w:tabs>
          <w:tab w:val="num" w:pos="709"/>
        </w:tabs>
        <w:ind w:left="709" w:hanging="709"/>
        <w:rPr>
          <w:lang w:val="en-AU"/>
        </w:rPr>
      </w:pPr>
      <w:r>
        <w:rPr>
          <w:lang w:val="en-AU"/>
        </w:rPr>
        <w:t xml:space="preserve">The Commission sought technical advice on any alternative scrutiny which could be undertaken on PWC’s cost allocations and the advice confirmed that the only other avenue would have been a full audit of actual costs for the </w:t>
      </w:r>
      <w:r w:rsidR="007669D5">
        <w:rPr>
          <w:lang w:val="en-AU"/>
        </w:rPr>
        <w:t>2009-14</w:t>
      </w:r>
      <w:r>
        <w:rPr>
          <w:lang w:val="en-AU"/>
        </w:rPr>
        <w:t xml:space="preserve"> regulatory control period.  In the absence of any evidence of inappropriate cost allocations or clear examples provided in the submission process, the Commission considered such a task as cost prohibitive</w:t>
      </w:r>
      <w:r w:rsidR="00295D8E">
        <w:rPr>
          <w:lang w:val="en-AU"/>
        </w:rPr>
        <w:t xml:space="preserve"> </w:t>
      </w:r>
      <w:r w:rsidR="00122BBA">
        <w:rPr>
          <w:lang w:val="en-AU"/>
        </w:rPr>
        <w:t>and c</w:t>
      </w:r>
      <w:r w:rsidR="00295D8E">
        <w:rPr>
          <w:lang w:val="en-AU"/>
        </w:rPr>
        <w:t>ould not</w:t>
      </w:r>
      <w:r w:rsidR="00AC1FE6">
        <w:rPr>
          <w:lang w:val="en-AU"/>
        </w:rPr>
        <w:t xml:space="preserve"> be reasonably</w:t>
      </w:r>
      <w:r w:rsidR="00295D8E">
        <w:rPr>
          <w:lang w:val="en-AU"/>
        </w:rPr>
        <w:t xml:space="preserve"> </w:t>
      </w:r>
      <w:r w:rsidR="00122BBA">
        <w:rPr>
          <w:lang w:val="en-AU"/>
        </w:rPr>
        <w:t xml:space="preserve">justified. In addition, the Commission’s view is that Government’s proposed structural separation of PWC would assist in making cost allocations more transparent. </w:t>
      </w:r>
    </w:p>
    <w:p w14:paraId="65E80885" w14:textId="2D99E26B" w:rsidR="0032071E" w:rsidRPr="00BB4EB2" w:rsidRDefault="0032071E" w:rsidP="0032071E">
      <w:pPr>
        <w:pStyle w:val="UtilComHeading2"/>
      </w:pPr>
      <w:bookmarkStart w:id="100" w:name="_Toc385241476"/>
      <w:bookmarkStart w:id="101" w:name="_Toc386013029"/>
      <w:r w:rsidRPr="00BB4EB2">
        <w:t xml:space="preserve">Commission’s </w:t>
      </w:r>
      <w:r w:rsidR="00327F32">
        <w:t>F</w:t>
      </w:r>
      <w:r w:rsidR="00327F32" w:rsidRPr="00BB4EB2">
        <w:t xml:space="preserve">inal </w:t>
      </w:r>
      <w:bookmarkEnd w:id="100"/>
      <w:r w:rsidR="00327F32">
        <w:t>D</w:t>
      </w:r>
      <w:r w:rsidR="00327F32" w:rsidRPr="00BB4EB2">
        <w:t>ecision</w:t>
      </w:r>
      <w:bookmarkEnd w:id="101"/>
    </w:p>
    <w:p w14:paraId="119BC690" w14:textId="07AA767F" w:rsidR="0032071E" w:rsidRDefault="0032071E" w:rsidP="0032071E">
      <w:pPr>
        <w:pStyle w:val="ListParagraph"/>
        <w:numPr>
          <w:ilvl w:val="1"/>
          <w:numId w:val="5"/>
        </w:numPr>
        <w:tabs>
          <w:tab w:val="num" w:pos="709"/>
        </w:tabs>
        <w:ind w:left="709" w:hanging="709"/>
        <w:rPr>
          <w:lang w:val="en-AU"/>
        </w:rPr>
      </w:pPr>
      <w:r w:rsidRPr="00323FDE">
        <w:rPr>
          <w:lang w:val="en-AU"/>
        </w:rPr>
        <w:t xml:space="preserve">The Commission’s </w:t>
      </w:r>
      <w:r w:rsidR="009454AF">
        <w:rPr>
          <w:lang w:val="en-AU"/>
        </w:rPr>
        <w:t>view</w:t>
      </w:r>
      <w:r w:rsidRPr="00323FDE">
        <w:rPr>
          <w:lang w:val="en-AU"/>
        </w:rPr>
        <w:t xml:space="preserve"> </w:t>
      </w:r>
      <w:r w:rsidR="009454AF">
        <w:rPr>
          <w:lang w:val="en-AU"/>
        </w:rPr>
        <w:t xml:space="preserve">on the </w:t>
      </w:r>
      <w:r w:rsidR="0023054E">
        <w:rPr>
          <w:lang w:val="en-AU"/>
        </w:rPr>
        <w:t>CAM</w:t>
      </w:r>
      <w:r w:rsidR="009454AF">
        <w:rPr>
          <w:lang w:val="en-AU"/>
        </w:rPr>
        <w:t xml:space="preserve"> submitted by PWC</w:t>
      </w:r>
      <w:r w:rsidR="0023054E">
        <w:rPr>
          <w:lang w:val="en-AU"/>
        </w:rPr>
        <w:t> Networks</w:t>
      </w:r>
      <w:r w:rsidR="009454AF">
        <w:rPr>
          <w:lang w:val="en-AU"/>
        </w:rPr>
        <w:t xml:space="preserve"> remains consistent with its views set out in the Draft Determination</w:t>
      </w:r>
      <w:r w:rsidRPr="00391C7B">
        <w:rPr>
          <w:lang w:val="en-AU"/>
        </w:rPr>
        <w:t>.</w:t>
      </w:r>
    </w:p>
    <w:p w14:paraId="201D3989" w14:textId="6F6D57D1" w:rsidR="00B121CF" w:rsidRPr="00794B2D" w:rsidRDefault="00B121CF" w:rsidP="00B121CF">
      <w:pPr>
        <w:pStyle w:val="ListParagraph"/>
        <w:numPr>
          <w:ilvl w:val="1"/>
          <w:numId w:val="5"/>
        </w:numPr>
        <w:tabs>
          <w:tab w:val="num" w:pos="709"/>
        </w:tabs>
        <w:ind w:left="709" w:hanging="709"/>
        <w:rPr>
          <w:lang w:val="en-AU"/>
        </w:rPr>
      </w:pPr>
      <w:r>
        <w:rPr>
          <w:lang w:val="en-AU"/>
        </w:rPr>
        <w:t xml:space="preserve">The Commission considers that further progress will be required in </w:t>
      </w:r>
      <w:r w:rsidR="0023054E">
        <w:rPr>
          <w:lang w:val="en-AU"/>
        </w:rPr>
        <w:t xml:space="preserve">relation to </w:t>
      </w:r>
      <w:r>
        <w:rPr>
          <w:lang w:val="en-AU"/>
        </w:rPr>
        <w:t xml:space="preserve">the development of the CAM over the </w:t>
      </w:r>
      <w:r w:rsidR="00CD5510">
        <w:rPr>
          <w:lang w:val="en-AU"/>
        </w:rPr>
        <w:t>2014-19</w:t>
      </w:r>
      <w:r>
        <w:rPr>
          <w:lang w:val="en-AU"/>
        </w:rPr>
        <w:t xml:space="preserve"> regulatory control period to align </w:t>
      </w:r>
      <w:r w:rsidR="0023054E">
        <w:rPr>
          <w:lang w:val="en-AU"/>
        </w:rPr>
        <w:t xml:space="preserve">the CAM </w:t>
      </w:r>
      <w:r>
        <w:rPr>
          <w:lang w:val="en-AU"/>
        </w:rPr>
        <w:t>with the requirements of the NER.</w:t>
      </w:r>
    </w:p>
    <w:p w14:paraId="1C351197" w14:textId="77777777" w:rsidR="005243AC" w:rsidRPr="00B121CF" w:rsidRDefault="005243AC" w:rsidP="00B121CF">
      <w:pPr>
        <w:tabs>
          <w:tab w:val="num" w:pos="3270"/>
        </w:tabs>
        <w:rPr>
          <w:lang w:val="en-AU"/>
        </w:rPr>
      </w:pPr>
    </w:p>
    <w:tbl>
      <w:tblPr>
        <w:tblW w:w="0" w:type="auto"/>
        <w:tblLayout w:type="fixed"/>
        <w:tblLook w:val="01E0" w:firstRow="1" w:lastRow="1" w:firstColumn="1" w:lastColumn="1" w:noHBand="0" w:noVBand="0"/>
      </w:tblPr>
      <w:tblGrid>
        <w:gridCol w:w="9288"/>
      </w:tblGrid>
      <w:tr w:rsidR="000C1567" w14:paraId="3B2AC2AF" w14:textId="77777777" w:rsidTr="000C1567">
        <w:tc>
          <w:tcPr>
            <w:tcW w:w="9288" w:type="dxa"/>
          </w:tcPr>
          <w:p w14:paraId="3AF09902" w14:textId="77777777" w:rsidR="000C1567" w:rsidRDefault="000C1567" w:rsidP="00EF320F">
            <w:pPr>
              <w:pStyle w:val="NumberLevel1"/>
              <w:pageBreakBefore/>
              <w:numPr>
                <w:ilvl w:val="0"/>
                <w:numId w:val="4"/>
              </w:numPr>
              <w:ind w:left="431" w:hanging="431"/>
            </w:pPr>
            <w:r>
              <w:br w:type="page"/>
            </w:r>
          </w:p>
        </w:tc>
      </w:tr>
      <w:tr w:rsidR="000C1567" w14:paraId="092C2A57" w14:textId="77777777" w:rsidTr="000C1567">
        <w:tc>
          <w:tcPr>
            <w:tcW w:w="9288" w:type="dxa"/>
          </w:tcPr>
          <w:p w14:paraId="727B8F0F" w14:textId="5A0479D9" w:rsidR="000C1567" w:rsidRDefault="003B28CD">
            <w:pPr>
              <w:pStyle w:val="UtilComChapterHeading"/>
              <w:outlineLvl w:val="0"/>
            </w:pPr>
            <w:bookmarkStart w:id="102" w:name="_Toc385241477"/>
            <w:bookmarkStart w:id="103" w:name="_Toc386013030"/>
            <w:r>
              <w:t xml:space="preserve">Opening </w:t>
            </w:r>
            <w:r w:rsidR="00327F32">
              <w:t xml:space="preserve">Regulatory Asset </w:t>
            </w:r>
            <w:bookmarkEnd w:id="102"/>
            <w:r w:rsidR="00327F32">
              <w:t>Base</w:t>
            </w:r>
            <w:bookmarkEnd w:id="103"/>
          </w:p>
        </w:tc>
      </w:tr>
    </w:tbl>
    <w:p w14:paraId="7E60F0B1" w14:textId="77777777" w:rsidR="000C1567" w:rsidRDefault="002E3669" w:rsidP="000C1567">
      <w:pPr>
        <w:pStyle w:val="UtilComHeading2"/>
      </w:pPr>
      <w:bookmarkStart w:id="104" w:name="_Toc385241478"/>
      <w:bookmarkStart w:id="105" w:name="_Toc386013031"/>
      <w:r>
        <w:t>Introduction</w:t>
      </w:r>
      <w:bookmarkEnd w:id="104"/>
      <w:bookmarkEnd w:id="105"/>
    </w:p>
    <w:p w14:paraId="67FEB321" w14:textId="15C0726C" w:rsidR="000C1567" w:rsidRPr="009A51FB" w:rsidRDefault="002E3669" w:rsidP="0024206D">
      <w:pPr>
        <w:pStyle w:val="NumberLevel2"/>
        <w:numPr>
          <w:ilvl w:val="1"/>
          <w:numId w:val="5"/>
        </w:numPr>
        <w:ind w:left="709" w:hanging="709"/>
        <w:rPr>
          <w:lang w:val="en-AU"/>
        </w:rPr>
      </w:pPr>
      <w:r w:rsidRPr="009A51FB">
        <w:rPr>
          <w:lang w:val="en-AU"/>
        </w:rPr>
        <w:t xml:space="preserve">This chapter sets out </w:t>
      </w:r>
      <w:r w:rsidR="003F41F5" w:rsidRPr="009A51FB">
        <w:rPr>
          <w:lang w:val="en-AU"/>
        </w:rPr>
        <w:t xml:space="preserve">the method used by the Commission to determine the opening RAB for the </w:t>
      </w:r>
      <w:r w:rsidR="007669D5">
        <w:rPr>
          <w:lang w:val="en-AU"/>
        </w:rPr>
        <w:t>2014-19</w:t>
      </w:r>
      <w:r w:rsidR="007669D5" w:rsidRPr="009A51FB">
        <w:rPr>
          <w:lang w:val="en-AU"/>
        </w:rPr>
        <w:t xml:space="preserve"> </w:t>
      </w:r>
      <w:r w:rsidR="003F41F5" w:rsidRPr="009A51FB">
        <w:rPr>
          <w:lang w:val="en-AU"/>
        </w:rPr>
        <w:t xml:space="preserve">regulatory control period. The opening RAB will be used to calculate </w:t>
      </w:r>
      <w:r w:rsidR="008476D5">
        <w:rPr>
          <w:lang w:val="en-AU"/>
        </w:rPr>
        <w:t>PWC Networks’</w:t>
      </w:r>
      <w:r w:rsidR="008476D5" w:rsidRPr="009A51FB">
        <w:rPr>
          <w:lang w:val="en-AU"/>
        </w:rPr>
        <w:t xml:space="preserve"> </w:t>
      </w:r>
      <w:r w:rsidR="003F41F5" w:rsidRPr="009A51FB">
        <w:rPr>
          <w:lang w:val="en-AU"/>
        </w:rPr>
        <w:t>annual revenue requirements.</w:t>
      </w:r>
    </w:p>
    <w:p w14:paraId="312AEA5B" w14:textId="78C3674D" w:rsidR="003F41F5" w:rsidRDefault="003F41F5" w:rsidP="003F41F5">
      <w:pPr>
        <w:pStyle w:val="UtilComHeading2"/>
      </w:pPr>
      <w:bookmarkStart w:id="106" w:name="_Toc385241479"/>
      <w:bookmarkStart w:id="107" w:name="_Toc386013032"/>
      <w:r>
        <w:t xml:space="preserve">Regulatory </w:t>
      </w:r>
      <w:r w:rsidR="00327F32">
        <w:t>R</w:t>
      </w:r>
      <w:r>
        <w:t>equirements</w:t>
      </w:r>
      <w:bookmarkEnd w:id="106"/>
      <w:bookmarkEnd w:id="107"/>
    </w:p>
    <w:p w14:paraId="566D7814" w14:textId="0661148A" w:rsidR="00FD4774" w:rsidRDefault="00FB2EC5" w:rsidP="00FD4774">
      <w:pPr>
        <w:pStyle w:val="UtilComHeading3"/>
      </w:pPr>
      <w:r>
        <w:t>Network Access Code</w:t>
      </w:r>
    </w:p>
    <w:p w14:paraId="40A47AFF" w14:textId="49A37EA6" w:rsidR="00FD4774" w:rsidRDefault="00FD4774" w:rsidP="0024206D">
      <w:pPr>
        <w:pStyle w:val="NumberLevel2"/>
        <w:numPr>
          <w:ilvl w:val="1"/>
          <w:numId w:val="5"/>
        </w:numPr>
        <w:tabs>
          <w:tab w:val="num" w:pos="709"/>
        </w:tabs>
        <w:ind w:left="709" w:hanging="709"/>
        <w:rPr>
          <w:lang w:val="en-AU"/>
        </w:rPr>
      </w:pPr>
      <w:r>
        <w:rPr>
          <w:lang w:val="en-AU"/>
        </w:rPr>
        <w:t xml:space="preserve">Clause 68 of the </w:t>
      </w:r>
      <w:r w:rsidR="00FB2EC5">
        <w:rPr>
          <w:lang w:val="en-AU"/>
        </w:rPr>
        <w:t>Network Access Code</w:t>
      </w:r>
      <w:r>
        <w:rPr>
          <w:lang w:val="en-AU"/>
        </w:rPr>
        <w:t xml:space="preserve"> requires the Commission, in setting a revenue</w:t>
      </w:r>
      <w:r w:rsidR="008476D5">
        <w:rPr>
          <w:lang w:val="en-AU"/>
        </w:rPr>
        <w:t xml:space="preserve"> cap</w:t>
      </w:r>
      <w:r>
        <w:rPr>
          <w:lang w:val="en-AU"/>
        </w:rPr>
        <w:t xml:space="preserve"> or price cap, to take into account the revenue requirements of the network service provider during the relevant </w:t>
      </w:r>
      <w:r w:rsidR="00003986">
        <w:rPr>
          <w:lang w:val="en-AU"/>
        </w:rPr>
        <w:t xml:space="preserve">regulatory </w:t>
      </w:r>
      <w:r>
        <w:rPr>
          <w:lang w:val="en-AU"/>
        </w:rPr>
        <w:t>year or</w:t>
      </w:r>
      <w:r w:rsidR="00003986">
        <w:rPr>
          <w:lang w:val="en-AU"/>
        </w:rPr>
        <w:t xml:space="preserve"> regulatory</w:t>
      </w:r>
      <w:r>
        <w:rPr>
          <w:lang w:val="en-AU"/>
        </w:rPr>
        <w:t xml:space="preserve"> years having regard to a number of factors.</w:t>
      </w:r>
    </w:p>
    <w:p w14:paraId="010F596A" w14:textId="77777777" w:rsidR="00FD4774" w:rsidRDefault="00FD4774" w:rsidP="0024206D">
      <w:pPr>
        <w:pStyle w:val="NumberLevel2"/>
        <w:numPr>
          <w:ilvl w:val="1"/>
          <w:numId w:val="5"/>
        </w:numPr>
        <w:tabs>
          <w:tab w:val="num" w:pos="709"/>
        </w:tabs>
        <w:ind w:left="709" w:hanging="709"/>
        <w:rPr>
          <w:lang w:val="en-AU"/>
        </w:rPr>
      </w:pPr>
      <w:r>
        <w:rPr>
          <w:lang w:val="en-AU"/>
        </w:rPr>
        <w:t>One of these factors is:</w:t>
      </w:r>
    </w:p>
    <w:p w14:paraId="44E5E3A4" w14:textId="77777777" w:rsidR="00FD4774" w:rsidRPr="00FD4774" w:rsidRDefault="00FD4774" w:rsidP="004B63D8">
      <w:pPr>
        <w:pStyle w:val="UtilComQuotationText"/>
        <w:ind w:left="1560" w:hanging="426"/>
      </w:pPr>
      <w:r w:rsidRPr="00FD4774">
        <w:t>(e)</w:t>
      </w:r>
      <w:r w:rsidRPr="00FD4774">
        <w:tab/>
        <w:t>the provision of a return on efficient capital investment undertaken by the network provider in order to maintain or extend network capacity that is commensurate with the commercial and regulatory risks involved;</w:t>
      </w:r>
    </w:p>
    <w:p w14:paraId="425AE3E5" w14:textId="1820249E" w:rsidR="00FD4774" w:rsidRDefault="00E01914" w:rsidP="0024206D">
      <w:pPr>
        <w:pStyle w:val="NumberLevel2"/>
        <w:numPr>
          <w:ilvl w:val="1"/>
          <w:numId w:val="5"/>
        </w:numPr>
        <w:tabs>
          <w:tab w:val="num" w:pos="709"/>
        </w:tabs>
        <w:ind w:left="709" w:hanging="709"/>
        <w:rPr>
          <w:lang w:val="en-AU"/>
        </w:rPr>
      </w:pPr>
      <w:r>
        <w:rPr>
          <w:lang w:val="en-AU"/>
        </w:rPr>
        <w:t xml:space="preserve">Schedule 7 of the </w:t>
      </w:r>
      <w:r w:rsidR="00FB2EC5">
        <w:rPr>
          <w:lang w:val="en-AU"/>
        </w:rPr>
        <w:t>Network Access Code</w:t>
      </w:r>
      <w:r>
        <w:rPr>
          <w:lang w:val="en-AU"/>
        </w:rPr>
        <w:t xml:space="preserve"> sets out how the </w:t>
      </w:r>
      <w:r w:rsidR="00003986">
        <w:rPr>
          <w:lang w:val="en-AU"/>
        </w:rPr>
        <w:t>regulatory</w:t>
      </w:r>
      <w:r>
        <w:rPr>
          <w:lang w:val="en-AU"/>
        </w:rPr>
        <w:t xml:space="preserve"> asset base should be identified and measured.</w:t>
      </w:r>
    </w:p>
    <w:p w14:paraId="33E59AEA" w14:textId="5C6CF93E" w:rsidR="00E01914" w:rsidRDefault="008476D5" w:rsidP="0024206D">
      <w:pPr>
        <w:pStyle w:val="NumberLevel2"/>
        <w:numPr>
          <w:ilvl w:val="1"/>
          <w:numId w:val="5"/>
        </w:numPr>
        <w:tabs>
          <w:tab w:val="num" w:pos="709"/>
        </w:tabs>
        <w:ind w:left="709" w:hanging="709"/>
        <w:rPr>
          <w:lang w:val="en-AU"/>
        </w:rPr>
      </w:pPr>
      <w:r>
        <w:rPr>
          <w:lang w:val="en-AU"/>
        </w:rPr>
        <w:t xml:space="preserve">In particular, clause </w:t>
      </w:r>
      <w:r w:rsidR="00E01914">
        <w:rPr>
          <w:lang w:val="en-AU"/>
        </w:rPr>
        <w:t xml:space="preserve">6 of Schedule 7 sets out the basis for valuing </w:t>
      </w:r>
      <w:r>
        <w:rPr>
          <w:lang w:val="en-AU"/>
        </w:rPr>
        <w:t xml:space="preserve">PWC Networks’ RAB </w:t>
      </w:r>
      <w:r w:rsidR="00E01914">
        <w:rPr>
          <w:lang w:val="en-AU"/>
        </w:rPr>
        <w:t xml:space="preserve">for the </w:t>
      </w:r>
      <w:r>
        <w:rPr>
          <w:lang w:val="en-AU"/>
        </w:rPr>
        <w:t>2014-19</w:t>
      </w:r>
      <w:r w:rsidR="00E01914">
        <w:rPr>
          <w:lang w:val="en-AU"/>
        </w:rPr>
        <w:t xml:space="preserve"> regulatory control period, with any valuations or revaluations to be undertaken on a basis approved by the Commission. It also provides that:</w:t>
      </w:r>
    </w:p>
    <w:p w14:paraId="0A74CADE" w14:textId="77777777" w:rsidR="00E01914" w:rsidRPr="00E01914" w:rsidRDefault="00E01914" w:rsidP="004B63D8">
      <w:pPr>
        <w:pStyle w:val="UtilComQuotationText"/>
        <w:ind w:left="1559" w:hanging="425"/>
      </w:pPr>
      <w:r w:rsidRPr="00E01914">
        <w:t>(2)</w:t>
      </w:r>
      <w:r w:rsidRPr="00E01914">
        <w:tab/>
        <w:t>In approving the basis of asset valuation to be used, the regulator must have regard to:</w:t>
      </w:r>
    </w:p>
    <w:p w14:paraId="3D97618B" w14:textId="77777777" w:rsidR="00E01914" w:rsidRPr="00E01914" w:rsidRDefault="00E01914" w:rsidP="004B63D8">
      <w:pPr>
        <w:pStyle w:val="UtilComQuotationText"/>
        <w:ind w:left="1832" w:hanging="284"/>
      </w:pPr>
      <w:r w:rsidRPr="00E01914">
        <w:t>(a)</w:t>
      </w:r>
      <w:r w:rsidRPr="00E01914">
        <w:tab/>
        <w:t xml:space="preserve">the agreement of the Council of Australian Governments of 19 August 1994 that deprival value should be the preferred approach to valuing network assets; </w:t>
      </w:r>
    </w:p>
    <w:p w14:paraId="7385E27E" w14:textId="77777777" w:rsidR="00E01914" w:rsidRPr="00E01914" w:rsidRDefault="00E01914" w:rsidP="004B63D8">
      <w:pPr>
        <w:pStyle w:val="UtilComQuotationText"/>
        <w:ind w:left="1832" w:hanging="284"/>
      </w:pPr>
      <w:r w:rsidRPr="00E01914">
        <w:t>(b)</w:t>
      </w:r>
      <w:r w:rsidRPr="00E01914">
        <w:tab/>
        <w:t xml:space="preserve">any subsequent decisions of the Council of Australian Governments regarding the valuation of public sector assets; and </w:t>
      </w:r>
    </w:p>
    <w:p w14:paraId="724EE32C" w14:textId="77777777" w:rsidR="00E01914" w:rsidRPr="00E01914" w:rsidRDefault="00E01914" w:rsidP="004B63D8">
      <w:pPr>
        <w:pStyle w:val="UtilComQuotationText"/>
        <w:ind w:left="1832" w:hanging="284"/>
      </w:pPr>
      <w:r w:rsidRPr="00E01914">
        <w:t>(c)</w:t>
      </w:r>
      <w:r w:rsidRPr="00E01914">
        <w:tab/>
        <w:t>generally accepted regulatory practice at the time.</w:t>
      </w:r>
    </w:p>
    <w:p w14:paraId="576E024C" w14:textId="77777777" w:rsidR="0052797B" w:rsidRDefault="0052797B" w:rsidP="0052797B">
      <w:pPr>
        <w:pStyle w:val="UtilComHeading3"/>
      </w:pPr>
      <w:r w:rsidRPr="00321BDA">
        <w:t>National Electricity Rules</w:t>
      </w:r>
    </w:p>
    <w:p w14:paraId="325B0C6E" w14:textId="4FBA5713" w:rsidR="0052797B" w:rsidRPr="0052797B" w:rsidRDefault="0052797B" w:rsidP="0024206D">
      <w:pPr>
        <w:pStyle w:val="NumberLevel2"/>
        <w:numPr>
          <w:ilvl w:val="1"/>
          <w:numId w:val="5"/>
        </w:numPr>
        <w:tabs>
          <w:tab w:val="num" w:pos="709"/>
        </w:tabs>
        <w:ind w:left="709" w:hanging="709"/>
        <w:rPr>
          <w:lang w:val="en-AU"/>
        </w:rPr>
      </w:pPr>
      <w:r w:rsidRPr="0052797B">
        <w:rPr>
          <w:lang w:val="en-AU"/>
        </w:rPr>
        <w:t xml:space="preserve">Clause 6.5.1 of the NER outlines the approach to be </w:t>
      </w:r>
      <w:r w:rsidR="008476D5">
        <w:rPr>
          <w:lang w:val="en-AU"/>
        </w:rPr>
        <w:t>followed</w:t>
      </w:r>
      <w:r w:rsidR="008476D5" w:rsidRPr="0052797B">
        <w:rPr>
          <w:lang w:val="en-AU"/>
        </w:rPr>
        <w:t xml:space="preserve"> </w:t>
      </w:r>
      <w:r>
        <w:rPr>
          <w:lang w:val="en-AU"/>
        </w:rPr>
        <w:t xml:space="preserve">by the AER </w:t>
      </w:r>
      <w:r w:rsidR="008476D5">
        <w:rPr>
          <w:lang w:val="en-AU"/>
        </w:rPr>
        <w:t>in determining</w:t>
      </w:r>
      <w:r w:rsidRPr="0052797B">
        <w:rPr>
          <w:lang w:val="en-AU"/>
        </w:rPr>
        <w:t xml:space="preserve"> the opening RAB for a distribution determination. Consistent with the requirements of this clause, the AER </w:t>
      </w:r>
      <w:r w:rsidR="008476D5">
        <w:rPr>
          <w:lang w:val="en-AU"/>
        </w:rPr>
        <w:t xml:space="preserve">has </w:t>
      </w:r>
      <w:r w:rsidRPr="0052797B">
        <w:rPr>
          <w:lang w:val="en-AU"/>
        </w:rPr>
        <w:t xml:space="preserve">published </w:t>
      </w:r>
      <w:r w:rsidR="008476D5">
        <w:rPr>
          <w:lang w:val="en-AU"/>
        </w:rPr>
        <w:t>a</w:t>
      </w:r>
      <w:r w:rsidRPr="0052797B">
        <w:rPr>
          <w:lang w:val="en-AU"/>
        </w:rPr>
        <w:t xml:space="preserve"> roll</w:t>
      </w:r>
      <w:r w:rsidR="004C6187">
        <w:rPr>
          <w:lang w:val="en-AU"/>
        </w:rPr>
        <w:t xml:space="preserve"> </w:t>
      </w:r>
      <w:r w:rsidRPr="0052797B">
        <w:rPr>
          <w:lang w:val="en-AU"/>
        </w:rPr>
        <w:t>forward model which sets out the method for determining the roll forward of the RAB</w:t>
      </w:r>
      <w:r>
        <w:rPr>
          <w:lang w:val="en-AU"/>
        </w:rPr>
        <w:t>.</w:t>
      </w:r>
      <w:r w:rsidR="007F7275">
        <w:rPr>
          <w:rStyle w:val="FootnoteReference"/>
          <w:lang w:val="en-AU"/>
        </w:rPr>
        <w:footnoteReference w:id="33"/>
      </w:r>
    </w:p>
    <w:p w14:paraId="69F8A43C" w14:textId="6F091B1A" w:rsidR="007F7275" w:rsidRPr="00E01914" w:rsidRDefault="0052797B" w:rsidP="0024206D">
      <w:pPr>
        <w:pStyle w:val="NumberLevel2"/>
        <w:numPr>
          <w:ilvl w:val="1"/>
          <w:numId w:val="5"/>
        </w:numPr>
        <w:tabs>
          <w:tab w:val="num" w:pos="709"/>
        </w:tabs>
        <w:ind w:left="709" w:hanging="709"/>
        <w:rPr>
          <w:lang w:val="en-AU"/>
        </w:rPr>
      </w:pPr>
      <w:r w:rsidRPr="0052797B">
        <w:rPr>
          <w:lang w:val="en-AU"/>
        </w:rPr>
        <w:t xml:space="preserve">Clause S6.2.1(c)(1) of the NER provides that </w:t>
      </w:r>
      <w:r w:rsidR="003000DD">
        <w:rPr>
          <w:lang w:val="en-AU"/>
        </w:rPr>
        <w:t xml:space="preserve">at the commencement of Schedule 6.2 of the NER, the value of </w:t>
      </w:r>
      <w:r w:rsidRPr="0052797B">
        <w:rPr>
          <w:lang w:val="en-AU"/>
        </w:rPr>
        <w:t xml:space="preserve">the RAB </w:t>
      </w:r>
      <w:r w:rsidR="007F7275">
        <w:rPr>
          <w:lang w:val="en-AU"/>
        </w:rPr>
        <w:t xml:space="preserve">for </w:t>
      </w:r>
      <w:r w:rsidR="003000DD">
        <w:rPr>
          <w:lang w:val="en-AU"/>
        </w:rPr>
        <w:t>a distribution system</w:t>
      </w:r>
      <w:r w:rsidR="007F7275">
        <w:rPr>
          <w:lang w:val="en-AU"/>
        </w:rPr>
        <w:t xml:space="preserve"> </w:t>
      </w:r>
      <w:r w:rsidRPr="0052797B">
        <w:rPr>
          <w:lang w:val="en-AU"/>
        </w:rPr>
        <w:t xml:space="preserve">for the first </w:t>
      </w:r>
      <w:r w:rsidR="003000DD">
        <w:rPr>
          <w:lang w:val="en-AU"/>
        </w:rPr>
        <w:t xml:space="preserve">regulatory </w:t>
      </w:r>
      <w:r w:rsidRPr="0052797B">
        <w:rPr>
          <w:lang w:val="en-AU"/>
        </w:rPr>
        <w:t xml:space="preserve">year </w:t>
      </w:r>
      <w:r w:rsidR="003000DD">
        <w:rPr>
          <w:lang w:val="en-AU"/>
        </w:rPr>
        <w:t>to which the schedule applies</w:t>
      </w:r>
      <w:r w:rsidRPr="0052797B">
        <w:rPr>
          <w:lang w:val="en-AU"/>
        </w:rPr>
        <w:t xml:space="preserve"> </w:t>
      </w:r>
      <w:r w:rsidR="003000DD">
        <w:rPr>
          <w:lang w:val="en-AU"/>
        </w:rPr>
        <w:t>is to</w:t>
      </w:r>
      <w:r w:rsidR="003000DD" w:rsidRPr="0052797B">
        <w:rPr>
          <w:lang w:val="en-AU"/>
        </w:rPr>
        <w:t xml:space="preserve"> </w:t>
      </w:r>
      <w:r w:rsidRPr="0052797B">
        <w:rPr>
          <w:lang w:val="en-AU"/>
        </w:rPr>
        <w:t>be determined by rolling forward the</w:t>
      </w:r>
      <w:r w:rsidR="007F7275">
        <w:rPr>
          <w:lang w:val="en-AU"/>
        </w:rPr>
        <w:t xml:space="preserve"> relevant</w:t>
      </w:r>
      <w:r w:rsidRPr="0052797B">
        <w:rPr>
          <w:lang w:val="en-AU"/>
        </w:rPr>
        <w:t xml:space="preserve"> RAB value set out in the </w:t>
      </w:r>
      <w:r w:rsidR="003000DD">
        <w:rPr>
          <w:lang w:val="en-AU"/>
        </w:rPr>
        <w:t>S</w:t>
      </w:r>
      <w:r w:rsidR="003000DD" w:rsidRPr="0052797B">
        <w:rPr>
          <w:lang w:val="en-AU"/>
        </w:rPr>
        <w:t>chedule</w:t>
      </w:r>
      <w:r w:rsidR="007F7275">
        <w:rPr>
          <w:lang w:val="en-AU"/>
        </w:rPr>
        <w:t>.</w:t>
      </w:r>
    </w:p>
    <w:p w14:paraId="02C18E8E" w14:textId="3D26677A" w:rsidR="0052797B" w:rsidRDefault="007F7275" w:rsidP="0024206D">
      <w:pPr>
        <w:pStyle w:val="NumberLevel2"/>
        <w:numPr>
          <w:ilvl w:val="1"/>
          <w:numId w:val="5"/>
        </w:numPr>
        <w:tabs>
          <w:tab w:val="num" w:pos="709"/>
        </w:tabs>
        <w:ind w:left="709" w:hanging="709"/>
        <w:rPr>
          <w:lang w:val="en-AU"/>
        </w:rPr>
      </w:pPr>
      <w:r>
        <w:rPr>
          <w:lang w:val="en-AU"/>
        </w:rPr>
        <w:t>For dist</w:t>
      </w:r>
      <w:r w:rsidR="00F3229E">
        <w:rPr>
          <w:lang w:val="en-AU"/>
        </w:rPr>
        <w:t xml:space="preserve">ribution systems </w:t>
      </w:r>
      <w:r w:rsidR="003000DD">
        <w:rPr>
          <w:lang w:val="en-AU"/>
        </w:rPr>
        <w:t>that are</w:t>
      </w:r>
      <w:r w:rsidR="00F3229E">
        <w:rPr>
          <w:lang w:val="en-AU"/>
        </w:rPr>
        <w:t xml:space="preserve"> not</w:t>
      </w:r>
      <w:r>
        <w:rPr>
          <w:lang w:val="en-AU"/>
        </w:rPr>
        <w:t xml:space="preserve"> specified in the </w:t>
      </w:r>
      <w:r w:rsidR="003000DD">
        <w:rPr>
          <w:lang w:val="en-AU"/>
        </w:rPr>
        <w:t>Schedule</w:t>
      </w:r>
      <w:r>
        <w:rPr>
          <w:lang w:val="en-AU"/>
        </w:rPr>
        <w:t>, clause S6.2.1(d) specifies that:</w:t>
      </w:r>
    </w:p>
    <w:p w14:paraId="5686A19F" w14:textId="77777777" w:rsidR="007F7275" w:rsidRDefault="007F7275" w:rsidP="004B63D8">
      <w:pPr>
        <w:pStyle w:val="UtilComQuotationText"/>
        <w:ind w:left="1560" w:hanging="426"/>
      </w:pPr>
      <w:r w:rsidRPr="007F7275">
        <w:t>(2) The value of the regulatory asset base for that distribution system as at the beginning of the first regulatory year of the first regulatory control period for the relevant Distribution Network Service Provider is the prudent and efficient value of the assets that are used by the provider to provide those standard control services (but only to the extent that they are used to provide such services), as determined by the AER. In determining this value, the AER must have regard to the matters referred to in clause S6.2.2.</w:t>
      </w:r>
    </w:p>
    <w:p w14:paraId="05F327E9" w14:textId="4BD14BC4" w:rsidR="00AC27D1" w:rsidRPr="00AC27D1" w:rsidRDefault="00AC27D1" w:rsidP="00AC27D1">
      <w:pPr>
        <w:pStyle w:val="NumberLevel2"/>
        <w:numPr>
          <w:ilvl w:val="1"/>
          <w:numId w:val="5"/>
        </w:numPr>
        <w:tabs>
          <w:tab w:val="num" w:pos="709"/>
        </w:tabs>
        <w:ind w:left="709" w:hanging="709"/>
        <w:rPr>
          <w:lang w:val="en-AU"/>
        </w:rPr>
      </w:pPr>
      <w:r>
        <w:rPr>
          <w:lang w:val="en-AU"/>
        </w:rPr>
        <w:t xml:space="preserve">Clause S6.2.2 </w:t>
      </w:r>
      <w:r w:rsidR="003000DD">
        <w:rPr>
          <w:lang w:val="en-AU"/>
        </w:rPr>
        <w:t xml:space="preserve">of the NER </w:t>
      </w:r>
      <w:r>
        <w:rPr>
          <w:lang w:val="en-AU"/>
        </w:rPr>
        <w:t>sets out a range of criteria for determining the prudency and efficiency of capital expenditure including ensuring that the DNSP is provided with a reasonable opportunity to recover efficient costs, providing incentives for the DNSP to avoid inefficient capital expenditure, minimising investment uncertainty for the DNSP</w:t>
      </w:r>
      <w:r w:rsidR="00A643B5">
        <w:rPr>
          <w:lang w:val="en-AU"/>
        </w:rPr>
        <w:t xml:space="preserve"> and having regard to the value of the relevant asset as shown in independently audited and published accounts</w:t>
      </w:r>
      <w:r>
        <w:rPr>
          <w:lang w:val="en-AU"/>
        </w:rPr>
        <w:t>.</w:t>
      </w:r>
      <w:r w:rsidR="00A643B5">
        <w:rPr>
          <w:lang w:val="en-AU"/>
        </w:rPr>
        <w:t xml:space="preserve"> </w:t>
      </w:r>
    </w:p>
    <w:p w14:paraId="5C4EC346" w14:textId="7B5EDD45" w:rsidR="007F7275" w:rsidRDefault="007F7275" w:rsidP="00114B1D">
      <w:pPr>
        <w:pStyle w:val="UtilComHeading3"/>
        <w:spacing w:before="120"/>
      </w:pPr>
      <w:r>
        <w:t xml:space="preserve">Framework and </w:t>
      </w:r>
      <w:r w:rsidR="00327F32">
        <w:t>Approach</w:t>
      </w:r>
    </w:p>
    <w:p w14:paraId="54A64605" w14:textId="344E9AB0" w:rsidR="009F1175" w:rsidRDefault="009F1175" w:rsidP="0024206D">
      <w:pPr>
        <w:pStyle w:val="ListParagraph"/>
        <w:numPr>
          <w:ilvl w:val="1"/>
          <w:numId w:val="5"/>
        </w:numPr>
        <w:tabs>
          <w:tab w:val="num" w:pos="709"/>
        </w:tabs>
        <w:ind w:left="709" w:hanging="709"/>
        <w:rPr>
          <w:lang w:val="en-AU"/>
        </w:rPr>
      </w:pPr>
      <w:r w:rsidRPr="009F1175">
        <w:rPr>
          <w:lang w:val="en-AU"/>
        </w:rPr>
        <w:t xml:space="preserve">In its Framework </w:t>
      </w:r>
      <w:r w:rsidR="00086889">
        <w:rPr>
          <w:lang w:val="en-AU"/>
        </w:rPr>
        <w:t>Statement</w:t>
      </w:r>
      <w:r w:rsidRPr="009F1175">
        <w:rPr>
          <w:lang w:val="en-AU"/>
        </w:rPr>
        <w:t xml:space="preserve">, the Commission set out </w:t>
      </w:r>
      <w:r w:rsidR="004D157E">
        <w:rPr>
          <w:lang w:val="en-AU"/>
        </w:rPr>
        <w:t xml:space="preserve">that </w:t>
      </w:r>
      <w:r>
        <w:rPr>
          <w:lang w:val="en-AU"/>
        </w:rPr>
        <w:t>its</w:t>
      </w:r>
      <w:r w:rsidRPr="009F1175">
        <w:rPr>
          <w:lang w:val="en-AU"/>
        </w:rPr>
        <w:t xml:space="preserve"> preferred approach </w:t>
      </w:r>
      <w:r w:rsidR="004D157E">
        <w:rPr>
          <w:lang w:val="en-AU"/>
        </w:rPr>
        <w:t xml:space="preserve">was </w:t>
      </w:r>
      <w:r w:rsidRPr="009F1175">
        <w:rPr>
          <w:lang w:val="en-AU"/>
        </w:rPr>
        <w:t>to adopt a RFM, largely model</w:t>
      </w:r>
      <w:r>
        <w:rPr>
          <w:lang w:val="en-AU"/>
        </w:rPr>
        <w:t>l</w:t>
      </w:r>
      <w:r w:rsidRPr="009F1175">
        <w:rPr>
          <w:lang w:val="en-AU"/>
        </w:rPr>
        <w:t xml:space="preserve">ed on the AER’s published RFM and accompanying handbook, for use by </w:t>
      </w:r>
      <w:r w:rsidR="004D157E">
        <w:rPr>
          <w:lang w:val="en-AU"/>
        </w:rPr>
        <w:t>PWC Networks</w:t>
      </w:r>
      <w:r w:rsidRPr="009F1175">
        <w:rPr>
          <w:lang w:val="en-AU"/>
        </w:rPr>
        <w:t xml:space="preserve"> to roll forward the RAB</w:t>
      </w:r>
      <w:r w:rsidR="004D157E">
        <w:rPr>
          <w:lang w:val="en-AU"/>
        </w:rPr>
        <w:t xml:space="preserve"> at the commencement of the 2014-19 regulatory control period. The RAB</w:t>
      </w:r>
      <w:r w:rsidRPr="009F1175">
        <w:rPr>
          <w:lang w:val="en-AU"/>
        </w:rPr>
        <w:t xml:space="preserve"> was </w:t>
      </w:r>
      <w:r w:rsidR="004D157E">
        <w:rPr>
          <w:lang w:val="en-AU"/>
        </w:rPr>
        <w:t xml:space="preserve">valued </w:t>
      </w:r>
      <w:r w:rsidR="009B3ACB">
        <w:rPr>
          <w:lang w:val="en-AU"/>
        </w:rPr>
        <w:t xml:space="preserve">by the Commission </w:t>
      </w:r>
      <w:r w:rsidRPr="009F1175">
        <w:rPr>
          <w:lang w:val="en-AU"/>
        </w:rPr>
        <w:t>at $350</w:t>
      </w:r>
      <w:r w:rsidR="00656823">
        <w:rPr>
          <w:lang w:val="en-AU"/>
        </w:rPr>
        <w:t>.</w:t>
      </w:r>
      <w:r w:rsidR="00BF338A">
        <w:rPr>
          <w:lang w:val="en-AU"/>
        </w:rPr>
        <w:t>0 </w:t>
      </w:r>
      <w:r w:rsidRPr="009F1175">
        <w:rPr>
          <w:lang w:val="en-AU"/>
        </w:rPr>
        <w:t xml:space="preserve">million (excluding gifted assets) as at </w:t>
      </w:r>
      <w:r w:rsidR="00BF338A" w:rsidRPr="009F1175">
        <w:rPr>
          <w:lang w:val="en-AU"/>
        </w:rPr>
        <w:t>1</w:t>
      </w:r>
      <w:r w:rsidR="00BF338A">
        <w:rPr>
          <w:lang w:val="en-AU"/>
        </w:rPr>
        <w:t> </w:t>
      </w:r>
      <w:r w:rsidR="00BF338A" w:rsidRPr="009F1175">
        <w:rPr>
          <w:lang w:val="en-AU"/>
        </w:rPr>
        <w:t>July</w:t>
      </w:r>
      <w:r w:rsidR="00BF338A">
        <w:rPr>
          <w:lang w:val="en-AU"/>
        </w:rPr>
        <w:t> </w:t>
      </w:r>
      <w:r w:rsidRPr="009F1175">
        <w:rPr>
          <w:lang w:val="en-AU"/>
        </w:rPr>
        <w:t xml:space="preserve">2002 (in </w:t>
      </w:r>
      <w:r w:rsidR="00BF338A" w:rsidRPr="009F1175">
        <w:rPr>
          <w:lang w:val="en-AU"/>
        </w:rPr>
        <w:t>July</w:t>
      </w:r>
      <w:r w:rsidR="00BF338A">
        <w:rPr>
          <w:lang w:val="en-AU"/>
        </w:rPr>
        <w:t> </w:t>
      </w:r>
      <w:r w:rsidRPr="009F1175">
        <w:rPr>
          <w:lang w:val="en-AU"/>
        </w:rPr>
        <w:t>2002 dollars)</w:t>
      </w:r>
      <w:r w:rsidR="004D42B4">
        <w:rPr>
          <w:lang w:val="en-AU"/>
        </w:rPr>
        <w:t xml:space="preserve"> (Off</w:t>
      </w:r>
      <w:r w:rsidR="00003986">
        <w:rPr>
          <w:lang w:val="en-AU"/>
        </w:rPr>
        <w:t> </w:t>
      </w:r>
      <w:r w:rsidR="004D42B4">
        <w:rPr>
          <w:lang w:val="en-AU"/>
        </w:rPr>
        <w:t>Ramp Decision</w:t>
      </w:r>
      <w:r w:rsidR="00003986">
        <w:rPr>
          <w:lang w:val="en-AU"/>
        </w:rPr>
        <w:t>)</w:t>
      </w:r>
      <w:r w:rsidR="004D42B4">
        <w:rPr>
          <w:rStyle w:val="FootnoteReference"/>
          <w:lang w:val="en-AU"/>
        </w:rPr>
        <w:footnoteReference w:id="34"/>
      </w:r>
      <w:r w:rsidRPr="009F1175">
        <w:rPr>
          <w:lang w:val="en-AU"/>
        </w:rPr>
        <w:t xml:space="preserve">. </w:t>
      </w:r>
    </w:p>
    <w:p w14:paraId="09D915BF" w14:textId="22BD7B1C" w:rsidR="003F41F5" w:rsidRDefault="003F41F5" w:rsidP="003F41F5">
      <w:pPr>
        <w:pStyle w:val="UtilComHeading2"/>
      </w:pPr>
      <w:bookmarkStart w:id="108" w:name="_Toc385241480"/>
      <w:bookmarkStart w:id="109" w:name="_Toc386013033"/>
      <w:r>
        <w:t>PWC Networks</w:t>
      </w:r>
      <w:r w:rsidR="008B1697">
        <w:t>’</w:t>
      </w:r>
      <w:r>
        <w:t xml:space="preserve"> </w:t>
      </w:r>
      <w:r w:rsidR="00327F32">
        <w:t xml:space="preserve">Initial </w:t>
      </w:r>
      <w:bookmarkEnd w:id="108"/>
      <w:r w:rsidR="001D78D3">
        <w:t xml:space="preserve">Regulatory </w:t>
      </w:r>
      <w:r w:rsidR="00327F32">
        <w:t>Proposal</w:t>
      </w:r>
      <w:bookmarkEnd w:id="109"/>
    </w:p>
    <w:p w14:paraId="6823F163" w14:textId="11C49F05" w:rsidR="00CB2A27" w:rsidRDefault="00CB2A27" w:rsidP="0024206D">
      <w:pPr>
        <w:pStyle w:val="NumberLevel2"/>
        <w:numPr>
          <w:ilvl w:val="1"/>
          <w:numId w:val="5"/>
        </w:numPr>
        <w:tabs>
          <w:tab w:val="num" w:pos="709"/>
        </w:tabs>
        <w:ind w:left="709" w:hanging="709"/>
        <w:rPr>
          <w:lang w:val="en-AU"/>
        </w:rPr>
      </w:pPr>
      <w:r>
        <w:rPr>
          <w:lang w:val="en-AU"/>
        </w:rPr>
        <w:t>PWC Networks</w:t>
      </w:r>
      <w:r w:rsidRPr="00CB2A27">
        <w:rPr>
          <w:lang w:val="en-AU"/>
        </w:rPr>
        <w:t xml:space="preserve"> proposed an opening RAB for the </w:t>
      </w:r>
      <w:r w:rsidR="007669D5">
        <w:rPr>
          <w:lang w:val="en-AU"/>
        </w:rPr>
        <w:t>2014-19</w:t>
      </w:r>
      <w:r w:rsidR="007669D5" w:rsidRPr="00CB2A27">
        <w:rPr>
          <w:lang w:val="en-AU"/>
        </w:rPr>
        <w:t xml:space="preserve"> </w:t>
      </w:r>
      <w:r w:rsidRPr="00CB2A27">
        <w:rPr>
          <w:lang w:val="en-AU"/>
        </w:rPr>
        <w:t>regulatory control period of $</w:t>
      </w:r>
      <w:r>
        <w:rPr>
          <w:lang w:val="en-AU"/>
        </w:rPr>
        <w:t>930</w:t>
      </w:r>
      <w:r w:rsidR="00ED7D20">
        <w:rPr>
          <w:lang w:val="en-AU"/>
        </w:rPr>
        <w:t>.</w:t>
      </w:r>
      <w:r w:rsidR="00BF338A">
        <w:rPr>
          <w:lang w:val="en-AU"/>
        </w:rPr>
        <w:t>1 </w:t>
      </w:r>
      <w:r w:rsidRPr="00CB2A27">
        <w:rPr>
          <w:lang w:val="en-AU"/>
        </w:rPr>
        <w:t xml:space="preserve">million as at </w:t>
      </w:r>
      <w:r w:rsidR="00BF338A" w:rsidRPr="00CB2A27">
        <w:rPr>
          <w:lang w:val="en-AU"/>
        </w:rPr>
        <w:t>1</w:t>
      </w:r>
      <w:r w:rsidR="00BF338A">
        <w:rPr>
          <w:lang w:val="en-AU"/>
        </w:rPr>
        <w:t> </w:t>
      </w:r>
      <w:r w:rsidR="00BF338A" w:rsidRPr="00CB2A27">
        <w:rPr>
          <w:lang w:val="en-AU"/>
        </w:rPr>
        <w:t>July</w:t>
      </w:r>
      <w:r w:rsidR="00BF338A">
        <w:rPr>
          <w:lang w:val="en-AU"/>
        </w:rPr>
        <w:t> </w:t>
      </w:r>
      <w:r w:rsidRPr="00CB2A27">
        <w:rPr>
          <w:lang w:val="en-AU"/>
        </w:rPr>
        <w:t>201</w:t>
      </w:r>
      <w:r>
        <w:rPr>
          <w:lang w:val="en-AU"/>
        </w:rPr>
        <w:t>4</w:t>
      </w:r>
      <w:r w:rsidRPr="00CB2A27">
        <w:rPr>
          <w:lang w:val="en-AU"/>
        </w:rPr>
        <w:t xml:space="preserve">. The proposed opening RAB </w:t>
      </w:r>
      <w:r w:rsidR="004D157E">
        <w:rPr>
          <w:lang w:val="en-AU"/>
        </w:rPr>
        <w:t xml:space="preserve">was </w:t>
      </w:r>
      <w:r>
        <w:rPr>
          <w:lang w:val="en-AU"/>
        </w:rPr>
        <w:t>based on a D</w:t>
      </w:r>
      <w:r w:rsidR="00F3229E">
        <w:rPr>
          <w:lang w:val="en-AU"/>
        </w:rPr>
        <w:t>O</w:t>
      </w:r>
      <w:r>
        <w:rPr>
          <w:lang w:val="en-AU"/>
        </w:rPr>
        <w:t>RC</w:t>
      </w:r>
      <w:r w:rsidR="00F3229E">
        <w:rPr>
          <w:rStyle w:val="FootnoteReference"/>
          <w:lang w:val="en-AU"/>
        </w:rPr>
        <w:footnoteReference w:id="35"/>
      </w:r>
      <w:r>
        <w:rPr>
          <w:lang w:val="en-AU"/>
        </w:rPr>
        <w:t xml:space="preserve"> valuation undertaken </w:t>
      </w:r>
      <w:r w:rsidR="009C4623">
        <w:rPr>
          <w:lang w:val="en-AU"/>
        </w:rPr>
        <w:t xml:space="preserve">for PWC </w:t>
      </w:r>
      <w:r w:rsidR="009B3ACB">
        <w:rPr>
          <w:lang w:val="en-AU"/>
        </w:rPr>
        <w:t xml:space="preserve">Networks </w:t>
      </w:r>
      <w:r>
        <w:rPr>
          <w:lang w:val="en-AU"/>
        </w:rPr>
        <w:t xml:space="preserve">by </w:t>
      </w:r>
      <w:r w:rsidR="009C4623">
        <w:rPr>
          <w:lang w:val="en-AU"/>
        </w:rPr>
        <w:t>SKM of $856.</w:t>
      </w:r>
      <w:r w:rsidR="00BF338A">
        <w:rPr>
          <w:lang w:val="en-AU"/>
        </w:rPr>
        <w:t>2 </w:t>
      </w:r>
      <w:r w:rsidR="009C4623">
        <w:rPr>
          <w:lang w:val="en-AU"/>
        </w:rPr>
        <w:t xml:space="preserve">million as at </w:t>
      </w:r>
      <w:r w:rsidR="00BF338A">
        <w:rPr>
          <w:lang w:val="en-AU"/>
        </w:rPr>
        <w:t>1 July </w:t>
      </w:r>
      <w:r w:rsidR="009C4623">
        <w:rPr>
          <w:lang w:val="en-AU"/>
        </w:rPr>
        <w:t xml:space="preserve">2013, rolled forward for one </w:t>
      </w:r>
      <w:r w:rsidR="004D157E">
        <w:rPr>
          <w:lang w:val="en-AU"/>
        </w:rPr>
        <w:t xml:space="preserve">regulatory </w:t>
      </w:r>
      <w:r w:rsidR="009C4623">
        <w:rPr>
          <w:lang w:val="en-AU"/>
        </w:rPr>
        <w:t xml:space="preserve">year using the AER’s </w:t>
      </w:r>
      <w:r w:rsidR="004857AA">
        <w:rPr>
          <w:lang w:val="en-AU"/>
        </w:rPr>
        <w:t>RFM</w:t>
      </w:r>
      <w:r w:rsidR="009C4623">
        <w:rPr>
          <w:lang w:val="en-AU"/>
        </w:rPr>
        <w:t>.</w:t>
      </w:r>
    </w:p>
    <w:p w14:paraId="45F05B3A" w14:textId="3F1532FF" w:rsidR="00CB2A27" w:rsidRDefault="00AE5CA7" w:rsidP="0024206D">
      <w:pPr>
        <w:pStyle w:val="NumberLevel2"/>
        <w:numPr>
          <w:ilvl w:val="1"/>
          <w:numId w:val="5"/>
        </w:numPr>
        <w:tabs>
          <w:tab w:val="num" w:pos="709"/>
        </w:tabs>
        <w:ind w:left="709" w:hanging="709"/>
        <w:rPr>
          <w:lang w:val="en-AU"/>
        </w:rPr>
      </w:pPr>
      <w:r>
        <w:rPr>
          <w:lang w:val="en-AU"/>
        </w:rPr>
        <w:t xml:space="preserve">PWC Networks </w:t>
      </w:r>
      <w:r w:rsidR="004D157E">
        <w:rPr>
          <w:lang w:val="en-AU"/>
        </w:rPr>
        <w:t xml:space="preserve">proposed </w:t>
      </w:r>
      <w:r>
        <w:rPr>
          <w:lang w:val="en-AU"/>
        </w:rPr>
        <w:t>that:</w:t>
      </w:r>
    </w:p>
    <w:p w14:paraId="30E88801" w14:textId="77777777" w:rsidR="00AE5CA7" w:rsidRDefault="00AE5CA7" w:rsidP="004B63D8">
      <w:pPr>
        <w:pStyle w:val="UtilComQuotationText"/>
        <w:ind w:left="1134"/>
        <w:rPr>
          <w:lang w:val="en-AU"/>
        </w:rPr>
      </w:pPr>
      <w:r w:rsidRPr="00AE5CA7">
        <w:rPr>
          <w:lang w:val="en-AU"/>
        </w:rPr>
        <w:t>The method that was adopted by jurisdictional regulators across Australia for the</w:t>
      </w:r>
      <w:r>
        <w:rPr>
          <w:lang w:val="en-AU"/>
        </w:rPr>
        <w:t xml:space="preserve"> </w:t>
      </w:r>
      <w:r w:rsidRPr="00AE5CA7">
        <w:rPr>
          <w:lang w:val="en-AU"/>
        </w:rPr>
        <w:t>initial valuation of assets under the building block model was the depreciated</w:t>
      </w:r>
      <w:r>
        <w:rPr>
          <w:lang w:val="en-AU"/>
        </w:rPr>
        <w:t xml:space="preserve"> </w:t>
      </w:r>
      <w:r w:rsidRPr="00AE5CA7">
        <w:rPr>
          <w:lang w:val="en-AU"/>
        </w:rPr>
        <w:t>optimised replacement cost (ODRC) methodology. This approach avoids the</w:t>
      </w:r>
      <w:r>
        <w:rPr>
          <w:lang w:val="en-AU"/>
        </w:rPr>
        <w:t xml:space="preserve"> </w:t>
      </w:r>
      <w:r w:rsidRPr="00AE5CA7">
        <w:rPr>
          <w:lang w:val="en-AU"/>
        </w:rPr>
        <w:t>circularity associated with the regulator estimating an asset value that is supported</w:t>
      </w:r>
      <w:r>
        <w:rPr>
          <w:lang w:val="en-AU"/>
        </w:rPr>
        <w:t xml:space="preserve"> </w:t>
      </w:r>
      <w:r w:rsidRPr="00AE5CA7">
        <w:rPr>
          <w:lang w:val="en-AU"/>
        </w:rPr>
        <w:t>by a revenue stream that is determined by the regulator.</w:t>
      </w:r>
      <w:r w:rsidR="009B3ACB">
        <w:rPr>
          <w:lang w:val="en-AU"/>
        </w:rPr>
        <w:t xml:space="preserve"> </w:t>
      </w:r>
      <w:r>
        <w:rPr>
          <w:lang w:val="en-AU"/>
        </w:rPr>
        <w:t>(p</w:t>
      </w:r>
      <w:r w:rsidR="009B3ACB">
        <w:rPr>
          <w:lang w:val="en-AU"/>
        </w:rPr>
        <w:t>age</w:t>
      </w:r>
      <w:r>
        <w:rPr>
          <w:lang w:val="en-AU"/>
        </w:rPr>
        <w:t>.124)</w:t>
      </w:r>
    </w:p>
    <w:p w14:paraId="2DFD5731" w14:textId="77777777" w:rsidR="00114B1D" w:rsidRDefault="00114B1D">
      <w:pPr>
        <w:spacing w:before="0" w:after="0" w:line="240" w:lineRule="auto"/>
        <w:rPr>
          <w:lang w:val="en-AU"/>
        </w:rPr>
      </w:pPr>
      <w:r>
        <w:rPr>
          <w:lang w:val="en-AU"/>
        </w:rPr>
        <w:br w:type="page"/>
      </w:r>
    </w:p>
    <w:p w14:paraId="63B65039" w14:textId="5E278A9B" w:rsidR="00CB2A27" w:rsidRDefault="00AE5CA7" w:rsidP="0024206D">
      <w:pPr>
        <w:pStyle w:val="NumberLevel2"/>
        <w:numPr>
          <w:ilvl w:val="1"/>
          <w:numId w:val="5"/>
        </w:numPr>
        <w:tabs>
          <w:tab w:val="num" w:pos="709"/>
        </w:tabs>
        <w:ind w:left="709" w:hanging="709"/>
        <w:rPr>
          <w:lang w:val="en-AU"/>
        </w:rPr>
      </w:pPr>
      <w:r>
        <w:rPr>
          <w:lang w:val="en-AU"/>
        </w:rPr>
        <w:t>Although noting that RAB values for NEM DNSPs are based on a roll</w:t>
      </w:r>
      <w:r w:rsidR="00BA4273">
        <w:rPr>
          <w:lang w:val="en-AU"/>
        </w:rPr>
        <w:t xml:space="preserve"> </w:t>
      </w:r>
      <w:r>
        <w:rPr>
          <w:lang w:val="en-AU"/>
        </w:rPr>
        <w:t>forward of initial RAB values specified in the NER, PWC</w:t>
      </w:r>
      <w:r w:rsidR="004D157E">
        <w:rPr>
          <w:lang w:val="en-AU"/>
        </w:rPr>
        <w:t> Networks</w:t>
      </w:r>
      <w:r>
        <w:rPr>
          <w:lang w:val="en-AU"/>
        </w:rPr>
        <w:t xml:space="preserve"> </w:t>
      </w:r>
      <w:r w:rsidR="004D157E">
        <w:rPr>
          <w:lang w:val="en-AU"/>
        </w:rPr>
        <w:t xml:space="preserve">contended </w:t>
      </w:r>
      <w:r>
        <w:rPr>
          <w:lang w:val="en-AU"/>
        </w:rPr>
        <w:t>that the values pres</w:t>
      </w:r>
      <w:r w:rsidR="00F3229E">
        <w:rPr>
          <w:lang w:val="en-AU"/>
        </w:rPr>
        <w:t xml:space="preserve">cribed in the NER </w:t>
      </w:r>
      <w:r w:rsidR="004D157E">
        <w:rPr>
          <w:lang w:val="en-AU"/>
        </w:rPr>
        <w:t xml:space="preserve">were </w:t>
      </w:r>
      <w:r w:rsidR="00F3229E">
        <w:rPr>
          <w:lang w:val="en-AU"/>
        </w:rPr>
        <w:t xml:space="preserve">based on </w:t>
      </w:r>
      <w:r>
        <w:rPr>
          <w:lang w:val="en-AU"/>
        </w:rPr>
        <w:t>D</w:t>
      </w:r>
      <w:r w:rsidR="00F3229E">
        <w:rPr>
          <w:lang w:val="en-AU"/>
        </w:rPr>
        <w:t>O</w:t>
      </w:r>
      <w:r>
        <w:rPr>
          <w:lang w:val="en-AU"/>
        </w:rPr>
        <w:t>RC for the respective DNSPs upon their entry to the NEM and exposure of their business</w:t>
      </w:r>
      <w:r w:rsidR="004D157E">
        <w:rPr>
          <w:lang w:val="en-AU"/>
        </w:rPr>
        <w:t>es</w:t>
      </w:r>
      <w:r>
        <w:rPr>
          <w:lang w:val="en-AU"/>
        </w:rPr>
        <w:t xml:space="preserve"> to the NER framework.</w:t>
      </w:r>
    </w:p>
    <w:p w14:paraId="64308DF2" w14:textId="62683EC6" w:rsidR="00CB2A27" w:rsidRDefault="00AE5CA7" w:rsidP="0024206D">
      <w:pPr>
        <w:pStyle w:val="NumberLevel2"/>
        <w:numPr>
          <w:ilvl w:val="1"/>
          <w:numId w:val="5"/>
        </w:numPr>
        <w:tabs>
          <w:tab w:val="num" w:pos="709"/>
        </w:tabs>
        <w:ind w:left="709" w:hanging="709"/>
        <w:rPr>
          <w:lang w:val="en-AU"/>
        </w:rPr>
      </w:pPr>
      <w:r>
        <w:rPr>
          <w:lang w:val="en-AU"/>
        </w:rPr>
        <w:t xml:space="preserve">PWC Networks </w:t>
      </w:r>
      <w:r w:rsidR="009D6F0A">
        <w:rPr>
          <w:lang w:val="en-AU"/>
        </w:rPr>
        <w:t xml:space="preserve">further </w:t>
      </w:r>
      <w:r>
        <w:rPr>
          <w:lang w:val="en-AU"/>
        </w:rPr>
        <w:t xml:space="preserve">argued that the concerns that led to the Commission’s </w:t>
      </w:r>
      <w:r w:rsidR="004D157E">
        <w:rPr>
          <w:lang w:val="en-AU"/>
        </w:rPr>
        <w:t>Off Ramp</w:t>
      </w:r>
      <w:r>
        <w:rPr>
          <w:lang w:val="en-AU"/>
        </w:rPr>
        <w:t xml:space="preserve"> Decision relating to </w:t>
      </w:r>
      <w:r w:rsidR="009D6F0A">
        <w:rPr>
          <w:lang w:val="en-AU"/>
        </w:rPr>
        <w:t xml:space="preserve">deficiencies in </w:t>
      </w:r>
      <w:r w:rsidR="004D157E">
        <w:rPr>
          <w:lang w:val="en-AU"/>
        </w:rPr>
        <w:t>the</w:t>
      </w:r>
      <w:r w:rsidR="009D6F0A">
        <w:rPr>
          <w:lang w:val="en-AU"/>
        </w:rPr>
        <w:t xml:space="preserve"> register </w:t>
      </w:r>
      <w:r w:rsidR="004D157E">
        <w:rPr>
          <w:lang w:val="en-AU"/>
        </w:rPr>
        <w:t xml:space="preserve">of its assets </w:t>
      </w:r>
      <w:r w:rsidR="009D6F0A">
        <w:rPr>
          <w:lang w:val="en-AU"/>
        </w:rPr>
        <w:t>have been addressed</w:t>
      </w:r>
      <w:r>
        <w:rPr>
          <w:lang w:val="en-AU"/>
        </w:rPr>
        <w:t>:</w:t>
      </w:r>
    </w:p>
    <w:p w14:paraId="35C264B1" w14:textId="77777777" w:rsidR="00AE5CA7" w:rsidRDefault="00AE5CA7" w:rsidP="004B63D8">
      <w:pPr>
        <w:pStyle w:val="UtilComQuotationText"/>
        <w:ind w:left="1134"/>
        <w:rPr>
          <w:lang w:val="en-AU"/>
        </w:rPr>
      </w:pPr>
      <w:r w:rsidRPr="00AE5CA7">
        <w:rPr>
          <w:lang w:val="en-AU"/>
        </w:rPr>
        <w:t>Based on its transition to a world class asset management system, Maximo, and the</w:t>
      </w:r>
      <w:r>
        <w:rPr>
          <w:lang w:val="en-AU"/>
        </w:rPr>
        <w:t xml:space="preserve"> </w:t>
      </w:r>
      <w:r w:rsidRPr="00AE5CA7">
        <w:rPr>
          <w:lang w:val="en-AU"/>
        </w:rPr>
        <w:t>positive findings of the SKM review of its data integrity, Power Networks believes</w:t>
      </w:r>
      <w:r>
        <w:rPr>
          <w:lang w:val="en-AU"/>
        </w:rPr>
        <w:t xml:space="preserve"> </w:t>
      </w:r>
      <w:r w:rsidRPr="00AE5CA7">
        <w:rPr>
          <w:lang w:val="en-AU"/>
        </w:rPr>
        <w:t>that the accuracy of its asset records is now equivalent to best practice levels, and</w:t>
      </w:r>
      <w:r>
        <w:rPr>
          <w:lang w:val="en-AU"/>
        </w:rPr>
        <w:t xml:space="preserve"> </w:t>
      </w:r>
      <w:r w:rsidRPr="00AE5CA7">
        <w:rPr>
          <w:lang w:val="en-AU"/>
        </w:rPr>
        <w:t>therefore provides substantial confidence in the robustness of the valuation outputs.</w:t>
      </w:r>
      <w:r w:rsidR="009B3ACB">
        <w:rPr>
          <w:lang w:val="en-AU"/>
        </w:rPr>
        <w:t xml:space="preserve"> </w:t>
      </w:r>
      <w:r w:rsidR="009D6F0A">
        <w:rPr>
          <w:lang w:val="en-AU"/>
        </w:rPr>
        <w:t>(p</w:t>
      </w:r>
      <w:r w:rsidR="009B3ACB">
        <w:rPr>
          <w:lang w:val="en-AU"/>
        </w:rPr>
        <w:t>age</w:t>
      </w:r>
      <w:r w:rsidR="009D6F0A">
        <w:rPr>
          <w:lang w:val="en-AU"/>
        </w:rPr>
        <w:t>.129)</w:t>
      </w:r>
    </w:p>
    <w:p w14:paraId="7D9DA3BA" w14:textId="468EEDE7" w:rsidR="00CB2A27" w:rsidRDefault="009D6F0A" w:rsidP="0024206D">
      <w:pPr>
        <w:pStyle w:val="NumberLevel2"/>
        <w:numPr>
          <w:ilvl w:val="1"/>
          <w:numId w:val="5"/>
        </w:numPr>
        <w:tabs>
          <w:tab w:val="num" w:pos="709"/>
        </w:tabs>
        <w:ind w:left="709" w:hanging="709"/>
        <w:rPr>
          <w:lang w:val="en-AU"/>
        </w:rPr>
      </w:pPr>
      <w:r>
        <w:rPr>
          <w:lang w:val="en-AU"/>
        </w:rPr>
        <w:t>PWC Networks contend</w:t>
      </w:r>
      <w:r w:rsidR="00003986">
        <w:rPr>
          <w:lang w:val="en-AU"/>
        </w:rPr>
        <w:t>ed</w:t>
      </w:r>
      <w:r>
        <w:rPr>
          <w:lang w:val="en-AU"/>
        </w:rPr>
        <w:t xml:space="preserve"> that basing the opening RAB on the 2013 SKM </w:t>
      </w:r>
      <w:r w:rsidR="009B3ACB">
        <w:rPr>
          <w:lang w:val="en-AU"/>
        </w:rPr>
        <w:t xml:space="preserve">DORC </w:t>
      </w:r>
      <w:r>
        <w:rPr>
          <w:lang w:val="en-AU"/>
        </w:rPr>
        <w:t xml:space="preserve">valuation delivers a more appropriate means of establishing the efficient value of investment in </w:t>
      </w:r>
      <w:r w:rsidR="004D157E">
        <w:rPr>
          <w:lang w:val="en-AU"/>
        </w:rPr>
        <w:t xml:space="preserve">PWC Networks’ electricity </w:t>
      </w:r>
      <w:r>
        <w:rPr>
          <w:lang w:val="en-AU"/>
        </w:rPr>
        <w:t>network.</w:t>
      </w:r>
    </w:p>
    <w:p w14:paraId="65077102" w14:textId="115C6037" w:rsidR="0024393C" w:rsidRPr="0024393C" w:rsidRDefault="0024393C" w:rsidP="0024393C">
      <w:pPr>
        <w:pStyle w:val="NumberLevel2"/>
        <w:numPr>
          <w:ilvl w:val="1"/>
          <w:numId w:val="5"/>
        </w:numPr>
        <w:tabs>
          <w:tab w:val="num" w:pos="709"/>
        </w:tabs>
        <w:ind w:left="709" w:hanging="709"/>
        <w:rPr>
          <w:lang w:val="en-AU"/>
        </w:rPr>
      </w:pPr>
      <w:r>
        <w:rPr>
          <w:lang w:val="en-AU"/>
        </w:rPr>
        <w:t xml:space="preserve">PWC Networks </w:t>
      </w:r>
      <w:r w:rsidR="00003986">
        <w:rPr>
          <w:lang w:val="en-AU"/>
        </w:rPr>
        <w:t xml:space="preserve">then </w:t>
      </w:r>
      <w:r>
        <w:rPr>
          <w:lang w:val="en-AU"/>
        </w:rPr>
        <w:t>used the AER’s RFM to roll</w:t>
      </w:r>
      <w:r w:rsidR="004C6187">
        <w:rPr>
          <w:lang w:val="en-AU"/>
        </w:rPr>
        <w:t xml:space="preserve"> </w:t>
      </w:r>
      <w:r>
        <w:rPr>
          <w:lang w:val="en-AU"/>
        </w:rPr>
        <w:t>forward the RAB from 1 July 2013 (the value date for the SKM valuation) to 1 July 2014</w:t>
      </w:r>
      <w:r w:rsidR="009F6688">
        <w:rPr>
          <w:lang w:val="en-AU"/>
        </w:rPr>
        <w:t>.</w:t>
      </w:r>
    </w:p>
    <w:p w14:paraId="239F1713" w14:textId="6AB7C3A6" w:rsidR="00E529C5" w:rsidRPr="00A139AD" w:rsidRDefault="00E529C5" w:rsidP="009B3ACB">
      <w:pPr>
        <w:pStyle w:val="UtilComTableTitle"/>
        <w:keepNext/>
        <w:spacing w:before="120" w:after="0" w:line="240" w:lineRule="exact"/>
      </w:pPr>
      <w:r>
        <w:t xml:space="preserve">Table </w:t>
      </w:r>
      <w:r w:rsidR="006A0368">
        <w:t>6</w:t>
      </w:r>
      <w:r>
        <w:t xml:space="preserve">.1: PWC Networks </w:t>
      </w:r>
      <w:r w:rsidRPr="00E529C5">
        <w:t xml:space="preserve">proposed RAB roll forward </w:t>
      </w:r>
      <w:r w:rsidR="007669D5">
        <w:t xml:space="preserve">from 1 July 2013 to 1 July 2014 </w:t>
      </w:r>
      <w:r w:rsidRPr="00E529C5">
        <w:t>($</w:t>
      </w:r>
      <w:r w:rsidR="00484786">
        <w:t>M</w:t>
      </w:r>
      <w:r w:rsidRPr="00E529C5">
        <w:t>, nominal)</w:t>
      </w:r>
      <w:r w:rsidR="008325D5">
        <w:t xml:space="preserve"> </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124"/>
        <w:gridCol w:w="1418"/>
        <w:gridCol w:w="1418"/>
        <w:gridCol w:w="1418"/>
        <w:gridCol w:w="1418"/>
        <w:gridCol w:w="1418"/>
      </w:tblGrid>
      <w:tr w:rsidR="00EE5A08" w:rsidRPr="00CD0BDF" w14:paraId="20EF3E07" w14:textId="77777777" w:rsidTr="00766DBA">
        <w:trPr>
          <w:cantSplit/>
          <w:trHeight w:val="360"/>
        </w:trPr>
        <w:tc>
          <w:tcPr>
            <w:tcW w:w="2124" w:type="dxa"/>
            <w:tcBorders>
              <w:bottom w:val="single" w:sz="4" w:space="0" w:color="999999"/>
            </w:tcBorders>
            <w:vAlign w:val="bottom"/>
          </w:tcPr>
          <w:p w14:paraId="2944FB29" w14:textId="77777777" w:rsidR="00EE5A08" w:rsidRPr="00EE5A08" w:rsidRDefault="00EE5A08" w:rsidP="00C8408A">
            <w:pPr>
              <w:pStyle w:val="UtilComTableColumnHeading"/>
            </w:pPr>
          </w:p>
        </w:tc>
        <w:tc>
          <w:tcPr>
            <w:tcW w:w="4254" w:type="dxa"/>
            <w:gridSpan w:val="3"/>
            <w:tcBorders>
              <w:bottom w:val="single" w:sz="4" w:space="0" w:color="999999"/>
            </w:tcBorders>
            <w:vAlign w:val="bottom"/>
          </w:tcPr>
          <w:p w14:paraId="566423C4" w14:textId="77777777" w:rsidR="00EE5A08" w:rsidRPr="00EE5A08" w:rsidRDefault="00EE5A08" w:rsidP="00EE5A08">
            <w:pPr>
              <w:pStyle w:val="UtilComTableColumnHeading"/>
              <w:jc w:val="center"/>
            </w:pPr>
            <w:r>
              <w:t>Actual</w:t>
            </w:r>
          </w:p>
        </w:tc>
        <w:tc>
          <w:tcPr>
            <w:tcW w:w="2836" w:type="dxa"/>
            <w:gridSpan w:val="2"/>
            <w:tcBorders>
              <w:bottom w:val="single" w:sz="4" w:space="0" w:color="999999"/>
            </w:tcBorders>
            <w:vAlign w:val="bottom"/>
          </w:tcPr>
          <w:p w14:paraId="5ABD082B" w14:textId="77777777" w:rsidR="00EE5A08" w:rsidRPr="00EE5A08" w:rsidRDefault="00EE5A08" w:rsidP="00EE5A08">
            <w:pPr>
              <w:pStyle w:val="UtilComTableColumnHeading"/>
              <w:jc w:val="center"/>
            </w:pPr>
            <w:r>
              <w:t>Estimate</w:t>
            </w:r>
          </w:p>
        </w:tc>
      </w:tr>
      <w:tr w:rsidR="00E529C5" w:rsidRPr="008A4655" w14:paraId="57130E3E" w14:textId="77777777" w:rsidTr="00766DBA">
        <w:trPr>
          <w:cantSplit/>
          <w:trHeight w:val="360"/>
        </w:trPr>
        <w:tc>
          <w:tcPr>
            <w:tcW w:w="2124" w:type="dxa"/>
            <w:tcBorders>
              <w:top w:val="single" w:sz="4" w:space="0" w:color="999999"/>
              <w:bottom w:val="single" w:sz="4" w:space="0" w:color="auto"/>
            </w:tcBorders>
            <w:vAlign w:val="bottom"/>
          </w:tcPr>
          <w:p w14:paraId="152B554F" w14:textId="77777777" w:rsidR="00E529C5" w:rsidRPr="00EE5A08" w:rsidRDefault="00E529C5" w:rsidP="00C8408A">
            <w:pPr>
              <w:pStyle w:val="UtilComTabletext"/>
              <w:rPr>
                <w:b/>
              </w:rPr>
            </w:pPr>
          </w:p>
        </w:tc>
        <w:tc>
          <w:tcPr>
            <w:tcW w:w="1418" w:type="dxa"/>
            <w:tcBorders>
              <w:top w:val="single" w:sz="4" w:space="0" w:color="999999"/>
              <w:bottom w:val="single" w:sz="4" w:space="0" w:color="auto"/>
            </w:tcBorders>
            <w:vAlign w:val="bottom"/>
          </w:tcPr>
          <w:p w14:paraId="3A74651B" w14:textId="77777777" w:rsidR="00E529C5" w:rsidRPr="00EE5A08" w:rsidRDefault="00EE5A08" w:rsidP="00304710">
            <w:pPr>
              <w:pStyle w:val="UtilComTabletext"/>
              <w:jc w:val="right"/>
              <w:rPr>
                <w:b/>
              </w:rPr>
            </w:pPr>
            <w:r>
              <w:rPr>
                <w:b/>
              </w:rPr>
              <w:t>2009-10</w:t>
            </w:r>
          </w:p>
        </w:tc>
        <w:tc>
          <w:tcPr>
            <w:tcW w:w="1418" w:type="dxa"/>
            <w:tcBorders>
              <w:top w:val="single" w:sz="4" w:space="0" w:color="999999"/>
              <w:bottom w:val="single" w:sz="4" w:space="0" w:color="auto"/>
            </w:tcBorders>
            <w:vAlign w:val="bottom"/>
          </w:tcPr>
          <w:p w14:paraId="1E57997F" w14:textId="77777777" w:rsidR="00E529C5" w:rsidRPr="00EE5A08" w:rsidRDefault="00EE5A08" w:rsidP="00304710">
            <w:pPr>
              <w:pStyle w:val="UtilComTabletext"/>
              <w:jc w:val="right"/>
              <w:rPr>
                <w:b/>
              </w:rPr>
            </w:pPr>
            <w:r>
              <w:rPr>
                <w:b/>
              </w:rPr>
              <w:t>2010-11</w:t>
            </w:r>
          </w:p>
        </w:tc>
        <w:tc>
          <w:tcPr>
            <w:tcW w:w="1418" w:type="dxa"/>
            <w:tcBorders>
              <w:top w:val="single" w:sz="4" w:space="0" w:color="999999"/>
              <w:bottom w:val="single" w:sz="4" w:space="0" w:color="auto"/>
            </w:tcBorders>
            <w:vAlign w:val="bottom"/>
          </w:tcPr>
          <w:p w14:paraId="21A86B10" w14:textId="77777777" w:rsidR="00E529C5" w:rsidRPr="00EE5A08" w:rsidRDefault="00EE5A08" w:rsidP="00304710">
            <w:pPr>
              <w:pStyle w:val="UtilComTabletext"/>
              <w:jc w:val="right"/>
              <w:rPr>
                <w:b/>
              </w:rPr>
            </w:pPr>
            <w:r>
              <w:rPr>
                <w:b/>
              </w:rPr>
              <w:t>2011-12</w:t>
            </w:r>
          </w:p>
        </w:tc>
        <w:tc>
          <w:tcPr>
            <w:tcW w:w="1418" w:type="dxa"/>
            <w:tcBorders>
              <w:top w:val="single" w:sz="4" w:space="0" w:color="999999"/>
              <w:bottom w:val="single" w:sz="4" w:space="0" w:color="auto"/>
            </w:tcBorders>
            <w:vAlign w:val="bottom"/>
          </w:tcPr>
          <w:p w14:paraId="55201B0E" w14:textId="77777777" w:rsidR="00E529C5" w:rsidRPr="00EE5A08" w:rsidRDefault="00EE5A08" w:rsidP="00304710">
            <w:pPr>
              <w:pStyle w:val="UtilComTabletext"/>
              <w:jc w:val="right"/>
              <w:rPr>
                <w:b/>
              </w:rPr>
            </w:pPr>
            <w:r>
              <w:rPr>
                <w:b/>
              </w:rPr>
              <w:t>2012-13</w:t>
            </w:r>
          </w:p>
        </w:tc>
        <w:tc>
          <w:tcPr>
            <w:tcW w:w="1418" w:type="dxa"/>
            <w:tcBorders>
              <w:top w:val="single" w:sz="4" w:space="0" w:color="999999"/>
              <w:bottom w:val="single" w:sz="4" w:space="0" w:color="auto"/>
            </w:tcBorders>
            <w:tcMar>
              <w:right w:w="108" w:type="dxa"/>
            </w:tcMar>
            <w:vAlign w:val="bottom"/>
          </w:tcPr>
          <w:p w14:paraId="4BBAC48C" w14:textId="77777777" w:rsidR="00E529C5" w:rsidRPr="00EE5A08" w:rsidRDefault="00EE5A08" w:rsidP="00304710">
            <w:pPr>
              <w:pStyle w:val="UtilComTabletext"/>
              <w:jc w:val="right"/>
              <w:rPr>
                <w:b/>
              </w:rPr>
            </w:pPr>
            <w:r>
              <w:rPr>
                <w:b/>
              </w:rPr>
              <w:t>2013-14</w:t>
            </w:r>
          </w:p>
        </w:tc>
      </w:tr>
      <w:tr w:rsidR="00E529C5" w:rsidRPr="008A4655" w14:paraId="037D9E4C" w14:textId="77777777" w:rsidTr="0024393C">
        <w:trPr>
          <w:cantSplit/>
          <w:trHeight w:val="360"/>
        </w:trPr>
        <w:tc>
          <w:tcPr>
            <w:tcW w:w="2124" w:type="dxa"/>
            <w:tcBorders>
              <w:top w:val="single" w:sz="4" w:space="0" w:color="auto"/>
            </w:tcBorders>
          </w:tcPr>
          <w:p w14:paraId="11164322" w14:textId="77777777" w:rsidR="00E529C5" w:rsidRDefault="00EE5A08" w:rsidP="00C8408A">
            <w:pPr>
              <w:pStyle w:val="UtilComTabletext"/>
            </w:pPr>
            <w:r>
              <w:t>Opening RAB at 1 July</w:t>
            </w:r>
          </w:p>
        </w:tc>
        <w:tc>
          <w:tcPr>
            <w:tcW w:w="1418" w:type="dxa"/>
            <w:tcBorders>
              <w:top w:val="single" w:sz="4" w:space="0" w:color="auto"/>
            </w:tcBorders>
            <w:shd w:val="clear" w:color="auto" w:fill="A6A6A6" w:themeFill="background1" w:themeFillShade="A6"/>
          </w:tcPr>
          <w:p w14:paraId="1E1A2454" w14:textId="77777777" w:rsidR="00E529C5" w:rsidRDefault="00E529C5" w:rsidP="009B3ACB">
            <w:pPr>
              <w:pStyle w:val="UtilComTabletext"/>
              <w:jc w:val="right"/>
            </w:pPr>
          </w:p>
        </w:tc>
        <w:tc>
          <w:tcPr>
            <w:tcW w:w="1418" w:type="dxa"/>
            <w:tcBorders>
              <w:top w:val="single" w:sz="4" w:space="0" w:color="auto"/>
            </w:tcBorders>
            <w:shd w:val="clear" w:color="auto" w:fill="A6A6A6" w:themeFill="background1" w:themeFillShade="A6"/>
          </w:tcPr>
          <w:p w14:paraId="6BF06E19" w14:textId="77777777" w:rsidR="00E529C5" w:rsidRDefault="00E529C5" w:rsidP="009B3ACB">
            <w:pPr>
              <w:pStyle w:val="UtilComTabletext"/>
              <w:jc w:val="right"/>
            </w:pPr>
          </w:p>
        </w:tc>
        <w:tc>
          <w:tcPr>
            <w:tcW w:w="1418" w:type="dxa"/>
            <w:tcBorders>
              <w:top w:val="single" w:sz="4" w:space="0" w:color="auto"/>
            </w:tcBorders>
            <w:shd w:val="clear" w:color="auto" w:fill="A6A6A6" w:themeFill="background1" w:themeFillShade="A6"/>
          </w:tcPr>
          <w:p w14:paraId="01BCAF25" w14:textId="77777777" w:rsidR="00E529C5" w:rsidRDefault="00E529C5" w:rsidP="00304710">
            <w:pPr>
              <w:pStyle w:val="UtilComTabletext"/>
              <w:jc w:val="right"/>
            </w:pPr>
          </w:p>
        </w:tc>
        <w:tc>
          <w:tcPr>
            <w:tcW w:w="1418" w:type="dxa"/>
            <w:tcBorders>
              <w:top w:val="single" w:sz="4" w:space="0" w:color="auto"/>
            </w:tcBorders>
            <w:shd w:val="clear" w:color="auto" w:fill="A6A6A6" w:themeFill="background1" w:themeFillShade="A6"/>
          </w:tcPr>
          <w:p w14:paraId="3E97CDDF" w14:textId="77777777" w:rsidR="00E529C5" w:rsidRPr="00340D05" w:rsidRDefault="00E529C5" w:rsidP="00304710">
            <w:pPr>
              <w:pStyle w:val="UtilComTabletext"/>
              <w:jc w:val="right"/>
            </w:pPr>
          </w:p>
        </w:tc>
        <w:tc>
          <w:tcPr>
            <w:tcW w:w="1418" w:type="dxa"/>
            <w:tcBorders>
              <w:top w:val="single" w:sz="4" w:space="0" w:color="auto"/>
            </w:tcBorders>
            <w:tcMar>
              <w:right w:w="108" w:type="dxa"/>
            </w:tcMar>
          </w:tcPr>
          <w:p w14:paraId="60C1BD07" w14:textId="77777777" w:rsidR="00E529C5" w:rsidRDefault="00E12B7E" w:rsidP="005A6959">
            <w:pPr>
              <w:pStyle w:val="UtilComTabletext"/>
              <w:jc w:val="right"/>
            </w:pPr>
            <w:r>
              <w:t>856.18</w:t>
            </w:r>
          </w:p>
        </w:tc>
      </w:tr>
      <w:tr w:rsidR="00E529C5" w:rsidRPr="008A4655" w14:paraId="1EAE7A17" w14:textId="77777777" w:rsidTr="0024393C">
        <w:trPr>
          <w:cantSplit/>
          <w:trHeight w:val="360"/>
        </w:trPr>
        <w:tc>
          <w:tcPr>
            <w:tcW w:w="2124" w:type="dxa"/>
          </w:tcPr>
          <w:p w14:paraId="052E7A8B" w14:textId="77777777" w:rsidR="00E529C5" w:rsidRDefault="00EE5A08" w:rsidP="00C8408A">
            <w:pPr>
              <w:pStyle w:val="UtilComTabletext"/>
            </w:pPr>
            <w:r>
              <w:t>Net capex</w:t>
            </w:r>
          </w:p>
        </w:tc>
        <w:tc>
          <w:tcPr>
            <w:tcW w:w="1418" w:type="dxa"/>
            <w:shd w:val="clear" w:color="auto" w:fill="A6A6A6" w:themeFill="background1" w:themeFillShade="A6"/>
          </w:tcPr>
          <w:p w14:paraId="631FCB0F" w14:textId="77777777" w:rsidR="00E529C5" w:rsidRDefault="00E529C5" w:rsidP="009B3ACB">
            <w:pPr>
              <w:pStyle w:val="UtilComTabletext"/>
              <w:jc w:val="right"/>
            </w:pPr>
          </w:p>
        </w:tc>
        <w:tc>
          <w:tcPr>
            <w:tcW w:w="1418" w:type="dxa"/>
            <w:shd w:val="clear" w:color="auto" w:fill="A6A6A6" w:themeFill="background1" w:themeFillShade="A6"/>
          </w:tcPr>
          <w:p w14:paraId="55BDF0DD" w14:textId="77777777" w:rsidR="00E529C5" w:rsidRDefault="00E529C5" w:rsidP="009B3ACB">
            <w:pPr>
              <w:pStyle w:val="UtilComTabletext"/>
              <w:jc w:val="right"/>
            </w:pPr>
          </w:p>
        </w:tc>
        <w:tc>
          <w:tcPr>
            <w:tcW w:w="1418" w:type="dxa"/>
            <w:shd w:val="clear" w:color="auto" w:fill="A6A6A6" w:themeFill="background1" w:themeFillShade="A6"/>
          </w:tcPr>
          <w:p w14:paraId="72CE3622" w14:textId="77777777" w:rsidR="00E529C5" w:rsidRDefault="00E529C5" w:rsidP="00304710">
            <w:pPr>
              <w:pStyle w:val="UtilComTabletext"/>
              <w:jc w:val="right"/>
            </w:pPr>
          </w:p>
        </w:tc>
        <w:tc>
          <w:tcPr>
            <w:tcW w:w="1418" w:type="dxa"/>
            <w:shd w:val="clear" w:color="auto" w:fill="A6A6A6" w:themeFill="background1" w:themeFillShade="A6"/>
          </w:tcPr>
          <w:p w14:paraId="6BFFAD1C" w14:textId="77777777" w:rsidR="00E529C5" w:rsidRPr="00340D05" w:rsidRDefault="00E529C5" w:rsidP="00304710">
            <w:pPr>
              <w:pStyle w:val="UtilComTabletext"/>
              <w:jc w:val="right"/>
            </w:pPr>
          </w:p>
        </w:tc>
        <w:tc>
          <w:tcPr>
            <w:tcW w:w="1418" w:type="dxa"/>
            <w:tcMar>
              <w:right w:w="108" w:type="dxa"/>
            </w:tcMar>
          </w:tcPr>
          <w:p w14:paraId="4AA107A1" w14:textId="77777777" w:rsidR="00E529C5" w:rsidRDefault="00E12B7E" w:rsidP="005A6959">
            <w:pPr>
              <w:pStyle w:val="UtilComTabletext"/>
              <w:jc w:val="right"/>
            </w:pPr>
            <w:r>
              <w:t>93.20</w:t>
            </w:r>
          </w:p>
        </w:tc>
      </w:tr>
      <w:tr w:rsidR="00E529C5" w:rsidRPr="008A4655" w14:paraId="5C36B6E8" w14:textId="77777777" w:rsidTr="0024393C">
        <w:trPr>
          <w:cantSplit/>
          <w:trHeight w:val="360"/>
        </w:trPr>
        <w:tc>
          <w:tcPr>
            <w:tcW w:w="2124" w:type="dxa"/>
            <w:tcBorders>
              <w:bottom w:val="single" w:sz="4" w:space="0" w:color="auto"/>
            </w:tcBorders>
          </w:tcPr>
          <w:p w14:paraId="268E8C97" w14:textId="77777777" w:rsidR="00E529C5" w:rsidRDefault="00EE5A08" w:rsidP="00C8408A">
            <w:pPr>
              <w:pStyle w:val="UtilComTabletext"/>
            </w:pPr>
            <w:r>
              <w:t>Regulatory depreciation</w:t>
            </w:r>
          </w:p>
        </w:tc>
        <w:tc>
          <w:tcPr>
            <w:tcW w:w="1418" w:type="dxa"/>
            <w:tcBorders>
              <w:bottom w:val="single" w:sz="4" w:space="0" w:color="auto"/>
            </w:tcBorders>
            <w:shd w:val="clear" w:color="auto" w:fill="A6A6A6" w:themeFill="background1" w:themeFillShade="A6"/>
          </w:tcPr>
          <w:p w14:paraId="45B4343A" w14:textId="77777777" w:rsidR="00E529C5" w:rsidRDefault="00E529C5" w:rsidP="009B3ACB">
            <w:pPr>
              <w:pStyle w:val="UtilComTabletext"/>
              <w:jc w:val="right"/>
            </w:pPr>
          </w:p>
        </w:tc>
        <w:tc>
          <w:tcPr>
            <w:tcW w:w="1418" w:type="dxa"/>
            <w:tcBorders>
              <w:bottom w:val="single" w:sz="4" w:space="0" w:color="auto"/>
            </w:tcBorders>
            <w:shd w:val="clear" w:color="auto" w:fill="A6A6A6" w:themeFill="background1" w:themeFillShade="A6"/>
          </w:tcPr>
          <w:p w14:paraId="2D4477D4" w14:textId="77777777" w:rsidR="00E529C5" w:rsidRDefault="00E529C5" w:rsidP="009B3ACB">
            <w:pPr>
              <w:pStyle w:val="UtilComTabletext"/>
              <w:jc w:val="right"/>
            </w:pPr>
          </w:p>
        </w:tc>
        <w:tc>
          <w:tcPr>
            <w:tcW w:w="1418" w:type="dxa"/>
            <w:tcBorders>
              <w:bottom w:val="single" w:sz="4" w:space="0" w:color="auto"/>
            </w:tcBorders>
            <w:shd w:val="clear" w:color="auto" w:fill="A6A6A6" w:themeFill="background1" w:themeFillShade="A6"/>
          </w:tcPr>
          <w:p w14:paraId="36B5C2ED" w14:textId="77777777" w:rsidR="00E529C5" w:rsidRDefault="00E529C5" w:rsidP="00304710">
            <w:pPr>
              <w:pStyle w:val="UtilComTabletext"/>
              <w:jc w:val="right"/>
            </w:pPr>
          </w:p>
        </w:tc>
        <w:tc>
          <w:tcPr>
            <w:tcW w:w="1418" w:type="dxa"/>
            <w:tcBorders>
              <w:bottom w:val="single" w:sz="4" w:space="0" w:color="auto"/>
            </w:tcBorders>
            <w:shd w:val="clear" w:color="auto" w:fill="A6A6A6" w:themeFill="background1" w:themeFillShade="A6"/>
          </w:tcPr>
          <w:p w14:paraId="7603DFCD" w14:textId="77777777" w:rsidR="00E529C5" w:rsidRPr="00340D05" w:rsidRDefault="00E529C5" w:rsidP="00304710">
            <w:pPr>
              <w:pStyle w:val="UtilComTabletext"/>
              <w:jc w:val="right"/>
            </w:pPr>
          </w:p>
        </w:tc>
        <w:tc>
          <w:tcPr>
            <w:tcW w:w="1418" w:type="dxa"/>
            <w:tcBorders>
              <w:bottom w:val="single" w:sz="4" w:space="0" w:color="auto"/>
            </w:tcBorders>
            <w:tcMar>
              <w:right w:w="108" w:type="dxa"/>
            </w:tcMar>
          </w:tcPr>
          <w:p w14:paraId="0DADB649" w14:textId="77777777" w:rsidR="00E529C5" w:rsidRDefault="00E12B7E" w:rsidP="005A6959">
            <w:pPr>
              <w:pStyle w:val="UtilComTabletext"/>
              <w:jc w:val="right"/>
            </w:pPr>
            <w:r>
              <w:t>19.32</w:t>
            </w:r>
          </w:p>
        </w:tc>
      </w:tr>
      <w:tr w:rsidR="00EE5A08" w:rsidRPr="00EE5A08" w14:paraId="41BBCFB4" w14:textId="77777777" w:rsidTr="0024393C">
        <w:trPr>
          <w:cantSplit/>
          <w:trHeight w:val="360"/>
        </w:trPr>
        <w:tc>
          <w:tcPr>
            <w:tcW w:w="2124" w:type="dxa"/>
            <w:tcBorders>
              <w:top w:val="single" w:sz="4" w:space="0" w:color="auto"/>
            </w:tcBorders>
          </w:tcPr>
          <w:p w14:paraId="3A13B873" w14:textId="77777777" w:rsidR="00EE5A08" w:rsidRPr="00EE5A08" w:rsidRDefault="00EE5A08" w:rsidP="00C8408A">
            <w:pPr>
              <w:pStyle w:val="UtilComTabletext"/>
              <w:rPr>
                <w:b/>
              </w:rPr>
            </w:pPr>
            <w:r w:rsidRPr="00EE5A08">
              <w:rPr>
                <w:b/>
              </w:rPr>
              <w:t>Closing balance</w:t>
            </w:r>
          </w:p>
        </w:tc>
        <w:tc>
          <w:tcPr>
            <w:tcW w:w="1418" w:type="dxa"/>
            <w:tcBorders>
              <w:top w:val="single" w:sz="4" w:space="0" w:color="auto"/>
            </w:tcBorders>
            <w:shd w:val="clear" w:color="auto" w:fill="A6A6A6" w:themeFill="background1" w:themeFillShade="A6"/>
          </w:tcPr>
          <w:p w14:paraId="2197E946" w14:textId="77777777" w:rsidR="00EE5A08" w:rsidRPr="00EE5A08" w:rsidRDefault="00EE5A08" w:rsidP="009B3ACB">
            <w:pPr>
              <w:pStyle w:val="UtilComTabletext"/>
              <w:jc w:val="right"/>
              <w:rPr>
                <w:b/>
              </w:rPr>
            </w:pPr>
          </w:p>
        </w:tc>
        <w:tc>
          <w:tcPr>
            <w:tcW w:w="1418" w:type="dxa"/>
            <w:tcBorders>
              <w:top w:val="single" w:sz="4" w:space="0" w:color="auto"/>
            </w:tcBorders>
            <w:shd w:val="clear" w:color="auto" w:fill="A6A6A6" w:themeFill="background1" w:themeFillShade="A6"/>
          </w:tcPr>
          <w:p w14:paraId="5BDCDF92" w14:textId="77777777" w:rsidR="00EE5A08" w:rsidRPr="00EE5A08" w:rsidRDefault="00EE5A08" w:rsidP="009B3ACB">
            <w:pPr>
              <w:pStyle w:val="UtilComTabletext"/>
              <w:jc w:val="right"/>
              <w:rPr>
                <w:b/>
              </w:rPr>
            </w:pPr>
          </w:p>
        </w:tc>
        <w:tc>
          <w:tcPr>
            <w:tcW w:w="1418" w:type="dxa"/>
            <w:tcBorders>
              <w:top w:val="single" w:sz="4" w:space="0" w:color="auto"/>
            </w:tcBorders>
            <w:shd w:val="clear" w:color="auto" w:fill="A6A6A6" w:themeFill="background1" w:themeFillShade="A6"/>
          </w:tcPr>
          <w:p w14:paraId="4379C645" w14:textId="77777777" w:rsidR="00EE5A08" w:rsidRPr="00EE5A08" w:rsidRDefault="00EE5A08" w:rsidP="00304710">
            <w:pPr>
              <w:pStyle w:val="UtilComTabletext"/>
              <w:jc w:val="right"/>
              <w:rPr>
                <w:b/>
              </w:rPr>
            </w:pPr>
          </w:p>
        </w:tc>
        <w:tc>
          <w:tcPr>
            <w:tcW w:w="1418" w:type="dxa"/>
            <w:tcBorders>
              <w:top w:val="single" w:sz="4" w:space="0" w:color="auto"/>
            </w:tcBorders>
            <w:shd w:val="clear" w:color="auto" w:fill="A6A6A6" w:themeFill="background1" w:themeFillShade="A6"/>
          </w:tcPr>
          <w:p w14:paraId="31B823ED" w14:textId="77777777" w:rsidR="00EE5A08" w:rsidRPr="00EE5A08" w:rsidRDefault="00EE5A08" w:rsidP="00304710">
            <w:pPr>
              <w:pStyle w:val="UtilComTabletext"/>
              <w:jc w:val="right"/>
              <w:rPr>
                <w:b/>
              </w:rPr>
            </w:pPr>
          </w:p>
        </w:tc>
        <w:tc>
          <w:tcPr>
            <w:tcW w:w="1418" w:type="dxa"/>
            <w:tcBorders>
              <w:top w:val="single" w:sz="4" w:space="0" w:color="auto"/>
            </w:tcBorders>
            <w:tcMar>
              <w:right w:w="108" w:type="dxa"/>
            </w:tcMar>
          </w:tcPr>
          <w:p w14:paraId="0047134B" w14:textId="77777777" w:rsidR="00EE5A08" w:rsidRPr="00EE5A08" w:rsidRDefault="00E12B7E" w:rsidP="005A6959">
            <w:pPr>
              <w:pStyle w:val="UtilComTabletext"/>
              <w:jc w:val="right"/>
              <w:rPr>
                <w:b/>
              </w:rPr>
            </w:pPr>
            <w:r>
              <w:rPr>
                <w:b/>
              </w:rPr>
              <w:t>930.06</w:t>
            </w:r>
          </w:p>
        </w:tc>
      </w:tr>
      <w:tr w:rsidR="00E529C5" w:rsidRPr="008A4655" w14:paraId="2092BDCB" w14:textId="77777777" w:rsidTr="0024393C">
        <w:trPr>
          <w:cantSplit/>
          <w:trHeight w:val="360"/>
        </w:trPr>
        <w:tc>
          <w:tcPr>
            <w:tcW w:w="2124" w:type="dxa"/>
          </w:tcPr>
          <w:p w14:paraId="5D1C13B7" w14:textId="77777777" w:rsidR="00E529C5" w:rsidRDefault="00EE5A08" w:rsidP="00C8408A">
            <w:pPr>
              <w:pStyle w:val="UtilComTabletext"/>
            </w:pPr>
            <w:r>
              <w:t>Contributed assets</w:t>
            </w:r>
          </w:p>
        </w:tc>
        <w:tc>
          <w:tcPr>
            <w:tcW w:w="1418" w:type="dxa"/>
            <w:shd w:val="clear" w:color="auto" w:fill="A6A6A6" w:themeFill="background1" w:themeFillShade="A6"/>
          </w:tcPr>
          <w:p w14:paraId="192D4E37" w14:textId="77777777" w:rsidR="00E529C5" w:rsidRDefault="00E529C5" w:rsidP="009B3ACB">
            <w:pPr>
              <w:pStyle w:val="UtilComTabletext"/>
              <w:jc w:val="right"/>
            </w:pPr>
          </w:p>
        </w:tc>
        <w:tc>
          <w:tcPr>
            <w:tcW w:w="1418" w:type="dxa"/>
            <w:shd w:val="clear" w:color="auto" w:fill="A6A6A6" w:themeFill="background1" w:themeFillShade="A6"/>
          </w:tcPr>
          <w:p w14:paraId="7A1E5BAF" w14:textId="77777777" w:rsidR="00E529C5" w:rsidRDefault="00E529C5" w:rsidP="009B3ACB">
            <w:pPr>
              <w:pStyle w:val="UtilComTabletext"/>
              <w:jc w:val="right"/>
            </w:pPr>
          </w:p>
        </w:tc>
        <w:tc>
          <w:tcPr>
            <w:tcW w:w="1418" w:type="dxa"/>
            <w:shd w:val="clear" w:color="auto" w:fill="A6A6A6" w:themeFill="background1" w:themeFillShade="A6"/>
          </w:tcPr>
          <w:p w14:paraId="79B04241" w14:textId="77777777" w:rsidR="00E529C5" w:rsidRDefault="00E529C5" w:rsidP="00304710">
            <w:pPr>
              <w:pStyle w:val="UtilComTabletext"/>
              <w:jc w:val="right"/>
            </w:pPr>
          </w:p>
        </w:tc>
        <w:tc>
          <w:tcPr>
            <w:tcW w:w="1418" w:type="dxa"/>
            <w:shd w:val="clear" w:color="auto" w:fill="A6A6A6" w:themeFill="background1" w:themeFillShade="A6"/>
          </w:tcPr>
          <w:p w14:paraId="79EAB737" w14:textId="77777777" w:rsidR="00E529C5" w:rsidRPr="00340D05" w:rsidRDefault="00E529C5" w:rsidP="00304710">
            <w:pPr>
              <w:pStyle w:val="UtilComTabletext"/>
              <w:jc w:val="right"/>
            </w:pPr>
          </w:p>
        </w:tc>
        <w:tc>
          <w:tcPr>
            <w:tcW w:w="1418" w:type="dxa"/>
            <w:tcMar>
              <w:right w:w="108" w:type="dxa"/>
            </w:tcMar>
          </w:tcPr>
          <w:p w14:paraId="3C839FB5" w14:textId="77777777" w:rsidR="00E529C5" w:rsidRDefault="00E12B7E" w:rsidP="005A6959">
            <w:pPr>
              <w:pStyle w:val="UtilComTabletext"/>
              <w:jc w:val="right"/>
            </w:pPr>
            <w:r>
              <w:t>9.64</w:t>
            </w:r>
          </w:p>
        </w:tc>
      </w:tr>
      <w:tr w:rsidR="00E529C5" w:rsidRPr="008A4655" w14:paraId="23275CA5" w14:textId="77777777" w:rsidTr="0024393C">
        <w:trPr>
          <w:cantSplit/>
          <w:trHeight w:val="360"/>
        </w:trPr>
        <w:tc>
          <w:tcPr>
            <w:tcW w:w="2124" w:type="dxa"/>
            <w:tcBorders>
              <w:bottom w:val="single" w:sz="4" w:space="0" w:color="000000"/>
            </w:tcBorders>
          </w:tcPr>
          <w:p w14:paraId="3887E2D2" w14:textId="77777777" w:rsidR="00E529C5" w:rsidRDefault="00EE5A08" w:rsidP="00C8408A">
            <w:pPr>
              <w:pStyle w:val="UtilComTabletext"/>
            </w:pPr>
            <w:r>
              <w:t>Inflation rate</w:t>
            </w:r>
          </w:p>
        </w:tc>
        <w:tc>
          <w:tcPr>
            <w:tcW w:w="1418" w:type="dxa"/>
            <w:tcBorders>
              <w:bottom w:val="single" w:sz="4" w:space="0" w:color="000000"/>
            </w:tcBorders>
            <w:shd w:val="clear" w:color="auto" w:fill="A6A6A6" w:themeFill="background1" w:themeFillShade="A6"/>
          </w:tcPr>
          <w:p w14:paraId="50157678" w14:textId="77777777" w:rsidR="00E529C5" w:rsidRDefault="00E529C5" w:rsidP="009B3ACB">
            <w:pPr>
              <w:pStyle w:val="UtilComTabletext"/>
              <w:jc w:val="right"/>
            </w:pPr>
          </w:p>
        </w:tc>
        <w:tc>
          <w:tcPr>
            <w:tcW w:w="1418" w:type="dxa"/>
            <w:tcBorders>
              <w:bottom w:val="single" w:sz="4" w:space="0" w:color="000000"/>
            </w:tcBorders>
            <w:shd w:val="clear" w:color="auto" w:fill="A6A6A6" w:themeFill="background1" w:themeFillShade="A6"/>
          </w:tcPr>
          <w:p w14:paraId="626EADD0" w14:textId="77777777" w:rsidR="00E529C5" w:rsidRDefault="00E529C5" w:rsidP="009B3ACB">
            <w:pPr>
              <w:pStyle w:val="UtilComTabletext"/>
              <w:jc w:val="right"/>
            </w:pPr>
          </w:p>
        </w:tc>
        <w:tc>
          <w:tcPr>
            <w:tcW w:w="1418" w:type="dxa"/>
            <w:tcBorders>
              <w:bottom w:val="single" w:sz="4" w:space="0" w:color="000000"/>
            </w:tcBorders>
            <w:shd w:val="clear" w:color="auto" w:fill="A6A6A6" w:themeFill="background1" w:themeFillShade="A6"/>
          </w:tcPr>
          <w:p w14:paraId="4B0EE4B2" w14:textId="77777777" w:rsidR="00E529C5" w:rsidRDefault="00E529C5" w:rsidP="00304710">
            <w:pPr>
              <w:pStyle w:val="UtilComTabletext"/>
              <w:jc w:val="right"/>
            </w:pPr>
          </w:p>
        </w:tc>
        <w:tc>
          <w:tcPr>
            <w:tcW w:w="1418" w:type="dxa"/>
            <w:tcBorders>
              <w:bottom w:val="single" w:sz="4" w:space="0" w:color="000000"/>
            </w:tcBorders>
            <w:shd w:val="clear" w:color="auto" w:fill="A6A6A6" w:themeFill="background1" w:themeFillShade="A6"/>
          </w:tcPr>
          <w:p w14:paraId="15685C3B" w14:textId="77777777" w:rsidR="00E529C5" w:rsidRPr="00340D05" w:rsidRDefault="00E529C5" w:rsidP="00304710">
            <w:pPr>
              <w:pStyle w:val="UtilComTabletext"/>
              <w:jc w:val="right"/>
            </w:pPr>
          </w:p>
        </w:tc>
        <w:tc>
          <w:tcPr>
            <w:tcW w:w="1418" w:type="dxa"/>
            <w:tcBorders>
              <w:bottom w:val="single" w:sz="4" w:space="0" w:color="000000"/>
            </w:tcBorders>
            <w:tcMar>
              <w:right w:w="108" w:type="dxa"/>
            </w:tcMar>
          </w:tcPr>
          <w:p w14:paraId="5FA6F58F" w14:textId="77777777" w:rsidR="00E529C5" w:rsidRPr="00340D05" w:rsidRDefault="00E12B7E" w:rsidP="005A6959">
            <w:pPr>
              <w:pStyle w:val="UtilComTabletext"/>
              <w:jc w:val="right"/>
            </w:pPr>
            <w:r>
              <w:t>2.57%</w:t>
            </w:r>
          </w:p>
        </w:tc>
      </w:tr>
    </w:tbl>
    <w:p w14:paraId="3819FCC9" w14:textId="2D79AA1F" w:rsidR="00E529C5" w:rsidRDefault="00EE5A08" w:rsidP="00EE5A08">
      <w:pPr>
        <w:pStyle w:val="UtilComReferenceSource"/>
        <w:rPr>
          <w:lang w:val="en-AU"/>
        </w:rPr>
      </w:pPr>
      <w:r>
        <w:rPr>
          <w:lang w:val="en-AU"/>
        </w:rPr>
        <w:t>Source: PWC</w:t>
      </w:r>
      <w:r w:rsidR="00D63D79">
        <w:rPr>
          <w:lang w:val="en-AU"/>
        </w:rPr>
        <w:t> Networks’</w:t>
      </w:r>
      <w:r>
        <w:rPr>
          <w:lang w:val="en-AU"/>
        </w:rPr>
        <w:t xml:space="preserve"> </w:t>
      </w:r>
      <w:r w:rsidR="00D63D79">
        <w:rPr>
          <w:lang w:val="en-AU"/>
        </w:rPr>
        <w:t xml:space="preserve">initial regulatory proposal, </w:t>
      </w:r>
      <w:r w:rsidR="00A53BC2">
        <w:rPr>
          <w:lang w:val="en-AU"/>
        </w:rPr>
        <w:t>RFM (ODRC)</w:t>
      </w:r>
      <w:r>
        <w:rPr>
          <w:lang w:val="en-AU"/>
        </w:rPr>
        <w:t xml:space="preserve"> </w:t>
      </w:r>
    </w:p>
    <w:p w14:paraId="174C7D48" w14:textId="67001AAB" w:rsidR="00E12B7E" w:rsidRDefault="00E12B7E" w:rsidP="0024206D">
      <w:pPr>
        <w:pStyle w:val="NumberLevel2"/>
        <w:numPr>
          <w:ilvl w:val="1"/>
          <w:numId w:val="5"/>
        </w:numPr>
        <w:ind w:left="709" w:hanging="709"/>
        <w:rPr>
          <w:lang w:val="en-AU"/>
        </w:rPr>
      </w:pPr>
      <w:r>
        <w:rPr>
          <w:lang w:val="en-AU"/>
        </w:rPr>
        <w:t>PWC Networks also provided a roll</w:t>
      </w:r>
      <w:r w:rsidR="00BA4273">
        <w:rPr>
          <w:lang w:val="en-AU"/>
        </w:rPr>
        <w:t xml:space="preserve"> </w:t>
      </w:r>
      <w:r>
        <w:rPr>
          <w:lang w:val="en-AU"/>
        </w:rPr>
        <w:t xml:space="preserve">forward of the </w:t>
      </w:r>
      <w:r w:rsidR="004D157E">
        <w:rPr>
          <w:lang w:val="en-AU"/>
        </w:rPr>
        <w:t>RAB</w:t>
      </w:r>
      <w:r>
        <w:rPr>
          <w:lang w:val="en-AU"/>
        </w:rPr>
        <w:t xml:space="preserve"> based on the Commission’s valuation as set in the </w:t>
      </w:r>
      <w:r w:rsidR="004D157E">
        <w:rPr>
          <w:lang w:val="en-AU"/>
        </w:rPr>
        <w:t>Off Ramp</w:t>
      </w:r>
      <w:r>
        <w:rPr>
          <w:lang w:val="en-AU"/>
        </w:rPr>
        <w:t xml:space="preserve"> Decision.</w:t>
      </w:r>
    </w:p>
    <w:p w14:paraId="620BA44D" w14:textId="77777777" w:rsidR="00C7054F" w:rsidRDefault="00C7054F">
      <w:pPr>
        <w:spacing w:before="0" w:after="0" w:line="240" w:lineRule="auto"/>
        <w:rPr>
          <w:rFonts w:cs="Arial"/>
          <w:spacing w:val="-14"/>
          <w:szCs w:val="22"/>
          <w:lang w:val="en-AU"/>
        </w:rPr>
      </w:pPr>
      <w:r>
        <w:br w:type="page"/>
      </w:r>
    </w:p>
    <w:p w14:paraId="6C6EF265" w14:textId="521A9D26" w:rsidR="00E12B7E" w:rsidRPr="00A139AD" w:rsidRDefault="00E12B7E" w:rsidP="005A6959">
      <w:pPr>
        <w:pStyle w:val="UtilComTableTitle"/>
        <w:keepNext/>
        <w:spacing w:before="120" w:after="0" w:line="240" w:lineRule="exact"/>
      </w:pPr>
      <w:r>
        <w:t xml:space="preserve">Table </w:t>
      </w:r>
      <w:r w:rsidR="006A0368">
        <w:t>6</w:t>
      </w:r>
      <w:r>
        <w:t>.</w:t>
      </w:r>
      <w:r w:rsidR="00737971">
        <w:t>2</w:t>
      </w:r>
      <w:r>
        <w:t xml:space="preserve">: PWC Networks </w:t>
      </w:r>
      <w:r w:rsidRPr="00E529C5">
        <w:t>pro</w:t>
      </w:r>
      <w:r w:rsidR="00737971">
        <w:t>vid</w:t>
      </w:r>
      <w:r w:rsidRPr="00E529C5">
        <w:t xml:space="preserve">ed RAB roll forward for the </w:t>
      </w:r>
      <w:r w:rsidR="007669D5">
        <w:t>2009-14</w:t>
      </w:r>
      <w:r w:rsidR="007669D5" w:rsidRPr="00E529C5">
        <w:t xml:space="preserve"> </w:t>
      </w:r>
      <w:r w:rsidRPr="00E529C5">
        <w:t xml:space="preserve">regulatory control period </w:t>
      </w:r>
      <w:r w:rsidR="00A3505A">
        <w:t xml:space="preserve">based on </w:t>
      </w:r>
      <w:r w:rsidR="00003986">
        <w:t xml:space="preserve">the </w:t>
      </w:r>
      <w:r w:rsidR="004D157E">
        <w:t>Off Ramp</w:t>
      </w:r>
      <w:r w:rsidR="00A3505A">
        <w:t xml:space="preserve"> Decision </w:t>
      </w:r>
      <w:r w:rsidRPr="00E529C5">
        <w:t>($</w:t>
      </w:r>
      <w:r w:rsidR="00484786">
        <w:t>M</w:t>
      </w:r>
      <w:r w:rsidRPr="00E529C5">
        <w:t>, nominal)</w:t>
      </w:r>
      <w:r>
        <w:t xml:space="preserve"> </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068"/>
        <w:gridCol w:w="1191"/>
        <w:gridCol w:w="1191"/>
        <w:gridCol w:w="1191"/>
        <w:gridCol w:w="1191"/>
        <w:gridCol w:w="1191"/>
        <w:gridCol w:w="1191"/>
      </w:tblGrid>
      <w:tr w:rsidR="00806F83" w:rsidRPr="00CD0BDF" w14:paraId="6DCC3362" w14:textId="77777777" w:rsidTr="00766DBA">
        <w:trPr>
          <w:cantSplit/>
          <w:trHeight w:val="360"/>
        </w:trPr>
        <w:tc>
          <w:tcPr>
            <w:tcW w:w="2068" w:type="dxa"/>
            <w:tcBorders>
              <w:bottom w:val="single" w:sz="4" w:space="0" w:color="999999"/>
              <w:right w:val="single" w:sz="4" w:space="0" w:color="auto"/>
            </w:tcBorders>
            <w:vAlign w:val="bottom"/>
          </w:tcPr>
          <w:p w14:paraId="7755F237" w14:textId="77777777" w:rsidR="00806F83" w:rsidRPr="00EE5A08" w:rsidRDefault="00806F83" w:rsidP="00C8408A">
            <w:pPr>
              <w:pStyle w:val="UtilComTableColumnHeading"/>
            </w:pPr>
          </w:p>
        </w:tc>
        <w:tc>
          <w:tcPr>
            <w:tcW w:w="1191" w:type="dxa"/>
            <w:tcBorders>
              <w:left w:val="single" w:sz="4" w:space="0" w:color="auto"/>
              <w:bottom w:val="single" w:sz="4" w:space="0" w:color="999999"/>
              <w:right w:val="single" w:sz="4" w:space="0" w:color="auto"/>
            </w:tcBorders>
            <w:vAlign w:val="bottom"/>
          </w:tcPr>
          <w:p w14:paraId="373A2CFB" w14:textId="77777777" w:rsidR="00806F83" w:rsidRDefault="00806F83" w:rsidP="00C8408A">
            <w:pPr>
              <w:pStyle w:val="UtilComTableColumnHeading"/>
              <w:jc w:val="center"/>
            </w:pPr>
          </w:p>
        </w:tc>
        <w:tc>
          <w:tcPr>
            <w:tcW w:w="3573" w:type="dxa"/>
            <w:gridSpan w:val="3"/>
            <w:tcBorders>
              <w:left w:val="single" w:sz="4" w:space="0" w:color="auto"/>
              <w:bottom w:val="single" w:sz="4" w:space="0" w:color="999999"/>
            </w:tcBorders>
            <w:vAlign w:val="bottom"/>
          </w:tcPr>
          <w:p w14:paraId="4DDC5C8B" w14:textId="77777777" w:rsidR="00806F83" w:rsidRPr="00EE5A08" w:rsidRDefault="00806F83" w:rsidP="00C8408A">
            <w:pPr>
              <w:pStyle w:val="UtilComTableColumnHeading"/>
              <w:jc w:val="center"/>
            </w:pPr>
            <w:r>
              <w:t>Actual</w:t>
            </w:r>
          </w:p>
        </w:tc>
        <w:tc>
          <w:tcPr>
            <w:tcW w:w="2382" w:type="dxa"/>
            <w:gridSpan w:val="2"/>
            <w:tcBorders>
              <w:bottom w:val="single" w:sz="4" w:space="0" w:color="999999"/>
            </w:tcBorders>
            <w:vAlign w:val="bottom"/>
          </w:tcPr>
          <w:p w14:paraId="19D725A7" w14:textId="77777777" w:rsidR="00806F83" w:rsidRPr="00EE5A08" w:rsidRDefault="00806F83" w:rsidP="00C8408A">
            <w:pPr>
              <w:pStyle w:val="UtilComTableColumnHeading"/>
              <w:jc w:val="center"/>
            </w:pPr>
            <w:r>
              <w:t>Estimate</w:t>
            </w:r>
          </w:p>
        </w:tc>
      </w:tr>
      <w:tr w:rsidR="00806F83" w:rsidRPr="008A4655" w14:paraId="32A0DC75" w14:textId="77777777" w:rsidTr="00766DBA">
        <w:trPr>
          <w:cantSplit/>
          <w:trHeight w:val="360"/>
        </w:trPr>
        <w:tc>
          <w:tcPr>
            <w:tcW w:w="2068" w:type="dxa"/>
            <w:tcBorders>
              <w:top w:val="single" w:sz="4" w:space="0" w:color="999999"/>
              <w:bottom w:val="single" w:sz="4" w:space="0" w:color="auto"/>
              <w:right w:val="single" w:sz="4" w:space="0" w:color="auto"/>
            </w:tcBorders>
            <w:vAlign w:val="bottom"/>
          </w:tcPr>
          <w:p w14:paraId="4DDC2DE3" w14:textId="77777777" w:rsidR="00806F83" w:rsidRPr="00EE5A08" w:rsidRDefault="00806F83" w:rsidP="00C8408A">
            <w:pPr>
              <w:pStyle w:val="UtilComTabletext"/>
              <w:rPr>
                <w:b/>
              </w:rPr>
            </w:pPr>
          </w:p>
        </w:tc>
        <w:tc>
          <w:tcPr>
            <w:tcW w:w="1191" w:type="dxa"/>
            <w:tcBorders>
              <w:top w:val="single" w:sz="4" w:space="0" w:color="999999"/>
              <w:left w:val="single" w:sz="4" w:space="0" w:color="auto"/>
              <w:bottom w:val="single" w:sz="4" w:space="0" w:color="auto"/>
              <w:right w:val="single" w:sz="4" w:space="0" w:color="auto"/>
            </w:tcBorders>
            <w:tcMar>
              <w:left w:w="108" w:type="dxa"/>
              <w:right w:w="108" w:type="dxa"/>
            </w:tcMar>
            <w:vAlign w:val="bottom"/>
          </w:tcPr>
          <w:p w14:paraId="12D93DE7" w14:textId="77777777" w:rsidR="00806F83" w:rsidRDefault="00806F83" w:rsidP="005A6959">
            <w:pPr>
              <w:pStyle w:val="UtilComTabletext"/>
              <w:jc w:val="right"/>
              <w:rPr>
                <w:b/>
              </w:rPr>
            </w:pPr>
            <w:r>
              <w:rPr>
                <w:b/>
              </w:rPr>
              <w:t>2008-09</w:t>
            </w:r>
            <w:r w:rsidRPr="00806F83">
              <w:rPr>
                <w:b/>
                <w:vertAlign w:val="superscript"/>
              </w:rPr>
              <w:t>(a)</w:t>
            </w:r>
          </w:p>
        </w:tc>
        <w:tc>
          <w:tcPr>
            <w:tcW w:w="1191" w:type="dxa"/>
            <w:tcBorders>
              <w:top w:val="single" w:sz="4" w:space="0" w:color="999999"/>
              <w:left w:val="single" w:sz="4" w:space="0" w:color="auto"/>
              <w:bottom w:val="single" w:sz="4" w:space="0" w:color="auto"/>
            </w:tcBorders>
            <w:tcMar>
              <w:left w:w="108" w:type="dxa"/>
              <w:right w:w="108" w:type="dxa"/>
            </w:tcMar>
            <w:vAlign w:val="bottom"/>
          </w:tcPr>
          <w:p w14:paraId="332871A1" w14:textId="77777777" w:rsidR="00806F83" w:rsidRPr="00EE5A08" w:rsidRDefault="00806F83" w:rsidP="005A6959">
            <w:pPr>
              <w:pStyle w:val="UtilComTabletext"/>
              <w:jc w:val="right"/>
              <w:rPr>
                <w:b/>
              </w:rPr>
            </w:pPr>
            <w:r>
              <w:rPr>
                <w:b/>
              </w:rPr>
              <w:t>2009-10</w:t>
            </w:r>
          </w:p>
        </w:tc>
        <w:tc>
          <w:tcPr>
            <w:tcW w:w="1191" w:type="dxa"/>
            <w:tcBorders>
              <w:top w:val="single" w:sz="4" w:space="0" w:color="999999"/>
              <w:bottom w:val="single" w:sz="4" w:space="0" w:color="auto"/>
            </w:tcBorders>
            <w:tcMar>
              <w:left w:w="108" w:type="dxa"/>
              <w:right w:w="108" w:type="dxa"/>
            </w:tcMar>
            <w:vAlign w:val="bottom"/>
          </w:tcPr>
          <w:p w14:paraId="319BF57F" w14:textId="77777777" w:rsidR="00806F83" w:rsidRPr="00EE5A08" w:rsidRDefault="00806F83" w:rsidP="005A6959">
            <w:pPr>
              <w:pStyle w:val="UtilComTabletext"/>
              <w:jc w:val="right"/>
              <w:rPr>
                <w:b/>
              </w:rPr>
            </w:pPr>
            <w:r>
              <w:rPr>
                <w:b/>
              </w:rPr>
              <w:t>2010-11</w:t>
            </w:r>
          </w:p>
        </w:tc>
        <w:tc>
          <w:tcPr>
            <w:tcW w:w="1191" w:type="dxa"/>
            <w:tcBorders>
              <w:top w:val="single" w:sz="4" w:space="0" w:color="999999"/>
              <w:bottom w:val="single" w:sz="4" w:space="0" w:color="auto"/>
            </w:tcBorders>
            <w:tcMar>
              <w:left w:w="108" w:type="dxa"/>
              <w:right w:w="108" w:type="dxa"/>
            </w:tcMar>
            <w:vAlign w:val="bottom"/>
          </w:tcPr>
          <w:p w14:paraId="4725D1F8" w14:textId="77777777" w:rsidR="00806F83" w:rsidRPr="00EE5A08" w:rsidRDefault="00806F83" w:rsidP="005A6959">
            <w:pPr>
              <w:pStyle w:val="UtilComTabletext"/>
              <w:jc w:val="right"/>
              <w:rPr>
                <w:b/>
              </w:rPr>
            </w:pPr>
            <w:r>
              <w:rPr>
                <w:b/>
              </w:rPr>
              <w:t>2011-12</w:t>
            </w:r>
          </w:p>
        </w:tc>
        <w:tc>
          <w:tcPr>
            <w:tcW w:w="1191" w:type="dxa"/>
            <w:tcBorders>
              <w:top w:val="single" w:sz="4" w:space="0" w:color="999999"/>
              <w:bottom w:val="single" w:sz="4" w:space="0" w:color="auto"/>
            </w:tcBorders>
            <w:tcMar>
              <w:left w:w="108" w:type="dxa"/>
              <w:right w:w="108" w:type="dxa"/>
            </w:tcMar>
            <w:vAlign w:val="bottom"/>
          </w:tcPr>
          <w:p w14:paraId="10F4DFDA" w14:textId="77777777" w:rsidR="00806F83" w:rsidRPr="00EE5A08" w:rsidRDefault="00806F83" w:rsidP="005A6959">
            <w:pPr>
              <w:pStyle w:val="UtilComTabletext"/>
              <w:jc w:val="right"/>
              <w:rPr>
                <w:b/>
              </w:rPr>
            </w:pPr>
            <w:r>
              <w:rPr>
                <w:b/>
              </w:rPr>
              <w:t>2012-13</w:t>
            </w:r>
          </w:p>
        </w:tc>
        <w:tc>
          <w:tcPr>
            <w:tcW w:w="1191" w:type="dxa"/>
            <w:tcBorders>
              <w:top w:val="single" w:sz="4" w:space="0" w:color="999999"/>
              <w:bottom w:val="single" w:sz="4" w:space="0" w:color="auto"/>
            </w:tcBorders>
            <w:tcMar>
              <w:left w:w="108" w:type="dxa"/>
              <w:right w:w="108" w:type="dxa"/>
            </w:tcMar>
            <w:vAlign w:val="bottom"/>
          </w:tcPr>
          <w:p w14:paraId="1D3C6FFC" w14:textId="77777777" w:rsidR="00806F83" w:rsidRPr="00EE5A08" w:rsidRDefault="00806F83" w:rsidP="005A6959">
            <w:pPr>
              <w:pStyle w:val="UtilComTabletext"/>
              <w:jc w:val="right"/>
              <w:rPr>
                <w:b/>
              </w:rPr>
            </w:pPr>
            <w:r>
              <w:rPr>
                <w:b/>
              </w:rPr>
              <w:t>2013-14</w:t>
            </w:r>
          </w:p>
        </w:tc>
      </w:tr>
      <w:tr w:rsidR="00806F83" w:rsidRPr="008A4655" w14:paraId="4EF9B477" w14:textId="77777777" w:rsidTr="005A6959">
        <w:trPr>
          <w:cantSplit/>
          <w:trHeight w:val="360"/>
        </w:trPr>
        <w:tc>
          <w:tcPr>
            <w:tcW w:w="2068" w:type="dxa"/>
            <w:tcBorders>
              <w:top w:val="single" w:sz="4" w:space="0" w:color="auto"/>
              <w:right w:val="single" w:sz="4" w:space="0" w:color="auto"/>
            </w:tcBorders>
          </w:tcPr>
          <w:p w14:paraId="60363A09" w14:textId="77777777" w:rsidR="00806F83" w:rsidRDefault="00806F83" w:rsidP="00C8408A">
            <w:pPr>
              <w:pStyle w:val="UtilComTabletext"/>
            </w:pPr>
            <w:r>
              <w:t>Opening RAB at 1 July</w:t>
            </w:r>
          </w:p>
        </w:tc>
        <w:tc>
          <w:tcPr>
            <w:tcW w:w="1191" w:type="dxa"/>
            <w:tcBorders>
              <w:top w:val="single" w:sz="4" w:space="0" w:color="auto"/>
              <w:left w:val="single" w:sz="4" w:space="0" w:color="auto"/>
              <w:right w:val="single" w:sz="4" w:space="0" w:color="auto"/>
            </w:tcBorders>
            <w:tcMar>
              <w:left w:w="108" w:type="dxa"/>
              <w:right w:w="108" w:type="dxa"/>
            </w:tcMar>
          </w:tcPr>
          <w:p w14:paraId="1B5D5AB1" w14:textId="77777777" w:rsidR="00806F83" w:rsidRPr="001B5FBD" w:rsidRDefault="00806F83" w:rsidP="005A6959">
            <w:pPr>
              <w:pStyle w:val="UtilComTabletext"/>
              <w:jc w:val="right"/>
            </w:pPr>
            <w:r>
              <w:t>460.40</w:t>
            </w:r>
          </w:p>
        </w:tc>
        <w:tc>
          <w:tcPr>
            <w:tcW w:w="1191" w:type="dxa"/>
            <w:tcBorders>
              <w:top w:val="single" w:sz="4" w:space="0" w:color="auto"/>
              <w:left w:val="single" w:sz="4" w:space="0" w:color="auto"/>
            </w:tcBorders>
            <w:tcMar>
              <w:left w:w="108" w:type="dxa"/>
              <w:right w:w="108" w:type="dxa"/>
            </w:tcMar>
          </w:tcPr>
          <w:p w14:paraId="676CEF99" w14:textId="77777777" w:rsidR="00806F83" w:rsidRPr="001B5FBD" w:rsidRDefault="00806F83" w:rsidP="005A6959">
            <w:pPr>
              <w:pStyle w:val="UtilComTabletext"/>
              <w:jc w:val="right"/>
            </w:pPr>
            <w:r w:rsidRPr="001B5FBD">
              <w:t xml:space="preserve"> 514.80 </w:t>
            </w:r>
          </w:p>
        </w:tc>
        <w:tc>
          <w:tcPr>
            <w:tcW w:w="1191" w:type="dxa"/>
            <w:tcBorders>
              <w:top w:val="single" w:sz="4" w:space="0" w:color="auto"/>
            </w:tcBorders>
            <w:tcMar>
              <w:left w:w="108" w:type="dxa"/>
              <w:right w:w="108" w:type="dxa"/>
            </w:tcMar>
          </w:tcPr>
          <w:p w14:paraId="59309C5E" w14:textId="77777777" w:rsidR="00806F83" w:rsidRPr="001B5FBD" w:rsidRDefault="00806F83" w:rsidP="005A6959">
            <w:pPr>
              <w:pStyle w:val="UtilComTabletext"/>
              <w:jc w:val="right"/>
            </w:pPr>
            <w:r w:rsidRPr="001B5FBD">
              <w:t xml:space="preserve"> 585.07 </w:t>
            </w:r>
          </w:p>
        </w:tc>
        <w:tc>
          <w:tcPr>
            <w:tcW w:w="1191" w:type="dxa"/>
            <w:tcBorders>
              <w:top w:val="single" w:sz="4" w:space="0" w:color="auto"/>
            </w:tcBorders>
            <w:tcMar>
              <w:left w:w="108" w:type="dxa"/>
              <w:right w:w="108" w:type="dxa"/>
            </w:tcMar>
          </w:tcPr>
          <w:p w14:paraId="38EBAF8B" w14:textId="77777777" w:rsidR="00806F83" w:rsidRPr="001B5FBD" w:rsidRDefault="00806F83" w:rsidP="00617FD9">
            <w:pPr>
              <w:pStyle w:val="UtilComTabletext"/>
              <w:jc w:val="right"/>
            </w:pPr>
            <w:r w:rsidRPr="001B5FBD">
              <w:t xml:space="preserve"> 669.40 </w:t>
            </w:r>
          </w:p>
        </w:tc>
        <w:tc>
          <w:tcPr>
            <w:tcW w:w="1191" w:type="dxa"/>
            <w:tcBorders>
              <w:top w:val="single" w:sz="4" w:space="0" w:color="auto"/>
            </w:tcBorders>
            <w:tcMar>
              <w:left w:w="108" w:type="dxa"/>
              <w:right w:w="108" w:type="dxa"/>
            </w:tcMar>
          </w:tcPr>
          <w:p w14:paraId="44BA48D4" w14:textId="77777777" w:rsidR="00806F83" w:rsidRPr="001B5FBD" w:rsidRDefault="00806F83" w:rsidP="00AB27EE">
            <w:pPr>
              <w:pStyle w:val="UtilComTabletext"/>
              <w:jc w:val="right"/>
            </w:pPr>
            <w:r w:rsidRPr="001B5FBD">
              <w:t xml:space="preserve"> 734.32 </w:t>
            </w:r>
          </w:p>
        </w:tc>
        <w:tc>
          <w:tcPr>
            <w:tcW w:w="1191" w:type="dxa"/>
            <w:tcBorders>
              <w:top w:val="single" w:sz="4" w:space="0" w:color="auto"/>
            </w:tcBorders>
            <w:tcMar>
              <w:left w:w="108" w:type="dxa"/>
              <w:right w:w="108" w:type="dxa"/>
            </w:tcMar>
          </w:tcPr>
          <w:p w14:paraId="3988C4FB" w14:textId="77777777" w:rsidR="00806F83" w:rsidRDefault="00806F83" w:rsidP="00A549BB">
            <w:pPr>
              <w:pStyle w:val="UtilComTabletext"/>
              <w:jc w:val="right"/>
            </w:pPr>
            <w:r w:rsidRPr="001B5FBD">
              <w:t xml:space="preserve"> 832.89 </w:t>
            </w:r>
          </w:p>
        </w:tc>
      </w:tr>
      <w:tr w:rsidR="00806F83" w:rsidRPr="008A4655" w14:paraId="6E2B7DB9" w14:textId="77777777" w:rsidTr="005A6959">
        <w:trPr>
          <w:cantSplit/>
          <w:trHeight w:val="360"/>
        </w:trPr>
        <w:tc>
          <w:tcPr>
            <w:tcW w:w="2068" w:type="dxa"/>
            <w:tcBorders>
              <w:right w:val="single" w:sz="4" w:space="0" w:color="auto"/>
            </w:tcBorders>
          </w:tcPr>
          <w:p w14:paraId="5C8D068E" w14:textId="77777777" w:rsidR="00806F83" w:rsidRDefault="00806F83" w:rsidP="00C8408A">
            <w:pPr>
              <w:pStyle w:val="UtilComTabletext"/>
            </w:pPr>
            <w:r>
              <w:t>Net capex</w:t>
            </w:r>
          </w:p>
        </w:tc>
        <w:tc>
          <w:tcPr>
            <w:tcW w:w="1191" w:type="dxa"/>
            <w:tcBorders>
              <w:left w:val="single" w:sz="4" w:space="0" w:color="auto"/>
              <w:right w:val="single" w:sz="4" w:space="0" w:color="auto"/>
            </w:tcBorders>
            <w:tcMar>
              <w:left w:w="108" w:type="dxa"/>
              <w:right w:w="108" w:type="dxa"/>
            </w:tcMar>
          </w:tcPr>
          <w:p w14:paraId="294160CF" w14:textId="77777777" w:rsidR="00806F83" w:rsidRPr="00D30AF7" w:rsidRDefault="00826E88" w:rsidP="005A6959">
            <w:pPr>
              <w:pStyle w:val="UtilComTabletext"/>
              <w:jc w:val="right"/>
            </w:pPr>
            <w:r>
              <w:t>56.56</w:t>
            </w:r>
          </w:p>
        </w:tc>
        <w:tc>
          <w:tcPr>
            <w:tcW w:w="1191" w:type="dxa"/>
            <w:tcBorders>
              <w:left w:val="single" w:sz="4" w:space="0" w:color="auto"/>
            </w:tcBorders>
            <w:tcMar>
              <w:left w:w="108" w:type="dxa"/>
              <w:right w:w="108" w:type="dxa"/>
            </w:tcMar>
          </w:tcPr>
          <w:p w14:paraId="4C2BBC44" w14:textId="77777777" w:rsidR="00806F83" w:rsidRPr="00D30AF7" w:rsidRDefault="00806F83" w:rsidP="005A6959">
            <w:pPr>
              <w:pStyle w:val="UtilComTabletext"/>
              <w:jc w:val="right"/>
            </w:pPr>
            <w:r w:rsidRPr="00D30AF7">
              <w:t xml:space="preserve"> 80.38 </w:t>
            </w:r>
          </w:p>
        </w:tc>
        <w:tc>
          <w:tcPr>
            <w:tcW w:w="1191" w:type="dxa"/>
            <w:tcMar>
              <w:left w:w="108" w:type="dxa"/>
              <w:right w:w="108" w:type="dxa"/>
            </w:tcMar>
          </w:tcPr>
          <w:p w14:paraId="44E25917" w14:textId="77777777" w:rsidR="00806F83" w:rsidRPr="00D30AF7" w:rsidRDefault="00806F83" w:rsidP="005A6959">
            <w:pPr>
              <w:pStyle w:val="UtilComTabletext"/>
              <w:jc w:val="right"/>
            </w:pPr>
            <w:r w:rsidRPr="00D30AF7">
              <w:t xml:space="preserve"> 91.08 </w:t>
            </w:r>
          </w:p>
        </w:tc>
        <w:tc>
          <w:tcPr>
            <w:tcW w:w="1191" w:type="dxa"/>
            <w:tcMar>
              <w:left w:w="108" w:type="dxa"/>
              <w:right w:w="108" w:type="dxa"/>
            </w:tcMar>
          </w:tcPr>
          <w:p w14:paraId="3A809FC6" w14:textId="77777777" w:rsidR="00806F83" w:rsidRPr="00D30AF7" w:rsidRDefault="00806F83" w:rsidP="00617FD9">
            <w:pPr>
              <w:pStyle w:val="UtilComTabletext"/>
              <w:jc w:val="right"/>
            </w:pPr>
            <w:r w:rsidRPr="00D30AF7">
              <w:t xml:space="preserve"> 77.49 </w:t>
            </w:r>
          </w:p>
        </w:tc>
        <w:tc>
          <w:tcPr>
            <w:tcW w:w="1191" w:type="dxa"/>
            <w:tcMar>
              <w:left w:w="108" w:type="dxa"/>
              <w:right w:w="108" w:type="dxa"/>
            </w:tcMar>
          </w:tcPr>
          <w:p w14:paraId="737E2F4A" w14:textId="77777777" w:rsidR="00806F83" w:rsidRPr="00D30AF7" w:rsidRDefault="00806F83" w:rsidP="00AB27EE">
            <w:pPr>
              <w:pStyle w:val="UtilComTabletext"/>
              <w:jc w:val="right"/>
            </w:pPr>
            <w:r w:rsidRPr="00D30AF7">
              <w:t xml:space="preserve"> 103.44 </w:t>
            </w:r>
          </w:p>
        </w:tc>
        <w:tc>
          <w:tcPr>
            <w:tcW w:w="1191" w:type="dxa"/>
            <w:tcMar>
              <w:left w:w="108" w:type="dxa"/>
              <w:right w:w="108" w:type="dxa"/>
            </w:tcMar>
          </w:tcPr>
          <w:p w14:paraId="4AE92B35" w14:textId="77777777" w:rsidR="00806F83" w:rsidRDefault="00806F83" w:rsidP="00A549BB">
            <w:pPr>
              <w:pStyle w:val="UtilComTabletext"/>
              <w:jc w:val="right"/>
            </w:pPr>
            <w:r w:rsidRPr="00D30AF7">
              <w:t xml:space="preserve"> 93.22 </w:t>
            </w:r>
          </w:p>
        </w:tc>
      </w:tr>
      <w:tr w:rsidR="00806F83" w:rsidRPr="008A4655" w14:paraId="1247EC8D" w14:textId="77777777" w:rsidTr="005A6959">
        <w:trPr>
          <w:cantSplit/>
          <w:trHeight w:val="360"/>
        </w:trPr>
        <w:tc>
          <w:tcPr>
            <w:tcW w:w="2068" w:type="dxa"/>
            <w:tcBorders>
              <w:bottom w:val="single" w:sz="4" w:space="0" w:color="999999"/>
              <w:right w:val="single" w:sz="4" w:space="0" w:color="auto"/>
            </w:tcBorders>
          </w:tcPr>
          <w:p w14:paraId="15830A83" w14:textId="77777777" w:rsidR="00806F83" w:rsidRDefault="00806F83" w:rsidP="00C8408A">
            <w:pPr>
              <w:pStyle w:val="UtilComTabletext"/>
            </w:pPr>
            <w:r>
              <w:t>Regulatory depreciation</w:t>
            </w:r>
          </w:p>
        </w:tc>
        <w:tc>
          <w:tcPr>
            <w:tcW w:w="1191" w:type="dxa"/>
            <w:tcBorders>
              <w:left w:val="single" w:sz="4" w:space="0" w:color="auto"/>
              <w:bottom w:val="single" w:sz="4" w:space="0" w:color="999999"/>
              <w:right w:val="single" w:sz="4" w:space="0" w:color="auto"/>
            </w:tcBorders>
            <w:tcMar>
              <w:left w:w="108" w:type="dxa"/>
              <w:right w:w="108" w:type="dxa"/>
            </w:tcMar>
          </w:tcPr>
          <w:p w14:paraId="5F36F112" w14:textId="77777777" w:rsidR="00806F83" w:rsidRDefault="00826E88" w:rsidP="005A6959">
            <w:pPr>
              <w:pStyle w:val="UtilComTabletext"/>
              <w:jc w:val="right"/>
            </w:pPr>
            <w:r>
              <w:t>15.56</w:t>
            </w:r>
          </w:p>
        </w:tc>
        <w:tc>
          <w:tcPr>
            <w:tcW w:w="1191" w:type="dxa"/>
            <w:tcBorders>
              <w:left w:val="single" w:sz="4" w:space="0" w:color="auto"/>
              <w:bottom w:val="single" w:sz="4" w:space="0" w:color="999999"/>
            </w:tcBorders>
            <w:tcMar>
              <w:left w:w="108" w:type="dxa"/>
              <w:right w:w="108" w:type="dxa"/>
            </w:tcMar>
          </w:tcPr>
          <w:p w14:paraId="59CB2331" w14:textId="77777777" w:rsidR="00806F83" w:rsidRPr="00366416" w:rsidRDefault="00806F83" w:rsidP="005A6959">
            <w:pPr>
              <w:pStyle w:val="UtilComTabletext"/>
              <w:jc w:val="right"/>
            </w:pPr>
            <w:r>
              <w:t>-</w:t>
            </w:r>
            <w:r w:rsidR="00656823">
              <w:t xml:space="preserve"> </w:t>
            </w:r>
            <w:r w:rsidRPr="00366416">
              <w:t xml:space="preserve">10.11 </w:t>
            </w:r>
          </w:p>
        </w:tc>
        <w:tc>
          <w:tcPr>
            <w:tcW w:w="1191" w:type="dxa"/>
            <w:tcBorders>
              <w:bottom w:val="single" w:sz="4" w:space="0" w:color="999999"/>
            </w:tcBorders>
            <w:tcMar>
              <w:left w:w="108" w:type="dxa"/>
              <w:right w:w="108" w:type="dxa"/>
            </w:tcMar>
          </w:tcPr>
          <w:p w14:paraId="6111FEF7" w14:textId="77777777" w:rsidR="00806F83" w:rsidRPr="00366416" w:rsidRDefault="00806F83" w:rsidP="005A6959">
            <w:pPr>
              <w:pStyle w:val="UtilComTabletext"/>
              <w:jc w:val="right"/>
            </w:pPr>
            <w:r>
              <w:t>-</w:t>
            </w:r>
            <w:r w:rsidR="00656823">
              <w:t xml:space="preserve"> </w:t>
            </w:r>
            <w:r w:rsidRPr="00366416">
              <w:t xml:space="preserve">6.75 </w:t>
            </w:r>
          </w:p>
        </w:tc>
        <w:tc>
          <w:tcPr>
            <w:tcW w:w="1191" w:type="dxa"/>
            <w:tcBorders>
              <w:bottom w:val="single" w:sz="4" w:space="0" w:color="999999"/>
            </w:tcBorders>
            <w:tcMar>
              <w:left w:w="108" w:type="dxa"/>
              <w:right w:w="108" w:type="dxa"/>
            </w:tcMar>
          </w:tcPr>
          <w:p w14:paraId="0A6F46B7" w14:textId="77777777" w:rsidR="00806F83" w:rsidRPr="00366416" w:rsidRDefault="00806F83" w:rsidP="00656823">
            <w:pPr>
              <w:pStyle w:val="UtilComTabletext"/>
              <w:jc w:val="right"/>
            </w:pPr>
            <w:r>
              <w:t>-</w:t>
            </w:r>
            <w:r w:rsidR="00656823">
              <w:t xml:space="preserve"> </w:t>
            </w:r>
            <w:r w:rsidRPr="00366416">
              <w:t xml:space="preserve">12.57 </w:t>
            </w:r>
          </w:p>
        </w:tc>
        <w:tc>
          <w:tcPr>
            <w:tcW w:w="1191" w:type="dxa"/>
            <w:tcBorders>
              <w:bottom w:val="single" w:sz="4" w:space="0" w:color="999999"/>
            </w:tcBorders>
            <w:tcMar>
              <w:left w:w="108" w:type="dxa"/>
              <w:right w:w="108" w:type="dxa"/>
            </w:tcMar>
          </w:tcPr>
          <w:p w14:paraId="69F88D0E" w14:textId="77777777" w:rsidR="00806F83" w:rsidRPr="00366416" w:rsidRDefault="00806F83" w:rsidP="00656823">
            <w:pPr>
              <w:pStyle w:val="UtilComTabletext"/>
              <w:jc w:val="right"/>
            </w:pPr>
            <w:r>
              <w:t>-</w:t>
            </w:r>
            <w:r w:rsidR="00656823">
              <w:t xml:space="preserve"> </w:t>
            </w:r>
            <w:r w:rsidRPr="00366416">
              <w:t xml:space="preserve">4.87 </w:t>
            </w:r>
          </w:p>
        </w:tc>
        <w:tc>
          <w:tcPr>
            <w:tcW w:w="1191" w:type="dxa"/>
            <w:tcBorders>
              <w:bottom w:val="single" w:sz="4" w:space="0" w:color="999999"/>
            </w:tcBorders>
            <w:tcMar>
              <w:left w:w="108" w:type="dxa"/>
              <w:right w:w="108" w:type="dxa"/>
            </w:tcMar>
          </w:tcPr>
          <w:p w14:paraId="7F484339" w14:textId="77777777" w:rsidR="00806F83" w:rsidRPr="00366416" w:rsidRDefault="00806F83" w:rsidP="00656823">
            <w:pPr>
              <w:pStyle w:val="UtilComTabletext"/>
              <w:jc w:val="right"/>
            </w:pPr>
            <w:r>
              <w:t>-</w:t>
            </w:r>
            <w:r w:rsidR="00656823">
              <w:t xml:space="preserve"> </w:t>
            </w:r>
            <w:r w:rsidRPr="00366416">
              <w:t xml:space="preserve">5.28 </w:t>
            </w:r>
          </w:p>
        </w:tc>
      </w:tr>
      <w:tr w:rsidR="00806F83" w:rsidRPr="008A4655" w14:paraId="23749440" w14:textId="77777777" w:rsidTr="005A6959">
        <w:trPr>
          <w:cantSplit/>
          <w:trHeight w:val="360"/>
        </w:trPr>
        <w:tc>
          <w:tcPr>
            <w:tcW w:w="2068" w:type="dxa"/>
            <w:tcBorders>
              <w:bottom w:val="single" w:sz="4" w:space="0" w:color="auto"/>
              <w:right w:val="single" w:sz="4" w:space="0" w:color="auto"/>
            </w:tcBorders>
          </w:tcPr>
          <w:p w14:paraId="6C4AA706" w14:textId="054B76FA" w:rsidR="00806F83" w:rsidRDefault="00806F83" w:rsidP="007669D5">
            <w:pPr>
              <w:pStyle w:val="UtilComTabletext"/>
            </w:pPr>
            <w:bookmarkStart w:id="110" w:name="OLE_LINK1"/>
            <w:r w:rsidRPr="006137AA">
              <w:t xml:space="preserve">Difference between forecast and actual </w:t>
            </w:r>
            <w:r>
              <w:t xml:space="preserve">for last year of </w:t>
            </w:r>
            <w:r w:rsidR="007669D5">
              <w:t xml:space="preserve">2004-09 </w:t>
            </w:r>
            <w:r>
              <w:t>regulatory control period</w:t>
            </w:r>
            <w:bookmarkEnd w:id="110"/>
          </w:p>
        </w:tc>
        <w:tc>
          <w:tcPr>
            <w:tcW w:w="1191" w:type="dxa"/>
            <w:tcBorders>
              <w:left w:val="single" w:sz="4" w:space="0" w:color="auto"/>
              <w:bottom w:val="single" w:sz="4" w:space="0" w:color="auto"/>
              <w:right w:val="single" w:sz="4" w:space="0" w:color="auto"/>
            </w:tcBorders>
            <w:tcMar>
              <w:left w:w="108" w:type="dxa"/>
              <w:right w:w="108" w:type="dxa"/>
            </w:tcMar>
          </w:tcPr>
          <w:p w14:paraId="06F68E2A" w14:textId="77777777" w:rsidR="00806F83" w:rsidRPr="00366416" w:rsidRDefault="00826E88" w:rsidP="005A6959">
            <w:pPr>
              <w:pStyle w:val="UtilComTabletext"/>
              <w:jc w:val="right"/>
            </w:pPr>
            <w:r>
              <w:t>13.40</w:t>
            </w:r>
          </w:p>
        </w:tc>
        <w:tc>
          <w:tcPr>
            <w:tcW w:w="1191" w:type="dxa"/>
            <w:tcBorders>
              <w:left w:val="single" w:sz="4" w:space="0" w:color="auto"/>
              <w:bottom w:val="single" w:sz="4" w:space="0" w:color="auto"/>
            </w:tcBorders>
            <w:tcMar>
              <w:left w:w="108" w:type="dxa"/>
              <w:right w:w="108" w:type="dxa"/>
            </w:tcMar>
          </w:tcPr>
          <w:p w14:paraId="3BB893D6" w14:textId="77777777" w:rsidR="00806F83" w:rsidRPr="00366416" w:rsidRDefault="00806F83" w:rsidP="005A6959">
            <w:pPr>
              <w:pStyle w:val="UtilComTabletext"/>
              <w:jc w:val="right"/>
            </w:pPr>
          </w:p>
        </w:tc>
        <w:tc>
          <w:tcPr>
            <w:tcW w:w="1191" w:type="dxa"/>
            <w:tcBorders>
              <w:bottom w:val="single" w:sz="4" w:space="0" w:color="auto"/>
            </w:tcBorders>
            <w:tcMar>
              <w:left w:w="108" w:type="dxa"/>
              <w:right w:w="108" w:type="dxa"/>
            </w:tcMar>
          </w:tcPr>
          <w:p w14:paraId="330C4386" w14:textId="77777777" w:rsidR="00806F83" w:rsidRPr="00366416" w:rsidRDefault="00806F83" w:rsidP="005A6959">
            <w:pPr>
              <w:pStyle w:val="UtilComTabletext"/>
              <w:jc w:val="right"/>
            </w:pPr>
          </w:p>
        </w:tc>
        <w:tc>
          <w:tcPr>
            <w:tcW w:w="1191" w:type="dxa"/>
            <w:tcBorders>
              <w:bottom w:val="single" w:sz="4" w:space="0" w:color="auto"/>
            </w:tcBorders>
            <w:tcMar>
              <w:left w:w="108" w:type="dxa"/>
              <w:right w:w="108" w:type="dxa"/>
            </w:tcMar>
          </w:tcPr>
          <w:p w14:paraId="788729CB" w14:textId="77777777" w:rsidR="00806F83" w:rsidRPr="00366416" w:rsidRDefault="00806F83" w:rsidP="00617FD9">
            <w:pPr>
              <w:pStyle w:val="UtilComTabletext"/>
              <w:jc w:val="right"/>
            </w:pPr>
          </w:p>
        </w:tc>
        <w:tc>
          <w:tcPr>
            <w:tcW w:w="1191" w:type="dxa"/>
            <w:tcBorders>
              <w:bottom w:val="single" w:sz="4" w:space="0" w:color="auto"/>
            </w:tcBorders>
            <w:tcMar>
              <w:left w:w="108" w:type="dxa"/>
              <w:right w:w="108" w:type="dxa"/>
            </w:tcMar>
          </w:tcPr>
          <w:p w14:paraId="745B40D6" w14:textId="77777777" w:rsidR="00806F83" w:rsidRPr="00366416" w:rsidRDefault="00806F83" w:rsidP="00AB27EE">
            <w:pPr>
              <w:pStyle w:val="UtilComTabletext"/>
              <w:jc w:val="right"/>
            </w:pPr>
          </w:p>
        </w:tc>
        <w:tc>
          <w:tcPr>
            <w:tcW w:w="1191" w:type="dxa"/>
            <w:tcBorders>
              <w:bottom w:val="single" w:sz="4" w:space="0" w:color="auto"/>
            </w:tcBorders>
            <w:tcMar>
              <w:left w:w="108" w:type="dxa"/>
              <w:right w:w="108" w:type="dxa"/>
            </w:tcMar>
          </w:tcPr>
          <w:p w14:paraId="6BD347C0" w14:textId="77777777" w:rsidR="00806F83" w:rsidRPr="00366416" w:rsidRDefault="00806F83" w:rsidP="00A549BB">
            <w:pPr>
              <w:pStyle w:val="UtilComTabletext"/>
              <w:jc w:val="right"/>
            </w:pPr>
            <w:r>
              <w:t>-</w:t>
            </w:r>
            <w:r w:rsidR="00656823">
              <w:t xml:space="preserve"> </w:t>
            </w:r>
            <w:r>
              <w:t>4.48</w:t>
            </w:r>
          </w:p>
        </w:tc>
      </w:tr>
      <w:tr w:rsidR="00806F83" w:rsidRPr="00EE5A08" w14:paraId="1FBCE80F" w14:textId="77777777" w:rsidTr="005A6959">
        <w:trPr>
          <w:cantSplit/>
          <w:trHeight w:val="360"/>
        </w:trPr>
        <w:tc>
          <w:tcPr>
            <w:tcW w:w="2068" w:type="dxa"/>
            <w:tcBorders>
              <w:top w:val="single" w:sz="4" w:space="0" w:color="auto"/>
              <w:right w:val="single" w:sz="4" w:space="0" w:color="auto"/>
            </w:tcBorders>
          </w:tcPr>
          <w:p w14:paraId="4A682CB2" w14:textId="77777777" w:rsidR="00806F83" w:rsidRPr="00EE5A08" w:rsidRDefault="00806F83" w:rsidP="00C8408A">
            <w:pPr>
              <w:pStyle w:val="UtilComTabletext"/>
              <w:rPr>
                <w:b/>
              </w:rPr>
            </w:pPr>
            <w:r w:rsidRPr="00EE5A08">
              <w:rPr>
                <w:b/>
              </w:rPr>
              <w:t>Closing balance</w:t>
            </w:r>
          </w:p>
        </w:tc>
        <w:tc>
          <w:tcPr>
            <w:tcW w:w="1191" w:type="dxa"/>
            <w:tcBorders>
              <w:top w:val="single" w:sz="4" w:space="0" w:color="auto"/>
              <w:left w:val="single" w:sz="4" w:space="0" w:color="auto"/>
              <w:right w:val="single" w:sz="4" w:space="0" w:color="auto"/>
            </w:tcBorders>
            <w:tcMar>
              <w:left w:w="108" w:type="dxa"/>
              <w:right w:w="108" w:type="dxa"/>
            </w:tcMar>
          </w:tcPr>
          <w:p w14:paraId="19879384" w14:textId="77777777" w:rsidR="00806F83" w:rsidRPr="00E12B7E" w:rsidRDefault="00826E88" w:rsidP="005A6959">
            <w:pPr>
              <w:pStyle w:val="UtilComTabletext"/>
              <w:jc w:val="right"/>
              <w:rPr>
                <w:b/>
              </w:rPr>
            </w:pPr>
            <w:r>
              <w:rPr>
                <w:b/>
              </w:rPr>
              <w:t>514.80</w:t>
            </w:r>
          </w:p>
        </w:tc>
        <w:tc>
          <w:tcPr>
            <w:tcW w:w="1191" w:type="dxa"/>
            <w:tcBorders>
              <w:top w:val="single" w:sz="4" w:space="0" w:color="auto"/>
              <w:left w:val="single" w:sz="4" w:space="0" w:color="auto"/>
            </w:tcBorders>
            <w:tcMar>
              <w:left w:w="108" w:type="dxa"/>
              <w:right w:w="108" w:type="dxa"/>
            </w:tcMar>
          </w:tcPr>
          <w:p w14:paraId="0132E32F" w14:textId="77777777" w:rsidR="00806F83" w:rsidRPr="00E12B7E" w:rsidRDefault="00806F83" w:rsidP="005A6959">
            <w:pPr>
              <w:pStyle w:val="UtilComTabletext"/>
              <w:jc w:val="right"/>
              <w:rPr>
                <w:b/>
              </w:rPr>
            </w:pPr>
            <w:r w:rsidRPr="00E12B7E">
              <w:rPr>
                <w:b/>
              </w:rPr>
              <w:t xml:space="preserve"> 585.07 </w:t>
            </w:r>
          </w:p>
        </w:tc>
        <w:tc>
          <w:tcPr>
            <w:tcW w:w="1191" w:type="dxa"/>
            <w:tcBorders>
              <w:top w:val="single" w:sz="4" w:space="0" w:color="auto"/>
            </w:tcBorders>
            <w:tcMar>
              <w:left w:w="108" w:type="dxa"/>
              <w:right w:w="108" w:type="dxa"/>
            </w:tcMar>
          </w:tcPr>
          <w:p w14:paraId="18422658" w14:textId="77777777" w:rsidR="00806F83" w:rsidRPr="00E12B7E" w:rsidRDefault="00806F83" w:rsidP="005A6959">
            <w:pPr>
              <w:pStyle w:val="UtilComTabletext"/>
              <w:jc w:val="right"/>
              <w:rPr>
                <w:b/>
              </w:rPr>
            </w:pPr>
            <w:r w:rsidRPr="00E12B7E">
              <w:rPr>
                <w:b/>
              </w:rPr>
              <w:t xml:space="preserve"> 669.40 </w:t>
            </w:r>
          </w:p>
        </w:tc>
        <w:tc>
          <w:tcPr>
            <w:tcW w:w="1191" w:type="dxa"/>
            <w:tcBorders>
              <w:top w:val="single" w:sz="4" w:space="0" w:color="auto"/>
            </w:tcBorders>
            <w:tcMar>
              <w:left w:w="108" w:type="dxa"/>
              <w:right w:w="108" w:type="dxa"/>
            </w:tcMar>
          </w:tcPr>
          <w:p w14:paraId="3CC5AE26" w14:textId="77777777" w:rsidR="00806F83" w:rsidRPr="00E12B7E" w:rsidRDefault="00806F83" w:rsidP="00617FD9">
            <w:pPr>
              <w:pStyle w:val="UtilComTabletext"/>
              <w:jc w:val="right"/>
              <w:rPr>
                <w:b/>
              </w:rPr>
            </w:pPr>
            <w:r w:rsidRPr="00E12B7E">
              <w:rPr>
                <w:b/>
              </w:rPr>
              <w:t xml:space="preserve"> 734.32 </w:t>
            </w:r>
          </w:p>
        </w:tc>
        <w:tc>
          <w:tcPr>
            <w:tcW w:w="1191" w:type="dxa"/>
            <w:tcBorders>
              <w:top w:val="single" w:sz="4" w:space="0" w:color="auto"/>
            </w:tcBorders>
            <w:tcMar>
              <w:left w:w="108" w:type="dxa"/>
              <w:right w:w="108" w:type="dxa"/>
            </w:tcMar>
          </w:tcPr>
          <w:p w14:paraId="06B6C548" w14:textId="77777777" w:rsidR="00806F83" w:rsidRPr="00E12B7E" w:rsidRDefault="00806F83" w:rsidP="00AB27EE">
            <w:pPr>
              <w:pStyle w:val="UtilComTabletext"/>
              <w:jc w:val="right"/>
              <w:rPr>
                <w:b/>
              </w:rPr>
            </w:pPr>
            <w:r w:rsidRPr="00E12B7E">
              <w:rPr>
                <w:b/>
              </w:rPr>
              <w:t xml:space="preserve"> 832.89 </w:t>
            </w:r>
          </w:p>
        </w:tc>
        <w:tc>
          <w:tcPr>
            <w:tcW w:w="1191" w:type="dxa"/>
            <w:tcBorders>
              <w:top w:val="single" w:sz="4" w:space="0" w:color="auto"/>
            </w:tcBorders>
            <w:tcMar>
              <w:left w:w="108" w:type="dxa"/>
              <w:right w:w="108" w:type="dxa"/>
            </w:tcMar>
          </w:tcPr>
          <w:p w14:paraId="2CBB1261" w14:textId="77777777" w:rsidR="00806F83" w:rsidRPr="00E12B7E" w:rsidRDefault="00806F83" w:rsidP="00A549BB">
            <w:pPr>
              <w:pStyle w:val="UtilComTabletext"/>
              <w:jc w:val="right"/>
              <w:rPr>
                <w:b/>
              </w:rPr>
            </w:pPr>
            <w:r w:rsidRPr="00E12B7E">
              <w:rPr>
                <w:b/>
              </w:rPr>
              <w:t xml:space="preserve"> 9</w:t>
            </w:r>
            <w:r>
              <w:rPr>
                <w:b/>
              </w:rPr>
              <w:t>16</w:t>
            </w:r>
            <w:r w:rsidRPr="00E12B7E">
              <w:rPr>
                <w:b/>
              </w:rPr>
              <w:t>.</w:t>
            </w:r>
            <w:r>
              <w:rPr>
                <w:b/>
              </w:rPr>
              <w:t>35</w:t>
            </w:r>
            <w:r w:rsidRPr="00E12B7E">
              <w:rPr>
                <w:b/>
              </w:rPr>
              <w:t xml:space="preserve"> </w:t>
            </w:r>
          </w:p>
        </w:tc>
      </w:tr>
      <w:tr w:rsidR="00806F83" w:rsidRPr="008A4655" w14:paraId="4388998C" w14:textId="77777777" w:rsidTr="005A6959">
        <w:trPr>
          <w:cantSplit/>
          <w:trHeight w:val="360"/>
        </w:trPr>
        <w:tc>
          <w:tcPr>
            <w:tcW w:w="2068" w:type="dxa"/>
            <w:tcBorders>
              <w:right w:val="single" w:sz="4" w:space="0" w:color="auto"/>
            </w:tcBorders>
          </w:tcPr>
          <w:p w14:paraId="2D1F529B" w14:textId="77777777" w:rsidR="00806F83" w:rsidRDefault="00806F83" w:rsidP="00C8408A">
            <w:pPr>
              <w:pStyle w:val="UtilComTabletext"/>
            </w:pPr>
            <w:r>
              <w:t>Contributed assets</w:t>
            </w:r>
          </w:p>
        </w:tc>
        <w:tc>
          <w:tcPr>
            <w:tcW w:w="1191" w:type="dxa"/>
            <w:tcBorders>
              <w:left w:val="single" w:sz="4" w:space="0" w:color="auto"/>
              <w:right w:val="single" w:sz="4" w:space="0" w:color="auto"/>
            </w:tcBorders>
            <w:tcMar>
              <w:left w:w="108" w:type="dxa"/>
              <w:right w:w="108" w:type="dxa"/>
            </w:tcMar>
          </w:tcPr>
          <w:p w14:paraId="25B0BEE8" w14:textId="77777777" w:rsidR="00806F83" w:rsidRPr="00C86ED0" w:rsidRDefault="00826E88" w:rsidP="005A6959">
            <w:pPr>
              <w:pStyle w:val="UtilComTabletext"/>
              <w:jc w:val="right"/>
            </w:pPr>
            <w:r>
              <w:t>18.56</w:t>
            </w:r>
          </w:p>
        </w:tc>
        <w:tc>
          <w:tcPr>
            <w:tcW w:w="1191" w:type="dxa"/>
            <w:tcBorders>
              <w:left w:val="single" w:sz="4" w:space="0" w:color="auto"/>
            </w:tcBorders>
            <w:tcMar>
              <w:left w:w="108" w:type="dxa"/>
              <w:right w:w="108" w:type="dxa"/>
            </w:tcMar>
          </w:tcPr>
          <w:p w14:paraId="08987F69" w14:textId="77777777" w:rsidR="00806F83" w:rsidRPr="00C86ED0" w:rsidRDefault="00806F83" w:rsidP="005A6959">
            <w:pPr>
              <w:pStyle w:val="UtilComTabletext"/>
              <w:jc w:val="right"/>
            </w:pPr>
            <w:r w:rsidRPr="00C86ED0">
              <w:t xml:space="preserve"> 10.88 </w:t>
            </w:r>
          </w:p>
        </w:tc>
        <w:tc>
          <w:tcPr>
            <w:tcW w:w="1191" w:type="dxa"/>
            <w:tcMar>
              <w:left w:w="108" w:type="dxa"/>
              <w:right w:w="108" w:type="dxa"/>
            </w:tcMar>
          </w:tcPr>
          <w:p w14:paraId="5D5C8A4D" w14:textId="77777777" w:rsidR="00806F83" w:rsidRPr="00C86ED0" w:rsidRDefault="00806F83" w:rsidP="005A6959">
            <w:pPr>
              <w:pStyle w:val="UtilComTabletext"/>
              <w:jc w:val="right"/>
            </w:pPr>
            <w:r w:rsidRPr="00C86ED0">
              <w:t xml:space="preserve"> 7.31 </w:t>
            </w:r>
          </w:p>
        </w:tc>
        <w:tc>
          <w:tcPr>
            <w:tcW w:w="1191" w:type="dxa"/>
            <w:tcMar>
              <w:left w:w="108" w:type="dxa"/>
              <w:right w:w="108" w:type="dxa"/>
            </w:tcMar>
          </w:tcPr>
          <w:p w14:paraId="42329DCA" w14:textId="77777777" w:rsidR="00806F83" w:rsidRPr="00C86ED0" w:rsidRDefault="00806F83" w:rsidP="00617FD9">
            <w:pPr>
              <w:pStyle w:val="UtilComTabletext"/>
              <w:jc w:val="right"/>
            </w:pPr>
            <w:r w:rsidRPr="00C86ED0">
              <w:t xml:space="preserve"> 11.12 </w:t>
            </w:r>
          </w:p>
        </w:tc>
        <w:tc>
          <w:tcPr>
            <w:tcW w:w="1191" w:type="dxa"/>
            <w:tcMar>
              <w:left w:w="108" w:type="dxa"/>
              <w:right w:w="108" w:type="dxa"/>
            </w:tcMar>
          </w:tcPr>
          <w:p w14:paraId="2ADC24DA" w14:textId="77777777" w:rsidR="00806F83" w:rsidRPr="00C86ED0" w:rsidRDefault="00806F83" w:rsidP="00AB27EE">
            <w:pPr>
              <w:pStyle w:val="UtilComTabletext"/>
              <w:jc w:val="right"/>
            </w:pPr>
            <w:r w:rsidRPr="00C86ED0">
              <w:t xml:space="preserve"> 14.85 </w:t>
            </w:r>
          </w:p>
        </w:tc>
        <w:tc>
          <w:tcPr>
            <w:tcW w:w="1191" w:type="dxa"/>
            <w:tcMar>
              <w:left w:w="108" w:type="dxa"/>
              <w:right w:w="108" w:type="dxa"/>
            </w:tcMar>
          </w:tcPr>
          <w:p w14:paraId="5A7E8A32" w14:textId="77777777" w:rsidR="00806F83" w:rsidRDefault="00806F83" w:rsidP="00A549BB">
            <w:pPr>
              <w:pStyle w:val="UtilComTabletext"/>
              <w:jc w:val="right"/>
            </w:pPr>
            <w:r w:rsidRPr="00C86ED0">
              <w:t xml:space="preserve"> 9.64 </w:t>
            </w:r>
          </w:p>
        </w:tc>
      </w:tr>
      <w:tr w:rsidR="00806F83" w:rsidRPr="008A4655" w14:paraId="1635A9D5" w14:textId="77777777" w:rsidTr="005A6959">
        <w:trPr>
          <w:cantSplit/>
          <w:trHeight w:val="360"/>
        </w:trPr>
        <w:tc>
          <w:tcPr>
            <w:tcW w:w="2068" w:type="dxa"/>
            <w:tcBorders>
              <w:bottom w:val="single" w:sz="4" w:space="0" w:color="000000"/>
              <w:right w:val="single" w:sz="4" w:space="0" w:color="auto"/>
            </w:tcBorders>
          </w:tcPr>
          <w:p w14:paraId="6A777396" w14:textId="77777777" w:rsidR="00806F83" w:rsidRDefault="00806F83" w:rsidP="00C8408A">
            <w:pPr>
              <w:pStyle w:val="UtilComTabletext"/>
            </w:pPr>
            <w:r>
              <w:t>Inflation rate</w:t>
            </w:r>
          </w:p>
        </w:tc>
        <w:tc>
          <w:tcPr>
            <w:tcW w:w="1191" w:type="dxa"/>
            <w:tcBorders>
              <w:left w:val="single" w:sz="4" w:space="0" w:color="auto"/>
              <w:bottom w:val="single" w:sz="4" w:space="0" w:color="000000"/>
              <w:right w:val="single" w:sz="4" w:space="0" w:color="auto"/>
            </w:tcBorders>
            <w:tcMar>
              <w:left w:w="108" w:type="dxa"/>
              <w:right w:w="108" w:type="dxa"/>
            </w:tcMar>
          </w:tcPr>
          <w:p w14:paraId="039A38A2" w14:textId="77777777" w:rsidR="00806F83" w:rsidRPr="00DB64A7" w:rsidRDefault="00826E88" w:rsidP="005A6959">
            <w:pPr>
              <w:pStyle w:val="UtilComTabletext"/>
              <w:jc w:val="right"/>
            </w:pPr>
            <w:r>
              <w:t>3.75%</w:t>
            </w:r>
          </w:p>
        </w:tc>
        <w:tc>
          <w:tcPr>
            <w:tcW w:w="1191" w:type="dxa"/>
            <w:tcBorders>
              <w:left w:val="single" w:sz="4" w:space="0" w:color="auto"/>
              <w:bottom w:val="single" w:sz="4" w:space="0" w:color="000000"/>
            </w:tcBorders>
            <w:tcMar>
              <w:left w:w="108" w:type="dxa"/>
              <w:right w:w="108" w:type="dxa"/>
            </w:tcMar>
          </w:tcPr>
          <w:p w14:paraId="4E7B4AFC" w14:textId="77777777" w:rsidR="00806F83" w:rsidRPr="00DB64A7" w:rsidRDefault="00826E88" w:rsidP="005A6959">
            <w:pPr>
              <w:pStyle w:val="UtilComTabletext"/>
              <w:jc w:val="right"/>
            </w:pPr>
            <w:r>
              <w:t>2.35</w:t>
            </w:r>
            <w:r w:rsidR="00806F83" w:rsidRPr="00DB64A7">
              <w:t>%</w:t>
            </w:r>
          </w:p>
        </w:tc>
        <w:tc>
          <w:tcPr>
            <w:tcW w:w="1191" w:type="dxa"/>
            <w:tcBorders>
              <w:bottom w:val="single" w:sz="4" w:space="0" w:color="000000"/>
            </w:tcBorders>
            <w:tcMar>
              <w:left w:w="108" w:type="dxa"/>
              <w:right w:w="108" w:type="dxa"/>
            </w:tcMar>
          </w:tcPr>
          <w:p w14:paraId="6AF87EDC" w14:textId="77777777" w:rsidR="00806F83" w:rsidRPr="00DB64A7" w:rsidRDefault="00826E88" w:rsidP="005A6959">
            <w:pPr>
              <w:pStyle w:val="UtilComTabletext"/>
              <w:jc w:val="right"/>
            </w:pPr>
            <w:r>
              <w:t>3.11</w:t>
            </w:r>
            <w:r w:rsidR="00806F83" w:rsidRPr="00DB64A7">
              <w:t>%</w:t>
            </w:r>
          </w:p>
        </w:tc>
        <w:tc>
          <w:tcPr>
            <w:tcW w:w="1191" w:type="dxa"/>
            <w:tcBorders>
              <w:bottom w:val="single" w:sz="4" w:space="0" w:color="000000"/>
            </w:tcBorders>
            <w:tcMar>
              <w:left w:w="108" w:type="dxa"/>
              <w:right w:w="108" w:type="dxa"/>
            </w:tcMar>
          </w:tcPr>
          <w:p w14:paraId="5A27AB8A" w14:textId="77777777" w:rsidR="00806F83" w:rsidRPr="00DB64A7" w:rsidRDefault="00826E88" w:rsidP="00617FD9">
            <w:pPr>
              <w:pStyle w:val="UtilComTabletext"/>
              <w:jc w:val="right"/>
            </w:pPr>
            <w:r>
              <w:t>2.30</w:t>
            </w:r>
            <w:r w:rsidR="00806F83" w:rsidRPr="00DB64A7">
              <w:t>%</w:t>
            </w:r>
          </w:p>
        </w:tc>
        <w:tc>
          <w:tcPr>
            <w:tcW w:w="1191" w:type="dxa"/>
            <w:tcBorders>
              <w:bottom w:val="single" w:sz="4" w:space="0" w:color="000000"/>
            </w:tcBorders>
            <w:tcMar>
              <w:left w:w="108" w:type="dxa"/>
              <w:right w:w="108" w:type="dxa"/>
            </w:tcMar>
          </w:tcPr>
          <w:p w14:paraId="3EECC372" w14:textId="77777777" w:rsidR="00806F83" w:rsidRPr="00DB64A7" w:rsidRDefault="00826E88" w:rsidP="00AB27EE">
            <w:pPr>
              <w:pStyle w:val="UtilComTabletext"/>
              <w:jc w:val="right"/>
            </w:pPr>
            <w:r>
              <w:t>2.57</w:t>
            </w:r>
            <w:r w:rsidR="00806F83" w:rsidRPr="00DB64A7">
              <w:t>%</w:t>
            </w:r>
          </w:p>
        </w:tc>
        <w:tc>
          <w:tcPr>
            <w:tcW w:w="1191" w:type="dxa"/>
            <w:tcBorders>
              <w:bottom w:val="single" w:sz="4" w:space="0" w:color="000000"/>
            </w:tcBorders>
            <w:tcMar>
              <w:left w:w="108" w:type="dxa"/>
              <w:right w:w="108" w:type="dxa"/>
            </w:tcMar>
          </w:tcPr>
          <w:p w14:paraId="1C12BEFD" w14:textId="77777777" w:rsidR="00806F83" w:rsidRDefault="00826E88" w:rsidP="00A549BB">
            <w:pPr>
              <w:pStyle w:val="UtilComTabletext"/>
              <w:jc w:val="right"/>
            </w:pPr>
            <w:r>
              <w:t>2.66</w:t>
            </w:r>
            <w:r w:rsidR="00806F83" w:rsidRPr="00DB64A7">
              <w:t>%</w:t>
            </w:r>
          </w:p>
        </w:tc>
      </w:tr>
    </w:tbl>
    <w:p w14:paraId="23C11384" w14:textId="62AC84F5" w:rsidR="00806F83" w:rsidRPr="00E529C5" w:rsidRDefault="00E12B7E" w:rsidP="00E12B7E">
      <w:pPr>
        <w:pStyle w:val="UtilComReferenceSource"/>
        <w:rPr>
          <w:lang w:val="en-AU"/>
        </w:rPr>
      </w:pPr>
      <w:r>
        <w:rPr>
          <w:lang w:val="en-AU"/>
        </w:rPr>
        <w:t>Source: PWC</w:t>
      </w:r>
      <w:r w:rsidR="00D63D79">
        <w:rPr>
          <w:lang w:val="en-AU"/>
        </w:rPr>
        <w:t> Networks’ initial regulatory proposal,</w:t>
      </w:r>
      <w:r w:rsidR="00A3505A">
        <w:rPr>
          <w:lang w:val="en-AU"/>
        </w:rPr>
        <w:t xml:space="preserve"> </w:t>
      </w:r>
      <w:r w:rsidR="00A53BC2">
        <w:rPr>
          <w:lang w:val="en-AU"/>
        </w:rPr>
        <w:t>RFM (Commission preferred)</w:t>
      </w:r>
      <w:r>
        <w:rPr>
          <w:lang w:val="en-AU"/>
        </w:rPr>
        <w:t xml:space="preserve"> </w:t>
      </w:r>
      <w:r w:rsidR="00806F83">
        <w:rPr>
          <w:lang w:val="en-AU"/>
        </w:rPr>
        <w:br/>
      </w:r>
      <w:r w:rsidR="00806F83" w:rsidRPr="00BB4311">
        <w:rPr>
          <w:vertAlign w:val="superscript"/>
          <w:lang w:val="en-AU"/>
        </w:rPr>
        <w:t>(a)</w:t>
      </w:r>
      <w:r w:rsidR="00806F83">
        <w:rPr>
          <w:lang w:val="en-AU"/>
        </w:rPr>
        <w:t xml:space="preserve"> from 2009 Network Price Determination, </w:t>
      </w:r>
      <w:hyperlink r:id="rId27" w:history="1">
        <w:r w:rsidR="00806F83" w:rsidRPr="00826E88">
          <w:rPr>
            <w:rStyle w:val="Hyperlink"/>
            <w:lang w:val="en-AU"/>
          </w:rPr>
          <w:t>Po adjustment model</w:t>
        </w:r>
        <w:r w:rsidR="00826E88" w:rsidRPr="00826E88">
          <w:rPr>
            <w:rStyle w:val="Hyperlink"/>
            <w:lang w:val="en-AU"/>
          </w:rPr>
          <w:t xml:space="preserve"> FINAL</w:t>
        </w:r>
      </w:hyperlink>
      <w:r w:rsidR="00806F83">
        <w:rPr>
          <w:lang w:val="en-AU"/>
        </w:rPr>
        <w:t xml:space="preserve">, worksheet </w:t>
      </w:r>
      <w:r w:rsidR="00656823">
        <w:rPr>
          <w:lang w:val="en-AU"/>
        </w:rPr>
        <w:t>’</w:t>
      </w:r>
      <w:r w:rsidR="00826E88" w:rsidRPr="00826E88">
        <w:rPr>
          <w:lang w:val="en-AU"/>
        </w:rPr>
        <w:t>RAB Roll Forward</w:t>
      </w:r>
      <w:r w:rsidR="00656823">
        <w:rPr>
          <w:lang w:val="en-AU"/>
        </w:rPr>
        <w:t xml:space="preserve">‘, </w:t>
      </w:r>
      <w:r w:rsidR="00826E88">
        <w:rPr>
          <w:lang w:val="en-AU"/>
        </w:rPr>
        <w:t>2008-09 opening RAB $460.518</w:t>
      </w:r>
      <w:r w:rsidR="00656823">
        <w:rPr>
          <w:lang w:val="en-AU"/>
        </w:rPr>
        <w:t xml:space="preserve"> </w:t>
      </w:r>
      <w:r w:rsidR="00826E88">
        <w:rPr>
          <w:lang w:val="en-AU"/>
        </w:rPr>
        <w:t>m</w:t>
      </w:r>
      <w:r w:rsidR="00656823">
        <w:rPr>
          <w:lang w:val="en-AU"/>
        </w:rPr>
        <w:t>illion</w:t>
      </w:r>
      <w:r w:rsidR="00826E88">
        <w:rPr>
          <w:lang w:val="en-AU"/>
        </w:rPr>
        <w:t xml:space="preserve"> less streetlights $0.116</w:t>
      </w:r>
      <w:r w:rsidR="00656823">
        <w:rPr>
          <w:lang w:val="en-AU"/>
        </w:rPr>
        <w:t xml:space="preserve"> </w:t>
      </w:r>
      <w:r w:rsidR="00826E88">
        <w:rPr>
          <w:lang w:val="en-AU"/>
        </w:rPr>
        <w:t>m</w:t>
      </w:r>
      <w:r w:rsidR="00656823">
        <w:rPr>
          <w:lang w:val="en-AU"/>
        </w:rPr>
        <w:t>illion</w:t>
      </w:r>
    </w:p>
    <w:p w14:paraId="41167F34" w14:textId="36C0613D" w:rsidR="003F41F5" w:rsidRDefault="003F41F5" w:rsidP="003F41F5">
      <w:pPr>
        <w:pStyle w:val="UtilComHeading2"/>
      </w:pPr>
      <w:bookmarkStart w:id="111" w:name="_Toc385241481"/>
      <w:bookmarkStart w:id="112" w:name="_Toc386013034"/>
      <w:r>
        <w:t>Submissions</w:t>
      </w:r>
      <w:r w:rsidR="006A0368">
        <w:t xml:space="preserve"> on </w:t>
      </w:r>
      <w:r w:rsidR="00327F32">
        <w:t xml:space="preserve">Initial Regulatory </w:t>
      </w:r>
      <w:bookmarkEnd w:id="111"/>
      <w:r w:rsidR="00327F32">
        <w:t>Proposal</w:t>
      </w:r>
      <w:bookmarkEnd w:id="112"/>
    </w:p>
    <w:p w14:paraId="171AB5F9" w14:textId="09DA8657" w:rsidR="009D6F0A" w:rsidRDefault="009D6F0A" w:rsidP="0024206D">
      <w:pPr>
        <w:pStyle w:val="NumberLevel2"/>
        <w:numPr>
          <w:ilvl w:val="1"/>
          <w:numId w:val="5"/>
        </w:numPr>
        <w:tabs>
          <w:tab w:val="left" w:pos="709"/>
        </w:tabs>
        <w:ind w:left="709" w:hanging="709"/>
        <w:rPr>
          <w:lang w:val="en-AU"/>
        </w:rPr>
      </w:pPr>
      <w:r>
        <w:rPr>
          <w:lang w:val="en-AU"/>
        </w:rPr>
        <w:t xml:space="preserve">The </w:t>
      </w:r>
      <w:r w:rsidRPr="007F56B6">
        <w:rPr>
          <w:lang w:val="en-AU"/>
        </w:rPr>
        <w:t xml:space="preserve">NTMEU </w:t>
      </w:r>
      <w:r w:rsidR="00883391">
        <w:rPr>
          <w:lang w:val="en-AU"/>
        </w:rPr>
        <w:t xml:space="preserve">submitted </w:t>
      </w:r>
      <w:r w:rsidRPr="007F56B6">
        <w:rPr>
          <w:lang w:val="en-AU"/>
        </w:rPr>
        <w:t xml:space="preserve">that </w:t>
      </w:r>
      <w:r>
        <w:rPr>
          <w:lang w:val="en-AU"/>
        </w:rPr>
        <w:t xml:space="preserve">the opening RAB should be </w:t>
      </w:r>
      <w:r w:rsidR="00E529C5">
        <w:rPr>
          <w:lang w:val="en-AU"/>
        </w:rPr>
        <w:t>based</w:t>
      </w:r>
      <w:r>
        <w:rPr>
          <w:lang w:val="en-AU"/>
        </w:rPr>
        <w:t xml:space="preserve"> on a roll</w:t>
      </w:r>
      <w:r w:rsidR="00BA4273">
        <w:rPr>
          <w:lang w:val="en-AU"/>
        </w:rPr>
        <w:t xml:space="preserve"> </w:t>
      </w:r>
      <w:r>
        <w:rPr>
          <w:lang w:val="en-AU"/>
        </w:rPr>
        <w:t>for</w:t>
      </w:r>
      <w:r w:rsidR="00E529C5">
        <w:rPr>
          <w:lang w:val="en-AU"/>
        </w:rPr>
        <w:t>w</w:t>
      </w:r>
      <w:r>
        <w:rPr>
          <w:lang w:val="en-AU"/>
        </w:rPr>
        <w:t xml:space="preserve">ard of the </w:t>
      </w:r>
      <w:r w:rsidR="004D157E">
        <w:rPr>
          <w:lang w:val="en-AU"/>
        </w:rPr>
        <w:t>RAB</w:t>
      </w:r>
      <w:r>
        <w:rPr>
          <w:lang w:val="en-AU"/>
        </w:rPr>
        <w:t xml:space="preserve"> previously determined by the Commission</w:t>
      </w:r>
      <w:r w:rsidRPr="007F56B6">
        <w:rPr>
          <w:lang w:val="en-AU"/>
        </w:rPr>
        <w:t>.</w:t>
      </w:r>
    </w:p>
    <w:p w14:paraId="76C3E141" w14:textId="77777777" w:rsidR="009D6F0A" w:rsidRDefault="009D6F0A" w:rsidP="0024206D">
      <w:pPr>
        <w:pStyle w:val="NumberLevel2"/>
        <w:numPr>
          <w:ilvl w:val="1"/>
          <w:numId w:val="5"/>
        </w:numPr>
        <w:tabs>
          <w:tab w:val="left" w:pos="709"/>
        </w:tabs>
        <w:ind w:left="709" w:hanging="709"/>
        <w:rPr>
          <w:lang w:val="en-AU"/>
        </w:rPr>
      </w:pPr>
      <w:r>
        <w:rPr>
          <w:lang w:val="en-AU"/>
        </w:rPr>
        <w:t>The NTMEU argue</w:t>
      </w:r>
      <w:r w:rsidR="00883391">
        <w:rPr>
          <w:lang w:val="en-AU"/>
        </w:rPr>
        <w:t>d</w:t>
      </w:r>
      <w:r>
        <w:rPr>
          <w:lang w:val="en-AU"/>
        </w:rPr>
        <w:t xml:space="preserve"> that:</w:t>
      </w:r>
    </w:p>
    <w:p w14:paraId="53A5659C" w14:textId="77777777" w:rsidR="009D6F0A" w:rsidRPr="009D6F0A" w:rsidRDefault="009D6F0A" w:rsidP="004B63D8">
      <w:pPr>
        <w:pStyle w:val="UtilComQuotationText"/>
        <w:ind w:left="1134"/>
        <w:rPr>
          <w:lang w:val="en-AU"/>
        </w:rPr>
      </w:pPr>
      <w:r w:rsidRPr="009D6F0A">
        <w:rPr>
          <w:lang w:val="en-AU"/>
        </w:rPr>
        <w:t>The only reason to set the RAB using a DORC approach is</w:t>
      </w:r>
      <w:r w:rsidR="00E529C5">
        <w:rPr>
          <w:lang w:val="en-AU"/>
        </w:rPr>
        <w:t xml:space="preserve"> </w:t>
      </w:r>
      <w:r w:rsidRPr="009D6F0A">
        <w:rPr>
          <w:lang w:val="en-AU"/>
        </w:rPr>
        <w:t>because the historic value of the assets is unknown. This is the case when a vertically integrated</w:t>
      </w:r>
      <w:r w:rsidR="00E529C5">
        <w:rPr>
          <w:lang w:val="en-AU"/>
        </w:rPr>
        <w:t xml:space="preserve"> </w:t>
      </w:r>
      <w:r w:rsidRPr="009D6F0A">
        <w:rPr>
          <w:lang w:val="en-AU"/>
        </w:rPr>
        <w:t>firm cannot specifically point to the cost of the network assets it has provided in the past.</w:t>
      </w:r>
    </w:p>
    <w:p w14:paraId="0B37FA33" w14:textId="1DA35D03" w:rsidR="009D6F0A" w:rsidRDefault="009D6F0A" w:rsidP="004B63D8">
      <w:pPr>
        <w:pStyle w:val="UtilComQuotationText"/>
        <w:ind w:left="1134"/>
        <w:rPr>
          <w:lang w:val="en-AU"/>
        </w:rPr>
      </w:pPr>
      <w:r w:rsidRPr="009D6F0A">
        <w:rPr>
          <w:lang w:val="en-AU"/>
        </w:rPr>
        <w:t>However, the UC has previously determined an asset base and once set, needs no further</w:t>
      </w:r>
      <w:r w:rsidR="00E529C5">
        <w:rPr>
          <w:lang w:val="en-AU"/>
        </w:rPr>
        <w:t xml:space="preserve"> </w:t>
      </w:r>
      <w:r w:rsidRPr="009D6F0A">
        <w:rPr>
          <w:lang w:val="en-AU"/>
        </w:rPr>
        <w:t>reassessment.</w:t>
      </w:r>
      <w:r w:rsidR="0005098E">
        <w:rPr>
          <w:lang w:val="en-AU"/>
        </w:rPr>
        <w:t>(page.24</w:t>
      </w:r>
      <w:r w:rsidR="00045AA3">
        <w:rPr>
          <w:lang w:val="en-AU"/>
        </w:rPr>
        <w:t>)</w:t>
      </w:r>
    </w:p>
    <w:p w14:paraId="7D8638E9" w14:textId="77777777" w:rsidR="009D6F0A" w:rsidRDefault="00E529C5" w:rsidP="00BB4311">
      <w:pPr>
        <w:pStyle w:val="NumberLevel2"/>
        <w:numPr>
          <w:ilvl w:val="1"/>
          <w:numId w:val="5"/>
        </w:numPr>
        <w:tabs>
          <w:tab w:val="num" w:pos="709"/>
        </w:tabs>
        <w:spacing w:before="0"/>
        <w:ind w:left="709" w:hanging="709"/>
        <w:rPr>
          <w:lang w:val="en-AU"/>
        </w:rPr>
      </w:pPr>
      <w:r>
        <w:rPr>
          <w:lang w:val="en-AU"/>
        </w:rPr>
        <w:t>Further:</w:t>
      </w:r>
    </w:p>
    <w:p w14:paraId="2142404D" w14:textId="1A0B8129" w:rsidR="009D6F0A" w:rsidRDefault="00E529C5" w:rsidP="004B63D8">
      <w:pPr>
        <w:pStyle w:val="UtilComQuotationText"/>
        <w:ind w:left="1134"/>
        <w:rPr>
          <w:lang w:val="en-AU"/>
        </w:rPr>
      </w:pPr>
      <w:r w:rsidRPr="00E529C5">
        <w:rPr>
          <w:lang w:val="en-AU"/>
        </w:rPr>
        <w:t>The NTMEU does not agree that the PWC assets should be "re-DORCed" as this inappropriately</w:t>
      </w:r>
      <w:r>
        <w:rPr>
          <w:lang w:val="en-AU"/>
        </w:rPr>
        <w:t xml:space="preserve"> </w:t>
      </w:r>
      <w:r w:rsidRPr="00E529C5">
        <w:rPr>
          <w:lang w:val="en-AU"/>
        </w:rPr>
        <w:t>increases the value of the assets and that the previously agreed asset base should be rolled forward</w:t>
      </w:r>
      <w:r>
        <w:rPr>
          <w:lang w:val="en-AU"/>
        </w:rPr>
        <w:t xml:space="preserve"> </w:t>
      </w:r>
      <w:r w:rsidRPr="00E529C5">
        <w:rPr>
          <w:lang w:val="en-AU"/>
        </w:rPr>
        <w:t>as has been done in the past.</w:t>
      </w:r>
      <w:r w:rsidR="0005098E">
        <w:rPr>
          <w:lang w:val="en-AU"/>
        </w:rPr>
        <w:t xml:space="preserve"> (page.25</w:t>
      </w:r>
      <w:r w:rsidR="00045AA3">
        <w:rPr>
          <w:lang w:val="en-AU"/>
        </w:rPr>
        <w:t>)</w:t>
      </w:r>
    </w:p>
    <w:p w14:paraId="05A994FB" w14:textId="018E8451" w:rsidR="009D6F0A" w:rsidRPr="001911C2" w:rsidRDefault="009D6F0A" w:rsidP="0024206D">
      <w:pPr>
        <w:pStyle w:val="NumberLevel2"/>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 xml:space="preserve">submissions were received on </w:t>
      </w:r>
      <w:r w:rsidR="004D157E">
        <w:rPr>
          <w:lang w:val="en-AU"/>
        </w:rPr>
        <w:t xml:space="preserve">the value of </w:t>
      </w:r>
      <w:r w:rsidRPr="001911C2">
        <w:rPr>
          <w:lang w:val="en-AU"/>
        </w:rPr>
        <w:t xml:space="preserve">the </w:t>
      </w:r>
      <w:r w:rsidR="00331E22">
        <w:rPr>
          <w:lang w:val="en-AU"/>
        </w:rPr>
        <w:t>opening RAB</w:t>
      </w:r>
      <w:r>
        <w:rPr>
          <w:lang w:val="en-AU"/>
        </w:rPr>
        <w:t>.</w:t>
      </w:r>
    </w:p>
    <w:p w14:paraId="55C50DD7" w14:textId="1A501633" w:rsidR="003F41F5" w:rsidRDefault="003F41F5" w:rsidP="003F41F5">
      <w:pPr>
        <w:pStyle w:val="UtilComHeading2"/>
      </w:pPr>
      <w:bookmarkStart w:id="113" w:name="_Toc385241482"/>
      <w:bookmarkStart w:id="114" w:name="_Toc386013035"/>
      <w:r>
        <w:t xml:space="preserve">Issues and Commission’s </w:t>
      </w:r>
      <w:r w:rsidR="00327F32">
        <w:t xml:space="preserve">Initial </w:t>
      </w:r>
      <w:bookmarkEnd w:id="113"/>
      <w:r w:rsidR="00327F32">
        <w:t>Considerations</w:t>
      </w:r>
      <w:bookmarkEnd w:id="114"/>
    </w:p>
    <w:p w14:paraId="03B0D4D7" w14:textId="2B46C307" w:rsidR="003F41F5" w:rsidRDefault="00285FEA" w:rsidP="0024206D">
      <w:pPr>
        <w:pStyle w:val="NumberLevel2"/>
        <w:numPr>
          <w:ilvl w:val="1"/>
          <w:numId w:val="5"/>
        </w:numPr>
        <w:tabs>
          <w:tab w:val="num" w:pos="709"/>
        </w:tabs>
        <w:ind w:left="709" w:hanging="709"/>
        <w:rPr>
          <w:lang w:val="en-AU"/>
        </w:rPr>
      </w:pPr>
      <w:r w:rsidRPr="00285FEA">
        <w:rPr>
          <w:lang w:val="en-AU"/>
        </w:rPr>
        <w:t xml:space="preserve">A key aspect of any building block approach to </w:t>
      </w:r>
      <w:r w:rsidR="004D157E">
        <w:rPr>
          <w:lang w:val="en-AU"/>
        </w:rPr>
        <w:t xml:space="preserve">economic </w:t>
      </w:r>
      <w:r w:rsidRPr="00285FEA">
        <w:rPr>
          <w:lang w:val="en-AU"/>
        </w:rPr>
        <w:t xml:space="preserve">regulation </w:t>
      </w:r>
      <w:r w:rsidR="004D157E">
        <w:rPr>
          <w:lang w:val="en-AU"/>
        </w:rPr>
        <w:t xml:space="preserve">of regulated network access services </w:t>
      </w:r>
      <w:r w:rsidRPr="00285FEA">
        <w:rPr>
          <w:lang w:val="en-AU"/>
        </w:rPr>
        <w:t xml:space="preserve">is the value assigned to the opening RAB. The RAB has a substantial impact on </w:t>
      </w:r>
      <w:r w:rsidR="00E23A17">
        <w:rPr>
          <w:lang w:val="en-AU"/>
        </w:rPr>
        <w:t>reference</w:t>
      </w:r>
      <w:r w:rsidR="00E23A17" w:rsidRPr="00285FEA">
        <w:rPr>
          <w:lang w:val="en-AU"/>
        </w:rPr>
        <w:t xml:space="preserve"> </w:t>
      </w:r>
      <w:r w:rsidR="004D157E">
        <w:rPr>
          <w:lang w:val="en-AU"/>
        </w:rPr>
        <w:t>tariffs</w:t>
      </w:r>
      <w:r w:rsidR="004D157E" w:rsidRPr="00285FEA">
        <w:rPr>
          <w:lang w:val="en-AU"/>
        </w:rPr>
        <w:t xml:space="preserve"> </w:t>
      </w:r>
      <w:r w:rsidRPr="00285FEA">
        <w:rPr>
          <w:lang w:val="en-AU"/>
        </w:rPr>
        <w:t xml:space="preserve">through the return of capital (depreciation) and return on capital components of the </w:t>
      </w:r>
      <w:r w:rsidR="004D157E">
        <w:rPr>
          <w:lang w:val="en-AU"/>
        </w:rPr>
        <w:t>annual revenue requirement</w:t>
      </w:r>
      <w:r w:rsidRPr="00285FEA">
        <w:rPr>
          <w:lang w:val="en-AU"/>
        </w:rPr>
        <w:t>.</w:t>
      </w:r>
    </w:p>
    <w:p w14:paraId="31E1E684" w14:textId="0F6562B1" w:rsidR="00F248A5" w:rsidRDefault="006A3129" w:rsidP="0024206D">
      <w:pPr>
        <w:pStyle w:val="NumberLevel2"/>
        <w:numPr>
          <w:ilvl w:val="1"/>
          <w:numId w:val="5"/>
        </w:numPr>
        <w:tabs>
          <w:tab w:val="num" w:pos="709"/>
        </w:tabs>
        <w:ind w:left="709" w:hanging="709"/>
        <w:rPr>
          <w:lang w:val="en-AU"/>
        </w:rPr>
      </w:pPr>
      <w:r>
        <w:rPr>
          <w:lang w:val="en-AU"/>
        </w:rPr>
        <w:t xml:space="preserve">The Commission’s </w:t>
      </w:r>
      <w:r w:rsidR="004D157E">
        <w:rPr>
          <w:lang w:val="en-AU"/>
        </w:rPr>
        <w:t>Off Ramp</w:t>
      </w:r>
      <w:r>
        <w:rPr>
          <w:lang w:val="en-AU"/>
        </w:rPr>
        <w:t xml:space="preserve"> Decision was initiated because, </w:t>
      </w:r>
      <w:r w:rsidRPr="006A3129">
        <w:rPr>
          <w:lang w:val="en-AU"/>
        </w:rPr>
        <w:t xml:space="preserve">during the 2004 </w:t>
      </w:r>
      <w:r>
        <w:rPr>
          <w:lang w:val="en-AU"/>
        </w:rPr>
        <w:t>Network Price Determination process, PWC</w:t>
      </w:r>
      <w:r w:rsidRPr="006A3129">
        <w:rPr>
          <w:lang w:val="en-AU"/>
        </w:rPr>
        <w:t xml:space="preserve"> </w:t>
      </w:r>
      <w:r w:rsidR="00801FAE">
        <w:rPr>
          <w:lang w:val="en-AU"/>
        </w:rPr>
        <w:t xml:space="preserve">Networks </w:t>
      </w:r>
      <w:r w:rsidRPr="006A3129">
        <w:rPr>
          <w:lang w:val="en-AU"/>
        </w:rPr>
        <w:t xml:space="preserve">was unable to confirm the accuracy of its estimates of the </w:t>
      </w:r>
      <w:r>
        <w:rPr>
          <w:lang w:val="en-AU"/>
        </w:rPr>
        <w:t>D</w:t>
      </w:r>
      <w:r w:rsidR="00737971">
        <w:rPr>
          <w:lang w:val="en-AU"/>
        </w:rPr>
        <w:t>O</w:t>
      </w:r>
      <w:r>
        <w:rPr>
          <w:lang w:val="en-AU"/>
        </w:rPr>
        <w:t>RC</w:t>
      </w:r>
      <w:r w:rsidRPr="006A3129">
        <w:rPr>
          <w:lang w:val="en-AU"/>
        </w:rPr>
        <w:t xml:space="preserve"> value of the </w:t>
      </w:r>
      <w:r w:rsidR="004D157E">
        <w:rPr>
          <w:lang w:val="en-AU"/>
        </w:rPr>
        <w:t>electricity network</w:t>
      </w:r>
      <w:r w:rsidRPr="006A3129">
        <w:rPr>
          <w:lang w:val="en-AU"/>
        </w:rPr>
        <w:t xml:space="preserve"> that </w:t>
      </w:r>
      <w:r w:rsidR="004D157E">
        <w:rPr>
          <w:lang w:val="en-AU"/>
        </w:rPr>
        <w:t>was</w:t>
      </w:r>
      <w:r w:rsidR="004D157E" w:rsidRPr="006A3129">
        <w:rPr>
          <w:lang w:val="en-AU"/>
        </w:rPr>
        <w:t xml:space="preserve"> </w:t>
      </w:r>
      <w:r w:rsidRPr="006A3129">
        <w:rPr>
          <w:lang w:val="en-AU"/>
        </w:rPr>
        <w:t xml:space="preserve">in service on </w:t>
      </w:r>
      <w:r w:rsidR="006A0368" w:rsidRPr="006A3129">
        <w:rPr>
          <w:lang w:val="en-AU"/>
        </w:rPr>
        <w:t>1</w:t>
      </w:r>
      <w:r w:rsidR="006A0368">
        <w:rPr>
          <w:lang w:val="en-AU"/>
        </w:rPr>
        <w:t> </w:t>
      </w:r>
      <w:r w:rsidR="006A0368" w:rsidRPr="006A3129">
        <w:rPr>
          <w:lang w:val="en-AU"/>
        </w:rPr>
        <w:t>July</w:t>
      </w:r>
      <w:r w:rsidR="006A0368">
        <w:rPr>
          <w:lang w:val="en-AU"/>
        </w:rPr>
        <w:t> </w:t>
      </w:r>
      <w:r w:rsidRPr="006A3129">
        <w:rPr>
          <w:lang w:val="en-AU"/>
        </w:rPr>
        <w:t>1999 or the roll-forward</w:t>
      </w:r>
      <w:r>
        <w:rPr>
          <w:lang w:val="en-AU"/>
        </w:rPr>
        <w:t xml:space="preserve"> in these values to </w:t>
      </w:r>
      <w:r w:rsidR="006A0368">
        <w:rPr>
          <w:lang w:val="en-AU"/>
        </w:rPr>
        <w:t>1 July </w:t>
      </w:r>
      <w:r>
        <w:rPr>
          <w:lang w:val="en-AU"/>
        </w:rPr>
        <w:t>200</w:t>
      </w:r>
      <w:r w:rsidR="00737971">
        <w:rPr>
          <w:lang w:val="en-AU"/>
        </w:rPr>
        <w:t>4</w:t>
      </w:r>
      <w:r>
        <w:rPr>
          <w:lang w:val="en-AU"/>
        </w:rPr>
        <w:t>.</w:t>
      </w:r>
    </w:p>
    <w:p w14:paraId="42552873" w14:textId="04FC2FB4" w:rsidR="006A3129" w:rsidRPr="006A3129" w:rsidRDefault="00003986" w:rsidP="0024206D">
      <w:pPr>
        <w:pStyle w:val="NumberLevel2"/>
        <w:numPr>
          <w:ilvl w:val="1"/>
          <w:numId w:val="5"/>
        </w:numPr>
        <w:tabs>
          <w:tab w:val="num" w:pos="709"/>
        </w:tabs>
        <w:ind w:left="709" w:hanging="709"/>
        <w:rPr>
          <w:lang w:val="en-AU"/>
        </w:rPr>
      </w:pPr>
      <w:r>
        <w:rPr>
          <w:lang w:val="en-AU"/>
        </w:rPr>
        <w:t>As such, t</w:t>
      </w:r>
      <w:r w:rsidR="006A3129">
        <w:rPr>
          <w:lang w:val="en-AU"/>
        </w:rPr>
        <w:t xml:space="preserve">he Commission </w:t>
      </w:r>
      <w:r w:rsidR="00AC6617">
        <w:rPr>
          <w:lang w:val="en-AU"/>
        </w:rPr>
        <w:t xml:space="preserve">established a total </w:t>
      </w:r>
      <w:r w:rsidR="00464F29">
        <w:rPr>
          <w:lang w:val="en-AU"/>
        </w:rPr>
        <w:t xml:space="preserve">RAB </w:t>
      </w:r>
      <w:r w:rsidR="00AC6617">
        <w:rPr>
          <w:lang w:val="en-AU"/>
        </w:rPr>
        <w:t xml:space="preserve">value of </w:t>
      </w:r>
      <w:r w:rsidR="00AC6617" w:rsidRPr="00AC6617">
        <w:rPr>
          <w:lang w:val="en-AU"/>
        </w:rPr>
        <w:t>$350</w:t>
      </w:r>
      <w:r w:rsidR="006A0368">
        <w:rPr>
          <w:lang w:val="en-AU"/>
        </w:rPr>
        <w:t> </w:t>
      </w:r>
      <w:r w:rsidR="00AC6617" w:rsidRPr="00AC6617">
        <w:rPr>
          <w:lang w:val="en-AU"/>
        </w:rPr>
        <w:t xml:space="preserve">million (excluding gifted assets) as at </w:t>
      </w:r>
      <w:r w:rsidR="006A0368" w:rsidRPr="00AC6617">
        <w:rPr>
          <w:lang w:val="en-AU"/>
        </w:rPr>
        <w:t>1</w:t>
      </w:r>
      <w:r w:rsidR="006A0368">
        <w:rPr>
          <w:lang w:val="en-AU"/>
        </w:rPr>
        <w:t> </w:t>
      </w:r>
      <w:r w:rsidR="006A0368" w:rsidRPr="00AC6617">
        <w:rPr>
          <w:lang w:val="en-AU"/>
        </w:rPr>
        <w:t>July</w:t>
      </w:r>
      <w:r w:rsidR="006A0368">
        <w:t> </w:t>
      </w:r>
      <w:r w:rsidR="00AC6617" w:rsidRPr="00AC6617">
        <w:rPr>
          <w:lang w:val="en-AU"/>
        </w:rPr>
        <w:t xml:space="preserve">2002 (in </w:t>
      </w:r>
      <w:r w:rsidR="006A0368" w:rsidRPr="00AC6617">
        <w:rPr>
          <w:lang w:val="en-AU"/>
        </w:rPr>
        <w:t>July</w:t>
      </w:r>
      <w:r w:rsidR="006A0368">
        <w:rPr>
          <w:lang w:val="en-AU"/>
        </w:rPr>
        <w:t> </w:t>
      </w:r>
      <w:r w:rsidR="00AC6617" w:rsidRPr="00AC6617">
        <w:rPr>
          <w:lang w:val="en-AU"/>
        </w:rPr>
        <w:t>2002 dollars)</w:t>
      </w:r>
      <w:r w:rsidR="00AC6617">
        <w:rPr>
          <w:lang w:val="en-AU"/>
        </w:rPr>
        <w:t xml:space="preserve">, with PWC </w:t>
      </w:r>
      <w:r w:rsidR="00801FAE">
        <w:rPr>
          <w:lang w:val="en-AU"/>
        </w:rPr>
        <w:t xml:space="preserve">Networks </w:t>
      </w:r>
      <w:r w:rsidR="00AC6617">
        <w:rPr>
          <w:lang w:val="en-AU"/>
        </w:rPr>
        <w:t xml:space="preserve">allocating this across asset categories based on a pro-rata allocation in line with its best estimates of the existing </w:t>
      </w:r>
      <w:r w:rsidR="00464F29">
        <w:rPr>
          <w:lang w:val="en-AU"/>
        </w:rPr>
        <w:t>RAB</w:t>
      </w:r>
      <w:r w:rsidR="00AC6617">
        <w:rPr>
          <w:lang w:val="en-AU"/>
        </w:rPr>
        <w:t xml:space="preserve"> at that time. </w:t>
      </w:r>
    </w:p>
    <w:p w14:paraId="57FD9D17" w14:textId="42B3ED51" w:rsidR="00AC6617" w:rsidRDefault="00AC6617" w:rsidP="0024206D">
      <w:pPr>
        <w:pStyle w:val="NumberLevel2"/>
        <w:numPr>
          <w:ilvl w:val="1"/>
          <w:numId w:val="5"/>
        </w:numPr>
        <w:tabs>
          <w:tab w:val="num" w:pos="709"/>
        </w:tabs>
        <w:ind w:left="709" w:hanging="709"/>
        <w:rPr>
          <w:lang w:val="en-AU"/>
        </w:rPr>
      </w:pPr>
      <w:r>
        <w:rPr>
          <w:lang w:val="en-AU"/>
        </w:rPr>
        <w:t xml:space="preserve">The Commission </w:t>
      </w:r>
      <w:r w:rsidR="006A0368">
        <w:rPr>
          <w:lang w:val="en-AU"/>
        </w:rPr>
        <w:t xml:space="preserve">noted </w:t>
      </w:r>
      <w:r>
        <w:rPr>
          <w:lang w:val="en-AU"/>
        </w:rPr>
        <w:t>that t</w:t>
      </w:r>
      <w:r w:rsidRPr="00893060">
        <w:rPr>
          <w:lang w:val="en-AU"/>
        </w:rPr>
        <w:t xml:space="preserve">he </w:t>
      </w:r>
      <w:r w:rsidR="00497DE5">
        <w:rPr>
          <w:lang w:val="en-AU"/>
        </w:rPr>
        <w:t xml:space="preserve">DORC value for the opening RAB proposed by </w:t>
      </w:r>
      <w:r w:rsidR="00617FD9">
        <w:rPr>
          <w:lang w:val="en-AU"/>
        </w:rPr>
        <w:t>PWC </w:t>
      </w:r>
      <w:r w:rsidR="00497DE5">
        <w:rPr>
          <w:lang w:val="en-AU"/>
        </w:rPr>
        <w:t xml:space="preserve">Networks </w:t>
      </w:r>
      <w:r w:rsidR="00003986">
        <w:rPr>
          <w:lang w:val="en-AU"/>
        </w:rPr>
        <w:t xml:space="preserve">for 1 July 2014 </w:t>
      </w:r>
      <w:r w:rsidR="00464F29">
        <w:rPr>
          <w:lang w:val="en-AU"/>
        </w:rPr>
        <w:t xml:space="preserve">was </w:t>
      </w:r>
      <w:r w:rsidR="00497DE5">
        <w:rPr>
          <w:lang w:val="en-AU"/>
        </w:rPr>
        <w:t>not significantly greater than</w:t>
      </w:r>
      <w:r w:rsidRPr="00893060">
        <w:rPr>
          <w:lang w:val="en-AU"/>
        </w:rPr>
        <w:t xml:space="preserve"> the value obtained by rolling forward the RAB</w:t>
      </w:r>
      <w:r w:rsidR="00464F29">
        <w:rPr>
          <w:lang w:val="en-AU"/>
        </w:rPr>
        <w:t xml:space="preserve"> for the 2009-14 regulatory control period</w:t>
      </w:r>
      <w:r w:rsidRPr="00893060">
        <w:rPr>
          <w:lang w:val="en-AU"/>
        </w:rPr>
        <w:t>.</w:t>
      </w:r>
      <w:r>
        <w:rPr>
          <w:lang w:val="en-AU"/>
        </w:rPr>
        <w:t xml:space="preserve"> </w:t>
      </w:r>
    </w:p>
    <w:p w14:paraId="378068FA" w14:textId="1C4CE27C" w:rsidR="00D14154" w:rsidRPr="00D14154" w:rsidRDefault="00C826B2" w:rsidP="0024206D">
      <w:pPr>
        <w:pStyle w:val="NumberLevel2"/>
        <w:numPr>
          <w:ilvl w:val="1"/>
          <w:numId w:val="5"/>
        </w:numPr>
        <w:tabs>
          <w:tab w:val="num" w:pos="709"/>
        </w:tabs>
        <w:ind w:left="709" w:hanging="709"/>
        <w:rPr>
          <w:lang w:val="en-AU"/>
        </w:rPr>
      </w:pPr>
      <w:r w:rsidRPr="00D14154">
        <w:rPr>
          <w:lang w:val="en-AU"/>
        </w:rPr>
        <w:t>Given the small difference between the two outcomes, the Commission</w:t>
      </w:r>
      <w:r w:rsidR="00D14154" w:rsidRPr="00D14154">
        <w:rPr>
          <w:lang w:val="en-AU"/>
        </w:rPr>
        <w:t xml:space="preserve"> also considered the constitution of the RAB. In its </w:t>
      </w:r>
      <w:r w:rsidR="00464F29">
        <w:rPr>
          <w:lang w:val="en-AU"/>
        </w:rPr>
        <w:t>Off Ramp</w:t>
      </w:r>
      <w:r w:rsidR="00D14154" w:rsidRPr="00D14154">
        <w:rPr>
          <w:lang w:val="en-AU"/>
        </w:rPr>
        <w:t xml:space="preserve"> </w:t>
      </w:r>
      <w:r w:rsidR="00520A74" w:rsidRPr="00D14154">
        <w:rPr>
          <w:lang w:val="en-AU"/>
        </w:rPr>
        <w:t>Decision,</w:t>
      </w:r>
      <w:r w:rsidR="00D14154" w:rsidRPr="00D14154">
        <w:rPr>
          <w:lang w:val="en-AU"/>
        </w:rPr>
        <w:t xml:space="preserve"> the Commission only set an aggregate value for the total RAB. The Commission accepted the </w:t>
      </w:r>
      <w:r w:rsidRPr="00D14154">
        <w:rPr>
          <w:lang w:val="en-AU"/>
        </w:rPr>
        <w:t xml:space="preserve">disaggregation into asset classes </w:t>
      </w:r>
      <w:r w:rsidR="00D14154" w:rsidRPr="00D14154">
        <w:rPr>
          <w:lang w:val="en-AU"/>
        </w:rPr>
        <w:t>provided by PWC Networks, established on a</w:t>
      </w:r>
      <w:r w:rsidRPr="00D14154">
        <w:rPr>
          <w:lang w:val="en-AU"/>
        </w:rPr>
        <w:t xml:space="preserve"> ‘best endeavours’ </w:t>
      </w:r>
      <w:r w:rsidR="00617FD9">
        <w:rPr>
          <w:lang w:val="en-AU"/>
        </w:rPr>
        <w:t xml:space="preserve">basis, </w:t>
      </w:r>
      <w:r w:rsidRPr="00D14154">
        <w:rPr>
          <w:lang w:val="en-AU"/>
        </w:rPr>
        <w:t xml:space="preserve">based on information available at that time. </w:t>
      </w:r>
      <w:r w:rsidR="00D14154">
        <w:rPr>
          <w:lang w:val="en-AU"/>
        </w:rPr>
        <w:t xml:space="preserve">The SKM review </w:t>
      </w:r>
      <w:r w:rsidR="00872F22">
        <w:rPr>
          <w:lang w:val="en-AU"/>
        </w:rPr>
        <w:t xml:space="preserve">provides improved information on the constitution of the </w:t>
      </w:r>
      <w:r w:rsidR="00464F29">
        <w:rPr>
          <w:lang w:val="en-AU"/>
        </w:rPr>
        <w:t>RAB</w:t>
      </w:r>
      <w:r w:rsidR="00872F22">
        <w:rPr>
          <w:lang w:val="en-AU"/>
        </w:rPr>
        <w:t>.</w:t>
      </w:r>
    </w:p>
    <w:p w14:paraId="54480EB1" w14:textId="23AB5963" w:rsidR="00C826B2" w:rsidRDefault="00C826B2" w:rsidP="0024206D">
      <w:pPr>
        <w:pStyle w:val="NumberLevel2"/>
        <w:numPr>
          <w:ilvl w:val="1"/>
          <w:numId w:val="5"/>
        </w:numPr>
        <w:tabs>
          <w:tab w:val="num" w:pos="709"/>
        </w:tabs>
        <w:ind w:left="709" w:hanging="709"/>
        <w:rPr>
          <w:lang w:val="en-AU"/>
        </w:rPr>
      </w:pPr>
      <w:r w:rsidRPr="00D14154">
        <w:rPr>
          <w:lang w:val="en-AU"/>
        </w:rPr>
        <w:t xml:space="preserve">The SKM review </w:t>
      </w:r>
      <w:r w:rsidR="00003986">
        <w:rPr>
          <w:lang w:val="en-AU"/>
        </w:rPr>
        <w:t xml:space="preserve">was </w:t>
      </w:r>
      <w:r w:rsidRPr="00D14154">
        <w:rPr>
          <w:lang w:val="en-AU"/>
        </w:rPr>
        <w:t xml:space="preserve">the most detailed examination of </w:t>
      </w:r>
      <w:r w:rsidR="00464F29">
        <w:rPr>
          <w:lang w:val="en-AU"/>
        </w:rPr>
        <w:t>PWC Networks’ RAB that ha</w:t>
      </w:r>
      <w:r w:rsidR="00003986">
        <w:rPr>
          <w:lang w:val="en-AU"/>
        </w:rPr>
        <w:t>d</w:t>
      </w:r>
      <w:r w:rsidR="00464F29">
        <w:rPr>
          <w:lang w:val="en-AU"/>
        </w:rPr>
        <w:t xml:space="preserve"> been undertaken to date</w:t>
      </w:r>
      <w:r w:rsidRPr="00D14154">
        <w:rPr>
          <w:lang w:val="en-AU"/>
        </w:rPr>
        <w:t xml:space="preserve"> and the Commission </w:t>
      </w:r>
      <w:r w:rsidR="00464F29">
        <w:rPr>
          <w:lang w:val="en-AU"/>
        </w:rPr>
        <w:t>was of the view that</w:t>
      </w:r>
      <w:r w:rsidR="006A0368" w:rsidRPr="00D14154">
        <w:rPr>
          <w:lang w:val="en-AU"/>
        </w:rPr>
        <w:t xml:space="preserve"> </w:t>
      </w:r>
      <w:r w:rsidRPr="00D14154">
        <w:rPr>
          <w:lang w:val="en-AU"/>
        </w:rPr>
        <w:t xml:space="preserve">that it </w:t>
      </w:r>
      <w:r w:rsidR="00464F29">
        <w:rPr>
          <w:lang w:val="en-AU"/>
        </w:rPr>
        <w:t>had</w:t>
      </w:r>
      <w:r w:rsidR="00464F29" w:rsidRPr="00D14154">
        <w:rPr>
          <w:lang w:val="en-AU"/>
        </w:rPr>
        <w:t xml:space="preserve"> </w:t>
      </w:r>
      <w:r w:rsidRPr="00D14154">
        <w:rPr>
          <w:lang w:val="en-AU"/>
        </w:rPr>
        <w:t xml:space="preserve">sufficient authority to warrant its acceptance in lieu of the </w:t>
      </w:r>
      <w:r w:rsidR="00464F29">
        <w:rPr>
          <w:lang w:val="en-AU"/>
        </w:rPr>
        <w:t>RAB</w:t>
      </w:r>
      <w:r w:rsidR="00D14154" w:rsidRPr="00D14154">
        <w:rPr>
          <w:lang w:val="en-AU"/>
        </w:rPr>
        <w:t xml:space="preserve"> value determined for </w:t>
      </w:r>
      <w:r w:rsidR="006A0368" w:rsidRPr="00D14154">
        <w:rPr>
          <w:lang w:val="en-AU"/>
        </w:rPr>
        <w:t>1</w:t>
      </w:r>
      <w:r w:rsidR="006A0368">
        <w:rPr>
          <w:lang w:val="en-AU"/>
        </w:rPr>
        <w:t> </w:t>
      </w:r>
      <w:r w:rsidR="006A0368" w:rsidRPr="00D14154">
        <w:rPr>
          <w:lang w:val="en-AU"/>
        </w:rPr>
        <w:t>July</w:t>
      </w:r>
      <w:r w:rsidR="006A0368">
        <w:rPr>
          <w:lang w:val="en-AU"/>
        </w:rPr>
        <w:t> </w:t>
      </w:r>
      <w:r w:rsidR="00D14154" w:rsidRPr="00D14154">
        <w:rPr>
          <w:lang w:val="en-AU"/>
        </w:rPr>
        <w:t xml:space="preserve">2002. </w:t>
      </w:r>
      <w:r w:rsidRPr="00D14154">
        <w:rPr>
          <w:lang w:val="en-AU"/>
        </w:rPr>
        <w:t>In addition</w:t>
      </w:r>
      <w:r w:rsidR="00617FD9">
        <w:rPr>
          <w:lang w:val="en-AU"/>
        </w:rPr>
        <w:t>,</w:t>
      </w:r>
      <w:r w:rsidRPr="00D14154">
        <w:rPr>
          <w:lang w:val="en-AU"/>
        </w:rPr>
        <w:t xml:space="preserve"> the Commission </w:t>
      </w:r>
      <w:r w:rsidR="006A0368">
        <w:rPr>
          <w:lang w:val="en-AU"/>
        </w:rPr>
        <w:t xml:space="preserve">noted </w:t>
      </w:r>
      <w:r w:rsidRPr="00D14154">
        <w:rPr>
          <w:lang w:val="en-AU"/>
        </w:rPr>
        <w:t xml:space="preserve">that the imputed value rolled forward since </w:t>
      </w:r>
      <w:r w:rsidR="00D14154" w:rsidRPr="00D14154">
        <w:rPr>
          <w:lang w:val="en-AU"/>
        </w:rPr>
        <w:t>1</w:t>
      </w:r>
      <w:r w:rsidR="008B46E3">
        <w:rPr>
          <w:lang w:val="en-AU"/>
        </w:rPr>
        <w:t> </w:t>
      </w:r>
      <w:r w:rsidR="006A0368" w:rsidRPr="00D14154">
        <w:rPr>
          <w:lang w:val="en-AU"/>
        </w:rPr>
        <w:t>July</w:t>
      </w:r>
      <w:r w:rsidR="006A0368">
        <w:rPr>
          <w:lang w:val="en-AU"/>
        </w:rPr>
        <w:t> </w:t>
      </w:r>
      <w:r w:rsidRPr="00D14154">
        <w:rPr>
          <w:lang w:val="en-AU"/>
        </w:rPr>
        <w:t>200</w:t>
      </w:r>
      <w:r w:rsidR="00D14154" w:rsidRPr="00D14154">
        <w:rPr>
          <w:lang w:val="en-AU"/>
        </w:rPr>
        <w:t>2</w:t>
      </w:r>
      <w:r w:rsidRPr="00D14154">
        <w:rPr>
          <w:lang w:val="en-AU"/>
        </w:rPr>
        <w:t xml:space="preserve"> and the SKM valuation </w:t>
      </w:r>
      <w:r w:rsidR="00464F29">
        <w:rPr>
          <w:lang w:val="en-AU"/>
        </w:rPr>
        <w:t>were</w:t>
      </w:r>
      <w:r w:rsidR="00464F29" w:rsidRPr="00D14154">
        <w:rPr>
          <w:lang w:val="en-AU"/>
        </w:rPr>
        <w:t xml:space="preserve"> </w:t>
      </w:r>
      <w:r w:rsidRPr="00D14154">
        <w:rPr>
          <w:lang w:val="en-AU"/>
        </w:rPr>
        <w:t>substantially comparable</w:t>
      </w:r>
      <w:r w:rsidR="00D14154" w:rsidRPr="00D14154">
        <w:rPr>
          <w:lang w:val="en-AU"/>
        </w:rPr>
        <w:t>,</w:t>
      </w:r>
      <w:r w:rsidRPr="00D14154">
        <w:rPr>
          <w:lang w:val="en-AU"/>
        </w:rPr>
        <w:t xml:space="preserve"> </w:t>
      </w:r>
      <w:r w:rsidR="00464F29">
        <w:rPr>
          <w:lang w:val="en-AU"/>
        </w:rPr>
        <w:t xml:space="preserve">with </w:t>
      </w:r>
      <w:r w:rsidRPr="00D14154">
        <w:rPr>
          <w:lang w:val="en-AU"/>
        </w:rPr>
        <w:t>the $14</w:t>
      </w:r>
      <w:r w:rsidR="008B46E3">
        <w:rPr>
          <w:lang w:val="en-AU"/>
        </w:rPr>
        <w:t> </w:t>
      </w:r>
      <w:r w:rsidRPr="00D14154">
        <w:rPr>
          <w:lang w:val="en-AU"/>
        </w:rPr>
        <w:t xml:space="preserve">million difference </w:t>
      </w:r>
      <w:r w:rsidR="00B43800">
        <w:rPr>
          <w:lang w:val="en-AU"/>
        </w:rPr>
        <w:t xml:space="preserve">in the total </w:t>
      </w:r>
      <w:r w:rsidR="00464F29">
        <w:rPr>
          <w:lang w:val="en-AU"/>
        </w:rPr>
        <w:t>being</w:t>
      </w:r>
      <w:r w:rsidR="00464F29" w:rsidRPr="00D14154">
        <w:rPr>
          <w:lang w:val="en-AU"/>
        </w:rPr>
        <w:t xml:space="preserve"> </w:t>
      </w:r>
      <w:r w:rsidRPr="00D14154">
        <w:rPr>
          <w:lang w:val="en-AU"/>
        </w:rPr>
        <w:t>statistically acceptable</w:t>
      </w:r>
      <w:r w:rsidR="00617FD9">
        <w:rPr>
          <w:lang w:val="en-AU"/>
        </w:rPr>
        <w:t>,</w:t>
      </w:r>
      <w:r w:rsidRPr="00D14154">
        <w:rPr>
          <w:lang w:val="en-AU"/>
        </w:rPr>
        <w:t xml:space="preserve"> and </w:t>
      </w:r>
      <w:r w:rsidR="00464F29">
        <w:rPr>
          <w:lang w:val="en-AU"/>
        </w:rPr>
        <w:t xml:space="preserve">that </w:t>
      </w:r>
      <w:r w:rsidR="00D14154">
        <w:rPr>
          <w:lang w:val="en-AU"/>
        </w:rPr>
        <w:t xml:space="preserve">the valuation </w:t>
      </w:r>
      <w:r w:rsidR="00464F29" w:rsidRPr="00D14154">
        <w:rPr>
          <w:lang w:val="en-AU"/>
        </w:rPr>
        <w:t>provide</w:t>
      </w:r>
      <w:r w:rsidR="00464F29">
        <w:rPr>
          <w:lang w:val="en-AU"/>
        </w:rPr>
        <w:t>d</w:t>
      </w:r>
      <w:r w:rsidR="00464F29" w:rsidRPr="00D14154">
        <w:rPr>
          <w:lang w:val="en-AU"/>
        </w:rPr>
        <w:t xml:space="preserve"> </w:t>
      </w:r>
      <w:r w:rsidRPr="00D14154">
        <w:rPr>
          <w:lang w:val="en-AU"/>
        </w:rPr>
        <w:t xml:space="preserve">a transparent, detailed, reliable and stable base for future determinations. The certainty that </w:t>
      </w:r>
      <w:r w:rsidR="00464F29">
        <w:rPr>
          <w:lang w:val="en-AU"/>
        </w:rPr>
        <w:t>was</w:t>
      </w:r>
      <w:r w:rsidR="00464F29" w:rsidRPr="00D14154">
        <w:rPr>
          <w:lang w:val="en-AU"/>
        </w:rPr>
        <w:t xml:space="preserve"> </w:t>
      </w:r>
      <w:r w:rsidRPr="00D14154">
        <w:rPr>
          <w:lang w:val="en-AU"/>
        </w:rPr>
        <w:t xml:space="preserve">available in this opening RAB value </w:t>
      </w:r>
      <w:r w:rsidR="00464F29">
        <w:rPr>
          <w:lang w:val="en-AU"/>
        </w:rPr>
        <w:t>would</w:t>
      </w:r>
      <w:r w:rsidR="00464F29" w:rsidRPr="00D14154">
        <w:rPr>
          <w:lang w:val="en-AU"/>
        </w:rPr>
        <w:t xml:space="preserve"> </w:t>
      </w:r>
      <w:r w:rsidRPr="00D14154">
        <w:rPr>
          <w:lang w:val="en-AU"/>
        </w:rPr>
        <w:t>also assist in the transition to regulation by the AER in the near future, presumably without the need for subsequent revisions to the RAB.</w:t>
      </w:r>
    </w:p>
    <w:p w14:paraId="6B688E44" w14:textId="77777777" w:rsidR="00AB202F" w:rsidRPr="00A139AD" w:rsidRDefault="00AB202F" w:rsidP="00431A9F">
      <w:pPr>
        <w:pStyle w:val="UtilComTableTitle"/>
        <w:keepNext/>
        <w:spacing w:before="120" w:after="0" w:line="240" w:lineRule="exact"/>
      </w:pPr>
      <w:r>
        <w:t xml:space="preserve">Table </w:t>
      </w:r>
      <w:r w:rsidR="006A0368">
        <w:t>6</w:t>
      </w:r>
      <w:r>
        <w:t xml:space="preserve">.3: Comparison of disaggregation of RAB into asset classes </w:t>
      </w:r>
      <w:r w:rsidRPr="00E529C5">
        <w:t>($</w:t>
      </w:r>
      <w:r w:rsidR="00484786">
        <w:t>M</w:t>
      </w:r>
      <w:r w:rsidRPr="00E529C5">
        <w:t>, nominal)</w:t>
      </w:r>
      <w:r>
        <w:t xml:space="preserve"> </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4678"/>
        <w:gridCol w:w="2268"/>
        <w:gridCol w:w="2268"/>
      </w:tblGrid>
      <w:tr w:rsidR="00AB202F" w:rsidRPr="008A4655" w14:paraId="64F422E7" w14:textId="77777777" w:rsidTr="00766DBA">
        <w:trPr>
          <w:trHeight w:val="360"/>
        </w:trPr>
        <w:tc>
          <w:tcPr>
            <w:tcW w:w="4678" w:type="dxa"/>
            <w:tcBorders>
              <w:top w:val="single" w:sz="4" w:space="0" w:color="999999"/>
              <w:bottom w:val="single" w:sz="4" w:space="0" w:color="auto"/>
              <w:right w:val="single" w:sz="4" w:space="0" w:color="A6A6A6" w:themeColor="background1" w:themeShade="A6"/>
            </w:tcBorders>
            <w:vAlign w:val="bottom"/>
          </w:tcPr>
          <w:p w14:paraId="2526AB1C" w14:textId="77777777" w:rsidR="00AB202F" w:rsidRPr="00EE5A08" w:rsidRDefault="006A0368" w:rsidP="00A13627">
            <w:pPr>
              <w:pStyle w:val="UtilComTabletext"/>
              <w:rPr>
                <w:b/>
              </w:rPr>
            </w:pPr>
            <w:r>
              <w:rPr>
                <w:b/>
              </w:rPr>
              <w:t xml:space="preserve">Asset values as at 1 July 2014 </w:t>
            </w:r>
          </w:p>
        </w:tc>
        <w:tc>
          <w:tcPr>
            <w:tcW w:w="2268" w:type="dxa"/>
            <w:tcBorders>
              <w:top w:val="single" w:sz="4" w:space="0" w:color="999999"/>
              <w:left w:val="single" w:sz="4" w:space="0" w:color="A6A6A6" w:themeColor="background1" w:themeShade="A6"/>
              <w:bottom w:val="single" w:sz="4" w:space="0" w:color="auto"/>
            </w:tcBorders>
            <w:tcMar>
              <w:left w:w="0" w:type="dxa"/>
            </w:tcMar>
            <w:vAlign w:val="bottom"/>
          </w:tcPr>
          <w:p w14:paraId="577F13EF" w14:textId="77777777" w:rsidR="00AB202F" w:rsidRPr="00EE5A08" w:rsidRDefault="00AB202F" w:rsidP="00A13627">
            <w:pPr>
              <w:pStyle w:val="UtilComTabletext"/>
              <w:jc w:val="center"/>
              <w:rPr>
                <w:b/>
              </w:rPr>
            </w:pPr>
            <w:r>
              <w:rPr>
                <w:b/>
              </w:rPr>
              <w:t>2013 SKM valuation</w:t>
            </w:r>
          </w:p>
        </w:tc>
        <w:tc>
          <w:tcPr>
            <w:tcW w:w="2268" w:type="dxa"/>
            <w:tcBorders>
              <w:top w:val="single" w:sz="4" w:space="0" w:color="999999"/>
              <w:bottom w:val="single" w:sz="4" w:space="0" w:color="auto"/>
            </w:tcBorders>
            <w:tcMar>
              <w:left w:w="0" w:type="dxa"/>
              <w:right w:w="0" w:type="dxa"/>
            </w:tcMar>
            <w:vAlign w:val="bottom"/>
          </w:tcPr>
          <w:p w14:paraId="412C8B98" w14:textId="77777777" w:rsidR="00AB202F" w:rsidRPr="00EE5A08" w:rsidRDefault="00AB202F" w:rsidP="00AB202F">
            <w:pPr>
              <w:pStyle w:val="UtilComTabletext"/>
              <w:jc w:val="center"/>
              <w:rPr>
                <w:b/>
              </w:rPr>
            </w:pPr>
            <w:r>
              <w:rPr>
                <w:b/>
              </w:rPr>
              <w:t>Roll</w:t>
            </w:r>
            <w:r w:rsidR="00B211B0">
              <w:rPr>
                <w:b/>
              </w:rPr>
              <w:t xml:space="preserve"> </w:t>
            </w:r>
            <w:r>
              <w:rPr>
                <w:b/>
              </w:rPr>
              <w:t>forward of</w:t>
            </w:r>
            <w:r>
              <w:rPr>
                <w:b/>
              </w:rPr>
              <w:br/>
            </w:r>
            <w:r w:rsidR="00D83DD0">
              <w:rPr>
                <w:b/>
              </w:rPr>
              <w:t>2009 Network Price Determination</w:t>
            </w:r>
          </w:p>
        </w:tc>
      </w:tr>
      <w:tr w:rsidR="00AB202F" w:rsidRPr="008A4655" w14:paraId="31C87BF8" w14:textId="77777777" w:rsidTr="00A13627">
        <w:trPr>
          <w:trHeight w:val="360"/>
        </w:trPr>
        <w:tc>
          <w:tcPr>
            <w:tcW w:w="4678" w:type="dxa"/>
            <w:tcBorders>
              <w:top w:val="single" w:sz="4" w:space="0" w:color="auto"/>
              <w:right w:val="single" w:sz="4" w:space="0" w:color="A6A6A6" w:themeColor="background1" w:themeShade="A6"/>
            </w:tcBorders>
          </w:tcPr>
          <w:p w14:paraId="04EBEC36" w14:textId="77777777" w:rsidR="00AB202F" w:rsidRPr="00AB202F" w:rsidRDefault="00AB202F" w:rsidP="00A13627">
            <w:pPr>
              <w:rPr>
                <w:rFonts w:cs="Arial"/>
                <w:b/>
                <w:sz w:val="18"/>
                <w:szCs w:val="18"/>
              </w:rPr>
            </w:pPr>
            <w:r w:rsidRPr="00AB202F">
              <w:rPr>
                <w:rFonts w:cs="Arial"/>
                <w:b/>
                <w:sz w:val="18"/>
                <w:szCs w:val="18"/>
              </w:rPr>
              <w:t>System Capex</w:t>
            </w:r>
          </w:p>
        </w:tc>
        <w:tc>
          <w:tcPr>
            <w:tcW w:w="2268" w:type="dxa"/>
            <w:tcBorders>
              <w:top w:val="single" w:sz="4" w:space="0" w:color="auto"/>
              <w:left w:val="single" w:sz="4" w:space="0" w:color="A6A6A6" w:themeColor="background1" w:themeShade="A6"/>
            </w:tcBorders>
            <w:tcMar>
              <w:left w:w="0" w:type="dxa"/>
            </w:tcMar>
          </w:tcPr>
          <w:p w14:paraId="69D1837F" w14:textId="77777777" w:rsidR="00AB202F" w:rsidRPr="00AB202F" w:rsidRDefault="00AB202F" w:rsidP="00AB202F">
            <w:pPr>
              <w:jc w:val="center"/>
              <w:rPr>
                <w:rFonts w:cs="Arial"/>
                <w:sz w:val="18"/>
                <w:szCs w:val="18"/>
              </w:rPr>
            </w:pPr>
          </w:p>
        </w:tc>
        <w:tc>
          <w:tcPr>
            <w:tcW w:w="2268" w:type="dxa"/>
            <w:tcBorders>
              <w:top w:val="single" w:sz="4" w:space="0" w:color="auto"/>
            </w:tcBorders>
            <w:tcMar>
              <w:left w:w="0" w:type="dxa"/>
              <w:right w:w="0" w:type="dxa"/>
            </w:tcMar>
            <w:vAlign w:val="center"/>
          </w:tcPr>
          <w:p w14:paraId="25AE7B9A" w14:textId="77777777" w:rsidR="00AB202F" w:rsidRPr="00A55EBB" w:rsidRDefault="00AB202F" w:rsidP="00A55EBB">
            <w:pPr>
              <w:jc w:val="center"/>
              <w:rPr>
                <w:rFonts w:cs="Arial"/>
                <w:sz w:val="18"/>
                <w:szCs w:val="18"/>
              </w:rPr>
            </w:pPr>
          </w:p>
        </w:tc>
      </w:tr>
      <w:tr w:rsidR="00A55EBB" w:rsidRPr="008A4655" w14:paraId="7AA3920B" w14:textId="77777777" w:rsidTr="00A13627">
        <w:trPr>
          <w:trHeight w:val="360"/>
        </w:trPr>
        <w:tc>
          <w:tcPr>
            <w:tcW w:w="4678" w:type="dxa"/>
            <w:tcBorders>
              <w:right w:val="single" w:sz="4" w:space="0" w:color="A6A6A6" w:themeColor="background1" w:themeShade="A6"/>
            </w:tcBorders>
          </w:tcPr>
          <w:p w14:paraId="73489555" w14:textId="77777777" w:rsidR="00A55EBB" w:rsidRPr="00AB202F" w:rsidRDefault="00A55EBB" w:rsidP="00A13627">
            <w:pPr>
              <w:rPr>
                <w:rFonts w:cs="Arial"/>
                <w:sz w:val="18"/>
                <w:szCs w:val="18"/>
              </w:rPr>
            </w:pPr>
            <w:r w:rsidRPr="00AB202F">
              <w:rPr>
                <w:rFonts w:cs="Arial"/>
                <w:sz w:val="18"/>
                <w:szCs w:val="18"/>
              </w:rPr>
              <w:t>Transmission terminal station</w:t>
            </w:r>
          </w:p>
        </w:tc>
        <w:tc>
          <w:tcPr>
            <w:tcW w:w="2268" w:type="dxa"/>
            <w:tcBorders>
              <w:left w:val="single" w:sz="4" w:space="0" w:color="A6A6A6" w:themeColor="background1" w:themeShade="A6"/>
            </w:tcBorders>
            <w:tcMar>
              <w:left w:w="0" w:type="dxa"/>
            </w:tcMar>
          </w:tcPr>
          <w:p w14:paraId="4295DF94" w14:textId="77777777" w:rsidR="00A55EBB" w:rsidRPr="00AB202F" w:rsidRDefault="00A55EBB" w:rsidP="00AB202F">
            <w:pPr>
              <w:jc w:val="center"/>
              <w:rPr>
                <w:rFonts w:cs="Arial"/>
                <w:sz w:val="18"/>
                <w:szCs w:val="18"/>
              </w:rPr>
            </w:pPr>
            <w:r w:rsidRPr="00AB202F">
              <w:rPr>
                <w:rFonts w:cs="Arial"/>
                <w:sz w:val="18"/>
                <w:szCs w:val="18"/>
              </w:rPr>
              <w:t>37.6</w:t>
            </w:r>
          </w:p>
        </w:tc>
        <w:tc>
          <w:tcPr>
            <w:tcW w:w="2268" w:type="dxa"/>
            <w:tcMar>
              <w:left w:w="0" w:type="dxa"/>
              <w:right w:w="0" w:type="dxa"/>
            </w:tcMar>
          </w:tcPr>
          <w:p w14:paraId="0AAF1ACB" w14:textId="77777777" w:rsidR="00A55EBB" w:rsidRPr="00A55EBB" w:rsidRDefault="00A55EBB" w:rsidP="00A55EBB">
            <w:pPr>
              <w:jc w:val="center"/>
              <w:rPr>
                <w:rFonts w:cs="Arial"/>
                <w:sz w:val="18"/>
                <w:szCs w:val="18"/>
              </w:rPr>
            </w:pPr>
            <w:r w:rsidRPr="00A55EBB">
              <w:rPr>
                <w:rFonts w:cs="Arial"/>
                <w:sz w:val="18"/>
                <w:szCs w:val="18"/>
              </w:rPr>
              <w:t>64.0</w:t>
            </w:r>
          </w:p>
        </w:tc>
      </w:tr>
      <w:tr w:rsidR="00A55EBB" w:rsidRPr="008A4655" w14:paraId="621E580D" w14:textId="77777777" w:rsidTr="00A13627">
        <w:trPr>
          <w:trHeight w:val="360"/>
        </w:trPr>
        <w:tc>
          <w:tcPr>
            <w:tcW w:w="4678" w:type="dxa"/>
            <w:tcBorders>
              <w:bottom w:val="single" w:sz="4" w:space="0" w:color="999999"/>
              <w:right w:val="single" w:sz="4" w:space="0" w:color="A6A6A6" w:themeColor="background1" w:themeShade="A6"/>
            </w:tcBorders>
          </w:tcPr>
          <w:p w14:paraId="7026A7F4" w14:textId="77777777" w:rsidR="00A55EBB" w:rsidRPr="00AB202F" w:rsidRDefault="00A55EBB" w:rsidP="00A13627">
            <w:pPr>
              <w:rPr>
                <w:rFonts w:cs="Arial"/>
                <w:sz w:val="18"/>
                <w:szCs w:val="18"/>
              </w:rPr>
            </w:pPr>
            <w:r w:rsidRPr="00AB202F">
              <w:rPr>
                <w:rFonts w:cs="Arial"/>
                <w:sz w:val="18"/>
                <w:szCs w:val="18"/>
              </w:rPr>
              <w:t>Zone substations</w:t>
            </w:r>
          </w:p>
        </w:tc>
        <w:tc>
          <w:tcPr>
            <w:tcW w:w="2268" w:type="dxa"/>
            <w:tcBorders>
              <w:left w:val="single" w:sz="4" w:space="0" w:color="A6A6A6" w:themeColor="background1" w:themeShade="A6"/>
              <w:bottom w:val="single" w:sz="4" w:space="0" w:color="999999"/>
            </w:tcBorders>
            <w:tcMar>
              <w:left w:w="0" w:type="dxa"/>
            </w:tcMar>
          </w:tcPr>
          <w:p w14:paraId="16063481" w14:textId="77777777" w:rsidR="00A55EBB" w:rsidRPr="00AB202F" w:rsidRDefault="00A55EBB" w:rsidP="00AB202F">
            <w:pPr>
              <w:jc w:val="center"/>
              <w:rPr>
                <w:rFonts w:cs="Arial"/>
                <w:sz w:val="18"/>
                <w:szCs w:val="18"/>
              </w:rPr>
            </w:pPr>
            <w:r w:rsidRPr="00AB202F">
              <w:rPr>
                <w:rFonts w:cs="Arial"/>
                <w:sz w:val="18"/>
                <w:szCs w:val="18"/>
              </w:rPr>
              <w:t>262.8</w:t>
            </w:r>
          </w:p>
        </w:tc>
        <w:tc>
          <w:tcPr>
            <w:tcW w:w="2268" w:type="dxa"/>
            <w:tcBorders>
              <w:bottom w:val="single" w:sz="4" w:space="0" w:color="999999"/>
            </w:tcBorders>
            <w:tcMar>
              <w:left w:w="0" w:type="dxa"/>
              <w:right w:w="0" w:type="dxa"/>
            </w:tcMar>
          </w:tcPr>
          <w:p w14:paraId="0718EBE5" w14:textId="77777777" w:rsidR="00A55EBB" w:rsidRPr="00A55EBB" w:rsidRDefault="00A55EBB" w:rsidP="00A55EBB">
            <w:pPr>
              <w:jc w:val="center"/>
              <w:rPr>
                <w:rFonts w:cs="Arial"/>
                <w:sz w:val="18"/>
                <w:szCs w:val="18"/>
              </w:rPr>
            </w:pPr>
            <w:r w:rsidRPr="00A55EBB">
              <w:rPr>
                <w:rFonts w:cs="Arial"/>
                <w:sz w:val="18"/>
                <w:szCs w:val="18"/>
              </w:rPr>
              <w:t>288.8</w:t>
            </w:r>
          </w:p>
        </w:tc>
      </w:tr>
      <w:tr w:rsidR="00A55EBB" w:rsidRPr="008A4655" w14:paraId="44BB141C" w14:textId="77777777" w:rsidTr="00A13627">
        <w:trPr>
          <w:trHeight w:val="360"/>
        </w:trPr>
        <w:tc>
          <w:tcPr>
            <w:tcW w:w="4678" w:type="dxa"/>
            <w:tcBorders>
              <w:bottom w:val="single" w:sz="4" w:space="0" w:color="999999"/>
              <w:right w:val="single" w:sz="4" w:space="0" w:color="A6A6A6" w:themeColor="background1" w:themeShade="A6"/>
            </w:tcBorders>
          </w:tcPr>
          <w:p w14:paraId="4124DCD7" w14:textId="77777777" w:rsidR="00A55EBB" w:rsidRPr="00AB202F" w:rsidRDefault="00A55EBB" w:rsidP="00A13627">
            <w:pPr>
              <w:rPr>
                <w:rFonts w:cs="Arial"/>
                <w:sz w:val="18"/>
                <w:szCs w:val="18"/>
              </w:rPr>
            </w:pPr>
            <w:r w:rsidRPr="00AB202F">
              <w:rPr>
                <w:rFonts w:cs="Arial"/>
                <w:sz w:val="18"/>
                <w:szCs w:val="18"/>
              </w:rPr>
              <w:t>Transmission lines</w:t>
            </w:r>
          </w:p>
        </w:tc>
        <w:tc>
          <w:tcPr>
            <w:tcW w:w="2268" w:type="dxa"/>
            <w:tcBorders>
              <w:left w:val="single" w:sz="4" w:space="0" w:color="A6A6A6" w:themeColor="background1" w:themeShade="A6"/>
              <w:bottom w:val="single" w:sz="4" w:space="0" w:color="999999"/>
            </w:tcBorders>
            <w:tcMar>
              <w:left w:w="0" w:type="dxa"/>
            </w:tcMar>
          </w:tcPr>
          <w:p w14:paraId="3E38F015" w14:textId="77777777" w:rsidR="00A55EBB" w:rsidRPr="00AB202F" w:rsidRDefault="00A55EBB" w:rsidP="00AB202F">
            <w:pPr>
              <w:jc w:val="center"/>
              <w:rPr>
                <w:rFonts w:cs="Arial"/>
                <w:sz w:val="18"/>
                <w:szCs w:val="18"/>
              </w:rPr>
            </w:pPr>
            <w:r w:rsidRPr="00AB202F">
              <w:rPr>
                <w:rFonts w:cs="Arial"/>
                <w:sz w:val="18"/>
                <w:szCs w:val="18"/>
              </w:rPr>
              <w:t>165.5</w:t>
            </w:r>
          </w:p>
        </w:tc>
        <w:tc>
          <w:tcPr>
            <w:tcW w:w="2268" w:type="dxa"/>
            <w:tcBorders>
              <w:bottom w:val="single" w:sz="4" w:space="0" w:color="999999"/>
            </w:tcBorders>
            <w:tcMar>
              <w:left w:w="0" w:type="dxa"/>
              <w:right w:w="0" w:type="dxa"/>
            </w:tcMar>
          </w:tcPr>
          <w:p w14:paraId="295F3683" w14:textId="77777777" w:rsidR="00A55EBB" w:rsidRPr="00A55EBB" w:rsidRDefault="00A55EBB" w:rsidP="00A55EBB">
            <w:pPr>
              <w:jc w:val="center"/>
              <w:rPr>
                <w:rFonts w:cs="Arial"/>
                <w:sz w:val="18"/>
                <w:szCs w:val="18"/>
              </w:rPr>
            </w:pPr>
            <w:r w:rsidRPr="00A55EBB">
              <w:rPr>
                <w:rFonts w:cs="Arial"/>
                <w:sz w:val="18"/>
                <w:szCs w:val="18"/>
              </w:rPr>
              <w:t>156.6</w:t>
            </w:r>
          </w:p>
        </w:tc>
      </w:tr>
      <w:tr w:rsidR="00A55EBB" w:rsidRPr="008A4655" w14:paraId="62739861" w14:textId="77777777" w:rsidTr="00A13627">
        <w:trPr>
          <w:trHeight w:val="360"/>
        </w:trPr>
        <w:tc>
          <w:tcPr>
            <w:tcW w:w="4678" w:type="dxa"/>
            <w:tcBorders>
              <w:bottom w:val="single" w:sz="4" w:space="0" w:color="999999"/>
              <w:right w:val="single" w:sz="4" w:space="0" w:color="A6A6A6" w:themeColor="background1" w:themeShade="A6"/>
            </w:tcBorders>
          </w:tcPr>
          <w:p w14:paraId="57FF4BD0" w14:textId="77777777" w:rsidR="00A55EBB" w:rsidRPr="00AB202F" w:rsidRDefault="00A55EBB" w:rsidP="00A13627">
            <w:pPr>
              <w:rPr>
                <w:rFonts w:cs="Arial"/>
                <w:sz w:val="18"/>
                <w:szCs w:val="18"/>
              </w:rPr>
            </w:pPr>
            <w:r w:rsidRPr="00AB202F">
              <w:rPr>
                <w:rFonts w:cs="Arial"/>
                <w:sz w:val="18"/>
                <w:szCs w:val="18"/>
              </w:rPr>
              <w:t>Distribution mains</w:t>
            </w:r>
          </w:p>
        </w:tc>
        <w:tc>
          <w:tcPr>
            <w:tcW w:w="2268" w:type="dxa"/>
            <w:tcBorders>
              <w:left w:val="single" w:sz="4" w:space="0" w:color="A6A6A6" w:themeColor="background1" w:themeShade="A6"/>
            </w:tcBorders>
            <w:tcMar>
              <w:left w:w="0" w:type="dxa"/>
            </w:tcMar>
          </w:tcPr>
          <w:p w14:paraId="780C5C00" w14:textId="77777777" w:rsidR="00A55EBB" w:rsidRPr="00AB202F" w:rsidRDefault="00A55EBB" w:rsidP="00AB202F">
            <w:pPr>
              <w:jc w:val="center"/>
              <w:rPr>
                <w:rFonts w:cs="Arial"/>
                <w:sz w:val="18"/>
                <w:szCs w:val="18"/>
              </w:rPr>
            </w:pPr>
            <w:r w:rsidRPr="00AB202F">
              <w:rPr>
                <w:rFonts w:cs="Arial"/>
                <w:sz w:val="18"/>
                <w:szCs w:val="18"/>
              </w:rPr>
              <w:t>313.8</w:t>
            </w:r>
          </w:p>
        </w:tc>
        <w:tc>
          <w:tcPr>
            <w:tcW w:w="2268" w:type="dxa"/>
            <w:tcMar>
              <w:left w:w="0" w:type="dxa"/>
              <w:right w:w="0" w:type="dxa"/>
            </w:tcMar>
          </w:tcPr>
          <w:p w14:paraId="0D326C5B" w14:textId="77777777" w:rsidR="00A55EBB" w:rsidRPr="00A55EBB" w:rsidRDefault="00A55EBB" w:rsidP="00A55EBB">
            <w:pPr>
              <w:jc w:val="center"/>
              <w:rPr>
                <w:rFonts w:cs="Arial"/>
                <w:sz w:val="18"/>
                <w:szCs w:val="18"/>
              </w:rPr>
            </w:pPr>
            <w:r w:rsidRPr="00A55EBB">
              <w:rPr>
                <w:rFonts w:cs="Arial"/>
                <w:sz w:val="18"/>
                <w:szCs w:val="18"/>
              </w:rPr>
              <w:t>329.0</w:t>
            </w:r>
          </w:p>
        </w:tc>
      </w:tr>
      <w:tr w:rsidR="00A55EBB" w:rsidRPr="008A4655" w14:paraId="7345AE53" w14:textId="77777777" w:rsidTr="00A13627">
        <w:trPr>
          <w:trHeight w:val="360"/>
        </w:trPr>
        <w:tc>
          <w:tcPr>
            <w:tcW w:w="4678" w:type="dxa"/>
            <w:tcBorders>
              <w:bottom w:val="single" w:sz="4" w:space="0" w:color="999999"/>
              <w:right w:val="single" w:sz="4" w:space="0" w:color="A6A6A6" w:themeColor="background1" w:themeShade="A6"/>
            </w:tcBorders>
          </w:tcPr>
          <w:p w14:paraId="07A9995C" w14:textId="77777777" w:rsidR="00A55EBB" w:rsidRPr="00AB202F" w:rsidRDefault="00A55EBB" w:rsidP="00A13627">
            <w:pPr>
              <w:rPr>
                <w:rFonts w:cs="Arial"/>
                <w:sz w:val="18"/>
                <w:szCs w:val="18"/>
              </w:rPr>
            </w:pPr>
            <w:r w:rsidRPr="00AB202F">
              <w:rPr>
                <w:rFonts w:cs="Arial"/>
                <w:sz w:val="18"/>
                <w:szCs w:val="18"/>
              </w:rPr>
              <w:t>Distribution substations</w:t>
            </w:r>
          </w:p>
        </w:tc>
        <w:tc>
          <w:tcPr>
            <w:tcW w:w="2268" w:type="dxa"/>
            <w:tcBorders>
              <w:left w:val="single" w:sz="4" w:space="0" w:color="A6A6A6" w:themeColor="background1" w:themeShade="A6"/>
            </w:tcBorders>
            <w:tcMar>
              <w:left w:w="0" w:type="dxa"/>
            </w:tcMar>
          </w:tcPr>
          <w:p w14:paraId="106D02EA" w14:textId="77777777" w:rsidR="00A55EBB" w:rsidRPr="00AB202F" w:rsidRDefault="00A55EBB" w:rsidP="00AB202F">
            <w:pPr>
              <w:jc w:val="center"/>
              <w:rPr>
                <w:rFonts w:cs="Arial"/>
                <w:sz w:val="18"/>
                <w:szCs w:val="18"/>
              </w:rPr>
            </w:pPr>
            <w:r w:rsidRPr="00AB202F">
              <w:rPr>
                <w:rFonts w:cs="Arial"/>
                <w:sz w:val="18"/>
                <w:szCs w:val="18"/>
              </w:rPr>
              <w:t>83.9</w:t>
            </w:r>
          </w:p>
        </w:tc>
        <w:tc>
          <w:tcPr>
            <w:tcW w:w="2268" w:type="dxa"/>
            <w:tcMar>
              <w:left w:w="0" w:type="dxa"/>
              <w:right w:w="0" w:type="dxa"/>
            </w:tcMar>
          </w:tcPr>
          <w:p w14:paraId="41159018" w14:textId="77777777" w:rsidR="00A55EBB" w:rsidRPr="00A55EBB" w:rsidRDefault="00A55EBB" w:rsidP="00A55EBB">
            <w:pPr>
              <w:jc w:val="center"/>
              <w:rPr>
                <w:rFonts w:cs="Arial"/>
                <w:sz w:val="18"/>
                <w:szCs w:val="18"/>
              </w:rPr>
            </w:pPr>
            <w:r w:rsidRPr="00A55EBB">
              <w:rPr>
                <w:rFonts w:cs="Arial"/>
                <w:sz w:val="18"/>
                <w:szCs w:val="18"/>
              </w:rPr>
              <w:t>21.8</w:t>
            </w:r>
          </w:p>
        </w:tc>
      </w:tr>
      <w:tr w:rsidR="00A55EBB" w:rsidRPr="008A4655" w14:paraId="514C88D0" w14:textId="77777777" w:rsidTr="00A13627">
        <w:trPr>
          <w:trHeight w:val="360"/>
        </w:trPr>
        <w:tc>
          <w:tcPr>
            <w:tcW w:w="4678" w:type="dxa"/>
            <w:tcBorders>
              <w:bottom w:val="single" w:sz="4" w:space="0" w:color="999999"/>
              <w:right w:val="single" w:sz="4" w:space="0" w:color="A6A6A6" w:themeColor="background1" w:themeShade="A6"/>
            </w:tcBorders>
          </w:tcPr>
          <w:p w14:paraId="533D9C8A" w14:textId="77777777" w:rsidR="00A55EBB" w:rsidRPr="00AB202F" w:rsidRDefault="00A55EBB" w:rsidP="00A13627">
            <w:pPr>
              <w:rPr>
                <w:rFonts w:cs="Arial"/>
                <w:sz w:val="18"/>
                <w:szCs w:val="18"/>
              </w:rPr>
            </w:pPr>
            <w:r w:rsidRPr="00AB202F">
              <w:rPr>
                <w:rFonts w:cs="Arial"/>
                <w:sz w:val="18"/>
                <w:szCs w:val="18"/>
              </w:rPr>
              <w:t>Metering</w:t>
            </w:r>
          </w:p>
        </w:tc>
        <w:tc>
          <w:tcPr>
            <w:tcW w:w="2268" w:type="dxa"/>
            <w:tcBorders>
              <w:left w:val="single" w:sz="4" w:space="0" w:color="A6A6A6" w:themeColor="background1" w:themeShade="A6"/>
            </w:tcBorders>
            <w:tcMar>
              <w:left w:w="0" w:type="dxa"/>
            </w:tcMar>
          </w:tcPr>
          <w:p w14:paraId="7DAB33AB" w14:textId="77777777" w:rsidR="00A55EBB" w:rsidRPr="00AB202F" w:rsidRDefault="00A55EBB" w:rsidP="00AB202F">
            <w:pPr>
              <w:jc w:val="center"/>
              <w:rPr>
                <w:rFonts w:cs="Arial"/>
                <w:sz w:val="18"/>
                <w:szCs w:val="18"/>
              </w:rPr>
            </w:pPr>
            <w:r w:rsidRPr="00AB202F">
              <w:rPr>
                <w:rFonts w:cs="Arial"/>
                <w:sz w:val="18"/>
                <w:szCs w:val="18"/>
              </w:rPr>
              <w:t>7.5</w:t>
            </w:r>
          </w:p>
        </w:tc>
        <w:tc>
          <w:tcPr>
            <w:tcW w:w="2268" w:type="dxa"/>
            <w:tcMar>
              <w:left w:w="0" w:type="dxa"/>
              <w:right w:w="0" w:type="dxa"/>
            </w:tcMar>
          </w:tcPr>
          <w:p w14:paraId="2BEA29A6" w14:textId="77777777" w:rsidR="00A55EBB" w:rsidRPr="00A55EBB" w:rsidRDefault="00A55EBB" w:rsidP="00A55EBB">
            <w:pPr>
              <w:jc w:val="center"/>
              <w:rPr>
                <w:rFonts w:cs="Arial"/>
                <w:sz w:val="18"/>
                <w:szCs w:val="18"/>
              </w:rPr>
            </w:pPr>
            <w:r w:rsidRPr="00A55EBB">
              <w:rPr>
                <w:rFonts w:cs="Arial"/>
                <w:sz w:val="18"/>
                <w:szCs w:val="18"/>
              </w:rPr>
              <w:t>4.9</w:t>
            </w:r>
          </w:p>
        </w:tc>
      </w:tr>
      <w:tr w:rsidR="00A55EBB" w:rsidRPr="008A4655" w14:paraId="0BCF7955" w14:textId="77777777" w:rsidTr="00A13627">
        <w:trPr>
          <w:trHeight w:val="360"/>
        </w:trPr>
        <w:tc>
          <w:tcPr>
            <w:tcW w:w="4678" w:type="dxa"/>
            <w:tcBorders>
              <w:bottom w:val="single" w:sz="4" w:space="0" w:color="999999"/>
              <w:right w:val="single" w:sz="4" w:space="0" w:color="A6A6A6" w:themeColor="background1" w:themeShade="A6"/>
            </w:tcBorders>
          </w:tcPr>
          <w:p w14:paraId="002986A8" w14:textId="77777777" w:rsidR="00A55EBB" w:rsidRPr="00AB202F" w:rsidRDefault="00A55EBB" w:rsidP="00A13627">
            <w:pPr>
              <w:rPr>
                <w:rFonts w:cs="Arial"/>
                <w:sz w:val="18"/>
                <w:szCs w:val="18"/>
              </w:rPr>
            </w:pPr>
            <w:r w:rsidRPr="00AB202F">
              <w:rPr>
                <w:rFonts w:cs="Arial"/>
                <w:sz w:val="18"/>
                <w:szCs w:val="18"/>
              </w:rPr>
              <w:t>Land and easements</w:t>
            </w:r>
          </w:p>
        </w:tc>
        <w:tc>
          <w:tcPr>
            <w:tcW w:w="2268" w:type="dxa"/>
            <w:tcBorders>
              <w:left w:val="single" w:sz="4" w:space="0" w:color="A6A6A6" w:themeColor="background1" w:themeShade="A6"/>
            </w:tcBorders>
            <w:tcMar>
              <w:left w:w="0" w:type="dxa"/>
            </w:tcMar>
          </w:tcPr>
          <w:p w14:paraId="541F8E82" w14:textId="77777777" w:rsidR="00A55EBB" w:rsidRPr="00AB202F" w:rsidRDefault="00A55EBB" w:rsidP="00AB202F">
            <w:pPr>
              <w:jc w:val="center"/>
              <w:rPr>
                <w:rFonts w:cs="Arial"/>
                <w:sz w:val="18"/>
                <w:szCs w:val="18"/>
              </w:rPr>
            </w:pPr>
            <w:r w:rsidRPr="00AB202F">
              <w:rPr>
                <w:rFonts w:cs="Arial"/>
                <w:sz w:val="18"/>
                <w:szCs w:val="18"/>
              </w:rPr>
              <w:t>33.9</w:t>
            </w:r>
          </w:p>
        </w:tc>
        <w:tc>
          <w:tcPr>
            <w:tcW w:w="2268" w:type="dxa"/>
            <w:tcMar>
              <w:left w:w="0" w:type="dxa"/>
              <w:right w:w="0" w:type="dxa"/>
            </w:tcMar>
          </w:tcPr>
          <w:p w14:paraId="59AAE2E6" w14:textId="77777777" w:rsidR="00A55EBB" w:rsidRPr="00A55EBB" w:rsidRDefault="00A55EBB" w:rsidP="00A55EBB">
            <w:pPr>
              <w:jc w:val="center"/>
              <w:rPr>
                <w:rFonts w:cs="Arial"/>
                <w:sz w:val="18"/>
                <w:szCs w:val="18"/>
              </w:rPr>
            </w:pPr>
            <w:r w:rsidRPr="00A55EBB">
              <w:rPr>
                <w:rFonts w:cs="Arial"/>
                <w:sz w:val="18"/>
                <w:szCs w:val="18"/>
              </w:rPr>
              <w:t>11.7</w:t>
            </w:r>
          </w:p>
        </w:tc>
      </w:tr>
      <w:tr w:rsidR="00A55EBB" w:rsidRPr="008A4655" w14:paraId="20DD19CA" w14:textId="77777777" w:rsidTr="00A13627">
        <w:trPr>
          <w:trHeight w:val="360"/>
        </w:trPr>
        <w:tc>
          <w:tcPr>
            <w:tcW w:w="4678" w:type="dxa"/>
            <w:tcBorders>
              <w:bottom w:val="single" w:sz="4" w:space="0" w:color="999999"/>
              <w:right w:val="single" w:sz="4" w:space="0" w:color="A6A6A6" w:themeColor="background1" w:themeShade="A6"/>
            </w:tcBorders>
          </w:tcPr>
          <w:p w14:paraId="316E7B4F" w14:textId="77777777" w:rsidR="00A55EBB" w:rsidRPr="00AB202F" w:rsidRDefault="00A55EBB" w:rsidP="00A13627">
            <w:pPr>
              <w:rPr>
                <w:rFonts w:cs="Arial"/>
                <w:sz w:val="18"/>
                <w:szCs w:val="18"/>
              </w:rPr>
            </w:pPr>
            <w:r w:rsidRPr="00AB202F">
              <w:rPr>
                <w:rFonts w:cs="Arial"/>
                <w:sz w:val="18"/>
                <w:szCs w:val="18"/>
              </w:rPr>
              <w:t>Secondary systems - Control, communications &amp; Protection</w:t>
            </w:r>
          </w:p>
        </w:tc>
        <w:tc>
          <w:tcPr>
            <w:tcW w:w="2268" w:type="dxa"/>
            <w:tcBorders>
              <w:left w:val="single" w:sz="4" w:space="0" w:color="A6A6A6" w:themeColor="background1" w:themeShade="A6"/>
            </w:tcBorders>
            <w:tcMar>
              <w:left w:w="0" w:type="dxa"/>
            </w:tcMar>
          </w:tcPr>
          <w:p w14:paraId="767D5FD6" w14:textId="77777777" w:rsidR="00A55EBB" w:rsidRPr="00AB202F" w:rsidRDefault="00A55EBB" w:rsidP="00AB202F">
            <w:pPr>
              <w:jc w:val="center"/>
              <w:rPr>
                <w:rFonts w:cs="Arial"/>
                <w:sz w:val="18"/>
                <w:szCs w:val="18"/>
              </w:rPr>
            </w:pPr>
            <w:r w:rsidRPr="00AB202F">
              <w:rPr>
                <w:rFonts w:cs="Arial"/>
                <w:sz w:val="18"/>
                <w:szCs w:val="18"/>
              </w:rPr>
              <w:t>12.0</w:t>
            </w:r>
          </w:p>
        </w:tc>
        <w:tc>
          <w:tcPr>
            <w:tcW w:w="2268" w:type="dxa"/>
            <w:tcMar>
              <w:left w:w="0" w:type="dxa"/>
              <w:right w:w="0" w:type="dxa"/>
            </w:tcMar>
          </w:tcPr>
          <w:p w14:paraId="42D2824A" w14:textId="77777777" w:rsidR="00A55EBB" w:rsidRPr="00A55EBB" w:rsidRDefault="00A55EBB" w:rsidP="00A55EBB">
            <w:pPr>
              <w:jc w:val="center"/>
              <w:rPr>
                <w:rFonts w:cs="Arial"/>
                <w:sz w:val="18"/>
                <w:szCs w:val="18"/>
              </w:rPr>
            </w:pPr>
            <w:r w:rsidRPr="00A55EBB">
              <w:rPr>
                <w:rFonts w:cs="Arial"/>
                <w:sz w:val="18"/>
                <w:szCs w:val="18"/>
              </w:rPr>
              <w:t>18.8</w:t>
            </w:r>
          </w:p>
        </w:tc>
      </w:tr>
      <w:tr w:rsidR="00A55EBB" w:rsidRPr="008A4655" w14:paraId="22B67D58" w14:textId="77777777" w:rsidTr="00A13627">
        <w:trPr>
          <w:trHeight w:val="360"/>
        </w:trPr>
        <w:tc>
          <w:tcPr>
            <w:tcW w:w="4678" w:type="dxa"/>
            <w:tcBorders>
              <w:bottom w:val="single" w:sz="4" w:space="0" w:color="999999"/>
              <w:right w:val="single" w:sz="4" w:space="0" w:color="A6A6A6" w:themeColor="background1" w:themeShade="A6"/>
            </w:tcBorders>
          </w:tcPr>
          <w:p w14:paraId="5D332A1B" w14:textId="77777777" w:rsidR="00A55EBB" w:rsidRPr="00AB202F" w:rsidRDefault="00A55EBB" w:rsidP="00A13627">
            <w:pPr>
              <w:rPr>
                <w:rFonts w:cs="Arial"/>
                <w:sz w:val="18"/>
                <w:szCs w:val="18"/>
              </w:rPr>
            </w:pPr>
            <w:r w:rsidRPr="00AB202F">
              <w:rPr>
                <w:rFonts w:cs="Arial"/>
                <w:sz w:val="18"/>
                <w:szCs w:val="18"/>
              </w:rPr>
              <w:t>Other</w:t>
            </w:r>
          </w:p>
        </w:tc>
        <w:tc>
          <w:tcPr>
            <w:tcW w:w="2268" w:type="dxa"/>
            <w:tcBorders>
              <w:left w:val="single" w:sz="4" w:space="0" w:color="A6A6A6" w:themeColor="background1" w:themeShade="A6"/>
            </w:tcBorders>
            <w:tcMar>
              <w:left w:w="0" w:type="dxa"/>
            </w:tcMar>
          </w:tcPr>
          <w:p w14:paraId="0EE331D7" w14:textId="77777777" w:rsidR="00A55EBB" w:rsidRPr="00AB202F" w:rsidRDefault="00A55EBB" w:rsidP="00AB202F">
            <w:pPr>
              <w:jc w:val="center"/>
              <w:rPr>
                <w:rFonts w:cs="Arial"/>
                <w:sz w:val="18"/>
                <w:szCs w:val="18"/>
              </w:rPr>
            </w:pPr>
            <w:r w:rsidRPr="00AB202F">
              <w:rPr>
                <w:rFonts w:cs="Arial"/>
                <w:sz w:val="18"/>
                <w:szCs w:val="18"/>
              </w:rPr>
              <w:t>0.4</w:t>
            </w:r>
          </w:p>
        </w:tc>
        <w:tc>
          <w:tcPr>
            <w:tcW w:w="2268" w:type="dxa"/>
            <w:tcMar>
              <w:left w:w="0" w:type="dxa"/>
              <w:right w:w="0" w:type="dxa"/>
            </w:tcMar>
          </w:tcPr>
          <w:p w14:paraId="3CFBCB64" w14:textId="77777777" w:rsidR="00A55EBB" w:rsidRPr="00A55EBB" w:rsidRDefault="00A53BC2" w:rsidP="00A55EBB">
            <w:pPr>
              <w:jc w:val="center"/>
              <w:rPr>
                <w:rFonts w:cs="Arial"/>
                <w:sz w:val="18"/>
                <w:szCs w:val="18"/>
              </w:rPr>
            </w:pPr>
            <w:r>
              <w:rPr>
                <w:rFonts w:cs="Arial"/>
                <w:sz w:val="18"/>
                <w:szCs w:val="18"/>
              </w:rPr>
              <w:t>-</w:t>
            </w:r>
            <w:r w:rsidR="00617FD9">
              <w:rPr>
                <w:rFonts w:cs="Arial"/>
                <w:sz w:val="18"/>
                <w:szCs w:val="18"/>
              </w:rPr>
              <w:t xml:space="preserve"> </w:t>
            </w:r>
            <w:r>
              <w:rPr>
                <w:rFonts w:cs="Arial"/>
                <w:sz w:val="18"/>
                <w:szCs w:val="18"/>
              </w:rPr>
              <w:t>0.7</w:t>
            </w:r>
            <w:r w:rsidR="00592488" w:rsidRPr="00B0708D">
              <w:rPr>
                <w:rFonts w:cs="Arial"/>
                <w:sz w:val="18"/>
                <w:szCs w:val="18"/>
                <w:vertAlign w:val="superscript"/>
              </w:rPr>
              <w:t>1</w:t>
            </w:r>
          </w:p>
        </w:tc>
      </w:tr>
      <w:tr w:rsidR="00A55EBB" w:rsidRPr="00AB202F" w14:paraId="747CDC76" w14:textId="77777777" w:rsidTr="00A13627">
        <w:trPr>
          <w:trHeight w:val="360"/>
        </w:trPr>
        <w:tc>
          <w:tcPr>
            <w:tcW w:w="4678" w:type="dxa"/>
            <w:tcBorders>
              <w:bottom w:val="single" w:sz="4" w:space="0" w:color="999999"/>
              <w:right w:val="single" w:sz="4" w:space="0" w:color="A6A6A6" w:themeColor="background1" w:themeShade="A6"/>
            </w:tcBorders>
          </w:tcPr>
          <w:p w14:paraId="4DF34D6B" w14:textId="77777777" w:rsidR="00A55EBB" w:rsidRPr="00AB202F" w:rsidRDefault="00A55EBB" w:rsidP="00A13627">
            <w:pPr>
              <w:rPr>
                <w:rFonts w:cs="Arial"/>
                <w:b/>
                <w:sz w:val="18"/>
                <w:szCs w:val="18"/>
              </w:rPr>
            </w:pPr>
            <w:r w:rsidRPr="00AB202F">
              <w:rPr>
                <w:rFonts w:cs="Arial"/>
                <w:b/>
                <w:sz w:val="18"/>
                <w:szCs w:val="18"/>
              </w:rPr>
              <w:t>Non-System Capex</w:t>
            </w:r>
          </w:p>
        </w:tc>
        <w:tc>
          <w:tcPr>
            <w:tcW w:w="2268" w:type="dxa"/>
            <w:tcBorders>
              <w:left w:val="single" w:sz="4" w:space="0" w:color="A6A6A6" w:themeColor="background1" w:themeShade="A6"/>
            </w:tcBorders>
            <w:tcMar>
              <w:left w:w="0" w:type="dxa"/>
            </w:tcMar>
          </w:tcPr>
          <w:p w14:paraId="09EDE169" w14:textId="77777777" w:rsidR="00A55EBB" w:rsidRPr="00AB202F" w:rsidRDefault="00A55EBB" w:rsidP="00AB202F">
            <w:pPr>
              <w:jc w:val="center"/>
              <w:rPr>
                <w:rFonts w:cs="Arial"/>
                <w:sz w:val="18"/>
                <w:szCs w:val="18"/>
              </w:rPr>
            </w:pPr>
          </w:p>
        </w:tc>
        <w:tc>
          <w:tcPr>
            <w:tcW w:w="2268" w:type="dxa"/>
            <w:tcMar>
              <w:left w:w="0" w:type="dxa"/>
              <w:right w:w="0" w:type="dxa"/>
            </w:tcMar>
          </w:tcPr>
          <w:p w14:paraId="05ED1CF7" w14:textId="77777777" w:rsidR="00A55EBB" w:rsidRPr="00A55EBB" w:rsidRDefault="00A55EBB" w:rsidP="00A55EBB">
            <w:pPr>
              <w:jc w:val="center"/>
              <w:rPr>
                <w:rFonts w:cs="Arial"/>
                <w:sz w:val="18"/>
                <w:szCs w:val="18"/>
              </w:rPr>
            </w:pPr>
          </w:p>
        </w:tc>
      </w:tr>
      <w:tr w:rsidR="00A55EBB" w:rsidRPr="008A4655" w14:paraId="1E4B48A1" w14:textId="77777777" w:rsidTr="00A13627">
        <w:trPr>
          <w:trHeight w:val="360"/>
        </w:trPr>
        <w:tc>
          <w:tcPr>
            <w:tcW w:w="4678" w:type="dxa"/>
            <w:tcBorders>
              <w:bottom w:val="single" w:sz="4" w:space="0" w:color="999999"/>
              <w:right w:val="single" w:sz="4" w:space="0" w:color="A6A6A6" w:themeColor="background1" w:themeShade="A6"/>
            </w:tcBorders>
          </w:tcPr>
          <w:p w14:paraId="75228590" w14:textId="77777777" w:rsidR="00A55EBB" w:rsidRPr="00AB202F" w:rsidRDefault="00A55EBB" w:rsidP="00617FD9">
            <w:pPr>
              <w:rPr>
                <w:rFonts w:cs="Arial"/>
                <w:sz w:val="18"/>
                <w:szCs w:val="18"/>
              </w:rPr>
            </w:pPr>
            <w:r w:rsidRPr="00AB202F">
              <w:rPr>
                <w:rFonts w:cs="Arial"/>
                <w:sz w:val="18"/>
                <w:szCs w:val="18"/>
              </w:rPr>
              <w:t>Non-network</w:t>
            </w:r>
            <w:r w:rsidR="00617FD9">
              <w:rPr>
                <w:rFonts w:cs="Arial"/>
                <w:sz w:val="18"/>
                <w:szCs w:val="18"/>
              </w:rPr>
              <w:t xml:space="preserve"> - </w:t>
            </w:r>
            <w:r w:rsidRPr="00AB202F">
              <w:rPr>
                <w:rFonts w:cs="Arial"/>
                <w:sz w:val="18"/>
                <w:szCs w:val="18"/>
              </w:rPr>
              <w:t>IT and Communications Capex</w:t>
            </w:r>
          </w:p>
        </w:tc>
        <w:tc>
          <w:tcPr>
            <w:tcW w:w="2268" w:type="dxa"/>
            <w:tcBorders>
              <w:left w:val="single" w:sz="4" w:space="0" w:color="A6A6A6" w:themeColor="background1" w:themeShade="A6"/>
            </w:tcBorders>
            <w:tcMar>
              <w:left w:w="0" w:type="dxa"/>
            </w:tcMar>
          </w:tcPr>
          <w:p w14:paraId="486AD854" w14:textId="77777777" w:rsidR="00A55EBB" w:rsidRPr="00AB202F" w:rsidRDefault="00A55EBB" w:rsidP="00AB202F">
            <w:pPr>
              <w:jc w:val="center"/>
              <w:rPr>
                <w:rFonts w:cs="Arial"/>
                <w:sz w:val="18"/>
                <w:szCs w:val="18"/>
              </w:rPr>
            </w:pPr>
            <w:r w:rsidRPr="00AB202F">
              <w:rPr>
                <w:rFonts w:cs="Arial"/>
                <w:sz w:val="18"/>
                <w:szCs w:val="18"/>
              </w:rPr>
              <w:t>3.1</w:t>
            </w:r>
          </w:p>
        </w:tc>
        <w:tc>
          <w:tcPr>
            <w:tcW w:w="2268" w:type="dxa"/>
            <w:tcMar>
              <w:left w:w="0" w:type="dxa"/>
              <w:right w:w="0" w:type="dxa"/>
            </w:tcMar>
          </w:tcPr>
          <w:p w14:paraId="45F9E176" w14:textId="77777777" w:rsidR="00A55EBB" w:rsidRPr="00A55EBB" w:rsidRDefault="00A55EBB" w:rsidP="00A55EBB">
            <w:pPr>
              <w:jc w:val="center"/>
              <w:rPr>
                <w:rFonts w:cs="Arial"/>
                <w:sz w:val="18"/>
                <w:szCs w:val="18"/>
              </w:rPr>
            </w:pPr>
            <w:r w:rsidRPr="00A55EBB">
              <w:rPr>
                <w:rFonts w:cs="Arial"/>
                <w:sz w:val="18"/>
                <w:szCs w:val="18"/>
              </w:rPr>
              <w:t>0.0</w:t>
            </w:r>
          </w:p>
        </w:tc>
      </w:tr>
      <w:tr w:rsidR="00A55EBB" w:rsidRPr="008A4655" w14:paraId="3074D9DC" w14:textId="77777777" w:rsidTr="00A13627">
        <w:trPr>
          <w:trHeight w:val="360"/>
        </w:trPr>
        <w:tc>
          <w:tcPr>
            <w:tcW w:w="4678" w:type="dxa"/>
            <w:tcBorders>
              <w:bottom w:val="single" w:sz="4" w:space="0" w:color="999999"/>
              <w:right w:val="single" w:sz="4" w:space="0" w:color="A6A6A6" w:themeColor="background1" w:themeShade="A6"/>
            </w:tcBorders>
          </w:tcPr>
          <w:p w14:paraId="492E1D62" w14:textId="77777777" w:rsidR="00A55EBB" w:rsidRPr="00AB202F" w:rsidRDefault="00A55EBB" w:rsidP="00617FD9">
            <w:pPr>
              <w:rPr>
                <w:rFonts w:cs="Arial"/>
                <w:sz w:val="18"/>
                <w:szCs w:val="18"/>
              </w:rPr>
            </w:pPr>
            <w:r w:rsidRPr="00AB202F">
              <w:rPr>
                <w:rFonts w:cs="Arial"/>
                <w:sz w:val="18"/>
                <w:szCs w:val="18"/>
              </w:rPr>
              <w:t>Non-network</w:t>
            </w:r>
            <w:r w:rsidR="00617FD9">
              <w:rPr>
                <w:rFonts w:cs="Arial"/>
                <w:sz w:val="18"/>
                <w:szCs w:val="18"/>
              </w:rPr>
              <w:t xml:space="preserve"> - </w:t>
            </w:r>
            <w:r w:rsidRPr="00AB202F">
              <w:rPr>
                <w:rFonts w:cs="Arial"/>
                <w:sz w:val="18"/>
                <w:szCs w:val="18"/>
              </w:rPr>
              <w:t>Motor Vehicles Capex</w:t>
            </w:r>
          </w:p>
        </w:tc>
        <w:tc>
          <w:tcPr>
            <w:tcW w:w="2268" w:type="dxa"/>
            <w:tcBorders>
              <w:left w:val="single" w:sz="4" w:space="0" w:color="A6A6A6" w:themeColor="background1" w:themeShade="A6"/>
            </w:tcBorders>
            <w:tcMar>
              <w:left w:w="0" w:type="dxa"/>
            </w:tcMar>
          </w:tcPr>
          <w:p w14:paraId="092A0ABA" w14:textId="77777777" w:rsidR="00A55EBB" w:rsidRPr="00AB202F" w:rsidRDefault="00A55EBB" w:rsidP="00AB202F">
            <w:pPr>
              <w:jc w:val="center"/>
              <w:rPr>
                <w:rFonts w:cs="Arial"/>
                <w:sz w:val="18"/>
                <w:szCs w:val="18"/>
              </w:rPr>
            </w:pPr>
            <w:r w:rsidRPr="00AB202F">
              <w:rPr>
                <w:rFonts w:cs="Arial"/>
                <w:sz w:val="18"/>
                <w:szCs w:val="18"/>
              </w:rPr>
              <w:t>0.0</w:t>
            </w:r>
          </w:p>
        </w:tc>
        <w:tc>
          <w:tcPr>
            <w:tcW w:w="2268" w:type="dxa"/>
            <w:tcMar>
              <w:left w:w="0" w:type="dxa"/>
              <w:right w:w="0" w:type="dxa"/>
            </w:tcMar>
          </w:tcPr>
          <w:p w14:paraId="2CEA380B" w14:textId="77777777" w:rsidR="00A55EBB" w:rsidRPr="00A55EBB" w:rsidRDefault="00A55EBB" w:rsidP="00A55EBB">
            <w:pPr>
              <w:jc w:val="center"/>
              <w:rPr>
                <w:rFonts w:cs="Arial"/>
                <w:sz w:val="18"/>
                <w:szCs w:val="18"/>
              </w:rPr>
            </w:pPr>
            <w:r w:rsidRPr="00A55EBB">
              <w:rPr>
                <w:rFonts w:cs="Arial"/>
                <w:sz w:val="18"/>
                <w:szCs w:val="18"/>
              </w:rPr>
              <w:t>0.0</w:t>
            </w:r>
          </w:p>
        </w:tc>
      </w:tr>
      <w:tr w:rsidR="00A55EBB" w:rsidRPr="008A4655" w14:paraId="5B465572" w14:textId="77777777" w:rsidTr="00A13627">
        <w:trPr>
          <w:trHeight w:val="360"/>
        </w:trPr>
        <w:tc>
          <w:tcPr>
            <w:tcW w:w="4678" w:type="dxa"/>
            <w:tcBorders>
              <w:bottom w:val="single" w:sz="4" w:space="0" w:color="999999"/>
              <w:right w:val="single" w:sz="4" w:space="0" w:color="A6A6A6" w:themeColor="background1" w:themeShade="A6"/>
            </w:tcBorders>
          </w:tcPr>
          <w:p w14:paraId="0DD69AED" w14:textId="77777777" w:rsidR="00A55EBB" w:rsidRPr="00AB202F" w:rsidRDefault="00A55EBB" w:rsidP="00617FD9">
            <w:pPr>
              <w:rPr>
                <w:rFonts w:cs="Arial"/>
                <w:sz w:val="18"/>
                <w:szCs w:val="18"/>
              </w:rPr>
            </w:pPr>
            <w:r w:rsidRPr="00AB202F">
              <w:rPr>
                <w:rFonts w:cs="Arial"/>
                <w:sz w:val="18"/>
                <w:szCs w:val="18"/>
              </w:rPr>
              <w:t>Non-network</w:t>
            </w:r>
            <w:r w:rsidR="00617FD9">
              <w:rPr>
                <w:rFonts w:cs="Arial"/>
                <w:sz w:val="18"/>
                <w:szCs w:val="18"/>
              </w:rPr>
              <w:t xml:space="preserve"> - </w:t>
            </w:r>
            <w:r w:rsidRPr="00AB202F">
              <w:rPr>
                <w:rFonts w:cs="Arial"/>
                <w:sz w:val="18"/>
                <w:szCs w:val="18"/>
              </w:rPr>
              <w:t>Property Capex</w:t>
            </w:r>
          </w:p>
        </w:tc>
        <w:tc>
          <w:tcPr>
            <w:tcW w:w="2268" w:type="dxa"/>
            <w:tcBorders>
              <w:left w:val="single" w:sz="4" w:space="0" w:color="A6A6A6" w:themeColor="background1" w:themeShade="A6"/>
            </w:tcBorders>
            <w:tcMar>
              <w:left w:w="0" w:type="dxa"/>
            </w:tcMar>
          </w:tcPr>
          <w:p w14:paraId="7D022CF1" w14:textId="77777777" w:rsidR="00A55EBB" w:rsidRPr="00AB202F" w:rsidRDefault="00A55EBB" w:rsidP="00AB202F">
            <w:pPr>
              <w:jc w:val="center"/>
              <w:rPr>
                <w:rFonts w:cs="Arial"/>
                <w:sz w:val="18"/>
                <w:szCs w:val="18"/>
              </w:rPr>
            </w:pPr>
            <w:r w:rsidRPr="00AB202F">
              <w:rPr>
                <w:rFonts w:cs="Arial"/>
                <w:sz w:val="18"/>
                <w:szCs w:val="18"/>
              </w:rPr>
              <w:t>0.0</w:t>
            </w:r>
          </w:p>
        </w:tc>
        <w:tc>
          <w:tcPr>
            <w:tcW w:w="2268" w:type="dxa"/>
            <w:tcMar>
              <w:left w:w="0" w:type="dxa"/>
              <w:right w:w="0" w:type="dxa"/>
            </w:tcMar>
          </w:tcPr>
          <w:p w14:paraId="57831841" w14:textId="77777777" w:rsidR="00A55EBB" w:rsidRPr="00A55EBB" w:rsidRDefault="00A55EBB" w:rsidP="00A55EBB">
            <w:pPr>
              <w:jc w:val="center"/>
              <w:rPr>
                <w:rFonts w:cs="Arial"/>
                <w:sz w:val="18"/>
                <w:szCs w:val="18"/>
              </w:rPr>
            </w:pPr>
            <w:r w:rsidRPr="00A55EBB">
              <w:rPr>
                <w:rFonts w:cs="Arial"/>
                <w:sz w:val="18"/>
                <w:szCs w:val="18"/>
              </w:rPr>
              <w:t>0.0</w:t>
            </w:r>
          </w:p>
        </w:tc>
      </w:tr>
      <w:tr w:rsidR="00A55EBB" w:rsidRPr="008A4655" w14:paraId="097625ED" w14:textId="77777777" w:rsidTr="00A55EBB">
        <w:trPr>
          <w:trHeight w:val="360"/>
        </w:trPr>
        <w:tc>
          <w:tcPr>
            <w:tcW w:w="4678" w:type="dxa"/>
            <w:tcBorders>
              <w:bottom w:val="single" w:sz="4" w:space="0" w:color="999999"/>
              <w:right w:val="single" w:sz="4" w:space="0" w:color="A6A6A6" w:themeColor="background1" w:themeShade="A6"/>
            </w:tcBorders>
          </w:tcPr>
          <w:p w14:paraId="3448DC78" w14:textId="77777777" w:rsidR="00A55EBB" w:rsidRPr="00AB202F" w:rsidRDefault="00A55EBB" w:rsidP="00617FD9">
            <w:pPr>
              <w:rPr>
                <w:rFonts w:cs="Arial"/>
                <w:sz w:val="18"/>
                <w:szCs w:val="18"/>
              </w:rPr>
            </w:pPr>
            <w:r w:rsidRPr="00AB202F">
              <w:rPr>
                <w:rFonts w:cs="Arial"/>
                <w:sz w:val="18"/>
                <w:szCs w:val="18"/>
              </w:rPr>
              <w:t>Non-network</w:t>
            </w:r>
            <w:r w:rsidR="00617FD9">
              <w:rPr>
                <w:rFonts w:cs="Arial"/>
                <w:sz w:val="18"/>
                <w:szCs w:val="18"/>
              </w:rPr>
              <w:t xml:space="preserve"> - </w:t>
            </w:r>
            <w:r w:rsidRPr="00AB202F">
              <w:rPr>
                <w:rFonts w:cs="Arial"/>
                <w:sz w:val="18"/>
                <w:szCs w:val="18"/>
              </w:rPr>
              <w:t>Plant &amp; Equipment Capex</w:t>
            </w:r>
          </w:p>
        </w:tc>
        <w:tc>
          <w:tcPr>
            <w:tcW w:w="2268" w:type="dxa"/>
            <w:tcBorders>
              <w:left w:val="single" w:sz="4" w:space="0" w:color="A6A6A6" w:themeColor="background1" w:themeShade="A6"/>
              <w:bottom w:val="single" w:sz="4" w:space="0" w:color="999999"/>
            </w:tcBorders>
            <w:tcMar>
              <w:left w:w="0" w:type="dxa"/>
            </w:tcMar>
          </w:tcPr>
          <w:p w14:paraId="6A3EAA34" w14:textId="77777777" w:rsidR="00A55EBB" w:rsidRPr="00AB202F" w:rsidRDefault="00A55EBB" w:rsidP="00AB202F">
            <w:pPr>
              <w:jc w:val="center"/>
              <w:rPr>
                <w:rFonts w:cs="Arial"/>
                <w:sz w:val="18"/>
                <w:szCs w:val="18"/>
              </w:rPr>
            </w:pPr>
            <w:r w:rsidRPr="00AB202F">
              <w:rPr>
                <w:rFonts w:cs="Arial"/>
                <w:sz w:val="18"/>
                <w:szCs w:val="18"/>
              </w:rPr>
              <w:t>8.9</w:t>
            </w:r>
          </w:p>
        </w:tc>
        <w:tc>
          <w:tcPr>
            <w:tcW w:w="2268" w:type="dxa"/>
            <w:tcBorders>
              <w:bottom w:val="single" w:sz="4" w:space="0" w:color="999999"/>
            </w:tcBorders>
            <w:tcMar>
              <w:left w:w="0" w:type="dxa"/>
              <w:right w:w="0" w:type="dxa"/>
            </w:tcMar>
          </w:tcPr>
          <w:p w14:paraId="01147917" w14:textId="77777777" w:rsidR="00A55EBB" w:rsidRPr="00A55EBB" w:rsidRDefault="00A55EBB" w:rsidP="00A55EBB">
            <w:pPr>
              <w:jc w:val="center"/>
              <w:rPr>
                <w:rFonts w:cs="Arial"/>
                <w:sz w:val="18"/>
                <w:szCs w:val="18"/>
              </w:rPr>
            </w:pPr>
            <w:r w:rsidRPr="00A55EBB">
              <w:rPr>
                <w:rFonts w:cs="Arial"/>
                <w:sz w:val="18"/>
                <w:szCs w:val="18"/>
              </w:rPr>
              <w:t>19.7</w:t>
            </w:r>
          </w:p>
        </w:tc>
      </w:tr>
      <w:tr w:rsidR="00A55EBB" w:rsidRPr="008A4655" w14:paraId="0FE0EA76" w14:textId="77777777" w:rsidTr="00A55EBB">
        <w:trPr>
          <w:trHeight w:val="360"/>
        </w:trPr>
        <w:tc>
          <w:tcPr>
            <w:tcW w:w="4678" w:type="dxa"/>
            <w:tcBorders>
              <w:bottom w:val="single" w:sz="4" w:space="0" w:color="auto"/>
              <w:right w:val="single" w:sz="4" w:space="0" w:color="A6A6A6" w:themeColor="background1" w:themeShade="A6"/>
            </w:tcBorders>
          </w:tcPr>
          <w:p w14:paraId="14999BEA" w14:textId="77777777" w:rsidR="00A55EBB" w:rsidRPr="00AB202F" w:rsidRDefault="00A55EBB" w:rsidP="00617FD9">
            <w:pPr>
              <w:rPr>
                <w:rFonts w:cs="Arial"/>
                <w:sz w:val="18"/>
                <w:szCs w:val="18"/>
              </w:rPr>
            </w:pPr>
            <w:r w:rsidRPr="00AB202F">
              <w:rPr>
                <w:rFonts w:cs="Arial"/>
                <w:sz w:val="18"/>
                <w:szCs w:val="18"/>
              </w:rPr>
              <w:t>Non-network</w:t>
            </w:r>
            <w:r w:rsidR="00617FD9">
              <w:rPr>
                <w:rFonts w:cs="Arial"/>
                <w:sz w:val="18"/>
                <w:szCs w:val="18"/>
              </w:rPr>
              <w:t xml:space="preserve"> - </w:t>
            </w:r>
            <w:r w:rsidRPr="00AB202F">
              <w:rPr>
                <w:rFonts w:cs="Arial"/>
                <w:sz w:val="18"/>
                <w:szCs w:val="18"/>
              </w:rPr>
              <w:t>Other capex</w:t>
            </w:r>
          </w:p>
        </w:tc>
        <w:tc>
          <w:tcPr>
            <w:tcW w:w="2268" w:type="dxa"/>
            <w:tcBorders>
              <w:left w:val="single" w:sz="4" w:space="0" w:color="A6A6A6" w:themeColor="background1" w:themeShade="A6"/>
              <w:bottom w:val="single" w:sz="4" w:space="0" w:color="auto"/>
            </w:tcBorders>
            <w:tcMar>
              <w:left w:w="0" w:type="dxa"/>
            </w:tcMar>
          </w:tcPr>
          <w:p w14:paraId="63FF226E" w14:textId="77777777" w:rsidR="00A55EBB" w:rsidRPr="00AB202F" w:rsidRDefault="00A55EBB" w:rsidP="00AB202F">
            <w:pPr>
              <w:jc w:val="center"/>
              <w:rPr>
                <w:rFonts w:cs="Arial"/>
                <w:sz w:val="18"/>
                <w:szCs w:val="18"/>
              </w:rPr>
            </w:pPr>
            <w:r w:rsidRPr="00AB202F">
              <w:rPr>
                <w:rFonts w:cs="Arial"/>
                <w:sz w:val="18"/>
                <w:szCs w:val="18"/>
              </w:rPr>
              <w:t>0.7</w:t>
            </w:r>
          </w:p>
        </w:tc>
        <w:tc>
          <w:tcPr>
            <w:tcW w:w="2268" w:type="dxa"/>
            <w:tcBorders>
              <w:bottom w:val="single" w:sz="4" w:space="0" w:color="auto"/>
            </w:tcBorders>
            <w:tcMar>
              <w:left w:w="0" w:type="dxa"/>
              <w:right w:w="0" w:type="dxa"/>
            </w:tcMar>
          </w:tcPr>
          <w:p w14:paraId="4DD8C3EB" w14:textId="77777777" w:rsidR="00A55EBB" w:rsidRPr="00A55EBB" w:rsidRDefault="00A55EBB" w:rsidP="00A55EBB">
            <w:pPr>
              <w:jc w:val="center"/>
              <w:rPr>
                <w:rFonts w:cs="Arial"/>
                <w:sz w:val="18"/>
                <w:szCs w:val="18"/>
              </w:rPr>
            </w:pPr>
            <w:r w:rsidRPr="00A55EBB">
              <w:rPr>
                <w:rFonts w:cs="Arial"/>
                <w:sz w:val="18"/>
                <w:szCs w:val="18"/>
              </w:rPr>
              <w:t>1.8</w:t>
            </w:r>
          </w:p>
        </w:tc>
      </w:tr>
      <w:tr w:rsidR="00AB202F" w:rsidRPr="00A55EBB" w14:paraId="0CF8D9DB" w14:textId="77777777" w:rsidTr="00A55EBB">
        <w:trPr>
          <w:trHeight w:val="360"/>
        </w:trPr>
        <w:tc>
          <w:tcPr>
            <w:tcW w:w="4678" w:type="dxa"/>
            <w:tcBorders>
              <w:top w:val="single" w:sz="4" w:space="0" w:color="auto"/>
              <w:bottom w:val="single" w:sz="4" w:space="0" w:color="000000"/>
              <w:right w:val="single" w:sz="4" w:space="0" w:color="A6A6A6" w:themeColor="background1" w:themeShade="A6"/>
            </w:tcBorders>
            <w:vAlign w:val="center"/>
          </w:tcPr>
          <w:p w14:paraId="428F6D69" w14:textId="77777777" w:rsidR="00AB202F" w:rsidRPr="00A55EBB" w:rsidRDefault="00A55EBB" w:rsidP="00A13627">
            <w:pPr>
              <w:pStyle w:val="UtilComTabletext"/>
              <w:rPr>
                <w:b/>
              </w:rPr>
            </w:pPr>
            <w:r w:rsidRPr="00A55EBB">
              <w:rPr>
                <w:b/>
              </w:rPr>
              <w:t>Total</w:t>
            </w:r>
          </w:p>
        </w:tc>
        <w:tc>
          <w:tcPr>
            <w:tcW w:w="2268" w:type="dxa"/>
            <w:tcBorders>
              <w:top w:val="single" w:sz="4" w:space="0" w:color="auto"/>
              <w:left w:val="single" w:sz="4" w:space="0" w:color="A6A6A6" w:themeColor="background1" w:themeShade="A6"/>
              <w:bottom w:val="single" w:sz="4" w:space="0" w:color="000000"/>
            </w:tcBorders>
            <w:tcMar>
              <w:left w:w="0" w:type="dxa"/>
            </w:tcMar>
            <w:vAlign w:val="center"/>
          </w:tcPr>
          <w:p w14:paraId="136525FF" w14:textId="77777777" w:rsidR="00AB202F" w:rsidRPr="00A55EBB" w:rsidRDefault="00A55EBB" w:rsidP="00AB202F">
            <w:pPr>
              <w:pStyle w:val="UtilComTabletext"/>
              <w:jc w:val="center"/>
              <w:rPr>
                <w:b/>
              </w:rPr>
            </w:pPr>
            <w:r>
              <w:rPr>
                <w:b/>
              </w:rPr>
              <w:t>930.1</w:t>
            </w:r>
          </w:p>
        </w:tc>
        <w:tc>
          <w:tcPr>
            <w:tcW w:w="2268" w:type="dxa"/>
            <w:tcBorders>
              <w:top w:val="single" w:sz="4" w:space="0" w:color="auto"/>
              <w:bottom w:val="single" w:sz="4" w:space="0" w:color="000000"/>
            </w:tcBorders>
            <w:tcMar>
              <w:left w:w="0" w:type="dxa"/>
              <w:right w:w="0" w:type="dxa"/>
            </w:tcMar>
            <w:vAlign w:val="center"/>
          </w:tcPr>
          <w:p w14:paraId="2A6F5ABD" w14:textId="77777777" w:rsidR="00AB202F" w:rsidRPr="00A55EBB" w:rsidRDefault="00A53BC2" w:rsidP="00A55EBB">
            <w:pPr>
              <w:jc w:val="center"/>
              <w:rPr>
                <w:rFonts w:cs="Arial"/>
                <w:b/>
                <w:sz w:val="18"/>
                <w:szCs w:val="18"/>
              </w:rPr>
            </w:pPr>
            <w:r>
              <w:rPr>
                <w:rFonts w:cs="Arial"/>
                <w:b/>
                <w:sz w:val="18"/>
                <w:szCs w:val="18"/>
              </w:rPr>
              <w:t>916.4</w:t>
            </w:r>
          </w:p>
        </w:tc>
      </w:tr>
    </w:tbl>
    <w:p w14:paraId="41CA6E31" w14:textId="53CB4252" w:rsidR="00AB202F" w:rsidRDefault="00AB202F" w:rsidP="00AB202F">
      <w:pPr>
        <w:pStyle w:val="UtilComReferenceSource"/>
        <w:rPr>
          <w:lang w:val="en-AU"/>
        </w:rPr>
      </w:pPr>
      <w:r>
        <w:rPr>
          <w:lang w:val="en-AU"/>
        </w:rPr>
        <w:t>Source: PWC</w:t>
      </w:r>
      <w:r w:rsidR="00464F29">
        <w:rPr>
          <w:lang w:val="en-AU"/>
        </w:rPr>
        <w:t> Networks</w:t>
      </w:r>
      <w:r w:rsidR="00D624BF">
        <w:rPr>
          <w:lang w:val="en-AU"/>
        </w:rPr>
        <w:t>’</w:t>
      </w:r>
      <w:r>
        <w:rPr>
          <w:lang w:val="en-AU"/>
        </w:rPr>
        <w:t xml:space="preserve"> </w:t>
      </w:r>
      <w:r w:rsidR="006F0659">
        <w:rPr>
          <w:lang w:val="en-AU"/>
        </w:rPr>
        <w:t>i</w:t>
      </w:r>
      <w:r w:rsidR="00A3505A">
        <w:rPr>
          <w:lang w:val="en-AU"/>
        </w:rPr>
        <w:t xml:space="preserve">nitial </w:t>
      </w:r>
      <w:r w:rsidR="006F0659">
        <w:rPr>
          <w:lang w:val="en-AU"/>
        </w:rPr>
        <w:t>r</w:t>
      </w:r>
      <w:r>
        <w:rPr>
          <w:lang w:val="en-AU"/>
        </w:rPr>
        <w:t xml:space="preserve">egulatory </w:t>
      </w:r>
      <w:r w:rsidR="006F0659">
        <w:rPr>
          <w:lang w:val="en-AU"/>
        </w:rPr>
        <w:t>p</w:t>
      </w:r>
      <w:r>
        <w:rPr>
          <w:lang w:val="en-AU"/>
        </w:rPr>
        <w:t xml:space="preserve">roposal </w:t>
      </w:r>
      <w:r w:rsidR="00A53BC2">
        <w:rPr>
          <w:lang w:val="en-AU"/>
        </w:rPr>
        <w:br/>
      </w:r>
      <w:r w:rsidR="00A53BC2" w:rsidRPr="00BB4311">
        <w:rPr>
          <w:vertAlign w:val="superscript"/>
          <w:lang w:val="en-AU"/>
        </w:rPr>
        <w:t>1</w:t>
      </w:r>
      <w:r w:rsidR="00A53BC2">
        <w:rPr>
          <w:lang w:val="en-AU"/>
        </w:rPr>
        <w:t xml:space="preserve"> Negative value </w:t>
      </w:r>
      <w:r w:rsidR="00F60A71">
        <w:rPr>
          <w:lang w:val="en-AU"/>
        </w:rPr>
        <w:t xml:space="preserve">due to adjustment in RFM for difference between forecast and actual </w:t>
      </w:r>
      <w:r w:rsidR="00F60A71" w:rsidRPr="00F60A71">
        <w:rPr>
          <w:lang w:val="en-AU"/>
        </w:rPr>
        <w:t xml:space="preserve">capex values in the final year of the </w:t>
      </w:r>
      <w:r w:rsidR="007669D5">
        <w:rPr>
          <w:lang w:val="en-AU"/>
        </w:rPr>
        <w:t>2004-09</w:t>
      </w:r>
      <w:r w:rsidR="007669D5" w:rsidRPr="00F60A71">
        <w:rPr>
          <w:lang w:val="en-AU"/>
        </w:rPr>
        <w:t xml:space="preserve"> </w:t>
      </w:r>
      <w:r w:rsidR="00F60A71" w:rsidRPr="00F60A71">
        <w:rPr>
          <w:lang w:val="en-AU"/>
        </w:rPr>
        <w:t>regulatory control period</w:t>
      </w:r>
      <w:r w:rsidR="00F60A71">
        <w:rPr>
          <w:lang w:val="en-AU"/>
        </w:rPr>
        <w:t>.</w:t>
      </w:r>
    </w:p>
    <w:p w14:paraId="1BE22788" w14:textId="5108FECC" w:rsidR="00AC6617" w:rsidRDefault="00AC6617" w:rsidP="0024206D">
      <w:pPr>
        <w:pStyle w:val="NumberLevel2"/>
        <w:numPr>
          <w:ilvl w:val="1"/>
          <w:numId w:val="5"/>
        </w:numPr>
        <w:tabs>
          <w:tab w:val="num" w:pos="709"/>
        </w:tabs>
        <w:ind w:left="709" w:hanging="709"/>
        <w:rPr>
          <w:lang w:val="en-AU"/>
        </w:rPr>
      </w:pPr>
      <w:r>
        <w:rPr>
          <w:lang w:val="en-AU"/>
        </w:rPr>
        <w:t xml:space="preserve">In light of this, the Commission </w:t>
      </w:r>
      <w:r w:rsidR="00464F29">
        <w:rPr>
          <w:lang w:val="en-AU"/>
        </w:rPr>
        <w:t xml:space="preserve">saw </w:t>
      </w:r>
      <w:r w:rsidR="00737971">
        <w:rPr>
          <w:lang w:val="en-AU"/>
        </w:rPr>
        <w:t xml:space="preserve">advantages in adopting the </w:t>
      </w:r>
      <w:r w:rsidR="00497DE5">
        <w:rPr>
          <w:lang w:val="en-AU"/>
        </w:rPr>
        <w:t>opening RAB proposed by PWC Networks</w:t>
      </w:r>
      <w:r>
        <w:rPr>
          <w:lang w:val="en-AU"/>
        </w:rPr>
        <w:t xml:space="preserve">, </w:t>
      </w:r>
      <w:r w:rsidR="00D90301">
        <w:rPr>
          <w:lang w:val="en-AU"/>
        </w:rPr>
        <w:t xml:space="preserve">as it </w:t>
      </w:r>
      <w:r w:rsidR="00464F29">
        <w:rPr>
          <w:lang w:val="en-AU"/>
        </w:rPr>
        <w:t xml:space="preserve">provided </w:t>
      </w:r>
      <w:r w:rsidR="00D90301">
        <w:rPr>
          <w:lang w:val="en-AU"/>
        </w:rPr>
        <w:t xml:space="preserve">a firm basis for the disaggregation of </w:t>
      </w:r>
      <w:r w:rsidR="00464F29">
        <w:rPr>
          <w:lang w:val="en-AU"/>
        </w:rPr>
        <w:t>PWC Networks’ RAB</w:t>
      </w:r>
      <w:r w:rsidR="00D90301">
        <w:rPr>
          <w:lang w:val="en-AU"/>
        </w:rPr>
        <w:t xml:space="preserve"> into asset classes</w:t>
      </w:r>
      <w:r w:rsidR="00497DE5">
        <w:rPr>
          <w:lang w:val="en-AU"/>
        </w:rPr>
        <w:t xml:space="preserve"> going forward</w:t>
      </w:r>
      <w:r w:rsidR="00D90301">
        <w:rPr>
          <w:lang w:val="en-AU"/>
        </w:rPr>
        <w:t xml:space="preserve">. </w:t>
      </w:r>
    </w:p>
    <w:p w14:paraId="4E134C52" w14:textId="15EABB2E" w:rsidR="00F248A5" w:rsidRPr="00F248A5" w:rsidRDefault="00F248A5" w:rsidP="00F248A5">
      <w:pPr>
        <w:pStyle w:val="UtilComHeading3"/>
        <w:rPr>
          <w:lang w:val="en-AU"/>
        </w:rPr>
      </w:pPr>
      <w:r w:rsidRPr="00F248A5">
        <w:rPr>
          <w:lang w:val="en-AU"/>
        </w:rPr>
        <w:t xml:space="preserve">Escalation </w:t>
      </w:r>
      <w:r w:rsidR="0056323D">
        <w:rPr>
          <w:lang w:val="en-AU"/>
        </w:rPr>
        <w:t>R</w:t>
      </w:r>
      <w:r w:rsidR="0056323D" w:rsidRPr="00F248A5">
        <w:rPr>
          <w:lang w:val="en-AU"/>
        </w:rPr>
        <w:t xml:space="preserve">ate </w:t>
      </w:r>
      <w:r w:rsidRPr="00F248A5">
        <w:rPr>
          <w:lang w:val="en-AU"/>
        </w:rPr>
        <w:t xml:space="preserve">for RAB </w:t>
      </w:r>
      <w:r w:rsidR="0056323D">
        <w:rPr>
          <w:lang w:val="en-AU"/>
        </w:rPr>
        <w:t>R</w:t>
      </w:r>
      <w:r w:rsidR="0056323D" w:rsidRPr="00F248A5">
        <w:rPr>
          <w:lang w:val="en-AU"/>
        </w:rPr>
        <w:t xml:space="preserve">oll </w:t>
      </w:r>
      <w:r w:rsidR="0056323D">
        <w:rPr>
          <w:lang w:val="en-AU"/>
        </w:rPr>
        <w:t>F</w:t>
      </w:r>
      <w:r w:rsidR="0056323D" w:rsidRPr="00F248A5">
        <w:rPr>
          <w:lang w:val="en-AU"/>
        </w:rPr>
        <w:t>orward</w:t>
      </w:r>
    </w:p>
    <w:p w14:paraId="5563BD4E" w14:textId="6123B5B1" w:rsidR="00DF5F54" w:rsidRPr="00DF5F54" w:rsidRDefault="00F248A5" w:rsidP="0024206D">
      <w:pPr>
        <w:pStyle w:val="NumberLevel2"/>
        <w:numPr>
          <w:ilvl w:val="1"/>
          <w:numId w:val="5"/>
        </w:numPr>
        <w:tabs>
          <w:tab w:val="num" w:pos="709"/>
        </w:tabs>
        <w:ind w:left="709" w:hanging="709"/>
        <w:rPr>
          <w:lang w:val="en-AU"/>
        </w:rPr>
      </w:pPr>
      <w:r w:rsidRPr="00F36873">
        <w:rPr>
          <w:lang w:val="en-AU"/>
        </w:rPr>
        <w:t xml:space="preserve">The NER provides that the roll forward of the RAB be adjusted for actual inflation, consistent with the method used for the indexation of the control mechanism during the </w:t>
      </w:r>
      <w:r w:rsidR="00225582">
        <w:rPr>
          <w:lang w:val="en-AU"/>
        </w:rPr>
        <w:t>2009-14</w:t>
      </w:r>
      <w:r w:rsidR="00225582" w:rsidRPr="00F36873">
        <w:rPr>
          <w:lang w:val="en-AU"/>
        </w:rPr>
        <w:t xml:space="preserve"> </w:t>
      </w:r>
      <w:r w:rsidRPr="00F36873">
        <w:rPr>
          <w:lang w:val="en-AU"/>
        </w:rPr>
        <w:t>regulatory control period.</w:t>
      </w:r>
    </w:p>
    <w:p w14:paraId="6E62392B" w14:textId="699DF361" w:rsidR="008325D5" w:rsidRPr="00F36873" w:rsidRDefault="008325D5" w:rsidP="0024206D">
      <w:pPr>
        <w:pStyle w:val="NumberLevel2"/>
        <w:numPr>
          <w:ilvl w:val="1"/>
          <w:numId w:val="5"/>
        </w:numPr>
        <w:ind w:left="709" w:hanging="709"/>
        <w:rPr>
          <w:lang w:val="en-AU"/>
        </w:rPr>
      </w:pPr>
      <w:r w:rsidRPr="00F36873">
        <w:rPr>
          <w:lang w:val="en-AU"/>
        </w:rPr>
        <w:t xml:space="preserve">The method used for indexation of the control mechanism during the </w:t>
      </w:r>
      <w:r w:rsidR="007669D5">
        <w:rPr>
          <w:lang w:val="en-AU"/>
        </w:rPr>
        <w:t>2009-14</w:t>
      </w:r>
      <w:r w:rsidR="007669D5" w:rsidRPr="00F36873">
        <w:rPr>
          <w:lang w:val="en-AU"/>
        </w:rPr>
        <w:t xml:space="preserve"> </w:t>
      </w:r>
      <w:r w:rsidRPr="00F36873">
        <w:rPr>
          <w:lang w:val="en-AU"/>
        </w:rPr>
        <w:t xml:space="preserve">regulatory control period </w:t>
      </w:r>
      <w:r w:rsidR="00003986">
        <w:rPr>
          <w:lang w:val="en-AU"/>
        </w:rPr>
        <w:t xml:space="preserve">was to </w:t>
      </w:r>
      <w:r w:rsidRPr="00F36873">
        <w:rPr>
          <w:lang w:val="en-AU"/>
        </w:rPr>
        <w:t xml:space="preserve">use </w:t>
      </w:r>
      <w:r w:rsidR="00225582">
        <w:rPr>
          <w:lang w:val="en-AU"/>
        </w:rPr>
        <w:t>CPI.</w:t>
      </w:r>
      <w:r w:rsidR="00F36873" w:rsidRPr="00AB27EE">
        <w:rPr>
          <w:rStyle w:val="FootnoteReference"/>
          <w:lang w:val="en-AU"/>
        </w:rPr>
        <w:footnoteReference w:id="36"/>
      </w:r>
    </w:p>
    <w:p w14:paraId="49380CAC" w14:textId="043FE6C6" w:rsidR="009316C0" w:rsidRPr="00F36873" w:rsidRDefault="008325D5" w:rsidP="0024206D">
      <w:pPr>
        <w:pStyle w:val="NumberLevel2"/>
        <w:numPr>
          <w:ilvl w:val="1"/>
          <w:numId w:val="5"/>
        </w:numPr>
        <w:ind w:left="709" w:hanging="709"/>
        <w:rPr>
          <w:lang w:val="en-AU"/>
        </w:rPr>
      </w:pPr>
      <w:r w:rsidRPr="00F36873">
        <w:rPr>
          <w:lang w:val="en-AU"/>
        </w:rPr>
        <w:t xml:space="preserve">In rolling forward the </w:t>
      </w:r>
      <w:r w:rsidR="007E4665" w:rsidRPr="00F36873">
        <w:rPr>
          <w:lang w:val="en-AU"/>
        </w:rPr>
        <w:t>RAB from 2013 to 2014</w:t>
      </w:r>
      <w:r w:rsidRPr="00F36873">
        <w:rPr>
          <w:lang w:val="en-AU"/>
        </w:rPr>
        <w:t xml:space="preserve">, PWC Networks applied CPI based on a national forecast for </w:t>
      </w:r>
      <w:r w:rsidR="00225582">
        <w:rPr>
          <w:lang w:val="en-AU"/>
        </w:rPr>
        <w:t xml:space="preserve">the </w:t>
      </w:r>
      <w:r w:rsidRPr="00F36873">
        <w:rPr>
          <w:lang w:val="en-AU"/>
        </w:rPr>
        <w:t xml:space="preserve">2013-14 </w:t>
      </w:r>
      <w:r w:rsidR="00225582">
        <w:rPr>
          <w:lang w:val="en-AU"/>
        </w:rPr>
        <w:t xml:space="preserve">financial year </w:t>
      </w:r>
      <w:r w:rsidRPr="00F36873">
        <w:rPr>
          <w:lang w:val="en-AU"/>
        </w:rPr>
        <w:t xml:space="preserve">provided by Deloitte </w:t>
      </w:r>
      <w:r w:rsidR="00D304B9" w:rsidRPr="00F36873">
        <w:rPr>
          <w:lang w:val="en-AU"/>
        </w:rPr>
        <w:t>Access Economics</w:t>
      </w:r>
      <w:r w:rsidR="002E130D" w:rsidRPr="00F36873">
        <w:rPr>
          <w:lang w:val="en-AU"/>
        </w:rPr>
        <w:t>, as actual CPI w</w:t>
      </w:r>
      <w:r w:rsidR="00003986">
        <w:rPr>
          <w:lang w:val="en-AU"/>
        </w:rPr>
        <w:t xml:space="preserve">ould </w:t>
      </w:r>
      <w:r w:rsidR="002E130D" w:rsidRPr="00F36873">
        <w:rPr>
          <w:lang w:val="en-AU"/>
        </w:rPr>
        <w:t xml:space="preserve">not be available at the time of the Commission’s </w:t>
      </w:r>
      <w:r w:rsidR="00003986">
        <w:rPr>
          <w:lang w:val="en-AU"/>
        </w:rPr>
        <w:t>Draft Dete</w:t>
      </w:r>
      <w:r w:rsidR="002E130D" w:rsidRPr="00F36873">
        <w:rPr>
          <w:lang w:val="en-AU"/>
        </w:rPr>
        <w:t>rmination.</w:t>
      </w:r>
    </w:p>
    <w:p w14:paraId="064B0B76" w14:textId="24C6C664" w:rsidR="002E130D" w:rsidRDefault="002E130D" w:rsidP="0024206D">
      <w:pPr>
        <w:pStyle w:val="NumberLevel2"/>
        <w:numPr>
          <w:ilvl w:val="1"/>
          <w:numId w:val="5"/>
        </w:numPr>
        <w:ind w:left="709" w:hanging="709"/>
        <w:rPr>
          <w:lang w:val="en-AU"/>
        </w:rPr>
      </w:pPr>
      <w:r w:rsidRPr="00F36873">
        <w:rPr>
          <w:lang w:val="en-AU"/>
        </w:rPr>
        <w:t xml:space="preserve">The Commission </w:t>
      </w:r>
      <w:r w:rsidR="00225582" w:rsidRPr="00F36873">
        <w:rPr>
          <w:lang w:val="en-AU"/>
        </w:rPr>
        <w:t>accept</w:t>
      </w:r>
      <w:r w:rsidR="00225582">
        <w:rPr>
          <w:lang w:val="en-AU"/>
        </w:rPr>
        <w:t>ed</w:t>
      </w:r>
      <w:r w:rsidR="00225582" w:rsidRPr="00F36873">
        <w:rPr>
          <w:lang w:val="en-AU"/>
        </w:rPr>
        <w:t xml:space="preserve"> </w:t>
      </w:r>
      <w:r w:rsidRPr="00F36873">
        <w:rPr>
          <w:lang w:val="en-AU"/>
        </w:rPr>
        <w:t xml:space="preserve">this method </w:t>
      </w:r>
      <w:r w:rsidR="00225582">
        <w:rPr>
          <w:lang w:val="en-AU"/>
        </w:rPr>
        <w:t>was</w:t>
      </w:r>
      <w:r w:rsidR="00225582" w:rsidRPr="00F36873">
        <w:rPr>
          <w:lang w:val="en-AU"/>
        </w:rPr>
        <w:t xml:space="preserve"> </w:t>
      </w:r>
      <w:r w:rsidR="00ED7D20">
        <w:rPr>
          <w:lang w:val="en-AU"/>
        </w:rPr>
        <w:t>a</w:t>
      </w:r>
      <w:r w:rsidRPr="00F36873">
        <w:rPr>
          <w:lang w:val="en-AU"/>
        </w:rPr>
        <w:t xml:space="preserve"> practical </w:t>
      </w:r>
      <w:r w:rsidR="00F36873">
        <w:rPr>
          <w:lang w:val="en-AU"/>
        </w:rPr>
        <w:t xml:space="preserve">approach for the </w:t>
      </w:r>
      <w:r w:rsidR="00225582">
        <w:rPr>
          <w:lang w:val="en-AU"/>
        </w:rPr>
        <w:t>Draft Determination</w:t>
      </w:r>
      <w:r w:rsidRPr="00F36873">
        <w:rPr>
          <w:lang w:val="en-AU"/>
        </w:rPr>
        <w:t>.</w:t>
      </w:r>
      <w:r w:rsidR="0035037B">
        <w:rPr>
          <w:lang w:val="en-AU"/>
        </w:rPr>
        <w:t xml:space="preserve"> </w:t>
      </w:r>
    </w:p>
    <w:p w14:paraId="080373B4" w14:textId="1B39113A" w:rsidR="003F41F5" w:rsidRDefault="003F41F5" w:rsidP="003F41F5">
      <w:pPr>
        <w:pStyle w:val="UtilComHeading2"/>
      </w:pPr>
      <w:bookmarkStart w:id="115" w:name="_Toc385241483"/>
      <w:bookmarkStart w:id="116" w:name="_Toc386013036"/>
      <w:r>
        <w:t xml:space="preserve">Commission’s </w:t>
      </w:r>
      <w:r w:rsidR="00327F32">
        <w:t xml:space="preserve">Draft </w:t>
      </w:r>
      <w:bookmarkEnd w:id="115"/>
      <w:r w:rsidR="00327F32">
        <w:t>Decision</w:t>
      </w:r>
      <w:bookmarkEnd w:id="116"/>
    </w:p>
    <w:p w14:paraId="077A7EF6" w14:textId="3EB277EB" w:rsidR="006A0368" w:rsidRDefault="006A0368" w:rsidP="006A0368">
      <w:pPr>
        <w:pStyle w:val="NumberLevel2"/>
        <w:numPr>
          <w:ilvl w:val="1"/>
          <w:numId w:val="5"/>
        </w:numPr>
        <w:tabs>
          <w:tab w:val="num" w:pos="709"/>
        </w:tabs>
        <w:ind w:left="709" w:hanging="709"/>
        <w:rPr>
          <w:lang w:val="en-AU"/>
        </w:rPr>
      </w:pPr>
      <w:r>
        <w:rPr>
          <w:lang w:val="en-AU"/>
        </w:rPr>
        <w:t>The Commission accept</w:t>
      </w:r>
      <w:r w:rsidR="00A643B5">
        <w:rPr>
          <w:lang w:val="en-AU"/>
        </w:rPr>
        <w:t>ed</w:t>
      </w:r>
      <w:r>
        <w:rPr>
          <w:lang w:val="en-AU"/>
        </w:rPr>
        <w:t xml:space="preserve"> t</w:t>
      </w:r>
      <w:r w:rsidRPr="008B4CA9">
        <w:rPr>
          <w:lang w:val="en-AU"/>
        </w:rPr>
        <w:t xml:space="preserve">he </w:t>
      </w:r>
      <w:r>
        <w:rPr>
          <w:lang w:val="en-AU"/>
        </w:rPr>
        <w:t xml:space="preserve">opening </w:t>
      </w:r>
      <w:r w:rsidRPr="008B4CA9">
        <w:rPr>
          <w:lang w:val="en-AU"/>
        </w:rPr>
        <w:t xml:space="preserve">RAB </w:t>
      </w:r>
      <w:r>
        <w:rPr>
          <w:lang w:val="en-AU"/>
        </w:rPr>
        <w:t>proposed by</w:t>
      </w:r>
      <w:r w:rsidRPr="008B4CA9">
        <w:rPr>
          <w:lang w:val="en-AU"/>
        </w:rPr>
        <w:t xml:space="preserve"> </w:t>
      </w:r>
      <w:r>
        <w:rPr>
          <w:lang w:val="en-AU"/>
        </w:rPr>
        <w:t>PWC</w:t>
      </w:r>
      <w:r w:rsidR="008F042E">
        <w:rPr>
          <w:lang w:val="en-AU"/>
        </w:rPr>
        <w:t> Networks</w:t>
      </w:r>
      <w:r>
        <w:rPr>
          <w:lang w:val="en-AU"/>
        </w:rPr>
        <w:t xml:space="preserve"> </w:t>
      </w:r>
      <w:r w:rsidRPr="008B4CA9">
        <w:rPr>
          <w:lang w:val="en-AU"/>
        </w:rPr>
        <w:t>of $</w:t>
      </w:r>
      <w:r>
        <w:rPr>
          <w:lang w:val="en-AU"/>
        </w:rPr>
        <w:t>930.</w:t>
      </w:r>
      <w:r w:rsidR="008F042E">
        <w:rPr>
          <w:lang w:val="en-AU"/>
        </w:rPr>
        <w:t>1 </w:t>
      </w:r>
      <w:r w:rsidRPr="008B4CA9">
        <w:rPr>
          <w:lang w:val="en-AU"/>
        </w:rPr>
        <w:t xml:space="preserve">million for </w:t>
      </w:r>
      <w:r w:rsidR="008F042E">
        <w:rPr>
          <w:lang w:val="en-AU"/>
        </w:rPr>
        <w:t>regulated network access</w:t>
      </w:r>
      <w:r w:rsidRPr="008B4CA9">
        <w:rPr>
          <w:lang w:val="en-AU"/>
        </w:rPr>
        <w:t xml:space="preserve"> services</w:t>
      </w:r>
      <w:r>
        <w:rPr>
          <w:lang w:val="en-AU"/>
        </w:rPr>
        <w:t xml:space="preserve">. </w:t>
      </w:r>
      <w:r w:rsidRPr="0035037B">
        <w:rPr>
          <w:lang w:val="en-AU"/>
        </w:rPr>
        <w:t>The Commission consider</w:t>
      </w:r>
      <w:r w:rsidR="00A643B5">
        <w:rPr>
          <w:lang w:val="en-AU"/>
        </w:rPr>
        <w:t>ed</w:t>
      </w:r>
      <w:r w:rsidRPr="0035037B">
        <w:rPr>
          <w:lang w:val="en-AU"/>
        </w:rPr>
        <w:t xml:space="preserve"> that the SKM review of the RAB </w:t>
      </w:r>
      <w:r w:rsidR="008F042E" w:rsidRPr="0035037B">
        <w:rPr>
          <w:lang w:val="en-AU"/>
        </w:rPr>
        <w:t>provid</w:t>
      </w:r>
      <w:r w:rsidR="008F042E">
        <w:rPr>
          <w:lang w:val="en-AU"/>
        </w:rPr>
        <w:t>ed</w:t>
      </w:r>
      <w:r w:rsidR="008F042E" w:rsidRPr="0035037B">
        <w:rPr>
          <w:lang w:val="en-AU"/>
        </w:rPr>
        <w:t xml:space="preserve"> </w:t>
      </w:r>
      <w:r w:rsidRPr="0035037B">
        <w:rPr>
          <w:lang w:val="en-AU"/>
        </w:rPr>
        <w:t xml:space="preserve">a transparent and reliable </w:t>
      </w:r>
      <w:r w:rsidR="008F042E">
        <w:rPr>
          <w:lang w:val="en-AU"/>
        </w:rPr>
        <w:t>RAB</w:t>
      </w:r>
      <w:r w:rsidR="008F042E" w:rsidRPr="0035037B">
        <w:rPr>
          <w:lang w:val="en-AU"/>
        </w:rPr>
        <w:t xml:space="preserve"> </w:t>
      </w:r>
      <w:r w:rsidRPr="0035037B">
        <w:rPr>
          <w:lang w:val="en-AU"/>
        </w:rPr>
        <w:t xml:space="preserve">value materially consistent with the Commission’s estimated </w:t>
      </w:r>
      <w:r w:rsidR="008F042E">
        <w:rPr>
          <w:lang w:val="en-AU"/>
        </w:rPr>
        <w:t>RAB</w:t>
      </w:r>
      <w:r w:rsidR="008F042E" w:rsidRPr="0035037B">
        <w:rPr>
          <w:lang w:val="en-AU"/>
        </w:rPr>
        <w:t xml:space="preserve"> </w:t>
      </w:r>
      <w:r w:rsidRPr="0035037B">
        <w:rPr>
          <w:lang w:val="en-AU"/>
        </w:rPr>
        <w:t xml:space="preserve">value developed </w:t>
      </w:r>
      <w:r>
        <w:rPr>
          <w:lang w:val="en-AU"/>
        </w:rPr>
        <w:t>for 1</w:t>
      </w:r>
      <w:r w:rsidR="00A643B5">
        <w:rPr>
          <w:lang w:val="en-AU"/>
        </w:rPr>
        <w:t> </w:t>
      </w:r>
      <w:r>
        <w:rPr>
          <w:lang w:val="en-AU"/>
        </w:rPr>
        <w:t>July</w:t>
      </w:r>
      <w:r w:rsidR="00A643B5">
        <w:rPr>
          <w:lang w:val="en-AU"/>
        </w:rPr>
        <w:t> </w:t>
      </w:r>
      <w:r>
        <w:rPr>
          <w:lang w:val="en-AU"/>
        </w:rPr>
        <w:t>2002</w:t>
      </w:r>
      <w:r w:rsidRPr="0035037B">
        <w:rPr>
          <w:lang w:val="en-AU"/>
        </w:rPr>
        <w:t xml:space="preserve">. The proposed RAB value </w:t>
      </w:r>
      <w:r w:rsidR="008F042E" w:rsidRPr="0035037B">
        <w:rPr>
          <w:lang w:val="en-AU"/>
        </w:rPr>
        <w:t>provid</w:t>
      </w:r>
      <w:r w:rsidR="008F042E">
        <w:rPr>
          <w:lang w:val="en-AU"/>
        </w:rPr>
        <w:t>ed</w:t>
      </w:r>
      <w:r w:rsidR="008F042E" w:rsidRPr="0035037B">
        <w:rPr>
          <w:lang w:val="en-AU"/>
        </w:rPr>
        <w:t xml:space="preserve"> </w:t>
      </w:r>
      <w:r w:rsidRPr="0035037B">
        <w:rPr>
          <w:lang w:val="en-AU"/>
        </w:rPr>
        <w:t xml:space="preserve">a level of granularity that </w:t>
      </w:r>
      <w:r w:rsidR="008F042E">
        <w:rPr>
          <w:lang w:val="en-AU"/>
        </w:rPr>
        <w:t>would</w:t>
      </w:r>
      <w:r w:rsidR="008F042E" w:rsidRPr="0035037B">
        <w:rPr>
          <w:lang w:val="en-AU"/>
        </w:rPr>
        <w:t xml:space="preserve"> </w:t>
      </w:r>
      <w:r w:rsidRPr="0035037B">
        <w:rPr>
          <w:lang w:val="en-AU"/>
        </w:rPr>
        <w:t>facilitate a greater degree of certainty in future determinations.</w:t>
      </w:r>
    </w:p>
    <w:p w14:paraId="01654A2F" w14:textId="643F1773" w:rsidR="006A0368" w:rsidRDefault="006A0368" w:rsidP="006A0368">
      <w:pPr>
        <w:pStyle w:val="NumberLevel2"/>
        <w:numPr>
          <w:ilvl w:val="1"/>
          <w:numId w:val="5"/>
        </w:numPr>
        <w:tabs>
          <w:tab w:val="left" w:pos="709"/>
        </w:tabs>
        <w:ind w:left="709" w:hanging="709"/>
        <w:rPr>
          <w:lang w:val="en-AU"/>
        </w:rPr>
      </w:pPr>
      <w:r w:rsidRPr="00EA440B">
        <w:rPr>
          <w:lang w:val="en-AU"/>
        </w:rPr>
        <w:t xml:space="preserve">The </w:t>
      </w:r>
      <w:r>
        <w:rPr>
          <w:lang w:val="en-AU"/>
        </w:rPr>
        <w:t>Commission</w:t>
      </w:r>
      <w:r w:rsidRPr="00EA440B">
        <w:rPr>
          <w:lang w:val="en-AU"/>
        </w:rPr>
        <w:t xml:space="preserve"> </w:t>
      </w:r>
      <w:r w:rsidR="008F042E">
        <w:rPr>
          <w:lang w:val="en-AU"/>
        </w:rPr>
        <w:t>was</w:t>
      </w:r>
      <w:r w:rsidR="008F042E" w:rsidRPr="00EA440B">
        <w:rPr>
          <w:lang w:val="en-AU"/>
        </w:rPr>
        <w:t xml:space="preserve"> </w:t>
      </w:r>
      <w:r w:rsidRPr="00EA440B">
        <w:rPr>
          <w:lang w:val="en-AU"/>
        </w:rPr>
        <w:t xml:space="preserve">satisfied that </w:t>
      </w:r>
      <w:r>
        <w:rPr>
          <w:lang w:val="en-AU"/>
        </w:rPr>
        <w:t>PWC Networks</w:t>
      </w:r>
      <w:r w:rsidRPr="00EA440B">
        <w:rPr>
          <w:lang w:val="en-AU"/>
        </w:rPr>
        <w:t xml:space="preserve"> </w:t>
      </w:r>
      <w:r w:rsidR="008F042E">
        <w:rPr>
          <w:lang w:val="en-AU"/>
        </w:rPr>
        <w:t>had</w:t>
      </w:r>
      <w:r w:rsidR="008F042E" w:rsidRPr="00EA440B">
        <w:rPr>
          <w:lang w:val="en-AU"/>
        </w:rPr>
        <w:t xml:space="preserve"> </w:t>
      </w:r>
      <w:r w:rsidRPr="00EA440B">
        <w:rPr>
          <w:lang w:val="en-AU"/>
        </w:rPr>
        <w:t xml:space="preserve">completed the </w:t>
      </w:r>
      <w:r>
        <w:rPr>
          <w:lang w:val="en-AU"/>
        </w:rPr>
        <w:t xml:space="preserve">AER’s </w:t>
      </w:r>
      <w:r w:rsidRPr="00EA440B">
        <w:rPr>
          <w:lang w:val="en-AU"/>
        </w:rPr>
        <w:t>RFM in accordance with the requirements of the NER.</w:t>
      </w:r>
    </w:p>
    <w:p w14:paraId="25DBA400" w14:textId="3D154544" w:rsidR="009B63AD" w:rsidRPr="008B4CA9" w:rsidRDefault="009B63AD" w:rsidP="0024206D">
      <w:pPr>
        <w:pStyle w:val="ListParagraph"/>
        <w:numPr>
          <w:ilvl w:val="1"/>
          <w:numId w:val="5"/>
        </w:numPr>
        <w:tabs>
          <w:tab w:val="num" w:pos="709"/>
        </w:tabs>
        <w:ind w:left="709" w:hanging="709"/>
        <w:rPr>
          <w:lang w:val="en-AU"/>
        </w:rPr>
      </w:pPr>
      <w:r>
        <w:rPr>
          <w:lang w:val="en-AU"/>
        </w:rPr>
        <w:t xml:space="preserve">The Commission </w:t>
      </w:r>
      <w:r w:rsidR="008F042E">
        <w:rPr>
          <w:lang w:val="en-AU"/>
        </w:rPr>
        <w:t>stated that it would</w:t>
      </w:r>
      <w:r>
        <w:rPr>
          <w:lang w:val="en-AU"/>
        </w:rPr>
        <w:t xml:space="preserve"> update the roll</w:t>
      </w:r>
      <w:r w:rsidR="00B211B0">
        <w:rPr>
          <w:lang w:val="en-AU"/>
        </w:rPr>
        <w:t xml:space="preserve"> </w:t>
      </w:r>
      <w:r>
        <w:rPr>
          <w:lang w:val="en-AU"/>
        </w:rPr>
        <w:t>forward of PWC Networks’ RAB with the most recent forecast of cap</w:t>
      </w:r>
      <w:r w:rsidR="00883391">
        <w:rPr>
          <w:lang w:val="en-AU"/>
        </w:rPr>
        <w:t xml:space="preserve">ital </w:t>
      </w:r>
      <w:r>
        <w:rPr>
          <w:lang w:val="en-AU"/>
        </w:rPr>
        <w:t>ex</w:t>
      </w:r>
      <w:r w:rsidR="00883391">
        <w:rPr>
          <w:lang w:val="en-AU"/>
        </w:rPr>
        <w:t>penditure</w:t>
      </w:r>
      <w:r>
        <w:rPr>
          <w:lang w:val="en-AU"/>
        </w:rPr>
        <w:t xml:space="preserve"> for </w:t>
      </w:r>
      <w:r w:rsidR="008F042E">
        <w:rPr>
          <w:lang w:val="en-AU"/>
        </w:rPr>
        <w:t xml:space="preserve">the </w:t>
      </w:r>
      <w:r>
        <w:rPr>
          <w:lang w:val="en-AU"/>
        </w:rPr>
        <w:t>2013-14</w:t>
      </w:r>
      <w:r w:rsidR="008F042E">
        <w:rPr>
          <w:lang w:val="en-AU"/>
        </w:rPr>
        <w:t xml:space="preserve"> regulatory year</w:t>
      </w:r>
      <w:r>
        <w:rPr>
          <w:lang w:val="en-AU"/>
        </w:rPr>
        <w:t xml:space="preserve">, and the latest </w:t>
      </w:r>
      <w:r w:rsidR="009F1A03" w:rsidRPr="008B4CA9">
        <w:rPr>
          <w:lang w:val="en-AU"/>
        </w:rPr>
        <w:t xml:space="preserve">actual CPI data at a time closer to </w:t>
      </w:r>
      <w:r w:rsidR="003C3DFF">
        <w:rPr>
          <w:lang w:val="en-AU"/>
        </w:rPr>
        <w:t>the publication of the Final Determination</w:t>
      </w:r>
      <w:r w:rsidR="009F1A03">
        <w:rPr>
          <w:lang w:val="en-AU"/>
        </w:rPr>
        <w:t>.</w:t>
      </w:r>
    </w:p>
    <w:p w14:paraId="762F4CF2" w14:textId="100BF91E" w:rsidR="00D5157C" w:rsidRPr="00083FAA" w:rsidRDefault="00D5157C" w:rsidP="00D5157C">
      <w:pPr>
        <w:pStyle w:val="UtilComHeading2"/>
      </w:pPr>
      <w:bookmarkStart w:id="117" w:name="_Toc385241484"/>
      <w:bookmarkStart w:id="118" w:name="_Toc386013037"/>
      <w:r w:rsidRPr="00083FAA">
        <w:t xml:space="preserve">PWC Networks’ </w:t>
      </w:r>
      <w:r w:rsidR="00327F32">
        <w:t>R</w:t>
      </w:r>
      <w:r w:rsidR="00327F32" w:rsidRPr="00083FAA">
        <w:t xml:space="preserve">evised </w:t>
      </w:r>
      <w:r w:rsidR="00327F32">
        <w:t>R</w:t>
      </w:r>
      <w:r w:rsidR="00327F32" w:rsidRPr="00083FAA">
        <w:t xml:space="preserve">egulatory </w:t>
      </w:r>
      <w:bookmarkEnd w:id="117"/>
      <w:r w:rsidR="00327F32">
        <w:t>P</w:t>
      </w:r>
      <w:r w:rsidR="00327F32" w:rsidRPr="00083FAA">
        <w:t>roposal</w:t>
      </w:r>
      <w:bookmarkEnd w:id="118"/>
    </w:p>
    <w:p w14:paraId="0FA7C70E" w14:textId="0397AA0D" w:rsidR="00394CE9" w:rsidRDefault="00D5157C" w:rsidP="00D5157C">
      <w:pPr>
        <w:pStyle w:val="NumberLevel2"/>
        <w:numPr>
          <w:ilvl w:val="1"/>
          <w:numId w:val="5"/>
        </w:numPr>
        <w:tabs>
          <w:tab w:val="num" w:pos="709"/>
        </w:tabs>
        <w:ind w:left="709" w:hanging="709"/>
        <w:rPr>
          <w:lang w:val="en-AU"/>
        </w:rPr>
      </w:pPr>
      <w:r>
        <w:rPr>
          <w:lang w:val="en-AU"/>
        </w:rPr>
        <w:t>PWC Networks</w:t>
      </w:r>
      <w:r w:rsidRPr="001430C0">
        <w:rPr>
          <w:lang w:val="en-AU"/>
        </w:rPr>
        <w:t xml:space="preserve"> </w:t>
      </w:r>
      <w:r w:rsidR="00394CE9">
        <w:rPr>
          <w:lang w:val="en-AU"/>
        </w:rPr>
        <w:t xml:space="preserve">accepted the opening RAB of $930.1 million allowed in the Commission’s </w:t>
      </w:r>
      <w:r w:rsidR="00C51260">
        <w:rPr>
          <w:lang w:val="en-AU"/>
        </w:rPr>
        <w:t>Draft Determination</w:t>
      </w:r>
      <w:r w:rsidR="00394CE9">
        <w:rPr>
          <w:lang w:val="en-AU"/>
        </w:rPr>
        <w:t>.</w:t>
      </w:r>
    </w:p>
    <w:p w14:paraId="328C2BCB" w14:textId="28C5202F" w:rsidR="00D5157C" w:rsidRPr="009454AF" w:rsidRDefault="00394CE9" w:rsidP="00D5157C">
      <w:pPr>
        <w:pStyle w:val="NumberLevel2"/>
        <w:numPr>
          <w:ilvl w:val="1"/>
          <w:numId w:val="5"/>
        </w:numPr>
        <w:tabs>
          <w:tab w:val="num" w:pos="709"/>
        </w:tabs>
        <w:ind w:left="709" w:hanging="709"/>
        <w:rPr>
          <w:lang w:val="en-AU"/>
        </w:rPr>
      </w:pPr>
      <w:r>
        <w:rPr>
          <w:lang w:val="en-AU"/>
        </w:rPr>
        <w:t>PWC Networks did not revise</w:t>
      </w:r>
      <w:r w:rsidR="00A643B5">
        <w:rPr>
          <w:lang w:val="en-AU"/>
        </w:rPr>
        <w:t xml:space="preserve"> its</w:t>
      </w:r>
      <w:r>
        <w:rPr>
          <w:lang w:val="en-AU"/>
        </w:rPr>
        <w:t xml:space="preserve"> capex forecasts for </w:t>
      </w:r>
      <w:r w:rsidR="00C51260">
        <w:rPr>
          <w:lang w:val="en-AU"/>
        </w:rPr>
        <w:t xml:space="preserve">the </w:t>
      </w:r>
      <w:r>
        <w:rPr>
          <w:lang w:val="en-AU"/>
        </w:rPr>
        <w:t>2013-14</w:t>
      </w:r>
      <w:r w:rsidR="00C51260">
        <w:rPr>
          <w:lang w:val="en-AU"/>
        </w:rPr>
        <w:t xml:space="preserve"> regulatory year</w:t>
      </w:r>
      <w:r>
        <w:rPr>
          <w:lang w:val="en-AU"/>
        </w:rPr>
        <w:t xml:space="preserve">. </w:t>
      </w:r>
    </w:p>
    <w:p w14:paraId="4678DE11" w14:textId="72753B92" w:rsidR="00D5157C" w:rsidRPr="007B064D" w:rsidRDefault="00D5157C" w:rsidP="00D5157C">
      <w:pPr>
        <w:pStyle w:val="UtilComHeading2"/>
      </w:pPr>
      <w:bookmarkStart w:id="119" w:name="_Toc385241485"/>
      <w:bookmarkStart w:id="120" w:name="_Toc386013038"/>
      <w:r w:rsidRPr="007B064D">
        <w:t xml:space="preserve">Submissions on </w:t>
      </w:r>
      <w:r w:rsidR="00327F32">
        <w:t>D</w:t>
      </w:r>
      <w:r w:rsidR="00327F32" w:rsidRPr="007B064D">
        <w:t xml:space="preserve">raft </w:t>
      </w:r>
      <w:r w:rsidR="00327F32">
        <w:t>D</w:t>
      </w:r>
      <w:r w:rsidR="00327F32" w:rsidRPr="007B064D">
        <w:t xml:space="preserve">etermination </w:t>
      </w:r>
      <w:r w:rsidRPr="007B064D">
        <w:t xml:space="preserve">and </w:t>
      </w:r>
      <w:r w:rsidR="00327F32">
        <w:t>R</w:t>
      </w:r>
      <w:r w:rsidR="00327F32" w:rsidRPr="007B064D">
        <w:t xml:space="preserve">evised </w:t>
      </w:r>
      <w:r w:rsidR="00327F32">
        <w:t>R</w:t>
      </w:r>
      <w:r w:rsidRPr="007B064D">
        <w:t xml:space="preserve">egulatory </w:t>
      </w:r>
      <w:bookmarkEnd w:id="119"/>
      <w:r w:rsidR="00327F32">
        <w:t>P</w:t>
      </w:r>
      <w:r w:rsidR="00327F32" w:rsidRPr="007B064D">
        <w:t>roposal</w:t>
      </w:r>
      <w:bookmarkEnd w:id="120"/>
    </w:p>
    <w:p w14:paraId="25EC0B6B" w14:textId="6DA711E9" w:rsidR="005E208D" w:rsidRPr="005E208D" w:rsidRDefault="00394CE9" w:rsidP="000B465A">
      <w:pPr>
        <w:pStyle w:val="NumberLevel2"/>
        <w:numPr>
          <w:ilvl w:val="1"/>
          <w:numId w:val="5"/>
        </w:numPr>
        <w:tabs>
          <w:tab w:val="left" w:pos="709"/>
        </w:tabs>
        <w:ind w:left="709" w:hanging="709"/>
        <w:rPr>
          <w:lang w:val="en-AU"/>
        </w:rPr>
      </w:pPr>
      <w:r>
        <w:rPr>
          <w:lang w:val="en-AU"/>
        </w:rPr>
        <w:t xml:space="preserve">Both the Treasurer and the NTMEU disagreed with the Commission’s decision </w:t>
      </w:r>
      <w:r w:rsidR="00C51260">
        <w:rPr>
          <w:lang w:val="en-AU"/>
        </w:rPr>
        <w:t xml:space="preserve">in the Draft Determination </w:t>
      </w:r>
      <w:r>
        <w:rPr>
          <w:lang w:val="en-AU"/>
        </w:rPr>
        <w:t xml:space="preserve">to accept the 2013 SKM DORC valuation of PWC Networks’ </w:t>
      </w:r>
      <w:r w:rsidR="00C51260">
        <w:rPr>
          <w:lang w:val="en-AU"/>
        </w:rPr>
        <w:t xml:space="preserve">electricity network </w:t>
      </w:r>
      <w:r>
        <w:rPr>
          <w:lang w:val="en-AU"/>
        </w:rPr>
        <w:t>assets as the basis for the opening RAB as at 1 July 2014.</w:t>
      </w:r>
      <w:r w:rsidR="0070104B">
        <w:rPr>
          <w:lang w:val="en-AU"/>
        </w:rPr>
        <w:t xml:space="preserve"> Both </w:t>
      </w:r>
      <w:r w:rsidR="00C51260">
        <w:rPr>
          <w:lang w:val="en-AU"/>
        </w:rPr>
        <w:t xml:space="preserve">submissions </w:t>
      </w:r>
      <w:r w:rsidR="0070104B">
        <w:rPr>
          <w:lang w:val="en-AU"/>
        </w:rPr>
        <w:t>consider</w:t>
      </w:r>
      <w:r w:rsidR="00C51260">
        <w:rPr>
          <w:lang w:val="en-AU"/>
        </w:rPr>
        <w:t>ed</w:t>
      </w:r>
      <w:r w:rsidR="0070104B">
        <w:rPr>
          <w:lang w:val="en-AU"/>
        </w:rPr>
        <w:t xml:space="preserve"> that the opening RAB should be based on the RAB </w:t>
      </w:r>
      <w:r w:rsidR="00C51260">
        <w:rPr>
          <w:lang w:val="en-AU"/>
        </w:rPr>
        <w:t xml:space="preserve">for the 2009-14 regulatory control period </w:t>
      </w:r>
      <w:r w:rsidR="0070104B">
        <w:rPr>
          <w:lang w:val="en-AU"/>
        </w:rPr>
        <w:t xml:space="preserve">and </w:t>
      </w:r>
      <w:r w:rsidR="00C51260">
        <w:rPr>
          <w:lang w:val="en-AU"/>
        </w:rPr>
        <w:t xml:space="preserve">should be </w:t>
      </w:r>
      <w:r w:rsidR="0070104B">
        <w:rPr>
          <w:lang w:val="en-AU"/>
        </w:rPr>
        <w:t xml:space="preserve">calculated using the RFM. </w:t>
      </w:r>
    </w:p>
    <w:p w14:paraId="6B7EC828" w14:textId="7C5460CD" w:rsidR="002104A3" w:rsidRDefault="005E208D" w:rsidP="000B465A">
      <w:pPr>
        <w:pStyle w:val="NumberLevel2"/>
        <w:numPr>
          <w:ilvl w:val="1"/>
          <w:numId w:val="5"/>
        </w:numPr>
        <w:tabs>
          <w:tab w:val="left" w:pos="709"/>
        </w:tabs>
        <w:ind w:left="709" w:hanging="709"/>
        <w:rPr>
          <w:lang w:val="en-AU"/>
        </w:rPr>
      </w:pPr>
      <w:r>
        <w:rPr>
          <w:lang w:val="en-AU"/>
        </w:rPr>
        <w:t>The Treasurer advised that to maintain certainty and consistency</w:t>
      </w:r>
      <w:r w:rsidR="00003986">
        <w:rPr>
          <w:lang w:val="en-AU"/>
        </w:rPr>
        <w:t xml:space="preserve"> </w:t>
      </w:r>
      <w:r>
        <w:rPr>
          <w:lang w:val="en-AU"/>
        </w:rPr>
        <w:t xml:space="preserve">with the approach used by the AER, it would be appropriate for the RFM to be applied by the Commission, to the extent possible, in calculating </w:t>
      </w:r>
      <w:r w:rsidR="00C51260">
        <w:rPr>
          <w:lang w:val="en-AU"/>
        </w:rPr>
        <w:t xml:space="preserve">PWC Networks </w:t>
      </w:r>
      <w:r>
        <w:rPr>
          <w:lang w:val="en-AU"/>
        </w:rPr>
        <w:t>opening RAB.</w:t>
      </w:r>
    </w:p>
    <w:p w14:paraId="79D1A0E3" w14:textId="49CB0A70" w:rsidR="005E208D" w:rsidRPr="005E208D" w:rsidRDefault="005E208D" w:rsidP="000B465A">
      <w:pPr>
        <w:pStyle w:val="NumberLevel2"/>
        <w:numPr>
          <w:ilvl w:val="1"/>
          <w:numId w:val="5"/>
        </w:numPr>
        <w:tabs>
          <w:tab w:val="left" w:pos="709"/>
        </w:tabs>
        <w:ind w:left="709" w:hanging="709"/>
        <w:rPr>
          <w:lang w:val="en-AU"/>
        </w:rPr>
      </w:pPr>
      <w:r>
        <w:rPr>
          <w:lang w:val="en-AU"/>
        </w:rPr>
        <w:t>The NTMEU raised concerns with the Commission’s decision</w:t>
      </w:r>
      <w:r w:rsidR="00C51260">
        <w:rPr>
          <w:lang w:val="en-AU"/>
        </w:rPr>
        <w:t xml:space="preserve"> in the Draft Determination</w:t>
      </w:r>
      <w:r>
        <w:rPr>
          <w:lang w:val="en-AU"/>
        </w:rPr>
        <w:t xml:space="preserve"> to accept the 2013 </w:t>
      </w:r>
      <w:r w:rsidR="00C51260">
        <w:rPr>
          <w:lang w:val="en-AU"/>
        </w:rPr>
        <w:t xml:space="preserve">SKM </w:t>
      </w:r>
      <w:r>
        <w:rPr>
          <w:lang w:val="en-AU"/>
        </w:rPr>
        <w:t xml:space="preserve">DORC valuation on the basis that it </w:t>
      </w:r>
      <w:r w:rsidR="00C51260">
        <w:rPr>
          <w:lang w:val="en-AU"/>
        </w:rPr>
        <w:t>had not been reviewed</w:t>
      </w:r>
      <w:r>
        <w:rPr>
          <w:lang w:val="en-AU"/>
        </w:rPr>
        <w:t xml:space="preserve"> for prudency and efficiency. </w:t>
      </w:r>
      <w:r w:rsidR="00003986">
        <w:rPr>
          <w:lang w:val="en-AU"/>
        </w:rPr>
        <w:t xml:space="preserve">The </w:t>
      </w:r>
      <w:r>
        <w:rPr>
          <w:lang w:val="en-AU"/>
        </w:rPr>
        <w:t>NTMEU further stated that</w:t>
      </w:r>
      <w:r w:rsidR="001317B0">
        <w:rPr>
          <w:lang w:val="en-AU"/>
        </w:rPr>
        <w:t xml:space="preserve"> it was concerned with the automatic roll in of </w:t>
      </w:r>
      <w:r w:rsidR="00C51260">
        <w:rPr>
          <w:lang w:val="en-AU"/>
        </w:rPr>
        <w:t xml:space="preserve">actual </w:t>
      </w:r>
      <w:r w:rsidR="001317B0">
        <w:rPr>
          <w:lang w:val="en-AU"/>
        </w:rPr>
        <w:t>capex and t</w:t>
      </w:r>
      <w:r>
        <w:rPr>
          <w:lang w:val="en-AU"/>
        </w:rPr>
        <w:t xml:space="preserve">he use of actual capex was inconsistent with the NER </w:t>
      </w:r>
      <w:r w:rsidR="00C51260">
        <w:rPr>
          <w:lang w:val="en-AU"/>
        </w:rPr>
        <w:t>(</w:t>
      </w:r>
      <w:r>
        <w:rPr>
          <w:lang w:val="en-AU"/>
        </w:rPr>
        <w:t xml:space="preserve">which required </w:t>
      </w:r>
      <w:r w:rsidR="00C51260">
        <w:rPr>
          <w:lang w:val="en-AU"/>
        </w:rPr>
        <w:t xml:space="preserve">that </w:t>
      </w:r>
      <w:r>
        <w:rPr>
          <w:lang w:val="en-AU"/>
        </w:rPr>
        <w:t xml:space="preserve">actual capex </w:t>
      </w:r>
      <w:r w:rsidR="00003986">
        <w:rPr>
          <w:lang w:val="en-AU"/>
        </w:rPr>
        <w:t xml:space="preserve">to </w:t>
      </w:r>
      <w:r w:rsidR="00C51260">
        <w:rPr>
          <w:lang w:val="en-AU"/>
        </w:rPr>
        <w:t>be assessed when it exceed</w:t>
      </w:r>
      <w:r w:rsidR="00003986">
        <w:rPr>
          <w:lang w:val="en-AU"/>
        </w:rPr>
        <w:t>ed</w:t>
      </w:r>
      <w:r w:rsidR="00C51260">
        <w:rPr>
          <w:lang w:val="en-AU"/>
        </w:rPr>
        <w:t xml:space="preserve"> the forecast capex </w:t>
      </w:r>
      <w:r>
        <w:rPr>
          <w:lang w:val="en-AU"/>
        </w:rPr>
        <w:t xml:space="preserve">for the </w:t>
      </w:r>
      <w:r w:rsidR="007669D5">
        <w:rPr>
          <w:lang w:val="en-AU"/>
        </w:rPr>
        <w:t xml:space="preserve">2009-14 </w:t>
      </w:r>
      <w:r>
        <w:rPr>
          <w:lang w:val="en-AU"/>
        </w:rPr>
        <w:t>regulatory control period</w:t>
      </w:r>
      <w:r w:rsidR="00C51260">
        <w:rPr>
          <w:lang w:val="en-AU"/>
        </w:rPr>
        <w:t>)</w:t>
      </w:r>
      <w:r>
        <w:rPr>
          <w:lang w:val="en-AU"/>
        </w:rPr>
        <w:t xml:space="preserve">. </w:t>
      </w:r>
    </w:p>
    <w:p w14:paraId="7A161621" w14:textId="1346A8D9" w:rsidR="00CB5E3C" w:rsidRPr="002104A3" w:rsidRDefault="00CB5E3C" w:rsidP="000B465A">
      <w:pPr>
        <w:pStyle w:val="NumberLevel2"/>
        <w:numPr>
          <w:ilvl w:val="1"/>
          <w:numId w:val="5"/>
        </w:numPr>
        <w:tabs>
          <w:tab w:val="left" w:pos="709"/>
        </w:tabs>
        <w:ind w:left="709" w:hanging="709"/>
        <w:rPr>
          <w:lang w:val="en-AU"/>
        </w:rPr>
      </w:pPr>
      <w:r w:rsidRPr="002104A3">
        <w:rPr>
          <w:lang w:val="en-AU"/>
        </w:rPr>
        <w:t>No other submissions were received on the opening RAB</w:t>
      </w:r>
      <w:r w:rsidR="00C51260">
        <w:rPr>
          <w:lang w:val="en-AU"/>
        </w:rPr>
        <w:t xml:space="preserve"> value</w:t>
      </w:r>
      <w:r w:rsidRPr="002104A3">
        <w:rPr>
          <w:lang w:val="en-AU"/>
        </w:rPr>
        <w:t>.</w:t>
      </w:r>
    </w:p>
    <w:p w14:paraId="3C5BDEF5" w14:textId="11B14412" w:rsidR="00D5157C" w:rsidRPr="005E312F" w:rsidRDefault="00D5157C" w:rsidP="00BB4311">
      <w:pPr>
        <w:pStyle w:val="UtilComHeading2"/>
        <w:spacing w:before="120"/>
      </w:pPr>
      <w:bookmarkStart w:id="121" w:name="_Toc385241486"/>
      <w:bookmarkStart w:id="122" w:name="_Toc386013039"/>
      <w:r w:rsidRPr="005E312F">
        <w:t xml:space="preserve">Issues and Commission’s </w:t>
      </w:r>
      <w:r w:rsidR="00327F32">
        <w:t>F</w:t>
      </w:r>
      <w:r w:rsidR="00327F32" w:rsidRPr="005E312F">
        <w:t xml:space="preserve">urther </w:t>
      </w:r>
      <w:bookmarkEnd w:id="121"/>
      <w:r w:rsidR="00327F32">
        <w:t>C</w:t>
      </w:r>
      <w:r w:rsidR="00327F32" w:rsidRPr="005E312F">
        <w:t>onsiderations</w:t>
      </w:r>
      <w:bookmarkEnd w:id="122"/>
    </w:p>
    <w:p w14:paraId="2B85374B" w14:textId="61826377" w:rsidR="00E65A3C" w:rsidRPr="005E312F" w:rsidRDefault="00B43800" w:rsidP="00720BFB">
      <w:pPr>
        <w:pStyle w:val="ListParagraph"/>
        <w:numPr>
          <w:ilvl w:val="1"/>
          <w:numId w:val="5"/>
        </w:numPr>
        <w:tabs>
          <w:tab w:val="num" w:pos="709"/>
        </w:tabs>
        <w:ind w:left="709" w:hanging="709"/>
        <w:rPr>
          <w:lang w:val="en-AU"/>
        </w:rPr>
      </w:pPr>
      <w:r w:rsidRPr="005E312F">
        <w:rPr>
          <w:lang w:val="en-AU"/>
        </w:rPr>
        <w:t xml:space="preserve">In its initial regulatory proposal, </w:t>
      </w:r>
      <w:r w:rsidR="00E65A3C" w:rsidRPr="005E312F">
        <w:rPr>
          <w:lang w:val="en-AU"/>
        </w:rPr>
        <w:t>PWC</w:t>
      </w:r>
      <w:r w:rsidRPr="005E312F">
        <w:rPr>
          <w:lang w:val="en-AU"/>
        </w:rPr>
        <w:t> Networks argued that</w:t>
      </w:r>
      <w:r w:rsidR="00E65A3C" w:rsidRPr="005E312F">
        <w:rPr>
          <w:lang w:val="en-AU"/>
        </w:rPr>
        <w:t xml:space="preserve"> DORC is </w:t>
      </w:r>
      <w:r w:rsidR="00F6467F" w:rsidRPr="005E312F">
        <w:rPr>
          <w:lang w:val="en-AU"/>
        </w:rPr>
        <w:t>generally accepted regulatory practice</w:t>
      </w:r>
      <w:r w:rsidRPr="005E312F">
        <w:rPr>
          <w:lang w:val="en-AU"/>
        </w:rPr>
        <w:t>. The</w:t>
      </w:r>
      <w:r w:rsidR="00E65A3C" w:rsidRPr="005E312F">
        <w:rPr>
          <w:lang w:val="en-AU"/>
        </w:rPr>
        <w:t xml:space="preserve"> NTMEU effectively says that roll</w:t>
      </w:r>
      <w:r w:rsidR="001317B0" w:rsidRPr="005E312F">
        <w:rPr>
          <w:lang w:val="en-AU"/>
        </w:rPr>
        <w:t xml:space="preserve"> </w:t>
      </w:r>
      <w:r w:rsidR="00E65A3C" w:rsidRPr="005E312F">
        <w:rPr>
          <w:lang w:val="en-AU"/>
        </w:rPr>
        <w:t xml:space="preserve">forward is </w:t>
      </w:r>
      <w:r w:rsidR="00F6467F" w:rsidRPr="005E312F">
        <w:rPr>
          <w:lang w:val="en-AU"/>
        </w:rPr>
        <w:t>generally accepted regulatory practice</w:t>
      </w:r>
      <w:r w:rsidR="00E65A3C" w:rsidRPr="005E312F">
        <w:rPr>
          <w:lang w:val="en-AU"/>
        </w:rPr>
        <w:t xml:space="preserve">. </w:t>
      </w:r>
      <w:r w:rsidRPr="005E312F">
        <w:rPr>
          <w:lang w:val="en-AU"/>
        </w:rPr>
        <w:t xml:space="preserve">The Commission considers that both positions </w:t>
      </w:r>
      <w:r w:rsidR="00D32B9A">
        <w:rPr>
          <w:lang w:val="en-AU"/>
        </w:rPr>
        <w:t>are partly correct.</w:t>
      </w:r>
    </w:p>
    <w:p w14:paraId="30A70D5E" w14:textId="2941CF42" w:rsidR="00B1000A" w:rsidRPr="005E312F" w:rsidRDefault="00B1000A" w:rsidP="00720BFB">
      <w:pPr>
        <w:pStyle w:val="ListParagraph"/>
        <w:numPr>
          <w:ilvl w:val="1"/>
          <w:numId w:val="5"/>
        </w:numPr>
        <w:tabs>
          <w:tab w:val="num" w:pos="709"/>
        </w:tabs>
        <w:ind w:left="709" w:hanging="709"/>
        <w:rPr>
          <w:lang w:val="en-AU"/>
        </w:rPr>
      </w:pPr>
      <w:r w:rsidRPr="005E312F">
        <w:rPr>
          <w:lang w:val="en-AU"/>
        </w:rPr>
        <w:t xml:space="preserve">The AER’s </w:t>
      </w:r>
      <w:r w:rsidR="00003986">
        <w:rPr>
          <w:lang w:val="en-AU"/>
        </w:rPr>
        <w:t>RFM</w:t>
      </w:r>
      <w:r w:rsidRPr="005E312F">
        <w:rPr>
          <w:lang w:val="en-AU"/>
        </w:rPr>
        <w:t xml:space="preserve"> is a ‘line in the sand’ approach. An opening value </w:t>
      </w:r>
      <w:r w:rsidR="0021699C">
        <w:rPr>
          <w:lang w:val="en-AU"/>
        </w:rPr>
        <w:t xml:space="preserve">for the RAB </w:t>
      </w:r>
      <w:r w:rsidRPr="005E312F">
        <w:rPr>
          <w:lang w:val="en-AU"/>
        </w:rPr>
        <w:t xml:space="preserve">is set then </w:t>
      </w:r>
      <w:r w:rsidR="0021699C">
        <w:rPr>
          <w:lang w:val="en-AU"/>
        </w:rPr>
        <w:t xml:space="preserve">the total value of the RAB is </w:t>
      </w:r>
      <w:r w:rsidRPr="005E312F">
        <w:rPr>
          <w:lang w:val="en-AU"/>
        </w:rPr>
        <w:t>rolled forward according to a simple set of rules designed to provide incentives for investment.</w:t>
      </w:r>
      <w:r w:rsidR="00B43800" w:rsidRPr="005E312F">
        <w:rPr>
          <w:lang w:val="en-AU"/>
        </w:rPr>
        <w:t xml:space="preserve"> These simple rules include disaggregating the total value </w:t>
      </w:r>
      <w:r w:rsidR="0021699C">
        <w:rPr>
          <w:lang w:val="en-AU"/>
        </w:rPr>
        <w:t xml:space="preserve">of the RAB </w:t>
      </w:r>
      <w:r w:rsidR="00B43800" w:rsidRPr="005E312F">
        <w:rPr>
          <w:lang w:val="en-AU"/>
        </w:rPr>
        <w:t xml:space="preserve">into </w:t>
      </w:r>
      <w:r w:rsidR="00D472EE" w:rsidRPr="005E312F">
        <w:rPr>
          <w:lang w:val="en-AU"/>
        </w:rPr>
        <w:t>a number of asset classes, with each asset class rolled forward based on different depreciation profiles.</w:t>
      </w:r>
    </w:p>
    <w:p w14:paraId="2A71EF0A" w14:textId="038548AE" w:rsidR="00B667B2" w:rsidRPr="005E312F" w:rsidRDefault="00D472EE" w:rsidP="00D472EE">
      <w:pPr>
        <w:pStyle w:val="ListParagraph"/>
        <w:numPr>
          <w:ilvl w:val="1"/>
          <w:numId w:val="5"/>
        </w:numPr>
        <w:tabs>
          <w:tab w:val="num" w:pos="709"/>
        </w:tabs>
        <w:ind w:left="709" w:hanging="709"/>
        <w:rPr>
          <w:lang w:val="en-AU"/>
        </w:rPr>
      </w:pPr>
      <w:r w:rsidRPr="005E312F">
        <w:rPr>
          <w:lang w:val="en-AU"/>
        </w:rPr>
        <w:t>While</w:t>
      </w:r>
      <w:r w:rsidR="00B1000A" w:rsidRPr="005E312F">
        <w:rPr>
          <w:lang w:val="en-AU"/>
        </w:rPr>
        <w:t xml:space="preserve"> the opening values for most DNSP’s in Australia did originate from a DORC valuation at some point in the past</w:t>
      </w:r>
      <w:r w:rsidRPr="005E312F">
        <w:rPr>
          <w:lang w:val="en-AU"/>
        </w:rPr>
        <w:t>, the</w:t>
      </w:r>
      <w:r w:rsidR="00E65A3C" w:rsidRPr="005E312F">
        <w:rPr>
          <w:lang w:val="en-AU"/>
        </w:rPr>
        <w:t xml:space="preserve"> Commission does not accept PWC</w:t>
      </w:r>
      <w:r w:rsidR="00D32B9A">
        <w:rPr>
          <w:lang w:val="en-AU"/>
        </w:rPr>
        <w:t xml:space="preserve"> Network</w:t>
      </w:r>
      <w:r w:rsidR="00E65A3C" w:rsidRPr="005E312F">
        <w:rPr>
          <w:lang w:val="en-AU"/>
        </w:rPr>
        <w:t>s</w:t>
      </w:r>
      <w:r w:rsidR="00D32B9A">
        <w:rPr>
          <w:lang w:val="en-AU"/>
        </w:rPr>
        <w:t>’</w:t>
      </w:r>
      <w:r w:rsidR="00E65A3C" w:rsidRPr="005E312F">
        <w:rPr>
          <w:lang w:val="en-AU"/>
        </w:rPr>
        <w:t xml:space="preserve"> contention that adoption of a DORC </w:t>
      </w:r>
      <w:r w:rsidR="00B667B2" w:rsidRPr="005E312F">
        <w:rPr>
          <w:lang w:val="en-AU"/>
        </w:rPr>
        <w:t>valuation</w:t>
      </w:r>
      <w:r w:rsidRPr="005E312F">
        <w:rPr>
          <w:lang w:val="en-AU"/>
        </w:rPr>
        <w:t xml:space="preserve"> at a regulatory reset</w:t>
      </w:r>
      <w:r w:rsidR="00B667B2" w:rsidRPr="005E312F">
        <w:rPr>
          <w:lang w:val="en-AU"/>
        </w:rPr>
        <w:t xml:space="preserve"> is necessarily </w:t>
      </w:r>
      <w:r w:rsidR="00F6467F" w:rsidRPr="005E312F">
        <w:rPr>
          <w:lang w:val="en-AU"/>
        </w:rPr>
        <w:t>generally accepted regulatory practice</w:t>
      </w:r>
      <w:r w:rsidR="00B667B2" w:rsidRPr="005E312F">
        <w:rPr>
          <w:lang w:val="en-AU"/>
        </w:rPr>
        <w:t>.</w:t>
      </w:r>
      <w:r w:rsidR="00E65A3C" w:rsidRPr="005E312F">
        <w:rPr>
          <w:lang w:val="en-AU"/>
        </w:rPr>
        <w:t xml:space="preserve"> </w:t>
      </w:r>
      <w:r w:rsidR="000A3526">
        <w:rPr>
          <w:lang w:val="en-AU"/>
        </w:rPr>
        <w:t>T</w:t>
      </w:r>
      <w:r w:rsidR="00B667B2" w:rsidRPr="005E312F">
        <w:rPr>
          <w:lang w:val="en-AU"/>
        </w:rPr>
        <w:t xml:space="preserve">he Commission </w:t>
      </w:r>
      <w:r w:rsidR="00B1000A" w:rsidRPr="005E312F">
        <w:rPr>
          <w:lang w:val="en-AU"/>
        </w:rPr>
        <w:t xml:space="preserve">also </w:t>
      </w:r>
      <w:r w:rsidR="00B667B2" w:rsidRPr="005E312F">
        <w:rPr>
          <w:lang w:val="en-AU"/>
        </w:rPr>
        <w:t>disagrees with the NTMEU that a roll</w:t>
      </w:r>
      <w:r w:rsidR="004C6187">
        <w:rPr>
          <w:lang w:val="en-AU"/>
        </w:rPr>
        <w:t xml:space="preserve"> </w:t>
      </w:r>
      <w:r w:rsidR="00B667B2" w:rsidRPr="005E312F">
        <w:rPr>
          <w:lang w:val="en-AU"/>
        </w:rPr>
        <w:t xml:space="preserve">forward methodology </w:t>
      </w:r>
      <w:r w:rsidR="00B1000A" w:rsidRPr="005E312F">
        <w:rPr>
          <w:lang w:val="en-AU"/>
        </w:rPr>
        <w:t xml:space="preserve">alone </w:t>
      </w:r>
      <w:r w:rsidR="00B667B2" w:rsidRPr="005E312F">
        <w:rPr>
          <w:lang w:val="en-AU"/>
        </w:rPr>
        <w:t xml:space="preserve">is </w:t>
      </w:r>
      <w:r w:rsidR="00F6467F" w:rsidRPr="005E312F">
        <w:rPr>
          <w:lang w:val="en-AU"/>
        </w:rPr>
        <w:t>generally accepted regulatory practice</w:t>
      </w:r>
      <w:r w:rsidR="00B667B2" w:rsidRPr="005E312F">
        <w:rPr>
          <w:lang w:val="en-AU"/>
        </w:rPr>
        <w:t xml:space="preserve">, without any consideration of the historic basis of the value being rolled forward. </w:t>
      </w:r>
    </w:p>
    <w:p w14:paraId="6FEC0941" w14:textId="2B41E4F3" w:rsidR="00E65A3C" w:rsidRPr="005E312F" w:rsidRDefault="00B1000A" w:rsidP="00720BFB">
      <w:pPr>
        <w:pStyle w:val="ListParagraph"/>
        <w:numPr>
          <w:ilvl w:val="1"/>
          <w:numId w:val="5"/>
        </w:numPr>
        <w:tabs>
          <w:tab w:val="num" w:pos="709"/>
        </w:tabs>
        <w:ind w:left="709" w:hanging="709"/>
        <w:rPr>
          <w:lang w:val="en-AU"/>
        </w:rPr>
      </w:pPr>
      <w:r w:rsidRPr="005E312F">
        <w:rPr>
          <w:lang w:val="en-AU"/>
        </w:rPr>
        <w:t xml:space="preserve">The </w:t>
      </w:r>
      <w:r w:rsidR="005E312F">
        <w:rPr>
          <w:lang w:val="en-AU"/>
        </w:rPr>
        <w:t>2005 Off Ramp Decision</w:t>
      </w:r>
      <w:r w:rsidRPr="005E312F">
        <w:rPr>
          <w:lang w:val="en-AU"/>
        </w:rPr>
        <w:t xml:space="preserve"> adopted an</w:t>
      </w:r>
      <w:r w:rsidR="00B667B2" w:rsidRPr="005E312F">
        <w:rPr>
          <w:lang w:val="en-AU"/>
        </w:rPr>
        <w:t xml:space="preserve"> artificial number </w:t>
      </w:r>
      <w:r w:rsidRPr="005E312F">
        <w:rPr>
          <w:lang w:val="en-AU"/>
        </w:rPr>
        <w:t xml:space="preserve">for the </w:t>
      </w:r>
      <w:r w:rsidR="005E312F">
        <w:rPr>
          <w:lang w:val="en-AU"/>
        </w:rPr>
        <w:t>RAB</w:t>
      </w:r>
      <w:r w:rsidR="00B667B2" w:rsidRPr="005E312F">
        <w:rPr>
          <w:lang w:val="en-AU"/>
        </w:rPr>
        <w:t xml:space="preserve"> because reliable </w:t>
      </w:r>
      <w:r w:rsidR="000A3526">
        <w:rPr>
          <w:lang w:val="en-AU"/>
        </w:rPr>
        <w:t>asset data</w:t>
      </w:r>
      <w:r w:rsidR="000A3526" w:rsidRPr="005E312F">
        <w:rPr>
          <w:lang w:val="en-AU"/>
        </w:rPr>
        <w:t xml:space="preserve"> </w:t>
      </w:r>
      <w:r w:rsidR="00B667B2" w:rsidRPr="005E312F">
        <w:rPr>
          <w:lang w:val="en-AU"/>
        </w:rPr>
        <w:t xml:space="preserve">was not available </w:t>
      </w:r>
      <w:r w:rsidR="000A3526">
        <w:rPr>
          <w:lang w:val="en-AU"/>
        </w:rPr>
        <w:t>from PWC</w:t>
      </w:r>
      <w:r w:rsidR="00D32B9A">
        <w:rPr>
          <w:lang w:val="en-AU"/>
        </w:rPr>
        <w:t xml:space="preserve"> Networks</w:t>
      </w:r>
      <w:r w:rsidR="000A3526">
        <w:rPr>
          <w:lang w:val="en-AU"/>
        </w:rPr>
        <w:t xml:space="preserve"> </w:t>
      </w:r>
      <w:r w:rsidR="00B667B2" w:rsidRPr="005E312F">
        <w:rPr>
          <w:lang w:val="en-AU"/>
        </w:rPr>
        <w:t>at that time</w:t>
      </w:r>
      <w:r w:rsidRPr="005E312F">
        <w:rPr>
          <w:lang w:val="en-AU"/>
        </w:rPr>
        <w:t>. The value set by the Commission was not related to the assets at all, but rather set an artificial number that would generate an income stream necessary to at least maintain a BBB+ credit rating</w:t>
      </w:r>
      <w:r w:rsidR="00C51022" w:rsidRPr="005E312F">
        <w:rPr>
          <w:lang w:val="en-AU"/>
        </w:rPr>
        <w:t xml:space="preserve">, based on </w:t>
      </w:r>
      <w:r w:rsidR="005E312F">
        <w:rPr>
          <w:lang w:val="en-AU"/>
        </w:rPr>
        <w:t>PWC Networks’</w:t>
      </w:r>
      <w:r w:rsidR="005E312F" w:rsidRPr="005E312F">
        <w:rPr>
          <w:lang w:val="en-AU"/>
        </w:rPr>
        <w:t xml:space="preserve"> </w:t>
      </w:r>
      <w:r w:rsidR="00C51022" w:rsidRPr="005E312F">
        <w:rPr>
          <w:lang w:val="en-AU"/>
        </w:rPr>
        <w:t>capex and opex forecasts at that time</w:t>
      </w:r>
      <w:r w:rsidRPr="005E312F">
        <w:rPr>
          <w:lang w:val="en-AU"/>
        </w:rPr>
        <w:t xml:space="preserve">. </w:t>
      </w:r>
    </w:p>
    <w:p w14:paraId="4D2BEC69" w14:textId="79326FBF" w:rsidR="00D5157C" w:rsidRPr="005E312F" w:rsidRDefault="0021699C" w:rsidP="00720BFB">
      <w:pPr>
        <w:pStyle w:val="ListParagraph"/>
        <w:numPr>
          <w:ilvl w:val="1"/>
          <w:numId w:val="5"/>
        </w:numPr>
        <w:tabs>
          <w:tab w:val="num" w:pos="709"/>
        </w:tabs>
        <w:ind w:left="709" w:hanging="709"/>
        <w:rPr>
          <w:lang w:val="en-AU"/>
        </w:rPr>
      </w:pPr>
      <w:r>
        <w:rPr>
          <w:lang w:val="en-AU"/>
        </w:rPr>
        <w:t xml:space="preserve">Clause </w:t>
      </w:r>
      <w:r w:rsidR="003C68A2" w:rsidRPr="005E312F">
        <w:rPr>
          <w:lang w:val="en-AU"/>
        </w:rPr>
        <w:t>S6.2.2(7) of the NER s</w:t>
      </w:r>
      <w:r w:rsidR="00003986">
        <w:rPr>
          <w:lang w:val="en-AU"/>
        </w:rPr>
        <w:t xml:space="preserve">tates </w:t>
      </w:r>
      <w:r w:rsidR="003C68A2" w:rsidRPr="005E312F">
        <w:rPr>
          <w:lang w:val="en-AU"/>
        </w:rPr>
        <w:t xml:space="preserve">that the AER must have regard to </w:t>
      </w:r>
      <w:r w:rsidR="00045AA3" w:rsidRPr="005E312F">
        <w:rPr>
          <w:lang w:val="en-AU"/>
        </w:rPr>
        <w:t>‘</w:t>
      </w:r>
      <w:r w:rsidR="003C68A2" w:rsidRPr="005E312F">
        <w:rPr>
          <w:lang w:val="en-AU"/>
        </w:rPr>
        <w:t>the value of the relevant assets as shown in independently audited and published accounts</w:t>
      </w:r>
      <w:r w:rsidR="00045AA3" w:rsidRPr="005E312F">
        <w:rPr>
          <w:lang w:val="en-AU"/>
        </w:rPr>
        <w:t xml:space="preserve">.’ </w:t>
      </w:r>
      <w:r w:rsidR="003C68A2" w:rsidRPr="005E312F">
        <w:rPr>
          <w:lang w:val="en-AU"/>
        </w:rPr>
        <w:t>B</w:t>
      </w:r>
      <w:r w:rsidR="00003986">
        <w:rPr>
          <w:lang w:val="en-AU"/>
        </w:rPr>
        <w:t>ut as</w:t>
      </w:r>
      <w:r w:rsidR="003C68A2" w:rsidRPr="005E312F">
        <w:rPr>
          <w:lang w:val="en-AU"/>
        </w:rPr>
        <w:t xml:space="preserve"> PWC </w:t>
      </w:r>
      <w:r w:rsidR="00003986">
        <w:rPr>
          <w:lang w:val="en-AU"/>
        </w:rPr>
        <w:t xml:space="preserve">were </w:t>
      </w:r>
      <w:r w:rsidR="003C68A2" w:rsidRPr="005E312F">
        <w:rPr>
          <w:lang w:val="en-AU"/>
        </w:rPr>
        <w:t xml:space="preserve">a vertically integrated multi utility, there are no independently audited and published accounts for PWC Networks. </w:t>
      </w:r>
      <w:r w:rsidR="00720BFB" w:rsidRPr="005E312F">
        <w:rPr>
          <w:lang w:val="en-AU"/>
        </w:rPr>
        <w:t>However, the SKM valuation provide</w:t>
      </w:r>
      <w:r w:rsidR="00003986">
        <w:rPr>
          <w:lang w:val="en-AU"/>
        </w:rPr>
        <w:t>d</w:t>
      </w:r>
      <w:r w:rsidR="00720BFB" w:rsidRPr="005E312F">
        <w:rPr>
          <w:lang w:val="en-AU"/>
        </w:rPr>
        <w:t xml:space="preserve"> a robust account</w:t>
      </w:r>
      <w:r w:rsidR="00003986">
        <w:rPr>
          <w:lang w:val="en-AU"/>
        </w:rPr>
        <w:t xml:space="preserve"> </w:t>
      </w:r>
      <w:r w:rsidR="00720BFB" w:rsidRPr="005E312F">
        <w:rPr>
          <w:lang w:val="en-AU"/>
        </w:rPr>
        <w:t>of</w:t>
      </w:r>
      <w:r w:rsidR="00003986">
        <w:rPr>
          <w:lang w:val="en-AU"/>
        </w:rPr>
        <w:t xml:space="preserve"> PWC Networks’ </w:t>
      </w:r>
      <w:r w:rsidR="00720BFB" w:rsidRPr="005E312F">
        <w:rPr>
          <w:lang w:val="en-AU"/>
        </w:rPr>
        <w:t>actual assets.</w:t>
      </w:r>
    </w:p>
    <w:p w14:paraId="2090932D" w14:textId="19F8F86D" w:rsidR="00356A7E" w:rsidRPr="005E312F" w:rsidRDefault="00122BBA" w:rsidP="00B1000A">
      <w:pPr>
        <w:pStyle w:val="ListParagraph"/>
        <w:numPr>
          <w:ilvl w:val="1"/>
          <w:numId w:val="5"/>
        </w:numPr>
        <w:tabs>
          <w:tab w:val="num" w:pos="709"/>
        </w:tabs>
        <w:ind w:left="709" w:hanging="709"/>
        <w:rPr>
          <w:lang w:val="en-AU"/>
        </w:rPr>
      </w:pPr>
      <w:r w:rsidRPr="005E312F">
        <w:rPr>
          <w:lang w:val="en-AU"/>
        </w:rPr>
        <w:t>The Commission is</w:t>
      </w:r>
      <w:r w:rsidR="00B1000A" w:rsidRPr="005E312F">
        <w:rPr>
          <w:lang w:val="en-AU"/>
        </w:rPr>
        <w:t xml:space="preserve"> not ‘re-dorcing’ as </w:t>
      </w:r>
      <w:r w:rsidRPr="005E312F">
        <w:rPr>
          <w:lang w:val="en-AU"/>
        </w:rPr>
        <w:t xml:space="preserve">it </w:t>
      </w:r>
      <w:r w:rsidR="00B1000A" w:rsidRPr="005E312F">
        <w:rPr>
          <w:lang w:val="en-AU"/>
        </w:rPr>
        <w:t>did not previously use DORC. Rather, the Commission rejected the DORC valuation provided by PWC</w:t>
      </w:r>
      <w:r w:rsidR="005E312F">
        <w:rPr>
          <w:lang w:val="en-AU"/>
        </w:rPr>
        <w:t> Networks</w:t>
      </w:r>
      <w:r w:rsidR="00B1000A" w:rsidRPr="005E312F">
        <w:rPr>
          <w:lang w:val="en-AU"/>
        </w:rPr>
        <w:t xml:space="preserve"> in 2004 (</w:t>
      </w:r>
      <w:r w:rsidR="005E312F">
        <w:rPr>
          <w:lang w:val="en-AU"/>
        </w:rPr>
        <w:t>that is,</w:t>
      </w:r>
      <w:r w:rsidR="005E312F" w:rsidRPr="005E312F">
        <w:rPr>
          <w:lang w:val="en-AU"/>
        </w:rPr>
        <w:t xml:space="preserve"> </w:t>
      </w:r>
      <w:r w:rsidR="00B1000A" w:rsidRPr="005E312F">
        <w:rPr>
          <w:lang w:val="en-AU"/>
        </w:rPr>
        <w:t xml:space="preserve">just before the </w:t>
      </w:r>
      <w:r w:rsidR="005E312F">
        <w:rPr>
          <w:lang w:val="en-AU"/>
        </w:rPr>
        <w:t>Off Ramp</w:t>
      </w:r>
      <w:r w:rsidR="00B1000A" w:rsidRPr="005E312F">
        <w:rPr>
          <w:lang w:val="en-AU"/>
        </w:rPr>
        <w:t xml:space="preserve"> Decision) as unreliable and unverifiable. </w:t>
      </w:r>
      <w:r w:rsidR="005E312F" w:rsidRPr="005E312F">
        <w:rPr>
          <w:lang w:val="en-AU"/>
        </w:rPr>
        <w:t>PWC</w:t>
      </w:r>
      <w:r w:rsidR="005E312F">
        <w:rPr>
          <w:lang w:val="en-AU"/>
        </w:rPr>
        <w:t xml:space="preserve"> Networks </w:t>
      </w:r>
      <w:r w:rsidR="00B1000A" w:rsidRPr="005E312F">
        <w:rPr>
          <w:lang w:val="en-AU"/>
        </w:rPr>
        <w:t xml:space="preserve">again provided a DORC valuation considered too high by the Commission </w:t>
      </w:r>
      <w:r w:rsidR="0021699C">
        <w:rPr>
          <w:lang w:val="en-AU"/>
        </w:rPr>
        <w:t>in</w:t>
      </w:r>
      <w:r w:rsidR="0021699C" w:rsidRPr="005E312F">
        <w:rPr>
          <w:lang w:val="en-AU"/>
        </w:rPr>
        <w:t xml:space="preserve"> </w:t>
      </w:r>
      <w:r w:rsidR="00B1000A" w:rsidRPr="005E312F">
        <w:rPr>
          <w:lang w:val="en-AU"/>
        </w:rPr>
        <w:t>2009.</w:t>
      </w:r>
      <w:r w:rsidR="00356A7E" w:rsidRPr="005E312F" w:rsidDel="00356A7E">
        <w:rPr>
          <w:lang w:val="en-AU"/>
        </w:rPr>
        <w:t xml:space="preserve"> </w:t>
      </w:r>
      <w:r w:rsidR="00B1000A" w:rsidRPr="005E312F">
        <w:rPr>
          <w:lang w:val="en-AU"/>
        </w:rPr>
        <w:t xml:space="preserve">The fact that </w:t>
      </w:r>
      <w:r w:rsidR="00D32B9A">
        <w:rPr>
          <w:lang w:val="en-AU"/>
        </w:rPr>
        <w:t xml:space="preserve">the </w:t>
      </w:r>
      <w:r w:rsidR="00B1000A" w:rsidRPr="005E312F">
        <w:rPr>
          <w:lang w:val="en-AU"/>
        </w:rPr>
        <w:t xml:space="preserve">new SKM valuation is very close to </w:t>
      </w:r>
      <w:r w:rsidR="0021699C">
        <w:rPr>
          <w:lang w:val="en-AU"/>
        </w:rPr>
        <w:t xml:space="preserve">the outcome of rolling forward the RAB value used by the Commission for the </w:t>
      </w:r>
      <w:r w:rsidR="00B1000A" w:rsidRPr="005E312F">
        <w:rPr>
          <w:lang w:val="en-AU"/>
        </w:rPr>
        <w:t xml:space="preserve">2009 </w:t>
      </w:r>
      <w:r w:rsidR="0021699C">
        <w:rPr>
          <w:lang w:val="en-AU"/>
        </w:rPr>
        <w:t>Network Price Determination</w:t>
      </w:r>
      <w:r w:rsidR="0021699C" w:rsidRPr="005E312F">
        <w:rPr>
          <w:lang w:val="en-AU"/>
        </w:rPr>
        <w:t xml:space="preserve"> </w:t>
      </w:r>
      <w:r w:rsidR="00B1000A" w:rsidRPr="005E312F">
        <w:rPr>
          <w:lang w:val="en-AU"/>
        </w:rPr>
        <w:t xml:space="preserve">substantiates the Commission’s view that the previous DORC valuation was incorrect. </w:t>
      </w:r>
    </w:p>
    <w:p w14:paraId="4E2862AA" w14:textId="541D10A6" w:rsidR="00B1000A" w:rsidRPr="005E312F" w:rsidRDefault="00356A7E" w:rsidP="004176AD">
      <w:pPr>
        <w:pStyle w:val="ListParagraph"/>
        <w:numPr>
          <w:ilvl w:val="1"/>
          <w:numId w:val="5"/>
        </w:numPr>
        <w:tabs>
          <w:tab w:val="num" w:pos="709"/>
        </w:tabs>
        <w:ind w:left="709" w:hanging="709"/>
        <w:rPr>
          <w:lang w:val="en-AU"/>
        </w:rPr>
      </w:pPr>
      <w:r w:rsidRPr="005E312F">
        <w:rPr>
          <w:lang w:val="en-AU"/>
        </w:rPr>
        <w:t xml:space="preserve">The Commission’s key concern is that, not only was </w:t>
      </w:r>
      <w:r w:rsidR="00B1000A" w:rsidRPr="005E312F">
        <w:rPr>
          <w:lang w:val="en-AU"/>
        </w:rPr>
        <w:t xml:space="preserve">the DORC valuation submitted for the 2009 Network Price Determination too high, but </w:t>
      </w:r>
      <w:r w:rsidRPr="005E312F">
        <w:rPr>
          <w:lang w:val="en-AU"/>
        </w:rPr>
        <w:t xml:space="preserve">it </w:t>
      </w:r>
      <w:r w:rsidR="00B1000A" w:rsidRPr="005E312F">
        <w:rPr>
          <w:lang w:val="en-AU"/>
        </w:rPr>
        <w:t>also contained errors in the categorisation of assets</w:t>
      </w:r>
      <w:r w:rsidRPr="005E312F">
        <w:rPr>
          <w:lang w:val="en-AU"/>
        </w:rPr>
        <w:t xml:space="preserve"> across asset classes. As such, by allocating the total RAB value set in the </w:t>
      </w:r>
      <w:r w:rsidR="0021699C">
        <w:rPr>
          <w:lang w:val="en-AU"/>
        </w:rPr>
        <w:t>Off Ramp</w:t>
      </w:r>
      <w:r w:rsidRPr="005E312F">
        <w:rPr>
          <w:lang w:val="en-AU"/>
        </w:rPr>
        <w:t xml:space="preserve"> Decision in proportion to the asset class values submitted by PWC Networks at that time (that is, based on the 2007 DORC valuation), </w:t>
      </w:r>
      <w:r w:rsidR="004176AD" w:rsidRPr="005E312F">
        <w:rPr>
          <w:lang w:val="en-AU"/>
        </w:rPr>
        <w:t>a roll</w:t>
      </w:r>
      <w:r w:rsidR="004C6187">
        <w:rPr>
          <w:lang w:val="en-AU"/>
        </w:rPr>
        <w:t xml:space="preserve"> </w:t>
      </w:r>
      <w:r w:rsidR="004176AD" w:rsidRPr="005E312F">
        <w:rPr>
          <w:lang w:val="en-AU"/>
        </w:rPr>
        <w:t xml:space="preserve">forward of the 2009 </w:t>
      </w:r>
      <w:r w:rsidR="0021699C">
        <w:rPr>
          <w:lang w:val="en-AU"/>
        </w:rPr>
        <w:t>RAB</w:t>
      </w:r>
      <w:r w:rsidR="0021699C" w:rsidRPr="005E312F">
        <w:rPr>
          <w:lang w:val="en-AU"/>
        </w:rPr>
        <w:t xml:space="preserve"> </w:t>
      </w:r>
      <w:r w:rsidR="004176AD" w:rsidRPr="005E312F">
        <w:rPr>
          <w:lang w:val="en-AU"/>
        </w:rPr>
        <w:t>value will be flawed. The</w:t>
      </w:r>
      <w:r w:rsidR="00B1000A" w:rsidRPr="005E312F">
        <w:rPr>
          <w:lang w:val="en-AU"/>
        </w:rPr>
        <w:t xml:space="preserve"> differences in values for individual asset categories </w:t>
      </w:r>
      <w:r w:rsidR="004176AD" w:rsidRPr="005E312F">
        <w:rPr>
          <w:lang w:val="en-AU"/>
        </w:rPr>
        <w:t xml:space="preserve">are </w:t>
      </w:r>
      <w:r w:rsidR="00B1000A" w:rsidRPr="005E312F">
        <w:rPr>
          <w:lang w:val="en-AU"/>
        </w:rPr>
        <w:t xml:space="preserve">shown in Table 6.3 above. </w:t>
      </w:r>
    </w:p>
    <w:p w14:paraId="715E7088" w14:textId="67C90E53" w:rsidR="00417035" w:rsidRPr="005E312F" w:rsidRDefault="00720BFB" w:rsidP="00A316C2">
      <w:pPr>
        <w:pStyle w:val="ListParagraph"/>
        <w:numPr>
          <w:ilvl w:val="1"/>
          <w:numId w:val="5"/>
        </w:numPr>
        <w:tabs>
          <w:tab w:val="num" w:pos="709"/>
        </w:tabs>
        <w:ind w:left="709" w:hanging="709"/>
        <w:rPr>
          <w:lang w:val="en-AU"/>
        </w:rPr>
      </w:pPr>
      <w:r w:rsidRPr="005E312F">
        <w:rPr>
          <w:lang w:val="en-AU"/>
        </w:rPr>
        <w:t xml:space="preserve">The Commission maintains its view that the </w:t>
      </w:r>
      <w:r w:rsidR="0021699C">
        <w:rPr>
          <w:lang w:val="en-AU"/>
        </w:rPr>
        <w:t xml:space="preserve">2013 </w:t>
      </w:r>
      <w:r w:rsidRPr="005E312F">
        <w:rPr>
          <w:lang w:val="en-AU"/>
        </w:rPr>
        <w:t xml:space="preserve">SKM review of the RAB provides a transparent and reliable </w:t>
      </w:r>
      <w:r w:rsidR="0021699C">
        <w:rPr>
          <w:lang w:val="en-AU"/>
        </w:rPr>
        <w:t>RAB</w:t>
      </w:r>
      <w:r w:rsidR="0021699C" w:rsidRPr="005E312F">
        <w:rPr>
          <w:lang w:val="en-AU"/>
        </w:rPr>
        <w:t xml:space="preserve"> </w:t>
      </w:r>
      <w:r w:rsidRPr="005E312F">
        <w:rPr>
          <w:lang w:val="en-AU"/>
        </w:rPr>
        <w:t xml:space="preserve">value materially consistent with the Commission’s estimated </w:t>
      </w:r>
      <w:r w:rsidR="0021699C">
        <w:rPr>
          <w:lang w:val="en-AU"/>
        </w:rPr>
        <w:t>RAB</w:t>
      </w:r>
      <w:r w:rsidR="0021699C" w:rsidRPr="005E312F">
        <w:rPr>
          <w:lang w:val="en-AU"/>
        </w:rPr>
        <w:t xml:space="preserve"> </w:t>
      </w:r>
      <w:r w:rsidRPr="005E312F">
        <w:rPr>
          <w:lang w:val="en-AU"/>
        </w:rPr>
        <w:t xml:space="preserve">value developed for 1 July 2002 and that the proposed RAB value provides a level of granularity that will facilitate a greater degree of certainty in future </w:t>
      </w:r>
      <w:r w:rsidR="0021699C">
        <w:rPr>
          <w:lang w:val="en-AU"/>
        </w:rPr>
        <w:t>Network Price D</w:t>
      </w:r>
      <w:r w:rsidR="0021699C" w:rsidRPr="005E312F">
        <w:rPr>
          <w:lang w:val="en-AU"/>
        </w:rPr>
        <w:t>eterminations</w:t>
      </w:r>
      <w:r w:rsidRPr="005E312F">
        <w:rPr>
          <w:lang w:val="en-AU"/>
        </w:rPr>
        <w:t>.</w:t>
      </w:r>
      <w:r w:rsidR="00A316C2" w:rsidRPr="005E312F">
        <w:rPr>
          <w:lang w:val="en-AU"/>
        </w:rPr>
        <w:t xml:space="preserve"> </w:t>
      </w:r>
    </w:p>
    <w:p w14:paraId="5E88F0A5" w14:textId="242F7FA0" w:rsidR="00A316C2" w:rsidRPr="005E312F" w:rsidRDefault="00A316C2" w:rsidP="00A316C2">
      <w:pPr>
        <w:pStyle w:val="ListParagraph"/>
        <w:numPr>
          <w:ilvl w:val="1"/>
          <w:numId w:val="5"/>
        </w:numPr>
        <w:tabs>
          <w:tab w:val="num" w:pos="709"/>
        </w:tabs>
        <w:ind w:left="709" w:hanging="709"/>
        <w:rPr>
          <w:lang w:val="en-AU"/>
        </w:rPr>
      </w:pPr>
      <w:r w:rsidRPr="005E312F">
        <w:rPr>
          <w:lang w:val="en-AU"/>
        </w:rPr>
        <w:t xml:space="preserve">With respect to the NTMEU’s contention that capex in the 2009-14 regulatory control period should be assessed for prudency and efficiency rather than being automatically rolled into the RAB, the Commission notes that this refers to </w:t>
      </w:r>
      <w:r w:rsidR="00003986">
        <w:rPr>
          <w:lang w:val="en-AU"/>
        </w:rPr>
        <w:t xml:space="preserve">the </w:t>
      </w:r>
      <w:r w:rsidRPr="005E312F">
        <w:rPr>
          <w:lang w:val="en-AU"/>
        </w:rPr>
        <w:t xml:space="preserve">Capital Expenditure Incentive Guidelines </w:t>
      </w:r>
      <w:r w:rsidR="00003986">
        <w:rPr>
          <w:lang w:val="en-AU"/>
        </w:rPr>
        <w:t xml:space="preserve">published </w:t>
      </w:r>
      <w:r w:rsidRPr="005E312F">
        <w:rPr>
          <w:lang w:val="en-AU"/>
        </w:rPr>
        <w:t xml:space="preserve">by the AER in November 2013 following the amendments </w:t>
      </w:r>
      <w:r w:rsidR="00003986">
        <w:rPr>
          <w:lang w:val="en-AU"/>
        </w:rPr>
        <w:t xml:space="preserve">made </w:t>
      </w:r>
      <w:r w:rsidRPr="005E312F">
        <w:rPr>
          <w:lang w:val="en-AU"/>
        </w:rPr>
        <w:t>to the NER in November 2012 for which transitional arrangements apply.</w:t>
      </w:r>
    </w:p>
    <w:p w14:paraId="4684C188" w14:textId="77777777" w:rsidR="00A316C2" w:rsidRPr="005E312F" w:rsidRDefault="00A316C2" w:rsidP="00A316C2">
      <w:pPr>
        <w:pStyle w:val="ListParagraph"/>
        <w:numPr>
          <w:ilvl w:val="1"/>
          <w:numId w:val="5"/>
        </w:numPr>
        <w:tabs>
          <w:tab w:val="num" w:pos="709"/>
        </w:tabs>
        <w:ind w:left="709" w:hanging="709"/>
        <w:rPr>
          <w:lang w:val="en-AU"/>
        </w:rPr>
      </w:pPr>
      <w:r w:rsidRPr="005E312F">
        <w:rPr>
          <w:lang w:val="en-AU"/>
        </w:rPr>
        <w:t>These transitional arrangements are consistent with the Commission’s position, set out in its Framework Statement, that the Commission would roll the full amount of actual capex incurred in the 2009-14 regulatory control period into the opening RAB for the 2014-19 regulatory control period, as investment decisions made by PWC Networks to date have been premised on the RAB value being adjusted in full for inflation, asset acquisitions, asset disposals and annual depreciation.</w:t>
      </w:r>
    </w:p>
    <w:p w14:paraId="7E5DE50D" w14:textId="5E935ED0" w:rsidR="00720BFB" w:rsidRPr="005E312F" w:rsidRDefault="000A3526" w:rsidP="00417035">
      <w:pPr>
        <w:pStyle w:val="ListParagraph"/>
        <w:numPr>
          <w:ilvl w:val="1"/>
          <w:numId w:val="5"/>
        </w:numPr>
        <w:tabs>
          <w:tab w:val="num" w:pos="709"/>
        </w:tabs>
        <w:ind w:left="709" w:hanging="709"/>
        <w:rPr>
          <w:lang w:val="en-AU"/>
        </w:rPr>
      </w:pPr>
      <w:r>
        <w:rPr>
          <w:lang w:val="en-AU"/>
        </w:rPr>
        <w:t>T</w:t>
      </w:r>
      <w:r w:rsidR="00A316C2" w:rsidRPr="005E312F">
        <w:rPr>
          <w:lang w:val="en-AU"/>
        </w:rPr>
        <w:t xml:space="preserve">he Commission also notes that this will not be the case going forward, and PWC Networks’ opening RAB for </w:t>
      </w:r>
      <w:r w:rsidR="006F0659">
        <w:rPr>
          <w:lang w:val="en-AU"/>
        </w:rPr>
        <w:t>the P</w:t>
      </w:r>
      <w:r w:rsidR="00A316C2" w:rsidRPr="005E312F">
        <w:rPr>
          <w:lang w:val="en-AU"/>
        </w:rPr>
        <w:t>ost 2019 regulatory control period will be determined in accordance with the NER conventions, rules and procedures</w:t>
      </w:r>
      <w:r w:rsidR="0021699C">
        <w:rPr>
          <w:lang w:val="en-AU"/>
        </w:rPr>
        <w:t xml:space="preserve"> at that</w:t>
      </w:r>
      <w:r w:rsidR="006F0659">
        <w:rPr>
          <w:lang w:val="en-AU"/>
        </w:rPr>
        <w:t> </w:t>
      </w:r>
      <w:r w:rsidR="0021699C">
        <w:rPr>
          <w:lang w:val="en-AU"/>
        </w:rPr>
        <w:t>time</w:t>
      </w:r>
      <w:r w:rsidR="00A316C2" w:rsidRPr="005E312F">
        <w:rPr>
          <w:lang w:val="en-AU"/>
        </w:rPr>
        <w:t>.</w:t>
      </w:r>
    </w:p>
    <w:p w14:paraId="732926FF" w14:textId="312D8B8B" w:rsidR="00D5157C" w:rsidRPr="00BB4EB2" w:rsidRDefault="00D5157C" w:rsidP="00BB4311">
      <w:pPr>
        <w:pStyle w:val="UtilComHeading2"/>
        <w:spacing w:before="120"/>
      </w:pPr>
      <w:bookmarkStart w:id="123" w:name="_Toc385241487"/>
      <w:bookmarkStart w:id="124" w:name="_Toc386013040"/>
      <w:r w:rsidRPr="00BB4EB2">
        <w:t xml:space="preserve">Commission’s </w:t>
      </w:r>
      <w:r w:rsidR="00327F32">
        <w:t>F</w:t>
      </w:r>
      <w:r w:rsidR="00327F32" w:rsidRPr="00BB4EB2">
        <w:t xml:space="preserve">inal </w:t>
      </w:r>
      <w:bookmarkEnd w:id="123"/>
      <w:r w:rsidR="00327F32">
        <w:t>D</w:t>
      </w:r>
      <w:r w:rsidR="00327F32" w:rsidRPr="00BB4EB2">
        <w:t>ecision</w:t>
      </w:r>
      <w:bookmarkEnd w:id="124"/>
    </w:p>
    <w:p w14:paraId="184E6549" w14:textId="1252C918" w:rsidR="00C1581C" w:rsidRPr="0024393C" w:rsidRDefault="00C1581C" w:rsidP="00C1581C">
      <w:pPr>
        <w:pStyle w:val="NumberLevel2"/>
        <w:numPr>
          <w:ilvl w:val="1"/>
          <w:numId w:val="5"/>
        </w:numPr>
        <w:tabs>
          <w:tab w:val="num" w:pos="709"/>
        </w:tabs>
        <w:ind w:left="709" w:hanging="709"/>
        <w:rPr>
          <w:lang w:val="en-AU"/>
        </w:rPr>
      </w:pPr>
      <w:r>
        <w:rPr>
          <w:lang w:val="en-AU"/>
        </w:rPr>
        <w:t>The Commission accepts the opening RAB proposed by PWC Networks, which is based on the SKM 2013 valuation rolled forward using the AER’s RFM from 1 July 2013 (the value date for the SKM valuation) to 1 July 2014.</w:t>
      </w:r>
    </w:p>
    <w:p w14:paraId="0CC9E778" w14:textId="769B2BED" w:rsidR="00FD5D0D" w:rsidRPr="00FD5D0D" w:rsidRDefault="00FD5D0D" w:rsidP="00FD5D0D">
      <w:pPr>
        <w:pStyle w:val="ListParagraph"/>
        <w:numPr>
          <w:ilvl w:val="1"/>
          <w:numId w:val="5"/>
        </w:numPr>
        <w:tabs>
          <w:tab w:val="num" w:pos="709"/>
        </w:tabs>
        <w:ind w:left="709" w:hanging="709"/>
        <w:rPr>
          <w:lang w:val="en-AU"/>
        </w:rPr>
      </w:pPr>
      <w:r w:rsidRPr="00FD5D0D">
        <w:rPr>
          <w:lang w:val="en-AU"/>
        </w:rPr>
        <w:t xml:space="preserve">As </w:t>
      </w:r>
      <w:r w:rsidR="00417035">
        <w:rPr>
          <w:lang w:val="en-AU"/>
        </w:rPr>
        <w:t>indicated</w:t>
      </w:r>
      <w:r w:rsidR="00417035" w:rsidRPr="00FD5D0D">
        <w:rPr>
          <w:lang w:val="en-AU"/>
        </w:rPr>
        <w:t xml:space="preserve"> </w:t>
      </w:r>
      <w:r w:rsidRPr="00FD5D0D">
        <w:rPr>
          <w:lang w:val="en-AU"/>
        </w:rPr>
        <w:t xml:space="preserve">in its </w:t>
      </w:r>
      <w:r w:rsidR="00417035">
        <w:rPr>
          <w:lang w:val="en-AU"/>
        </w:rPr>
        <w:t>D</w:t>
      </w:r>
      <w:r w:rsidR="00417035" w:rsidRPr="00FD5D0D">
        <w:rPr>
          <w:lang w:val="en-AU"/>
        </w:rPr>
        <w:t xml:space="preserve">raft </w:t>
      </w:r>
      <w:r w:rsidR="00417035">
        <w:rPr>
          <w:lang w:val="en-AU"/>
        </w:rPr>
        <w:t>Determination</w:t>
      </w:r>
      <w:r w:rsidRPr="00FD5D0D">
        <w:rPr>
          <w:lang w:val="en-AU"/>
        </w:rPr>
        <w:t xml:space="preserve">, </w:t>
      </w:r>
      <w:r>
        <w:rPr>
          <w:lang w:val="en-AU"/>
        </w:rPr>
        <w:t>t</w:t>
      </w:r>
      <w:r w:rsidRPr="00FD5D0D">
        <w:rPr>
          <w:lang w:val="en-AU"/>
        </w:rPr>
        <w:t xml:space="preserve">he Commission has updated the revised </w:t>
      </w:r>
      <w:r>
        <w:rPr>
          <w:lang w:val="en-AU"/>
        </w:rPr>
        <w:t>RFM</w:t>
      </w:r>
      <w:r w:rsidRPr="00FD5D0D">
        <w:rPr>
          <w:lang w:val="en-AU"/>
        </w:rPr>
        <w:t xml:space="preserve"> </w:t>
      </w:r>
      <w:r>
        <w:rPr>
          <w:lang w:val="en-AU"/>
        </w:rPr>
        <w:t>for</w:t>
      </w:r>
      <w:r w:rsidRPr="00FD5D0D">
        <w:rPr>
          <w:lang w:val="en-AU"/>
        </w:rPr>
        <w:t xml:space="preserve"> </w:t>
      </w:r>
      <w:r w:rsidR="00417035" w:rsidRPr="00FD5D0D">
        <w:rPr>
          <w:lang w:val="en-AU"/>
        </w:rPr>
        <w:t>PWC</w:t>
      </w:r>
      <w:r w:rsidR="00417035">
        <w:rPr>
          <w:lang w:val="en-AU"/>
        </w:rPr>
        <w:t> </w:t>
      </w:r>
      <w:r w:rsidRPr="00FD5D0D">
        <w:rPr>
          <w:lang w:val="en-AU"/>
        </w:rPr>
        <w:t xml:space="preserve">Networks with </w:t>
      </w:r>
      <w:r w:rsidR="00417035">
        <w:rPr>
          <w:lang w:val="en-AU"/>
        </w:rPr>
        <w:t xml:space="preserve">the </w:t>
      </w:r>
      <w:r w:rsidRPr="00FD5D0D">
        <w:rPr>
          <w:lang w:val="en-AU"/>
        </w:rPr>
        <w:t xml:space="preserve">latest available CPI data </w:t>
      </w:r>
      <w:r>
        <w:rPr>
          <w:lang w:val="en-AU"/>
        </w:rPr>
        <w:t xml:space="preserve">(that is, </w:t>
      </w:r>
      <w:r w:rsidR="00417035">
        <w:rPr>
          <w:lang w:val="en-AU"/>
        </w:rPr>
        <w:t xml:space="preserve">the data published in </w:t>
      </w:r>
      <w:r>
        <w:rPr>
          <w:lang w:val="en-AU"/>
        </w:rPr>
        <w:t xml:space="preserve">the </w:t>
      </w:r>
      <w:r w:rsidR="00417035">
        <w:rPr>
          <w:lang w:val="en-AU"/>
        </w:rPr>
        <w:t>December </w:t>
      </w:r>
      <w:r>
        <w:rPr>
          <w:lang w:val="en-AU"/>
        </w:rPr>
        <w:t>2013)</w:t>
      </w:r>
      <w:r w:rsidRPr="00FD5D0D">
        <w:rPr>
          <w:lang w:val="en-AU"/>
        </w:rPr>
        <w:t xml:space="preserve">. </w:t>
      </w:r>
    </w:p>
    <w:p w14:paraId="38C1B08C" w14:textId="28B041E3" w:rsidR="00D5157C" w:rsidRPr="00794B2D" w:rsidRDefault="00FD5D0D" w:rsidP="00BB4311">
      <w:pPr>
        <w:pStyle w:val="ListParagraph"/>
        <w:numPr>
          <w:ilvl w:val="1"/>
          <w:numId w:val="5"/>
        </w:numPr>
        <w:tabs>
          <w:tab w:val="num" w:pos="709"/>
        </w:tabs>
        <w:spacing w:after="0"/>
        <w:ind w:left="709" w:hanging="709"/>
        <w:rPr>
          <w:lang w:val="en-AU"/>
        </w:rPr>
      </w:pPr>
      <w:r w:rsidRPr="00FD5D0D">
        <w:rPr>
          <w:lang w:val="en-AU"/>
        </w:rPr>
        <w:t xml:space="preserve">The RAB roll forward calculations for </w:t>
      </w:r>
      <w:r>
        <w:rPr>
          <w:lang w:val="en-AU"/>
        </w:rPr>
        <w:t>PWC Networks</w:t>
      </w:r>
      <w:r w:rsidRPr="00FD5D0D">
        <w:rPr>
          <w:lang w:val="en-AU"/>
        </w:rPr>
        <w:t xml:space="preserve"> are set out in </w:t>
      </w:r>
      <w:r w:rsidR="00003986">
        <w:rPr>
          <w:lang w:val="en-AU"/>
        </w:rPr>
        <w:t>T</w:t>
      </w:r>
      <w:r w:rsidRPr="00FD5D0D">
        <w:rPr>
          <w:lang w:val="en-AU"/>
        </w:rPr>
        <w:t xml:space="preserve">able </w:t>
      </w:r>
      <w:r>
        <w:rPr>
          <w:lang w:val="en-AU"/>
        </w:rPr>
        <w:t>6</w:t>
      </w:r>
      <w:r w:rsidRPr="00FD5D0D">
        <w:rPr>
          <w:lang w:val="en-AU"/>
        </w:rPr>
        <w:t>.</w:t>
      </w:r>
      <w:r>
        <w:rPr>
          <w:lang w:val="en-AU"/>
        </w:rPr>
        <w:t>4</w:t>
      </w:r>
      <w:r w:rsidRPr="00FD5D0D">
        <w:rPr>
          <w:lang w:val="en-AU"/>
        </w:rPr>
        <w:t xml:space="preserve"> and provide for an opening RAB </w:t>
      </w:r>
      <w:r w:rsidR="00417035">
        <w:rPr>
          <w:lang w:val="en-AU"/>
        </w:rPr>
        <w:t xml:space="preserve">value </w:t>
      </w:r>
      <w:r w:rsidRPr="000A3526">
        <w:rPr>
          <w:lang w:val="en-AU"/>
        </w:rPr>
        <w:t>of $928</w:t>
      </w:r>
      <w:r w:rsidR="00550501" w:rsidRPr="000A3526">
        <w:rPr>
          <w:lang w:val="en-AU"/>
        </w:rPr>
        <w:t>.3</w:t>
      </w:r>
      <w:r w:rsidRPr="000A3526">
        <w:rPr>
          <w:lang w:val="en-AU"/>
        </w:rPr>
        <w:t xml:space="preserve"> million</w:t>
      </w:r>
      <w:r w:rsidRPr="00FD5D0D">
        <w:rPr>
          <w:lang w:val="en-AU"/>
        </w:rPr>
        <w:t xml:space="preserve"> for </w:t>
      </w:r>
      <w:r>
        <w:rPr>
          <w:lang w:val="en-AU"/>
        </w:rPr>
        <w:t>regulated network access</w:t>
      </w:r>
      <w:r w:rsidRPr="00FD5D0D">
        <w:rPr>
          <w:lang w:val="en-AU"/>
        </w:rPr>
        <w:t xml:space="preserve"> services for the </w:t>
      </w:r>
      <w:r>
        <w:rPr>
          <w:lang w:val="en-AU"/>
        </w:rPr>
        <w:t>2014-19</w:t>
      </w:r>
      <w:r w:rsidRPr="00FD5D0D">
        <w:rPr>
          <w:lang w:val="en-AU"/>
        </w:rPr>
        <w:t xml:space="preserve"> regulatory control period</w:t>
      </w:r>
      <w:r w:rsidR="009D0F4D">
        <w:rPr>
          <w:lang w:val="en-AU"/>
        </w:rPr>
        <w:t>.</w:t>
      </w:r>
    </w:p>
    <w:p w14:paraId="68CCD215" w14:textId="77777777" w:rsidR="000A3526" w:rsidRDefault="000A3526" w:rsidP="00BB4311">
      <w:pPr>
        <w:spacing w:before="0" w:after="0" w:line="240" w:lineRule="auto"/>
      </w:pPr>
    </w:p>
    <w:p w14:paraId="799ECF69" w14:textId="4115B627" w:rsidR="00FD5D0D" w:rsidRPr="00A139AD" w:rsidRDefault="00FD5D0D" w:rsidP="00BB4311">
      <w:pPr>
        <w:spacing w:before="0" w:after="0" w:line="240" w:lineRule="auto"/>
      </w:pPr>
      <w:r>
        <w:t>Table 6.4: Commission</w:t>
      </w:r>
      <w:r w:rsidR="00003986">
        <w:t>’s</w:t>
      </w:r>
      <w:r>
        <w:t xml:space="preserve"> conclusion on PWC Networks opening</w:t>
      </w:r>
      <w:r w:rsidRPr="00E529C5">
        <w:t xml:space="preserve"> RAB ($</w:t>
      </w:r>
      <w:r>
        <w:t>M</w:t>
      </w:r>
      <w:r w:rsidRPr="00E529C5">
        <w:t>, nominal)</w:t>
      </w:r>
      <w:r>
        <w:t xml:space="preserve"> </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124"/>
        <w:gridCol w:w="1418"/>
        <w:gridCol w:w="1418"/>
        <w:gridCol w:w="1418"/>
        <w:gridCol w:w="1418"/>
        <w:gridCol w:w="1418"/>
      </w:tblGrid>
      <w:tr w:rsidR="00FD5D0D" w:rsidRPr="00CD0BDF" w14:paraId="2615A17E" w14:textId="77777777" w:rsidTr="00AB3FF5">
        <w:trPr>
          <w:cantSplit/>
          <w:trHeight w:val="360"/>
        </w:trPr>
        <w:tc>
          <w:tcPr>
            <w:tcW w:w="2124" w:type="dxa"/>
            <w:tcBorders>
              <w:bottom w:val="single" w:sz="4" w:space="0" w:color="999999"/>
            </w:tcBorders>
            <w:vAlign w:val="bottom"/>
          </w:tcPr>
          <w:p w14:paraId="5C87E634" w14:textId="77777777" w:rsidR="00FD5D0D" w:rsidRPr="00EE5A08" w:rsidRDefault="00FD5D0D" w:rsidP="00AB3FF5">
            <w:pPr>
              <w:pStyle w:val="UtilComTableColumnHeading"/>
            </w:pPr>
          </w:p>
        </w:tc>
        <w:tc>
          <w:tcPr>
            <w:tcW w:w="5672" w:type="dxa"/>
            <w:gridSpan w:val="4"/>
            <w:tcBorders>
              <w:bottom w:val="single" w:sz="4" w:space="0" w:color="999999"/>
            </w:tcBorders>
            <w:vAlign w:val="bottom"/>
          </w:tcPr>
          <w:p w14:paraId="64974ADB" w14:textId="77777777" w:rsidR="00FD5D0D" w:rsidRPr="00EE5A08" w:rsidRDefault="00FD5D0D" w:rsidP="00AB3FF5">
            <w:pPr>
              <w:pStyle w:val="UtilComTableColumnHeading"/>
              <w:jc w:val="center"/>
            </w:pPr>
            <w:r>
              <w:t>Actual</w:t>
            </w:r>
          </w:p>
        </w:tc>
        <w:tc>
          <w:tcPr>
            <w:tcW w:w="1418" w:type="dxa"/>
            <w:tcBorders>
              <w:bottom w:val="single" w:sz="4" w:space="0" w:color="999999"/>
            </w:tcBorders>
            <w:vAlign w:val="bottom"/>
          </w:tcPr>
          <w:p w14:paraId="1B1F97F7" w14:textId="77777777" w:rsidR="00FD5D0D" w:rsidRPr="00EE5A08" w:rsidRDefault="00FD5D0D" w:rsidP="00AB3FF5">
            <w:pPr>
              <w:pStyle w:val="UtilComTableColumnHeading"/>
              <w:jc w:val="center"/>
            </w:pPr>
            <w:r>
              <w:t>Estimate</w:t>
            </w:r>
          </w:p>
        </w:tc>
      </w:tr>
      <w:tr w:rsidR="00FD5D0D" w:rsidRPr="008A4655" w14:paraId="09D15325" w14:textId="77777777" w:rsidTr="00AB3FF5">
        <w:trPr>
          <w:cantSplit/>
          <w:trHeight w:val="360"/>
        </w:trPr>
        <w:tc>
          <w:tcPr>
            <w:tcW w:w="2124" w:type="dxa"/>
            <w:tcBorders>
              <w:top w:val="single" w:sz="4" w:space="0" w:color="999999"/>
              <w:bottom w:val="single" w:sz="4" w:space="0" w:color="auto"/>
            </w:tcBorders>
            <w:vAlign w:val="bottom"/>
          </w:tcPr>
          <w:p w14:paraId="26E1328C" w14:textId="77777777" w:rsidR="00FD5D0D" w:rsidRPr="00EE5A08" w:rsidRDefault="00FD5D0D" w:rsidP="00AB3FF5">
            <w:pPr>
              <w:pStyle w:val="UtilComTabletext"/>
              <w:rPr>
                <w:b/>
              </w:rPr>
            </w:pPr>
          </w:p>
        </w:tc>
        <w:tc>
          <w:tcPr>
            <w:tcW w:w="1418" w:type="dxa"/>
            <w:tcBorders>
              <w:top w:val="single" w:sz="4" w:space="0" w:color="999999"/>
              <w:bottom w:val="single" w:sz="4" w:space="0" w:color="auto"/>
            </w:tcBorders>
            <w:vAlign w:val="bottom"/>
          </w:tcPr>
          <w:p w14:paraId="285CDB2F" w14:textId="77777777" w:rsidR="00FD5D0D" w:rsidRPr="00EE5A08" w:rsidRDefault="00FD5D0D" w:rsidP="00AB3FF5">
            <w:pPr>
              <w:pStyle w:val="UtilComTabletext"/>
              <w:jc w:val="right"/>
              <w:rPr>
                <w:b/>
              </w:rPr>
            </w:pPr>
            <w:r>
              <w:rPr>
                <w:b/>
              </w:rPr>
              <w:t>2009-10</w:t>
            </w:r>
          </w:p>
        </w:tc>
        <w:tc>
          <w:tcPr>
            <w:tcW w:w="1418" w:type="dxa"/>
            <w:tcBorders>
              <w:top w:val="single" w:sz="4" w:space="0" w:color="999999"/>
              <w:bottom w:val="single" w:sz="4" w:space="0" w:color="auto"/>
            </w:tcBorders>
            <w:vAlign w:val="bottom"/>
          </w:tcPr>
          <w:p w14:paraId="0D516801" w14:textId="77777777" w:rsidR="00FD5D0D" w:rsidRPr="00EE5A08" w:rsidRDefault="00FD5D0D" w:rsidP="00AB3FF5">
            <w:pPr>
              <w:pStyle w:val="UtilComTabletext"/>
              <w:jc w:val="right"/>
              <w:rPr>
                <w:b/>
              </w:rPr>
            </w:pPr>
            <w:r>
              <w:rPr>
                <w:b/>
              </w:rPr>
              <w:t>2010-11</w:t>
            </w:r>
          </w:p>
        </w:tc>
        <w:tc>
          <w:tcPr>
            <w:tcW w:w="1418" w:type="dxa"/>
            <w:tcBorders>
              <w:top w:val="single" w:sz="4" w:space="0" w:color="999999"/>
              <w:bottom w:val="single" w:sz="4" w:space="0" w:color="auto"/>
            </w:tcBorders>
            <w:vAlign w:val="bottom"/>
          </w:tcPr>
          <w:p w14:paraId="070F9E3F" w14:textId="77777777" w:rsidR="00FD5D0D" w:rsidRPr="00EE5A08" w:rsidRDefault="00FD5D0D" w:rsidP="00AB3FF5">
            <w:pPr>
              <w:pStyle w:val="UtilComTabletext"/>
              <w:jc w:val="right"/>
              <w:rPr>
                <w:b/>
              </w:rPr>
            </w:pPr>
            <w:r>
              <w:rPr>
                <w:b/>
              </w:rPr>
              <w:t>2011-12</w:t>
            </w:r>
          </w:p>
        </w:tc>
        <w:tc>
          <w:tcPr>
            <w:tcW w:w="1418" w:type="dxa"/>
            <w:tcBorders>
              <w:top w:val="single" w:sz="4" w:space="0" w:color="999999"/>
              <w:bottom w:val="single" w:sz="4" w:space="0" w:color="auto"/>
            </w:tcBorders>
            <w:vAlign w:val="bottom"/>
          </w:tcPr>
          <w:p w14:paraId="7D368CFB" w14:textId="77777777" w:rsidR="00FD5D0D" w:rsidRPr="00EE5A08" w:rsidRDefault="00FD5D0D" w:rsidP="00AB3FF5">
            <w:pPr>
              <w:pStyle w:val="UtilComTabletext"/>
              <w:jc w:val="right"/>
              <w:rPr>
                <w:b/>
              </w:rPr>
            </w:pPr>
            <w:r>
              <w:rPr>
                <w:b/>
              </w:rPr>
              <w:t>2012-13</w:t>
            </w:r>
          </w:p>
        </w:tc>
        <w:tc>
          <w:tcPr>
            <w:tcW w:w="1418" w:type="dxa"/>
            <w:tcBorders>
              <w:top w:val="single" w:sz="4" w:space="0" w:color="999999"/>
              <w:bottom w:val="single" w:sz="4" w:space="0" w:color="auto"/>
            </w:tcBorders>
            <w:tcMar>
              <w:right w:w="108" w:type="dxa"/>
            </w:tcMar>
            <w:vAlign w:val="bottom"/>
          </w:tcPr>
          <w:p w14:paraId="30CB7EEF" w14:textId="77777777" w:rsidR="00FD5D0D" w:rsidRPr="00EE5A08" w:rsidRDefault="00FD5D0D" w:rsidP="00AB3FF5">
            <w:pPr>
              <w:pStyle w:val="UtilComTabletext"/>
              <w:jc w:val="right"/>
              <w:rPr>
                <w:b/>
              </w:rPr>
            </w:pPr>
            <w:r>
              <w:rPr>
                <w:b/>
              </w:rPr>
              <w:t>2013-14</w:t>
            </w:r>
          </w:p>
        </w:tc>
      </w:tr>
      <w:tr w:rsidR="00FD5D0D" w:rsidRPr="008A4655" w14:paraId="52C2BDA6" w14:textId="77777777" w:rsidTr="00C1581C">
        <w:trPr>
          <w:cantSplit/>
          <w:trHeight w:val="360"/>
        </w:trPr>
        <w:tc>
          <w:tcPr>
            <w:tcW w:w="2124" w:type="dxa"/>
            <w:tcBorders>
              <w:top w:val="single" w:sz="4" w:space="0" w:color="auto"/>
            </w:tcBorders>
          </w:tcPr>
          <w:p w14:paraId="3E6F6E62" w14:textId="77777777" w:rsidR="00FD5D0D" w:rsidRDefault="00FD5D0D" w:rsidP="00AB3FF5">
            <w:pPr>
              <w:pStyle w:val="UtilComTabletext"/>
            </w:pPr>
            <w:r>
              <w:t>Opening RAB at 1 July</w:t>
            </w:r>
          </w:p>
        </w:tc>
        <w:tc>
          <w:tcPr>
            <w:tcW w:w="1418" w:type="dxa"/>
            <w:tcBorders>
              <w:top w:val="single" w:sz="4" w:space="0" w:color="auto"/>
            </w:tcBorders>
            <w:shd w:val="clear" w:color="auto" w:fill="A6A6A6" w:themeFill="background1" w:themeFillShade="A6"/>
          </w:tcPr>
          <w:p w14:paraId="53EA8B6E" w14:textId="77777777" w:rsidR="00FD5D0D" w:rsidRDefault="00FD5D0D" w:rsidP="00AB3FF5">
            <w:pPr>
              <w:pStyle w:val="UtilComTabletext"/>
              <w:jc w:val="right"/>
            </w:pPr>
          </w:p>
        </w:tc>
        <w:tc>
          <w:tcPr>
            <w:tcW w:w="1418" w:type="dxa"/>
            <w:tcBorders>
              <w:top w:val="single" w:sz="4" w:space="0" w:color="auto"/>
            </w:tcBorders>
            <w:shd w:val="clear" w:color="auto" w:fill="A6A6A6" w:themeFill="background1" w:themeFillShade="A6"/>
          </w:tcPr>
          <w:p w14:paraId="67F3CF07" w14:textId="77777777" w:rsidR="00FD5D0D" w:rsidRDefault="00FD5D0D" w:rsidP="00AB3FF5">
            <w:pPr>
              <w:pStyle w:val="UtilComTabletext"/>
              <w:jc w:val="right"/>
            </w:pPr>
          </w:p>
        </w:tc>
        <w:tc>
          <w:tcPr>
            <w:tcW w:w="1418" w:type="dxa"/>
            <w:tcBorders>
              <w:top w:val="single" w:sz="4" w:space="0" w:color="auto"/>
            </w:tcBorders>
            <w:shd w:val="clear" w:color="auto" w:fill="A6A6A6" w:themeFill="background1" w:themeFillShade="A6"/>
          </w:tcPr>
          <w:p w14:paraId="0F5A381B" w14:textId="77777777" w:rsidR="00FD5D0D" w:rsidRDefault="00FD5D0D" w:rsidP="00AB3FF5">
            <w:pPr>
              <w:pStyle w:val="UtilComTabletext"/>
              <w:jc w:val="right"/>
            </w:pPr>
          </w:p>
        </w:tc>
        <w:tc>
          <w:tcPr>
            <w:tcW w:w="1418" w:type="dxa"/>
            <w:tcBorders>
              <w:top w:val="single" w:sz="4" w:space="0" w:color="auto"/>
            </w:tcBorders>
            <w:shd w:val="clear" w:color="auto" w:fill="A6A6A6" w:themeFill="background1" w:themeFillShade="A6"/>
          </w:tcPr>
          <w:p w14:paraId="13272141" w14:textId="77777777" w:rsidR="00FD5D0D" w:rsidRPr="00340D05" w:rsidRDefault="00FD5D0D" w:rsidP="00AB3FF5">
            <w:pPr>
              <w:pStyle w:val="UtilComTabletext"/>
              <w:jc w:val="right"/>
            </w:pPr>
          </w:p>
        </w:tc>
        <w:tc>
          <w:tcPr>
            <w:tcW w:w="1418" w:type="dxa"/>
            <w:tcBorders>
              <w:top w:val="single" w:sz="4" w:space="0" w:color="auto"/>
            </w:tcBorders>
            <w:tcMar>
              <w:right w:w="108" w:type="dxa"/>
            </w:tcMar>
          </w:tcPr>
          <w:p w14:paraId="5F336BFD" w14:textId="77777777" w:rsidR="00FD5D0D" w:rsidRDefault="00FD5D0D" w:rsidP="00AB3FF5">
            <w:pPr>
              <w:pStyle w:val="UtilComTabletext"/>
              <w:jc w:val="right"/>
            </w:pPr>
            <w:r>
              <w:t>856.18</w:t>
            </w:r>
          </w:p>
        </w:tc>
      </w:tr>
      <w:tr w:rsidR="00FD5D0D" w:rsidRPr="008A4655" w14:paraId="171C468E" w14:textId="77777777" w:rsidTr="00C1581C">
        <w:trPr>
          <w:cantSplit/>
          <w:trHeight w:val="360"/>
        </w:trPr>
        <w:tc>
          <w:tcPr>
            <w:tcW w:w="2124" w:type="dxa"/>
          </w:tcPr>
          <w:p w14:paraId="13F262FF" w14:textId="77777777" w:rsidR="00FD5D0D" w:rsidRDefault="00FD5D0D" w:rsidP="00AB3FF5">
            <w:pPr>
              <w:pStyle w:val="UtilComTabletext"/>
            </w:pPr>
            <w:r>
              <w:t>Net capex</w:t>
            </w:r>
          </w:p>
        </w:tc>
        <w:tc>
          <w:tcPr>
            <w:tcW w:w="1418" w:type="dxa"/>
            <w:shd w:val="clear" w:color="auto" w:fill="A6A6A6" w:themeFill="background1" w:themeFillShade="A6"/>
          </w:tcPr>
          <w:p w14:paraId="54CC945F" w14:textId="77777777" w:rsidR="00FD5D0D" w:rsidRDefault="00FD5D0D" w:rsidP="00AB3FF5">
            <w:pPr>
              <w:pStyle w:val="UtilComTabletext"/>
              <w:jc w:val="right"/>
            </w:pPr>
          </w:p>
        </w:tc>
        <w:tc>
          <w:tcPr>
            <w:tcW w:w="1418" w:type="dxa"/>
            <w:shd w:val="clear" w:color="auto" w:fill="A6A6A6" w:themeFill="background1" w:themeFillShade="A6"/>
          </w:tcPr>
          <w:p w14:paraId="4764E225" w14:textId="77777777" w:rsidR="00FD5D0D" w:rsidRDefault="00FD5D0D" w:rsidP="00AB3FF5">
            <w:pPr>
              <w:pStyle w:val="UtilComTabletext"/>
              <w:jc w:val="right"/>
            </w:pPr>
          </w:p>
        </w:tc>
        <w:tc>
          <w:tcPr>
            <w:tcW w:w="1418" w:type="dxa"/>
            <w:shd w:val="clear" w:color="auto" w:fill="A6A6A6" w:themeFill="background1" w:themeFillShade="A6"/>
          </w:tcPr>
          <w:p w14:paraId="044472EC" w14:textId="77777777" w:rsidR="00FD5D0D" w:rsidRDefault="00FD5D0D" w:rsidP="00AB3FF5">
            <w:pPr>
              <w:pStyle w:val="UtilComTabletext"/>
              <w:jc w:val="right"/>
            </w:pPr>
          </w:p>
        </w:tc>
        <w:tc>
          <w:tcPr>
            <w:tcW w:w="1418" w:type="dxa"/>
            <w:shd w:val="clear" w:color="auto" w:fill="A6A6A6" w:themeFill="background1" w:themeFillShade="A6"/>
          </w:tcPr>
          <w:p w14:paraId="50F9742B" w14:textId="77777777" w:rsidR="00FD5D0D" w:rsidRPr="00340D05" w:rsidRDefault="00FD5D0D" w:rsidP="00AB3FF5">
            <w:pPr>
              <w:pStyle w:val="UtilComTabletext"/>
              <w:jc w:val="right"/>
            </w:pPr>
          </w:p>
        </w:tc>
        <w:tc>
          <w:tcPr>
            <w:tcW w:w="1418" w:type="dxa"/>
            <w:tcMar>
              <w:right w:w="108" w:type="dxa"/>
            </w:tcMar>
          </w:tcPr>
          <w:p w14:paraId="0CEA6473" w14:textId="77777777" w:rsidR="00FD5D0D" w:rsidRDefault="00FD5D0D" w:rsidP="00FD5D0D">
            <w:pPr>
              <w:pStyle w:val="UtilComTabletext"/>
              <w:jc w:val="right"/>
            </w:pPr>
            <w:r>
              <w:t>92.96</w:t>
            </w:r>
          </w:p>
        </w:tc>
      </w:tr>
      <w:tr w:rsidR="00FD5D0D" w:rsidRPr="008A4655" w14:paraId="6834795A" w14:textId="77777777" w:rsidTr="00C1581C">
        <w:trPr>
          <w:cantSplit/>
          <w:trHeight w:val="360"/>
        </w:trPr>
        <w:tc>
          <w:tcPr>
            <w:tcW w:w="2124" w:type="dxa"/>
            <w:tcBorders>
              <w:bottom w:val="single" w:sz="4" w:space="0" w:color="auto"/>
            </w:tcBorders>
          </w:tcPr>
          <w:p w14:paraId="32CB6099" w14:textId="77777777" w:rsidR="00FD5D0D" w:rsidRDefault="00FD5D0D" w:rsidP="00AB3FF5">
            <w:pPr>
              <w:pStyle w:val="UtilComTabletext"/>
            </w:pPr>
            <w:r>
              <w:t>Regulatory depreciation</w:t>
            </w:r>
          </w:p>
        </w:tc>
        <w:tc>
          <w:tcPr>
            <w:tcW w:w="1418" w:type="dxa"/>
            <w:tcBorders>
              <w:bottom w:val="single" w:sz="4" w:space="0" w:color="auto"/>
            </w:tcBorders>
            <w:shd w:val="clear" w:color="auto" w:fill="A6A6A6" w:themeFill="background1" w:themeFillShade="A6"/>
          </w:tcPr>
          <w:p w14:paraId="3F458B19" w14:textId="77777777" w:rsidR="00FD5D0D" w:rsidRDefault="00FD5D0D" w:rsidP="00AB3FF5">
            <w:pPr>
              <w:pStyle w:val="UtilComTabletext"/>
              <w:jc w:val="right"/>
            </w:pPr>
          </w:p>
        </w:tc>
        <w:tc>
          <w:tcPr>
            <w:tcW w:w="1418" w:type="dxa"/>
            <w:tcBorders>
              <w:bottom w:val="single" w:sz="4" w:space="0" w:color="auto"/>
            </w:tcBorders>
            <w:shd w:val="clear" w:color="auto" w:fill="A6A6A6" w:themeFill="background1" w:themeFillShade="A6"/>
          </w:tcPr>
          <w:p w14:paraId="69F61CCA" w14:textId="77777777" w:rsidR="00FD5D0D" w:rsidRDefault="00FD5D0D" w:rsidP="00AB3FF5">
            <w:pPr>
              <w:pStyle w:val="UtilComTabletext"/>
              <w:jc w:val="right"/>
            </w:pPr>
          </w:p>
        </w:tc>
        <w:tc>
          <w:tcPr>
            <w:tcW w:w="1418" w:type="dxa"/>
            <w:tcBorders>
              <w:bottom w:val="single" w:sz="4" w:space="0" w:color="auto"/>
            </w:tcBorders>
            <w:shd w:val="clear" w:color="auto" w:fill="A6A6A6" w:themeFill="background1" w:themeFillShade="A6"/>
          </w:tcPr>
          <w:p w14:paraId="21BB6201" w14:textId="77777777" w:rsidR="00FD5D0D" w:rsidRDefault="00FD5D0D" w:rsidP="00AB3FF5">
            <w:pPr>
              <w:pStyle w:val="UtilComTabletext"/>
              <w:jc w:val="right"/>
            </w:pPr>
          </w:p>
        </w:tc>
        <w:tc>
          <w:tcPr>
            <w:tcW w:w="1418" w:type="dxa"/>
            <w:tcBorders>
              <w:bottom w:val="single" w:sz="4" w:space="0" w:color="auto"/>
            </w:tcBorders>
            <w:shd w:val="clear" w:color="auto" w:fill="A6A6A6" w:themeFill="background1" w:themeFillShade="A6"/>
          </w:tcPr>
          <w:p w14:paraId="2CAB7411" w14:textId="77777777" w:rsidR="00FD5D0D" w:rsidRPr="00340D05" w:rsidRDefault="00FD5D0D" w:rsidP="00AB3FF5">
            <w:pPr>
              <w:pStyle w:val="UtilComTabletext"/>
              <w:jc w:val="right"/>
            </w:pPr>
          </w:p>
        </w:tc>
        <w:tc>
          <w:tcPr>
            <w:tcW w:w="1418" w:type="dxa"/>
            <w:tcBorders>
              <w:bottom w:val="single" w:sz="4" w:space="0" w:color="auto"/>
            </w:tcBorders>
            <w:tcMar>
              <w:right w:w="108" w:type="dxa"/>
            </w:tcMar>
          </w:tcPr>
          <w:p w14:paraId="48907064" w14:textId="77777777" w:rsidR="00FD5D0D" w:rsidRDefault="00550501" w:rsidP="00550501">
            <w:pPr>
              <w:pStyle w:val="UtilComTabletext"/>
              <w:jc w:val="right"/>
            </w:pPr>
            <w:r>
              <w:t>20</w:t>
            </w:r>
            <w:r w:rsidR="00FD5D0D">
              <w:t>.</w:t>
            </w:r>
            <w:r>
              <w:t>81</w:t>
            </w:r>
          </w:p>
        </w:tc>
      </w:tr>
      <w:tr w:rsidR="00FD5D0D" w:rsidRPr="00EE5A08" w14:paraId="70ADF214" w14:textId="77777777" w:rsidTr="00C1581C">
        <w:trPr>
          <w:cantSplit/>
          <w:trHeight w:val="360"/>
        </w:trPr>
        <w:tc>
          <w:tcPr>
            <w:tcW w:w="2124" w:type="dxa"/>
            <w:tcBorders>
              <w:top w:val="single" w:sz="4" w:space="0" w:color="auto"/>
            </w:tcBorders>
          </w:tcPr>
          <w:p w14:paraId="40206768" w14:textId="77777777" w:rsidR="00FD5D0D" w:rsidRPr="00EE5A08" w:rsidRDefault="00FD5D0D" w:rsidP="00AB3FF5">
            <w:pPr>
              <w:pStyle w:val="UtilComTabletext"/>
              <w:rPr>
                <w:b/>
              </w:rPr>
            </w:pPr>
            <w:r w:rsidRPr="00EE5A08">
              <w:rPr>
                <w:b/>
              </w:rPr>
              <w:t>Closing balance</w:t>
            </w:r>
          </w:p>
        </w:tc>
        <w:tc>
          <w:tcPr>
            <w:tcW w:w="1418" w:type="dxa"/>
            <w:tcBorders>
              <w:top w:val="single" w:sz="4" w:space="0" w:color="auto"/>
            </w:tcBorders>
            <w:shd w:val="clear" w:color="auto" w:fill="A6A6A6" w:themeFill="background1" w:themeFillShade="A6"/>
          </w:tcPr>
          <w:p w14:paraId="362BE855" w14:textId="77777777" w:rsidR="00FD5D0D" w:rsidRPr="00EE5A08" w:rsidRDefault="00FD5D0D" w:rsidP="00AB3FF5">
            <w:pPr>
              <w:pStyle w:val="UtilComTabletext"/>
              <w:jc w:val="right"/>
              <w:rPr>
                <w:b/>
              </w:rPr>
            </w:pPr>
          </w:p>
        </w:tc>
        <w:tc>
          <w:tcPr>
            <w:tcW w:w="1418" w:type="dxa"/>
            <w:tcBorders>
              <w:top w:val="single" w:sz="4" w:space="0" w:color="auto"/>
            </w:tcBorders>
            <w:shd w:val="clear" w:color="auto" w:fill="A6A6A6" w:themeFill="background1" w:themeFillShade="A6"/>
          </w:tcPr>
          <w:p w14:paraId="4D7CDFC4" w14:textId="77777777" w:rsidR="00FD5D0D" w:rsidRPr="00EE5A08" w:rsidRDefault="00FD5D0D" w:rsidP="00AB3FF5">
            <w:pPr>
              <w:pStyle w:val="UtilComTabletext"/>
              <w:jc w:val="right"/>
              <w:rPr>
                <w:b/>
              </w:rPr>
            </w:pPr>
          </w:p>
        </w:tc>
        <w:tc>
          <w:tcPr>
            <w:tcW w:w="1418" w:type="dxa"/>
            <w:tcBorders>
              <w:top w:val="single" w:sz="4" w:space="0" w:color="auto"/>
            </w:tcBorders>
            <w:shd w:val="clear" w:color="auto" w:fill="A6A6A6" w:themeFill="background1" w:themeFillShade="A6"/>
          </w:tcPr>
          <w:p w14:paraId="4AA148B4" w14:textId="77777777" w:rsidR="00FD5D0D" w:rsidRPr="00EE5A08" w:rsidRDefault="00FD5D0D" w:rsidP="00AB3FF5">
            <w:pPr>
              <w:pStyle w:val="UtilComTabletext"/>
              <w:jc w:val="right"/>
              <w:rPr>
                <w:b/>
              </w:rPr>
            </w:pPr>
          </w:p>
        </w:tc>
        <w:tc>
          <w:tcPr>
            <w:tcW w:w="1418" w:type="dxa"/>
            <w:tcBorders>
              <w:top w:val="single" w:sz="4" w:space="0" w:color="auto"/>
            </w:tcBorders>
            <w:shd w:val="clear" w:color="auto" w:fill="A6A6A6" w:themeFill="background1" w:themeFillShade="A6"/>
          </w:tcPr>
          <w:p w14:paraId="286F0DD0" w14:textId="77777777" w:rsidR="00FD5D0D" w:rsidRPr="00EE5A08" w:rsidRDefault="00FD5D0D" w:rsidP="00AB3FF5">
            <w:pPr>
              <w:pStyle w:val="UtilComTabletext"/>
              <w:jc w:val="right"/>
              <w:rPr>
                <w:b/>
              </w:rPr>
            </w:pPr>
          </w:p>
        </w:tc>
        <w:tc>
          <w:tcPr>
            <w:tcW w:w="1418" w:type="dxa"/>
            <w:tcBorders>
              <w:top w:val="single" w:sz="4" w:space="0" w:color="auto"/>
            </w:tcBorders>
            <w:tcMar>
              <w:right w:w="108" w:type="dxa"/>
            </w:tcMar>
          </w:tcPr>
          <w:p w14:paraId="4771B808" w14:textId="77777777" w:rsidR="00FD5D0D" w:rsidRPr="00EE5A08" w:rsidRDefault="00FD5D0D" w:rsidP="00550501">
            <w:pPr>
              <w:pStyle w:val="UtilComTabletext"/>
              <w:jc w:val="right"/>
              <w:rPr>
                <w:b/>
              </w:rPr>
            </w:pPr>
            <w:r>
              <w:rPr>
                <w:b/>
              </w:rPr>
              <w:t>9</w:t>
            </w:r>
            <w:r w:rsidR="00550501">
              <w:rPr>
                <w:b/>
              </w:rPr>
              <w:t>28</w:t>
            </w:r>
            <w:r>
              <w:rPr>
                <w:b/>
              </w:rPr>
              <w:t>.</w:t>
            </w:r>
            <w:r w:rsidR="00550501">
              <w:rPr>
                <w:b/>
              </w:rPr>
              <w:t>34</w:t>
            </w:r>
          </w:p>
        </w:tc>
      </w:tr>
      <w:tr w:rsidR="00FD5D0D" w:rsidRPr="008A4655" w14:paraId="69311E62" w14:textId="77777777" w:rsidTr="00C1581C">
        <w:trPr>
          <w:cantSplit/>
          <w:trHeight w:val="360"/>
        </w:trPr>
        <w:tc>
          <w:tcPr>
            <w:tcW w:w="2124" w:type="dxa"/>
          </w:tcPr>
          <w:p w14:paraId="5C2CEE0A" w14:textId="77777777" w:rsidR="00FD5D0D" w:rsidRDefault="00FD5D0D" w:rsidP="00AB3FF5">
            <w:pPr>
              <w:pStyle w:val="UtilComTabletext"/>
            </w:pPr>
            <w:r>
              <w:t>Contributed assets</w:t>
            </w:r>
          </w:p>
        </w:tc>
        <w:tc>
          <w:tcPr>
            <w:tcW w:w="1418" w:type="dxa"/>
            <w:shd w:val="clear" w:color="auto" w:fill="A6A6A6" w:themeFill="background1" w:themeFillShade="A6"/>
          </w:tcPr>
          <w:p w14:paraId="42B4CA60" w14:textId="77777777" w:rsidR="00FD5D0D" w:rsidRDefault="00FD5D0D" w:rsidP="00AB3FF5">
            <w:pPr>
              <w:pStyle w:val="UtilComTabletext"/>
              <w:jc w:val="right"/>
            </w:pPr>
          </w:p>
        </w:tc>
        <w:tc>
          <w:tcPr>
            <w:tcW w:w="1418" w:type="dxa"/>
            <w:shd w:val="clear" w:color="auto" w:fill="A6A6A6" w:themeFill="background1" w:themeFillShade="A6"/>
          </w:tcPr>
          <w:p w14:paraId="2CC4AF6D" w14:textId="77777777" w:rsidR="00FD5D0D" w:rsidRDefault="00FD5D0D" w:rsidP="00AB3FF5">
            <w:pPr>
              <w:pStyle w:val="UtilComTabletext"/>
              <w:jc w:val="right"/>
            </w:pPr>
          </w:p>
        </w:tc>
        <w:tc>
          <w:tcPr>
            <w:tcW w:w="1418" w:type="dxa"/>
            <w:shd w:val="clear" w:color="auto" w:fill="A6A6A6" w:themeFill="background1" w:themeFillShade="A6"/>
          </w:tcPr>
          <w:p w14:paraId="108AA751" w14:textId="77777777" w:rsidR="00FD5D0D" w:rsidRDefault="00FD5D0D" w:rsidP="00AB3FF5">
            <w:pPr>
              <w:pStyle w:val="UtilComTabletext"/>
              <w:jc w:val="right"/>
            </w:pPr>
          </w:p>
        </w:tc>
        <w:tc>
          <w:tcPr>
            <w:tcW w:w="1418" w:type="dxa"/>
            <w:shd w:val="clear" w:color="auto" w:fill="A6A6A6" w:themeFill="background1" w:themeFillShade="A6"/>
          </w:tcPr>
          <w:p w14:paraId="3241832D" w14:textId="77777777" w:rsidR="00FD5D0D" w:rsidRPr="00340D05" w:rsidRDefault="00FD5D0D" w:rsidP="00AB3FF5">
            <w:pPr>
              <w:pStyle w:val="UtilComTabletext"/>
              <w:jc w:val="right"/>
            </w:pPr>
          </w:p>
        </w:tc>
        <w:tc>
          <w:tcPr>
            <w:tcW w:w="1418" w:type="dxa"/>
            <w:tcMar>
              <w:right w:w="108" w:type="dxa"/>
            </w:tcMar>
          </w:tcPr>
          <w:p w14:paraId="16522A65" w14:textId="77777777" w:rsidR="00FD5D0D" w:rsidRDefault="00FD5D0D" w:rsidP="00AB3FF5">
            <w:pPr>
              <w:pStyle w:val="UtilComTabletext"/>
              <w:jc w:val="right"/>
            </w:pPr>
            <w:r>
              <w:t>9.64</w:t>
            </w:r>
          </w:p>
        </w:tc>
      </w:tr>
      <w:tr w:rsidR="00FD5D0D" w:rsidRPr="008A4655" w14:paraId="70017E8C" w14:textId="77777777" w:rsidTr="00C1581C">
        <w:trPr>
          <w:cantSplit/>
          <w:trHeight w:val="360"/>
        </w:trPr>
        <w:tc>
          <w:tcPr>
            <w:tcW w:w="2124" w:type="dxa"/>
            <w:tcBorders>
              <w:bottom w:val="single" w:sz="4" w:space="0" w:color="000000"/>
            </w:tcBorders>
          </w:tcPr>
          <w:p w14:paraId="1C679090" w14:textId="77777777" w:rsidR="00FD5D0D" w:rsidRDefault="00FD5D0D" w:rsidP="00AB3FF5">
            <w:pPr>
              <w:pStyle w:val="UtilComTabletext"/>
            </w:pPr>
            <w:r>
              <w:t>Inflation rate</w:t>
            </w:r>
          </w:p>
        </w:tc>
        <w:tc>
          <w:tcPr>
            <w:tcW w:w="1418" w:type="dxa"/>
            <w:tcBorders>
              <w:bottom w:val="single" w:sz="4" w:space="0" w:color="000000"/>
            </w:tcBorders>
            <w:shd w:val="clear" w:color="auto" w:fill="A6A6A6" w:themeFill="background1" w:themeFillShade="A6"/>
          </w:tcPr>
          <w:p w14:paraId="4C219A8F" w14:textId="77777777" w:rsidR="00FD5D0D" w:rsidRDefault="00FD5D0D" w:rsidP="00AB3FF5">
            <w:pPr>
              <w:pStyle w:val="UtilComTabletext"/>
              <w:jc w:val="right"/>
            </w:pPr>
          </w:p>
        </w:tc>
        <w:tc>
          <w:tcPr>
            <w:tcW w:w="1418" w:type="dxa"/>
            <w:tcBorders>
              <w:bottom w:val="single" w:sz="4" w:space="0" w:color="000000"/>
            </w:tcBorders>
            <w:shd w:val="clear" w:color="auto" w:fill="A6A6A6" w:themeFill="background1" w:themeFillShade="A6"/>
          </w:tcPr>
          <w:p w14:paraId="40334D45" w14:textId="77777777" w:rsidR="00FD5D0D" w:rsidRDefault="00FD5D0D" w:rsidP="00AB3FF5">
            <w:pPr>
              <w:pStyle w:val="UtilComTabletext"/>
              <w:jc w:val="right"/>
            </w:pPr>
          </w:p>
        </w:tc>
        <w:tc>
          <w:tcPr>
            <w:tcW w:w="1418" w:type="dxa"/>
            <w:tcBorders>
              <w:bottom w:val="single" w:sz="4" w:space="0" w:color="000000"/>
            </w:tcBorders>
            <w:shd w:val="clear" w:color="auto" w:fill="A6A6A6" w:themeFill="background1" w:themeFillShade="A6"/>
          </w:tcPr>
          <w:p w14:paraId="0B282A6F" w14:textId="77777777" w:rsidR="00FD5D0D" w:rsidRDefault="00FD5D0D" w:rsidP="00AB3FF5">
            <w:pPr>
              <w:pStyle w:val="UtilComTabletext"/>
              <w:jc w:val="right"/>
            </w:pPr>
          </w:p>
        </w:tc>
        <w:tc>
          <w:tcPr>
            <w:tcW w:w="1418" w:type="dxa"/>
            <w:tcBorders>
              <w:bottom w:val="single" w:sz="4" w:space="0" w:color="000000"/>
            </w:tcBorders>
            <w:shd w:val="clear" w:color="auto" w:fill="A6A6A6" w:themeFill="background1" w:themeFillShade="A6"/>
          </w:tcPr>
          <w:p w14:paraId="1EF09A0D" w14:textId="77777777" w:rsidR="00FD5D0D" w:rsidRPr="00340D05" w:rsidRDefault="00FD5D0D" w:rsidP="00AB3FF5">
            <w:pPr>
              <w:pStyle w:val="UtilComTabletext"/>
              <w:jc w:val="right"/>
            </w:pPr>
          </w:p>
        </w:tc>
        <w:tc>
          <w:tcPr>
            <w:tcW w:w="1418" w:type="dxa"/>
            <w:tcBorders>
              <w:bottom w:val="single" w:sz="4" w:space="0" w:color="000000"/>
            </w:tcBorders>
            <w:tcMar>
              <w:right w:w="108" w:type="dxa"/>
            </w:tcMar>
          </w:tcPr>
          <w:p w14:paraId="0F52A145" w14:textId="77777777" w:rsidR="00FD5D0D" w:rsidRPr="00340D05" w:rsidRDefault="00FD5D0D" w:rsidP="00550501">
            <w:pPr>
              <w:pStyle w:val="UtilComTabletext"/>
              <w:jc w:val="right"/>
            </w:pPr>
            <w:r>
              <w:t>2.</w:t>
            </w:r>
            <w:r w:rsidR="00550501">
              <w:t>45</w:t>
            </w:r>
            <w:r>
              <w:t>%</w:t>
            </w:r>
          </w:p>
        </w:tc>
      </w:tr>
    </w:tbl>
    <w:p w14:paraId="34CE3095" w14:textId="77777777" w:rsidR="0021239F" w:rsidRPr="00114B1D" w:rsidRDefault="00FD5D0D" w:rsidP="00FD5D0D">
      <w:pPr>
        <w:pStyle w:val="UtilComReferenceSource"/>
        <w:ind w:left="142"/>
        <w:rPr>
          <w:sz w:val="16"/>
          <w:szCs w:val="16"/>
          <w:lang w:val="en-AU"/>
        </w:rPr>
      </w:pPr>
      <w:r w:rsidRPr="00114B1D">
        <w:rPr>
          <w:sz w:val="16"/>
          <w:szCs w:val="16"/>
          <w:lang w:val="en-AU"/>
        </w:rPr>
        <w:t xml:space="preserve">Source: </w:t>
      </w:r>
      <w:r w:rsidR="00A3505A" w:rsidRPr="00114B1D">
        <w:rPr>
          <w:sz w:val="16"/>
          <w:szCs w:val="16"/>
          <w:lang w:val="en-AU"/>
        </w:rPr>
        <w:t xml:space="preserve">Utilities Commission, PWC Networks </w:t>
      </w:r>
      <w:r w:rsidRPr="00114B1D">
        <w:rPr>
          <w:sz w:val="16"/>
          <w:szCs w:val="16"/>
          <w:lang w:val="en-AU"/>
        </w:rPr>
        <w:t>RFM</w:t>
      </w:r>
      <w:r w:rsidR="00A3505A" w:rsidRPr="00114B1D">
        <w:rPr>
          <w:sz w:val="16"/>
          <w:szCs w:val="16"/>
          <w:lang w:val="en-AU"/>
        </w:rPr>
        <w:t xml:space="preserve"> – Final Decision</w:t>
      </w:r>
    </w:p>
    <w:tbl>
      <w:tblPr>
        <w:tblW w:w="0" w:type="auto"/>
        <w:tblLayout w:type="fixed"/>
        <w:tblLook w:val="01E0" w:firstRow="1" w:lastRow="1" w:firstColumn="1" w:lastColumn="1" w:noHBand="0" w:noVBand="0"/>
      </w:tblPr>
      <w:tblGrid>
        <w:gridCol w:w="9288"/>
      </w:tblGrid>
      <w:tr w:rsidR="0021239F" w14:paraId="28AEF8C1" w14:textId="77777777" w:rsidTr="00895879">
        <w:tc>
          <w:tcPr>
            <w:tcW w:w="9288" w:type="dxa"/>
          </w:tcPr>
          <w:p w14:paraId="2B0CE4B7" w14:textId="77777777" w:rsidR="0021239F" w:rsidRDefault="0021239F" w:rsidP="00895879">
            <w:pPr>
              <w:pStyle w:val="NumberLevel1"/>
              <w:pageBreakBefore/>
              <w:numPr>
                <w:ilvl w:val="0"/>
                <w:numId w:val="4"/>
              </w:numPr>
              <w:ind w:left="431" w:hanging="431"/>
            </w:pPr>
            <w:r>
              <w:br w:type="page"/>
            </w:r>
          </w:p>
        </w:tc>
      </w:tr>
    </w:tbl>
    <w:p w14:paraId="0460C0B1" w14:textId="64A28F68" w:rsidR="00FD5D0D" w:rsidRPr="00E529C5" w:rsidRDefault="00FD5D0D" w:rsidP="00FD5D0D">
      <w:pPr>
        <w:pStyle w:val="UtilComReferenceSource"/>
        <w:ind w:left="142"/>
        <w:rPr>
          <w:lang w:val="en-AU"/>
        </w:rPr>
      </w:pPr>
    </w:p>
    <w:tbl>
      <w:tblPr>
        <w:tblW w:w="0" w:type="auto"/>
        <w:tblLayout w:type="fixed"/>
        <w:tblLook w:val="01E0" w:firstRow="1" w:lastRow="1" w:firstColumn="1" w:lastColumn="1" w:noHBand="0" w:noVBand="0"/>
      </w:tblPr>
      <w:tblGrid>
        <w:gridCol w:w="9288"/>
      </w:tblGrid>
      <w:tr w:rsidR="004D1382" w14:paraId="5C0B2209" w14:textId="77777777" w:rsidTr="00651B43">
        <w:tc>
          <w:tcPr>
            <w:tcW w:w="9288" w:type="dxa"/>
          </w:tcPr>
          <w:p w14:paraId="57972249" w14:textId="4B6481B7" w:rsidR="004D1382" w:rsidRDefault="004D1382">
            <w:pPr>
              <w:pStyle w:val="UtilComChapterHeading"/>
              <w:outlineLvl w:val="0"/>
            </w:pPr>
            <w:bookmarkStart w:id="125" w:name="_Toc373833972"/>
            <w:bookmarkStart w:id="126" w:name="_Toc385241488"/>
            <w:bookmarkStart w:id="127" w:name="_Toc386013041"/>
            <w:r>
              <w:t xml:space="preserve">Demand </w:t>
            </w:r>
            <w:bookmarkEnd w:id="125"/>
            <w:bookmarkEnd w:id="126"/>
            <w:r w:rsidR="00327F32">
              <w:t>Forecasts</w:t>
            </w:r>
            <w:bookmarkEnd w:id="127"/>
          </w:p>
        </w:tc>
      </w:tr>
    </w:tbl>
    <w:p w14:paraId="3225931B" w14:textId="77777777" w:rsidR="004D1382" w:rsidRDefault="004D1382" w:rsidP="004D1382">
      <w:pPr>
        <w:pStyle w:val="UtilComHeading2"/>
      </w:pPr>
      <w:bookmarkStart w:id="128" w:name="_Toc373833973"/>
      <w:bookmarkStart w:id="129" w:name="_Toc385241489"/>
      <w:bookmarkStart w:id="130" w:name="_Toc386013042"/>
      <w:r>
        <w:t>Introduction</w:t>
      </w:r>
      <w:bookmarkEnd w:id="128"/>
      <w:bookmarkEnd w:id="129"/>
      <w:bookmarkEnd w:id="130"/>
    </w:p>
    <w:p w14:paraId="6689327F" w14:textId="0A4C1CF0" w:rsidR="004D1382" w:rsidRPr="00C81ECF" w:rsidRDefault="004D1382" w:rsidP="0024206D">
      <w:pPr>
        <w:pStyle w:val="NumberLevel2"/>
        <w:numPr>
          <w:ilvl w:val="1"/>
          <w:numId w:val="4"/>
        </w:numPr>
        <w:tabs>
          <w:tab w:val="num" w:pos="2278"/>
        </w:tabs>
        <w:ind w:left="709" w:hanging="709"/>
        <w:rPr>
          <w:lang w:val="en-AU"/>
        </w:rPr>
      </w:pPr>
      <w:r>
        <w:rPr>
          <w:lang w:val="en-AU"/>
        </w:rPr>
        <w:t xml:space="preserve">PWC Networks </w:t>
      </w:r>
      <w:r w:rsidRPr="00C81ECF">
        <w:rPr>
          <w:lang w:val="en-AU"/>
        </w:rPr>
        <w:t xml:space="preserve">must be able to deliver electricity to its </w:t>
      </w:r>
      <w:r w:rsidR="009E5DB7">
        <w:rPr>
          <w:lang w:val="en-AU"/>
        </w:rPr>
        <w:t xml:space="preserve">retail </w:t>
      </w:r>
      <w:r w:rsidRPr="00C81ECF">
        <w:rPr>
          <w:lang w:val="en-AU"/>
        </w:rPr>
        <w:t xml:space="preserve">customers and must build, operate and maintain its </w:t>
      </w:r>
      <w:r w:rsidR="009E5DB7">
        <w:rPr>
          <w:lang w:val="en-AU"/>
        </w:rPr>
        <w:t xml:space="preserve">electricity </w:t>
      </w:r>
      <w:r w:rsidRPr="00C81ECF">
        <w:rPr>
          <w:lang w:val="en-AU"/>
        </w:rPr>
        <w:t xml:space="preserve">network to manage expected changes in the demand for electricity. </w:t>
      </w:r>
      <w:r>
        <w:rPr>
          <w:lang w:val="en-AU"/>
        </w:rPr>
        <w:t>PWC Networks</w:t>
      </w:r>
      <w:r w:rsidRPr="00C81ECF">
        <w:rPr>
          <w:lang w:val="en-AU"/>
        </w:rPr>
        <w:t xml:space="preserve"> therefore requires </w:t>
      </w:r>
      <w:r w:rsidR="006641BD" w:rsidRPr="00C81ECF">
        <w:rPr>
          <w:lang w:val="en-AU"/>
        </w:rPr>
        <w:t>demand</w:t>
      </w:r>
      <w:r w:rsidR="006641BD">
        <w:rPr>
          <w:lang w:val="en-AU"/>
        </w:rPr>
        <w:t>-</w:t>
      </w:r>
      <w:r w:rsidRPr="00C81ECF">
        <w:rPr>
          <w:lang w:val="en-AU"/>
        </w:rPr>
        <w:t xml:space="preserve">driven capex and opex so that its </w:t>
      </w:r>
      <w:r w:rsidR="009E5DB7">
        <w:rPr>
          <w:lang w:val="en-AU"/>
        </w:rPr>
        <w:t xml:space="preserve">electricity </w:t>
      </w:r>
      <w:r w:rsidRPr="00C81ECF">
        <w:rPr>
          <w:lang w:val="en-AU"/>
        </w:rPr>
        <w:t xml:space="preserve">network can deliver a reliable supply of electricity when: </w:t>
      </w:r>
    </w:p>
    <w:p w14:paraId="38631B1D" w14:textId="77777777" w:rsidR="004D1382" w:rsidRPr="00C81ECF" w:rsidRDefault="004D1382" w:rsidP="008E229D">
      <w:pPr>
        <w:pStyle w:val="NumberLevel2"/>
        <w:numPr>
          <w:ilvl w:val="1"/>
          <w:numId w:val="11"/>
        </w:numPr>
        <w:tabs>
          <w:tab w:val="clear" w:pos="2278"/>
          <w:tab w:val="num" w:pos="1134"/>
        </w:tabs>
        <w:ind w:left="1134" w:hanging="425"/>
        <w:rPr>
          <w:lang w:val="en-AU"/>
        </w:rPr>
      </w:pPr>
      <w:r w:rsidRPr="00C81ECF">
        <w:rPr>
          <w:lang w:val="en-AU"/>
        </w:rPr>
        <w:t>the demand for electricity is at its peak (maximum demand)</w:t>
      </w:r>
      <w:r>
        <w:rPr>
          <w:lang w:val="en-AU"/>
        </w:rPr>
        <w:t>;</w:t>
      </w:r>
      <w:r w:rsidRPr="00C81ECF">
        <w:rPr>
          <w:lang w:val="en-AU"/>
        </w:rPr>
        <w:t xml:space="preserve"> </w:t>
      </w:r>
    </w:p>
    <w:p w14:paraId="4D13ED5E" w14:textId="36CD0E48" w:rsidR="004D1382" w:rsidRPr="00C81ECF" w:rsidRDefault="004D1382" w:rsidP="008E229D">
      <w:pPr>
        <w:pStyle w:val="NumberLevel2"/>
        <w:numPr>
          <w:ilvl w:val="1"/>
          <w:numId w:val="11"/>
        </w:numPr>
        <w:tabs>
          <w:tab w:val="clear" w:pos="2278"/>
          <w:tab w:val="num" w:pos="1134"/>
        </w:tabs>
        <w:ind w:left="1134" w:hanging="425"/>
        <w:rPr>
          <w:lang w:val="en-AU"/>
        </w:rPr>
      </w:pPr>
      <w:r w:rsidRPr="00C81ECF">
        <w:rPr>
          <w:lang w:val="en-AU"/>
        </w:rPr>
        <w:t xml:space="preserve">new </w:t>
      </w:r>
      <w:r w:rsidR="009E5DB7">
        <w:rPr>
          <w:lang w:val="en-AU"/>
        </w:rPr>
        <w:t xml:space="preserve">retail </w:t>
      </w:r>
      <w:r w:rsidRPr="00C81ECF">
        <w:rPr>
          <w:lang w:val="en-AU"/>
        </w:rPr>
        <w:t xml:space="preserve">customers connect to the </w:t>
      </w:r>
      <w:r w:rsidR="009E5DB7">
        <w:rPr>
          <w:lang w:val="en-AU"/>
        </w:rPr>
        <w:t xml:space="preserve">electricity </w:t>
      </w:r>
      <w:r w:rsidRPr="00C81ECF">
        <w:rPr>
          <w:lang w:val="en-AU"/>
        </w:rPr>
        <w:t>network</w:t>
      </w:r>
      <w:r>
        <w:rPr>
          <w:lang w:val="en-AU"/>
        </w:rPr>
        <w:t>; and</w:t>
      </w:r>
    </w:p>
    <w:p w14:paraId="10861414" w14:textId="77777777" w:rsidR="004D1382" w:rsidRPr="00C81ECF" w:rsidRDefault="004D1382" w:rsidP="008E229D">
      <w:pPr>
        <w:pStyle w:val="NumberLevel2"/>
        <w:numPr>
          <w:ilvl w:val="1"/>
          <w:numId w:val="11"/>
        </w:numPr>
        <w:tabs>
          <w:tab w:val="clear" w:pos="2278"/>
          <w:tab w:val="num" w:pos="1134"/>
        </w:tabs>
        <w:ind w:left="1134" w:hanging="425"/>
        <w:rPr>
          <w:lang w:val="en-AU"/>
        </w:rPr>
      </w:pPr>
      <w:r w:rsidRPr="00C81ECF">
        <w:rPr>
          <w:lang w:val="en-AU"/>
        </w:rPr>
        <w:t xml:space="preserve">the overall consumption of electricity increases. </w:t>
      </w:r>
    </w:p>
    <w:p w14:paraId="02BD1072" w14:textId="24FED10C" w:rsidR="004D1382" w:rsidRDefault="004D1382" w:rsidP="0024206D">
      <w:pPr>
        <w:pStyle w:val="NumberLevel2"/>
        <w:numPr>
          <w:ilvl w:val="1"/>
          <w:numId w:val="4"/>
        </w:numPr>
        <w:tabs>
          <w:tab w:val="left" w:pos="709"/>
          <w:tab w:val="num" w:pos="2278"/>
        </w:tabs>
        <w:ind w:left="709" w:hanging="709"/>
        <w:rPr>
          <w:lang w:val="en-AU"/>
        </w:rPr>
      </w:pPr>
      <w:r w:rsidRPr="00C81ECF">
        <w:rPr>
          <w:lang w:val="en-AU"/>
        </w:rPr>
        <w:t xml:space="preserve">Maximum demand is a snapshot of </w:t>
      </w:r>
      <w:r>
        <w:rPr>
          <w:lang w:val="en-AU"/>
        </w:rPr>
        <w:t>the highest level of demand on PWC Network</w:t>
      </w:r>
      <w:r w:rsidRPr="00C81ECF">
        <w:rPr>
          <w:lang w:val="en-AU"/>
        </w:rPr>
        <w:t>s</w:t>
      </w:r>
      <w:r>
        <w:rPr>
          <w:lang w:val="en-AU"/>
        </w:rPr>
        <w:t>’</w:t>
      </w:r>
      <w:r w:rsidRPr="00C81ECF">
        <w:rPr>
          <w:lang w:val="en-AU"/>
        </w:rPr>
        <w:t xml:space="preserve"> </w:t>
      </w:r>
      <w:r w:rsidR="009E5DB7">
        <w:rPr>
          <w:lang w:val="en-AU"/>
        </w:rPr>
        <w:t>electricity network</w:t>
      </w:r>
      <w:r w:rsidRPr="00C81ECF">
        <w:rPr>
          <w:lang w:val="en-AU"/>
        </w:rPr>
        <w:t xml:space="preserve"> at a point in time.</w:t>
      </w:r>
    </w:p>
    <w:p w14:paraId="2A2C9C57" w14:textId="56A9390A" w:rsidR="004D1382" w:rsidRPr="009F7C93" w:rsidRDefault="004D1382" w:rsidP="0024206D">
      <w:pPr>
        <w:pStyle w:val="NumberLevel2"/>
        <w:numPr>
          <w:ilvl w:val="1"/>
          <w:numId w:val="4"/>
        </w:numPr>
        <w:tabs>
          <w:tab w:val="left" w:pos="709"/>
          <w:tab w:val="num" w:pos="2278"/>
        </w:tabs>
        <w:ind w:left="709" w:hanging="709"/>
        <w:rPr>
          <w:lang w:val="en-AU"/>
        </w:rPr>
      </w:pPr>
      <w:r>
        <w:rPr>
          <w:lang w:val="en-AU"/>
        </w:rPr>
        <w:t xml:space="preserve">New </w:t>
      </w:r>
      <w:r w:rsidR="009E5DB7">
        <w:rPr>
          <w:lang w:val="en-AU"/>
        </w:rPr>
        <w:t xml:space="preserve">retail </w:t>
      </w:r>
      <w:r>
        <w:rPr>
          <w:lang w:val="en-AU"/>
        </w:rPr>
        <w:t xml:space="preserve">customer connections have an effect </w:t>
      </w:r>
      <w:r w:rsidR="00766DBA">
        <w:rPr>
          <w:lang w:val="en-AU"/>
        </w:rPr>
        <w:t xml:space="preserve">on </w:t>
      </w:r>
      <w:r>
        <w:rPr>
          <w:lang w:val="en-AU"/>
        </w:rPr>
        <w:t xml:space="preserve">the expenditure required to construct new connections and augment upstream infrastructure for the connected load. </w:t>
      </w:r>
      <w:r w:rsidR="00766DBA">
        <w:rPr>
          <w:lang w:val="en-AU"/>
        </w:rPr>
        <w:t xml:space="preserve">They </w:t>
      </w:r>
      <w:r>
        <w:rPr>
          <w:lang w:val="en-AU"/>
        </w:rPr>
        <w:t xml:space="preserve">also affect capital contributions and </w:t>
      </w:r>
      <w:r w:rsidR="00766DBA">
        <w:rPr>
          <w:lang w:val="en-AU"/>
        </w:rPr>
        <w:t xml:space="preserve">assets </w:t>
      </w:r>
      <w:r w:rsidR="009E5DB7">
        <w:rPr>
          <w:lang w:val="en-AU"/>
        </w:rPr>
        <w:t xml:space="preserve">contributed to the electricity network which </w:t>
      </w:r>
      <w:r w:rsidR="006F0659">
        <w:rPr>
          <w:lang w:val="en-AU"/>
        </w:rPr>
        <w:t xml:space="preserve">are </w:t>
      </w:r>
      <w:r>
        <w:rPr>
          <w:lang w:val="en-AU"/>
        </w:rPr>
        <w:t xml:space="preserve">received by PWC Networks. </w:t>
      </w:r>
    </w:p>
    <w:p w14:paraId="0C766E8F" w14:textId="3FAF85DD" w:rsidR="004D1382" w:rsidRDefault="004D1382" w:rsidP="0024206D">
      <w:pPr>
        <w:pStyle w:val="NumberLevel2"/>
        <w:numPr>
          <w:ilvl w:val="1"/>
          <w:numId w:val="4"/>
        </w:numPr>
        <w:tabs>
          <w:tab w:val="left" w:pos="709"/>
        </w:tabs>
        <w:ind w:left="709" w:hanging="709"/>
        <w:rPr>
          <w:lang w:val="en-AU"/>
        </w:rPr>
      </w:pPr>
      <w:r w:rsidRPr="00C81ECF">
        <w:rPr>
          <w:lang w:val="en-AU"/>
        </w:rPr>
        <w:t xml:space="preserve">Electricity consumption forecasts are important for setting </w:t>
      </w:r>
      <w:r w:rsidR="009E5DB7">
        <w:rPr>
          <w:lang w:val="en-AU"/>
        </w:rPr>
        <w:t xml:space="preserve">reference </w:t>
      </w:r>
      <w:r w:rsidRPr="00C81ECF">
        <w:rPr>
          <w:lang w:val="en-AU"/>
        </w:rPr>
        <w:t xml:space="preserve">tariff levels, but the </w:t>
      </w:r>
      <w:r>
        <w:rPr>
          <w:lang w:val="en-AU"/>
        </w:rPr>
        <w:t xml:space="preserve">Commission </w:t>
      </w:r>
      <w:r w:rsidRPr="00C81ECF">
        <w:rPr>
          <w:lang w:val="en-AU"/>
        </w:rPr>
        <w:t xml:space="preserve">is not required to set </w:t>
      </w:r>
      <w:r w:rsidR="009E5DB7">
        <w:rPr>
          <w:lang w:val="en-AU"/>
        </w:rPr>
        <w:t xml:space="preserve">reference </w:t>
      </w:r>
      <w:r w:rsidRPr="00C81ECF">
        <w:rPr>
          <w:lang w:val="en-AU"/>
        </w:rPr>
        <w:t xml:space="preserve">tariffs in </w:t>
      </w:r>
      <w:r w:rsidR="009E5DB7">
        <w:rPr>
          <w:lang w:val="en-AU"/>
        </w:rPr>
        <w:t>the 2014 Network Price Determination</w:t>
      </w:r>
      <w:r w:rsidRPr="00C81ECF">
        <w:rPr>
          <w:lang w:val="en-AU"/>
        </w:rPr>
        <w:t xml:space="preserve">. </w:t>
      </w:r>
      <w:r>
        <w:rPr>
          <w:lang w:val="en-AU"/>
        </w:rPr>
        <w:t>PWC Networks</w:t>
      </w:r>
      <w:r w:rsidRPr="00C81ECF">
        <w:rPr>
          <w:lang w:val="en-AU"/>
        </w:rPr>
        <w:t xml:space="preserve"> must submit its proposed prices for the </w:t>
      </w:r>
      <w:r w:rsidR="009E5DB7">
        <w:rPr>
          <w:lang w:val="en-AU"/>
        </w:rPr>
        <w:t>2014-15 regulatory year</w:t>
      </w:r>
      <w:r w:rsidRPr="00C81ECF">
        <w:rPr>
          <w:lang w:val="en-AU"/>
        </w:rPr>
        <w:t xml:space="preserve"> to the </w:t>
      </w:r>
      <w:r w:rsidR="009E5DB7">
        <w:rPr>
          <w:lang w:val="en-AU"/>
        </w:rPr>
        <w:t>Commission</w:t>
      </w:r>
      <w:r w:rsidR="009E5DB7" w:rsidRPr="00C81ECF">
        <w:rPr>
          <w:lang w:val="en-AU"/>
        </w:rPr>
        <w:t xml:space="preserve"> </w:t>
      </w:r>
      <w:r w:rsidRPr="00C81ECF">
        <w:rPr>
          <w:lang w:val="en-AU"/>
        </w:rPr>
        <w:t xml:space="preserve">for approval </w:t>
      </w:r>
      <w:r w:rsidRPr="009F7C93">
        <w:rPr>
          <w:lang w:val="en-AU"/>
        </w:rPr>
        <w:t xml:space="preserve">60 days prior to start of </w:t>
      </w:r>
      <w:r w:rsidR="009E5DB7">
        <w:rPr>
          <w:lang w:val="en-AU"/>
        </w:rPr>
        <w:t>that regulatory</w:t>
      </w:r>
      <w:r w:rsidRPr="009F7C93">
        <w:rPr>
          <w:lang w:val="en-AU"/>
        </w:rPr>
        <w:t xml:space="preserve"> year</w:t>
      </w:r>
      <w:r>
        <w:rPr>
          <w:lang w:val="en-AU"/>
        </w:rPr>
        <w:t>.</w:t>
      </w:r>
      <w:r>
        <w:rPr>
          <w:rStyle w:val="FootnoteReference"/>
          <w:lang w:val="en-AU"/>
        </w:rPr>
        <w:footnoteReference w:id="37"/>
      </w:r>
      <w:r w:rsidRPr="00C81ECF">
        <w:rPr>
          <w:lang w:val="en-AU"/>
        </w:rPr>
        <w:t xml:space="preserve"> </w:t>
      </w:r>
    </w:p>
    <w:p w14:paraId="367C09DD" w14:textId="0BB73AEB" w:rsidR="004D1382" w:rsidRDefault="004D1382" w:rsidP="0024206D">
      <w:pPr>
        <w:pStyle w:val="NumberLevel2"/>
        <w:numPr>
          <w:ilvl w:val="1"/>
          <w:numId w:val="4"/>
        </w:numPr>
        <w:tabs>
          <w:tab w:val="num" w:pos="709"/>
        </w:tabs>
        <w:ind w:left="709" w:hanging="709"/>
        <w:rPr>
          <w:lang w:val="en-AU"/>
        </w:rPr>
      </w:pPr>
      <w:r w:rsidRPr="009A51FB">
        <w:rPr>
          <w:lang w:val="en-AU"/>
        </w:rPr>
        <w:t xml:space="preserve">This chapter discusses whether PWC Networks’ demand forecasts reflect a </w:t>
      </w:r>
      <w:r w:rsidR="009E5DB7">
        <w:rPr>
          <w:lang w:val="en-AU"/>
        </w:rPr>
        <w:t>realistic</w:t>
      </w:r>
      <w:r w:rsidR="009E5DB7" w:rsidRPr="009A51FB">
        <w:rPr>
          <w:lang w:val="en-AU"/>
        </w:rPr>
        <w:t xml:space="preserve"> </w:t>
      </w:r>
      <w:r w:rsidRPr="009A51FB">
        <w:rPr>
          <w:lang w:val="en-AU"/>
        </w:rPr>
        <w:t xml:space="preserve">expectation of the demand for </w:t>
      </w:r>
      <w:r w:rsidR="009E5DB7">
        <w:rPr>
          <w:lang w:val="en-AU"/>
        </w:rPr>
        <w:t>regulated network access</w:t>
      </w:r>
      <w:r w:rsidRPr="009A51FB">
        <w:rPr>
          <w:lang w:val="en-AU"/>
        </w:rPr>
        <w:t xml:space="preserve"> services over the </w:t>
      </w:r>
      <w:r w:rsidR="007669D5">
        <w:rPr>
          <w:lang w:val="en-AU"/>
        </w:rPr>
        <w:t>2014-19</w:t>
      </w:r>
      <w:r w:rsidR="007669D5" w:rsidRPr="009A51FB">
        <w:rPr>
          <w:lang w:val="en-AU"/>
        </w:rPr>
        <w:t xml:space="preserve"> </w:t>
      </w:r>
      <w:r w:rsidRPr="009A51FB">
        <w:rPr>
          <w:lang w:val="en-AU"/>
        </w:rPr>
        <w:t>regulatory control period. The Commission also considers the extent to which the forecasts can be relied upon for the purposes of assessing the proposed load driven capex and whether PWC Networks’ energy sales forecasts are appropriate inputs to the NTRM.</w:t>
      </w:r>
    </w:p>
    <w:p w14:paraId="4F9339AD" w14:textId="69D129C3" w:rsidR="004D1382" w:rsidRDefault="004D1382" w:rsidP="00BB4311">
      <w:pPr>
        <w:pStyle w:val="UtilComHeading2"/>
        <w:keepNext w:val="0"/>
      </w:pPr>
      <w:bookmarkStart w:id="131" w:name="_Toc373833974"/>
      <w:bookmarkStart w:id="132" w:name="_Toc385241490"/>
      <w:bookmarkStart w:id="133" w:name="_Toc386013043"/>
      <w:r>
        <w:t xml:space="preserve">Regulatory </w:t>
      </w:r>
      <w:bookmarkEnd w:id="131"/>
      <w:bookmarkEnd w:id="132"/>
      <w:r w:rsidR="003C0751">
        <w:t>Requirements</w:t>
      </w:r>
      <w:bookmarkEnd w:id="133"/>
    </w:p>
    <w:p w14:paraId="5E188C3F" w14:textId="7815A20D" w:rsidR="004D1382" w:rsidRDefault="00FB2EC5" w:rsidP="00BB4311">
      <w:pPr>
        <w:pStyle w:val="UtilComHeading3"/>
        <w:keepNext w:val="0"/>
      </w:pPr>
      <w:r>
        <w:t>Network Access Code</w:t>
      </w:r>
    </w:p>
    <w:p w14:paraId="6EC92407" w14:textId="59BD42F2" w:rsidR="004D1382" w:rsidRDefault="004D1382">
      <w:pPr>
        <w:pStyle w:val="NumberLevel2"/>
        <w:numPr>
          <w:ilvl w:val="1"/>
          <w:numId w:val="4"/>
        </w:numPr>
        <w:tabs>
          <w:tab w:val="num" w:pos="2278"/>
        </w:tabs>
        <w:ind w:left="709" w:hanging="709"/>
        <w:rPr>
          <w:lang w:val="en-AU"/>
        </w:rPr>
      </w:pPr>
      <w:r>
        <w:rPr>
          <w:lang w:val="en-AU"/>
        </w:rPr>
        <w:t xml:space="preserve">Clause 68 of the </w:t>
      </w:r>
      <w:r w:rsidR="00FB2EC5">
        <w:rPr>
          <w:lang w:val="en-AU"/>
        </w:rPr>
        <w:t>Network Access Code</w:t>
      </w:r>
      <w:r>
        <w:rPr>
          <w:lang w:val="en-AU"/>
        </w:rPr>
        <w:t xml:space="preserve"> requires the Commission, in setting a revenue </w:t>
      </w:r>
      <w:r w:rsidR="009E5DB7">
        <w:rPr>
          <w:lang w:val="en-AU"/>
        </w:rPr>
        <w:t xml:space="preserve">cap </w:t>
      </w:r>
      <w:r>
        <w:rPr>
          <w:lang w:val="en-AU"/>
        </w:rPr>
        <w:t xml:space="preserve">or price cap, to take into account the revenue requirements of </w:t>
      </w:r>
      <w:r w:rsidR="009E5DB7">
        <w:rPr>
          <w:lang w:val="en-AU"/>
        </w:rPr>
        <w:t>PWC Networks</w:t>
      </w:r>
      <w:r>
        <w:rPr>
          <w:lang w:val="en-AU"/>
        </w:rPr>
        <w:t xml:space="preserve"> during the relevant </w:t>
      </w:r>
      <w:r w:rsidR="009E5DB7">
        <w:rPr>
          <w:lang w:val="en-AU"/>
        </w:rPr>
        <w:t xml:space="preserve">regulatory </w:t>
      </w:r>
      <w:r>
        <w:rPr>
          <w:lang w:val="en-AU"/>
        </w:rPr>
        <w:t xml:space="preserve">year or </w:t>
      </w:r>
      <w:r w:rsidR="009E5DB7">
        <w:rPr>
          <w:lang w:val="en-AU"/>
        </w:rPr>
        <w:t xml:space="preserve">regulatory </w:t>
      </w:r>
      <w:r>
        <w:rPr>
          <w:lang w:val="en-AU"/>
        </w:rPr>
        <w:t>years having regard to a number of factors.</w:t>
      </w:r>
    </w:p>
    <w:p w14:paraId="583A62D9" w14:textId="77777777" w:rsidR="004D1382" w:rsidRDefault="004D1382" w:rsidP="00A806E4">
      <w:pPr>
        <w:pStyle w:val="NumberLevel2"/>
        <w:numPr>
          <w:ilvl w:val="1"/>
          <w:numId w:val="4"/>
        </w:numPr>
        <w:tabs>
          <w:tab w:val="num" w:pos="2278"/>
        </w:tabs>
        <w:ind w:left="709" w:hanging="709"/>
        <w:rPr>
          <w:lang w:val="en-AU"/>
        </w:rPr>
      </w:pPr>
      <w:r>
        <w:rPr>
          <w:lang w:val="en-AU"/>
        </w:rPr>
        <w:t>One of these factors is:</w:t>
      </w:r>
    </w:p>
    <w:p w14:paraId="52EF05EF" w14:textId="77777777" w:rsidR="004D1382" w:rsidRPr="003751D8" w:rsidRDefault="004D1382" w:rsidP="004B63D8">
      <w:pPr>
        <w:pStyle w:val="UtilComQuotationText"/>
        <w:ind w:left="1559" w:hanging="425"/>
      </w:pPr>
      <w:r w:rsidRPr="003751D8">
        <w:t>(a)</w:t>
      </w:r>
      <w:r w:rsidRPr="003751D8">
        <w:tab/>
        <w:t>the demand growth that the network provider is expected to service using any appropriate measure including but not limited to:</w:t>
      </w:r>
    </w:p>
    <w:p w14:paraId="36C37944" w14:textId="77777777" w:rsidR="004D1382" w:rsidRPr="003751D8" w:rsidRDefault="004D1382" w:rsidP="00D32B9A">
      <w:pPr>
        <w:pStyle w:val="UtilComQuotationText"/>
        <w:ind w:left="1985" w:hanging="437"/>
      </w:pPr>
      <w:r w:rsidRPr="003751D8">
        <w:t>(i)</w:t>
      </w:r>
      <w:r w:rsidRPr="003751D8">
        <w:tab/>
        <w:t>energy consumption by category of network users or other relevant groups of persons who consume energy;</w:t>
      </w:r>
    </w:p>
    <w:p w14:paraId="040FFE92" w14:textId="77777777" w:rsidR="004D1382" w:rsidRPr="003751D8" w:rsidRDefault="004D1382" w:rsidP="00D32B9A">
      <w:pPr>
        <w:pStyle w:val="UtilComQuotationText"/>
        <w:ind w:left="1985" w:hanging="437"/>
      </w:pPr>
      <w:r w:rsidRPr="003751D8">
        <w:t>(ii)</w:t>
      </w:r>
      <w:r w:rsidRPr="003751D8">
        <w:tab/>
        <w:t>demand by category of network users or other relevant groups of persons who consume energy;</w:t>
      </w:r>
    </w:p>
    <w:p w14:paraId="74A5EAD9" w14:textId="77777777" w:rsidR="004D1382" w:rsidRPr="003751D8" w:rsidRDefault="004D1382" w:rsidP="00D32B9A">
      <w:pPr>
        <w:pStyle w:val="UtilComQuotationText"/>
        <w:ind w:left="1985" w:hanging="437"/>
      </w:pPr>
      <w:r w:rsidRPr="003751D8">
        <w:t>(iii)</w:t>
      </w:r>
      <w:r w:rsidRPr="003751D8">
        <w:tab/>
        <w:t>numbers of network users or other relevant groups of persons who consume energy by category of network users; and</w:t>
      </w:r>
    </w:p>
    <w:p w14:paraId="1C2F6F6F" w14:textId="77777777" w:rsidR="004D1382" w:rsidRPr="003751D8" w:rsidRDefault="004D1382" w:rsidP="00D32B9A">
      <w:pPr>
        <w:pStyle w:val="UtilComQuotationText"/>
        <w:ind w:left="1985" w:hanging="437"/>
      </w:pPr>
      <w:r w:rsidRPr="003751D8">
        <w:t>(iv)</w:t>
      </w:r>
      <w:r w:rsidRPr="003751D8">
        <w:tab/>
        <w:t>length of the electricity network;</w:t>
      </w:r>
    </w:p>
    <w:p w14:paraId="62D2BEAD" w14:textId="77777777" w:rsidR="004D1382" w:rsidRDefault="004D1382" w:rsidP="004D1382">
      <w:pPr>
        <w:pStyle w:val="UtilComHeading3"/>
      </w:pPr>
      <w:r w:rsidRPr="00321BDA">
        <w:t>National Electricity Rules</w:t>
      </w:r>
    </w:p>
    <w:p w14:paraId="2E1E36E8" w14:textId="570E606A" w:rsidR="004D1382" w:rsidRDefault="004D1382" w:rsidP="00A806E4">
      <w:pPr>
        <w:pStyle w:val="NumberLevel2"/>
        <w:numPr>
          <w:ilvl w:val="1"/>
          <w:numId w:val="4"/>
        </w:numPr>
        <w:tabs>
          <w:tab w:val="num" w:pos="709"/>
        </w:tabs>
        <w:ind w:left="709" w:hanging="709"/>
        <w:rPr>
          <w:lang w:val="en-AU"/>
        </w:rPr>
      </w:pPr>
      <w:r w:rsidRPr="00D854EA">
        <w:rPr>
          <w:lang w:val="en-AU"/>
        </w:rPr>
        <w:t>Clause</w:t>
      </w:r>
      <w:r w:rsidR="009E5DB7">
        <w:rPr>
          <w:lang w:val="en-AU"/>
        </w:rPr>
        <w:t>s</w:t>
      </w:r>
      <w:r w:rsidRPr="00D854EA">
        <w:rPr>
          <w:lang w:val="en-AU"/>
        </w:rPr>
        <w:t xml:space="preserve"> 6.5.6(a) </w:t>
      </w:r>
      <w:r w:rsidR="009E5DB7">
        <w:rPr>
          <w:lang w:val="en-AU"/>
        </w:rPr>
        <w:t xml:space="preserve">and 6.5.7(a) </w:t>
      </w:r>
      <w:r w:rsidRPr="00D854EA">
        <w:rPr>
          <w:lang w:val="en-AU"/>
        </w:rPr>
        <w:t xml:space="preserve">of the NER </w:t>
      </w:r>
      <w:r w:rsidR="009E5DB7">
        <w:rPr>
          <w:lang w:val="en-AU"/>
        </w:rPr>
        <w:t>require</w:t>
      </w:r>
      <w:r w:rsidRPr="00D854EA">
        <w:rPr>
          <w:lang w:val="en-AU"/>
        </w:rPr>
        <w:t xml:space="preserve"> a building block proposal </w:t>
      </w:r>
      <w:r w:rsidR="009E5DB7">
        <w:rPr>
          <w:lang w:val="en-AU"/>
        </w:rPr>
        <w:t>to</w:t>
      </w:r>
      <w:r w:rsidR="009E5DB7" w:rsidRPr="00D854EA">
        <w:rPr>
          <w:lang w:val="en-AU"/>
        </w:rPr>
        <w:t xml:space="preserve"> </w:t>
      </w:r>
      <w:r w:rsidRPr="00D854EA">
        <w:rPr>
          <w:lang w:val="en-AU"/>
        </w:rPr>
        <w:t xml:space="preserve">include the total forecast </w:t>
      </w:r>
      <w:r w:rsidR="009E5DB7">
        <w:rPr>
          <w:lang w:val="en-AU"/>
        </w:rPr>
        <w:t>opex and total forecast capex</w:t>
      </w:r>
      <w:r w:rsidRPr="00D854EA">
        <w:rPr>
          <w:lang w:val="en-AU"/>
        </w:rPr>
        <w:t xml:space="preserve"> for the relevant regulatory control period which the DNSP considers is required to</w:t>
      </w:r>
      <w:r w:rsidR="009E5DB7">
        <w:rPr>
          <w:lang w:val="en-AU"/>
        </w:rPr>
        <w:t xml:space="preserve"> achieve the operating expenditure objectives and the capital expenditure objectives which</w:t>
      </w:r>
      <w:r>
        <w:rPr>
          <w:lang w:val="en-AU"/>
        </w:rPr>
        <w:t xml:space="preserve">, amongst other things, </w:t>
      </w:r>
      <w:r w:rsidR="009E5DB7">
        <w:rPr>
          <w:lang w:val="en-AU"/>
        </w:rPr>
        <w:t xml:space="preserve">includes </w:t>
      </w:r>
      <w:r>
        <w:rPr>
          <w:lang w:val="en-AU"/>
        </w:rPr>
        <w:t>meet</w:t>
      </w:r>
      <w:r w:rsidR="009E5DB7">
        <w:rPr>
          <w:lang w:val="en-AU"/>
        </w:rPr>
        <w:t>ing</w:t>
      </w:r>
      <w:r>
        <w:rPr>
          <w:lang w:val="en-AU"/>
        </w:rPr>
        <w:t xml:space="preserve"> or </w:t>
      </w:r>
      <w:r w:rsidR="009E5DB7">
        <w:rPr>
          <w:lang w:val="en-AU"/>
        </w:rPr>
        <w:t>m</w:t>
      </w:r>
      <w:r w:rsidR="009E5DB7" w:rsidRPr="00D854EA">
        <w:rPr>
          <w:lang w:val="en-AU"/>
        </w:rPr>
        <w:t>anag</w:t>
      </w:r>
      <w:r w:rsidR="009E5DB7">
        <w:rPr>
          <w:lang w:val="en-AU"/>
        </w:rPr>
        <w:t>ing</w:t>
      </w:r>
      <w:r w:rsidR="009E5DB7" w:rsidRPr="00D854EA">
        <w:rPr>
          <w:lang w:val="en-AU"/>
        </w:rPr>
        <w:t xml:space="preserve"> </w:t>
      </w:r>
      <w:r w:rsidRPr="00D854EA">
        <w:rPr>
          <w:lang w:val="en-AU"/>
        </w:rPr>
        <w:t xml:space="preserve">the expected demand for </w:t>
      </w:r>
      <w:r w:rsidR="005360D2">
        <w:rPr>
          <w:lang w:val="en-AU"/>
        </w:rPr>
        <w:t>regulated network access</w:t>
      </w:r>
      <w:r w:rsidRPr="00D854EA">
        <w:rPr>
          <w:lang w:val="en-AU"/>
        </w:rPr>
        <w:t xml:space="preserve"> services over that</w:t>
      </w:r>
      <w:r w:rsidR="005360D2">
        <w:rPr>
          <w:lang w:val="en-AU"/>
        </w:rPr>
        <w:t xml:space="preserve"> regulatory control</w:t>
      </w:r>
      <w:r w:rsidRPr="00D854EA">
        <w:rPr>
          <w:lang w:val="en-AU"/>
        </w:rPr>
        <w:t xml:space="preserve"> period</w:t>
      </w:r>
      <w:r>
        <w:rPr>
          <w:lang w:val="en-AU"/>
        </w:rPr>
        <w:t>.</w:t>
      </w:r>
    </w:p>
    <w:p w14:paraId="582D2AD0" w14:textId="5D98F80C" w:rsidR="004D1382" w:rsidRPr="00D854EA" w:rsidRDefault="004D1382" w:rsidP="00A806E4">
      <w:pPr>
        <w:pStyle w:val="NumberLevel2"/>
        <w:numPr>
          <w:ilvl w:val="1"/>
          <w:numId w:val="4"/>
        </w:numPr>
        <w:tabs>
          <w:tab w:val="num" w:pos="709"/>
        </w:tabs>
        <w:ind w:left="709" w:hanging="709"/>
        <w:rPr>
          <w:lang w:val="en-AU"/>
        </w:rPr>
      </w:pPr>
      <w:r w:rsidRPr="00D854EA">
        <w:rPr>
          <w:lang w:val="en-AU"/>
        </w:rPr>
        <w:t>Clause</w:t>
      </w:r>
      <w:r w:rsidR="005360D2">
        <w:rPr>
          <w:lang w:val="en-AU"/>
        </w:rPr>
        <w:t>s</w:t>
      </w:r>
      <w:r w:rsidRPr="00D854EA">
        <w:rPr>
          <w:lang w:val="en-AU"/>
        </w:rPr>
        <w:t xml:space="preserve"> 6.5.6(c) </w:t>
      </w:r>
      <w:r w:rsidR="005360D2">
        <w:rPr>
          <w:lang w:val="en-AU"/>
        </w:rPr>
        <w:t xml:space="preserve">and 6.5.7(c) </w:t>
      </w:r>
      <w:r w:rsidRPr="00D854EA">
        <w:rPr>
          <w:lang w:val="en-AU"/>
        </w:rPr>
        <w:t xml:space="preserve">require the AER to accept the forecast of required </w:t>
      </w:r>
      <w:r w:rsidR="005360D2">
        <w:rPr>
          <w:lang w:val="en-AU"/>
        </w:rPr>
        <w:t>opex and capex</w:t>
      </w:r>
      <w:r w:rsidRPr="00D854EA">
        <w:rPr>
          <w:lang w:val="en-AU"/>
        </w:rPr>
        <w:t xml:space="preserve"> of a DNSP that is included in a building block proposal if the AER is satisfied that </w:t>
      </w:r>
      <w:r w:rsidRPr="00003986">
        <w:rPr>
          <w:szCs w:val="22"/>
          <w:lang w:val="en-AU"/>
        </w:rPr>
        <w:t xml:space="preserve">the total of the forecast </w:t>
      </w:r>
      <w:r w:rsidR="005360D2" w:rsidRPr="00003986">
        <w:rPr>
          <w:szCs w:val="22"/>
          <w:lang w:val="en-AU"/>
        </w:rPr>
        <w:t>opex and capex</w:t>
      </w:r>
      <w:r w:rsidRPr="00003986">
        <w:rPr>
          <w:szCs w:val="22"/>
          <w:lang w:val="en-AU"/>
        </w:rPr>
        <w:t xml:space="preserve"> for the regulatory control period reasonably reflects each of the operating expenditure criteria</w:t>
      </w:r>
      <w:r w:rsidR="005360D2" w:rsidRPr="00003986">
        <w:rPr>
          <w:szCs w:val="22"/>
          <w:lang w:val="en-AU"/>
        </w:rPr>
        <w:t xml:space="preserve"> and capital expenditure criteria which</w:t>
      </w:r>
      <w:r w:rsidRPr="00003986">
        <w:rPr>
          <w:szCs w:val="22"/>
          <w:lang w:val="en-AU"/>
        </w:rPr>
        <w:t xml:space="preserve"> </w:t>
      </w:r>
      <w:r w:rsidR="005360D2" w:rsidRPr="00003986">
        <w:rPr>
          <w:szCs w:val="22"/>
          <w:lang w:val="en-AU"/>
        </w:rPr>
        <w:t xml:space="preserve">includes </w:t>
      </w:r>
      <w:r w:rsidRPr="00003986">
        <w:rPr>
          <w:szCs w:val="22"/>
        </w:rPr>
        <w:t xml:space="preserve">a realistic expectation of the demand forecast and cost inputs required to achieve the </w:t>
      </w:r>
      <w:r w:rsidRPr="00003986">
        <w:rPr>
          <w:iCs/>
          <w:szCs w:val="22"/>
        </w:rPr>
        <w:t>operating expenditure objectives</w:t>
      </w:r>
      <w:r w:rsidR="005360D2" w:rsidRPr="00003986">
        <w:rPr>
          <w:iCs/>
          <w:szCs w:val="22"/>
        </w:rPr>
        <w:t xml:space="preserve"> and the capital expenditure objectives</w:t>
      </w:r>
      <w:r w:rsidRPr="00003986">
        <w:rPr>
          <w:szCs w:val="22"/>
        </w:rPr>
        <w:t>.</w:t>
      </w:r>
      <w:r w:rsidRPr="00D854EA">
        <w:rPr>
          <w:lang w:val="en-AU"/>
        </w:rPr>
        <w:t xml:space="preserve"> </w:t>
      </w:r>
    </w:p>
    <w:p w14:paraId="29AE30F2" w14:textId="77777777" w:rsidR="005360D2" w:rsidRPr="005360D2" w:rsidRDefault="005360D2" w:rsidP="005360D2">
      <w:pPr>
        <w:pStyle w:val="NumberLevel2"/>
        <w:numPr>
          <w:ilvl w:val="1"/>
          <w:numId w:val="4"/>
        </w:numPr>
        <w:tabs>
          <w:tab w:val="num" w:pos="709"/>
        </w:tabs>
        <w:ind w:left="709" w:hanging="709"/>
        <w:rPr>
          <w:lang w:val="en-AU"/>
        </w:rPr>
      </w:pPr>
      <w:r w:rsidRPr="005360D2">
        <w:rPr>
          <w:lang w:val="en-AU"/>
        </w:rPr>
        <w:t>In deciding whether or not the AER is satisfied that the operating expenditure criteria and capital expenditure criteria have been met, the AER must also have regard to the operating expenditure factors and capital expenditure factors respectively.</w:t>
      </w:r>
    </w:p>
    <w:p w14:paraId="6DB8415D" w14:textId="2DBCA323" w:rsidR="00C4541D" w:rsidRDefault="005360D2" w:rsidP="00A806E4">
      <w:pPr>
        <w:pStyle w:val="NumberLevel2"/>
        <w:numPr>
          <w:ilvl w:val="1"/>
          <w:numId w:val="4"/>
        </w:numPr>
        <w:tabs>
          <w:tab w:val="num" w:pos="709"/>
        </w:tabs>
        <w:ind w:left="709" w:hanging="709"/>
        <w:rPr>
          <w:lang w:val="en-AU"/>
        </w:rPr>
      </w:pPr>
      <w:r>
        <w:rPr>
          <w:lang w:val="en-AU"/>
        </w:rPr>
        <w:t>Clause 6.12.1(1) of the</w:t>
      </w:r>
      <w:r w:rsidRPr="003751D8">
        <w:rPr>
          <w:lang w:val="en-AU"/>
        </w:rPr>
        <w:t xml:space="preserve"> </w:t>
      </w:r>
      <w:r w:rsidR="004D1382" w:rsidRPr="003751D8">
        <w:rPr>
          <w:lang w:val="en-AU"/>
        </w:rPr>
        <w:t xml:space="preserve">NER also requires the AER, as part of </w:t>
      </w:r>
      <w:r>
        <w:rPr>
          <w:lang w:val="en-AU"/>
        </w:rPr>
        <w:t>a</w:t>
      </w:r>
      <w:r w:rsidRPr="003751D8">
        <w:rPr>
          <w:lang w:val="en-AU"/>
        </w:rPr>
        <w:t xml:space="preserve"> </w:t>
      </w:r>
      <w:r w:rsidR="004D1382" w:rsidRPr="003751D8">
        <w:rPr>
          <w:lang w:val="en-AU"/>
        </w:rPr>
        <w:t xml:space="preserve">distribution determination, to make a </w:t>
      </w:r>
      <w:r w:rsidR="004D1382">
        <w:rPr>
          <w:lang w:val="en-AU"/>
        </w:rPr>
        <w:t xml:space="preserve">constituent </w:t>
      </w:r>
      <w:r w:rsidR="004D1382" w:rsidRPr="003751D8">
        <w:rPr>
          <w:lang w:val="en-AU"/>
        </w:rPr>
        <w:t>decision on appropriate amounts, values or inputs</w:t>
      </w:r>
      <w:r>
        <w:rPr>
          <w:lang w:val="en-AU"/>
        </w:rPr>
        <w:t xml:space="preserve"> for that distribution determination</w:t>
      </w:r>
      <w:r w:rsidR="004D1382" w:rsidRPr="003751D8">
        <w:rPr>
          <w:lang w:val="en-AU"/>
        </w:rPr>
        <w:t xml:space="preserve">, </w:t>
      </w:r>
      <w:r>
        <w:rPr>
          <w:lang w:val="en-AU"/>
        </w:rPr>
        <w:t xml:space="preserve">which in </w:t>
      </w:r>
      <w:r w:rsidR="00003986">
        <w:rPr>
          <w:lang w:val="en-AU"/>
        </w:rPr>
        <w:t xml:space="preserve">the AER’s recent </w:t>
      </w:r>
      <w:r>
        <w:rPr>
          <w:lang w:val="en-AU"/>
        </w:rPr>
        <w:t>distribution determinations has included a decision on the demand forecasts to apply for the regulatory control period</w:t>
      </w:r>
      <w:r w:rsidR="004D1382" w:rsidRPr="003751D8">
        <w:rPr>
          <w:lang w:val="en-AU"/>
        </w:rPr>
        <w:t>.</w:t>
      </w:r>
    </w:p>
    <w:p w14:paraId="1F31E244" w14:textId="5B13EDA3" w:rsidR="004D1382" w:rsidRDefault="004D1382" w:rsidP="004D1382">
      <w:pPr>
        <w:pStyle w:val="UtilComHeading2"/>
      </w:pPr>
      <w:bookmarkStart w:id="134" w:name="_Toc373833975"/>
      <w:bookmarkStart w:id="135" w:name="_Toc385241491"/>
      <w:bookmarkStart w:id="136" w:name="_Toc386013044"/>
      <w:r>
        <w:t>PWC Networks</w:t>
      </w:r>
      <w:r w:rsidR="00D624BF">
        <w:t>’</w:t>
      </w:r>
      <w:r>
        <w:t xml:space="preserve"> </w:t>
      </w:r>
      <w:r w:rsidR="003C0751">
        <w:t xml:space="preserve">Initial Regulatory </w:t>
      </w:r>
      <w:bookmarkEnd w:id="134"/>
      <w:bookmarkEnd w:id="135"/>
      <w:r w:rsidR="003C0751">
        <w:t>Proposal</w:t>
      </w:r>
      <w:bookmarkEnd w:id="136"/>
    </w:p>
    <w:p w14:paraId="57C1FD5B" w14:textId="381BA33A" w:rsidR="004D1382" w:rsidRPr="00A139AD" w:rsidRDefault="004D1382" w:rsidP="00431A9F">
      <w:pPr>
        <w:pStyle w:val="UtilComTableTitle"/>
        <w:keepNext/>
        <w:spacing w:before="120" w:after="0" w:line="240" w:lineRule="exact"/>
      </w:pPr>
      <w:r>
        <w:t xml:space="preserve">Table </w:t>
      </w:r>
      <w:r w:rsidR="000A4EF7">
        <w:t>7</w:t>
      </w:r>
      <w:r>
        <w:t>.1: PWC Networks</w:t>
      </w:r>
      <w:r w:rsidR="00D32B9A">
        <w:t>’</w:t>
      </w:r>
      <w:r>
        <w:t xml:space="preserve"> maximum demand, customer number and energy consumption forecasts</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126"/>
        <w:gridCol w:w="1134"/>
        <w:gridCol w:w="1134"/>
        <w:gridCol w:w="1134"/>
        <w:gridCol w:w="1134"/>
        <w:gridCol w:w="1134"/>
        <w:gridCol w:w="1418"/>
      </w:tblGrid>
      <w:tr w:rsidR="004D1382" w:rsidRPr="008A4655" w14:paraId="31828F94" w14:textId="77777777" w:rsidTr="00766DBA">
        <w:trPr>
          <w:trHeight w:val="360"/>
        </w:trPr>
        <w:tc>
          <w:tcPr>
            <w:tcW w:w="2126" w:type="dxa"/>
            <w:tcBorders>
              <w:top w:val="single" w:sz="4" w:space="0" w:color="999999"/>
              <w:bottom w:val="single" w:sz="4" w:space="0" w:color="auto"/>
            </w:tcBorders>
            <w:vAlign w:val="bottom"/>
          </w:tcPr>
          <w:p w14:paraId="48215DCE" w14:textId="77777777" w:rsidR="004D1382" w:rsidRPr="00EE5A08" w:rsidRDefault="004D1382" w:rsidP="00651B43">
            <w:pPr>
              <w:pStyle w:val="UtilComTabletext"/>
              <w:jc w:val="center"/>
              <w:rPr>
                <w:b/>
              </w:rPr>
            </w:pPr>
          </w:p>
        </w:tc>
        <w:tc>
          <w:tcPr>
            <w:tcW w:w="1134" w:type="dxa"/>
            <w:tcBorders>
              <w:top w:val="single" w:sz="4" w:space="0" w:color="999999"/>
              <w:bottom w:val="single" w:sz="4" w:space="0" w:color="auto"/>
            </w:tcBorders>
            <w:tcMar>
              <w:left w:w="0" w:type="dxa"/>
            </w:tcMar>
            <w:vAlign w:val="bottom"/>
          </w:tcPr>
          <w:p w14:paraId="43188832" w14:textId="77777777" w:rsidR="004D1382" w:rsidRPr="00EE5A08" w:rsidRDefault="004D1382" w:rsidP="00711A49">
            <w:pPr>
              <w:pStyle w:val="UtilComTabletext"/>
              <w:jc w:val="right"/>
              <w:rPr>
                <w:b/>
              </w:rPr>
            </w:pPr>
            <w:r>
              <w:rPr>
                <w:b/>
              </w:rPr>
              <w:t>2014-15</w:t>
            </w:r>
          </w:p>
        </w:tc>
        <w:tc>
          <w:tcPr>
            <w:tcW w:w="1134" w:type="dxa"/>
            <w:tcBorders>
              <w:top w:val="single" w:sz="4" w:space="0" w:color="999999"/>
              <w:bottom w:val="single" w:sz="4" w:space="0" w:color="auto"/>
            </w:tcBorders>
            <w:tcMar>
              <w:left w:w="0" w:type="dxa"/>
            </w:tcMar>
            <w:vAlign w:val="bottom"/>
          </w:tcPr>
          <w:p w14:paraId="1F2DB045" w14:textId="77777777" w:rsidR="004D1382" w:rsidRPr="00EE5A08" w:rsidRDefault="004D1382" w:rsidP="00711A49">
            <w:pPr>
              <w:pStyle w:val="UtilComTabletext"/>
              <w:jc w:val="right"/>
              <w:rPr>
                <w:b/>
              </w:rPr>
            </w:pPr>
            <w:r>
              <w:rPr>
                <w:b/>
              </w:rPr>
              <w:t>2015-16</w:t>
            </w:r>
          </w:p>
        </w:tc>
        <w:tc>
          <w:tcPr>
            <w:tcW w:w="1134" w:type="dxa"/>
            <w:tcBorders>
              <w:top w:val="single" w:sz="4" w:space="0" w:color="999999"/>
              <w:bottom w:val="single" w:sz="4" w:space="0" w:color="auto"/>
            </w:tcBorders>
            <w:vAlign w:val="bottom"/>
          </w:tcPr>
          <w:p w14:paraId="36D01332" w14:textId="77777777" w:rsidR="004D1382" w:rsidRDefault="004D1382" w:rsidP="00711A49">
            <w:pPr>
              <w:pStyle w:val="UtilComTabletext"/>
              <w:jc w:val="right"/>
              <w:rPr>
                <w:b/>
              </w:rPr>
            </w:pPr>
            <w:r>
              <w:rPr>
                <w:b/>
              </w:rPr>
              <w:t>2016-17</w:t>
            </w:r>
          </w:p>
        </w:tc>
        <w:tc>
          <w:tcPr>
            <w:tcW w:w="1134" w:type="dxa"/>
            <w:tcBorders>
              <w:top w:val="single" w:sz="4" w:space="0" w:color="999999"/>
              <w:bottom w:val="single" w:sz="4" w:space="0" w:color="auto"/>
            </w:tcBorders>
            <w:vAlign w:val="bottom"/>
          </w:tcPr>
          <w:p w14:paraId="677D2D9E" w14:textId="77777777" w:rsidR="004D1382" w:rsidRDefault="004D1382" w:rsidP="00711A49">
            <w:pPr>
              <w:pStyle w:val="UtilComTabletext"/>
              <w:jc w:val="right"/>
              <w:rPr>
                <w:b/>
              </w:rPr>
            </w:pPr>
            <w:r>
              <w:rPr>
                <w:b/>
              </w:rPr>
              <w:t>2017-18</w:t>
            </w:r>
          </w:p>
        </w:tc>
        <w:tc>
          <w:tcPr>
            <w:tcW w:w="1134" w:type="dxa"/>
            <w:tcBorders>
              <w:top w:val="single" w:sz="4" w:space="0" w:color="999999"/>
              <w:bottom w:val="single" w:sz="4" w:space="0" w:color="auto"/>
            </w:tcBorders>
            <w:vAlign w:val="bottom"/>
          </w:tcPr>
          <w:p w14:paraId="484BF90A" w14:textId="77777777" w:rsidR="004D1382" w:rsidRDefault="004D1382" w:rsidP="00711A49">
            <w:pPr>
              <w:pStyle w:val="UtilComTabletext"/>
              <w:jc w:val="right"/>
              <w:rPr>
                <w:b/>
              </w:rPr>
            </w:pPr>
            <w:r>
              <w:rPr>
                <w:b/>
              </w:rPr>
              <w:t>2018-19</w:t>
            </w:r>
          </w:p>
        </w:tc>
        <w:tc>
          <w:tcPr>
            <w:tcW w:w="1418" w:type="dxa"/>
            <w:tcBorders>
              <w:top w:val="single" w:sz="4" w:space="0" w:color="999999"/>
              <w:bottom w:val="single" w:sz="4" w:space="0" w:color="auto"/>
            </w:tcBorders>
            <w:tcMar>
              <w:left w:w="0" w:type="dxa"/>
            </w:tcMar>
            <w:vAlign w:val="bottom"/>
          </w:tcPr>
          <w:p w14:paraId="259DCB07" w14:textId="77777777" w:rsidR="004D1382" w:rsidRPr="00EE5A08" w:rsidRDefault="004D1382" w:rsidP="00711A49">
            <w:pPr>
              <w:pStyle w:val="UtilComTabletext"/>
              <w:jc w:val="right"/>
              <w:rPr>
                <w:b/>
              </w:rPr>
            </w:pPr>
            <w:r>
              <w:rPr>
                <w:b/>
              </w:rPr>
              <w:t>Average annual growth 2014-19 (%)</w:t>
            </w:r>
          </w:p>
        </w:tc>
      </w:tr>
      <w:tr w:rsidR="004D1382" w:rsidRPr="008A4655" w14:paraId="1D9562A3" w14:textId="77777777" w:rsidTr="00651B43">
        <w:trPr>
          <w:trHeight w:val="360"/>
        </w:trPr>
        <w:tc>
          <w:tcPr>
            <w:tcW w:w="9214" w:type="dxa"/>
            <w:gridSpan w:val="7"/>
            <w:tcBorders>
              <w:top w:val="single" w:sz="4" w:space="0" w:color="auto"/>
              <w:bottom w:val="single" w:sz="4" w:space="0" w:color="999999"/>
            </w:tcBorders>
          </w:tcPr>
          <w:p w14:paraId="78CAF7E7" w14:textId="77777777" w:rsidR="004D1382" w:rsidRPr="004E1933" w:rsidRDefault="004D1382" w:rsidP="00651B43">
            <w:pPr>
              <w:pStyle w:val="UtilComTabletext"/>
              <w:rPr>
                <w:b/>
              </w:rPr>
            </w:pPr>
            <w:r w:rsidRPr="004E1933">
              <w:rPr>
                <w:b/>
              </w:rPr>
              <w:t>Weather normalized system maximum demand (50% PoE) (MW)</w:t>
            </w:r>
          </w:p>
        </w:tc>
      </w:tr>
      <w:tr w:rsidR="004D1382" w:rsidRPr="008A4655" w14:paraId="5F06F951" w14:textId="77777777" w:rsidTr="00651B43">
        <w:trPr>
          <w:trHeight w:val="360"/>
        </w:trPr>
        <w:tc>
          <w:tcPr>
            <w:tcW w:w="2126" w:type="dxa"/>
            <w:tcBorders>
              <w:bottom w:val="single" w:sz="4" w:space="0" w:color="999999"/>
            </w:tcBorders>
          </w:tcPr>
          <w:p w14:paraId="06F5DB83" w14:textId="77777777" w:rsidR="004D1382" w:rsidRDefault="004D1382" w:rsidP="00651B43">
            <w:pPr>
              <w:pStyle w:val="UtilComTabletext"/>
            </w:pPr>
            <w:r>
              <w:t>Darwin-Katherine</w:t>
            </w:r>
          </w:p>
        </w:tc>
        <w:tc>
          <w:tcPr>
            <w:tcW w:w="1134" w:type="dxa"/>
            <w:tcBorders>
              <w:bottom w:val="single" w:sz="4" w:space="0" w:color="999999"/>
            </w:tcBorders>
            <w:shd w:val="clear" w:color="auto" w:fill="auto"/>
            <w:tcMar>
              <w:left w:w="0" w:type="dxa"/>
            </w:tcMar>
          </w:tcPr>
          <w:p w14:paraId="20F2F155" w14:textId="77777777" w:rsidR="004D1382" w:rsidRPr="004E1933" w:rsidRDefault="004D1382" w:rsidP="00651B43">
            <w:pPr>
              <w:pStyle w:val="UtilComTabletext"/>
              <w:jc w:val="right"/>
            </w:pPr>
            <w:r w:rsidRPr="004E1933">
              <w:t>307.7</w:t>
            </w:r>
          </w:p>
        </w:tc>
        <w:tc>
          <w:tcPr>
            <w:tcW w:w="1134" w:type="dxa"/>
            <w:tcBorders>
              <w:bottom w:val="single" w:sz="4" w:space="0" w:color="999999"/>
            </w:tcBorders>
            <w:shd w:val="clear" w:color="auto" w:fill="auto"/>
            <w:tcMar>
              <w:left w:w="0" w:type="dxa"/>
            </w:tcMar>
          </w:tcPr>
          <w:p w14:paraId="2320FAF6" w14:textId="77777777" w:rsidR="004D1382" w:rsidRPr="004E1933" w:rsidRDefault="004D1382" w:rsidP="00651B43">
            <w:pPr>
              <w:pStyle w:val="UtilComTabletext"/>
              <w:jc w:val="right"/>
            </w:pPr>
            <w:r w:rsidRPr="004E1933">
              <w:t>313.3</w:t>
            </w:r>
          </w:p>
        </w:tc>
        <w:tc>
          <w:tcPr>
            <w:tcW w:w="1134" w:type="dxa"/>
            <w:tcBorders>
              <w:bottom w:val="single" w:sz="4" w:space="0" w:color="999999"/>
            </w:tcBorders>
          </w:tcPr>
          <w:p w14:paraId="434861DE" w14:textId="77777777" w:rsidR="004D1382" w:rsidRPr="004E1933" w:rsidRDefault="004D1382" w:rsidP="00651B43">
            <w:pPr>
              <w:pStyle w:val="UtilComTabletext"/>
              <w:jc w:val="right"/>
            </w:pPr>
            <w:r w:rsidRPr="004E1933">
              <w:t>318.9</w:t>
            </w:r>
          </w:p>
        </w:tc>
        <w:tc>
          <w:tcPr>
            <w:tcW w:w="1134" w:type="dxa"/>
            <w:tcBorders>
              <w:bottom w:val="single" w:sz="4" w:space="0" w:color="999999"/>
            </w:tcBorders>
          </w:tcPr>
          <w:p w14:paraId="4ADF6BD2" w14:textId="77777777" w:rsidR="004D1382" w:rsidRPr="004E1933" w:rsidRDefault="004D1382" w:rsidP="00651B43">
            <w:pPr>
              <w:pStyle w:val="UtilComTabletext"/>
              <w:jc w:val="right"/>
            </w:pPr>
            <w:r w:rsidRPr="004E1933">
              <w:t>324.6</w:t>
            </w:r>
          </w:p>
        </w:tc>
        <w:tc>
          <w:tcPr>
            <w:tcW w:w="1134" w:type="dxa"/>
            <w:tcBorders>
              <w:bottom w:val="single" w:sz="4" w:space="0" w:color="999999"/>
            </w:tcBorders>
          </w:tcPr>
          <w:p w14:paraId="78383FE3" w14:textId="77777777" w:rsidR="004D1382" w:rsidRPr="004E1933" w:rsidRDefault="004D1382" w:rsidP="00651B43">
            <w:pPr>
              <w:pStyle w:val="UtilComTabletext"/>
              <w:jc w:val="right"/>
            </w:pPr>
            <w:r w:rsidRPr="004E1933">
              <w:t>330.2</w:t>
            </w:r>
          </w:p>
        </w:tc>
        <w:tc>
          <w:tcPr>
            <w:tcW w:w="1418" w:type="dxa"/>
            <w:tcBorders>
              <w:bottom w:val="single" w:sz="4" w:space="0" w:color="999999"/>
            </w:tcBorders>
            <w:shd w:val="clear" w:color="auto" w:fill="auto"/>
            <w:tcMar>
              <w:left w:w="0" w:type="dxa"/>
            </w:tcMar>
          </w:tcPr>
          <w:p w14:paraId="20F7D72F" w14:textId="77777777" w:rsidR="004D1382" w:rsidRPr="009F5F71" w:rsidRDefault="004D1382" w:rsidP="00651B43">
            <w:pPr>
              <w:pStyle w:val="UtilComTabletext"/>
              <w:jc w:val="right"/>
            </w:pPr>
            <w:r w:rsidRPr="009F5F71">
              <w:t>1.46</w:t>
            </w:r>
          </w:p>
        </w:tc>
      </w:tr>
      <w:tr w:rsidR="004D1382" w:rsidRPr="008A4655" w14:paraId="0B167896" w14:textId="77777777" w:rsidTr="00651B43">
        <w:trPr>
          <w:trHeight w:val="360"/>
        </w:trPr>
        <w:tc>
          <w:tcPr>
            <w:tcW w:w="2126" w:type="dxa"/>
            <w:tcBorders>
              <w:bottom w:val="single" w:sz="4" w:space="0" w:color="999999"/>
            </w:tcBorders>
          </w:tcPr>
          <w:p w14:paraId="29979110" w14:textId="77777777" w:rsidR="004D1382" w:rsidRDefault="004D1382" w:rsidP="00651B43">
            <w:pPr>
              <w:pStyle w:val="UtilComTabletext"/>
            </w:pPr>
            <w:r>
              <w:t>Alice Springs</w:t>
            </w:r>
          </w:p>
        </w:tc>
        <w:tc>
          <w:tcPr>
            <w:tcW w:w="1134" w:type="dxa"/>
            <w:tcBorders>
              <w:bottom w:val="single" w:sz="4" w:space="0" w:color="999999"/>
            </w:tcBorders>
            <w:shd w:val="clear" w:color="auto" w:fill="auto"/>
            <w:tcMar>
              <w:left w:w="0" w:type="dxa"/>
            </w:tcMar>
          </w:tcPr>
          <w:p w14:paraId="36A4D739" w14:textId="77777777" w:rsidR="004D1382" w:rsidRPr="004C24CE" w:rsidRDefault="004D1382" w:rsidP="00651B43">
            <w:pPr>
              <w:pStyle w:val="UtilComTabletext"/>
              <w:jc w:val="right"/>
            </w:pPr>
            <w:r w:rsidRPr="004C24CE">
              <w:t>55.2</w:t>
            </w:r>
          </w:p>
        </w:tc>
        <w:tc>
          <w:tcPr>
            <w:tcW w:w="1134" w:type="dxa"/>
            <w:tcBorders>
              <w:bottom w:val="single" w:sz="4" w:space="0" w:color="999999"/>
            </w:tcBorders>
            <w:shd w:val="clear" w:color="auto" w:fill="auto"/>
            <w:tcMar>
              <w:left w:w="0" w:type="dxa"/>
            </w:tcMar>
          </w:tcPr>
          <w:p w14:paraId="6CE17953" w14:textId="77777777" w:rsidR="004D1382" w:rsidRPr="004C24CE" w:rsidRDefault="004D1382" w:rsidP="00651B43">
            <w:pPr>
              <w:pStyle w:val="UtilComTabletext"/>
              <w:jc w:val="right"/>
            </w:pPr>
            <w:r w:rsidRPr="004C24CE">
              <w:t>54.9</w:t>
            </w:r>
          </w:p>
        </w:tc>
        <w:tc>
          <w:tcPr>
            <w:tcW w:w="1134" w:type="dxa"/>
            <w:tcBorders>
              <w:bottom w:val="single" w:sz="4" w:space="0" w:color="999999"/>
            </w:tcBorders>
          </w:tcPr>
          <w:p w14:paraId="20F85A44" w14:textId="77777777" w:rsidR="004D1382" w:rsidRPr="004C24CE" w:rsidRDefault="004D1382" w:rsidP="00651B43">
            <w:pPr>
              <w:pStyle w:val="UtilComTabletext"/>
              <w:jc w:val="right"/>
            </w:pPr>
            <w:r w:rsidRPr="004C24CE">
              <w:t>54.7</w:t>
            </w:r>
          </w:p>
        </w:tc>
        <w:tc>
          <w:tcPr>
            <w:tcW w:w="1134" w:type="dxa"/>
            <w:tcBorders>
              <w:bottom w:val="single" w:sz="4" w:space="0" w:color="999999"/>
            </w:tcBorders>
          </w:tcPr>
          <w:p w14:paraId="72ABB8F1" w14:textId="77777777" w:rsidR="004D1382" w:rsidRPr="004C24CE" w:rsidRDefault="004D1382" w:rsidP="00651B43">
            <w:pPr>
              <w:pStyle w:val="UtilComTabletext"/>
              <w:jc w:val="right"/>
            </w:pPr>
            <w:r w:rsidRPr="004C24CE">
              <w:t>54.4</w:t>
            </w:r>
          </w:p>
        </w:tc>
        <w:tc>
          <w:tcPr>
            <w:tcW w:w="1134" w:type="dxa"/>
            <w:tcBorders>
              <w:bottom w:val="single" w:sz="4" w:space="0" w:color="999999"/>
            </w:tcBorders>
          </w:tcPr>
          <w:p w14:paraId="40E2F860" w14:textId="77777777" w:rsidR="004D1382" w:rsidRDefault="004D1382" w:rsidP="00651B43">
            <w:pPr>
              <w:pStyle w:val="UtilComTabletext"/>
              <w:jc w:val="right"/>
            </w:pPr>
            <w:r w:rsidRPr="004C24CE">
              <w:t>54.2</w:t>
            </w:r>
          </w:p>
        </w:tc>
        <w:tc>
          <w:tcPr>
            <w:tcW w:w="1418" w:type="dxa"/>
            <w:tcBorders>
              <w:bottom w:val="single" w:sz="4" w:space="0" w:color="999999"/>
            </w:tcBorders>
            <w:shd w:val="clear" w:color="auto" w:fill="auto"/>
            <w:tcMar>
              <w:left w:w="0" w:type="dxa"/>
            </w:tcMar>
          </w:tcPr>
          <w:p w14:paraId="5E5F5A42" w14:textId="77777777" w:rsidR="004D1382" w:rsidRPr="009F5F71" w:rsidRDefault="004D1382" w:rsidP="00651B43">
            <w:pPr>
              <w:pStyle w:val="UtilComTabletext"/>
              <w:jc w:val="right"/>
            </w:pPr>
            <w:r w:rsidRPr="009F5F71">
              <w:t>-</w:t>
            </w:r>
            <w:r w:rsidR="00A549BB">
              <w:t xml:space="preserve"> </w:t>
            </w:r>
            <w:r w:rsidRPr="009F5F71">
              <w:t>0.36</w:t>
            </w:r>
          </w:p>
        </w:tc>
      </w:tr>
      <w:tr w:rsidR="004D1382" w:rsidRPr="008A4655" w14:paraId="215DB1BB" w14:textId="77777777" w:rsidTr="00651B43">
        <w:trPr>
          <w:trHeight w:val="360"/>
        </w:trPr>
        <w:tc>
          <w:tcPr>
            <w:tcW w:w="2126" w:type="dxa"/>
            <w:tcBorders>
              <w:top w:val="single" w:sz="4" w:space="0" w:color="999999"/>
              <w:bottom w:val="single" w:sz="4" w:space="0" w:color="auto"/>
            </w:tcBorders>
          </w:tcPr>
          <w:p w14:paraId="781CC777" w14:textId="77777777" w:rsidR="004D1382" w:rsidRDefault="004D1382" w:rsidP="00651B43">
            <w:pPr>
              <w:pStyle w:val="UtilComTabletext"/>
            </w:pPr>
            <w:r>
              <w:t>Tennant Creek</w:t>
            </w:r>
          </w:p>
        </w:tc>
        <w:tc>
          <w:tcPr>
            <w:tcW w:w="1134" w:type="dxa"/>
            <w:tcBorders>
              <w:top w:val="single" w:sz="4" w:space="0" w:color="999999"/>
              <w:bottom w:val="single" w:sz="4" w:space="0" w:color="auto"/>
            </w:tcBorders>
            <w:shd w:val="clear" w:color="auto" w:fill="auto"/>
            <w:tcMar>
              <w:left w:w="0" w:type="dxa"/>
            </w:tcMar>
          </w:tcPr>
          <w:p w14:paraId="031D0A2F" w14:textId="77777777" w:rsidR="004D1382" w:rsidRPr="00DE63E9" w:rsidRDefault="004D1382" w:rsidP="00651B43">
            <w:pPr>
              <w:pStyle w:val="UtilComTabletext"/>
              <w:jc w:val="right"/>
            </w:pPr>
            <w:r w:rsidRPr="00DE63E9">
              <w:t>7.3</w:t>
            </w:r>
          </w:p>
        </w:tc>
        <w:tc>
          <w:tcPr>
            <w:tcW w:w="1134" w:type="dxa"/>
            <w:tcBorders>
              <w:top w:val="single" w:sz="4" w:space="0" w:color="999999"/>
              <w:bottom w:val="single" w:sz="4" w:space="0" w:color="auto"/>
            </w:tcBorders>
            <w:shd w:val="clear" w:color="auto" w:fill="auto"/>
            <w:tcMar>
              <w:left w:w="0" w:type="dxa"/>
            </w:tcMar>
          </w:tcPr>
          <w:p w14:paraId="0C1C5A69" w14:textId="77777777" w:rsidR="004D1382" w:rsidRPr="00DE63E9" w:rsidRDefault="004D1382" w:rsidP="00651B43">
            <w:pPr>
              <w:pStyle w:val="UtilComTabletext"/>
              <w:jc w:val="right"/>
            </w:pPr>
            <w:r w:rsidRPr="00DE63E9">
              <w:t>7.4</w:t>
            </w:r>
          </w:p>
        </w:tc>
        <w:tc>
          <w:tcPr>
            <w:tcW w:w="1134" w:type="dxa"/>
            <w:tcBorders>
              <w:top w:val="single" w:sz="4" w:space="0" w:color="999999"/>
              <w:bottom w:val="single" w:sz="4" w:space="0" w:color="auto"/>
            </w:tcBorders>
          </w:tcPr>
          <w:p w14:paraId="36C51D81" w14:textId="77777777" w:rsidR="004D1382" w:rsidRPr="00DE63E9" w:rsidRDefault="004D1382" w:rsidP="00651B43">
            <w:pPr>
              <w:pStyle w:val="UtilComTabletext"/>
              <w:jc w:val="right"/>
            </w:pPr>
            <w:r w:rsidRPr="00DE63E9">
              <w:t>7.4</w:t>
            </w:r>
          </w:p>
        </w:tc>
        <w:tc>
          <w:tcPr>
            <w:tcW w:w="1134" w:type="dxa"/>
            <w:tcBorders>
              <w:top w:val="single" w:sz="4" w:space="0" w:color="999999"/>
              <w:bottom w:val="single" w:sz="4" w:space="0" w:color="auto"/>
            </w:tcBorders>
          </w:tcPr>
          <w:p w14:paraId="4309A08A" w14:textId="77777777" w:rsidR="004D1382" w:rsidRPr="00DE63E9" w:rsidRDefault="004D1382" w:rsidP="00651B43">
            <w:pPr>
              <w:pStyle w:val="UtilComTabletext"/>
              <w:jc w:val="right"/>
            </w:pPr>
            <w:r w:rsidRPr="00DE63E9">
              <w:t>7.5</w:t>
            </w:r>
          </w:p>
        </w:tc>
        <w:tc>
          <w:tcPr>
            <w:tcW w:w="1134" w:type="dxa"/>
            <w:tcBorders>
              <w:top w:val="single" w:sz="4" w:space="0" w:color="999999"/>
              <w:bottom w:val="single" w:sz="4" w:space="0" w:color="auto"/>
            </w:tcBorders>
          </w:tcPr>
          <w:p w14:paraId="6360B203" w14:textId="77777777" w:rsidR="004D1382" w:rsidRDefault="004D1382" w:rsidP="00651B43">
            <w:pPr>
              <w:pStyle w:val="UtilComTabletext"/>
              <w:jc w:val="right"/>
            </w:pPr>
            <w:r w:rsidRPr="00DE63E9">
              <w:t>7.5</w:t>
            </w:r>
          </w:p>
        </w:tc>
        <w:tc>
          <w:tcPr>
            <w:tcW w:w="1418" w:type="dxa"/>
            <w:tcBorders>
              <w:top w:val="single" w:sz="4" w:space="0" w:color="999999"/>
              <w:bottom w:val="single" w:sz="4" w:space="0" w:color="auto"/>
            </w:tcBorders>
            <w:shd w:val="clear" w:color="auto" w:fill="auto"/>
            <w:tcMar>
              <w:left w:w="0" w:type="dxa"/>
            </w:tcMar>
          </w:tcPr>
          <w:p w14:paraId="0F99FBCD" w14:textId="77777777" w:rsidR="004D1382" w:rsidRPr="009F5F71" w:rsidRDefault="004D1382" w:rsidP="00651B43">
            <w:pPr>
              <w:pStyle w:val="UtilComTabletext"/>
              <w:jc w:val="right"/>
            </w:pPr>
            <w:r w:rsidRPr="009F5F71">
              <w:t>0.55</w:t>
            </w:r>
          </w:p>
        </w:tc>
      </w:tr>
      <w:tr w:rsidR="004D1382" w:rsidRPr="008A4655" w14:paraId="1E7501A9" w14:textId="77777777" w:rsidTr="00651B43">
        <w:trPr>
          <w:trHeight w:val="360"/>
        </w:trPr>
        <w:tc>
          <w:tcPr>
            <w:tcW w:w="2126" w:type="dxa"/>
            <w:tcBorders>
              <w:top w:val="single" w:sz="4" w:space="0" w:color="auto"/>
              <w:bottom w:val="single" w:sz="4" w:space="0" w:color="999999"/>
            </w:tcBorders>
          </w:tcPr>
          <w:p w14:paraId="227806A3" w14:textId="77777777" w:rsidR="004D1382" w:rsidRDefault="004D1382" w:rsidP="00651B43">
            <w:pPr>
              <w:pStyle w:val="UtilComTabletext"/>
            </w:pPr>
            <w:r>
              <w:t>Customer numbers (total)</w:t>
            </w:r>
          </w:p>
        </w:tc>
        <w:tc>
          <w:tcPr>
            <w:tcW w:w="1134" w:type="dxa"/>
            <w:tcBorders>
              <w:top w:val="single" w:sz="4" w:space="0" w:color="auto"/>
              <w:bottom w:val="single" w:sz="4" w:space="0" w:color="999999"/>
            </w:tcBorders>
            <w:shd w:val="clear" w:color="auto" w:fill="auto"/>
            <w:tcMar>
              <w:left w:w="0" w:type="dxa"/>
            </w:tcMar>
          </w:tcPr>
          <w:p w14:paraId="71A35B6D" w14:textId="77777777" w:rsidR="004D1382" w:rsidRPr="00FF46FF" w:rsidRDefault="004D1382" w:rsidP="00651B43">
            <w:pPr>
              <w:pStyle w:val="UtilComTabletext"/>
              <w:jc w:val="right"/>
            </w:pPr>
            <w:r w:rsidRPr="00FF46FF">
              <w:t xml:space="preserve"> 81,844 </w:t>
            </w:r>
          </w:p>
        </w:tc>
        <w:tc>
          <w:tcPr>
            <w:tcW w:w="1134" w:type="dxa"/>
            <w:tcBorders>
              <w:top w:val="single" w:sz="4" w:space="0" w:color="auto"/>
              <w:bottom w:val="single" w:sz="4" w:space="0" w:color="999999"/>
            </w:tcBorders>
            <w:shd w:val="clear" w:color="auto" w:fill="auto"/>
            <w:tcMar>
              <w:left w:w="0" w:type="dxa"/>
            </w:tcMar>
          </w:tcPr>
          <w:p w14:paraId="22F757FD" w14:textId="77777777" w:rsidR="004D1382" w:rsidRPr="00FF46FF" w:rsidRDefault="004D1382" w:rsidP="00651B43">
            <w:pPr>
              <w:pStyle w:val="UtilComTabletext"/>
              <w:jc w:val="right"/>
            </w:pPr>
            <w:r w:rsidRPr="00FF46FF">
              <w:t xml:space="preserve"> 83,834 </w:t>
            </w:r>
          </w:p>
        </w:tc>
        <w:tc>
          <w:tcPr>
            <w:tcW w:w="1134" w:type="dxa"/>
            <w:tcBorders>
              <w:top w:val="single" w:sz="4" w:space="0" w:color="auto"/>
              <w:bottom w:val="single" w:sz="4" w:space="0" w:color="999999"/>
            </w:tcBorders>
          </w:tcPr>
          <w:p w14:paraId="05F75443" w14:textId="77777777" w:rsidR="004D1382" w:rsidRPr="00FF46FF" w:rsidRDefault="004D1382" w:rsidP="00651B43">
            <w:pPr>
              <w:pStyle w:val="UtilComTabletext"/>
              <w:jc w:val="right"/>
            </w:pPr>
            <w:r w:rsidRPr="00FF46FF">
              <w:t xml:space="preserve"> 85,878 </w:t>
            </w:r>
          </w:p>
        </w:tc>
        <w:tc>
          <w:tcPr>
            <w:tcW w:w="1134" w:type="dxa"/>
            <w:tcBorders>
              <w:top w:val="single" w:sz="4" w:space="0" w:color="auto"/>
              <w:bottom w:val="single" w:sz="4" w:space="0" w:color="999999"/>
            </w:tcBorders>
          </w:tcPr>
          <w:p w14:paraId="7C684F86" w14:textId="77777777" w:rsidR="004D1382" w:rsidRPr="00FF46FF" w:rsidRDefault="004D1382" w:rsidP="00651B43">
            <w:pPr>
              <w:pStyle w:val="UtilComTabletext"/>
              <w:jc w:val="right"/>
            </w:pPr>
            <w:r w:rsidRPr="00FF46FF">
              <w:t xml:space="preserve"> 87,978 </w:t>
            </w:r>
          </w:p>
        </w:tc>
        <w:tc>
          <w:tcPr>
            <w:tcW w:w="1134" w:type="dxa"/>
            <w:tcBorders>
              <w:top w:val="single" w:sz="4" w:space="0" w:color="auto"/>
              <w:bottom w:val="single" w:sz="4" w:space="0" w:color="999999"/>
            </w:tcBorders>
          </w:tcPr>
          <w:p w14:paraId="48BFC8EE" w14:textId="77777777" w:rsidR="004D1382" w:rsidRDefault="004D1382" w:rsidP="00651B43">
            <w:pPr>
              <w:pStyle w:val="UtilComTabletext"/>
              <w:jc w:val="right"/>
            </w:pPr>
            <w:r w:rsidRPr="00FF46FF">
              <w:t xml:space="preserve"> 90,134 </w:t>
            </w:r>
          </w:p>
        </w:tc>
        <w:tc>
          <w:tcPr>
            <w:tcW w:w="1418" w:type="dxa"/>
            <w:tcBorders>
              <w:top w:val="single" w:sz="4" w:space="0" w:color="auto"/>
              <w:bottom w:val="single" w:sz="4" w:space="0" w:color="999999"/>
            </w:tcBorders>
            <w:shd w:val="clear" w:color="auto" w:fill="auto"/>
            <w:tcMar>
              <w:left w:w="0" w:type="dxa"/>
            </w:tcMar>
          </w:tcPr>
          <w:p w14:paraId="008C390B" w14:textId="77777777" w:rsidR="004D1382" w:rsidRPr="009F5F71" w:rsidRDefault="004D1382" w:rsidP="00651B43">
            <w:pPr>
              <w:pStyle w:val="UtilComTabletext"/>
              <w:jc w:val="right"/>
            </w:pPr>
            <w:r w:rsidRPr="009F5F71">
              <w:t>2.03</w:t>
            </w:r>
          </w:p>
        </w:tc>
      </w:tr>
      <w:tr w:rsidR="004D1382" w:rsidRPr="008A4655" w14:paraId="5179D6FA" w14:textId="77777777" w:rsidTr="00651B43">
        <w:trPr>
          <w:trHeight w:val="360"/>
        </w:trPr>
        <w:tc>
          <w:tcPr>
            <w:tcW w:w="2126" w:type="dxa"/>
            <w:tcBorders>
              <w:top w:val="single" w:sz="4" w:space="0" w:color="999999"/>
              <w:bottom w:val="single" w:sz="4" w:space="0" w:color="000000"/>
            </w:tcBorders>
          </w:tcPr>
          <w:p w14:paraId="09CD7FC0" w14:textId="77777777" w:rsidR="004D1382" w:rsidRDefault="004D1382" w:rsidP="00651B43">
            <w:pPr>
              <w:pStyle w:val="UtilComTabletext"/>
            </w:pPr>
            <w:r>
              <w:t>Customer connections</w:t>
            </w:r>
          </w:p>
        </w:tc>
        <w:tc>
          <w:tcPr>
            <w:tcW w:w="1134" w:type="dxa"/>
            <w:tcBorders>
              <w:top w:val="single" w:sz="4" w:space="0" w:color="999999"/>
              <w:bottom w:val="single" w:sz="4" w:space="0" w:color="000000"/>
            </w:tcBorders>
            <w:shd w:val="clear" w:color="auto" w:fill="auto"/>
          </w:tcPr>
          <w:p w14:paraId="2BAA8F14" w14:textId="77777777" w:rsidR="004D1382" w:rsidRPr="00A9731E" w:rsidRDefault="004D1382" w:rsidP="00651B43">
            <w:pPr>
              <w:pStyle w:val="UtilComTabletext"/>
              <w:jc w:val="right"/>
            </w:pPr>
            <w:r>
              <w:t>1,960</w:t>
            </w:r>
          </w:p>
        </w:tc>
        <w:tc>
          <w:tcPr>
            <w:tcW w:w="1134" w:type="dxa"/>
            <w:tcBorders>
              <w:top w:val="single" w:sz="4" w:space="0" w:color="999999"/>
              <w:bottom w:val="single" w:sz="4" w:space="0" w:color="000000"/>
            </w:tcBorders>
            <w:shd w:val="clear" w:color="auto" w:fill="auto"/>
          </w:tcPr>
          <w:p w14:paraId="493FB570" w14:textId="77777777" w:rsidR="004D1382" w:rsidRPr="00A9731E" w:rsidRDefault="004D1382" w:rsidP="00651B43">
            <w:pPr>
              <w:pStyle w:val="UtilComTabletext"/>
              <w:jc w:val="right"/>
            </w:pPr>
            <w:r>
              <w:t>2,020</w:t>
            </w:r>
          </w:p>
        </w:tc>
        <w:tc>
          <w:tcPr>
            <w:tcW w:w="1134" w:type="dxa"/>
            <w:tcBorders>
              <w:top w:val="single" w:sz="4" w:space="0" w:color="999999"/>
              <w:bottom w:val="single" w:sz="4" w:space="0" w:color="000000"/>
            </w:tcBorders>
          </w:tcPr>
          <w:p w14:paraId="2C20709A" w14:textId="77777777" w:rsidR="004D1382" w:rsidRPr="00A9731E" w:rsidRDefault="004D1382" w:rsidP="00651B43">
            <w:pPr>
              <w:pStyle w:val="UtilComTabletext"/>
              <w:jc w:val="right"/>
            </w:pPr>
            <w:r>
              <w:t>2,075</w:t>
            </w:r>
          </w:p>
        </w:tc>
        <w:tc>
          <w:tcPr>
            <w:tcW w:w="1134" w:type="dxa"/>
            <w:tcBorders>
              <w:top w:val="single" w:sz="4" w:space="0" w:color="999999"/>
              <w:bottom w:val="single" w:sz="4" w:space="0" w:color="000000"/>
            </w:tcBorders>
          </w:tcPr>
          <w:p w14:paraId="738C9D2F" w14:textId="77777777" w:rsidR="004D1382" w:rsidRPr="00A9731E" w:rsidRDefault="004D1382" w:rsidP="00651B43">
            <w:pPr>
              <w:pStyle w:val="UtilComTabletext"/>
              <w:jc w:val="right"/>
            </w:pPr>
            <w:r>
              <w:t>2,103</w:t>
            </w:r>
          </w:p>
        </w:tc>
        <w:tc>
          <w:tcPr>
            <w:tcW w:w="1134" w:type="dxa"/>
            <w:tcBorders>
              <w:top w:val="single" w:sz="4" w:space="0" w:color="999999"/>
              <w:bottom w:val="single" w:sz="4" w:space="0" w:color="000000"/>
            </w:tcBorders>
          </w:tcPr>
          <w:p w14:paraId="7476FAB9" w14:textId="77777777" w:rsidR="004D1382" w:rsidRPr="00A9731E" w:rsidRDefault="004D1382" w:rsidP="00651B43">
            <w:pPr>
              <w:pStyle w:val="UtilComTabletext"/>
              <w:jc w:val="right"/>
            </w:pPr>
            <w:r>
              <w:t>2,190</w:t>
            </w:r>
          </w:p>
        </w:tc>
        <w:tc>
          <w:tcPr>
            <w:tcW w:w="1418" w:type="dxa"/>
            <w:tcBorders>
              <w:top w:val="single" w:sz="4" w:space="0" w:color="999999"/>
              <w:bottom w:val="single" w:sz="4" w:space="0" w:color="000000"/>
            </w:tcBorders>
            <w:shd w:val="clear" w:color="auto" w:fill="auto"/>
          </w:tcPr>
          <w:p w14:paraId="137D8591" w14:textId="77777777" w:rsidR="004D1382" w:rsidRPr="009F5F71" w:rsidRDefault="004D1382" w:rsidP="00651B43">
            <w:pPr>
              <w:pStyle w:val="UtilComTabletext"/>
              <w:jc w:val="right"/>
            </w:pPr>
            <w:r w:rsidRPr="009F5F71">
              <w:t>2.9</w:t>
            </w:r>
            <w:r w:rsidR="00A549BB">
              <w:t>0</w:t>
            </w:r>
          </w:p>
        </w:tc>
      </w:tr>
      <w:tr w:rsidR="004D1382" w:rsidRPr="008A4655" w14:paraId="55DC3788" w14:textId="77777777" w:rsidTr="00651B43">
        <w:trPr>
          <w:trHeight w:val="360"/>
        </w:trPr>
        <w:tc>
          <w:tcPr>
            <w:tcW w:w="2126" w:type="dxa"/>
            <w:tcBorders>
              <w:top w:val="single" w:sz="4" w:space="0" w:color="999999"/>
              <w:bottom w:val="single" w:sz="4" w:space="0" w:color="000000"/>
            </w:tcBorders>
          </w:tcPr>
          <w:p w14:paraId="4A3923B7" w14:textId="77777777" w:rsidR="004D1382" w:rsidRDefault="004D1382" w:rsidP="00651B43">
            <w:pPr>
              <w:pStyle w:val="UtilComTabletext"/>
            </w:pPr>
            <w:r>
              <w:t>Energy consumption (GWh)</w:t>
            </w:r>
          </w:p>
        </w:tc>
        <w:tc>
          <w:tcPr>
            <w:tcW w:w="1134" w:type="dxa"/>
            <w:tcBorders>
              <w:top w:val="single" w:sz="4" w:space="0" w:color="999999"/>
              <w:bottom w:val="single" w:sz="4" w:space="0" w:color="000000"/>
            </w:tcBorders>
            <w:shd w:val="clear" w:color="auto" w:fill="auto"/>
          </w:tcPr>
          <w:p w14:paraId="0D1BF6BB" w14:textId="77777777" w:rsidR="004D1382" w:rsidRPr="00A9731E" w:rsidRDefault="004D1382" w:rsidP="00651B43">
            <w:pPr>
              <w:pStyle w:val="UtilComTabletext"/>
              <w:jc w:val="right"/>
            </w:pPr>
            <w:r w:rsidRPr="00A9731E">
              <w:t xml:space="preserve"> 1,743,346 </w:t>
            </w:r>
          </w:p>
        </w:tc>
        <w:tc>
          <w:tcPr>
            <w:tcW w:w="1134" w:type="dxa"/>
            <w:tcBorders>
              <w:top w:val="single" w:sz="4" w:space="0" w:color="999999"/>
              <w:bottom w:val="single" w:sz="4" w:space="0" w:color="000000"/>
            </w:tcBorders>
            <w:shd w:val="clear" w:color="auto" w:fill="auto"/>
          </w:tcPr>
          <w:p w14:paraId="04D50FD8" w14:textId="77777777" w:rsidR="004D1382" w:rsidRPr="00A9731E" w:rsidRDefault="004D1382" w:rsidP="00651B43">
            <w:pPr>
              <w:pStyle w:val="UtilComTabletext"/>
              <w:jc w:val="right"/>
            </w:pPr>
            <w:r w:rsidRPr="00A9731E">
              <w:t xml:space="preserve"> 1,764,240 </w:t>
            </w:r>
          </w:p>
        </w:tc>
        <w:tc>
          <w:tcPr>
            <w:tcW w:w="1134" w:type="dxa"/>
            <w:tcBorders>
              <w:top w:val="single" w:sz="4" w:space="0" w:color="999999"/>
              <w:bottom w:val="single" w:sz="4" w:space="0" w:color="000000"/>
            </w:tcBorders>
          </w:tcPr>
          <w:p w14:paraId="7CCD95E0" w14:textId="77777777" w:rsidR="004D1382" w:rsidRPr="00A9731E" w:rsidRDefault="004D1382" w:rsidP="00651B43">
            <w:pPr>
              <w:pStyle w:val="UtilComTabletext"/>
              <w:jc w:val="right"/>
            </w:pPr>
            <w:r w:rsidRPr="00A9731E">
              <w:t xml:space="preserve"> 1,768,815 </w:t>
            </w:r>
          </w:p>
        </w:tc>
        <w:tc>
          <w:tcPr>
            <w:tcW w:w="1134" w:type="dxa"/>
            <w:tcBorders>
              <w:top w:val="single" w:sz="4" w:space="0" w:color="999999"/>
              <w:bottom w:val="single" w:sz="4" w:space="0" w:color="000000"/>
            </w:tcBorders>
          </w:tcPr>
          <w:p w14:paraId="75FBAC5B" w14:textId="77777777" w:rsidR="004D1382" w:rsidRPr="00A9731E" w:rsidRDefault="004D1382" w:rsidP="00651B43">
            <w:pPr>
              <w:pStyle w:val="UtilComTabletext"/>
              <w:jc w:val="right"/>
            </w:pPr>
            <w:r w:rsidRPr="00A9731E">
              <w:t xml:space="preserve"> 1,779,910 </w:t>
            </w:r>
          </w:p>
        </w:tc>
        <w:tc>
          <w:tcPr>
            <w:tcW w:w="1134" w:type="dxa"/>
            <w:tcBorders>
              <w:top w:val="single" w:sz="4" w:space="0" w:color="999999"/>
              <w:bottom w:val="single" w:sz="4" w:space="0" w:color="000000"/>
            </w:tcBorders>
          </w:tcPr>
          <w:p w14:paraId="5310142C" w14:textId="77777777" w:rsidR="004D1382" w:rsidRDefault="004D1382" w:rsidP="00651B43">
            <w:pPr>
              <w:pStyle w:val="UtilComTabletext"/>
              <w:jc w:val="right"/>
            </w:pPr>
            <w:r w:rsidRPr="00A9731E">
              <w:t xml:space="preserve"> 1,791,075 </w:t>
            </w:r>
          </w:p>
        </w:tc>
        <w:tc>
          <w:tcPr>
            <w:tcW w:w="1418" w:type="dxa"/>
            <w:tcBorders>
              <w:top w:val="single" w:sz="4" w:space="0" w:color="999999"/>
              <w:bottom w:val="single" w:sz="4" w:space="0" w:color="000000"/>
            </w:tcBorders>
            <w:shd w:val="clear" w:color="auto" w:fill="auto"/>
          </w:tcPr>
          <w:p w14:paraId="2AE2B23A" w14:textId="77777777" w:rsidR="004D1382" w:rsidRPr="009F5F71" w:rsidRDefault="004D1382" w:rsidP="00651B43">
            <w:pPr>
              <w:pStyle w:val="UtilComTabletext"/>
              <w:jc w:val="right"/>
            </w:pPr>
            <w:r w:rsidRPr="009F5F71">
              <w:t>0.55</w:t>
            </w:r>
          </w:p>
        </w:tc>
      </w:tr>
    </w:tbl>
    <w:p w14:paraId="7C4B3BC9" w14:textId="77777777" w:rsidR="004D1382" w:rsidRPr="00E529C5" w:rsidRDefault="004D1382" w:rsidP="004D1382">
      <w:pPr>
        <w:pStyle w:val="UtilComReferenceSource"/>
        <w:rPr>
          <w:lang w:val="en-AU"/>
        </w:rPr>
      </w:pPr>
      <w:r>
        <w:rPr>
          <w:lang w:val="en-AU"/>
        </w:rPr>
        <w:t xml:space="preserve">Source: </w:t>
      </w:r>
      <w:r w:rsidR="009F5F71" w:rsidRPr="009F5F71">
        <w:rPr>
          <w:lang w:val="en-AU"/>
        </w:rPr>
        <w:t xml:space="preserve">Derived from PWC Networks, Regulatory proposal, September 2013, RIN templates 6.1, 6.2 </w:t>
      </w:r>
      <w:r w:rsidR="009537D2">
        <w:rPr>
          <w:lang w:val="en-AU"/>
        </w:rPr>
        <w:t>and</w:t>
      </w:r>
      <w:r w:rsidR="009537D2" w:rsidRPr="009F5F71">
        <w:rPr>
          <w:lang w:val="en-AU"/>
        </w:rPr>
        <w:t xml:space="preserve"> </w:t>
      </w:r>
      <w:r w:rsidR="009F5F71" w:rsidRPr="009F5F71">
        <w:rPr>
          <w:lang w:val="en-AU"/>
        </w:rPr>
        <w:t>6.3 (confidential)</w:t>
      </w:r>
    </w:p>
    <w:p w14:paraId="6D4196FC" w14:textId="4FB1BD09" w:rsidR="00844EC8" w:rsidRDefault="00844EC8" w:rsidP="00A806E4">
      <w:pPr>
        <w:pStyle w:val="NumberLevel2"/>
        <w:numPr>
          <w:ilvl w:val="1"/>
          <w:numId w:val="4"/>
        </w:numPr>
        <w:tabs>
          <w:tab w:val="num" w:pos="2278"/>
        </w:tabs>
        <w:ind w:left="709" w:hanging="709"/>
        <w:rPr>
          <w:lang w:val="en-AU"/>
        </w:rPr>
      </w:pPr>
      <w:r>
        <w:rPr>
          <w:lang w:val="en-AU"/>
        </w:rPr>
        <w:t xml:space="preserve">PWC Networks’ </w:t>
      </w:r>
      <w:r w:rsidR="00600E4F">
        <w:rPr>
          <w:lang w:val="en-AU"/>
        </w:rPr>
        <w:t xml:space="preserve">initial regulatory </w:t>
      </w:r>
      <w:r>
        <w:rPr>
          <w:lang w:val="en-AU"/>
        </w:rPr>
        <w:t>proposal identified that economic activity in the Territory is proceeding apace in comparison to muted global economic growth and slow</w:t>
      </w:r>
      <w:r w:rsidR="008E1179">
        <w:rPr>
          <w:lang w:val="en-AU"/>
        </w:rPr>
        <w:t>er</w:t>
      </w:r>
      <w:r>
        <w:rPr>
          <w:lang w:val="en-AU"/>
        </w:rPr>
        <w:t xml:space="preserve"> Australian economic growth. PWC </w:t>
      </w:r>
      <w:r w:rsidR="00711A49">
        <w:rPr>
          <w:lang w:val="en-AU"/>
        </w:rPr>
        <w:t xml:space="preserve">Networks </w:t>
      </w:r>
      <w:r w:rsidR="00003986">
        <w:rPr>
          <w:lang w:val="en-AU"/>
        </w:rPr>
        <w:t xml:space="preserve">highlighted </w:t>
      </w:r>
      <w:r>
        <w:rPr>
          <w:lang w:val="en-AU"/>
        </w:rPr>
        <w:t xml:space="preserve">the </w:t>
      </w:r>
      <w:r w:rsidR="0098067D">
        <w:rPr>
          <w:lang w:val="en-AU"/>
        </w:rPr>
        <w:t xml:space="preserve">INPEX Total joint venture </w:t>
      </w:r>
      <w:r>
        <w:rPr>
          <w:lang w:val="en-AU"/>
        </w:rPr>
        <w:t>Ichthys project</w:t>
      </w:r>
      <w:r w:rsidR="0098067D">
        <w:rPr>
          <w:lang w:val="en-AU"/>
        </w:rPr>
        <w:t xml:space="preserve"> (Ichthys)</w:t>
      </w:r>
      <w:r>
        <w:rPr>
          <w:lang w:val="en-AU"/>
        </w:rPr>
        <w:t xml:space="preserve"> and </w:t>
      </w:r>
      <w:r w:rsidR="008E1179">
        <w:rPr>
          <w:lang w:val="en-AU"/>
        </w:rPr>
        <w:t xml:space="preserve">noted that </w:t>
      </w:r>
      <w:r>
        <w:rPr>
          <w:lang w:val="en-AU"/>
        </w:rPr>
        <w:t xml:space="preserve">other private engineering construction, equipment and housing investments were at </w:t>
      </w:r>
      <w:r w:rsidR="008E1179">
        <w:rPr>
          <w:lang w:val="en-AU"/>
        </w:rPr>
        <w:t xml:space="preserve">very high </w:t>
      </w:r>
      <w:r>
        <w:rPr>
          <w:lang w:val="en-AU"/>
        </w:rPr>
        <w:t xml:space="preserve">levels. </w:t>
      </w:r>
    </w:p>
    <w:p w14:paraId="084A4340" w14:textId="3306917B" w:rsidR="00711A49" w:rsidRDefault="00844EC8" w:rsidP="00A806E4">
      <w:pPr>
        <w:pStyle w:val="NumberLevel2"/>
        <w:numPr>
          <w:ilvl w:val="1"/>
          <w:numId w:val="4"/>
        </w:numPr>
        <w:tabs>
          <w:tab w:val="num" w:pos="2278"/>
        </w:tabs>
        <w:ind w:left="709" w:hanging="709"/>
        <w:rPr>
          <w:lang w:val="en-AU"/>
        </w:rPr>
      </w:pPr>
      <w:r>
        <w:rPr>
          <w:lang w:val="en-AU"/>
        </w:rPr>
        <w:t xml:space="preserve">PWC Networks </w:t>
      </w:r>
      <w:r w:rsidR="008E1179">
        <w:rPr>
          <w:lang w:val="en-AU"/>
        </w:rPr>
        <w:t>noted</w:t>
      </w:r>
      <w:r>
        <w:rPr>
          <w:lang w:val="en-AU"/>
        </w:rPr>
        <w:t xml:space="preserve"> that Deloitte </w:t>
      </w:r>
      <w:r w:rsidR="008E1179">
        <w:rPr>
          <w:lang w:val="en-AU"/>
        </w:rPr>
        <w:t xml:space="preserve">had </w:t>
      </w:r>
      <w:r>
        <w:rPr>
          <w:lang w:val="en-AU"/>
        </w:rPr>
        <w:t>forecast</w:t>
      </w:r>
      <w:r w:rsidR="00711A49">
        <w:rPr>
          <w:lang w:val="en-AU"/>
        </w:rPr>
        <w:t>:</w:t>
      </w:r>
    </w:p>
    <w:p w14:paraId="2402B1EA" w14:textId="77777777" w:rsidR="00844EC8" w:rsidRDefault="000607E8" w:rsidP="004B63D8">
      <w:pPr>
        <w:pStyle w:val="UtilComQuotationText"/>
        <w:ind w:left="1134"/>
        <w:rPr>
          <w:lang w:val="en-AU"/>
        </w:rPr>
      </w:pPr>
      <w:r>
        <w:rPr>
          <w:lang w:val="en-AU"/>
        </w:rPr>
        <w:t>…</w:t>
      </w:r>
      <w:r w:rsidR="00844EC8" w:rsidRPr="005455AC">
        <w:rPr>
          <w:lang w:val="en-AU"/>
        </w:rPr>
        <w:t>average annual five-year economic growth rate for the Territory through to 2016-17 to be 4.5</w:t>
      </w:r>
      <w:r w:rsidR="001F54EF">
        <w:rPr>
          <w:lang w:val="en-AU"/>
        </w:rPr>
        <w:t> </w:t>
      </w:r>
      <w:r w:rsidR="00844EC8" w:rsidRPr="005455AC">
        <w:rPr>
          <w:lang w:val="en-AU"/>
        </w:rPr>
        <w:t xml:space="preserve">per cent compared to a national average annual growth rate of 3.0 per cent and is the highest growth rate of all jurisdictions over this period. </w:t>
      </w:r>
      <w:r w:rsidR="00711A49">
        <w:rPr>
          <w:lang w:val="en-AU"/>
        </w:rPr>
        <w:t>(page.47)</w:t>
      </w:r>
    </w:p>
    <w:p w14:paraId="16701250" w14:textId="5527AA5B" w:rsidR="00844EC8" w:rsidRDefault="00844EC8" w:rsidP="00A806E4">
      <w:pPr>
        <w:pStyle w:val="NumberLevel2"/>
        <w:numPr>
          <w:ilvl w:val="1"/>
          <w:numId w:val="4"/>
        </w:numPr>
        <w:tabs>
          <w:tab w:val="num" w:pos="2278"/>
        </w:tabs>
        <w:ind w:left="709" w:hanging="709"/>
        <w:rPr>
          <w:lang w:val="en-AU"/>
        </w:rPr>
      </w:pPr>
      <w:r>
        <w:rPr>
          <w:lang w:val="en-AU"/>
        </w:rPr>
        <w:t xml:space="preserve">PWC Networks identified high levels of economic activity evident in Territory </w:t>
      </w:r>
      <w:r w:rsidR="000607E8">
        <w:rPr>
          <w:lang w:val="en-AU"/>
        </w:rPr>
        <w:t xml:space="preserve">building approvals </w:t>
      </w:r>
      <w:r>
        <w:rPr>
          <w:lang w:val="en-AU"/>
        </w:rPr>
        <w:t>and increasing high rates of population growth</w:t>
      </w:r>
      <w:r w:rsidR="00003986">
        <w:rPr>
          <w:lang w:val="en-AU"/>
        </w:rPr>
        <w:t xml:space="preserve"> and</w:t>
      </w:r>
      <w:r w:rsidR="00D2786D">
        <w:rPr>
          <w:lang w:val="en-AU"/>
        </w:rPr>
        <w:t xml:space="preserve"> </w:t>
      </w:r>
      <w:r>
        <w:rPr>
          <w:lang w:val="en-AU"/>
        </w:rPr>
        <w:t>noted th</w:t>
      </w:r>
      <w:r w:rsidR="00980D81">
        <w:rPr>
          <w:lang w:val="en-AU"/>
        </w:rPr>
        <w:t>at the immediate to medium term</w:t>
      </w:r>
      <w:r>
        <w:rPr>
          <w:lang w:val="en-AU"/>
        </w:rPr>
        <w:t xml:space="preserve"> economic outlook was higher than average </w:t>
      </w:r>
      <w:r w:rsidR="00600E4F">
        <w:rPr>
          <w:lang w:val="en-AU"/>
        </w:rPr>
        <w:t xml:space="preserve">for the Territory </w:t>
      </w:r>
      <w:r>
        <w:rPr>
          <w:lang w:val="en-AU"/>
        </w:rPr>
        <w:t xml:space="preserve">and higher than national levels. </w:t>
      </w:r>
    </w:p>
    <w:p w14:paraId="647B324B" w14:textId="77777777" w:rsidR="00844EC8" w:rsidRDefault="00844EC8" w:rsidP="00A806E4">
      <w:pPr>
        <w:pStyle w:val="NumberLevel2"/>
        <w:numPr>
          <w:ilvl w:val="1"/>
          <w:numId w:val="4"/>
        </w:numPr>
        <w:tabs>
          <w:tab w:val="num" w:pos="2278"/>
        </w:tabs>
        <w:ind w:left="709" w:hanging="709"/>
        <w:rPr>
          <w:lang w:val="en-AU"/>
        </w:rPr>
      </w:pPr>
      <w:r>
        <w:rPr>
          <w:lang w:val="en-AU"/>
        </w:rPr>
        <w:t>PWC Networks identified that</w:t>
      </w:r>
      <w:r w:rsidR="000607E8">
        <w:rPr>
          <w:lang w:val="en-AU"/>
        </w:rPr>
        <w:t>,</w:t>
      </w:r>
      <w:r>
        <w:rPr>
          <w:lang w:val="en-AU"/>
        </w:rPr>
        <w:t xml:space="preserve"> although electricity </w:t>
      </w:r>
      <w:r w:rsidR="00D2786D">
        <w:rPr>
          <w:lang w:val="en-AU"/>
        </w:rPr>
        <w:t xml:space="preserve">demand </w:t>
      </w:r>
      <w:r>
        <w:rPr>
          <w:lang w:val="en-AU"/>
        </w:rPr>
        <w:t>is relatively price inelastic, the large increase in regulated retail prices on 1 January 2013 and further price</w:t>
      </w:r>
      <w:r w:rsidR="00D2786D">
        <w:rPr>
          <w:lang w:val="en-AU"/>
        </w:rPr>
        <w:t xml:space="preserve"> increases</w:t>
      </w:r>
      <w:r>
        <w:rPr>
          <w:lang w:val="en-AU"/>
        </w:rPr>
        <w:t xml:space="preserve"> from January 2014 were expected to have a</w:t>
      </w:r>
      <w:r w:rsidR="00D2786D">
        <w:rPr>
          <w:lang w:val="en-AU"/>
        </w:rPr>
        <w:t xml:space="preserve"> dampening</w:t>
      </w:r>
      <w:r>
        <w:rPr>
          <w:lang w:val="en-AU"/>
        </w:rPr>
        <w:t xml:space="preserve"> impact on energy consumption</w:t>
      </w:r>
      <w:r w:rsidR="0098067D">
        <w:rPr>
          <w:lang w:val="en-AU"/>
        </w:rPr>
        <w:t>.</w:t>
      </w:r>
      <w:r>
        <w:rPr>
          <w:lang w:val="en-AU"/>
        </w:rPr>
        <w:t xml:space="preserve"> </w:t>
      </w:r>
      <w:r w:rsidR="0098067D">
        <w:rPr>
          <w:lang w:val="en-AU"/>
        </w:rPr>
        <w:t>However</w:t>
      </w:r>
      <w:r w:rsidR="00D2786D">
        <w:rPr>
          <w:lang w:val="en-AU"/>
        </w:rPr>
        <w:t>,</w:t>
      </w:r>
      <w:r>
        <w:rPr>
          <w:lang w:val="en-AU"/>
        </w:rPr>
        <w:t xml:space="preserve"> the impact on maximum demand was expected to be much less significant. </w:t>
      </w:r>
    </w:p>
    <w:p w14:paraId="65456007" w14:textId="287F3705" w:rsidR="00844EC8" w:rsidRDefault="00844EC8" w:rsidP="00A806E4">
      <w:pPr>
        <w:pStyle w:val="NumberLevel2"/>
        <w:numPr>
          <w:ilvl w:val="1"/>
          <w:numId w:val="4"/>
        </w:numPr>
        <w:tabs>
          <w:tab w:val="num" w:pos="2278"/>
        </w:tabs>
        <w:ind w:left="709" w:hanging="709"/>
        <w:rPr>
          <w:lang w:val="en-AU"/>
        </w:rPr>
      </w:pPr>
      <w:r>
        <w:rPr>
          <w:lang w:val="en-AU"/>
        </w:rPr>
        <w:t xml:space="preserve">PWC Networks noted </w:t>
      </w:r>
      <w:r w:rsidR="00600E4F">
        <w:rPr>
          <w:lang w:val="en-AU"/>
        </w:rPr>
        <w:t xml:space="preserve">that there are </w:t>
      </w:r>
      <w:r>
        <w:rPr>
          <w:lang w:val="en-AU"/>
        </w:rPr>
        <w:t>rapidly increasing number</w:t>
      </w:r>
      <w:r w:rsidR="00600E4F">
        <w:rPr>
          <w:lang w:val="en-AU"/>
        </w:rPr>
        <w:t>s</w:t>
      </w:r>
      <w:r>
        <w:rPr>
          <w:lang w:val="en-AU"/>
        </w:rPr>
        <w:t xml:space="preserve"> </w:t>
      </w:r>
      <w:r w:rsidR="00D2786D">
        <w:rPr>
          <w:lang w:val="en-AU"/>
        </w:rPr>
        <w:t>o</w:t>
      </w:r>
      <w:r>
        <w:rPr>
          <w:lang w:val="en-AU"/>
        </w:rPr>
        <w:t>f photovoltaic (solar PV) installations</w:t>
      </w:r>
      <w:r w:rsidR="00600E4F">
        <w:rPr>
          <w:lang w:val="en-AU"/>
        </w:rPr>
        <w:t xml:space="preserve"> in the Territory</w:t>
      </w:r>
      <w:r>
        <w:rPr>
          <w:lang w:val="en-AU"/>
        </w:rPr>
        <w:t>, predomina</w:t>
      </w:r>
      <w:r w:rsidR="00D2786D">
        <w:rPr>
          <w:lang w:val="en-AU"/>
        </w:rPr>
        <w:t>n</w:t>
      </w:r>
      <w:r>
        <w:rPr>
          <w:lang w:val="en-AU"/>
        </w:rPr>
        <w:t>tly at domestic and small commercial premises</w:t>
      </w:r>
      <w:r w:rsidR="006F0659">
        <w:rPr>
          <w:lang w:val="en-AU"/>
        </w:rPr>
        <w:t xml:space="preserve"> </w:t>
      </w:r>
      <w:r w:rsidR="00600E4F">
        <w:rPr>
          <w:lang w:val="en-AU"/>
        </w:rPr>
        <w:t>and</w:t>
      </w:r>
      <w:r>
        <w:rPr>
          <w:lang w:val="en-AU"/>
        </w:rPr>
        <w:t xml:space="preserve"> that while </w:t>
      </w:r>
      <w:r w:rsidR="00600E4F">
        <w:rPr>
          <w:lang w:val="en-AU"/>
        </w:rPr>
        <w:t xml:space="preserve">those </w:t>
      </w:r>
      <w:r>
        <w:rPr>
          <w:lang w:val="en-AU"/>
        </w:rPr>
        <w:t>solar PV installations reduce</w:t>
      </w:r>
      <w:r w:rsidR="00003986">
        <w:rPr>
          <w:lang w:val="en-AU"/>
        </w:rPr>
        <w:t>d</w:t>
      </w:r>
      <w:r>
        <w:rPr>
          <w:lang w:val="en-AU"/>
        </w:rPr>
        <w:t xml:space="preserve"> the energy transmitted</w:t>
      </w:r>
      <w:r w:rsidR="00D2786D">
        <w:rPr>
          <w:lang w:val="en-AU"/>
        </w:rPr>
        <w:t>,</w:t>
      </w:r>
      <w:r>
        <w:rPr>
          <w:lang w:val="en-AU"/>
        </w:rPr>
        <w:t xml:space="preserve"> they d</w:t>
      </w:r>
      <w:r w:rsidR="00003986">
        <w:rPr>
          <w:lang w:val="en-AU"/>
        </w:rPr>
        <w:t xml:space="preserve">id </w:t>
      </w:r>
      <w:r>
        <w:rPr>
          <w:lang w:val="en-AU"/>
        </w:rPr>
        <w:t xml:space="preserve">not have a proportionate effect on </w:t>
      </w:r>
      <w:r w:rsidR="00600E4F">
        <w:rPr>
          <w:lang w:val="en-AU"/>
        </w:rPr>
        <w:t xml:space="preserve">maximum </w:t>
      </w:r>
      <w:r>
        <w:rPr>
          <w:lang w:val="en-AU"/>
        </w:rPr>
        <w:t xml:space="preserve">demand as output </w:t>
      </w:r>
      <w:r w:rsidR="00003986">
        <w:rPr>
          <w:lang w:val="en-AU"/>
        </w:rPr>
        <w:t xml:space="preserve">was </w:t>
      </w:r>
      <w:r>
        <w:rPr>
          <w:lang w:val="en-AU"/>
        </w:rPr>
        <w:t xml:space="preserve">intermittent. </w:t>
      </w:r>
    </w:p>
    <w:p w14:paraId="3181E541" w14:textId="77777777" w:rsidR="00844EC8" w:rsidRDefault="00844EC8" w:rsidP="00A806E4">
      <w:pPr>
        <w:pStyle w:val="NumberLevel2"/>
        <w:numPr>
          <w:ilvl w:val="1"/>
          <w:numId w:val="4"/>
        </w:numPr>
        <w:tabs>
          <w:tab w:val="num" w:pos="2278"/>
        </w:tabs>
        <w:ind w:left="709" w:hanging="709"/>
        <w:rPr>
          <w:lang w:val="en-AU"/>
        </w:rPr>
      </w:pPr>
      <w:r>
        <w:rPr>
          <w:lang w:val="en-AU"/>
        </w:rPr>
        <w:t xml:space="preserve">PWC Networks highlighted that its approach to network demand forecasting was documented in its Network Demand and Customer Connections Forecasting Procedure and that the approach was accepted as reasonable by the Commission in the Power System Review </w:t>
      </w:r>
      <w:r w:rsidR="00D2786D">
        <w:rPr>
          <w:lang w:val="en-AU"/>
        </w:rPr>
        <w:t xml:space="preserve">for </w:t>
      </w:r>
      <w:r>
        <w:rPr>
          <w:lang w:val="en-AU"/>
        </w:rPr>
        <w:t xml:space="preserve">2011-12. </w:t>
      </w:r>
    </w:p>
    <w:p w14:paraId="5F44B9FD" w14:textId="024B551C" w:rsidR="00844EC8" w:rsidRPr="00CF1B89" w:rsidRDefault="00844EC8" w:rsidP="00A806E4">
      <w:pPr>
        <w:pStyle w:val="NumberLevel2"/>
        <w:numPr>
          <w:ilvl w:val="1"/>
          <w:numId w:val="4"/>
        </w:numPr>
        <w:tabs>
          <w:tab w:val="num" w:pos="2278"/>
        </w:tabs>
        <w:ind w:left="709" w:hanging="709"/>
        <w:rPr>
          <w:lang w:val="en-AU"/>
        </w:rPr>
      </w:pPr>
      <w:r>
        <w:rPr>
          <w:lang w:val="en-AU"/>
        </w:rPr>
        <w:t xml:space="preserve">PWC </w:t>
      </w:r>
      <w:r w:rsidR="00D2786D">
        <w:rPr>
          <w:lang w:val="en-AU"/>
        </w:rPr>
        <w:t xml:space="preserve">Networks </w:t>
      </w:r>
      <w:r w:rsidR="00600E4F">
        <w:rPr>
          <w:lang w:val="en-AU"/>
        </w:rPr>
        <w:t xml:space="preserve">stated </w:t>
      </w:r>
      <w:r>
        <w:rPr>
          <w:lang w:val="en-AU"/>
        </w:rPr>
        <w:t>that global demand forecasts provided an indication of overall trends in network regions</w:t>
      </w:r>
      <w:r w:rsidR="00711A49">
        <w:rPr>
          <w:lang w:val="en-AU"/>
        </w:rPr>
        <w:t xml:space="preserve">. The </w:t>
      </w:r>
      <w:r w:rsidR="00600E4F">
        <w:rPr>
          <w:lang w:val="en-AU"/>
        </w:rPr>
        <w:t xml:space="preserve">global demand forecasts </w:t>
      </w:r>
      <w:r>
        <w:rPr>
          <w:lang w:val="en-AU"/>
        </w:rPr>
        <w:t xml:space="preserve">did not directly relate to the incidence of </w:t>
      </w:r>
      <w:r w:rsidR="00711A49">
        <w:rPr>
          <w:lang w:val="en-AU"/>
        </w:rPr>
        <w:t>growth-</w:t>
      </w:r>
      <w:r>
        <w:rPr>
          <w:lang w:val="en-AU"/>
        </w:rPr>
        <w:t xml:space="preserve">related capex but rather were used as a check to ensure the sum of spatial demand forecasts, which influence both capex and opex, </w:t>
      </w:r>
      <w:r w:rsidR="00600E4F">
        <w:rPr>
          <w:lang w:val="en-AU"/>
        </w:rPr>
        <w:t xml:space="preserve">were </w:t>
      </w:r>
      <w:r>
        <w:rPr>
          <w:lang w:val="en-AU"/>
        </w:rPr>
        <w:t xml:space="preserve">in reasonable alignment. </w:t>
      </w:r>
    </w:p>
    <w:p w14:paraId="6AA014C5" w14:textId="7884A889" w:rsidR="004D1382" w:rsidRDefault="004D1382" w:rsidP="004D1382">
      <w:pPr>
        <w:pStyle w:val="UtilComHeading2"/>
      </w:pPr>
      <w:bookmarkStart w:id="137" w:name="_Toc373833976"/>
      <w:bookmarkStart w:id="138" w:name="_Toc385241492"/>
      <w:bookmarkStart w:id="139" w:name="_Toc386013045"/>
      <w:r>
        <w:t>Submissions</w:t>
      </w:r>
      <w:bookmarkEnd w:id="137"/>
      <w:r w:rsidR="00CD2A05">
        <w:t xml:space="preserve"> on </w:t>
      </w:r>
      <w:r w:rsidR="003C0751">
        <w:t xml:space="preserve">Initial Regulatory </w:t>
      </w:r>
      <w:bookmarkEnd w:id="138"/>
      <w:r w:rsidR="003C0751">
        <w:t>Proposal</w:t>
      </w:r>
      <w:bookmarkEnd w:id="139"/>
    </w:p>
    <w:p w14:paraId="1A49BF0E" w14:textId="496DC43D" w:rsidR="00844EC8" w:rsidRDefault="00844EC8" w:rsidP="00A806E4">
      <w:pPr>
        <w:pStyle w:val="NumberLevel2"/>
        <w:numPr>
          <w:ilvl w:val="1"/>
          <w:numId w:val="4"/>
        </w:numPr>
        <w:tabs>
          <w:tab w:val="num" w:pos="2278"/>
        </w:tabs>
        <w:ind w:left="709" w:hanging="709"/>
        <w:rPr>
          <w:lang w:val="en-AU"/>
        </w:rPr>
      </w:pPr>
      <w:r>
        <w:rPr>
          <w:lang w:val="en-AU"/>
        </w:rPr>
        <w:t xml:space="preserve">PWC </w:t>
      </w:r>
      <w:r w:rsidR="00D2786D">
        <w:rPr>
          <w:lang w:val="en-AU"/>
        </w:rPr>
        <w:t xml:space="preserve">Networks </w:t>
      </w:r>
      <w:r w:rsidR="009D4EE6">
        <w:rPr>
          <w:lang w:val="en-AU"/>
        </w:rPr>
        <w:t xml:space="preserve">proposed </w:t>
      </w:r>
      <w:r>
        <w:rPr>
          <w:lang w:val="en-AU"/>
        </w:rPr>
        <w:t xml:space="preserve">that </w:t>
      </w:r>
      <w:r w:rsidR="00D2786D">
        <w:rPr>
          <w:lang w:val="en-AU"/>
        </w:rPr>
        <w:t xml:space="preserve">electricity </w:t>
      </w:r>
      <w:r>
        <w:rPr>
          <w:lang w:val="en-AU"/>
        </w:rPr>
        <w:t xml:space="preserve">demand would continue to grow over the </w:t>
      </w:r>
      <w:r w:rsidR="009D4EE6">
        <w:rPr>
          <w:lang w:val="en-AU"/>
        </w:rPr>
        <w:t>2014-19 regulatory control</w:t>
      </w:r>
      <w:r>
        <w:rPr>
          <w:lang w:val="en-AU"/>
        </w:rPr>
        <w:t xml:space="preserve"> period. </w:t>
      </w:r>
      <w:r w:rsidR="009D4EE6">
        <w:rPr>
          <w:lang w:val="en-AU"/>
        </w:rPr>
        <w:t xml:space="preserve">As an </w:t>
      </w:r>
      <w:r>
        <w:rPr>
          <w:lang w:val="en-AU"/>
        </w:rPr>
        <w:t>example</w:t>
      </w:r>
      <w:r w:rsidR="00711A49">
        <w:rPr>
          <w:lang w:val="en-AU"/>
        </w:rPr>
        <w:t>,</w:t>
      </w:r>
      <w:r>
        <w:rPr>
          <w:lang w:val="en-AU"/>
        </w:rPr>
        <w:t xml:space="preserve"> PWC</w:t>
      </w:r>
      <w:r w:rsidR="00D2786D">
        <w:rPr>
          <w:lang w:val="en-AU"/>
        </w:rPr>
        <w:t xml:space="preserve"> Networks</w:t>
      </w:r>
      <w:r>
        <w:rPr>
          <w:lang w:val="en-AU"/>
        </w:rPr>
        <w:t xml:space="preserve"> referred to average annual growth forecast for the Territory to </w:t>
      </w:r>
      <w:r w:rsidR="00003986">
        <w:rPr>
          <w:lang w:val="en-AU"/>
        </w:rPr>
        <w:t xml:space="preserve">the </w:t>
      </w:r>
      <w:r>
        <w:rPr>
          <w:lang w:val="en-AU"/>
        </w:rPr>
        <w:t>2016-17</w:t>
      </w:r>
      <w:r w:rsidR="001F54EF">
        <w:rPr>
          <w:lang w:val="en-AU"/>
        </w:rPr>
        <w:t xml:space="preserve"> </w:t>
      </w:r>
      <w:r w:rsidR="00003986">
        <w:rPr>
          <w:lang w:val="en-AU"/>
        </w:rPr>
        <w:t xml:space="preserve">regulatory year </w:t>
      </w:r>
      <w:r w:rsidR="001F54EF">
        <w:rPr>
          <w:lang w:val="en-AU"/>
        </w:rPr>
        <w:t>of 4.</w:t>
      </w:r>
      <w:r w:rsidR="009D4EE6">
        <w:rPr>
          <w:lang w:val="en-AU"/>
        </w:rPr>
        <w:t>5 per </w:t>
      </w:r>
      <w:r w:rsidR="001F54EF">
        <w:rPr>
          <w:lang w:val="en-AU"/>
        </w:rPr>
        <w:t xml:space="preserve">cent compared to </w:t>
      </w:r>
      <w:r w:rsidR="009D4EE6">
        <w:rPr>
          <w:lang w:val="en-AU"/>
        </w:rPr>
        <w:t>a 3 per </w:t>
      </w:r>
      <w:r>
        <w:rPr>
          <w:lang w:val="en-AU"/>
        </w:rPr>
        <w:t>cent annual average growth nationally.</w:t>
      </w:r>
      <w:r>
        <w:rPr>
          <w:rStyle w:val="FootnoteReference"/>
          <w:lang w:val="en-AU"/>
        </w:rPr>
        <w:footnoteReference w:id="38"/>
      </w:r>
      <w:r>
        <w:rPr>
          <w:lang w:val="en-AU"/>
        </w:rPr>
        <w:t xml:space="preserve"> </w:t>
      </w:r>
      <w:r w:rsidR="009D4EE6">
        <w:rPr>
          <w:lang w:val="en-AU"/>
        </w:rPr>
        <w:t>In addition</w:t>
      </w:r>
      <w:r w:rsidR="00711A49">
        <w:rPr>
          <w:lang w:val="en-AU"/>
        </w:rPr>
        <w:t>,</w:t>
      </w:r>
      <w:r>
        <w:rPr>
          <w:lang w:val="en-AU"/>
        </w:rPr>
        <w:t xml:space="preserve"> PWC</w:t>
      </w:r>
      <w:r w:rsidR="00D2786D">
        <w:rPr>
          <w:lang w:val="en-AU"/>
        </w:rPr>
        <w:t xml:space="preserve"> Networks</w:t>
      </w:r>
      <w:r>
        <w:rPr>
          <w:lang w:val="en-AU"/>
        </w:rPr>
        <w:t xml:space="preserve"> referred to the population</w:t>
      </w:r>
      <w:r w:rsidR="00D2786D">
        <w:rPr>
          <w:lang w:val="en-AU"/>
        </w:rPr>
        <w:t xml:space="preserve"> growth rate</w:t>
      </w:r>
      <w:r>
        <w:rPr>
          <w:lang w:val="en-AU"/>
        </w:rPr>
        <w:t xml:space="preserve"> forecast for </w:t>
      </w:r>
      <w:r w:rsidR="0031314C">
        <w:rPr>
          <w:lang w:val="en-AU"/>
        </w:rPr>
        <w:t xml:space="preserve">the </w:t>
      </w:r>
      <w:r>
        <w:rPr>
          <w:lang w:val="en-AU"/>
        </w:rPr>
        <w:t xml:space="preserve">2016-17 </w:t>
      </w:r>
      <w:r w:rsidR="0031314C">
        <w:rPr>
          <w:lang w:val="en-AU"/>
        </w:rPr>
        <w:t xml:space="preserve">regulatory year </w:t>
      </w:r>
      <w:r>
        <w:rPr>
          <w:lang w:val="en-AU"/>
        </w:rPr>
        <w:t>of 1.7 per cent</w:t>
      </w:r>
      <w:r w:rsidR="00D2786D">
        <w:rPr>
          <w:lang w:val="en-AU"/>
        </w:rPr>
        <w:t>,</w:t>
      </w:r>
      <w:r>
        <w:rPr>
          <w:lang w:val="en-AU"/>
        </w:rPr>
        <w:t xml:space="preserve"> compared to 1.6 per cent nationally</w:t>
      </w:r>
      <w:r w:rsidR="00D2786D">
        <w:rPr>
          <w:lang w:val="en-AU"/>
        </w:rPr>
        <w:t>,</w:t>
      </w:r>
      <w:r w:rsidR="00711A49">
        <w:rPr>
          <w:lang w:val="en-AU"/>
        </w:rPr>
        <w:t xml:space="preserve"> and </w:t>
      </w:r>
      <w:r>
        <w:rPr>
          <w:lang w:val="en-AU"/>
        </w:rPr>
        <w:t xml:space="preserve">up from 1.4 per cent in </w:t>
      </w:r>
      <w:r w:rsidR="0031314C">
        <w:rPr>
          <w:lang w:val="en-AU"/>
        </w:rPr>
        <w:t xml:space="preserve">the </w:t>
      </w:r>
      <w:r>
        <w:rPr>
          <w:lang w:val="en-AU"/>
        </w:rPr>
        <w:t>2013</w:t>
      </w:r>
      <w:r w:rsidR="00711A49">
        <w:rPr>
          <w:lang w:val="en-AU"/>
        </w:rPr>
        <w:noBreakHyphen/>
      </w:r>
      <w:r>
        <w:rPr>
          <w:lang w:val="en-AU"/>
        </w:rPr>
        <w:t>14</w:t>
      </w:r>
      <w:r w:rsidR="0031314C">
        <w:rPr>
          <w:lang w:val="en-AU"/>
        </w:rPr>
        <w:t xml:space="preserve"> regulatory year</w:t>
      </w:r>
      <w:r>
        <w:rPr>
          <w:lang w:val="en-AU"/>
        </w:rPr>
        <w:t>.</w:t>
      </w:r>
      <w:r>
        <w:rPr>
          <w:rStyle w:val="FootnoteReference"/>
          <w:lang w:val="en-AU"/>
        </w:rPr>
        <w:footnoteReference w:id="39"/>
      </w:r>
    </w:p>
    <w:p w14:paraId="1A334EBC" w14:textId="148A3D4A" w:rsidR="00844EC8" w:rsidRDefault="00844EC8" w:rsidP="00A806E4">
      <w:pPr>
        <w:pStyle w:val="NumberLevel2"/>
        <w:numPr>
          <w:ilvl w:val="1"/>
          <w:numId w:val="4"/>
        </w:numPr>
        <w:tabs>
          <w:tab w:val="num" w:pos="2278"/>
        </w:tabs>
        <w:ind w:left="709" w:hanging="709"/>
        <w:rPr>
          <w:lang w:val="en-AU"/>
        </w:rPr>
      </w:pPr>
      <w:r>
        <w:rPr>
          <w:lang w:val="en-AU"/>
        </w:rPr>
        <w:t>The NTMEU submitted that PWC</w:t>
      </w:r>
      <w:r w:rsidR="00D2786D">
        <w:rPr>
          <w:lang w:val="en-AU"/>
        </w:rPr>
        <w:t xml:space="preserve"> </w:t>
      </w:r>
      <w:r w:rsidR="0098067D">
        <w:rPr>
          <w:lang w:val="en-AU"/>
        </w:rPr>
        <w:t>Networks’</w:t>
      </w:r>
      <w:r>
        <w:rPr>
          <w:lang w:val="en-AU"/>
        </w:rPr>
        <w:t xml:space="preserve"> </w:t>
      </w:r>
      <w:r w:rsidR="009D4EE6">
        <w:rPr>
          <w:lang w:val="en-AU"/>
        </w:rPr>
        <w:t xml:space="preserve">demand </w:t>
      </w:r>
      <w:r>
        <w:rPr>
          <w:lang w:val="en-AU"/>
        </w:rPr>
        <w:t>forecasts were likely to be overstated as a result of reliance on overly optimistic growth expectations.</w:t>
      </w:r>
      <w:r>
        <w:rPr>
          <w:rStyle w:val="FootnoteReference"/>
          <w:lang w:val="en-AU"/>
        </w:rPr>
        <w:footnoteReference w:id="40"/>
      </w:r>
    </w:p>
    <w:p w14:paraId="3D60432F" w14:textId="71264D2D" w:rsidR="00844EC8" w:rsidRDefault="00844EC8" w:rsidP="00A806E4">
      <w:pPr>
        <w:pStyle w:val="NumberLevel2"/>
        <w:numPr>
          <w:ilvl w:val="1"/>
          <w:numId w:val="4"/>
        </w:numPr>
        <w:tabs>
          <w:tab w:val="num" w:pos="2278"/>
        </w:tabs>
        <w:ind w:left="709" w:hanging="709"/>
        <w:rPr>
          <w:lang w:val="en-AU"/>
        </w:rPr>
      </w:pPr>
      <w:r>
        <w:rPr>
          <w:lang w:val="en-AU"/>
        </w:rPr>
        <w:t xml:space="preserve">NTCOSS implicitly addressed demand growth forecasts, </w:t>
      </w:r>
      <w:r w:rsidR="00D2786D">
        <w:rPr>
          <w:lang w:val="en-AU"/>
        </w:rPr>
        <w:t xml:space="preserve">noting </w:t>
      </w:r>
      <w:r>
        <w:rPr>
          <w:lang w:val="en-AU"/>
        </w:rPr>
        <w:t>that growth in the number of low income households or the elderly would</w:t>
      </w:r>
      <w:r w:rsidR="00711A49">
        <w:rPr>
          <w:lang w:val="en-AU"/>
        </w:rPr>
        <w:t>,</w:t>
      </w:r>
      <w:r>
        <w:rPr>
          <w:lang w:val="en-AU"/>
        </w:rPr>
        <w:t xml:space="preserve"> in turn</w:t>
      </w:r>
      <w:r w:rsidR="00711A49">
        <w:rPr>
          <w:lang w:val="en-AU"/>
        </w:rPr>
        <w:t>,</w:t>
      </w:r>
      <w:r>
        <w:rPr>
          <w:lang w:val="en-AU"/>
        </w:rPr>
        <w:t xml:space="preserve"> raise affordability issues and imply potential growth in </w:t>
      </w:r>
      <w:r w:rsidR="00D2786D">
        <w:rPr>
          <w:lang w:val="en-AU"/>
        </w:rPr>
        <w:t xml:space="preserve">electricity </w:t>
      </w:r>
      <w:r>
        <w:rPr>
          <w:lang w:val="en-AU"/>
        </w:rPr>
        <w:t>demand as more residents would be at home during the day and using more electricity on ai</w:t>
      </w:r>
      <w:r w:rsidR="007A0D96">
        <w:rPr>
          <w:lang w:val="en-AU"/>
        </w:rPr>
        <w:t>r</w:t>
      </w:r>
      <w:r w:rsidR="004D42E0">
        <w:rPr>
          <w:lang w:val="en-AU"/>
        </w:rPr>
        <w:t>-</w:t>
      </w:r>
      <w:r>
        <w:rPr>
          <w:lang w:val="en-AU"/>
        </w:rPr>
        <w:t xml:space="preserve">conditioning, cooking and entertainment. NTCOSS provided no data to support the argument that there was likely to </w:t>
      </w:r>
      <w:r w:rsidR="00D2786D">
        <w:rPr>
          <w:lang w:val="en-AU"/>
        </w:rPr>
        <w:t xml:space="preserve">be </w:t>
      </w:r>
      <w:r>
        <w:rPr>
          <w:lang w:val="en-AU"/>
        </w:rPr>
        <w:t xml:space="preserve">growth in low income households in </w:t>
      </w:r>
      <w:r w:rsidR="00D2786D">
        <w:rPr>
          <w:lang w:val="en-AU"/>
        </w:rPr>
        <w:t xml:space="preserve">the </w:t>
      </w:r>
      <w:r>
        <w:rPr>
          <w:lang w:val="en-AU"/>
        </w:rPr>
        <w:t xml:space="preserve">Territory or </w:t>
      </w:r>
      <w:r w:rsidR="00711A49">
        <w:rPr>
          <w:lang w:val="en-AU"/>
        </w:rPr>
        <w:t xml:space="preserve">an increase in </w:t>
      </w:r>
      <w:r w:rsidR="00D2786D">
        <w:rPr>
          <w:lang w:val="en-AU"/>
        </w:rPr>
        <w:t xml:space="preserve">the daily </w:t>
      </w:r>
      <w:r>
        <w:rPr>
          <w:lang w:val="en-AU"/>
        </w:rPr>
        <w:t xml:space="preserve">usage patterns </w:t>
      </w:r>
      <w:r w:rsidR="00D2786D">
        <w:rPr>
          <w:lang w:val="en-AU"/>
        </w:rPr>
        <w:t>of such households</w:t>
      </w:r>
      <w:r>
        <w:rPr>
          <w:lang w:val="en-AU"/>
        </w:rPr>
        <w:t>.</w:t>
      </w:r>
    </w:p>
    <w:p w14:paraId="130E28B6" w14:textId="77777777" w:rsidR="0031314C" w:rsidRPr="0031314C" w:rsidRDefault="00844EC8" w:rsidP="00A806E4">
      <w:pPr>
        <w:pStyle w:val="NumberLevel2"/>
        <w:numPr>
          <w:ilvl w:val="1"/>
          <w:numId w:val="4"/>
        </w:numPr>
        <w:tabs>
          <w:tab w:val="num" w:pos="2278"/>
        </w:tabs>
        <w:ind w:left="709" w:hanging="709"/>
        <w:rPr>
          <w:lang w:val="en-AU"/>
        </w:rPr>
      </w:pPr>
      <w:r>
        <w:rPr>
          <w:lang w:val="en-AU"/>
        </w:rPr>
        <w:t>NTCOSS argued that wage</w:t>
      </w:r>
      <w:r w:rsidR="00D2786D">
        <w:rPr>
          <w:lang w:val="en-AU"/>
        </w:rPr>
        <w:t>s</w:t>
      </w:r>
      <w:r>
        <w:rPr>
          <w:lang w:val="en-AU"/>
        </w:rPr>
        <w:t xml:space="preserve"> growth in </w:t>
      </w:r>
      <w:r w:rsidR="00980D81">
        <w:rPr>
          <w:lang w:val="en-AU"/>
        </w:rPr>
        <w:t xml:space="preserve">the </w:t>
      </w:r>
      <w:r>
        <w:rPr>
          <w:lang w:val="en-AU"/>
        </w:rPr>
        <w:t>Territory, one factor influencing the economic outlook identified in PWC</w:t>
      </w:r>
      <w:r w:rsidR="00D2786D">
        <w:rPr>
          <w:lang w:val="en-AU"/>
        </w:rPr>
        <w:t xml:space="preserve"> </w:t>
      </w:r>
      <w:r w:rsidR="00A44F35">
        <w:rPr>
          <w:lang w:val="en-AU"/>
        </w:rPr>
        <w:t xml:space="preserve">Networks’ </w:t>
      </w:r>
      <w:r>
        <w:rPr>
          <w:lang w:val="en-AU"/>
        </w:rPr>
        <w:t xml:space="preserve">regulatory proposal, did </w:t>
      </w:r>
      <w:r>
        <w:rPr>
          <w:szCs w:val="22"/>
        </w:rPr>
        <w:t xml:space="preserve">not extend to all </w:t>
      </w:r>
      <w:r w:rsidR="002B3B76">
        <w:rPr>
          <w:szCs w:val="22"/>
        </w:rPr>
        <w:t>retail customers</w:t>
      </w:r>
      <w:r>
        <w:rPr>
          <w:szCs w:val="22"/>
        </w:rPr>
        <w:t xml:space="preserve">, particularly those on low incomes who continue to struggle with existing electricity prices, let alone </w:t>
      </w:r>
      <w:r w:rsidR="00D2786D">
        <w:rPr>
          <w:szCs w:val="22"/>
        </w:rPr>
        <w:t xml:space="preserve">any </w:t>
      </w:r>
      <w:r>
        <w:rPr>
          <w:szCs w:val="22"/>
        </w:rPr>
        <w:t>future</w:t>
      </w:r>
      <w:r w:rsidR="00D2786D">
        <w:rPr>
          <w:szCs w:val="22"/>
        </w:rPr>
        <w:t xml:space="preserve"> increase</w:t>
      </w:r>
      <w:r>
        <w:rPr>
          <w:szCs w:val="22"/>
        </w:rPr>
        <w:t xml:space="preserve">. NTCOSS did not provide further details of this analysis. </w:t>
      </w:r>
    </w:p>
    <w:p w14:paraId="30FE4774" w14:textId="698D5C74" w:rsidR="00844EC8" w:rsidRPr="00A1201F" w:rsidRDefault="00844EC8" w:rsidP="00A806E4">
      <w:pPr>
        <w:pStyle w:val="NumberLevel2"/>
        <w:numPr>
          <w:ilvl w:val="1"/>
          <w:numId w:val="4"/>
        </w:numPr>
        <w:tabs>
          <w:tab w:val="num" w:pos="2278"/>
        </w:tabs>
        <w:ind w:left="709" w:hanging="709"/>
        <w:rPr>
          <w:lang w:val="en-AU"/>
        </w:rPr>
      </w:pPr>
      <w:r>
        <w:rPr>
          <w:szCs w:val="22"/>
        </w:rPr>
        <w:t xml:space="preserve">NTCOSS also commented that the growth in solar PV installations </w:t>
      </w:r>
      <w:r w:rsidR="0031314C">
        <w:rPr>
          <w:szCs w:val="22"/>
        </w:rPr>
        <w:t>was</w:t>
      </w:r>
      <w:r>
        <w:rPr>
          <w:szCs w:val="22"/>
        </w:rPr>
        <w:t xml:space="preserve"> not occurring in low income households and encouraged the Territory Government to find creative solutions to make energy efficiency measures more accessible to low income households.</w:t>
      </w:r>
    </w:p>
    <w:p w14:paraId="2607FDC4" w14:textId="6FF084F0" w:rsidR="00844EC8" w:rsidRPr="00A1201F" w:rsidRDefault="00844EC8" w:rsidP="00A806E4">
      <w:pPr>
        <w:pStyle w:val="NumberLevel2"/>
        <w:numPr>
          <w:ilvl w:val="1"/>
          <w:numId w:val="4"/>
        </w:numPr>
        <w:tabs>
          <w:tab w:val="num" w:pos="2278"/>
        </w:tabs>
        <w:ind w:left="709" w:hanging="709"/>
        <w:rPr>
          <w:lang w:val="en-AU"/>
        </w:rPr>
      </w:pPr>
      <w:r w:rsidRPr="00BD3A45">
        <w:rPr>
          <w:lang w:val="en-AU"/>
        </w:rPr>
        <w:t xml:space="preserve">Dr Clark noted in his submission that obtaining basic electricity system data on Territory </w:t>
      </w:r>
      <w:r w:rsidR="002B3B76">
        <w:rPr>
          <w:lang w:val="en-AU"/>
        </w:rPr>
        <w:t>electricity networks</w:t>
      </w:r>
      <w:r w:rsidR="002B3B76" w:rsidRPr="00BD3A45">
        <w:rPr>
          <w:lang w:val="en-AU"/>
        </w:rPr>
        <w:t xml:space="preserve"> </w:t>
      </w:r>
      <w:r w:rsidRPr="00BD3A45">
        <w:rPr>
          <w:lang w:val="en-AU"/>
        </w:rPr>
        <w:t>ha</w:t>
      </w:r>
      <w:r w:rsidR="0031314C">
        <w:rPr>
          <w:lang w:val="en-AU"/>
        </w:rPr>
        <w:t>d</w:t>
      </w:r>
      <w:r w:rsidRPr="00BD3A45">
        <w:rPr>
          <w:lang w:val="en-AU"/>
        </w:rPr>
        <w:t xml:space="preserve"> been difficult, therefore he had limited capacity to present quantitative arguments. Dr Clark advised that demand data for the Darwin</w:t>
      </w:r>
      <w:r w:rsidR="00A9000C">
        <w:rPr>
          <w:lang w:val="en-AU"/>
        </w:rPr>
        <w:noBreakHyphen/>
      </w:r>
      <w:r w:rsidRPr="00BD3A45">
        <w:rPr>
          <w:lang w:val="en-AU"/>
        </w:rPr>
        <w:t xml:space="preserve">Katherine </w:t>
      </w:r>
      <w:r w:rsidR="002B3B76">
        <w:rPr>
          <w:lang w:val="en-AU"/>
        </w:rPr>
        <w:t>electricity network</w:t>
      </w:r>
      <w:r w:rsidR="002B3B76" w:rsidRPr="00BD3A45">
        <w:rPr>
          <w:lang w:val="en-AU"/>
        </w:rPr>
        <w:t xml:space="preserve"> </w:t>
      </w:r>
      <w:r w:rsidRPr="00BD3A45">
        <w:rPr>
          <w:lang w:val="en-AU"/>
        </w:rPr>
        <w:t>had been obtained (and incorporated in modelling work examining the impact of solar</w:t>
      </w:r>
      <w:r w:rsidR="0098067D">
        <w:rPr>
          <w:lang w:val="en-AU"/>
        </w:rPr>
        <w:t xml:space="preserve"> </w:t>
      </w:r>
      <w:r w:rsidRPr="00BD3A45">
        <w:rPr>
          <w:lang w:val="en-AU"/>
        </w:rPr>
        <w:t>PV</w:t>
      </w:r>
      <w:r w:rsidR="002B3B76">
        <w:rPr>
          <w:lang w:val="en-AU"/>
        </w:rPr>
        <w:t xml:space="preserve"> installations</w:t>
      </w:r>
      <w:r w:rsidRPr="00BD3A45">
        <w:rPr>
          <w:lang w:val="en-AU"/>
        </w:rPr>
        <w:t>) from PWC</w:t>
      </w:r>
      <w:r w:rsidR="002B3B76">
        <w:rPr>
          <w:lang w:val="en-AU"/>
        </w:rPr>
        <w:t> Networks</w:t>
      </w:r>
      <w:r w:rsidR="00AE7ADB">
        <w:rPr>
          <w:lang w:val="en-AU"/>
        </w:rPr>
        <w:t>,</w:t>
      </w:r>
      <w:r w:rsidRPr="00BD3A45">
        <w:rPr>
          <w:lang w:val="en-AU"/>
        </w:rPr>
        <w:t xml:space="preserve"> but </w:t>
      </w:r>
      <w:r w:rsidR="00AE7ADB">
        <w:rPr>
          <w:lang w:val="en-AU"/>
        </w:rPr>
        <w:t xml:space="preserve">that it was </w:t>
      </w:r>
      <w:r w:rsidRPr="00BD3A45">
        <w:rPr>
          <w:lang w:val="en-AU"/>
        </w:rPr>
        <w:t>considered commercial-in-confidence</w:t>
      </w:r>
      <w:r w:rsidR="0098067D">
        <w:rPr>
          <w:lang w:val="en-AU"/>
        </w:rPr>
        <w:t>.</w:t>
      </w:r>
      <w:r w:rsidRPr="00BD3A45">
        <w:rPr>
          <w:lang w:val="en-AU"/>
        </w:rPr>
        <w:t xml:space="preserve"> </w:t>
      </w:r>
      <w:r w:rsidR="0098067D">
        <w:rPr>
          <w:lang w:val="en-AU"/>
        </w:rPr>
        <w:t>H</w:t>
      </w:r>
      <w:r w:rsidR="0098067D" w:rsidRPr="00BD3A45">
        <w:rPr>
          <w:lang w:val="en-AU"/>
        </w:rPr>
        <w:t xml:space="preserve">e </w:t>
      </w:r>
      <w:r w:rsidRPr="00BD3A45">
        <w:rPr>
          <w:lang w:val="en-AU"/>
        </w:rPr>
        <w:t>urged the Commission to act aggressively in facilitating data requests into the public domain in all cases except where a clear and strong case of commercial sensitivity exist</w:t>
      </w:r>
      <w:r w:rsidR="0031314C">
        <w:rPr>
          <w:lang w:val="en-AU"/>
        </w:rPr>
        <w:t>ed</w:t>
      </w:r>
      <w:r w:rsidRPr="00BD3A45">
        <w:rPr>
          <w:lang w:val="en-AU"/>
        </w:rPr>
        <w:t>.</w:t>
      </w:r>
    </w:p>
    <w:p w14:paraId="1B9F0CC4" w14:textId="58C68BE5" w:rsidR="00844EC8" w:rsidRPr="00CB6504" w:rsidRDefault="00844EC8" w:rsidP="00A806E4">
      <w:pPr>
        <w:pStyle w:val="NumberLevel2"/>
        <w:numPr>
          <w:ilvl w:val="1"/>
          <w:numId w:val="4"/>
        </w:numPr>
        <w:tabs>
          <w:tab w:val="num" w:pos="2278"/>
        </w:tabs>
        <w:ind w:left="709" w:hanging="709"/>
        <w:rPr>
          <w:lang w:val="en-AU"/>
        </w:rPr>
      </w:pPr>
      <w:r w:rsidRPr="00CB6504">
        <w:rPr>
          <w:lang w:val="en-AU"/>
        </w:rPr>
        <w:t>Dr Clark also submitted that the arrival of retail parity for solar</w:t>
      </w:r>
      <w:r w:rsidR="0098067D">
        <w:rPr>
          <w:lang w:val="en-AU"/>
        </w:rPr>
        <w:t xml:space="preserve"> </w:t>
      </w:r>
      <w:r w:rsidRPr="00CB6504">
        <w:rPr>
          <w:lang w:val="en-AU"/>
        </w:rPr>
        <w:t xml:space="preserve">PV </w:t>
      </w:r>
      <w:r w:rsidR="002B3B76">
        <w:rPr>
          <w:lang w:val="en-AU"/>
        </w:rPr>
        <w:t xml:space="preserve">installations </w:t>
      </w:r>
      <w:r w:rsidRPr="00CB6504">
        <w:rPr>
          <w:lang w:val="en-AU"/>
        </w:rPr>
        <w:t xml:space="preserve">represents a key challenge for </w:t>
      </w:r>
      <w:r w:rsidR="002B3B76">
        <w:rPr>
          <w:lang w:val="en-AU"/>
        </w:rPr>
        <w:t>PWC Networks</w:t>
      </w:r>
      <w:r w:rsidRPr="00CB6504">
        <w:rPr>
          <w:lang w:val="en-AU"/>
        </w:rPr>
        <w:t>, yet PWC</w:t>
      </w:r>
      <w:r w:rsidR="00AE7ADB">
        <w:rPr>
          <w:lang w:val="en-AU"/>
        </w:rPr>
        <w:t xml:space="preserve"> </w:t>
      </w:r>
      <w:r w:rsidR="00A44F35">
        <w:rPr>
          <w:lang w:val="en-AU"/>
        </w:rPr>
        <w:t>Networks’</w:t>
      </w:r>
      <w:r w:rsidR="00A44F35" w:rsidRPr="00CB6504">
        <w:rPr>
          <w:lang w:val="en-AU"/>
        </w:rPr>
        <w:t xml:space="preserve"> </w:t>
      </w:r>
      <w:r w:rsidR="002B3B76">
        <w:rPr>
          <w:lang w:val="en-AU"/>
        </w:rPr>
        <w:t xml:space="preserve">regulatory </w:t>
      </w:r>
      <w:r w:rsidRPr="00CB6504">
        <w:rPr>
          <w:lang w:val="en-AU"/>
        </w:rPr>
        <w:t xml:space="preserve">proposal </w:t>
      </w:r>
      <w:r w:rsidR="002B3B76">
        <w:rPr>
          <w:lang w:val="en-AU"/>
        </w:rPr>
        <w:t>made</w:t>
      </w:r>
      <w:r w:rsidR="002B3B76" w:rsidRPr="00CB6504">
        <w:rPr>
          <w:lang w:val="en-AU"/>
        </w:rPr>
        <w:t xml:space="preserve"> </w:t>
      </w:r>
      <w:r w:rsidRPr="00CB6504">
        <w:rPr>
          <w:lang w:val="en-AU"/>
        </w:rPr>
        <w:t>no material attempt to examine this challenge and it would be difficult for the Commission to make a rational assessme</w:t>
      </w:r>
      <w:r>
        <w:rPr>
          <w:lang w:val="en-AU"/>
        </w:rPr>
        <w:t xml:space="preserve">nt of the totality of PWC </w:t>
      </w:r>
      <w:r w:rsidR="00A44F35">
        <w:rPr>
          <w:lang w:val="en-AU"/>
        </w:rPr>
        <w:t xml:space="preserve">Networks’ </w:t>
      </w:r>
      <w:r>
        <w:rPr>
          <w:lang w:val="en-AU"/>
        </w:rPr>
        <w:t xml:space="preserve">proposal. </w:t>
      </w:r>
    </w:p>
    <w:p w14:paraId="3FB97666" w14:textId="55165DC2" w:rsidR="004D1382" w:rsidRDefault="004D1382" w:rsidP="004D1382">
      <w:pPr>
        <w:pStyle w:val="UtilComHeading2"/>
      </w:pPr>
      <w:bookmarkStart w:id="140" w:name="_Toc373833978"/>
      <w:bookmarkStart w:id="141" w:name="_Toc385241493"/>
      <w:bookmarkStart w:id="142" w:name="_Toc386013046"/>
      <w:r>
        <w:t xml:space="preserve">Issues and Commission’s </w:t>
      </w:r>
      <w:r w:rsidR="003C0751">
        <w:t xml:space="preserve">Initial </w:t>
      </w:r>
      <w:bookmarkEnd w:id="140"/>
      <w:bookmarkEnd w:id="141"/>
      <w:r w:rsidR="003C0751">
        <w:t>Considerations</w:t>
      </w:r>
      <w:bookmarkEnd w:id="142"/>
    </w:p>
    <w:p w14:paraId="48FFED90" w14:textId="53F1BE09" w:rsidR="00844EC8" w:rsidRDefault="00A549BB" w:rsidP="00A806E4">
      <w:pPr>
        <w:pStyle w:val="NumberLevel2"/>
        <w:numPr>
          <w:ilvl w:val="1"/>
          <w:numId w:val="4"/>
        </w:numPr>
        <w:tabs>
          <w:tab w:val="num" w:pos="709"/>
        </w:tabs>
        <w:ind w:left="709" w:hanging="709"/>
        <w:rPr>
          <w:lang w:val="en-AU"/>
        </w:rPr>
      </w:pPr>
      <w:r>
        <w:rPr>
          <w:lang w:val="en-AU"/>
        </w:rPr>
        <w:t>With technical advice from PB, the</w:t>
      </w:r>
      <w:r w:rsidR="00844EC8" w:rsidRPr="002301FD">
        <w:rPr>
          <w:lang w:val="en-AU"/>
        </w:rPr>
        <w:t xml:space="preserve"> Commission undertook a review of </w:t>
      </w:r>
      <w:r w:rsidR="00810ACA">
        <w:rPr>
          <w:lang w:val="en-AU"/>
        </w:rPr>
        <w:t>whether the</w:t>
      </w:r>
      <w:r w:rsidR="00844EC8" w:rsidRPr="002301FD">
        <w:rPr>
          <w:lang w:val="en-AU"/>
        </w:rPr>
        <w:t xml:space="preserve"> demand forecasts and projected growth scenarios </w:t>
      </w:r>
      <w:r w:rsidR="00810ACA">
        <w:rPr>
          <w:lang w:val="en-AU"/>
        </w:rPr>
        <w:t xml:space="preserve">proposed by PWC Networks were realistic </w:t>
      </w:r>
      <w:r w:rsidR="00844EC8" w:rsidRPr="002301FD">
        <w:rPr>
          <w:lang w:val="en-AU"/>
        </w:rPr>
        <w:t xml:space="preserve">using the principles set out in the NER as a guide. </w:t>
      </w:r>
      <w:r w:rsidR="00AE7ADB">
        <w:rPr>
          <w:lang w:val="en-AU"/>
        </w:rPr>
        <w:t>T</w:t>
      </w:r>
      <w:r w:rsidR="00844EC8" w:rsidRPr="002301FD">
        <w:rPr>
          <w:lang w:val="en-AU"/>
        </w:rPr>
        <w:t xml:space="preserve">he Commission reviewed the </w:t>
      </w:r>
      <w:r w:rsidR="00810ACA">
        <w:rPr>
          <w:lang w:val="en-AU"/>
        </w:rPr>
        <w:t xml:space="preserve">realism and </w:t>
      </w:r>
      <w:r w:rsidR="00844EC8" w:rsidRPr="002301FD">
        <w:rPr>
          <w:lang w:val="en-AU"/>
        </w:rPr>
        <w:t xml:space="preserve">reasonableness of the growth forecast, </w:t>
      </w:r>
      <w:r w:rsidR="00810ACA">
        <w:rPr>
          <w:lang w:val="en-AU"/>
        </w:rPr>
        <w:t xml:space="preserve">retail </w:t>
      </w:r>
      <w:r w:rsidR="00844EC8" w:rsidRPr="002301FD">
        <w:rPr>
          <w:lang w:val="en-AU"/>
        </w:rPr>
        <w:t xml:space="preserve">customer number forecast, projected </w:t>
      </w:r>
      <w:r w:rsidR="00810ACA">
        <w:rPr>
          <w:lang w:val="en-AU"/>
        </w:rPr>
        <w:t xml:space="preserve">retail </w:t>
      </w:r>
      <w:r w:rsidR="00844EC8" w:rsidRPr="002301FD">
        <w:rPr>
          <w:lang w:val="en-AU"/>
        </w:rPr>
        <w:t xml:space="preserve">customer usage </w:t>
      </w:r>
      <w:r w:rsidR="00844EC8">
        <w:rPr>
          <w:lang w:val="en-AU"/>
        </w:rPr>
        <w:t xml:space="preserve">and </w:t>
      </w:r>
      <w:r w:rsidR="00844EC8" w:rsidRPr="002301FD">
        <w:rPr>
          <w:lang w:val="en-AU"/>
        </w:rPr>
        <w:t>growth scenarios</w:t>
      </w:r>
      <w:r w:rsidR="00AE7ADB">
        <w:rPr>
          <w:lang w:val="en-AU"/>
        </w:rPr>
        <w:t xml:space="preserve"> in the </w:t>
      </w:r>
      <w:r w:rsidR="00AE7ADB" w:rsidRPr="002301FD">
        <w:rPr>
          <w:lang w:val="en-AU"/>
        </w:rPr>
        <w:t xml:space="preserve">documentation provided by </w:t>
      </w:r>
      <w:r w:rsidR="007207C3" w:rsidRPr="002301FD">
        <w:rPr>
          <w:lang w:val="en-AU"/>
        </w:rPr>
        <w:t>PWC</w:t>
      </w:r>
      <w:r w:rsidR="007207C3">
        <w:rPr>
          <w:lang w:val="en-AU"/>
        </w:rPr>
        <w:t> </w:t>
      </w:r>
      <w:r w:rsidR="00AE7ADB" w:rsidRPr="002301FD">
        <w:rPr>
          <w:lang w:val="en-AU"/>
        </w:rPr>
        <w:t>Networks</w:t>
      </w:r>
      <w:r w:rsidR="00844EC8">
        <w:rPr>
          <w:lang w:val="en-AU"/>
        </w:rPr>
        <w:t>.</w:t>
      </w:r>
    </w:p>
    <w:p w14:paraId="1D49843B" w14:textId="6B0660CE" w:rsidR="00844EC8" w:rsidRDefault="00844EC8" w:rsidP="00A806E4">
      <w:pPr>
        <w:pStyle w:val="NumberLevel2"/>
        <w:numPr>
          <w:ilvl w:val="1"/>
          <w:numId w:val="4"/>
        </w:numPr>
        <w:tabs>
          <w:tab w:val="num" w:pos="709"/>
        </w:tabs>
        <w:ind w:left="709" w:hanging="709"/>
        <w:rPr>
          <w:lang w:val="en-AU"/>
        </w:rPr>
      </w:pPr>
      <w:r>
        <w:rPr>
          <w:lang w:val="en-AU"/>
        </w:rPr>
        <w:t xml:space="preserve">The Commission </w:t>
      </w:r>
      <w:r w:rsidR="00CD2A05">
        <w:rPr>
          <w:lang w:val="en-AU"/>
        </w:rPr>
        <w:t xml:space="preserve">observed </w:t>
      </w:r>
      <w:r>
        <w:rPr>
          <w:lang w:val="en-AU"/>
        </w:rPr>
        <w:t xml:space="preserve">that PWC Networks’ </w:t>
      </w:r>
      <w:r w:rsidR="00810ACA">
        <w:rPr>
          <w:lang w:val="en-AU"/>
        </w:rPr>
        <w:t xml:space="preserve">demand </w:t>
      </w:r>
      <w:r>
        <w:rPr>
          <w:lang w:val="en-AU"/>
        </w:rPr>
        <w:t xml:space="preserve">forecasts tended to prefer data indicative of higher growth, which </w:t>
      </w:r>
      <w:r w:rsidR="00810ACA">
        <w:rPr>
          <w:lang w:val="en-AU"/>
        </w:rPr>
        <w:t xml:space="preserve">might </w:t>
      </w:r>
      <w:r>
        <w:rPr>
          <w:lang w:val="en-AU"/>
        </w:rPr>
        <w:t xml:space="preserve">not be sustainable over time and </w:t>
      </w:r>
      <w:r w:rsidR="00810ACA">
        <w:rPr>
          <w:lang w:val="en-AU"/>
        </w:rPr>
        <w:t xml:space="preserve">might </w:t>
      </w:r>
      <w:r>
        <w:rPr>
          <w:lang w:val="en-AU"/>
        </w:rPr>
        <w:t xml:space="preserve">not be supported by other indicators of potential demand. For example, building approvals </w:t>
      </w:r>
      <w:r w:rsidR="00810ACA">
        <w:rPr>
          <w:lang w:val="en-AU"/>
        </w:rPr>
        <w:t>were</w:t>
      </w:r>
      <w:r>
        <w:rPr>
          <w:lang w:val="en-AU"/>
        </w:rPr>
        <w:t xml:space="preserve"> relatively flat over the</w:t>
      </w:r>
      <w:r w:rsidRPr="00F77716">
        <w:rPr>
          <w:lang w:val="en-AU"/>
        </w:rPr>
        <w:t xml:space="preserve"> </w:t>
      </w:r>
      <w:r>
        <w:rPr>
          <w:lang w:val="en-AU"/>
        </w:rPr>
        <w:t xml:space="preserve">period </w:t>
      </w:r>
      <w:r w:rsidR="0031314C">
        <w:rPr>
          <w:lang w:val="en-AU"/>
        </w:rPr>
        <w:t xml:space="preserve">from </w:t>
      </w:r>
      <w:r>
        <w:rPr>
          <w:lang w:val="en-AU"/>
        </w:rPr>
        <w:t>June 2009 and June 2013.</w:t>
      </w:r>
      <w:r w:rsidRPr="00A549BB">
        <w:rPr>
          <w:rStyle w:val="FootnoteReference"/>
          <w:lang w:val="en-AU"/>
        </w:rPr>
        <w:footnoteReference w:id="41"/>
      </w:r>
      <w:r>
        <w:rPr>
          <w:lang w:val="en-AU"/>
        </w:rPr>
        <w:t xml:space="preserve"> Also, steeply rising penetration of solar PV </w:t>
      </w:r>
      <w:r w:rsidR="00810ACA">
        <w:rPr>
          <w:lang w:val="en-AU"/>
        </w:rPr>
        <w:t xml:space="preserve">installations </w:t>
      </w:r>
      <w:r>
        <w:rPr>
          <w:lang w:val="en-AU"/>
        </w:rPr>
        <w:t xml:space="preserve">in the </w:t>
      </w:r>
      <w:r w:rsidR="00810ACA">
        <w:rPr>
          <w:lang w:val="en-AU"/>
        </w:rPr>
        <w:t xml:space="preserve">Territory </w:t>
      </w:r>
      <w:r>
        <w:rPr>
          <w:lang w:val="en-AU"/>
        </w:rPr>
        <w:t>electricity market appear</w:t>
      </w:r>
      <w:r w:rsidR="0031314C">
        <w:rPr>
          <w:lang w:val="en-AU"/>
        </w:rPr>
        <w:t>ed</w:t>
      </w:r>
      <w:r>
        <w:rPr>
          <w:lang w:val="en-AU"/>
        </w:rPr>
        <w:t xml:space="preserve"> to indicate the contrary view: solar PV installation</w:t>
      </w:r>
      <w:r w:rsidRPr="00617532">
        <w:rPr>
          <w:lang w:val="en-AU"/>
        </w:rPr>
        <w:t xml:space="preserve"> </w:t>
      </w:r>
      <w:r>
        <w:rPr>
          <w:lang w:val="en-AU"/>
        </w:rPr>
        <w:t>applications have risen from 284 in 2010-11 to 579 in 2012</w:t>
      </w:r>
      <w:r w:rsidR="00A549BB">
        <w:rPr>
          <w:lang w:val="en-AU"/>
        </w:rPr>
        <w:noBreakHyphen/>
      </w:r>
      <w:r>
        <w:rPr>
          <w:lang w:val="en-AU"/>
        </w:rPr>
        <w:t>13.</w:t>
      </w:r>
      <w:r w:rsidRPr="00A549BB">
        <w:rPr>
          <w:rStyle w:val="FootnoteReference"/>
          <w:lang w:val="en-AU"/>
        </w:rPr>
        <w:footnoteReference w:id="42"/>
      </w:r>
      <w:r>
        <w:rPr>
          <w:lang w:val="en-AU"/>
        </w:rPr>
        <w:t xml:space="preserve"> The growth in penetration of solar PV </w:t>
      </w:r>
      <w:r w:rsidR="00810ACA">
        <w:rPr>
          <w:lang w:val="en-AU"/>
        </w:rPr>
        <w:t xml:space="preserve">installations </w:t>
      </w:r>
      <w:r>
        <w:rPr>
          <w:lang w:val="en-AU"/>
        </w:rPr>
        <w:t>combined with other energy efficiency incentives</w:t>
      </w:r>
      <w:r w:rsidR="0031314C">
        <w:rPr>
          <w:lang w:val="en-AU"/>
        </w:rPr>
        <w:t xml:space="preserve"> would </w:t>
      </w:r>
      <w:r>
        <w:rPr>
          <w:lang w:val="en-AU"/>
        </w:rPr>
        <w:t xml:space="preserve">mitigate against continuingly increasing peak demand over the </w:t>
      </w:r>
      <w:r w:rsidR="00810ACA">
        <w:rPr>
          <w:lang w:val="en-AU"/>
        </w:rPr>
        <w:t xml:space="preserve">2014-19 regulatory control </w:t>
      </w:r>
      <w:r>
        <w:rPr>
          <w:lang w:val="en-AU"/>
        </w:rPr>
        <w:t>period.</w:t>
      </w:r>
    </w:p>
    <w:p w14:paraId="286299E3" w14:textId="52C9F6C0" w:rsidR="00844EC8" w:rsidRPr="00383F55" w:rsidRDefault="00844EC8" w:rsidP="00A806E4">
      <w:pPr>
        <w:pStyle w:val="NumberLevel2"/>
        <w:numPr>
          <w:ilvl w:val="1"/>
          <w:numId w:val="4"/>
        </w:numPr>
        <w:tabs>
          <w:tab w:val="num" w:pos="709"/>
        </w:tabs>
        <w:ind w:left="709" w:hanging="709"/>
        <w:rPr>
          <w:lang w:val="en-AU"/>
        </w:rPr>
      </w:pPr>
      <w:r w:rsidRPr="00383F55">
        <w:rPr>
          <w:lang w:val="en-AU"/>
        </w:rPr>
        <w:t xml:space="preserve">The Commission </w:t>
      </w:r>
      <w:r w:rsidR="00CD2A05" w:rsidRPr="00383F55">
        <w:rPr>
          <w:lang w:val="en-AU"/>
        </w:rPr>
        <w:t>acknowledge</w:t>
      </w:r>
      <w:r w:rsidR="00CD2A05">
        <w:rPr>
          <w:lang w:val="en-AU"/>
        </w:rPr>
        <w:t>d</w:t>
      </w:r>
      <w:r w:rsidR="00CD2A05" w:rsidRPr="00383F55">
        <w:rPr>
          <w:lang w:val="en-AU"/>
        </w:rPr>
        <w:t xml:space="preserve"> </w:t>
      </w:r>
      <w:r w:rsidRPr="00383F55">
        <w:rPr>
          <w:lang w:val="en-AU"/>
        </w:rPr>
        <w:t xml:space="preserve">PWC Networks’ proposed growth rate </w:t>
      </w:r>
      <w:r w:rsidR="00810ACA">
        <w:rPr>
          <w:lang w:val="en-AU"/>
        </w:rPr>
        <w:t xml:space="preserve">was </w:t>
      </w:r>
      <w:r w:rsidRPr="00383F55">
        <w:rPr>
          <w:lang w:val="en-AU"/>
        </w:rPr>
        <w:t>based on a range of factors including population growth forecast of 1.</w:t>
      </w:r>
      <w:r w:rsidR="00810ACA" w:rsidRPr="00383F55">
        <w:rPr>
          <w:lang w:val="en-AU"/>
        </w:rPr>
        <w:t>5</w:t>
      </w:r>
      <w:r w:rsidR="00810ACA">
        <w:rPr>
          <w:lang w:val="en-AU"/>
        </w:rPr>
        <w:t> </w:t>
      </w:r>
      <w:r w:rsidR="00810ACA" w:rsidRPr="00383F55">
        <w:rPr>
          <w:lang w:val="en-AU"/>
        </w:rPr>
        <w:t>per</w:t>
      </w:r>
      <w:r w:rsidR="00810ACA">
        <w:rPr>
          <w:lang w:val="en-AU"/>
        </w:rPr>
        <w:t> </w:t>
      </w:r>
      <w:r w:rsidRPr="00383F55">
        <w:rPr>
          <w:lang w:val="en-AU"/>
        </w:rPr>
        <w:t>cent, historical connection growth rate of 3.</w:t>
      </w:r>
      <w:r w:rsidR="00810ACA" w:rsidRPr="00383F55">
        <w:rPr>
          <w:lang w:val="en-AU"/>
        </w:rPr>
        <w:t>8</w:t>
      </w:r>
      <w:r w:rsidR="00810ACA">
        <w:rPr>
          <w:lang w:val="en-AU"/>
        </w:rPr>
        <w:t> </w:t>
      </w:r>
      <w:r w:rsidR="00810ACA" w:rsidRPr="00383F55">
        <w:rPr>
          <w:lang w:val="en-AU"/>
        </w:rPr>
        <w:t>per</w:t>
      </w:r>
      <w:r w:rsidR="00810ACA">
        <w:rPr>
          <w:lang w:val="en-AU"/>
        </w:rPr>
        <w:t> </w:t>
      </w:r>
      <w:r w:rsidRPr="00383F55">
        <w:rPr>
          <w:lang w:val="en-AU"/>
        </w:rPr>
        <w:t xml:space="preserve">cent and a </w:t>
      </w:r>
      <w:r w:rsidR="00A15B76" w:rsidRPr="00383F55">
        <w:rPr>
          <w:lang w:val="en-AU"/>
        </w:rPr>
        <w:t>five</w:t>
      </w:r>
      <w:r w:rsidR="00A15B76">
        <w:rPr>
          <w:lang w:val="en-AU"/>
        </w:rPr>
        <w:t>-</w:t>
      </w:r>
      <w:r w:rsidRPr="00383F55">
        <w:rPr>
          <w:lang w:val="en-AU"/>
        </w:rPr>
        <w:t>year rolling average in dwelling approvals of 2.</w:t>
      </w:r>
      <w:r w:rsidR="00810ACA" w:rsidRPr="00383F55">
        <w:rPr>
          <w:lang w:val="en-AU"/>
        </w:rPr>
        <w:t>7</w:t>
      </w:r>
      <w:r w:rsidR="00810ACA">
        <w:rPr>
          <w:lang w:val="en-AU"/>
        </w:rPr>
        <w:t> </w:t>
      </w:r>
      <w:r w:rsidR="00810ACA" w:rsidRPr="00383F55">
        <w:rPr>
          <w:lang w:val="en-AU"/>
        </w:rPr>
        <w:t>per</w:t>
      </w:r>
      <w:r w:rsidR="00810ACA">
        <w:rPr>
          <w:lang w:val="en-AU"/>
        </w:rPr>
        <w:t> </w:t>
      </w:r>
      <w:r w:rsidRPr="00383F55">
        <w:rPr>
          <w:lang w:val="en-AU"/>
        </w:rPr>
        <w:t xml:space="preserve">cent and an historical growth in </w:t>
      </w:r>
      <w:r w:rsidR="0098067D">
        <w:rPr>
          <w:lang w:val="en-AU"/>
        </w:rPr>
        <w:t>g</w:t>
      </w:r>
      <w:r w:rsidR="0098067D" w:rsidRPr="00383F55">
        <w:rPr>
          <w:lang w:val="en-AU"/>
        </w:rPr>
        <w:t xml:space="preserve">ross </w:t>
      </w:r>
      <w:r w:rsidR="0098067D">
        <w:rPr>
          <w:lang w:val="en-AU"/>
        </w:rPr>
        <w:t>s</w:t>
      </w:r>
      <w:r w:rsidR="0098067D" w:rsidRPr="00383F55">
        <w:rPr>
          <w:lang w:val="en-AU"/>
        </w:rPr>
        <w:t xml:space="preserve">tate </w:t>
      </w:r>
      <w:r w:rsidR="0098067D">
        <w:rPr>
          <w:lang w:val="en-AU"/>
        </w:rPr>
        <w:t>p</w:t>
      </w:r>
      <w:r w:rsidR="0098067D" w:rsidRPr="00383F55">
        <w:rPr>
          <w:lang w:val="en-AU"/>
        </w:rPr>
        <w:t xml:space="preserve">roduct </w:t>
      </w:r>
      <w:r w:rsidRPr="00383F55">
        <w:rPr>
          <w:lang w:val="en-AU"/>
        </w:rPr>
        <w:t>of 3.9</w:t>
      </w:r>
      <w:r w:rsidR="00A806E4">
        <w:rPr>
          <w:lang w:val="en-AU"/>
        </w:rPr>
        <w:t> </w:t>
      </w:r>
      <w:r w:rsidRPr="00383F55">
        <w:rPr>
          <w:lang w:val="en-AU"/>
        </w:rPr>
        <w:t>per</w:t>
      </w:r>
      <w:r w:rsidR="00A806E4">
        <w:rPr>
          <w:lang w:val="en-AU"/>
        </w:rPr>
        <w:t> </w:t>
      </w:r>
      <w:r w:rsidRPr="00383F55">
        <w:rPr>
          <w:lang w:val="en-AU"/>
        </w:rPr>
        <w:t xml:space="preserve">cent. </w:t>
      </w:r>
    </w:p>
    <w:p w14:paraId="69B653C2" w14:textId="6EBCA5C9" w:rsidR="00844EC8" w:rsidRDefault="00A15B76" w:rsidP="00A806E4">
      <w:pPr>
        <w:pStyle w:val="NumberLevel2"/>
        <w:numPr>
          <w:ilvl w:val="1"/>
          <w:numId w:val="4"/>
        </w:numPr>
        <w:tabs>
          <w:tab w:val="num" w:pos="709"/>
        </w:tabs>
        <w:ind w:left="709" w:hanging="709"/>
        <w:rPr>
          <w:lang w:val="en-AU"/>
        </w:rPr>
      </w:pPr>
      <w:r>
        <w:rPr>
          <w:lang w:val="en-AU"/>
        </w:rPr>
        <w:t>PWC</w:t>
      </w:r>
      <w:r w:rsidRPr="00C8208D">
        <w:rPr>
          <w:lang w:val="en-AU"/>
        </w:rPr>
        <w:t xml:space="preserve"> </w:t>
      </w:r>
      <w:r w:rsidR="00844EC8" w:rsidRPr="00C8208D">
        <w:rPr>
          <w:lang w:val="en-AU"/>
        </w:rPr>
        <w:t xml:space="preserve">Networks’ review and preparation of historical data as well as </w:t>
      </w:r>
      <w:r>
        <w:rPr>
          <w:lang w:val="en-AU"/>
        </w:rPr>
        <w:t>its</w:t>
      </w:r>
      <w:r w:rsidR="00844EC8" w:rsidRPr="00C8208D">
        <w:rPr>
          <w:lang w:val="en-AU"/>
        </w:rPr>
        <w:t xml:space="preserve"> weather normalisation practice generally </w:t>
      </w:r>
      <w:r w:rsidR="00810ACA" w:rsidRPr="00C8208D">
        <w:rPr>
          <w:lang w:val="en-AU"/>
        </w:rPr>
        <w:t>align</w:t>
      </w:r>
      <w:r w:rsidR="00810ACA">
        <w:rPr>
          <w:lang w:val="en-AU"/>
        </w:rPr>
        <w:t>ed</w:t>
      </w:r>
      <w:r w:rsidR="00810ACA" w:rsidRPr="00C8208D">
        <w:rPr>
          <w:lang w:val="en-AU"/>
        </w:rPr>
        <w:t xml:space="preserve"> </w:t>
      </w:r>
      <w:r w:rsidR="00844EC8" w:rsidRPr="00C8208D">
        <w:rPr>
          <w:lang w:val="en-AU"/>
        </w:rPr>
        <w:t xml:space="preserve">with industry practice. However, there </w:t>
      </w:r>
      <w:r w:rsidR="00810ACA">
        <w:rPr>
          <w:lang w:val="en-AU"/>
        </w:rPr>
        <w:t>were</w:t>
      </w:r>
      <w:r w:rsidR="00810ACA" w:rsidRPr="00C8208D">
        <w:rPr>
          <w:lang w:val="en-AU"/>
        </w:rPr>
        <w:t xml:space="preserve"> </w:t>
      </w:r>
      <w:r w:rsidR="00844EC8" w:rsidRPr="00C8208D">
        <w:rPr>
          <w:lang w:val="en-AU"/>
        </w:rPr>
        <w:t xml:space="preserve">concerns </w:t>
      </w:r>
      <w:r w:rsidR="00AE7ADB">
        <w:rPr>
          <w:lang w:val="en-AU"/>
        </w:rPr>
        <w:t>about</w:t>
      </w:r>
      <w:r w:rsidR="00844EC8" w:rsidRPr="00C8208D">
        <w:rPr>
          <w:lang w:val="en-AU"/>
        </w:rPr>
        <w:t xml:space="preserve"> PWC Networks’ general application of a least squares regression model and associated adjustments. Specifically, the use of a least squares regression model to project the linear trend component of the historical data inherently </w:t>
      </w:r>
      <w:r w:rsidR="00810ACA" w:rsidRPr="00C8208D">
        <w:rPr>
          <w:lang w:val="en-AU"/>
        </w:rPr>
        <w:t>assum</w:t>
      </w:r>
      <w:r w:rsidR="00810ACA">
        <w:rPr>
          <w:lang w:val="en-AU"/>
        </w:rPr>
        <w:t>ed</w:t>
      </w:r>
      <w:r w:rsidR="00810ACA" w:rsidRPr="00C8208D">
        <w:rPr>
          <w:lang w:val="en-AU"/>
        </w:rPr>
        <w:t xml:space="preserve"> </w:t>
      </w:r>
      <w:r w:rsidR="00844EC8" w:rsidRPr="00C8208D">
        <w:rPr>
          <w:lang w:val="en-AU"/>
        </w:rPr>
        <w:t xml:space="preserve">that the underlying drivers of this linear trend </w:t>
      </w:r>
      <w:r w:rsidR="00810ACA">
        <w:rPr>
          <w:lang w:val="en-AU"/>
        </w:rPr>
        <w:t xml:space="preserve">would </w:t>
      </w:r>
      <w:r w:rsidR="00844EC8" w:rsidRPr="00C8208D">
        <w:rPr>
          <w:lang w:val="en-AU"/>
        </w:rPr>
        <w:t xml:space="preserve">continue, unmodified, for the </w:t>
      </w:r>
      <w:r w:rsidR="00810ACA">
        <w:rPr>
          <w:lang w:val="en-AU"/>
        </w:rPr>
        <w:t>2014-19 regulatory control</w:t>
      </w:r>
      <w:r w:rsidR="00810ACA" w:rsidRPr="00C8208D">
        <w:rPr>
          <w:lang w:val="en-AU"/>
        </w:rPr>
        <w:t xml:space="preserve"> </w:t>
      </w:r>
      <w:r w:rsidR="00844EC8" w:rsidRPr="00C8208D">
        <w:rPr>
          <w:lang w:val="en-AU"/>
        </w:rPr>
        <w:t xml:space="preserve">period. To account for this inherent limitation, PWC Networks </w:t>
      </w:r>
      <w:r w:rsidR="00810ACA" w:rsidRPr="00C8208D">
        <w:rPr>
          <w:lang w:val="en-AU"/>
        </w:rPr>
        <w:t>appli</w:t>
      </w:r>
      <w:r w:rsidR="00810ACA">
        <w:rPr>
          <w:lang w:val="en-AU"/>
        </w:rPr>
        <w:t>ed</w:t>
      </w:r>
      <w:r w:rsidR="00810ACA" w:rsidRPr="00C8208D">
        <w:rPr>
          <w:lang w:val="en-AU"/>
        </w:rPr>
        <w:t xml:space="preserve"> </w:t>
      </w:r>
      <w:r w:rsidR="00844EC8" w:rsidRPr="00C8208D">
        <w:rPr>
          <w:lang w:val="en-AU"/>
        </w:rPr>
        <w:t>adjustments based on expert judgement to derive resultant forecasts that consider</w:t>
      </w:r>
      <w:r w:rsidR="0031314C">
        <w:rPr>
          <w:lang w:val="en-AU"/>
        </w:rPr>
        <w:t>ed</w:t>
      </w:r>
      <w:r w:rsidR="00844EC8" w:rsidRPr="00C8208D">
        <w:rPr>
          <w:lang w:val="en-AU"/>
        </w:rPr>
        <w:t xml:space="preserve"> factors such as expected economic conditions, technology, social impacts, spot loads</w:t>
      </w:r>
      <w:r w:rsidR="00844EC8">
        <w:rPr>
          <w:lang w:val="en-AU"/>
        </w:rPr>
        <w:t xml:space="preserve"> and </w:t>
      </w:r>
      <w:r w:rsidR="00844EC8" w:rsidRPr="00C8208D">
        <w:rPr>
          <w:lang w:val="en-AU"/>
        </w:rPr>
        <w:t>network configuration changes.</w:t>
      </w:r>
    </w:p>
    <w:p w14:paraId="12B81F75" w14:textId="5D339800" w:rsidR="00844EC8" w:rsidRPr="00C8208D" w:rsidRDefault="00844EC8" w:rsidP="00A806E4">
      <w:pPr>
        <w:pStyle w:val="NumberLevel2"/>
        <w:numPr>
          <w:ilvl w:val="1"/>
          <w:numId w:val="4"/>
        </w:numPr>
        <w:tabs>
          <w:tab w:val="num" w:pos="709"/>
        </w:tabs>
        <w:ind w:left="709" w:hanging="709"/>
        <w:rPr>
          <w:lang w:val="en-AU"/>
        </w:rPr>
      </w:pPr>
      <w:r w:rsidRPr="00C8208D">
        <w:rPr>
          <w:lang w:val="en-AU"/>
        </w:rPr>
        <w:t xml:space="preserve">The Commission </w:t>
      </w:r>
      <w:r w:rsidR="00CD2A05" w:rsidRPr="00C8208D">
        <w:rPr>
          <w:lang w:val="en-AU"/>
        </w:rPr>
        <w:t>note</w:t>
      </w:r>
      <w:r w:rsidR="00CD2A05">
        <w:rPr>
          <w:lang w:val="en-AU"/>
        </w:rPr>
        <w:t>d</w:t>
      </w:r>
      <w:r w:rsidR="00CD2A05" w:rsidRPr="00C8208D">
        <w:rPr>
          <w:lang w:val="en-AU"/>
        </w:rPr>
        <w:t xml:space="preserve"> </w:t>
      </w:r>
      <w:r w:rsidRPr="00C8208D">
        <w:rPr>
          <w:lang w:val="en-AU"/>
        </w:rPr>
        <w:t xml:space="preserve">that spot loads and network configuration adjustments </w:t>
      </w:r>
      <w:r w:rsidR="0031314C">
        <w:rPr>
          <w:lang w:val="en-AU"/>
        </w:rPr>
        <w:t xml:space="preserve">were </w:t>
      </w:r>
      <w:r w:rsidRPr="00C8208D">
        <w:rPr>
          <w:lang w:val="en-AU"/>
        </w:rPr>
        <w:t xml:space="preserve">documented at the time of the forecast through the ‘Load Log Table’ and a ‘Transfer Log Table’ respectively and </w:t>
      </w:r>
      <w:r w:rsidR="004E6B6D">
        <w:rPr>
          <w:lang w:val="en-AU"/>
        </w:rPr>
        <w:t xml:space="preserve">that </w:t>
      </w:r>
      <w:r w:rsidRPr="00C8208D">
        <w:rPr>
          <w:lang w:val="en-AU"/>
        </w:rPr>
        <w:t>this practice provides transparency, repeatability and support</w:t>
      </w:r>
      <w:r w:rsidR="0031314C">
        <w:rPr>
          <w:lang w:val="en-AU"/>
        </w:rPr>
        <w:t>ed</w:t>
      </w:r>
      <w:r w:rsidRPr="00C8208D">
        <w:rPr>
          <w:lang w:val="en-AU"/>
        </w:rPr>
        <w:t xml:space="preserve"> </w:t>
      </w:r>
      <w:r w:rsidR="00810ACA">
        <w:rPr>
          <w:lang w:val="en-AU"/>
        </w:rPr>
        <w:t xml:space="preserve">an </w:t>
      </w:r>
      <w:r w:rsidRPr="00C8208D">
        <w:rPr>
          <w:lang w:val="en-AU"/>
        </w:rPr>
        <w:t xml:space="preserve">independent objective review of the forecast. However, while </w:t>
      </w:r>
      <w:r w:rsidR="007207C3" w:rsidRPr="00C8208D">
        <w:rPr>
          <w:lang w:val="en-AU"/>
        </w:rPr>
        <w:t>PWC</w:t>
      </w:r>
      <w:r w:rsidR="007207C3">
        <w:rPr>
          <w:lang w:val="en-AU"/>
        </w:rPr>
        <w:t> </w:t>
      </w:r>
      <w:r w:rsidRPr="00C8208D">
        <w:rPr>
          <w:lang w:val="en-AU"/>
        </w:rPr>
        <w:t xml:space="preserve">Networks’ Forecasting Procedure </w:t>
      </w:r>
      <w:r w:rsidR="00810ACA" w:rsidRPr="00C8208D">
        <w:rPr>
          <w:lang w:val="en-AU"/>
        </w:rPr>
        <w:t>not</w:t>
      </w:r>
      <w:r w:rsidR="00810ACA">
        <w:rPr>
          <w:lang w:val="en-AU"/>
        </w:rPr>
        <w:t>ed</w:t>
      </w:r>
      <w:r w:rsidR="00810ACA" w:rsidRPr="00C8208D">
        <w:rPr>
          <w:lang w:val="en-AU"/>
        </w:rPr>
        <w:t xml:space="preserve"> </w:t>
      </w:r>
      <w:r w:rsidRPr="00C8208D">
        <w:rPr>
          <w:lang w:val="en-AU"/>
        </w:rPr>
        <w:t>that the forecasting process include</w:t>
      </w:r>
      <w:r w:rsidR="0031314C">
        <w:rPr>
          <w:lang w:val="en-AU"/>
        </w:rPr>
        <w:t>d</w:t>
      </w:r>
      <w:r w:rsidRPr="00C8208D">
        <w:rPr>
          <w:lang w:val="en-AU"/>
        </w:rPr>
        <w:t xml:space="preserve"> consideration of ‘adjustments for changes in key drivers’, and that the ‘projection of regional demand is made after the consideration of economic indicators’, details of the method by which such adjustments </w:t>
      </w:r>
      <w:r w:rsidR="0031314C">
        <w:rPr>
          <w:lang w:val="en-AU"/>
        </w:rPr>
        <w:t>were</w:t>
      </w:r>
      <w:r w:rsidRPr="00C8208D">
        <w:rPr>
          <w:lang w:val="en-AU"/>
        </w:rPr>
        <w:t xml:space="preserve"> achieved </w:t>
      </w:r>
      <w:r>
        <w:rPr>
          <w:lang w:val="en-AU"/>
        </w:rPr>
        <w:t>were</w:t>
      </w:r>
      <w:r w:rsidRPr="00C8208D">
        <w:rPr>
          <w:lang w:val="en-AU"/>
        </w:rPr>
        <w:t xml:space="preserve"> not provided.</w:t>
      </w:r>
    </w:p>
    <w:p w14:paraId="3C9B8726" w14:textId="77777777" w:rsidR="00844EC8" w:rsidRDefault="00844EC8" w:rsidP="00A806E4">
      <w:pPr>
        <w:pStyle w:val="NumberLevel2"/>
        <w:numPr>
          <w:ilvl w:val="1"/>
          <w:numId w:val="4"/>
        </w:numPr>
        <w:tabs>
          <w:tab w:val="left" w:pos="709"/>
        </w:tabs>
        <w:ind w:left="709" w:hanging="709"/>
        <w:rPr>
          <w:lang w:val="en-AU"/>
        </w:rPr>
      </w:pPr>
      <w:r w:rsidRPr="002D206C">
        <w:rPr>
          <w:lang w:val="en-AU"/>
        </w:rPr>
        <w:t xml:space="preserve">An examination of examples of the forecasting procedures exhibited adjustments being made without supporting documentation to provide specific justification for these adjustments, the methodology used to apply the adjustments, details of the judgements employed or their impact on the forecasts. </w:t>
      </w:r>
    </w:p>
    <w:p w14:paraId="359C86C3" w14:textId="14980F95" w:rsidR="00844EC8" w:rsidRDefault="00844EC8" w:rsidP="00A806E4">
      <w:pPr>
        <w:pStyle w:val="NumberLevel2"/>
        <w:numPr>
          <w:ilvl w:val="1"/>
          <w:numId w:val="4"/>
        </w:numPr>
        <w:tabs>
          <w:tab w:val="num" w:pos="709"/>
        </w:tabs>
        <w:ind w:left="709" w:hanging="709"/>
        <w:rPr>
          <w:lang w:val="en-AU"/>
        </w:rPr>
      </w:pPr>
      <w:r w:rsidRPr="002D206C">
        <w:rPr>
          <w:lang w:val="en-AU"/>
        </w:rPr>
        <w:t xml:space="preserve">The Commission’s view </w:t>
      </w:r>
      <w:r w:rsidR="00CD2A05">
        <w:rPr>
          <w:lang w:val="en-AU"/>
        </w:rPr>
        <w:t>wa</w:t>
      </w:r>
      <w:r w:rsidR="00CD2A05" w:rsidRPr="002D206C">
        <w:rPr>
          <w:lang w:val="en-AU"/>
        </w:rPr>
        <w:t xml:space="preserve">s </w:t>
      </w:r>
      <w:r w:rsidRPr="002D206C">
        <w:rPr>
          <w:lang w:val="en-AU"/>
        </w:rPr>
        <w:t xml:space="preserve">that PWC </w:t>
      </w:r>
      <w:r w:rsidR="004E6B6D">
        <w:rPr>
          <w:lang w:val="en-AU"/>
        </w:rPr>
        <w:t xml:space="preserve">Networks’ </w:t>
      </w:r>
      <w:r w:rsidRPr="002D206C">
        <w:rPr>
          <w:lang w:val="en-AU"/>
        </w:rPr>
        <w:t xml:space="preserve">forecasting methodology </w:t>
      </w:r>
      <w:r w:rsidR="00810ACA">
        <w:rPr>
          <w:lang w:val="en-AU"/>
        </w:rPr>
        <w:t>was</w:t>
      </w:r>
      <w:r w:rsidR="00810ACA" w:rsidRPr="002D206C">
        <w:rPr>
          <w:lang w:val="en-AU"/>
        </w:rPr>
        <w:t xml:space="preserve"> </w:t>
      </w:r>
      <w:r w:rsidRPr="002D206C">
        <w:rPr>
          <w:lang w:val="en-AU"/>
        </w:rPr>
        <w:t xml:space="preserve">not </w:t>
      </w:r>
      <w:r w:rsidR="00AE7ADB">
        <w:rPr>
          <w:lang w:val="en-AU"/>
        </w:rPr>
        <w:t xml:space="preserve">sufficiently </w:t>
      </w:r>
      <w:r w:rsidRPr="002D206C">
        <w:rPr>
          <w:lang w:val="en-AU"/>
        </w:rPr>
        <w:t xml:space="preserve">transparent or repeatable as details of the expert judgements employed </w:t>
      </w:r>
      <w:r w:rsidR="00810ACA">
        <w:rPr>
          <w:lang w:val="en-AU"/>
        </w:rPr>
        <w:t>were</w:t>
      </w:r>
      <w:r w:rsidR="00810ACA" w:rsidRPr="002D206C">
        <w:rPr>
          <w:lang w:val="en-AU"/>
        </w:rPr>
        <w:t xml:space="preserve"> </w:t>
      </w:r>
      <w:r w:rsidRPr="002D206C">
        <w:rPr>
          <w:lang w:val="en-AU"/>
        </w:rPr>
        <w:t xml:space="preserve">not clearly documented. Furthermore, the lack of documented detail regarding the expert judgements employed </w:t>
      </w:r>
      <w:r w:rsidR="00810ACA">
        <w:rPr>
          <w:lang w:val="en-AU"/>
        </w:rPr>
        <w:t xml:space="preserve">did </w:t>
      </w:r>
      <w:r w:rsidR="0098067D">
        <w:rPr>
          <w:lang w:val="en-AU"/>
        </w:rPr>
        <w:t xml:space="preserve">not </w:t>
      </w:r>
      <w:r w:rsidRPr="002D206C">
        <w:rPr>
          <w:lang w:val="en-AU"/>
        </w:rPr>
        <w:t xml:space="preserve">make </w:t>
      </w:r>
      <w:r w:rsidR="007F0562">
        <w:rPr>
          <w:lang w:val="en-AU"/>
        </w:rPr>
        <w:t xml:space="preserve">it </w:t>
      </w:r>
      <w:r w:rsidRPr="002D206C">
        <w:rPr>
          <w:lang w:val="en-AU"/>
        </w:rPr>
        <w:t xml:space="preserve">possible to objectively assess if there </w:t>
      </w:r>
      <w:r w:rsidR="00810ACA">
        <w:rPr>
          <w:lang w:val="en-AU"/>
        </w:rPr>
        <w:t>had</w:t>
      </w:r>
      <w:r w:rsidR="00810ACA" w:rsidRPr="002D206C">
        <w:rPr>
          <w:lang w:val="en-AU"/>
        </w:rPr>
        <w:t xml:space="preserve"> </w:t>
      </w:r>
      <w:r w:rsidRPr="002D206C">
        <w:rPr>
          <w:lang w:val="en-AU"/>
        </w:rPr>
        <w:t>been</w:t>
      </w:r>
      <w:r w:rsidR="00810ACA">
        <w:rPr>
          <w:lang w:val="en-AU"/>
        </w:rPr>
        <w:t xml:space="preserve"> an</w:t>
      </w:r>
      <w:r w:rsidRPr="002D206C">
        <w:rPr>
          <w:lang w:val="en-AU"/>
        </w:rPr>
        <w:t xml:space="preserve"> appropriate incorporation of key drivers of demand and exclusion of </w:t>
      </w:r>
      <w:r w:rsidR="007F0562">
        <w:rPr>
          <w:lang w:val="en-AU"/>
        </w:rPr>
        <w:t>unjustified</w:t>
      </w:r>
      <w:r w:rsidRPr="002D206C">
        <w:rPr>
          <w:lang w:val="en-AU"/>
        </w:rPr>
        <w:t xml:space="preserve"> drivers. </w:t>
      </w:r>
    </w:p>
    <w:p w14:paraId="50EAA508" w14:textId="77777777" w:rsidR="00844EC8" w:rsidRDefault="00844EC8" w:rsidP="00A806E4">
      <w:pPr>
        <w:pStyle w:val="NumberLevel2"/>
        <w:numPr>
          <w:ilvl w:val="1"/>
          <w:numId w:val="4"/>
        </w:numPr>
        <w:tabs>
          <w:tab w:val="num" w:pos="709"/>
        </w:tabs>
        <w:ind w:left="709" w:hanging="709"/>
        <w:rPr>
          <w:lang w:val="en-AU"/>
        </w:rPr>
      </w:pPr>
      <w:r w:rsidRPr="002D206C">
        <w:rPr>
          <w:lang w:val="en-AU"/>
        </w:rPr>
        <w:t>Following examination of a number of forecasting examples, the Commission’s view</w:t>
      </w:r>
      <w:r w:rsidR="00AE7ADB">
        <w:rPr>
          <w:lang w:val="en-AU"/>
        </w:rPr>
        <w:t xml:space="preserve"> </w:t>
      </w:r>
      <w:r w:rsidR="00CD2A05">
        <w:rPr>
          <w:lang w:val="en-AU"/>
        </w:rPr>
        <w:t xml:space="preserve">was </w:t>
      </w:r>
      <w:r w:rsidR="00AE7ADB">
        <w:rPr>
          <w:lang w:val="en-AU"/>
        </w:rPr>
        <w:t>that</w:t>
      </w:r>
      <w:r w:rsidRPr="002D206C">
        <w:rPr>
          <w:lang w:val="en-AU"/>
        </w:rPr>
        <w:t xml:space="preserve"> the adjustments applied exhibit an upward bias in the trend derived directly from the least squares fit process. </w:t>
      </w:r>
    </w:p>
    <w:p w14:paraId="54C9F49A" w14:textId="075DDA34" w:rsidR="00844EC8" w:rsidRPr="00383F55" w:rsidRDefault="00844EC8" w:rsidP="00A806E4">
      <w:pPr>
        <w:pStyle w:val="NumberLevel2"/>
        <w:numPr>
          <w:ilvl w:val="1"/>
          <w:numId w:val="4"/>
        </w:numPr>
        <w:tabs>
          <w:tab w:val="num" w:pos="709"/>
        </w:tabs>
        <w:ind w:left="709" w:hanging="709"/>
        <w:rPr>
          <w:lang w:val="en-AU"/>
        </w:rPr>
      </w:pPr>
      <w:r w:rsidRPr="00383F55">
        <w:rPr>
          <w:lang w:val="en-AU"/>
        </w:rPr>
        <w:t xml:space="preserve">While an increasing linear rate of growth in the forecast above the historical trend </w:t>
      </w:r>
      <w:r w:rsidR="006F02E4">
        <w:rPr>
          <w:lang w:val="en-AU"/>
        </w:rPr>
        <w:t>might</w:t>
      </w:r>
      <w:r w:rsidR="006F02E4" w:rsidRPr="00383F55">
        <w:rPr>
          <w:lang w:val="en-AU"/>
        </w:rPr>
        <w:t xml:space="preserve"> </w:t>
      </w:r>
      <w:r w:rsidRPr="00383F55">
        <w:rPr>
          <w:lang w:val="en-AU"/>
        </w:rPr>
        <w:t xml:space="preserve">be appropriate where the underlying drivers of demand </w:t>
      </w:r>
      <w:r w:rsidR="00185936">
        <w:rPr>
          <w:lang w:val="en-AU"/>
        </w:rPr>
        <w:t>were</w:t>
      </w:r>
      <w:r w:rsidRPr="00383F55">
        <w:rPr>
          <w:lang w:val="en-AU"/>
        </w:rPr>
        <w:t xml:space="preserve"> in the main expec</w:t>
      </w:r>
      <w:r>
        <w:rPr>
          <w:lang w:val="en-AU"/>
        </w:rPr>
        <w:t xml:space="preserve">ted to increase, no evidence was </w:t>
      </w:r>
      <w:r w:rsidRPr="00383F55">
        <w:rPr>
          <w:lang w:val="en-AU"/>
        </w:rPr>
        <w:t>provided to support this upward bias</w:t>
      </w:r>
      <w:r>
        <w:rPr>
          <w:lang w:val="en-AU"/>
        </w:rPr>
        <w:t>.</w:t>
      </w:r>
    </w:p>
    <w:p w14:paraId="62B9A9D6" w14:textId="0D668D54" w:rsidR="00844EC8" w:rsidRPr="00F00637" w:rsidRDefault="00844EC8" w:rsidP="00A806E4">
      <w:pPr>
        <w:pStyle w:val="NumberLevel2"/>
        <w:numPr>
          <w:ilvl w:val="1"/>
          <w:numId w:val="4"/>
        </w:numPr>
        <w:tabs>
          <w:tab w:val="num" w:pos="709"/>
          <w:tab w:val="num" w:pos="2278"/>
        </w:tabs>
        <w:ind w:left="709" w:hanging="709"/>
        <w:rPr>
          <w:lang w:val="en-AU"/>
        </w:rPr>
      </w:pPr>
      <w:r w:rsidRPr="00F00637">
        <w:rPr>
          <w:lang w:val="en-AU"/>
        </w:rPr>
        <w:t xml:space="preserve">The Commission </w:t>
      </w:r>
      <w:r w:rsidR="00CD2A05" w:rsidRPr="00F00637">
        <w:rPr>
          <w:lang w:val="en-AU"/>
        </w:rPr>
        <w:t>share</w:t>
      </w:r>
      <w:r w:rsidR="00CD2A05">
        <w:rPr>
          <w:lang w:val="en-AU"/>
        </w:rPr>
        <w:t>d</w:t>
      </w:r>
      <w:r w:rsidR="00CD2A05" w:rsidRPr="00F00637">
        <w:rPr>
          <w:lang w:val="en-AU"/>
        </w:rPr>
        <w:t xml:space="preserve"> </w:t>
      </w:r>
      <w:r w:rsidRPr="00F00637">
        <w:rPr>
          <w:lang w:val="en-AU"/>
        </w:rPr>
        <w:t>the NTMEU</w:t>
      </w:r>
      <w:r w:rsidR="006F02E4">
        <w:rPr>
          <w:lang w:val="en-AU"/>
        </w:rPr>
        <w:t>’s</w:t>
      </w:r>
      <w:r w:rsidRPr="00F00637">
        <w:rPr>
          <w:lang w:val="en-AU"/>
        </w:rPr>
        <w:t xml:space="preserve"> view that PWC Networks tended to overestimate growth in demand</w:t>
      </w:r>
      <w:r w:rsidR="00F00637" w:rsidRPr="00F00637">
        <w:rPr>
          <w:lang w:val="en-AU"/>
        </w:rPr>
        <w:t xml:space="preserve">. PB’s view was that a </w:t>
      </w:r>
      <w:r w:rsidR="0098067D" w:rsidRPr="00F00637">
        <w:rPr>
          <w:lang w:val="en-AU"/>
        </w:rPr>
        <w:t>three</w:t>
      </w:r>
      <w:r w:rsidR="0098067D">
        <w:rPr>
          <w:lang w:val="en-AU"/>
        </w:rPr>
        <w:t>-</w:t>
      </w:r>
      <w:r w:rsidR="00F00637" w:rsidRPr="00F00637">
        <w:rPr>
          <w:lang w:val="en-AU"/>
        </w:rPr>
        <w:t xml:space="preserve">year deferral in demand, particularly in the mid to latter part of the </w:t>
      </w:r>
      <w:r w:rsidR="006F02E4">
        <w:rPr>
          <w:lang w:val="en-AU"/>
        </w:rPr>
        <w:t>2014-19 regulatory control</w:t>
      </w:r>
      <w:r w:rsidR="006F02E4" w:rsidRPr="00F00637">
        <w:rPr>
          <w:lang w:val="en-AU"/>
        </w:rPr>
        <w:t xml:space="preserve"> </w:t>
      </w:r>
      <w:r w:rsidR="00F00637" w:rsidRPr="00F00637">
        <w:rPr>
          <w:lang w:val="en-AU"/>
        </w:rPr>
        <w:t>period, should be applied when interpreting PWC Networks’ demand forecasts.</w:t>
      </w:r>
      <w:r w:rsidR="00F00637" w:rsidRPr="002E37A3">
        <w:rPr>
          <w:lang w:val="en-AU"/>
        </w:rPr>
        <w:t xml:space="preserve"> </w:t>
      </w:r>
      <w:r w:rsidRPr="00F00637">
        <w:rPr>
          <w:lang w:val="en-AU"/>
        </w:rPr>
        <w:t>The Commission</w:t>
      </w:r>
      <w:r w:rsidR="00F00637">
        <w:rPr>
          <w:lang w:val="en-AU"/>
        </w:rPr>
        <w:t xml:space="preserve"> did</w:t>
      </w:r>
      <w:r w:rsidRPr="00F00637">
        <w:rPr>
          <w:lang w:val="en-AU"/>
        </w:rPr>
        <w:t xml:space="preserve"> not </w:t>
      </w:r>
      <w:r w:rsidR="006F02E4">
        <w:rPr>
          <w:lang w:val="en-AU"/>
        </w:rPr>
        <w:t>develop</w:t>
      </w:r>
      <w:r w:rsidR="006F02E4" w:rsidRPr="00F00637">
        <w:rPr>
          <w:lang w:val="en-AU"/>
        </w:rPr>
        <w:t xml:space="preserve"> </w:t>
      </w:r>
      <w:r w:rsidRPr="00F00637">
        <w:rPr>
          <w:lang w:val="en-AU"/>
        </w:rPr>
        <w:t xml:space="preserve">an alternative demand forecast but rather </w:t>
      </w:r>
      <w:r w:rsidR="00185936">
        <w:rPr>
          <w:lang w:val="en-AU"/>
        </w:rPr>
        <w:t xml:space="preserve">relied on </w:t>
      </w:r>
      <w:r w:rsidR="00F00637">
        <w:rPr>
          <w:lang w:val="en-AU"/>
        </w:rPr>
        <w:t>PB</w:t>
      </w:r>
      <w:r w:rsidR="00185936">
        <w:rPr>
          <w:lang w:val="en-AU"/>
        </w:rPr>
        <w:t xml:space="preserve">’s recommendations of </w:t>
      </w:r>
      <w:r w:rsidR="00F00637">
        <w:rPr>
          <w:lang w:val="en-AU"/>
        </w:rPr>
        <w:t xml:space="preserve">where deferrals </w:t>
      </w:r>
      <w:r w:rsidR="006F02E4">
        <w:rPr>
          <w:lang w:val="en-AU"/>
        </w:rPr>
        <w:t xml:space="preserve">were </w:t>
      </w:r>
      <w:r w:rsidR="00F00637">
        <w:rPr>
          <w:lang w:val="en-AU"/>
        </w:rPr>
        <w:t xml:space="preserve">warranted for some zone substation replacement projects (Casuarina by one </w:t>
      </w:r>
      <w:r w:rsidR="006F02E4">
        <w:rPr>
          <w:lang w:val="en-AU"/>
        </w:rPr>
        <w:t xml:space="preserve">regulatory </w:t>
      </w:r>
      <w:r w:rsidR="00F00637">
        <w:rPr>
          <w:lang w:val="en-AU"/>
        </w:rPr>
        <w:t xml:space="preserve">year, Berrimah by two </w:t>
      </w:r>
      <w:r w:rsidR="006F02E4">
        <w:rPr>
          <w:lang w:val="en-AU"/>
        </w:rPr>
        <w:t xml:space="preserve">regulatory </w:t>
      </w:r>
      <w:r w:rsidR="00F00637">
        <w:rPr>
          <w:lang w:val="en-AU"/>
        </w:rPr>
        <w:t xml:space="preserve">years and East Arm and Lovegrove to outside the </w:t>
      </w:r>
      <w:r w:rsidR="00CD2A05">
        <w:rPr>
          <w:lang w:val="en-AU"/>
        </w:rPr>
        <w:t xml:space="preserve">2014-19 </w:t>
      </w:r>
      <w:r w:rsidR="00F00637">
        <w:rPr>
          <w:lang w:val="en-AU"/>
        </w:rPr>
        <w:t>regulatory control period)</w:t>
      </w:r>
      <w:r w:rsidRPr="00F00637">
        <w:rPr>
          <w:lang w:val="en-AU"/>
        </w:rPr>
        <w:t xml:space="preserve">.  </w:t>
      </w:r>
    </w:p>
    <w:p w14:paraId="07B5542E" w14:textId="2257A1A3" w:rsidR="00844EC8" w:rsidRPr="00CF0046" w:rsidRDefault="00844EC8" w:rsidP="00A806E4">
      <w:pPr>
        <w:pStyle w:val="NumberLevel2"/>
        <w:numPr>
          <w:ilvl w:val="1"/>
          <w:numId w:val="4"/>
        </w:numPr>
        <w:tabs>
          <w:tab w:val="num" w:pos="709"/>
          <w:tab w:val="num" w:pos="2278"/>
        </w:tabs>
        <w:ind w:left="709" w:hanging="709"/>
        <w:rPr>
          <w:lang w:val="en-AU"/>
        </w:rPr>
      </w:pPr>
      <w:r w:rsidRPr="00383F55">
        <w:rPr>
          <w:lang w:val="en-AU"/>
        </w:rPr>
        <w:t xml:space="preserve">The Commission </w:t>
      </w:r>
      <w:r w:rsidR="00CD2A05" w:rsidRPr="00383F55">
        <w:rPr>
          <w:lang w:val="en-AU"/>
        </w:rPr>
        <w:t>note</w:t>
      </w:r>
      <w:r w:rsidR="00CD2A05">
        <w:rPr>
          <w:lang w:val="en-AU"/>
        </w:rPr>
        <w:t>d</w:t>
      </w:r>
      <w:r w:rsidR="00CD2A05" w:rsidRPr="00383F55">
        <w:rPr>
          <w:lang w:val="en-AU"/>
        </w:rPr>
        <w:t xml:space="preserve"> </w:t>
      </w:r>
      <w:r w:rsidRPr="00383F55">
        <w:rPr>
          <w:lang w:val="en-AU"/>
        </w:rPr>
        <w:t xml:space="preserve">that while the </w:t>
      </w:r>
      <w:r w:rsidR="006F02E4">
        <w:rPr>
          <w:lang w:val="en-AU"/>
        </w:rPr>
        <w:t xml:space="preserve">2011-12 </w:t>
      </w:r>
      <w:r w:rsidRPr="00383F55">
        <w:rPr>
          <w:lang w:val="en-AU"/>
        </w:rPr>
        <w:t xml:space="preserve">Power System Review identified that PWC </w:t>
      </w:r>
      <w:r w:rsidR="004E6B6D">
        <w:rPr>
          <w:lang w:val="en-AU"/>
        </w:rPr>
        <w:t>Networks’</w:t>
      </w:r>
      <w:r w:rsidR="004E6B6D" w:rsidRPr="00383F55">
        <w:rPr>
          <w:lang w:val="en-AU"/>
        </w:rPr>
        <w:t xml:space="preserve"> </w:t>
      </w:r>
      <w:r w:rsidRPr="00383F55">
        <w:rPr>
          <w:lang w:val="en-AU"/>
        </w:rPr>
        <w:t>approach to network demand forecastin</w:t>
      </w:r>
      <w:r w:rsidRPr="00CF0046">
        <w:rPr>
          <w:lang w:val="en-AU"/>
        </w:rPr>
        <w:t xml:space="preserve">g was reasonable, for the purposes of determining the demand-supply balance, the Commission’s assessment of reasonableness for the </w:t>
      </w:r>
      <w:r w:rsidR="004E6B6D">
        <w:rPr>
          <w:lang w:val="en-AU"/>
        </w:rPr>
        <w:t xml:space="preserve">2014 </w:t>
      </w:r>
      <w:r w:rsidRPr="00CF0046">
        <w:rPr>
          <w:lang w:val="en-AU"/>
        </w:rPr>
        <w:t xml:space="preserve">Network Price Determination </w:t>
      </w:r>
      <w:r w:rsidR="00185936">
        <w:rPr>
          <w:lang w:val="en-AU"/>
        </w:rPr>
        <w:t>was</w:t>
      </w:r>
      <w:r w:rsidRPr="00CF0046">
        <w:rPr>
          <w:lang w:val="en-AU"/>
        </w:rPr>
        <w:t xml:space="preserve"> based on the AER’s approach that PWC</w:t>
      </w:r>
      <w:r w:rsidR="004E6B6D">
        <w:rPr>
          <w:lang w:val="en-AU"/>
        </w:rPr>
        <w:t xml:space="preserve"> Networks’</w:t>
      </w:r>
      <w:r w:rsidRPr="00CF0046">
        <w:rPr>
          <w:lang w:val="en-AU"/>
        </w:rPr>
        <w:t xml:space="preserve"> forecasting techniques should demonstrate the following characteristics:</w:t>
      </w:r>
    </w:p>
    <w:p w14:paraId="526B2F98" w14:textId="77777777" w:rsidR="00844EC8" w:rsidRPr="00CF0046" w:rsidRDefault="00844EC8" w:rsidP="008E229D">
      <w:pPr>
        <w:pStyle w:val="NumberLevel2"/>
        <w:numPr>
          <w:ilvl w:val="0"/>
          <w:numId w:val="12"/>
        </w:numPr>
        <w:tabs>
          <w:tab w:val="left" w:pos="1134"/>
          <w:tab w:val="left" w:pos="1418"/>
        </w:tabs>
        <w:ind w:left="1134" w:hanging="425"/>
        <w:rPr>
          <w:lang w:val="en-AU"/>
        </w:rPr>
      </w:pPr>
      <w:r w:rsidRPr="00CF0046">
        <w:rPr>
          <w:lang w:val="en-AU"/>
        </w:rPr>
        <w:t>accura</w:t>
      </w:r>
      <w:r w:rsidR="00423E52">
        <w:rPr>
          <w:lang w:val="en-AU"/>
        </w:rPr>
        <w:t>te</w:t>
      </w:r>
      <w:r w:rsidRPr="00CF0046">
        <w:rPr>
          <w:lang w:val="en-AU"/>
        </w:rPr>
        <w:t xml:space="preserve"> and unbiased data – an unbiased forecast of demand should include careful management of data quality (</w:t>
      </w:r>
      <w:r w:rsidR="0098067D">
        <w:rPr>
          <w:lang w:val="en-AU"/>
        </w:rPr>
        <w:t>for example,</w:t>
      </w:r>
      <w:r w:rsidR="0098067D" w:rsidRPr="00CF0046">
        <w:rPr>
          <w:lang w:val="en-AU"/>
        </w:rPr>
        <w:t xml:space="preserve"> </w:t>
      </w:r>
      <w:r w:rsidRPr="00CF0046">
        <w:rPr>
          <w:lang w:val="en-AU"/>
        </w:rPr>
        <w:t>removal of outliers, spurious values, data normalisation), and the forecasting model construction should be based on sound theoretical grounds that closely fit the observed data</w:t>
      </w:r>
      <w:r>
        <w:rPr>
          <w:lang w:val="en-AU"/>
        </w:rPr>
        <w:t>;</w:t>
      </w:r>
    </w:p>
    <w:p w14:paraId="750DAD9C" w14:textId="77777777" w:rsidR="00844EC8" w:rsidRPr="00CF0046" w:rsidRDefault="00844EC8" w:rsidP="008E229D">
      <w:pPr>
        <w:pStyle w:val="NumberLevel2"/>
        <w:numPr>
          <w:ilvl w:val="0"/>
          <w:numId w:val="12"/>
        </w:numPr>
        <w:tabs>
          <w:tab w:val="left" w:pos="1134"/>
          <w:tab w:val="left" w:pos="1418"/>
        </w:tabs>
        <w:ind w:left="1134" w:hanging="425"/>
        <w:rPr>
          <w:lang w:val="en-AU"/>
        </w:rPr>
      </w:pPr>
      <w:r w:rsidRPr="00CF0046">
        <w:rPr>
          <w:lang w:val="en-AU"/>
        </w:rPr>
        <w:t>transparency and repeatability – as evidenced by good documentation, including documentation of the use of judgment, which ensures consistency and minimises subjectivity in forecasts</w:t>
      </w:r>
      <w:r>
        <w:rPr>
          <w:lang w:val="en-AU"/>
        </w:rPr>
        <w:t xml:space="preserve">; </w:t>
      </w:r>
    </w:p>
    <w:p w14:paraId="28CA403F" w14:textId="77777777" w:rsidR="00844EC8" w:rsidRPr="00CF0046" w:rsidRDefault="00844EC8" w:rsidP="008E229D">
      <w:pPr>
        <w:pStyle w:val="NumberLevel2"/>
        <w:numPr>
          <w:ilvl w:val="0"/>
          <w:numId w:val="12"/>
        </w:numPr>
        <w:tabs>
          <w:tab w:val="left" w:pos="1134"/>
          <w:tab w:val="left" w:pos="1418"/>
        </w:tabs>
        <w:ind w:left="1134" w:hanging="425"/>
        <w:rPr>
          <w:lang w:val="en-AU"/>
        </w:rPr>
      </w:pPr>
      <w:r>
        <w:rPr>
          <w:lang w:val="en-AU"/>
        </w:rPr>
        <w:t>ap</w:t>
      </w:r>
      <w:r w:rsidRPr="00CF0046">
        <w:rPr>
          <w:lang w:val="en-AU"/>
        </w:rPr>
        <w:t>propriate incorporation of key drivers (inputs) of demand and exclusion of spurious drivers</w:t>
      </w:r>
      <w:r>
        <w:rPr>
          <w:lang w:val="en-AU"/>
        </w:rPr>
        <w:t xml:space="preserve">; </w:t>
      </w:r>
    </w:p>
    <w:p w14:paraId="720F6D0D" w14:textId="738E5854" w:rsidR="00844EC8" w:rsidRPr="00CF0046" w:rsidRDefault="00844EC8" w:rsidP="008E229D">
      <w:pPr>
        <w:pStyle w:val="NumberLevel2"/>
        <w:numPr>
          <w:ilvl w:val="0"/>
          <w:numId w:val="12"/>
        </w:numPr>
        <w:tabs>
          <w:tab w:val="left" w:pos="1134"/>
          <w:tab w:val="left" w:pos="1418"/>
        </w:tabs>
        <w:ind w:left="1134" w:hanging="425"/>
        <w:rPr>
          <w:lang w:val="en-AU"/>
        </w:rPr>
      </w:pPr>
      <w:r w:rsidRPr="00CF0046">
        <w:rPr>
          <w:lang w:val="en-AU"/>
        </w:rPr>
        <w:t>model validation and testing – including, where appropriate, assessment of statistical significance of explanatory variables, ‘goodness of fit’, in-sample forecasting performance of the model against actual data, diagnostic checking of the old models</w:t>
      </w:r>
      <w:r w:rsidR="006F0659">
        <w:rPr>
          <w:lang w:val="en-AU"/>
        </w:rPr>
        <w:t xml:space="preserve"> and </w:t>
      </w:r>
      <w:r w:rsidR="004E6B6D" w:rsidRPr="00CF0046">
        <w:rPr>
          <w:lang w:val="en-AU"/>
        </w:rPr>
        <w:t>out</w:t>
      </w:r>
      <w:r w:rsidR="004E6B6D">
        <w:rPr>
          <w:lang w:val="en-AU"/>
        </w:rPr>
        <w:t>-</w:t>
      </w:r>
      <w:r w:rsidR="004E6B6D" w:rsidRPr="00CF0046">
        <w:rPr>
          <w:lang w:val="en-AU"/>
        </w:rPr>
        <w:t>of</w:t>
      </w:r>
      <w:r w:rsidR="004E6B6D">
        <w:rPr>
          <w:lang w:val="en-AU"/>
        </w:rPr>
        <w:t>-</w:t>
      </w:r>
      <w:r w:rsidRPr="00CF0046">
        <w:rPr>
          <w:lang w:val="en-AU"/>
        </w:rPr>
        <w:t>sample forecast performance</w:t>
      </w:r>
      <w:r>
        <w:rPr>
          <w:lang w:val="en-AU"/>
        </w:rPr>
        <w:t>;</w:t>
      </w:r>
    </w:p>
    <w:p w14:paraId="54D78674" w14:textId="77777777" w:rsidR="00844EC8" w:rsidRDefault="00844EC8" w:rsidP="008E229D">
      <w:pPr>
        <w:pStyle w:val="NumberLevel2"/>
        <w:numPr>
          <w:ilvl w:val="0"/>
          <w:numId w:val="12"/>
        </w:numPr>
        <w:tabs>
          <w:tab w:val="left" w:pos="1134"/>
          <w:tab w:val="left" w:pos="1418"/>
        </w:tabs>
        <w:ind w:left="1134" w:hanging="425"/>
        <w:rPr>
          <w:lang w:val="en-AU"/>
        </w:rPr>
      </w:pPr>
      <w:r w:rsidRPr="00CF0046">
        <w:rPr>
          <w:lang w:val="en-AU"/>
        </w:rPr>
        <w:t>accuracy and consistency of forecasts at different levels of aggregation – affects the overall reasonableness of the forecasts as accuracy at the total level may mask errors at lower levels that cancel each other out</w:t>
      </w:r>
      <w:r>
        <w:rPr>
          <w:lang w:val="en-AU"/>
        </w:rPr>
        <w:t>; and</w:t>
      </w:r>
    </w:p>
    <w:p w14:paraId="6B4DFE35" w14:textId="77777777" w:rsidR="00844EC8" w:rsidRDefault="00844EC8" w:rsidP="00D32B9A">
      <w:pPr>
        <w:pStyle w:val="NumberLevel2"/>
        <w:numPr>
          <w:ilvl w:val="0"/>
          <w:numId w:val="12"/>
        </w:numPr>
        <w:tabs>
          <w:tab w:val="left" w:pos="1134"/>
        </w:tabs>
        <w:ind w:left="1134" w:hanging="425"/>
        <w:rPr>
          <w:lang w:val="en-AU"/>
        </w:rPr>
      </w:pPr>
      <w:r>
        <w:rPr>
          <w:lang w:val="en-AU"/>
        </w:rPr>
        <w:t>use of most recent input information.</w:t>
      </w:r>
    </w:p>
    <w:p w14:paraId="2A1E30F0" w14:textId="3FC04245" w:rsidR="00844EC8" w:rsidRPr="00CF0046" w:rsidRDefault="00844EC8" w:rsidP="00A806E4">
      <w:pPr>
        <w:pStyle w:val="NumberLevel2"/>
        <w:numPr>
          <w:ilvl w:val="1"/>
          <w:numId w:val="4"/>
        </w:numPr>
        <w:tabs>
          <w:tab w:val="left" w:pos="709"/>
          <w:tab w:val="num" w:pos="2278"/>
        </w:tabs>
        <w:ind w:left="709" w:hanging="709"/>
        <w:rPr>
          <w:lang w:val="en-AU"/>
        </w:rPr>
      </w:pPr>
      <w:r>
        <w:rPr>
          <w:lang w:val="en-AU"/>
        </w:rPr>
        <w:t>An overestimation of demand for the purposes of the Power System Review</w:t>
      </w:r>
      <w:r w:rsidR="00423E52">
        <w:rPr>
          <w:lang w:val="en-AU"/>
        </w:rPr>
        <w:t xml:space="preserve"> m</w:t>
      </w:r>
      <w:r w:rsidR="00185936">
        <w:rPr>
          <w:lang w:val="en-AU"/>
        </w:rPr>
        <w:t xml:space="preserve">ight </w:t>
      </w:r>
      <w:r w:rsidR="00423E52">
        <w:rPr>
          <w:lang w:val="en-AU"/>
        </w:rPr>
        <w:t>be</w:t>
      </w:r>
      <w:r>
        <w:rPr>
          <w:lang w:val="en-AU"/>
        </w:rPr>
        <w:t xml:space="preserve"> less critical than identifying areas of potential under supply</w:t>
      </w:r>
      <w:r w:rsidR="00423E52">
        <w:rPr>
          <w:lang w:val="en-AU"/>
        </w:rPr>
        <w:t>,</w:t>
      </w:r>
      <w:r>
        <w:rPr>
          <w:lang w:val="en-AU"/>
        </w:rPr>
        <w:t xml:space="preserve"> but</w:t>
      </w:r>
      <w:r w:rsidR="004E6B6D">
        <w:rPr>
          <w:lang w:val="en-AU"/>
        </w:rPr>
        <w:t>,</w:t>
      </w:r>
      <w:r>
        <w:rPr>
          <w:lang w:val="en-AU"/>
        </w:rPr>
        <w:t xml:space="preserve"> for the </w:t>
      </w:r>
      <w:r w:rsidR="006F02E4">
        <w:rPr>
          <w:lang w:val="en-AU"/>
        </w:rPr>
        <w:t xml:space="preserve">2012-13 </w:t>
      </w:r>
      <w:r>
        <w:rPr>
          <w:lang w:val="en-AU"/>
        </w:rPr>
        <w:t>Power System Review</w:t>
      </w:r>
      <w:r w:rsidR="004E6B6D">
        <w:rPr>
          <w:lang w:val="en-AU"/>
        </w:rPr>
        <w:t>,</w:t>
      </w:r>
      <w:r>
        <w:rPr>
          <w:lang w:val="en-AU"/>
        </w:rPr>
        <w:t xml:space="preserve"> the Commission </w:t>
      </w:r>
      <w:r w:rsidR="00CD2A05">
        <w:rPr>
          <w:lang w:val="en-AU"/>
        </w:rPr>
        <w:t>advised that it would</w:t>
      </w:r>
      <w:r>
        <w:rPr>
          <w:lang w:val="en-AU"/>
        </w:rPr>
        <w:t xml:space="preserve"> consider the analysis undertaken as part of the </w:t>
      </w:r>
      <w:r w:rsidR="004E6B6D">
        <w:rPr>
          <w:lang w:val="en-AU"/>
        </w:rPr>
        <w:t xml:space="preserve">2014 </w:t>
      </w:r>
      <w:r>
        <w:rPr>
          <w:lang w:val="en-AU"/>
        </w:rPr>
        <w:t xml:space="preserve">Network Price Determination with the objective of providing a more robust demand forecasting assessment. </w:t>
      </w:r>
    </w:p>
    <w:p w14:paraId="6348406D" w14:textId="7D243E37" w:rsidR="00844EC8" w:rsidRPr="00A515F5" w:rsidRDefault="00844EC8" w:rsidP="00A806E4">
      <w:pPr>
        <w:pStyle w:val="NumberLevel2"/>
        <w:numPr>
          <w:ilvl w:val="1"/>
          <w:numId w:val="4"/>
        </w:numPr>
        <w:tabs>
          <w:tab w:val="left" w:pos="709"/>
          <w:tab w:val="num" w:pos="2278"/>
        </w:tabs>
        <w:ind w:left="709" w:hanging="709"/>
        <w:rPr>
          <w:lang w:val="en-AU"/>
        </w:rPr>
      </w:pPr>
      <w:r>
        <w:rPr>
          <w:lang w:val="en-AU"/>
        </w:rPr>
        <w:t>T</w:t>
      </w:r>
      <w:r w:rsidRPr="00617532">
        <w:rPr>
          <w:lang w:val="en-AU"/>
        </w:rPr>
        <w:t xml:space="preserve">he Commission </w:t>
      </w:r>
      <w:r w:rsidR="006F02E4">
        <w:rPr>
          <w:lang w:val="en-AU"/>
        </w:rPr>
        <w:t xml:space="preserve">stated </w:t>
      </w:r>
      <w:r w:rsidR="00CD2A05">
        <w:rPr>
          <w:lang w:val="en-AU"/>
        </w:rPr>
        <w:t>that it understood</w:t>
      </w:r>
      <w:r w:rsidR="00CD2A05" w:rsidRPr="00617532">
        <w:rPr>
          <w:lang w:val="en-AU"/>
        </w:rPr>
        <w:t xml:space="preserve"> </w:t>
      </w:r>
      <w:r w:rsidRPr="00617532">
        <w:rPr>
          <w:lang w:val="en-AU"/>
        </w:rPr>
        <w:t xml:space="preserve">the issues raised by the NTCOSS submission on </w:t>
      </w:r>
      <w:r>
        <w:rPr>
          <w:lang w:val="en-AU"/>
        </w:rPr>
        <w:t>a</w:t>
      </w:r>
      <w:r w:rsidRPr="00617532">
        <w:rPr>
          <w:lang w:val="en-AU"/>
        </w:rPr>
        <w:t>ffordability</w:t>
      </w:r>
      <w:r>
        <w:rPr>
          <w:lang w:val="en-AU"/>
        </w:rPr>
        <w:t xml:space="preserve">, </w:t>
      </w:r>
      <w:r w:rsidRPr="00617532">
        <w:rPr>
          <w:lang w:val="en-AU"/>
        </w:rPr>
        <w:t xml:space="preserve">demand growth </w:t>
      </w:r>
      <w:r>
        <w:rPr>
          <w:lang w:val="en-AU"/>
        </w:rPr>
        <w:t xml:space="preserve">and ability for low income households </w:t>
      </w:r>
      <w:r w:rsidRPr="00A515F5">
        <w:rPr>
          <w:lang w:val="en-AU"/>
        </w:rPr>
        <w:t xml:space="preserve">to implement energy efficiency measures (such as solar PV installations). </w:t>
      </w:r>
      <w:r w:rsidR="006F02E4">
        <w:rPr>
          <w:lang w:val="en-AU"/>
        </w:rPr>
        <w:t>However, the</w:t>
      </w:r>
      <w:r w:rsidR="006F02E4" w:rsidRPr="00A515F5">
        <w:rPr>
          <w:lang w:val="en-AU"/>
        </w:rPr>
        <w:t xml:space="preserve"> </w:t>
      </w:r>
      <w:r w:rsidRPr="00A515F5">
        <w:rPr>
          <w:lang w:val="en-AU"/>
        </w:rPr>
        <w:t xml:space="preserve">regulation of retail charges for small </w:t>
      </w:r>
      <w:r w:rsidR="004E6B6D" w:rsidRPr="00A515F5">
        <w:rPr>
          <w:lang w:val="en-AU"/>
        </w:rPr>
        <w:t xml:space="preserve">and </w:t>
      </w:r>
      <w:r w:rsidRPr="00A515F5">
        <w:rPr>
          <w:lang w:val="en-AU"/>
        </w:rPr>
        <w:t xml:space="preserve">medium </w:t>
      </w:r>
      <w:r w:rsidR="006F02E4">
        <w:rPr>
          <w:lang w:val="en-AU"/>
        </w:rPr>
        <w:t xml:space="preserve">retail </w:t>
      </w:r>
      <w:r w:rsidRPr="00A515F5">
        <w:rPr>
          <w:lang w:val="en-AU"/>
        </w:rPr>
        <w:t>customer</w:t>
      </w:r>
      <w:r w:rsidR="00423E52" w:rsidRPr="00A515F5">
        <w:rPr>
          <w:lang w:val="en-AU"/>
        </w:rPr>
        <w:t>s</w:t>
      </w:r>
      <w:r w:rsidRPr="00A515F5">
        <w:rPr>
          <w:lang w:val="en-AU"/>
        </w:rPr>
        <w:t xml:space="preserve"> and the application of subsidy schemes</w:t>
      </w:r>
      <w:r w:rsidR="004E6B6D" w:rsidRPr="00A515F5">
        <w:rPr>
          <w:lang w:val="en-AU"/>
        </w:rPr>
        <w:t>,</w:t>
      </w:r>
      <w:r w:rsidRPr="00A515F5">
        <w:rPr>
          <w:lang w:val="en-AU"/>
        </w:rPr>
        <w:t xml:space="preserve"> such as the Pensioner Concession Scheme</w:t>
      </w:r>
      <w:r w:rsidR="004E6B6D" w:rsidRPr="00A515F5">
        <w:rPr>
          <w:lang w:val="en-AU"/>
        </w:rPr>
        <w:t>,</w:t>
      </w:r>
      <w:r w:rsidRPr="00A515F5">
        <w:rPr>
          <w:lang w:val="en-AU"/>
        </w:rPr>
        <w:t xml:space="preserve"> </w:t>
      </w:r>
      <w:r w:rsidR="006F02E4">
        <w:rPr>
          <w:lang w:val="en-AU"/>
        </w:rPr>
        <w:t>were</w:t>
      </w:r>
      <w:r w:rsidR="006F02E4" w:rsidRPr="00A515F5">
        <w:rPr>
          <w:lang w:val="en-AU"/>
        </w:rPr>
        <w:t xml:space="preserve"> </w:t>
      </w:r>
      <w:r w:rsidRPr="00A515F5">
        <w:rPr>
          <w:lang w:val="en-AU"/>
        </w:rPr>
        <w:t>matter</w:t>
      </w:r>
      <w:r w:rsidR="00423E52" w:rsidRPr="00A515F5">
        <w:rPr>
          <w:lang w:val="en-AU"/>
        </w:rPr>
        <w:t>s</w:t>
      </w:r>
      <w:r w:rsidRPr="00A515F5">
        <w:rPr>
          <w:lang w:val="en-AU"/>
        </w:rPr>
        <w:t xml:space="preserve"> of </w:t>
      </w:r>
      <w:r w:rsidR="004E6B6D" w:rsidRPr="00A515F5">
        <w:rPr>
          <w:lang w:val="en-AU"/>
        </w:rPr>
        <w:t xml:space="preserve">Territory </w:t>
      </w:r>
      <w:r w:rsidRPr="00A515F5">
        <w:rPr>
          <w:lang w:val="en-AU"/>
        </w:rPr>
        <w:t xml:space="preserve">Government policy and not within the authority of the Commission and </w:t>
      </w:r>
      <w:r w:rsidR="006F02E4">
        <w:rPr>
          <w:lang w:val="en-AU"/>
        </w:rPr>
        <w:t>the Draft Determination</w:t>
      </w:r>
      <w:r w:rsidRPr="00A515F5">
        <w:rPr>
          <w:lang w:val="en-AU"/>
        </w:rPr>
        <w:t xml:space="preserve">. </w:t>
      </w:r>
    </w:p>
    <w:p w14:paraId="65DC7C3F" w14:textId="209D95A1" w:rsidR="00844EC8" w:rsidRPr="00D17EE9" w:rsidRDefault="00423E52" w:rsidP="00A806E4">
      <w:pPr>
        <w:pStyle w:val="NumberLevel2"/>
        <w:numPr>
          <w:ilvl w:val="1"/>
          <w:numId w:val="4"/>
        </w:numPr>
        <w:tabs>
          <w:tab w:val="num" w:pos="709"/>
        </w:tabs>
        <w:ind w:left="709" w:hanging="709"/>
        <w:rPr>
          <w:lang w:val="en-AU"/>
        </w:rPr>
      </w:pPr>
      <w:r>
        <w:rPr>
          <w:lang w:val="en-AU"/>
        </w:rPr>
        <w:t xml:space="preserve">The level of </w:t>
      </w:r>
      <w:r w:rsidR="005E1183">
        <w:rPr>
          <w:lang w:val="en-AU"/>
        </w:rPr>
        <w:t xml:space="preserve">retail </w:t>
      </w:r>
      <w:r>
        <w:rPr>
          <w:lang w:val="en-AU"/>
        </w:rPr>
        <w:t>c</w:t>
      </w:r>
      <w:r w:rsidR="00844EC8" w:rsidRPr="00D17EE9">
        <w:rPr>
          <w:lang w:val="en-AU"/>
        </w:rPr>
        <w:t xml:space="preserve">ustomer connections </w:t>
      </w:r>
      <w:r w:rsidR="00185936">
        <w:rPr>
          <w:lang w:val="en-AU"/>
        </w:rPr>
        <w:t>wa</w:t>
      </w:r>
      <w:r w:rsidR="00844EC8" w:rsidRPr="00D17EE9">
        <w:rPr>
          <w:lang w:val="en-AU"/>
        </w:rPr>
        <w:t xml:space="preserve">s the primary cost driver of the forecast network user initiated capex. The Commission </w:t>
      </w:r>
      <w:r w:rsidR="006464E0" w:rsidRPr="00D17EE9">
        <w:rPr>
          <w:lang w:val="en-AU"/>
        </w:rPr>
        <w:t>note</w:t>
      </w:r>
      <w:r w:rsidR="006464E0">
        <w:rPr>
          <w:lang w:val="en-AU"/>
        </w:rPr>
        <w:t>d</w:t>
      </w:r>
      <w:r w:rsidR="006464E0" w:rsidRPr="00D17EE9">
        <w:rPr>
          <w:lang w:val="en-AU"/>
        </w:rPr>
        <w:t xml:space="preserve"> </w:t>
      </w:r>
      <w:r w:rsidR="00844EC8" w:rsidRPr="00D17EE9">
        <w:rPr>
          <w:lang w:val="en-AU"/>
        </w:rPr>
        <w:t xml:space="preserve">that PWC Networks’ </w:t>
      </w:r>
      <w:r w:rsidR="005E1183">
        <w:rPr>
          <w:lang w:val="en-AU"/>
        </w:rPr>
        <w:t xml:space="preserve">retail </w:t>
      </w:r>
      <w:r w:rsidR="00844EC8" w:rsidRPr="00D17EE9">
        <w:rPr>
          <w:lang w:val="en-AU"/>
        </w:rPr>
        <w:t xml:space="preserve">customer connection forecast </w:t>
      </w:r>
      <w:r w:rsidR="005E1183">
        <w:rPr>
          <w:lang w:val="en-AU"/>
        </w:rPr>
        <w:t>was</w:t>
      </w:r>
      <w:r w:rsidR="005E1183" w:rsidRPr="00D17EE9">
        <w:rPr>
          <w:lang w:val="en-AU"/>
        </w:rPr>
        <w:t xml:space="preserve"> </w:t>
      </w:r>
      <w:r w:rsidR="00844EC8" w:rsidRPr="00D17EE9">
        <w:rPr>
          <w:lang w:val="en-AU"/>
        </w:rPr>
        <w:t xml:space="preserve">developed using similar techniques to the demand forecasts, specifically least squares regression and adjustments based on expert judgement to account for factors that impact on </w:t>
      </w:r>
      <w:r w:rsidR="005E1183">
        <w:rPr>
          <w:lang w:val="en-AU"/>
        </w:rPr>
        <w:t xml:space="preserve">retail </w:t>
      </w:r>
      <w:r w:rsidR="00844EC8" w:rsidRPr="00D17EE9">
        <w:rPr>
          <w:lang w:val="en-AU"/>
        </w:rPr>
        <w:t>customer number growth (</w:t>
      </w:r>
      <w:r w:rsidR="004E6B6D">
        <w:rPr>
          <w:lang w:val="en-AU"/>
        </w:rPr>
        <w:t>for example,</w:t>
      </w:r>
      <w:r w:rsidR="004E6B6D" w:rsidRPr="00D17EE9">
        <w:rPr>
          <w:lang w:val="en-AU"/>
        </w:rPr>
        <w:t xml:space="preserve"> </w:t>
      </w:r>
      <w:r w:rsidR="00844EC8">
        <w:rPr>
          <w:lang w:val="en-AU"/>
        </w:rPr>
        <w:t>forward economic conditions</w:t>
      </w:r>
      <w:r w:rsidR="00844EC8" w:rsidRPr="00D17EE9">
        <w:rPr>
          <w:lang w:val="en-AU"/>
        </w:rPr>
        <w:t xml:space="preserve">). </w:t>
      </w:r>
    </w:p>
    <w:p w14:paraId="5697773E" w14:textId="7005C219" w:rsidR="00844EC8" w:rsidRPr="00D17EE9" w:rsidRDefault="00844EC8" w:rsidP="00A806E4">
      <w:pPr>
        <w:pStyle w:val="NumberLevel2"/>
        <w:numPr>
          <w:ilvl w:val="1"/>
          <w:numId w:val="4"/>
        </w:numPr>
        <w:tabs>
          <w:tab w:val="num" w:pos="709"/>
        </w:tabs>
        <w:ind w:left="709" w:hanging="709"/>
        <w:rPr>
          <w:lang w:val="en-AU"/>
        </w:rPr>
      </w:pPr>
      <w:r>
        <w:rPr>
          <w:lang w:val="en-AU"/>
        </w:rPr>
        <w:t xml:space="preserve">In relation to </w:t>
      </w:r>
      <w:r w:rsidR="005E1183">
        <w:rPr>
          <w:lang w:val="en-AU"/>
        </w:rPr>
        <w:t xml:space="preserve">retail </w:t>
      </w:r>
      <w:r>
        <w:rPr>
          <w:lang w:val="en-AU"/>
        </w:rPr>
        <w:t>customer connection forecasts, t</w:t>
      </w:r>
      <w:r w:rsidRPr="00D17EE9">
        <w:rPr>
          <w:lang w:val="en-AU"/>
        </w:rPr>
        <w:t xml:space="preserve">he Commission </w:t>
      </w:r>
      <w:r w:rsidR="00423E52">
        <w:rPr>
          <w:lang w:val="en-AU"/>
        </w:rPr>
        <w:t xml:space="preserve">again </w:t>
      </w:r>
      <w:r w:rsidR="006464E0" w:rsidRPr="00D17EE9">
        <w:rPr>
          <w:lang w:val="en-AU"/>
        </w:rPr>
        <w:t>note</w:t>
      </w:r>
      <w:r w:rsidR="006464E0">
        <w:rPr>
          <w:lang w:val="en-AU"/>
        </w:rPr>
        <w:t>d</w:t>
      </w:r>
      <w:r w:rsidR="006464E0" w:rsidRPr="00D17EE9">
        <w:rPr>
          <w:lang w:val="en-AU"/>
        </w:rPr>
        <w:t xml:space="preserve"> </w:t>
      </w:r>
      <w:r w:rsidRPr="00D17EE9">
        <w:rPr>
          <w:lang w:val="en-AU"/>
        </w:rPr>
        <w:t>that t</w:t>
      </w:r>
      <w:r w:rsidR="00423E52">
        <w:rPr>
          <w:lang w:val="en-AU"/>
        </w:rPr>
        <w:t>he</w:t>
      </w:r>
      <w:r w:rsidRPr="00D17EE9">
        <w:rPr>
          <w:lang w:val="en-AU"/>
        </w:rPr>
        <w:t xml:space="preserve"> adjustments </w:t>
      </w:r>
      <w:r w:rsidR="00185936">
        <w:rPr>
          <w:lang w:val="en-AU"/>
        </w:rPr>
        <w:t>were</w:t>
      </w:r>
      <w:r>
        <w:rPr>
          <w:lang w:val="en-AU"/>
        </w:rPr>
        <w:t xml:space="preserve"> made </w:t>
      </w:r>
      <w:r w:rsidRPr="00D17EE9">
        <w:rPr>
          <w:lang w:val="en-AU"/>
        </w:rPr>
        <w:t xml:space="preserve">based on expert judgements that </w:t>
      </w:r>
      <w:r w:rsidR="00185936">
        <w:rPr>
          <w:lang w:val="en-AU"/>
        </w:rPr>
        <w:t>were</w:t>
      </w:r>
      <w:r w:rsidRPr="00D17EE9">
        <w:rPr>
          <w:lang w:val="en-AU"/>
        </w:rPr>
        <w:t xml:space="preserve"> not clearly documented.</w:t>
      </w:r>
    </w:p>
    <w:p w14:paraId="0BC6771E" w14:textId="5FA27320" w:rsidR="00844EC8" w:rsidRDefault="00844EC8" w:rsidP="00A806E4">
      <w:pPr>
        <w:pStyle w:val="NumberLevel2"/>
        <w:numPr>
          <w:ilvl w:val="1"/>
          <w:numId w:val="4"/>
        </w:numPr>
        <w:tabs>
          <w:tab w:val="num" w:pos="709"/>
        </w:tabs>
        <w:ind w:left="709" w:hanging="709"/>
        <w:rPr>
          <w:lang w:val="en-AU"/>
        </w:rPr>
      </w:pPr>
      <w:r w:rsidRPr="00D17EE9">
        <w:rPr>
          <w:lang w:val="en-AU"/>
        </w:rPr>
        <w:t xml:space="preserve">It </w:t>
      </w:r>
      <w:r w:rsidR="005E1183">
        <w:rPr>
          <w:lang w:val="en-AU"/>
        </w:rPr>
        <w:t>was</w:t>
      </w:r>
      <w:r w:rsidR="005E1183" w:rsidRPr="00D17EE9">
        <w:rPr>
          <w:lang w:val="en-AU"/>
        </w:rPr>
        <w:t xml:space="preserve"> </w:t>
      </w:r>
      <w:r w:rsidRPr="00D17EE9">
        <w:rPr>
          <w:lang w:val="en-AU"/>
        </w:rPr>
        <w:t xml:space="preserve">noted that the ABS demographics data shows that the population of the Territory grew by 4,297 persons per annum on average across the five years from 2007-08 to 2011-12. </w:t>
      </w:r>
      <w:r w:rsidR="005E1183">
        <w:rPr>
          <w:lang w:val="en-AU"/>
        </w:rPr>
        <w:t>While o</w:t>
      </w:r>
      <w:r w:rsidR="005E1183" w:rsidRPr="00D17EE9">
        <w:rPr>
          <w:lang w:val="en-AU"/>
        </w:rPr>
        <w:t xml:space="preserve">ver </w:t>
      </w:r>
      <w:r w:rsidRPr="00D17EE9">
        <w:rPr>
          <w:lang w:val="en-AU"/>
        </w:rPr>
        <w:t xml:space="preserve">the forecast period from 2011 to 2021, the ABS </w:t>
      </w:r>
      <w:r w:rsidR="00185936">
        <w:rPr>
          <w:lang w:val="en-AU"/>
        </w:rPr>
        <w:t>wa</w:t>
      </w:r>
      <w:r w:rsidRPr="00D17EE9">
        <w:rPr>
          <w:lang w:val="en-AU"/>
        </w:rPr>
        <w:t>s projecting a population increase of 3,</w:t>
      </w:r>
      <w:r w:rsidR="005E1183" w:rsidRPr="00D17EE9">
        <w:rPr>
          <w:lang w:val="en-AU"/>
        </w:rPr>
        <w:t>600</w:t>
      </w:r>
      <w:r w:rsidR="005E1183">
        <w:rPr>
          <w:lang w:val="en-AU"/>
        </w:rPr>
        <w:t> </w:t>
      </w:r>
      <w:r w:rsidRPr="00D17EE9">
        <w:rPr>
          <w:lang w:val="en-AU"/>
        </w:rPr>
        <w:t xml:space="preserve">persons </w:t>
      </w:r>
      <w:r w:rsidR="005E1183" w:rsidRPr="00D17EE9">
        <w:rPr>
          <w:lang w:val="en-AU"/>
        </w:rPr>
        <w:t>per</w:t>
      </w:r>
      <w:r w:rsidR="005E1183">
        <w:rPr>
          <w:lang w:val="en-AU"/>
        </w:rPr>
        <w:t> </w:t>
      </w:r>
      <w:r w:rsidRPr="00D17EE9">
        <w:rPr>
          <w:lang w:val="en-AU"/>
        </w:rPr>
        <w:t xml:space="preserve">annum on average, a reduction in population growth of about </w:t>
      </w:r>
      <w:r w:rsidR="005E1183" w:rsidRPr="00D17EE9">
        <w:rPr>
          <w:lang w:val="en-AU"/>
        </w:rPr>
        <w:t>16</w:t>
      </w:r>
      <w:r w:rsidR="005E1183">
        <w:rPr>
          <w:lang w:val="en-AU"/>
        </w:rPr>
        <w:t> </w:t>
      </w:r>
      <w:r w:rsidR="005E1183" w:rsidRPr="00D17EE9">
        <w:rPr>
          <w:lang w:val="en-AU"/>
        </w:rPr>
        <w:t>per</w:t>
      </w:r>
      <w:r w:rsidR="005E1183">
        <w:rPr>
          <w:lang w:val="en-AU"/>
        </w:rPr>
        <w:t> </w:t>
      </w:r>
      <w:r w:rsidRPr="00D17EE9">
        <w:rPr>
          <w:lang w:val="en-AU"/>
        </w:rPr>
        <w:t xml:space="preserve">cent on average. </w:t>
      </w:r>
    </w:p>
    <w:p w14:paraId="57D47B76" w14:textId="7ECAAE61" w:rsidR="00844EC8" w:rsidRPr="00D17EE9" w:rsidRDefault="00844EC8" w:rsidP="00A806E4">
      <w:pPr>
        <w:pStyle w:val="NumberLevel2"/>
        <w:numPr>
          <w:ilvl w:val="1"/>
          <w:numId w:val="4"/>
        </w:numPr>
        <w:tabs>
          <w:tab w:val="num" w:pos="709"/>
        </w:tabs>
        <w:ind w:left="709" w:hanging="709"/>
        <w:rPr>
          <w:lang w:val="en-AU"/>
        </w:rPr>
      </w:pPr>
      <w:r w:rsidRPr="00D17EE9">
        <w:rPr>
          <w:lang w:val="en-AU"/>
        </w:rPr>
        <w:t xml:space="preserve">In contrast, analysis of PWC Networks’ </w:t>
      </w:r>
      <w:r w:rsidR="005E1183">
        <w:rPr>
          <w:lang w:val="en-AU"/>
        </w:rPr>
        <w:t xml:space="preserve">retail </w:t>
      </w:r>
      <w:r w:rsidRPr="00D17EE9">
        <w:rPr>
          <w:lang w:val="en-AU"/>
        </w:rPr>
        <w:t>customer connection forecast show</w:t>
      </w:r>
      <w:r w:rsidR="00185936">
        <w:rPr>
          <w:lang w:val="en-AU"/>
        </w:rPr>
        <w:t>ed</w:t>
      </w:r>
      <w:r w:rsidRPr="00D17EE9">
        <w:rPr>
          <w:lang w:val="en-AU"/>
        </w:rPr>
        <w:t xml:space="preserve"> that</w:t>
      </w:r>
      <w:r w:rsidR="004E6B6D">
        <w:rPr>
          <w:lang w:val="en-AU"/>
        </w:rPr>
        <w:t>,</w:t>
      </w:r>
      <w:r w:rsidRPr="00D17EE9">
        <w:rPr>
          <w:lang w:val="en-AU"/>
        </w:rPr>
        <w:t xml:space="preserve"> over the five years from 2008-09 to 2012-13</w:t>
      </w:r>
      <w:r w:rsidR="004E6B6D">
        <w:rPr>
          <w:lang w:val="en-AU"/>
        </w:rPr>
        <w:t>,</w:t>
      </w:r>
      <w:r w:rsidRPr="00D17EE9">
        <w:rPr>
          <w:lang w:val="en-AU"/>
        </w:rPr>
        <w:t xml:space="preserve"> </w:t>
      </w:r>
      <w:r w:rsidR="004E6B6D">
        <w:rPr>
          <w:lang w:val="en-AU"/>
        </w:rPr>
        <w:t>PWC</w:t>
      </w:r>
      <w:r w:rsidR="004E6B6D" w:rsidRPr="00D17EE9">
        <w:rPr>
          <w:lang w:val="en-AU"/>
        </w:rPr>
        <w:t xml:space="preserve"> </w:t>
      </w:r>
      <w:r w:rsidRPr="00D17EE9">
        <w:rPr>
          <w:lang w:val="en-AU"/>
        </w:rPr>
        <w:t>Networks connected 1</w:t>
      </w:r>
      <w:r w:rsidR="005E1183">
        <w:rPr>
          <w:lang w:val="en-AU"/>
        </w:rPr>
        <w:t> </w:t>
      </w:r>
      <w:r w:rsidRPr="00D17EE9">
        <w:rPr>
          <w:lang w:val="en-AU"/>
        </w:rPr>
        <w:t>718</w:t>
      </w:r>
      <w:r w:rsidR="00D32B9A">
        <w:rPr>
          <w:lang w:val="en-AU"/>
        </w:rPr>
        <w:t> </w:t>
      </w:r>
      <w:r w:rsidR="005E1183">
        <w:rPr>
          <w:lang w:val="en-AU"/>
        </w:rPr>
        <w:t xml:space="preserve">retail </w:t>
      </w:r>
      <w:r w:rsidRPr="00D17EE9">
        <w:rPr>
          <w:lang w:val="en-AU"/>
        </w:rPr>
        <w:t xml:space="preserve">customers </w:t>
      </w:r>
      <w:r w:rsidR="005E1183" w:rsidRPr="00D17EE9">
        <w:rPr>
          <w:lang w:val="en-AU"/>
        </w:rPr>
        <w:t>per</w:t>
      </w:r>
      <w:r w:rsidR="005E1183">
        <w:rPr>
          <w:lang w:val="en-AU"/>
        </w:rPr>
        <w:t> </w:t>
      </w:r>
      <w:r w:rsidRPr="00D17EE9">
        <w:rPr>
          <w:lang w:val="en-AU"/>
        </w:rPr>
        <w:t xml:space="preserve">annum on average. However, over the </w:t>
      </w:r>
      <w:r w:rsidR="005E1183">
        <w:rPr>
          <w:lang w:val="en-AU"/>
        </w:rPr>
        <w:t>2014-19 regulatory control period,</w:t>
      </w:r>
      <w:r w:rsidRPr="00D17EE9">
        <w:rPr>
          <w:lang w:val="en-AU"/>
        </w:rPr>
        <w:t xml:space="preserve"> PWC Networks forecast</w:t>
      </w:r>
      <w:r w:rsidR="00423E52">
        <w:rPr>
          <w:lang w:val="en-AU"/>
        </w:rPr>
        <w:t>s</w:t>
      </w:r>
      <w:r w:rsidRPr="00D17EE9">
        <w:rPr>
          <w:lang w:val="en-AU"/>
        </w:rPr>
        <w:t xml:space="preserve"> connections of 2</w:t>
      </w:r>
      <w:r w:rsidR="005E1183">
        <w:rPr>
          <w:lang w:val="en-AU"/>
        </w:rPr>
        <w:t> </w:t>
      </w:r>
      <w:r w:rsidR="005E1183" w:rsidRPr="00D17EE9">
        <w:rPr>
          <w:lang w:val="en-AU"/>
        </w:rPr>
        <w:t>075</w:t>
      </w:r>
      <w:r w:rsidR="005E1183">
        <w:rPr>
          <w:lang w:val="en-AU"/>
        </w:rPr>
        <w:t xml:space="preserve"> </w:t>
      </w:r>
      <w:r w:rsidRPr="00D17EE9">
        <w:rPr>
          <w:lang w:val="en-AU"/>
        </w:rPr>
        <w:t xml:space="preserve">customers </w:t>
      </w:r>
      <w:r w:rsidR="005E1183" w:rsidRPr="00D17EE9">
        <w:rPr>
          <w:lang w:val="en-AU"/>
        </w:rPr>
        <w:t>per</w:t>
      </w:r>
      <w:r w:rsidR="005E1183">
        <w:rPr>
          <w:lang w:val="en-AU"/>
        </w:rPr>
        <w:t> </w:t>
      </w:r>
      <w:r w:rsidRPr="00D17EE9">
        <w:rPr>
          <w:lang w:val="en-AU"/>
        </w:rPr>
        <w:t>annum</w:t>
      </w:r>
      <w:r w:rsidR="00423E52">
        <w:rPr>
          <w:lang w:val="en-AU"/>
        </w:rPr>
        <w:t>,</w:t>
      </w:r>
      <w:r w:rsidRPr="00D17EE9">
        <w:rPr>
          <w:lang w:val="en-AU"/>
        </w:rPr>
        <w:t xml:space="preserve"> on average, a </w:t>
      </w:r>
      <w:r w:rsidR="005E1183" w:rsidRPr="00D17EE9">
        <w:rPr>
          <w:lang w:val="en-AU"/>
        </w:rPr>
        <w:t>21</w:t>
      </w:r>
      <w:r w:rsidR="005E1183">
        <w:rPr>
          <w:lang w:val="en-AU"/>
        </w:rPr>
        <w:t xml:space="preserve"> </w:t>
      </w:r>
      <w:r w:rsidR="005E1183" w:rsidRPr="00D17EE9">
        <w:rPr>
          <w:lang w:val="en-AU"/>
        </w:rPr>
        <w:t>per</w:t>
      </w:r>
      <w:r w:rsidR="005E1183">
        <w:rPr>
          <w:lang w:val="en-AU"/>
        </w:rPr>
        <w:t> </w:t>
      </w:r>
      <w:r w:rsidRPr="00D17EE9">
        <w:rPr>
          <w:lang w:val="en-AU"/>
        </w:rPr>
        <w:t>cent increase over the historical average. Based on these numbers, historically there was one connection made for each 2.</w:t>
      </w:r>
      <w:r w:rsidR="005E1183" w:rsidRPr="00D17EE9">
        <w:rPr>
          <w:lang w:val="en-AU"/>
        </w:rPr>
        <w:t>5</w:t>
      </w:r>
      <w:r w:rsidR="005E1183">
        <w:rPr>
          <w:lang w:val="en-AU"/>
        </w:rPr>
        <w:t> </w:t>
      </w:r>
      <w:r w:rsidRPr="00D17EE9">
        <w:rPr>
          <w:lang w:val="en-AU"/>
        </w:rPr>
        <w:t xml:space="preserve">persons, while </w:t>
      </w:r>
      <w:r>
        <w:rPr>
          <w:lang w:val="en-AU"/>
        </w:rPr>
        <w:t xml:space="preserve">PWC </w:t>
      </w:r>
      <w:r w:rsidRPr="00D17EE9">
        <w:rPr>
          <w:lang w:val="en-AU"/>
        </w:rPr>
        <w:t>Networks’</w:t>
      </w:r>
      <w:r>
        <w:rPr>
          <w:lang w:val="en-AU"/>
        </w:rPr>
        <w:t xml:space="preserve"> </w:t>
      </w:r>
      <w:r w:rsidRPr="00D17EE9">
        <w:rPr>
          <w:lang w:val="en-AU"/>
        </w:rPr>
        <w:t>forecasts reflect</w:t>
      </w:r>
      <w:r w:rsidR="00185936">
        <w:rPr>
          <w:lang w:val="en-AU"/>
        </w:rPr>
        <w:t>ed</w:t>
      </w:r>
      <w:r w:rsidRPr="00D17EE9">
        <w:rPr>
          <w:lang w:val="en-AU"/>
        </w:rPr>
        <w:t xml:space="preserve"> one connection made for each 1.</w:t>
      </w:r>
      <w:r w:rsidR="005E1183" w:rsidRPr="00D17EE9">
        <w:rPr>
          <w:lang w:val="en-AU"/>
        </w:rPr>
        <w:t>7</w:t>
      </w:r>
      <w:r w:rsidR="005E1183">
        <w:rPr>
          <w:lang w:val="en-AU"/>
        </w:rPr>
        <w:t> </w:t>
      </w:r>
      <w:r w:rsidRPr="00D17EE9">
        <w:rPr>
          <w:lang w:val="en-AU"/>
        </w:rPr>
        <w:t xml:space="preserve">persons (an average </w:t>
      </w:r>
      <w:r w:rsidR="005E1183" w:rsidRPr="00D17EE9">
        <w:rPr>
          <w:lang w:val="en-AU"/>
        </w:rPr>
        <w:t>31</w:t>
      </w:r>
      <w:r w:rsidR="005E1183">
        <w:rPr>
          <w:lang w:val="en-AU"/>
        </w:rPr>
        <w:t> </w:t>
      </w:r>
      <w:r w:rsidR="005E1183" w:rsidRPr="00D17EE9">
        <w:rPr>
          <w:lang w:val="en-AU"/>
        </w:rPr>
        <w:t>per</w:t>
      </w:r>
      <w:r w:rsidR="005E1183">
        <w:rPr>
          <w:lang w:val="en-AU"/>
        </w:rPr>
        <w:t> </w:t>
      </w:r>
      <w:r w:rsidRPr="00D17EE9">
        <w:rPr>
          <w:lang w:val="en-AU"/>
        </w:rPr>
        <w:t xml:space="preserve">cent change in this ratio over five years). </w:t>
      </w:r>
    </w:p>
    <w:p w14:paraId="0D91353D" w14:textId="47FB4D64" w:rsidR="00844EC8" w:rsidRDefault="00844EC8" w:rsidP="00A806E4">
      <w:pPr>
        <w:pStyle w:val="NumberLevel2"/>
        <w:numPr>
          <w:ilvl w:val="1"/>
          <w:numId w:val="4"/>
        </w:numPr>
        <w:tabs>
          <w:tab w:val="num" w:pos="709"/>
        </w:tabs>
        <w:ind w:left="709" w:hanging="709"/>
        <w:rPr>
          <w:lang w:val="en-AU"/>
        </w:rPr>
      </w:pPr>
      <w:r w:rsidRPr="00D17EE9">
        <w:rPr>
          <w:lang w:val="en-AU"/>
        </w:rPr>
        <w:t xml:space="preserve">The Commission </w:t>
      </w:r>
      <w:r w:rsidR="006464E0" w:rsidRPr="00D17EE9">
        <w:rPr>
          <w:lang w:val="en-AU"/>
        </w:rPr>
        <w:t>consider</w:t>
      </w:r>
      <w:r w:rsidR="006464E0">
        <w:rPr>
          <w:lang w:val="en-AU"/>
        </w:rPr>
        <w:t>ed</w:t>
      </w:r>
      <w:r w:rsidR="006464E0" w:rsidRPr="00D17EE9">
        <w:rPr>
          <w:lang w:val="en-AU"/>
        </w:rPr>
        <w:t xml:space="preserve"> </w:t>
      </w:r>
      <w:r w:rsidRPr="00D17EE9">
        <w:rPr>
          <w:lang w:val="en-AU"/>
        </w:rPr>
        <w:t xml:space="preserve">that an increase in the average number of </w:t>
      </w:r>
      <w:r w:rsidR="005E1183">
        <w:rPr>
          <w:lang w:val="en-AU"/>
        </w:rPr>
        <w:t xml:space="preserve">retail </w:t>
      </w:r>
      <w:r w:rsidRPr="00D17EE9">
        <w:rPr>
          <w:lang w:val="en-AU"/>
        </w:rPr>
        <w:t xml:space="preserve">customers connecting per annum might be reasonable, but the basis for the significant increase in annual average connections and the implied connections per head of population </w:t>
      </w:r>
      <w:r w:rsidR="006464E0" w:rsidRPr="00D17EE9">
        <w:rPr>
          <w:lang w:val="en-AU"/>
        </w:rPr>
        <w:t>ha</w:t>
      </w:r>
      <w:r w:rsidR="006464E0">
        <w:rPr>
          <w:lang w:val="en-AU"/>
        </w:rPr>
        <w:t>d</w:t>
      </w:r>
      <w:r w:rsidR="006464E0" w:rsidRPr="00D17EE9">
        <w:rPr>
          <w:lang w:val="en-AU"/>
        </w:rPr>
        <w:t xml:space="preserve"> </w:t>
      </w:r>
      <w:r w:rsidRPr="00D17EE9">
        <w:rPr>
          <w:lang w:val="en-AU"/>
        </w:rPr>
        <w:t xml:space="preserve">not been demonstrated by PWC Networks. The Commission </w:t>
      </w:r>
      <w:r w:rsidR="006464E0" w:rsidRPr="00D17EE9">
        <w:rPr>
          <w:lang w:val="en-AU"/>
        </w:rPr>
        <w:t>consider</w:t>
      </w:r>
      <w:r w:rsidR="006464E0">
        <w:rPr>
          <w:lang w:val="en-AU"/>
        </w:rPr>
        <w:t>ed</w:t>
      </w:r>
      <w:r w:rsidR="006464E0" w:rsidRPr="00D17EE9">
        <w:rPr>
          <w:lang w:val="en-AU"/>
        </w:rPr>
        <w:t xml:space="preserve"> </w:t>
      </w:r>
      <w:r w:rsidRPr="00D17EE9">
        <w:rPr>
          <w:lang w:val="en-AU"/>
        </w:rPr>
        <w:t xml:space="preserve">that </w:t>
      </w:r>
      <w:r w:rsidR="007207C3" w:rsidRPr="00D17EE9">
        <w:rPr>
          <w:lang w:val="en-AU"/>
        </w:rPr>
        <w:t>PWC</w:t>
      </w:r>
      <w:r w:rsidR="007207C3">
        <w:rPr>
          <w:lang w:val="en-AU"/>
        </w:rPr>
        <w:t> </w:t>
      </w:r>
      <w:r w:rsidRPr="00D17EE9">
        <w:rPr>
          <w:lang w:val="en-AU"/>
        </w:rPr>
        <w:t xml:space="preserve">Networks’ </w:t>
      </w:r>
      <w:r w:rsidR="005E1183">
        <w:rPr>
          <w:lang w:val="en-AU"/>
        </w:rPr>
        <w:t xml:space="preserve">retail </w:t>
      </w:r>
      <w:r w:rsidRPr="00D17EE9">
        <w:rPr>
          <w:lang w:val="en-AU"/>
        </w:rPr>
        <w:t xml:space="preserve">customer connection forecasts </w:t>
      </w:r>
      <w:r w:rsidR="005E1183">
        <w:rPr>
          <w:lang w:val="en-AU"/>
        </w:rPr>
        <w:t>were</w:t>
      </w:r>
      <w:r w:rsidR="005E1183" w:rsidRPr="00D17EE9">
        <w:rPr>
          <w:lang w:val="en-AU"/>
        </w:rPr>
        <w:t xml:space="preserve"> </w:t>
      </w:r>
      <w:r w:rsidRPr="00D17EE9">
        <w:rPr>
          <w:lang w:val="en-AU"/>
        </w:rPr>
        <w:t>biased and overestimated</w:t>
      </w:r>
      <w:r>
        <w:rPr>
          <w:lang w:val="en-AU"/>
        </w:rPr>
        <w:t>.</w:t>
      </w:r>
    </w:p>
    <w:p w14:paraId="16B410B2" w14:textId="30F49784" w:rsidR="00844EC8" w:rsidRDefault="00844EC8" w:rsidP="00A806E4">
      <w:pPr>
        <w:pStyle w:val="NumberLevel2"/>
        <w:numPr>
          <w:ilvl w:val="1"/>
          <w:numId w:val="4"/>
        </w:numPr>
        <w:tabs>
          <w:tab w:val="num" w:pos="709"/>
        </w:tabs>
        <w:ind w:left="709" w:hanging="709"/>
        <w:rPr>
          <w:lang w:val="en-AU"/>
        </w:rPr>
      </w:pPr>
      <w:r w:rsidRPr="007D33F3">
        <w:rPr>
          <w:lang w:val="en-AU"/>
        </w:rPr>
        <w:t xml:space="preserve">The Commission also </w:t>
      </w:r>
      <w:r w:rsidR="006464E0" w:rsidRPr="007D33F3">
        <w:rPr>
          <w:lang w:val="en-AU"/>
        </w:rPr>
        <w:t>note</w:t>
      </w:r>
      <w:r w:rsidR="006464E0">
        <w:rPr>
          <w:lang w:val="en-AU"/>
        </w:rPr>
        <w:t>d</w:t>
      </w:r>
      <w:r w:rsidR="006464E0" w:rsidRPr="007D33F3">
        <w:rPr>
          <w:lang w:val="en-AU"/>
        </w:rPr>
        <w:t xml:space="preserve"> </w:t>
      </w:r>
      <w:r w:rsidRPr="007D33F3">
        <w:rPr>
          <w:lang w:val="en-AU"/>
        </w:rPr>
        <w:t xml:space="preserve">that PWC Networks’ </w:t>
      </w:r>
      <w:r w:rsidR="00AD502D">
        <w:rPr>
          <w:lang w:val="en-AU"/>
        </w:rPr>
        <w:t xml:space="preserve">retail </w:t>
      </w:r>
      <w:r w:rsidRPr="007D33F3">
        <w:rPr>
          <w:lang w:val="en-AU"/>
        </w:rPr>
        <w:t xml:space="preserve">customer connection forecast </w:t>
      </w:r>
      <w:r w:rsidR="00AD502D">
        <w:rPr>
          <w:lang w:val="en-AU"/>
        </w:rPr>
        <w:t>did</w:t>
      </w:r>
      <w:r w:rsidR="00AD502D" w:rsidRPr="007D33F3">
        <w:rPr>
          <w:lang w:val="en-AU"/>
        </w:rPr>
        <w:t xml:space="preserve"> </w:t>
      </w:r>
      <w:r w:rsidRPr="007D33F3">
        <w:rPr>
          <w:lang w:val="en-AU"/>
        </w:rPr>
        <w:t xml:space="preserve">not consider the various types of </w:t>
      </w:r>
      <w:r w:rsidR="00AD502D">
        <w:rPr>
          <w:lang w:val="en-AU"/>
        </w:rPr>
        <w:t xml:space="preserve">retail </w:t>
      </w:r>
      <w:r w:rsidRPr="007D33F3">
        <w:rPr>
          <w:lang w:val="en-AU"/>
        </w:rPr>
        <w:t xml:space="preserve">customer connections. </w:t>
      </w:r>
      <w:r w:rsidR="00AD502D">
        <w:rPr>
          <w:lang w:val="en-AU"/>
        </w:rPr>
        <w:t>The</w:t>
      </w:r>
      <w:r w:rsidR="00AD502D" w:rsidRPr="007D33F3">
        <w:rPr>
          <w:lang w:val="en-AU"/>
        </w:rPr>
        <w:t xml:space="preserve"> </w:t>
      </w:r>
      <w:r w:rsidRPr="007D33F3">
        <w:rPr>
          <w:lang w:val="en-AU"/>
        </w:rPr>
        <w:t xml:space="preserve">approach </w:t>
      </w:r>
      <w:r w:rsidR="00AD502D">
        <w:rPr>
          <w:lang w:val="en-AU"/>
        </w:rPr>
        <w:t xml:space="preserve">did </w:t>
      </w:r>
      <w:r w:rsidRPr="007D33F3">
        <w:rPr>
          <w:lang w:val="en-AU"/>
        </w:rPr>
        <w:t xml:space="preserve">not account for the mix of </w:t>
      </w:r>
      <w:r w:rsidR="00AD502D">
        <w:rPr>
          <w:lang w:val="en-AU"/>
        </w:rPr>
        <w:t xml:space="preserve">retail </w:t>
      </w:r>
      <w:r w:rsidRPr="007D33F3">
        <w:rPr>
          <w:lang w:val="en-AU"/>
        </w:rPr>
        <w:t>customer types and the associated mix of connection types (</w:t>
      </w:r>
      <w:r>
        <w:rPr>
          <w:lang w:val="en-AU"/>
        </w:rPr>
        <w:t>for example</w:t>
      </w:r>
      <w:r w:rsidR="00FF6A53">
        <w:rPr>
          <w:lang w:val="en-AU"/>
        </w:rPr>
        <w:t>,</w:t>
      </w:r>
      <w:r>
        <w:rPr>
          <w:lang w:val="en-AU"/>
        </w:rPr>
        <w:t xml:space="preserve"> </w:t>
      </w:r>
      <w:r w:rsidRPr="007D33F3">
        <w:rPr>
          <w:lang w:val="en-AU"/>
        </w:rPr>
        <w:t>small commercial, large commercial, industrial, resident</w:t>
      </w:r>
      <w:r>
        <w:rPr>
          <w:lang w:val="en-AU"/>
        </w:rPr>
        <w:t>ial</w:t>
      </w:r>
      <w:r w:rsidRPr="007D33F3">
        <w:rPr>
          <w:lang w:val="en-AU"/>
        </w:rPr>
        <w:t xml:space="preserve">). </w:t>
      </w:r>
    </w:p>
    <w:p w14:paraId="14F14499" w14:textId="3B0003BF" w:rsidR="00844EC8" w:rsidRPr="007D33F3" w:rsidRDefault="00844EC8" w:rsidP="00A806E4">
      <w:pPr>
        <w:pStyle w:val="NumberLevel2"/>
        <w:numPr>
          <w:ilvl w:val="1"/>
          <w:numId w:val="4"/>
        </w:numPr>
        <w:tabs>
          <w:tab w:val="num" w:pos="709"/>
        </w:tabs>
        <w:ind w:left="709" w:hanging="709"/>
        <w:rPr>
          <w:lang w:val="en-AU"/>
        </w:rPr>
      </w:pPr>
      <w:r w:rsidRPr="007D33F3">
        <w:rPr>
          <w:lang w:val="en-AU"/>
        </w:rPr>
        <w:t>The Commission unders</w:t>
      </w:r>
      <w:r w:rsidR="00185936">
        <w:rPr>
          <w:lang w:val="en-AU"/>
        </w:rPr>
        <w:t xml:space="preserve">tood </w:t>
      </w:r>
      <w:r w:rsidRPr="007D33F3">
        <w:rPr>
          <w:lang w:val="en-AU"/>
        </w:rPr>
        <w:t>that connection costs vary considerably by connection type and</w:t>
      </w:r>
      <w:r w:rsidR="00FF6A53">
        <w:rPr>
          <w:lang w:val="en-AU"/>
        </w:rPr>
        <w:t>,</w:t>
      </w:r>
      <w:r w:rsidRPr="007D33F3">
        <w:rPr>
          <w:lang w:val="en-AU"/>
        </w:rPr>
        <w:t xml:space="preserve"> therefore</w:t>
      </w:r>
      <w:r w:rsidR="00FF6A53">
        <w:rPr>
          <w:lang w:val="en-AU"/>
        </w:rPr>
        <w:t>,</w:t>
      </w:r>
      <w:r w:rsidRPr="007D33F3">
        <w:rPr>
          <w:lang w:val="en-AU"/>
        </w:rPr>
        <w:t xml:space="preserve"> forecasting the total number of connections d</w:t>
      </w:r>
      <w:r w:rsidR="00185936">
        <w:rPr>
          <w:lang w:val="en-AU"/>
        </w:rPr>
        <w:t xml:space="preserve">id </w:t>
      </w:r>
      <w:r w:rsidRPr="007D33F3">
        <w:rPr>
          <w:lang w:val="en-AU"/>
        </w:rPr>
        <w:t xml:space="preserve">not allow the mix of </w:t>
      </w:r>
      <w:r w:rsidR="00AD502D">
        <w:rPr>
          <w:lang w:val="en-AU"/>
        </w:rPr>
        <w:t xml:space="preserve">retail </w:t>
      </w:r>
      <w:r w:rsidRPr="007D33F3">
        <w:rPr>
          <w:lang w:val="en-AU"/>
        </w:rPr>
        <w:t xml:space="preserve">customer connection types to be reflected into the network </w:t>
      </w:r>
      <w:r w:rsidR="00FF6A53" w:rsidRPr="007D33F3">
        <w:rPr>
          <w:lang w:val="en-AU"/>
        </w:rPr>
        <w:t>user</w:t>
      </w:r>
      <w:r w:rsidR="001F0FFB">
        <w:rPr>
          <w:lang w:val="en-AU"/>
        </w:rPr>
        <w:t xml:space="preserve"> </w:t>
      </w:r>
      <w:r w:rsidRPr="007D33F3">
        <w:rPr>
          <w:lang w:val="en-AU"/>
        </w:rPr>
        <w:t>initiated capex forecast</w:t>
      </w:r>
      <w:r w:rsidR="00AD502D">
        <w:rPr>
          <w:lang w:val="en-AU"/>
        </w:rPr>
        <w:t>s</w:t>
      </w:r>
      <w:r w:rsidRPr="007D33F3">
        <w:rPr>
          <w:lang w:val="en-AU"/>
        </w:rPr>
        <w:t xml:space="preserve"> and introduce</w:t>
      </w:r>
      <w:r w:rsidR="00185936">
        <w:rPr>
          <w:lang w:val="en-AU"/>
        </w:rPr>
        <w:t>d</w:t>
      </w:r>
      <w:r w:rsidRPr="007D33F3">
        <w:rPr>
          <w:lang w:val="en-AU"/>
        </w:rPr>
        <w:t xml:space="preserve"> additional variance into the </w:t>
      </w:r>
      <w:r w:rsidR="00AD502D">
        <w:rPr>
          <w:lang w:val="en-AU"/>
        </w:rPr>
        <w:t xml:space="preserve">capex </w:t>
      </w:r>
      <w:r w:rsidRPr="007D33F3">
        <w:rPr>
          <w:lang w:val="en-AU"/>
        </w:rPr>
        <w:t>forecast’s unit cost estimate.</w:t>
      </w:r>
      <w:r>
        <w:rPr>
          <w:lang w:val="en-AU"/>
        </w:rPr>
        <w:t xml:space="preserve"> </w:t>
      </w:r>
    </w:p>
    <w:p w14:paraId="06E16373" w14:textId="666E57C7" w:rsidR="004D1382" w:rsidRPr="00493E0F" w:rsidRDefault="004D1382" w:rsidP="004D1382">
      <w:pPr>
        <w:pStyle w:val="UtilComHeading2"/>
      </w:pPr>
      <w:bookmarkStart w:id="143" w:name="_Toc373833980"/>
      <w:bookmarkStart w:id="144" w:name="_Toc385241494"/>
      <w:bookmarkStart w:id="145" w:name="_Toc386013047"/>
      <w:r w:rsidRPr="00493E0F">
        <w:t xml:space="preserve">Commission’s </w:t>
      </w:r>
      <w:r w:rsidR="003C0751">
        <w:t>D</w:t>
      </w:r>
      <w:r w:rsidR="003C0751" w:rsidRPr="00493E0F">
        <w:t xml:space="preserve">raft </w:t>
      </w:r>
      <w:bookmarkEnd w:id="143"/>
      <w:bookmarkEnd w:id="144"/>
      <w:r w:rsidR="003C0751">
        <w:t>D</w:t>
      </w:r>
      <w:r w:rsidR="003C0751" w:rsidRPr="00493E0F">
        <w:t>ecision</w:t>
      </w:r>
      <w:bookmarkEnd w:id="145"/>
    </w:p>
    <w:p w14:paraId="0FB0D94B" w14:textId="326577C6" w:rsidR="006464E0" w:rsidRDefault="006464E0" w:rsidP="006464E0">
      <w:pPr>
        <w:pStyle w:val="NumberLevel2"/>
        <w:numPr>
          <w:ilvl w:val="1"/>
          <w:numId w:val="4"/>
        </w:numPr>
        <w:tabs>
          <w:tab w:val="num" w:pos="709"/>
        </w:tabs>
        <w:ind w:left="709" w:hanging="709"/>
        <w:rPr>
          <w:lang w:val="en-AU"/>
        </w:rPr>
      </w:pPr>
      <w:r w:rsidRPr="00980D81">
        <w:rPr>
          <w:lang w:val="en-AU"/>
        </w:rPr>
        <w:t>The Commission consider</w:t>
      </w:r>
      <w:r>
        <w:rPr>
          <w:lang w:val="en-AU"/>
        </w:rPr>
        <w:t>ed</w:t>
      </w:r>
      <w:r w:rsidRPr="00980D81">
        <w:rPr>
          <w:lang w:val="en-AU"/>
        </w:rPr>
        <w:t xml:space="preserve"> that the growth in forecast demand submitted by PWC Networks </w:t>
      </w:r>
      <w:r>
        <w:rPr>
          <w:lang w:val="en-AU"/>
        </w:rPr>
        <w:t>wa</w:t>
      </w:r>
      <w:r w:rsidRPr="00980D81">
        <w:rPr>
          <w:lang w:val="en-AU"/>
        </w:rPr>
        <w:t xml:space="preserve">s likely to be overstated but, in lieu of an alternative authoritative </w:t>
      </w:r>
      <w:r w:rsidR="00242167">
        <w:rPr>
          <w:lang w:val="en-AU"/>
        </w:rPr>
        <w:t xml:space="preserve">demand </w:t>
      </w:r>
      <w:r w:rsidRPr="00980D81">
        <w:rPr>
          <w:lang w:val="en-AU"/>
        </w:rPr>
        <w:t xml:space="preserve">forecast, </w:t>
      </w:r>
      <w:r w:rsidR="00242167">
        <w:rPr>
          <w:lang w:val="en-AU"/>
        </w:rPr>
        <w:t xml:space="preserve">the Commission </w:t>
      </w:r>
      <w:r w:rsidRPr="00980D81">
        <w:rPr>
          <w:lang w:val="en-AU"/>
        </w:rPr>
        <w:t xml:space="preserve">adopted </w:t>
      </w:r>
      <w:r w:rsidR="00242167">
        <w:rPr>
          <w:lang w:val="en-AU"/>
        </w:rPr>
        <w:t>PB’s</w:t>
      </w:r>
      <w:r w:rsidR="00242167" w:rsidRPr="00980D81">
        <w:rPr>
          <w:lang w:val="en-AU"/>
        </w:rPr>
        <w:t xml:space="preserve"> </w:t>
      </w:r>
      <w:r w:rsidRPr="00980D81">
        <w:rPr>
          <w:lang w:val="en-AU"/>
        </w:rPr>
        <w:t>recommendations</w:t>
      </w:r>
      <w:r>
        <w:rPr>
          <w:lang w:val="en-AU"/>
        </w:rPr>
        <w:t xml:space="preserve"> to</w:t>
      </w:r>
      <w:r w:rsidRPr="00980D81">
        <w:rPr>
          <w:lang w:val="en-AU"/>
        </w:rPr>
        <w:t xml:space="preserve"> defer </w:t>
      </w:r>
      <w:r w:rsidR="00242167">
        <w:rPr>
          <w:lang w:val="en-AU"/>
        </w:rPr>
        <w:t xml:space="preserve">the </w:t>
      </w:r>
      <w:r w:rsidRPr="00980D81">
        <w:rPr>
          <w:lang w:val="en-AU"/>
        </w:rPr>
        <w:t>proposed costs for some zone substation replacement projects</w:t>
      </w:r>
      <w:r>
        <w:rPr>
          <w:lang w:val="en-AU"/>
        </w:rPr>
        <w:t>.</w:t>
      </w:r>
    </w:p>
    <w:p w14:paraId="0E8CD3A9" w14:textId="79B0B214" w:rsidR="006464E0" w:rsidRPr="00980D81" w:rsidRDefault="006464E0" w:rsidP="006464E0">
      <w:pPr>
        <w:pStyle w:val="NumberLevel2"/>
        <w:numPr>
          <w:ilvl w:val="1"/>
          <w:numId w:val="4"/>
        </w:numPr>
        <w:tabs>
          <w:tab w:val="num" w:pos="709"/>
        </w:tabs>
        <w:ind w:left="709" w:hanging="709"/>
        <w:rPr>
          <w:lang w:val="en-AU"/>
        </w:rPr>
      </w:pPr>
      <w:r w:rsidRPr="00980D81">
        <w:rPr>
          <w:lang w:val="en-AU"/>
        </w:rPr>
        <w:t xml:space="preserve">PWC Networks’ </w:t>
      </w:r>
      <w:r w:rsidR="00242167">
        <w:rPr>
          <w:lang w:val="en-AU"/>
        </w:rPr>
        <w:t xml:space="preserve">retail </w:t>
      </w:r>
      <w:r w:rsidRPr="00980D81">
        <w:rPr>
          <w:lang w:val="en-AU"/>
        </w:rPr>
        <w:t xml:space="preserve">customer connection forecasts </w:t>
      </w:r>
      <w:r>
        <w:rPr>
          <w:lang w:val="en-AU"/>
        </w:rPr>
        <w:t>we</w:t>
      </w:r>
      <w:r w:rsidRPr="00980D81">
        <w:rPr>
          <w:lang w:val="en-AU"/>
        </w:rPr>
        <w:t xml:space="preserve">re considered by the Commission to be biased and overestimated. While an increase in the average number of </w:t>
      </w:r>
      <w:r w:rsidR="00242167">
        <w:rPr>
          <w:lang w:val="en-AU"/>
        </w:rPr>
        <w:t xml:space="preserve">retail </w:t>
      </w:r>
      <w:r w:rsidRPr="00980D81">
        <w:rPr>
          <w:lang w:val="en-AU"/>
        </w:rPr>
        <w:t>customers connecting per annum might be reasonable, the basis for the significant increase in annual average connections and the implied connections per head of population ha</w:t>
      </w:r>
      <w:r>
        <w:rPr>
          <w:lang w:val="en-AU"/>
        </w:rPr>
        <w:t>d</w:t>
      </w:r>
      <w:r w:rsidRPr="00980D81">
        <w:rPr>
          <w:lang w:val="en-AU"/>
        </w:rPr>
        <w:t xml:space="preserve"> not been demonstrated. Therefore</w:t>
      </w:r>
      <w:r>
        <w:rPr>
          <w:lang w:val="en-AU"/>
        </w:rPr>
        <w:t>,</w:t>
      </w:r>
      <w:r w:rsidRPr="00980D81">
        <w:rPr>
          <w:lang w:val="en-AU"/>
        </w:rPr>
        <w:t xml:space="preserve"> the Commission </w:t>
      </w:r>
      <w:r>
        <w:rPr>
          <w:lang w:val="en-AU"/>
        </w:rPr>
        <w:t>could not</w:t>
      </w:r>
      <w:r w:rsidRPr="00980D81">
        <w:rPr>
          <w:lang w:val="en-AU"/>
        </w:rPr>
        <w:t xml:space="preserve"> conclude that the </w:t>
      </w:r>
      <w:r w:rsidR="00242167">
        <w:rPr>
          <w:lang w:val="en-AU"/>
        </w:rPr>
        <w:t xml:space="preserve">retail </w:t>
      </w:r>
      <w:r w:rsidRPr="00980D81">
        <w:rPr>
          <w:lang w:val="en-AU"/>
        </w:rPr>
        <w:t xml:space="preserve">customer connection forecasts </w:t>
      </w:r>
      <w:r w:rsidR="00242167">
        <w:rPr>
          <w:lang w:val="en-AU"/>
        </w:rPr>
        <w:t>proposed by PWC Networks were</w:t>
      </w:r>
      <w:r w:rsidR="00242167" w:rsidRPr="00980D81">
        <w:rPr>
          <w:lang w:val="en-AU"/>
        </w:rPr>
        <w:t xml:space="preserve"> </w:t>
      </w:r>
      <w:r w:rsidRPr="00980D81">
        <w:rPr>
          <w:lang w:val="en-AU"/>
        </w:rPr>
        <w:t xml:space="preserve">reasonable. </w:t>
      </w:r>
    </w:p>
    <w:p w14:paraId="4BA0C3D3" w14:textId="69D26C1F" w:rsidR="00844EC8" w:rsidRDefault="006464E0" w:rsidP="00A806E4">
      <w:pPr>
        <w:pStyle w:val="NumberLevel2"/>
        <w:numPr>
          <w:ilvl w:val="1"/>
          <w:numId w:val="5"/>
        </w:numPr>
        <w:tabs>
          <w:tab w:val="num" w:pos="709"/>
        </w:tabs>
        <w:ind w:left="709" w:hanging="709"/>
        <w:rPr>
          <w:lang w:val="en-AU"/>
        </w:rPr>
      </w:pPr>
      <w:r>
        <w:rPr>
          <w:lang w:val="en-AU"/>
        </w:rPr>
        <w:t>The</w:t>
      </w:r>
      <w:r w:rsidR="00844EC8">
        <w:rPr>
          <w:lang w:val="en-AU"/>
        </w:rPr>
        <w:t xml:space="preserve"> Commission</w:t>
      </w:r>
      <w:r>
        <w:rPr>
          <w:lang w:val="en-AU"/>
        </w:rPr>
        <w:t xml:space="preserve">’s decision </w:t>
      </w:r>
      <w:r w:rsidR="00242167">
        <w:rPr>
          <w:lang w:val="en-AU"/>
        </w:rPr>
        <w:t xml:space="preserve">in the Draft Determination </w:t>
      </w:r>
      <w:r>
        <w:rPr>
          <w:lang w:val="en-AU"/>
        </w:rPr>
        <w:t>was that it</w:t>
      </w:r>
      <w:r w:rsidR="00844EC8">
        <w:rPr>
          <w:lang w:val="en-AU"/>
        </w:rPr>
        <w:t xml:space="preserve"> </w:t>
      </w:r>
      <w:r>
        <w:rPr>
          <w:lang w:val="en-AU"/>
        </w:rPr>
        <w:t xml:space="preserve">would </w:t>
      </w:r>
      <w:r w:rsidR="00844EC8">
        <w:rPr>
          <w:lang w:val="en-AU"/>
        </w:rPr>
        <w:t xml:space="preserve">make adjustments to </w:t>
      </w:r>
      <w:r w:rsidR="00242167">
        <w:rPr>
          <w:lang w:val="en-AU"/>
        </w:rPr>
        <w:t xml:space="preserve">the </w:t>
      </w:r>
      <w:r w:rsidR="00844EC8">
        <w:rPr>
          <w:lang w:val="en-AU"/>
        </w:rPr>
        <w:t xml:space="preserve">capex </w:t>
      </w:r>
      <w:r w:rsidR="00242167">
        <w:rPr>
          <w:lang w:val="en-AU"/>
        </w:rPr>
        <w:t xml:space="preserve">forecasts for the 2014-19 regulatory control period </w:t>
      </w:r>
      <w:r w:rsidR="00844EC8">
        <w:rPr>
          <w:lang w:val="en-AU"/>
        </w:rPr>
        <w:t xml:space="preserve">on the basis that </w:t>
      </w:r>
      <w:r w:rsidR="00AC22D0">
        <w:rPr>
          <w:lang w:val="en-AU"/>
        </w:rPr>
        <w:t xml:space="preserve">PWC Networks’ </w:t>
      </w:r>
      <w:r w:rsidR="00844EC8">
        <w:rPr>
          <w:lang w:val="en-AU"/>
        </w:rPr>
        <w:t xml:space="preserve">forecast demand and </w:t>
      </w:r>
      <w:r w:rsidR="00242167">
        <w:rPr>
          <w:lang w:val="en-AU"/>
        </w:rPr>
        <w:t xml:space="preserve">retail </w:t>
      </w:r>
      <w:r w:rsidR="00844EC8">
        <w:rPr>
          <w:lang w:val="en-AU"/>
        </w:rPr>
        <w:t xml:space="preserve">customer connections </w:t>
      </w:r>
      <w:r w:rsidR="00242167">
        <w:rPr>
          <w:lang w:val="en-AU"/>
        </w:rPr>
        <w:t>were</w:t>
      </w:r>
      <w:r w:rsidR="00242167" w:rsidRPr="007D33F3">
        <w:rPr>
          <w:lang w:val="en-AU"/>
        </w:rPr>
        <w:t xml:space="preserve"> </w:t>
      </w:r>
      <w:r w:rsidR="00844EC8" w:rsidRPr="007D33F3">
        <w:rPr>
          <w:lang w:val="en-AU"/>
        </w:rPr>
        <w:t>biased</w:t>
      </w:r>
      <w:r w:rsidR="00844EC8">
        <w:rPr>
          <w:lang w:val="en-AU"/>
        </w:rPr>
        <w:t xml:space="preserve"> </w:t>
      </w:r>
      <w:r w:rsidR="00844EC8" w:rsidRPr="007D33F3">
        <w:rPr>
          <w:lang w:val="en-AU"/>
        </w:rPr>
        <w:t>and overestimated</w:t>
      </w:r>
      <w:r w:rsidR="00185936">
        <w:rPr>
          <w:lang w:val="en-AU"/>
        </w:rPr>
        <w:t xml:space="preserve"> and </w:t>
      </w:r>
      <w:r w:rsidR="00844EC8" w:rsidRPr="007D33F3">
        <w:rPr>
          <w:lang w:val="en-AU"/>
        </w:rPr>
        <w:t xml:space="preserve">the proposed capex forecast </w:t>
      </w:r>
      <w:r w:rsidR="00242167">
        <w:rPr>
          <w:lang w:val="en-AU"/>
        </w:rPr>
        <w:t>was</w:t>
      </w:r>
      <w:r w:rsidR="00242167" w:rsidRPr="007D33F3">
        <w:rPr>
          <w:lang w:val="en-AU"/>
        </w:rPr>
        <w:t xml:space="preserve"> </w:t>
      </w:r>
      <w:r w:rsidR="00844EC8" w:rsidRPr="007D33F3">
        <w:rPr>
          <w:lang w:val="en-AU"/>
        </w:rPr>
        <w:t xml:space="preserve">not efficient. </w:t>
      </w:r>
    </w:p>
    <w:p w14:paraId="71854FCA" w14:textId="0817FD09" w:rsidR="006464E0" w:rsidRPr="00083FAA" w:rsidRDefault="006464E0" w:rsidP="006464E0">
      <w:pPr>
        <w:pStyle w:val="UtilComHeading2"/>
      </w:pPr>
      <w:bookmarkStart w:id="146" w:name="_Toc385241495"/>
      <w:bookmarkStart w:id="147" w:name="_Toc386013048"/>
      <w:r w:rsidRPr="00083FAA">
        <w:t xml:space="preserve">PWC Networks’ </w:t>
      </w:r>
      <w:r w:rsidR="003C0751">
        <w:t>R</w:t>
      </w:r>
      <w:r w:rsidR="003C0751" w:rsidRPr="00083FAA">
        <w:t xml:space="preserve">evised </w:t>
      </w:r>
      <w:r w:rsidR="003C0751">
        <w:t>R</w:t>
      </w:r>
      <w:r w:rsidR="003C0751" w:rsidRPr="00083FAA">
        <w:t xml:space="preserve">egulatory </w:t>
      </w:r>
      <w:bookmarkEnd w:id="146"/>
      <w:r w:rsidR="003C0751">
        <w:t>P</w:t>
      </w:r>
      <w:r w:rsidR="003C0751" w:rsidRPr="00083FAA">
        <w:t>roposal</w:t>
      </w:r>
      <w:bookmarkEnd w:id="147"/>
    </w:p>
    <w:p w14:paraId="2252E5EE" w14:textId="43D84C67" w:rsidR="006464E0" w:rsidRDefault="006464E0" w:rsidP="006464E0">
      <w:pPr>
        <w:pStyle w:val="NumberLevel2"/>
        <w:numPr>
          <w:ilvl w:val="1"/>
          <w:numId w:val="5"/>
        </w:numPr>
        <w:tabs>
          <w:tab w:val="num" w:pos="709"/>
        </w:tabs>
        <w:ind w:left="709" w:hanging="709"/>
        <w:rPr>
          <w:lang w:val="en-AU"/>
        </w:rPr>
      </w:pPr>
      <w:r>
        <w:rPr>
          <w:lang w:val="en-AU"/>
        </w:rPr>
        <w:t>PWC Networks</w:t>
      </w:r>
      <w:r w:rsidRPr="001430C0">
        <w:rPr>
          <w:lang w:val="en-AU"/>
        </w:rPr>
        <w:t xml:space="preserve"> </w:t>
      </w:r>
      <w:r w:rsidR="001B1783">
        <w:rPr>
          <w:lang w:val="en-AU"/>
        </w:rPr>
        <w:t xml:space="preserve">accepted the Commission’s view that documentation </w:t>
      </w:r>
      <w:r w:rsidR="00BB255C">
        <w:rPr>
          <w:lang w:val="en-AU"/>
        </w:rPr>
        <w:t xml:space="preserve">supporting </w:t>
      </w:r>
      <w:r w:rsidR="001B1783">
        <w:rPr>
          <w:lang w:val="en-AU"/>
        </w:rPr>
        <w:t xml:space="preserve">the forecast process and justification of specific adjustments could be improved. </w:t>
      </w:r>
    </w:p>
    <w:p w14:paraId="614BA45D" w14:textId="2B61B319" w:rsidR="00AD09D4" w:rsidRDefault="001B1783" w:rsidP="006464E0">
      <w:pPr>
        <w:pStyle w:val="NumberLevel2"/>
        <w:numPr>
          <w:ilvl w:val="1"/>
          <w:numId w:val="5"/>
        </w:numPr>
        <w:tabs>
          <w:tab w:val="num" w:pos="709"/>
        </w:tabs>
        <w:ind w:left="709" w:hanging="709"/>
        <w:rPr>
          <w:lang w:val="en-AU"/>
        </w:rPr>
      </w:pPr>
      <w:r>
        <w:rPr>
          <w:lang w:val="en-AU"/>
        </w:rPr>
        <w:t xml:space="preserve">However, </w:t>
      </w:r>
      <w:r w:rsidR="006464E0">
        <w:rPr>
          <w:lang w:val="en-AU"/>
        </w:rPr>
        <w:t xml:space="preserve">PWC Networks did not </w:t>
      </w:r>
      <w:r>
        <w:rPr>
          <w:lang w:val="en-AU"/>
        </w:rPr>
        <w:t xml:space="preserve">accept that its </w:t>
      </w:r>
      <w:r w:rsidR="004007A0">
        <w:rPr>
          <w:lang w:val="en-AU"/>
        </w:rPr>
        <w:t xml:space="preserve">global demand </w:t>
      </w:r>
      <w:r>
        <w:rPr>
          <w:lang w:val="en-AU"/>
        </w:rPr>
        <w:t>forecasts were biased or over</w:t>
      </w:r>
      <w:r w:rsidR="00AD09D4">
        <w:rPr>
          <w:lang w:val="en-AU"/>
        </w:rPr>
        <w:noBreakHyphen/>
      </w:r>
      <w:r>
        <w:rPr>
          <w:lang w:val="en-AU"/>
        </w:rPr>
        <w:t>estimated. PWC</w:t>
      </w:r>
      <w:r w:rsidR="00BB255C">
        <w:rPr>
          <w:lang w:val="en-AU"/>
        </w:rPr>
        <w:t> Networks</w:t>
      </w:r>
      <w:r>
        <w:rPr>
          <w:lang w:val="en-AU"/>
        </w:rPr>
        <w:t xml:space="preserve"> argued that</w:t>
      </w:r>
      <w:r w:rsidR="00AD09D4">
        <w:rPr>
          <w:lang w:val="en-AU"/>
        </w:rPr>
        <w:t>:</w:t>
      </w:r>
    </w:p>
    <w:p w14:paraId="2DED79E0" w14:textId="77777777" w:rsidR="006464E0" w:rsidRDefault="00AD09D4" w:rsidP="00AD09D4">
      <w:pPr>
        <w:pStyle w:val="UtilComQuotationText"/>
        <w:ind w:left="1134"/>
        <w:rPr>
          <w:lang w:val="en-AU"/>
        </w:rPr>
      </w:pPr>
      <w:r w:rsidRPr="00AD09D4">
        <w:rPr>
          <w:lang w:val="en-AU"/>
        </w:rPr>
        <w:t>the deferment assessment made by PB was arbitrary and appeared to be based solely on other Australian jurisdictions when there is clear evidence that the Northern Territory is experiencing independent growth drivers (page.31)</w:t>
      </w:r>
      <w:r w:rsidR="006464E0" w:rsidRPr="00AD09D4">
        <w:rPr>
          <w:lang w:val="en-AU"/>
        </w:rPr>
        <w:t xml:space="preserve"> </w:t>
      </w:r>
    </w:p>
    <w:p w14:paraId="0A69440B" w14:textId="1C409403" w:rsidR="00814950" w:rsidRDefault="00814950" w:rsidP="004007A0">
      <w:pPr>
        <w:pStyle w:val="NumberLevel2"/>
        <w:numPr>
          <w:ilvl w:val="1"/>
          <w:numId w:val="5"/>
        </w:numPr>
        <w:tabs>
          <w:tab w:val="num" w:pos="709"/>
        </w:tabs>
        <w:ind w:left="709" w:hanging="709"/>
        <w:rPr>
          <w:lang w:val="en-AU"/>
        </w:rPr>
      </w:pPr>
      <w:r>
        <w:rPr>
          <w:lang w:val="en-AU"/>
        </w:rPr>
        <w:t xml:space="preserve">PWC Networks </w:t>
      </w:r>
      <w:r w:rsidR="00BB255C">
        <w:rPr>
          <w:lang w:val="en-AU"/>
        </w:rPr>
        <w:t xml:space="preserve">submitted </w:t>
      </w:r>
      <w:r w:rsidR="004007A0">
        <w:rPr>
          <w:lang w:val="en-AU"/>
        </w:rPr>
        <w:t xml:space="preserve">that, as the Territory is strongly resource based, it </w:t>
      </w:r>
      <w:r w:rsidR="00BB255C">
        <w:rPr>
          <w:lang w:val="en-AU"/>
        </w:rPr>
        <w:t xml:space="preserve">was </w:t>
      </w:r>
      <w:r w:rsidR="004007A0">
        <w:rPr>
          <w:lang w:val="en-AU"/>
        </w:rPr>
        <w:t xml:space="preserve">not reasonable to infer that the downturn experienced in other jurisdictions </w:t>
      </w:r>
      <w:r w:rsidR="00BB255C">
        <w:rPr>
          <w:lang w:val="en-AU"/>
        </w:rPr>
        <w:t xml:space="preserve">would </w:t>
      </w:r>
      <w:r w:rsidR="004007A0">
        <w:rPr>
          <w:lang w:val="en-AU"/>
        </w:rPr>
        <w:t>apply to the Territory.</w:t>
      </w:r>
      <w:r w:rsidR="00B932B1">
        <w:rPr>
          <w:lang w:val="en-AU"/>
        </w:rPr>
        <w:t xml:space="preserve"> </w:t>
      </w:r>
    </w:p>
    <w:p w14:paraId="03642048" w14:textId="2E9DCB92" w:rsidR="004007A0" w:rsidRPr="004007A0" w:rsidRDefault="00F336E1" w:rsidP="004007A0">
      <w:pPr>
        <w:pStyle w:val="NumberLevel2"/>
        <w:numPr>
          <w:ilvl w:val="1"/>
          <w:numId w:val="5"/>
        </w:numPr>
        <w:tabs>
          <w:tab w:val="num" w:pos="709"/>
        </w:tabs>
        <w:ind w:left="709" w:hanging="709"/>
        <w:rPr>
          <w:lang w:val="en-AU"/>
        </w:rPr>
      </w:pPr>
      <w:r>
        <w:rPr>
          <w:lang w:val="en-AU"/>
        </w:rPr>
        <w:t xml:space="preserve">While not accepting the Commission’s view that </w:t>
      </w:r>
      <w:r w:rsidR="00BB255C">
        <w:rPr>
          <w:lang w:val="en-AU"/>
        </w:rPr>
        <w:t xml:space="preserve">its </w:t>
      </w:r>
      <w:r>
        <w:rPr>
          <w:lang w:val="en-AU"/>
        </w:rPr>
        <w:t xml:space="preserve">spatial demand forecasts </w:t>
      </w:r>
      <w:r w:rsidR="00BB255C">
        <w:rPr>
          <w:lang w:val="en-AU"/>
        </w:rPr>
        <w:t xml:space="preserve">were </w:t>
      </w:r>
      <w:r>
        <w:rPr>
          <w:lang w:val="en-AU"/>
        </w:rPr>
        <w:t xml:space="preserve">also over-estimated, PWC Networks </w:t>
      </w:r>
      <w:r w:rsidR="00FB0B5B">
        <w:rPr>
          <w:lang w:val="en-AU"/>
        </w:rPr>
        <w:t xml:space="preserve">reviewed the capex projects that the Commission considered could be deferred and revised some of its capex forecasts. </w:t>
      </w:r>
      <w:r w:rsidR="00C07F11" w:rsidRPr="00FF347C">
        <w:rPr>
          <w:lang w:val="en-AU"/>
        </w:rPr>
        <w:t>The revised capex forecasts are discussed in Chapter 9</w:t>
      </w:r>
      <w:r w:rsidR="00185936">
        <w:rPr>
          <w:lang w:val="en-AU"/>
        </w:rPr>
        <w:t xml:space="preserve"> of this Statement of Reasons</w:t>
      </w:r>
      <w:r w:rsidR="00C07F11" w:rsidRPr="00FF347C">
        <w:rPr>
          <w:lang w:val="en-AU"/>
        </w:rPr>
        <w:t>.</w:t>
      </w:r>
    </w:p>
    <w:p w14:paraId="33372C2B" w14:textId="5BF7DCB7" w:rsidR="004007A0" w:rsidRDefault="00FB0B5B" w:rsidP="004007A0">
      <w:pPr>
        <w:pStyle w:val="NumberLevel2"/>
        <w:numPr>
          <w:ilvl w:val="1"/>
          <w:numId w:val="5"/>
        </w:numPr>
        <w:tabs>
          <w:tab w:val="num" w:pos="709"/>
        </w:tabs>
        <w:ind w:left="709" w:hanging="709"/>
        <w:rPr>
          <w:lang w:val="en-AU"/>
        </w:rPr>
      </w:pPr>
      <w:r>
        <w:rPr>
          <w:lang w:val="en-AU"/>
        </w:rPr>
        <w:t xml:space="preserve">PWC Networks did not accept the Commission’s substituted forecast for new </w:t>
      </w:r>
      <w:r w:rsidR="00BB255C">
        <w:rPr>
          <w:lang w:val="en-AU"/>
        </w:rPr>
        <w:t xml:space="preserve">retail </w:t>
      </w:r>
      <w:r>
        <w:rPr>
          <w:lang w:val="en-AU"/>
        </w:rPr>
        <w:t xml:space="preserve">customer connections, arguing that it did not take account of historical growth in the number of </w:t>
      </w:r>
      <w:r w:rsidR="00BB255C">
        <w:rPr>
          <w:lang w:val="en-AU"/>
        </w:rPr>
        <w:t xml:space="preserve">retail </w:t>
      </w:r>
      <w:r>
        <w:rPr>
          <w:lang w:val="en-AU"/>
        </w:rPr>
        <w:t>customer connections, or the trends of closely related economic indicators.</w:t>
      </w:r>
    </w:p>
    <w:p w14:paraId="66A6486F" w14:textId="050B4EEA" w:rsidR="00CA7C55" w:rsidRPr="00CA7C55" w:rsidRDefault="00CA7C55" w:rsidP="00521EB2">
      <w:pPr>
        <w:pStyle w:val="NumberLevel2"/>
        <w:numPr>
          <w:ilvl w:val="1"/>
          <w:numId w:val="5"/>
        </w:numPr>
        <w:tabs>
          <w:tab w:val="num" w:pos="709"/>
        </w:tabs>
        <w:ind w:left="709" w:hanging="709"/>
        <w:rPr>
          <w:lang w:val="en-AU"/>
        </w:rPr>
      </w:pPr>
      <w:r>
        <w:rPr>
          <w:lang w:val="en-AU"/>
        </w:rPr>
        <w:t xml:space="preserve">PWC Networks also noted that the Commission </w:t>
      </w:r>
      <w:r w:rsidR="00BB255C">
        <w:rPr>
          <w:lang w:val="en-AU"/>
        </w:rPr>
        <w:t xml:space="preserve">had </w:t>
      </w:r>
      <w:r>
        <w:rPr>
          <w:lang w:val="en-AU"/>
        </w:rPr>
        <w:t>not made criticisms of PWC’s forecast</w:t>
      </w:r>
      <w:r w:rsidR="00391B04">
        <w:rPr>
          <w:lang w:val="en-AU"/>
        </w:rPr>
        <w:t>ing methodology</w:t>
      </w:r>
      <w:r>
        <w:rPr>
          <w:lang w:val="en-AU"/>
        </w:rPr>
        <w:t xml:space="preserve"> in </w:t>
      </w:r>
      <w:r w:rsidR="00521EB2">
        <w:rPr>
          <w:lang w:val="en-AU"/>
        </w:rPr>
        <w:t xml:space="preserve">previous Power System Reviews. </w:t>
      </w:r>
    </w:p>
    <w:p w14:paraId="1435A9DC" w14:textId="496B930C" w:rsidR="006464E0" w:rsidRPr="007B064D" w:rsidRDefault="006464E0" w:rsidP="006464E0">
      <w:pPr>
        <w:pStyle w:val="UtilComHeading2"/>
      </w:pPr>
      <w:bookmarkStart w:id="148" w:name="_Toc385241496"/>
      <w:bookmarkStart w:id="149" w:name="_Toc386013049"/>
      <w:r w:rsidRPr="007B064D">
        <w:t xml:space="preserve">Submissions on </w:t>
      </w:r>
      <w:r w:rsidR="003C0751">
        <w:t>D</w:t>
      </w:r>
      <w:r w:rsidR="003C0751" w:rsidRPr="007B064D">
        <w:t xml:space="preserve">raft </w:t>
      </w:r>
      <w:r w:rsidR="003C0751">
        <w:t>D</w:t>
      </w:r>
      <w:r w:rsidR="003C0751" w:rsidRPr="007B064D">
        <w:t xml:space="preserve">etermination </w:t>
      </w:r>
      <w:r w:rsidRPr="007B064D">
        <w:t xml:space="preserve">and </w:t>
      </w:r>
      <w:r w:rsidR="003C0751">
        <w:t>R</w:t>
      </w:r>
      <w:r w:rsidR="003C0751" w:rsidRPr="007B064D">
        <w:t xml:space="preserve">evised </w:t>
      </w:r>
      <w:r w:rsidR="003C0751">
        <w:t>R</w:t>
      </w:r>
      <w:r w:rsidR="003C0751" w:rsidRPr="007B064D">
        <w:t xml:space="preserve">egulatory </w:t>
      </w:r>
      <w:bookmarkEnd w:id="148"/>
      <w:r w:rsidR="003C0751">
        <w:t>P</w:t>
      </w:r>
      <w:r w:rsidR="003C0751" w:rsidRPr="007B064D">
        <w:t>roposal</w:t>
      </w:r>
      <w:bookmarkEnd w:id="149"/>
    </w:p>
    <w:p w14:paraId="69C22719" w14:textId="3A7BC446" w:rsidR="006464E0" w:rsidRDefault="00AD09D4" w:rsidP="006464E0">
      <w:pPr>
        <w:pStyle w:val="ListParagraph"/>
        <w:numPr>
          <w:ilvl w:val="1"/>
          <w:numId w:val="5"/>
        </w:numPr>
        <w:tabs>
          <w:tab w:val="num" w:pos="709"/>
        </w:tabs>
        <w:ind w:left="709" w:hanging="709"/>
        <w:rPr>
          <w:lang w:val="en-AU"/>
        </w:rPr>
      </w:pPr>
      <w:r>
        <w:rPr>
          <w:lang w:val="en-AU"/>
        </w:rPr>
        <w:t xml:space="preserve">The NTMEU commented that great care is needed to assess </w:t>
      </w:r>
      <w:r w:rsidR="00817FA0">
        <w:rPr>
          <w:lang w:val="en-AU"/>
        </w:rPr>
        <w:t xml:space="preserve">growth </w:t>
      </w:r>
      <w:r>
        <w:rPr>
          <w:lang w:val="en-AU"/>
        </w:rPr>
        <w:t xml:space="preserve">forecasts </w:t>
      </w:r>
      <w:r w:rsidR="004C58AB">
        <w:rPr>
          <w:lang w:val="en-AU"/>
        </w:rPr>
        <w:t xml:space="preserve">as experience from other jurisdictions </w:t>
      </w:r>
      <w:r w:rsidR="00817FA0">
        <w:rPr>
          <w:lang w:val="en-AU"/>
        </w:rPr>
        <w:t xml:space="preserve">was that network </w:t>
      </w:r>
      <w:r w:rsidR="0010082F">
        <w:rPr>
          <w:lang w:val="en-AU"/>
        </w:rPr>
        <w:t xml:space="preserve">service </w:t>
      </w:r>
      <w:r w:rsidR="00817FA0">
        <w:rPr>
          <w:lang w:val="en-AU"/>
        </w:rPr>
        <w:t xml:space="preserve">providers </w:t>
      </w:r>
      <w:r w:rsidR="004C58AB">
        <w:rPr>
          <w:lang w:val="en-AU"/>
        </w:rPr>
        <w:t>consistently overstate expected demand and consumption. The NTMEU also</w:t>
      </w:r>
      <w:r>
        <w:rPr>
          <w:lang w:val="en-AU"/>
        </w:rPr>
        <w:t xml:space="preserve"> noted that </w:t>
      </w:r>
      <w:r w:rsidR="00FD5D58">
        <w:rPr>
          <w:lang w:val="en-AU"/>
        </w:rPr>
        <w:t xml:space="preserve">the </w:t>
      </w:r>
      <w:r w:rsidR="00817FA0">
        <w:rPr>
          <w:lang w:val="en-AU"/>
        </w:rPr>
        <w:t xml:space="preserve">Australian Energy Market Operator (AEMO) </w:t>
      </w:r>
      <w:r>
        <w:rPr>
          <w:lang w:val="en-AU"/>
        </w:rPr>
        <w:t xml:space="preserve">has recently reduced its forecast for demand and consumption in the NEM. </w:t>
      </w:r>
    </w:p>
    <w:p w14:paraId="5862E38A" w14:textId="71A1791F" w:rsidR="006464E0" w:rsidRDefault="004C58AB" w:rsidP="006464E0">
      <w:pPr>
        <w:pStyle w:val="ListParagraph"/>
        <w:numPr>
          <w:ilvl w:val="1"/>
          <w:numId w:val="5"/>
        </w:numPr>
        <w:tabs>
          <w:tab w:val="num" w:pos="709"/>
        </w:tabs>
        <w:ind w:left="709" w:hanging="709"/>
        <w:rPr>
          <w:lang w:val="en-AU"/>
        </w:rPr>
      </w:pPr>
      <w:r>
        <w:rPr>
          <w:lang w:val="en-AU"/>
        </w:rPr>
        <w:t>The NTMEU considered that as PWC Networks ha</w:t>
      </w:r>
      <w:r w:rsidR="0010082F">
        <w:rPr>
          <w:lang w:val="en-AU"/>
        </w:rPr>
        <w:t>d</w:t>
      </w:r>
      <w:r>
        <w:rPr>
          <w:lang w:val="en-AU"/>
        </w:rPr>
        <w:t xml:space="preserve"> an incentive to overstate </w:t>
      </w:r>
      <w:r w:rsidR="00C26331">
        <w:rPr>
          <w:lang w:val="en-AU"/>
        </w:rPr>
        <w:t xml:space="preserve">its </w:t>
      </w:r>
      <w:r>
        <w:rPr>
          <w:lang w:val="en-AU"/>
        </w:rPr>
        <w:t xml:space="preserve">forecasts, the views of an independent reviewer such as PB should carry </w:t>
      </w:r>
      <w:r w:rsidR="00C26331">
        <w:rPr>
          <w:lang w:val="en-AU"/>
        </w:rPr>
        <w:t xml:space="preserve">greater </w:t>
      </w:r>
      <w:r>
        <w:rPr>
          <w:lang w:val="en-AU"/>
        </w:rPr>
        <w:t>weight than PWC Networks</w:t>
      </w:r>
      <w:r w:rsidR="00C26331">
        <w:rPr>
          <w:lang w:val="en-AU"/>
        </w:rPr>
        <w:t>’ demand forecasts</w:t>
      </w:r>
      <w:r>
        <w:rPr>
          <w:lang w:val="en-AU"/>
        </w:rPr>
        <w:t>.</w:t>
      </w:r>
    </w:p>
    <w:p w14:paraId="64C00FD4" w14:textId="58A21732" w:rsidR="00576E51" w:rsidRDefault="00576E51" w:rsidP="006464E0">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 xml:space="preserve">submissions were received on </w:t>
      </w:r>
      <w:r w:rsidR="00C26331">
        <w:rPr>
          <w:lang w:val="en-AU"/>
        </w:rPr>
        <w:t xml:space="preserve">PWC Networks’ </w:t>
      </w:r>
      <w:r>
        <w:rPr>
          <w:lang w:val="en-AU"/>
        </w:rPr>
        <w:t>demand forecasts.</w:t>
      </w:r>
    </w:p>
    <w:p w14:paraId="372C2B08" w14:textId="46333BFE" w:rsidR="006464E0" w:rsidRPr="00BB4EB2" w:rsidRDefault="006464E0" w:rsidP="006464E0">
      <w:pPr>
        <w:pStyle w:val="UtilComHeading2"/>
      </w:pPr>
      <w:bookmarkStart w:id="150" w:name="_Toc385241497"/>
      <w:bookmarkStart w:id="151" w:name="_Toc386013050"/>
      <w:r w:rsidRPr="00BB4EB2">
        <w:t xml:space="preserve">Issues and Commission’s </w:t>
      </w:r>
      <w:r w:rsidR="003C0751">
        <w:t>Further</w:t>
      </w:r>
      <w:r w:rsidR="003C0751" w:rsidRPr="00BB4EB2">
        <w:t xml:space="preserve"> </w:t>
      </w:r>
      <w:bookmarkEnd w:id="150"/>
      <w:r w:rsidR="003C0751">
        <w:t>C</w:t>
      </w:r>
      <w:r w:rsidR="003C0751" w:rsidRPr="00BB4EB2">
        <w:t>onsiderations</w:t>
      </w:r>
      <w:bookmarkEnd w:id="151"/>
    </w:p>
    <w:p w14:paraId="347BA4C7" w14:textId="67C94040" w:rsidR="00FF347C" w:rsidRDefault="00FF347C" w:rsidP="00FF347C">
      <w:pPr>
        <w:pStyle w:val="ListParagraph"/>
        <w:numPr>
          <w:ilvl w:val="1"/>
          <w:numId w:val="5"/>
        </w:numPr>
        <w:tabs>
          <w:tab w:val="num" w:pos="709"/>
        </w:tabs>
        <w:ind w:left="709" w:hanging="709"/>
        <w:rPr>
          <w:lang w:val="en-AU"/>
        </w:rPr>
      </w:pPr>
      <w:r>
        <w:rPr>
          <w:lang w:val="en-AU"/>
        </w:rPr>
        <w:t xml:space="preserve">The Commission has been unable to develop alternative demand forecasts with any confidence due to </w:t>
      </w:r>
      <w:r w:rsidRPr="00814950">
        <w:rPr>
          <w:lang w:val="en-AU"/>
        </w:rPr>
        <w:t xml:space="preserve">lack of </w:t>
      </w:r>
      <w:r w:rsidR="00F6467F">
        <w:rPr>
          <w:lang w:val="en-AU"/>
        </w:rPr>
        <w:t xml:space="preserve">robust </w:t>
      </w:r>
      <w:r w:rsidR="007136FE">
        <w:rPr>
          <w:lang w:val="en-AU"/>
        </w:rPr>
        <w:t>data provided by PWC N</w:t>
      </w:r>
      <w:r w:rsidR="007136FE">
        <w:t>etworks</w:t>
      </w:r>
      <w:r>
        <w:rPr>
          <w:lang w:val="en-AU"/>
        </w:rPr>
        <w:t>.</w:t>
      </w:r>
      <w:r w:rsidRPr="00814950">
        <w:rPr>
          <w:lang w:val="en-AU"/>
        </w:rPr>
        <w:t xml:space="preserve"> </w:t>
      </w:r>
      <w:r w:rsidRPr="005919EA">
        <w:rPr>
          <w:lang w:val="en-AU"/>
        </w:rPr>
        <w:t xml:space="preserve">Information on drivers of demand in the individual </w:t>
      </w:r>
      <w:r>
        <w:rPr>
          <w:lang w:val="en-AU"/>
        </w:rPr>
        <w:t>zone substations</w:t>
      </w:r>
      <w:r w:rsidRPr="005919EA">
        <w:rPr>
          <w:lang w:val="en-AU"/>
        </w:rPr>
        <w:t xml:space="preserve"> </w:t>
      </w:r>
      <w:r>
        <w:rPr>
          <w:lang w:val="en-AU"/>
        </w:rPr>
        <w:t>i</w:t>
      </w:r>
      <w:r w:rsidRPr="005919EA">
        <w:rPr>
          <w:lang w:val="en-AU"/>
        </w:rPr>
        <w:t xml:space="preserve">s limited </w:t>
      </w:r>
      <w:r>
        <w:rPr>
          <w:lang w:val="en-AU"/>
        </w:rPr>
        <w:t>and t</w:t>
      </w:r>
      <w:r w:rsidRPr="005919EA">
        <w:rPr>
          <w:lang w:val="en-AU"/>
        </w:rPr>
        <w:t xml:space="preserve">he time series for each </w:t>
      </w:r>
      <w:r>
        <w:rPr>
          <w:lang w:val="en-AU"/>
        </w:rPr>
        <w:t>zone substation</w:t>
      </w:r>
      <w:r w:rsidRPr="005919EA">
        <w:rPr>
          <w:lang w:val="en-AU"/>
        </w:rPr>
        <w:t xml:space="preserve"> covers at most from 2007</w:t>
      </w:r>
      <w:r>
        <w:rPr>
          <w:lang w:val="en-AU"/>
        </w:rPr>
        <w:t>-</w:t>
      </w:r>
      <w:r w:rsidRPr="005919EA">
        <w:rPr>
          <w:lang w:val="en-AU"/>
        </w:rPr>
        <w:t>08 to 2012</w:t>
      </w:r>
      <w:r>
        <w:rPr>
          <w:lang w:val="en-AU"/>
        </w:rPr>
        <w:t>-</w:t>
      </w:r>
      <w:r w:rsidRPr="005919EA">
        <w:rPr>
          <w:lang w:val="en-AU"/>
        </w:rPr>
        <w:t xml:space="preserve">13 which limits the confidence in individual estimates for each </w:t>
      </w:r>
      <w:r w:rsidR="007136FE">
        <w:rPr>
          <w:lang w:val="en-AU"/>
        </w:rPr>
        <w:t>zone substation</w:t>
      </w:r>
      <w:r>
        <w:rPr>
          <w:lang w:val="en-AU"/>
        </w:rPr>
        <w:t xml:space="preserve">. </w:t>
      </w:r>
    </w:p>
    <w:p w14:paraId="066D3C17" w14:textId="1C232448" w:rsidR="00FF347C" w:rsidRDefault="00FF347C" w:rsidP="00FF347C">
      <w:pPr>
        <w:pStyle w:val="ListParagraph"/>
        <w:numPr>
          <w:ilvl w:val="1"/>
          <w:numId w:val="5"/>
        </w:numPr>
        <w:tabs>
          <w:tab w:val="num" w:pos="709"/>
        </w:tabs>
        <w:ind w:left="709" w:hanging="709"/>
        <w:rPr>
          <w:lang w:val="en-AU"/>
        </w:rPr>
      </w:pPr>
      <w:r>
        <w:rPr>
          <w:lang w:val="en-AU"/>
        </w:rPr>
        <w:t xml:space="preserve">The lack of a robust alternative forecast however, does not mean that the Commission </w:t>
      </w:r>
      <w:r w:rsidR="00C07F11">
        <w:rPr>
          <w:lang w:val="en-AU"/>
        </w:rPr>
        <w:t xml:space="preserve">must </w:t>
      </w:r>
      <w:r>
        <w:rPr>
          <w:lang w:val="en-AU"/>
        </w:rPr>
        <w:t xml:space="preserve">accept the forecasts provided by PWC Networks. </w:t>
      </w:r>
      <w:r w:rsidR="00C07F11">
        <w:rPr>
          <w:lang w:val="en-AU"/>
        </w:rPr>
        <w:t xml:space="preserve">The Commission </w:t>
      </w:r>
      <w:r w:rsidR="009A2127">
        <w:rPr>
          <w:lang w:val="en-AU"/>
        </w:rPr>
        <w:t>notes</w:t>
      </w:r>
      <w:r w:rsidR="00C07F11">
        <w:rPr>
          <w:lang w:val="en-AU"/>
        </w:rPr>
        <w:t xml:space="preserve"> the NTMEU</w:t>
      </w:r>
      <w:r w:rsidR="009A2127">
        <w:rPr>
          <w:lang w:val="en-AU"/>
        </w:rPr>
        <w:t>’s comment</w:t>
      </w:r>
      <w:r w:rsidR="00C07F11">
        <w:rPr>
          <w:lang w:val="en-AU"/>
        </w:rPr>
        <w:t xml:space="preserve"> that </w:t>
      </w:r>
      <w:r w:rsidR="007136FE">
        <w:rPr>
          <w:lang w:val="en-AU"/>
        </w:rPr>
        <w:t xml:space="preserve">network </w:t>
      </w:r>
      <w:r w:rsidR="00C07F11">
        <w:rPr>
          <w:lang w:val="en-AU"/>
        </w:rPr>
        <w:t>service providers who receive a regulated income stream are generally more inclined to over-</w:t>
      </w:r>
      <w:r w:rsidR="007136FE">
        <w:rPr>
          <w:lang w:val="en-AU"/>
        </w:rPr>
        <w:t xml:space="preserve">estimate </w:t>
      </w:r>
      <w:r w:rsidR="00C07F11">
        <w:rPr>
          <w:lang w:val="en-AU"/>
        </w:rPr>
        <w:t>their expenditure requirements.</w:t>
      </w:r>
    </w:p>
    <w:p w14:paraId="27A6F102" w14:textId="14A70E26" w:rsidR="00745248" w:rsidRDefault="00745248" w:rsidP="00FF347C">
      <w:pPr>
        <w:pStyle w:val="ListParagraph"/>
        <w:numPr>
          <w:ilvl w:val="1"/>
          <w:numId w:val="5"/>
        </w:numPr>
        <w:tabs>
          <w:tab w:val="num" w:pos="709"/>
        </w:tabs>
        <w:ind w:left="709" w:hanging="709"/>
        <w:rPr>
          <w:lang w:val="en-AU"/>
        </w:rPr>
      </w:pPr>
      <w:r>
        <w:rPr>
          <w:lang w:val="en-AU"/>
        </w:rPr>
        <w:t xml:space="preserve">PWC Networks has provided little additional information to support its demand forecasts other than to restate a general contention that national trends cannot be applied in the Territory and that PWC Networks’ adjustments </w:t>
      </w:r>
      <w:r w:rsidR="007136FE">
        <w:rPr>
          <w:lang w:val="en-AU"/>
        </w:rPr>
        <w:t xml:space="preserve">which are </w:t>
      </w:r>
      <w:r w:rsidRPr="00C8208D">
        <w:rPr>
          <w:lang w:val="en-AU"/>
        </w:rPr>
        <w:t>based on expert judgement</w:t>
      </w:r>
      <w:r>
        <w:rPr>
          <w:lang w:val="en-AU"/>
        </w:rPr>
        <w:t xml:space="preserve">, while undocumented, were valid. </w:t>
      </w:r>
    </w:p>
    <w:p w14:paraId="4A78AB79" w14:textId="2AE54396" w:rsidR="00745248" w:rsidRDefault="00745248" w:rsidP="00FF347C">
      <w:pPr>
        <w:pStyle w:val="ListParagraph"/>
        <w:numPr>
          <w:ilvl w:val="1"/>
          <w:numId w:val="5"/>
        </w:numPr>
        <w:tabs>
          <w:tab w:val="num" w:pos="709"/>
        </w:tabs>
        <w:ind w:left="709" w:hanging="709"/>
        <w:rPr>
          <w:lang w:val="en-AU"/>
        </w:rPr>
      </w:pPr>
      <w:r>
        <w:rPr>
          <w:lang w:val="en-AU"/>
        </w:rPr>
        <w:t xml:space="preserve">PWC Networks has provided some additional information in support of its new </w:t>
      </w:r>
      <w:r w:rsidR="007136FE">
        <w:rPr>
          <w:lang w:val="en-AU"/>
        </w:rPr>
        <w:t xml:space="preserve">retail </w:t>
      </w:r>
      <w:r>
        <w:rPr>
          <w:lang w:val="en-AU"/>
        </w:rPr>
        <w:t>customer connection forecast. Actual new connections for the year to date, when extrapolated, confirm PWC </w:t>
      </w:r>
      <w:r w:rsidR="00422CD4">
        <w:rPr>
          <w:lang w:val="en-AU"/>
        </w:rPr>
        <w:t>N</w:t>
      </w:r>
      <w:r>
        <w:rPr>
          <w:lang w:val="en-AU"/>
        </w:rPr>
        <w:t xml:space="preserve">etworks forecast for the 2013-14 </w:t>
      </w:r>
      <w:r w:rsidR="007136FE">
        <w:rPr>
          <w:lang w:val="en-AU"/>
        </w:rPr>
        <w:t xml:space="preserve">regulatory </w:t>
      </w:r>
      <w:r>
        <w:rPr>
          <w:lang w:val="en-AU"/>
        </w:rPr>
        <w:t xml:space="preserve">year, and </w:t>
      </w:r>
      <w:r w:rsidR="00422CD4">
        <w:rPr>
          <w:lang w:val="en-AU"/>
        </w:rPr>
        <w:t xml:space="preserve">recently released demographic statistics. </w:t>
      </w:r>
    </w:p>
    <w:p w14:paraId="12572151" w14:textId="591E0F35" w:rsidR="00422CD4" w:rsidRDefault="00422CD4" w:rsidP="00FF347C">
      <w:pPr>
        <w:pStyle w:val="ListParagraph"/>
        <w:numPr>
          <w:ilvl w:val="1"/>
          <w:numId w:val="5"/>
        </w:numPr>
        <w:tabs>
          <w:tab w:val="num" w:pos="709"/>
        </w:tabs>
        <w:ind w:left="709" w:hanging="709"/>
        <w:rPr>
          <w:lang w:val="en-AU"/>
        </w:rPr>
      </w:pPr>
      <w:r>
        <w:rPr>
          <w:lang w:val="en-AU"/>
        </w:rPr>
        <w:t xml:space="preserve">The Commission </w:t>
      </w:r>
      <w:r w:rsidR="009A2127">
        <w:rPr>
          <w:lang w:val="en-AU"/>
        </w:rPr>
        <w:t>notes</w:t>
      </w:r>
      <w:r>
        <w:rPr>
          <w:lang w:val="en-AU"/>
        </w:rPr>
        <w:t xml:space="preserve"> PWC Networks</w:t>
      </w:r>
      <w:r w:rsidR="009A2127">
        <w:rPr>
          <w:lang w:val="en-AU"/>
        </w:rPr>
        <w:t>’ argument</w:t>
      </w:r>
      <w:r>
        <w:rPr>
          <w:lang w:val="en-AU"/>
        </w:rPr>
        <w:t xml:space="preserve"> that growth has been high in recent years. </w:t>
      </w:r>
      <w:r w:rsidR="005A7F1C">
        <w:rPr>
          <w:lang w:val="en-AU"/>
        </w:rPr>
        <w:t xml:space="preserve">The </w:t>
      </w:r>
      <w:r>
        <w:rPr>
          <w:lang w:val="en-AU"/>
        </w:rPr>
        <w:t xml:space="preserve">ABS however, </w:t>
      </w:r>
      <w:r w:rsidR="000B32A3">
        <w:rPr>
          <w:lang w:val="en-AU"/>
        </w:rPr>
        <w:t xml:space="preserve">forecasts </w:t>
      </w:r>
      <w:r>
        <w:rPr>
          <w:lang w:val="en-AU"/>
        </w:rPr>
        <w:t>that population g</w:t>
      </w:r>
      <w:r w:rsidR="00EF3EB0">
        <w:rPr>
          <w:lang w:val="en-AU"/>
        </w:rPr>
        <w:t>r</w:t>
      </w:r>
      <w:r>
        <w:rPr>
          <w:lang w:val="en-AU"/>
        </w:rPr>
        <w:t xml:space="preserve">owth is to peak in </w:t>
      </w:r>
      <w:r w:rsidR="007136FE">
        <w:rPr>
          <w:lang w:val="en-AU"/>
        </w:rPr>
        <w:t xml:space="preserve">the </w:t>
      </w:r>
      <w:r>
        <w:rPr>
          <w:lang w:val="en-AU"/>
        </w:rPr>
        <w:t xml:space="preserve">2013-14 </w:t>
      </w:r>
      <w:r w:rsidR="007136FE">
        <w:rPr>
          <w:lang w:val="en-AU"/>
        </w:rPr>
        <w:t xml:space="preserve">regulatory year </w:t>
      </w:r>
      <w:r>
        <w:rPr>
          <w:lang w:val="en-AU"/>
        </w:rPr>
        <w:t>and to grow at a slower rate throughout the 2014-19 regulatory control period.</w:t>
      </w:r>
    </w:p>
    <w:p w14:paraId="33A5EA88" w14:textId="713A3925" w:rsidR="00422CD4" w:rsidRDefault="00422CD4" w:rsidP="00FF347C">
      <w:pPr>
        <w:pStyle w:val="ListParagraph"/>
        <w:numPr>
          <w:ilvl w:val="1"/>
          <w:numId w:val="5"/>
        </w:numPr>
        <w:tabs>
          <w:tab w:val="num" w:pos="709"/>
        </w:tabs>
        <w:ind w:left="709" w:hanging="709"/>
        <w:rPr>
          <w:lang w:val="en-AU"/>
        </w:rPr>
      </w:pPr>
      <w:r>
        <w:rPr>
          <w:lang w:val="en-AU"/>
        </w:rPr>
        <w:t>Overall, the Commission does not consider that PWC Networks has provided any information that changes the view expressed by the Commission in its Draft Determination.</w:t>
      </w:r>
    </w:p>
    <w:p w14:paraId="7F232F88" w14:textId="17D3D167" w:rsidR="00FF347C" w:rsidRPr="00FF347C" w:rsidRDefault="00FF347C" w:rsidP="00FF347C">
      <w:pPr>
        <w:pStyle w:val="ListParagraph"/>
        <w:numPr>
          <w:ilvl w:val="1"/>
          <w:numId w:val="5"/>
        </w:numPr>
        <w:tabs>
          <w:tab w:val="num" w:pos="709"/>
        </w:tabs>
        <w:ind w:left="709" w:hanging="709"/>
        <w:rPr>
          <w:lang w:val="en-AU"/>
        </w:rPr>
      </w:pPr>
      <w:r w:rsidRPr="00FF347C">
        <w:rPr>
          <w:lang w:val="en-AU"/>
        </w:rPr>
        <w:t xml:space="preserve">Under a revenue cap form of control, demand forecasts mainly impact on the assessment of </w:t>
      </w:r>
      <w:r w:rsidR="00487C6F">
        <w:rPr>
          <w:lang w:val="en-AU"/>
        </w:rPr>
        <w:t xml:space="preserve">the </w:t>
      </w:r>
      <w:r w:rsidRPr="00FF347C">
        <w:rPr>
          <w:lang w:val="en-AU"/>
        </w:rPr>
        <w:t xml:space="preserve">capital expenditure </w:t>
      </w:r>
      <w:r w:rsidR="00487C6F">
        <w:rPr>
          <w:lang w:val="en-AU"/>
        </w:rPr>
        <w:t xml:space="preserve">required </w:t>
      </w:r>
      <w:r w:rsidRPr="00FF347C">
        <w:rPr>
          <w:lang w:val="en-AU"/>
        </w:rPr>
        <w:t xml:space="preserve">for extension of </w:t>
      </w:r>
      <w:r w:rsidR="007136FE">
        <w:rPr>
          <w:lang w:val="en-AU"/>
        </w:rPr>
        <w:t>an electricity</w:t>
      </w:r>
      <w:r w:rsidR="007136FE" w:rsidRPr="00FF347C">
        <w:rPr>
          <w:lang w:val="en-AU"/>
        </w:rPr>
        <w:t xml:space="preserve"> </w:t>
      </w:r>
      <w:r w:rsidRPr="00FF347C">
        <w:rPr>
          <w:lang w:val="en-AU"/>
        </w:rPr>
        <w:t xml:space="preserve">network. </w:t>
      </w:r>
      <w:r>
        <w:rPr>
          <w:lang w:val="en-AU"/>
        </w:rPr>
        <w:t xml:space="preserve">Accordingly, the Commission </w:t>
      </w:r>
      <w:r w:rsidR="00487C6F">
        <w:rPr>
          <w:lang w:val="en-AU"/>
        </w:rPr>
        <w:t xml:space="preserve">considers that, given the </w:t>
      </w:r>
      <w:r w:rsidR="00C07F11">
        <w:rPr>
          <w:lang w:val="en-AU"/>
        </w:rPr>
        <w:t xml:space="preserve">lack of adequate historic data </w:t>
      </w:r>
      <w:r w:rsidR="007136FE">
        <w:rPr>
          <w:lang w:val="en-AU"/>
        </w:rPr>
        <w:t xml:space="preserve">available </w:t>
      </w:r>
      <w:r w:rsidR="00C07F11">
        <w:rPr>
          <w:lang w:val="en-AU"/>
        </w:rPr>
        <w:t>for the development of</w:t>
      </w:r>
      <w:r w:rsidRPr="00FF347C">
        <w:rPr>
          <w:lang w:val="en-AU"/>
        </w:rPr>
        <w:t xml:space="preserve"> an alternative authoritative </w:t>
      </w:r>
      <w:r w:rsidR="007136FE">
        <w:rPr>
          <w:lang w:val="en-AU"/>
        </w:rPr>
        <w:t xml:space="preserve">demand </w:t>
      </w:r>
      <w:r w:rsidRPr="00FF347C">
        <w:rPr>
          <w:lang w:val="en-AU"/>
        </w:rPr>
        <w:t xml:space="preserve">forecast, </w:t>
      </w:r>
      <w:r w:rsidR="007136FE">
        <w:rPr>
          <w:lang w:val="en-AU"/>
        </w:rPr>
        <w:t>PB’s</w:t>
      </w:r>
      <w:r w:rsidR="007136FE" w:rsidRPr="00FF347C">
        <w:rPr>
          <w:lang w:val="en-AU"/>
        </w:rPr>
        <w:t xml:space="preserve"> </w:t>
      </w:r>
      <w:r w:rsidRPr="00FF347C">
        <w:rPr>
          <w:lang w:val="en-AU"/>
        </w:rPr>
        <w:t>recommendations to defer proposed costs for some zone substation replacement projects</w:t>
      </w:r>
      <w:r w:rsidR="00C07F11">
        <w:rPr>
          <w:lang w:val="en-AU"/>
        </w:rPr>
        <w:t xml:space="preserve"> </w:t>
      </w:r>
      <w:r w:rsidR="00B053E4">
        <w:rPr>
          <w:lang w:val="en-AU"/>
        </w:rPr>
        <w:t xml:space="preserve">reasonably reflects </w:t>
      </w:r>
      <w:r w:rsidR="007136FE">
        <w:rPr>
          <w:lang w:val="en-AU"/>
        </w:rPr>
        <w:t>the capital expenditure objectives, capital expenditure criteria and capital expenditure factors as adapted to apply in the Territory electricity market</w:t>
      </w:r>
      <w:r>
        <w:rPr>
          <w:lang w:val="en-AU"/>
        </w:rPr>
        <w:t xml:space="preserve">. </w:t>
      </w:r>
    </w:p>
    <w:p w14:paraId="09A04E98" w14:textId="77777777" w:rsidR="003159C1" w:rsidRDefault="00521EB2" w:rsidP="00FB0B5B">
      <w:pPr>
        <w:pStyle w:val="ListParagraph"/>
        <w:numPr>
          <w:ilvl w:val="1"/>
          <w:numId w:val="5"/>
        </w:numPr>
        <w:tabs>
          <w:tab w:val="num" w:pos="709"/>
        </w:tabs>
        <w:ind w:left="709" w:hanging="709"/>
        <w:rPr>
          <w:lang w:val="en-AU"/>
        </w:rPr>
      </w:pPr>
      <w:r>
        <w:rPr>
          <w:lang w:val="en-AU"/>
        </w:rPr>
        <w:t xml:space="preserve">The Commission addressed the different requirements of a network price determination and the </w:t>
      </w:r>
      <w:r w:rsidR="00FB0B5B">
        <w:rPr>
          <w:lang w:val="en-AU"/>
        </w:rPr>
        <w:t xml:space="preserve">Power System Review </w:t>
      </w:r>
      <w:r>
        <w:rPr>
          <w:lang w:val="en-AU"/>
        </w:rPr>
        <w:t xml:space="preserve">in the Draft Determination with respect to demand forecasts and the need for a more stringent approach for the former. </w:t>
      </w:r>
    </w:p>
    <w:p w14:paraId="356737F2" w14:textId="7A6E184F" w:rsidR="003159C1" w:rsidRDefault="003159C1" w:rsidP="003159C1">
      <w:pPr>
        <w:pStyle w:val="ListParagraph"/>
        <w:numPr>
          <w:ilvl w:val="1"/>
          <w:numId w:val="5"/>
        </w:numPr>
        <w:tabs>
          <w:tab w:val="num" w:pos="709"/>
        </w:tabs>
        <w:ind w:left="709" w:hanging="709"/>
        <w:rPr>
          <w:lang w:val="en-AU"/>
        </w:rPr>
      </w:pPr>
      <w:r>
        <w:rPr>
          <w:lang w:val="en-AU"/>
        </w:rPr>
        <w:t xml:space="preserve">The context of the Power System Review and a network price determination are different. </w:t>
      </w:r>
      <w:r w:rsidR="002F179F">
        <w:rPr>
          <w:lang w:val="en-AU"/>
        </w:rPr>
        <w:t>A</w:t>
      </w:r>
      <w:r>
        <w:rPr>
          <w:lang w:val="en-AU"/>
        </w:rPr>
        <w:t xml:space="preserve"> Power System Review considers the demand-supply balance at the global level. A </w:t>
      </w:r>
      <w:r w:rsidR="0010082F">
        <w:rPr>
          <w:lang w:val="en-AU"/>
        </w:rPr>
        <w:t xml:space="preserve">network </w:t>
      </w:r>
      <w:r>
        <w:rPr>
          <w:lang w:val="en-AU"/>
        </w:rPr>
        <w:t>price determination look</w:t>
      </w:r>
      <w:r w:rsidR="0010082F">
        <w:rPr>
          <w:lang w:val="en-AU"/>
        </w:rPr>
        <w:t>s</w:t>
      </w:r>
      <w:r>
        <w:rPr>
          <w:lang w:val="en-AU"/>
        </w:rPr>
        <w:t xml:space="preserve"> at a more granular level, that is, down at the substation and line level, to determine whether the proposed capital expenditure at that level is adequate.</w:t>
      </w:r>
    </w:p>
    <w:p w14:paraId="5AF20F22" w14:textId="30277C98" w:rsidR="003159C1" w:rsidRDefault="002F179F" w:rsidP="00FB0B5B">
      <w:pPr>
        <w:pStyle w:val="ListParagraph"/>
        <w:numPr>
          <w:ilvl w:val="1"/>
          <w:numId w:val="5"/>
        </w:numPr>
        <w:tabs>
          <w:tab w:val="num" w:pos="709"/>
        </w:tabs>
        <w:ind w:left="709" w:hanging="709"/>
        <w:rPr>
          <w:lang w:val="en-AU"/>
        </w:rPr>
      </w:pPr>
      <w:r>
        <w:rPr>
          <w:lang w:val="en-AU"/>
        </w:rPr>
        <w:t>A</w:t>
      </w:r>
      <w:r w:rsidR="003159C1">
        <w:rPr>
          <w:lang w:val="en-AU"/>
        </w:rPr>
        <w:t xml:space="preserve"> Power System Review looks at demand from both a top</w:t>
      </w:r>
      <w:r w:rsidR="003159C1">
        <w:rPr>
          <w:lang w:val="en-AU"/>
        </w:rPr>
        <w:noBreakHyphen/>
        <w:t>down and bottom</w:t>
      </w:r>
      <w:r w:rsidR="003159C1">
        <w:rPr>
          <w:lang w:val="en-AU"/>
        </w:rPr>
        <w:noBreakHyphen/>
        <w:t>up perspective, and the Commission acknowledges that, ideally, the bottom</w:t>
      </w:r>
      <w:r w:rsidR="003159C1">
        <w:rPr>
          <w:lang w:val="en-AU"/>
        </w:rPr>
        <w:noBreakHyphen/>
        <w:t xml:space="preserve">up analysis for </w:t>
      </w:r>
      <w:r>
        <w:rPr>
          <w:lang w:val="en-AU"/>
        </w:rPr>
        <w:t>a</w:t>
      </w:r>
      <w:r w:rsidR="003159C1">
        <w:rPr>
          <w:lang w:val="en-AU"/>
        </w:rPr>
        <w:t xml:space="preserve"> Power System Review should have similar requirements to the network price determination. However, for </w:t>
      </w:r>
      <w:r>
        <w:rPr>
          <w:lang w:val="en-AU"/>
        </w:rPr>
        <w:t>a</w:t>
      </w:r>
      <w:r w:rsidR="003159C1">
        <w:rPr>
          <w:lang w:val="en-AU"/>
        </w:rPr>
        <w:t xml:space="preserve"> Power System Review the granular level of demand analysis is not as important as in the network price determination and </w:t>
      </w:r>
      <w:r>
        <w:rPr>
          <w:lang w:val="en-AU"/>
        </w:rPr>
        <w:t>in 2011-12</w:t>
      </w:r>
      <w:r w:rsidR="0010082F">
        <w:rPr>
          <w:lang w:val="en-AU"/>
        </w:rPr>
        <w:t xml:space="preserve"> Power System Review </w:t>
      </w:r>
      <w:r w:rsidR="003159C1">
        <w:rPr>
          <w:lang w:val="en-AU"/>
        </w:rPr>
        <w:t xml:space="preserve">the Commission accepted the demand estimates were within </w:t>
      </w:r>
      <w:r>
        <w:rPr>
          <w:lang w:val="en-AU"/>
        </w:rPr>
        <w:t xml:space="preserve">the </w:t>
      </w:r>
      <w:r w:rsidR="003159C1">
        <w:rPr>
          <w:lang w:val="en-AU"/>
        </w:rPr>
        <w:t xml:space="preserve">normal methodology for system level understanding. </w:t>
      </w:r>
    </w:p>
    <w:p w14:paraId="3759D4BB" w14:textId="72A58FBE" w:rsidR="003159C1" w:rsidRPr="003159C1" w:rsidRDefault="00521EB2" w:rsidP="003159C1">
      <w:pPr>
        <w:pStyle w:val="ListParagraph"/>
        <w:numPr>
          <w:ilvl w:val="1"/>
          <w:numId w:val="5"/>
        </w:numPr>
        <w:tabs>
          <w:tab w:val="num" w:pos="709"/>
        </w:tabs>
        <w:ind w:left="709" w:hanging="709"/>
        <w:rPr>
          <w:lang w:val="en-AU"/>
        </w:rPr>
      </w:pPr>
      <w:r w:rsidRPr="003159C1">
        <w:rPr>
          <w:lang w:val="en-AU"/>
        </w:rPr>
        <w:t>T</w:t>
      </w:r>
      <w:r w:rsidR="00FB0B5B" w:rsidRPr="003159C1">
        <w:rPr>
          <w:lang w:val="en-AU"/>
        </w:rPr>
        <w:t xml:space="preserve">he analysis undertaken as part of the 2014 Network Price Determination </w:t>
      </w:r>
      <w:r w:rsidRPr="003159C1">
        <w:rPr>
          <w:lang w:val="en-AU"/>
        </w:rPr>
        <w:t xml:space="preserve">will be considered in the Power System Review </w:t>
      </w:r>
      <w:r w:rsidR="006B6ED7">
        <w:rPr>
          <w:lang w:val="en-AU"/>
        </w:rPr>
        <w:t xml:space="preserve">for </w:t>
      </w:r>
      <w:r w:rsidRPr="003159C1">
        <w:rPr>
          <w:lang w:val="en-AU"/>
        </w:rPr>
        <w:t xml:space="preserve">2012-13 </w:t>
      </w:r>
      <w:r w:rsidR="00FB0B5B" w:rsidRPr="003159C1">
        <w:rPr>
          <w:lang w:val="en-AU"/>
        </w:rPr>
        <w:t>with the objective of providing a more robust demand forecasting assessment</w:t>
      </w:r>
      <w:r w:rsidRPr="003159C1">
        <w:rPr>
          <w:lang w:val="en-AU"/>
        </w:rPr>
        <w:t xml:space="preserve">. </w:t>
      </w:r>
    </w:p>
    <w:p w14:paraId="4562746C" w14:textId="006DC6B6" w:rsidR="006464E0" w:rsidRPr="00BB4EB2" w:rsidRDefault="006464E0" w:rsidP="006464E0">
      <w:pPr>
        <w:pStyle w:val="UtilComHeading2"/>
      </w:pPr>
      <w:bookmarkStart w:id="152" w:name="_Toc385241498"/>
      <w:bookmarkStart w:id="153" w:name="_Toc386013051"/>
      <w:r w:rsidRPr="00BB4EB2">
        <w:t xml:space="preserve">Commission’s </w:t>
      </w:r>
      <w:r w:rsidR="001C5A9B">
        <w:t>F</w:t>
      </w:r>
      <w:r w:rsidR="001C5A9B" w:rsidRPr="00BB4EB2">
        <w:t xml:space="preserve">inal </w:t>
      </w:r>
      <w:bookmarkEnd w:id="152"/>
      <w:r w:rsidR="001C5A9B">
        <w:t>D</w:t>
      </w:r>
      <w:r w:rsidR="001C5A9B" w:rsidRPr="00BB4EB2">
        <w:t>ecision</w:t>
      </w:r>
      <w:bookmarkEnd w:id="153"/>
    </w:p>
    <w:p w14:paraId="6D193098" w14:textId="77777777" w:rsidR="003C308A" w:rsidRDefault="003C308A" w:rsidP="003C308A">
      <w:pPr>
        <w:pStyle w:val="ListParagraph"/>
        <w:numPr>
          <w:ilvl w:val="1"/>
          <w:numId w:val="5"/>
        </w:numPr>
        <w:tabs>
          <w:tab w:val="num" w:pos="709"/>
        </w:tabs>
        <w:ind w:left="709" w:hanging="709"/>
        <w:rPr>
          <w:lang w:val="en-AU"/>
        </w:rPr>
      </w:pPr>
      <w:r w:rsidRPr="00323FDE">
        <w:rPr>
          <w:lang w:val="en-AU"/>
        </w:rPr>
        <w:t xml:space="preserve">The Commission’s </w:t>
      </w:r>
      <w:r>
        <w:rPr>
          <w:lang w:val="en-AU"/>
        </w:rPr>
        <w:t>view</w:t>
      </w:r>
      <w:r w:rsidRPr="00323FDE">
        <w:rPr>
          <w:lang w:val="en-AU"/>
        </w:rPr>
        <w:t xml:space="preserve"> </w:t>
      </w:r>
      <w:r>
        <w:rPr>
          <w:lang w:val="en-AU"/>
        </w:rPr>
        <w:t xml:space="preserve">on the </w:t>
      </w:r>
      <w:r w:rsidR="00576E51">
        <w:rPr>
          <w:lang w:val="en-AU"/>
        </w:rPr>
        <w:t>demand forecasts</w:t>
      </w:r>
      <w:r>
        <w:rPr>
          <w:lang w:val="en-AU"/>
        </w:rPr>
        <w:t xml:space="preserve"> remains consistent with its views set out in the Draft Determination</w:t>
      </w:r>
      <w:r w:rsidRPr="00391C7B">
        <w:rPr>
          <w:lang w:val="en-AU"/>
        </w:rPr>
        <w:t>.</w:t>
      </w:r>
    </w:p>
    <w:p w14:paraId="7A6A1D7E" w14:textId="5488590B" w:rsidR="006464E0" w:rsidRPr="00794B2D" w:rsidRDefault="00EB2BE9" w:rsidP="00EB2BE9">
      <w:pPr>
        <w:pStyle w:val="ListParagraph"/>
        <w:numPr>
          <w:ilvl w:val="1"/>
          <w:numId w:val="5"/>
        </w:numPr>
        <w:tabs>
          <w:tab w:val="num" w:pos="709"/>
        </w:tabs>
        <w:ind w:left="709" w:hanging="709"/>
        <w:rPr>
          <w:lang w:val="en-AU"/>
        </w:rPr>
      </w:pPr>
      <w:r w:rsidRPr="00EB2BE9">
        <w:rPr>
          <w:lang w:val="en-AU"/>
        </w:rPr>
        <w:t xml:space="preserve">The </w:t>
      </w:r>
      <w:r>
        <w:rPr>
          <w:lang w:val="en-AU"/>
        </w:rPr>
        <w:t>Commission</w:t>
      </w:r>
      <w:r w:rsidRPr="00EB2BE9">
        <w:rPr>
          <w:lang w:val="en-AU"/>
        </w:rPr>
        <w:t xml:space="preserve"> considers </w:t>
      </w:r>
      <w:r>
        <w:rPr>
          <w:lang w:val="en-AU"/>
        </w:rPr>
        <w:t xml:space="preserve">that demand forecasts provided by PWC Networks are over-estimated </w:t>
      </w:r>
      <w:r w:rsidRPr="00EB2BE9">
        <w:rPr>
          <w:lang w:val="en-AU"/>
        </w:rPr>
        <w:t>for the purposes of assessing the proposed load driven capex</w:t>
      </w:r>
      <w:r w:rsidR="006B6ED7">
        <w:rPr>
          <w:lang w:val="en-AU"/>
        </w:rPr>
        <w:t xml:space="preserve"> for the 2014 Network Price Determination</w:t>
      </w:r>
      <w:r>
        <w:rPr>
          <w:lang w:val="en-AU"/>
        </w:rPr>
        <w:t xml:space="preserve">. </w:t>
      </w:r>
    </w:p>
    <w:p w14:paraId="53FA68BA" w14:textId="77777777" w:rsidR="003910EC" w:rsidRDefault="003910EC" w:rsidP="00094E59">
      <w:pPr>
        <w:pStyle w:val="NumberLevel2"/>
        <w:tabs>
          <w:tab w:val="clear" w:pos="576"/>
        </w:tabs>
        <w:ind w:left="567" w:firstLine="0"/>
        <w:rPr>
          <w:lang w:val="en-AU"/>
        </w:rPr>
      </w:pPr>
    </w:p>
    <w:tbl>
      <w:tblPr>
        <w:tblW w:w="0" w:type="auto"/>
        <w:tblLayout w:type="fixed"/>
        <w:tblLook w:val="01E0" w:firstRow="1" w:lastRow="1" w:firstColumn="1" w:lastColumn="1" w:noHBand="0" w:noVBand="0"/>
      </w:tblPr>
      <w:tblGrid>
        <w:gridCol w:w="9288"/>
      </w:tblGrid>
      <w:tr w:rsidR="0049684C" w14:paraId="6CB59450" w14:textId="77777777" w:rsidTr="0096684F">
        <w:tc>
          <w:tcPr>
            <w:tcW w:w="9288" w:type="dxa"/>
          </w:tcPr>
          <w:p w14:paraId="48908E72" w14:textId="77777777" w:rsidR="0049684C" w:rsidRDefault="0049684C" w:rsidP="0096684F">
            <w:pPr>
              <w:pStyle w:val="NumberLevel1"/>
              <w:pageBreakBefore/>
              <w:numPr>
                <w:ilvl w:val="0"/>
                <w:numId w:val="4"/>
              </w:numPr>
              <w:ind w:left="431" w:hanging="431"/>
            </w:pPr>
            <w:r>
              <w:br w:type="page"/>
            </w:r>
          </w:p>
        </w:tc>
      </w:tr>
      <w:tr w:rsidR="0049684C" w14:paraId="79834E01" w14:textId="77777777" w:rsidTr="0096684F">
        <w:tc>
          <w:tcPr>
            <w:tcW w:w="9288" w:type="dxa"/>
          </w:tcPr>
          <w:p w14:paraId="0D07A64B" w14:textId="77777777" w:rsidR="0049684C" w:rsidRDefault="00893266" w:rsidP="0096684F">
            <w:pPr>
              <w:pStyle w:val="UtilComChapterHeading"/>
              <w:outlineLvl w:val="0"/>
            </w:pPr>
            <w:bookmarkStart w:id="154" w:name="_Toc385241499"/>
            <w:bookmarkStart w:id="155" w:name="_Toc386013052"/>
            <w:r w:rsidRPr="00893266">
              <w:t>Maintaining Quality, Reliability and Security of Supply</w:t>
            </w:r>
            <w:bookmarkEnd w:id="154"/>
            <w:bookmarkEnd w:id="155"/>
          </w:p>
        </w:tc>
      </w:tr>
    </w:tbl>
    <w:p w14:paraId="3D54767F" w14:textId="77777777" w:rsidR="0049684C" w:rsidRDefault="0049684C" w:rsidP="0049684C">
      <w:pPr>
        <w:pStyle w:val="UtilComHeading2"/>
      </w:pPr>
      <w:bookmarkStart w:id="156" w:name="_Toc385241500"/>
      <w:bookmarkStart w:id="157" w:name="_Toc386013053"/>
      <w:r>
        <w:t>Introduction</w:t>
      </w:r>
      <w:bookmarkEnd w:id="156"/>
      <w:bookmarkEnd w:id="157"/>
    </w:p>
    <w:p w14:paraId="6C52C2D2" w14:textId="2B0A5896" w:rsidR="00AB0805" w:rsidRDefault="00D8104F" w:rsidP="00A806E4">
      <w:pPr>
        <w:pStyle w:val="NumberLevel2"/>
        <w:numPr>
          <w:ilvl w:val="1"/>
          <w:numId w:val="5"/>
        </w:numPr>
        <w:tabs>
          <w:tab w:val="num" w:pos="709"/>
        </w:tabs>
        <w:ind w:left="709" w:hanging="709"/>
        <w:rPr>
          <w:lang w:val="en-AU"/>
        </w:rPr>
      </w:pPr>
      <w:r w:rsidRPr="00D8104F">
        <w:rPr>
          <w:lang w:val="en-AU"/>
        </w:rPr>
        <w:t xml:space="preserve">Standards of </w:t>
      </w:r>
      <w:r>
        <w:rPr>
          <w:lang w:val="en-AU"/>
        </w:rPr>
        <w:t>quality, reliability and security of supply</w:t>
      </w:r>
      <w:r w:rsidRPr="00D8104F">
        <w:rPr>
          <w:lang w:val="en-AU"/>
        </w:rPr>
        <w:t xml:space="preserve"> are key consideration</w:t>
      </w:r>
      <w:r w:rsidR="00E73C4F">
        <w:rPr>
          <w:lang w:val="en-AU"/>
        </w:rPr>
        <w:t>s</w:t>
      </w:r>
      <w:r w:rsidRPr="00D8104F">
        <w:rPr>
          <w:lang w:val="en-AU"/>
        </w:rPr>
        <w:t xml:space="preserve"> of </w:t>
      </w:r>
      <w:r w:rsidR="006A6701">
        <w:rPr>
          <w:lang w:val="en-AU"/>
        </w:rPr>
        <w:t>the Commission</w:t>
      </w:r>
      <w:r w:rsidR="006A6701" w:rsidRPr="00D8104F">
        <w:rPr>
          <w:lang w:val="en-AU"/>
        </w:rPr>
        <w:t xml:space="preserve"> </w:t>
      </w:r>
      <w:r w:rsidRPr="00D8104F">
        <w:rPr>
          <w:lang w:val="en-AU"/>
        </w:rPr>
        <w:t xml:space="preserve">in </w:t>
      </w:r>
      <w:r w:rsidR="006A6701">
        <w:rPr>
          <w:lang w:val="en-AU"/>
        </w:rPr>
        <w:t xml:space="preserve">setting a </w:t>
      </w:r>
      <w:r w:rsidR="00FD5D58">
        <w:rPr>
          <w:lang w:val="en-AU"/>
        </w:rPr>
        <w:t>n</w:t>
      </w:r>
      <w:r w:rsidR="006A6701">
        <w:rPr>
          <w:lang w:val="en-AU"/>
        </w:rPr>
        <w:t xml:space="preserve">etwork </w:t>
      </w:r>
      <w:r w:rsidR="00FD5D58">
        <w:rPr>
          <w:lang w:val="en-AU"/>
        </w:rPr>
        <w:t>p</w:t>
      </w:r>
      <w:r w:rsidR="006A6701">
        <w:rPr>
          <w:lang w:val="en-AU"/>
        </w:rPr>
        <w:t xml:space="preserve">rice </w:t>
      </w:r>
      <w:r w:rsidR="00FD5D58">
        <w:rPr>
          <w:lang w:val="en-AU"/>
        </w:rPr>
        <w:t>d</w:t>
      </w:r>
      <w:r w:rsidR="006A6701">
        <w:rPr>
          <w:lang w:val="en-AU"/>
        </w:rPr>
        <w:t>etermination</w:t>
      </w:r>
      <w:r w:rsidRPr="00D8104F">
        <w:rPr>
          <w:lang w:val="en-AU"/>
        </w:rPr>
        <w:t xml:space="preserve"> and identifying the optimum balance between price and service levels – a trade-off known as the regulatory bargain.</w:t>
      </w:r>
    </w:p>
    <w:p w14:paraId="3E08E694" w14:textId="1C4E9A91" w:rsidR="0049684C" w:rsidRDefault="00893266" w:rsidP="00A806E4">
      <w:pPr>
        <w:pStyle w:val="NumberLevel2"/>
        <w:numPr>
          <w:ilvl w:val="1"/>
          <w:numId w:val="5"/>
        </w:numPr>
        <w:tabs>
          <w:tab w:val="num" w:pos="709"/>
        </w:tabs>
        <w:ind w:left="709" w:hanging="709"/>
        <w:rPr>
          <w:lang w:val="en-AU"/>
        </w:rPr>
      </w:pPr>
      <w:r w:rsidRPr="00893266">
        <w:rPr>
          <w:lang w:val="en-AU"/>
        </w:rPr>
        <w:t xml:space="preserve">PWC Networks’ </w:t>
      </w:r>
      <w:r w:rsidR="006A6701">
        <w:rPr>
          <w:lang w:val="en-AU"/>
        </w:rPr>
        <w:t xml:space="preserve">network </w:t>
      </w:r>
      <w:r w:rsidRPr="00893266">
        <w:rPr>
          <w:lang w:val="en-AU"/>
        </w:rPr>
        <w:t>licence requires it</w:t>
      </w:r>
      <w:r w:rsidR="006A6701">
        <w:rPr>
          <w:lang w:val="en-AU"/>
        </w:rPr>
        <w:t xml:space="preserve"> to</w:t>
      </w:r>
      <w:r w:rsidRPr="00893266">
        <w:rPr>
          <w:lang w:val="en-AU"/>
        </w:rPr>
        <w:t xml:space="preserve"> operate, maintain (including repair and replace as necessary) and protect its </w:t>
      </w:r>
      <w:r w:rsidR="006A6701">
        <w:rPr>
          <w:lang w:val="en-AU"/>
        </w:rPr>
        <w:t>electricity</w:t>
      </w:r>
      <w:r w:rsidR="006A6701" w:rsidRPr="00893266">
        <w:rPr>
          <w:lang w:val="en-AU"/>
        </w:rPr>
        <w:t xml:space="preserve"> </w:t>
      </w:r>
      <w:r w:rsidRPr="00893266">
        <w:rPr>
          <w:lang w:val="en-AU"/>
        </w:rPr>
        <w:t xml:space="preserve">network in accordance with the </w:t>
      </w:r>
      <w:r w:rsidR="00FB2EC5">
        <w:rPr>
          <w:lang w:val="en-AU"/>
        </w:rPr>
        <w:t>Network Access Code</w:t>
      </w:r>
      <w:r w:rsidRPr="00893266">
        <w:rPr>
          <w:lang w:val="en-AU"/>
        </w:rPr>
        <w:t xml:space="preserve"> and </w:t>
      </w:r>
      <w:r w:rsidR="00A7594D">
        <w:rPr>
          <w:lang w:val="en-AU"/>
        </w:rPr>
        <w:t xml:space="preserve">the </w:t>
      </w:r>
      <w:r w:rsidRPr="00893266">
        <w:rPr>
          <w:lang w:val="en-AU"/>
        </w:rPr>
        <w:t xml:space="preserve">Network Technical Code. PWC Networks </w:t>
      </w:r>
      <w:r w:rsidR="006A6701">
        <w:rPr>
          <w:lang w:val="en-AU"/>
        </w:rPr>
        <w:t>is also required to</w:t>
      </w:r>
      <w:r w:rsidR="006A6701" w:rsidRPr="00893266">
        <w:rPr>
          <w:lang w:val="en-AU"/>
        </w:rPr>
        <w:t xml:space="preserve"> </w:t>
      </w:r>
      <w:r w:rsidRPr="00893266">
        <w:rPr>
          <w:lang w:val="en-AU"/>
        </w:rPr>
        <w:t xml:space="preserve">supply reliable and secure electricity. Many of the requirements in this </w:t>
      </w:r>
      <w:r w:rsidR="006A6701">
        <w:rPr>
          <w:lang w:val="en-AU"/>
        </w:rPr>
        <w:t>broad obligation</w:t>
      </w:r>
      <w:r w:rsidR="006A6701" w:rsidRPr="00893266">
        <w:rPr>
          <w:lang w:val="en-AU"/>
        </w:rPr>
        <w:t xml:space="preserve"> </w:t>
      </w:r>
      <w:r w:rsidRPr="00893266">
        <w:rPr>
          <w:lang w:val="en-AU"/>
        </w:rPr>
        <w:t xml:space="preserve">overlap with </w:t>
      </w:r>
      <w:r w:rsidR="006A6701">
        <w:rPr>
          <w:lang w:val="en-AU"/>
        </w:rPr>
        <w:t xml:space="preserve">other specific </w:t>
      </w:r>
      <w:r w:rsidRPr="00893266">
        <w:rPr>
          <w:lang w:val="en-AU"/>
        </w:rPr>
        <w:t xml:space="preserve">regulatory obligations </w:t>
      </w:r>
      <w:r w:rsidR="006A6701">
        <w:rPr>
          <w:lang w:val="en-AU"/>
        </w:rPr>
        <w:t xml:space="preserve">and requirements </w:t>
      </w:r>
      <w:r w:rsidRPr="00893266">
        <w:rPr>
          <w:lang w:val="en-AU"/>
        </w:rPr>
        <w:t>applying to PWC Network</w:t>
      </w:r>
      <w:r w:rsidR="006A6701">
        <w:rPr>
          <w:lang w:val="en-AU"/>
        </w:rPr>
        <w:t>s</w:t>
      </w:r>
      <w:r w:rsidRPr="00893266">
        <w:rPr>
          <w:lang w:val="en-AU"/>
        </w:rPr>
        <w:t>. For example, PWC Networks is subject to reliability targets established under the ESS Code</w:t>
      </w:r>
      <w:r w:rsidR="00E73C4F">
        <w:rPr>
          <w:rStyle w:val="FootnoteReference"/>
          <w:lang w:val="en-AU"/>
        </w:rPr>
        <w:footnoteReference w:id="43"/>
      </w:r>
      <w:r w:rsidRPr="00893266">
        <w:rPr>
          <w:lang w:val="en-AU"/>
        </w:rPr>
        <w:t xml:space="preserve"> and </w:t>
      </w:r>
      <w:r w:rsidR="00E73C4F">
        <w:rPr>
          <w:lang w:val="en-AU"/>
        </w:rPr>
        <w:t xml:space="preserve">the </w:t>
      </w:r>
      <w:r w:rsidRPr="00893266">
        <w:rPr>
          <w:lang w:val="en-AU"/>
        </w:rPr>
        <w:t>GSL Code</w:t>
      </w:r>
      <w:r w:rsidR="00A7594D">
        <w:rPr>
          <w:lang w:val="en-AU"/>
        </w:rPr>
        <w:t>.</w:t>
      </w:r>
      <w:r w:rsidR="00E73C4F">
        <w:rPr>
          <w:rStyle w:val="FootnoteReference"/>
          <w:lang w:val="en-AU"/>
        </w:rPr>
        <w:footnoteReference w:id="44"/>
      </w:r>
    </w:p>
    <w:p w14:paraId="76829201" w14:textId="0E6CEFFD" w:rsidR="00893266" w:rsidRPr="00893266" w:rsidRDefault="00893266" w:rsidP="00893266">
      <w:pPr>
        <w:pStyle w:val="UtilComHeading2"/>
      </w:pPr>
      <w:bookmarkStart w:id="158" w:name="_Toc385241501"/>
      <w:bookmarkStart w:id="159" w:name="_Toc386013054"/>
      <w:r w:rsidRPr="00893266">
        <w:t xml:space="preserve">Regulatory </w:t>
      </w:r>
      <w:bookmarkEnd w:id="158"/>
      <w:r w:rsidR="001C5A9B">
        <w:t>R</w:t>
      </w:r>
      <w:r w:rsidR="001C5A9B" w:rsidRPr="00893266">
        <w:t>equirements</w:t>
      </w:r>
      <w:bookmarkEnd w:id="159"/>
    </w:p>
    <w:p w14:paraId="0A283331" w14:textId="77777777" w:rsidR="00893266" w:rsidRPr="00893266" w:rsidRDefault="00893266" w:rsidP="00893266">
      <w:pPr>
        <w:pStyle w:val="UtilComHeading3"/>
        <w:rPr>
          <w:lang w:val="en-AU"/>
        </w:rPr>
      </w:pPr>
      <w:r w:rsidRPr="00893266">
        <w:rPr>
          <w:lang w:val="en-AU"/>
        </w:rPr>
        <w:t xml:space="preserve">NT </w:t>
      </w:r>
      <w:r w:rsidR="004E5506">
        <w:rPr>
          <w:lang w:val="en-AU"/>
        </w:rPr>
        <w:t xml:space="preserve">Electricity </w:t>
      </w:r>
      <w:r w:rsidRPr="00893266">
        <w:rPr>
          <w:lang w:val="en-AU"/>
        </w:rPr>
        <w:t>Standards of Service Code</w:t>
      </w:r>
    </w:p>
    <w:p w14:paraId="434097D2" w14:textId="3E39DCD6" w:rsidR="006469C4" w:rsidRDefault="006469C4" w:rsidP="00A806E4">
      <w:pPr>
        <w:pStyle w:val="NumberLevel2"/>
        <w:numPr>
          <w:ilvl w:val="1"/>
          <w:numId w:val="5"/>
        </w:numPr>
        <w:tabs>
          <w:tab w:val="num" w:pos="709"/>
        </w:tabs>
        <w:ind w:left="709" w:hanging="709"/>
        <w:rPr>
          <w:lang w:val="en-AU"/>
        </w:rPr>
      </w:pPr>
      <w:r>
        <w:rPr>
          <w:lang w:val="en-AU"/>
        </w:rPr>
        <w:t xml:space="preserve">Clause 68 of the </w:t>
      </w:r>
      <w:r w:rsidR="00FB2EC5">
        <w:rPr>
          <w:lang w:val="en-AU"/>
        </w:rPr>
        <w:t>Network Access Code</w:t>
      </w:r>
      <w:r>
        <w:rPr>
          <w:lang w:val="en-AU"/>
        </w:rPr>
        <w:t xml:space="preserve"> requires the Commission, in setting a revenue </w:t>
      </w:r>
      <w:r w:rsidR="006A6701">
        <w:rPr>
          <w:lang w:val="en-AU"/>
        </w:rPr>
        <w:t xml:space="preserve">cap </w:t>
      </w:r>
      <w:r>
        <w:rPr>
          <w:lang w:val="en-AU"/>
        </w:rPr>
        <w:t xml:space="preserve">or price cap, to take into account the revenue requirements of </w:t>
      </w:r>
      <w:r w:rsidR="006A6701">
        <w:rPr>
          <w:lang w:val="en-AU"/>
        </w:rPr>
        <w:t>PWC Networks</w:t>
      </w:r>
      <w:r>
        <w:rPr>
          <w:lang w:val="en-AU"/>
        </w:rPr>
        <w:t xml:space="preserve"> during the relevant </w:t>
      </w:r>
      <w:r w:rsidR="006A6701">
        <w:rPr>
          <w:lang w:val="en-AU"/>
        </w:rPr>
        <w:t xml:space="preserve">regulatory </w:t>
      </w:r>
      <w:r>
        <w:rPr>
          <w:lang w:val="en-AU"/>
        </w:rPr>
        <w:t xml:space="preserve">year or </w:t>
      </w:r>
      <w:r w:rsidR="006A6701">
        <w:rPr>
          <w:lang w:val="en-AU"/>
        </w:rPr>
        <w:t xml:space="preserve">regulatory </w:t>
      </w:r>
      <w:r>
        <w:rPr>
          <w:lang w:val="en-AU"/>
        </w:rPr>
        <w:t>years having regard to a number of factors.</w:t>
      </w:r>
    </w:p>
    <w:p w14:paraId="200D35E6" w14:textId="77777777" w:rsidR="006469C4" w:rsidRDefault="006469C4" w:rsidP="00A806E4">
      <w:pPr>
        <w:pStyle w:val="NumberLevel2"/>
        <w:numPr>
          <w:ilvl w:val="1"/>
          <w:numId w:val="5"/>
        </w:numPr>
        <w:tabs>
          <w:tab w:val="num" w:pos="709"/>
        </w:tabs>
        <w:ind w:left="709" w:hanging="709"/>
        <w:rPr>
          <w:lang w:val="en-AU"/>
        </w:rPr>
      </w:pPr>
      <w:r>
        <w:rPr>
          <w:lang w:val="en-AU"/>
        </w:rPr>
        <w:t>One of these factors is:</w:t>
      </w:r>
    </w:p>
    <w:p w14:paraId="35D96D88" w14:textId="77777777" w:rsidR="006469C4" w:rsidRPr="00FD4774" w:rsidRDefault="006469C4" w:rsidP="004B63D8">
      <w:pPr>
        <w:pStyle w:val="UtilComQuotationText"/>
        <w:ind w:left="1560" w:hanging="426"/>
      </w:pPr>
      <w:r w:rsidRPr="006469C4">
        <w:t>(b)</w:t>
      </w:r>
      <w:r w:rsidRPr="006469C4">
        <w:tab/>
        <w:t>the service standards applicable to the network provider under this Code and any other standards imposed on the network provider by any regulatory regime administered by the regulator and by agreement with the relevant network users;</w:t>
      </w:r>
    </w:p>
    <w:p w14:paraId="714BBDFD" w14:textId="59EB9AEC" w:rsidR="00893266" w:rsidRPr="00893266" w:rsidRDefault="00893266" w:rsidP="00A806E4">
      <w:pPr>
        <w:pStyle w:val="NumberLevel2"/>
        <w:numPr>
          <w:ilvl w:val="1"/>
          <w:numId w:val="5"/>
        </w:numPr>
        <w:tabs>
          <w:tab w:val="num" w:pos="709"/>
        </w:tabs>
        <w:ind w:left="709" w:hanging="709"/>
        <w:rPr>
          <w:lang w:val="en-AU"/>
        </w:rPr>
      </w:pPr>
      <w:r w:rsidRPr="00893266">
        <w:rPr>
          <w:lang w:val="en-AU"/>
        </w:rPr>
        <w:t>The ESS Code, implemented on 1</w:t>
      </w:r>
      <w:r w:rsidR="00A7594D">
        <w:rPr>
          <w:lang w:val="en-AU"/>
        </w:rPr>
        <w:t> </w:t>
      </w:r>
      <w:r w:rsidRPr="00893266">
        <w:rPr>
          <w:lang w:val="en-AU"/>
        </w:rPr>
        <w:t xml:space="preserve">December 2012, applies to all electricity entities providing generation, network and retail services on </w:t>
      </w:r>
      <w:r w:rsidR="00A43F6D">
        <w:rPr>
          <w:lang w:val="en-AU"/>
        </w:rPr>
        <w:t>PWC Networks’ electricity</w:t>
      </w:r>
      <w:r w:rsidRPr="00893266">
        <w:rPr>
          <w:lang w:val="en-AU"/>
        </w:rPr>
        <w:t xml:space="preserve"> network, excluding </w:t>
      </w:r>
      <w:r w:rsidR="00431A9F">
        <w:rPr>
          <w:lang w:val="en-AU"/>
        </w:rPr>
        <w:t>i</w:t>
      </w:r>
      <w:r w:rsidR="00431A9F" w:rsidRPr="00893266">
        <w:rPr>
          <w:lang w:val="en-AU"/>
        </w:rPr>
        <w:t xml:space="preserve">ndependent </w:t>
      </w:r>
      <w:r w:rsidR="00431A9F">
        <w:rPr>
          <w:lang w:val="en-AU"/>
        </w:rPr>
        <w:t>p</w:t>
      </w:r>
      <w:r w:rsidR="00431A9F" w:rsidRPr="00893266">
        <w:rPr>
          <w:lang w:val="en-AU"/>
        </w:rPr>
        <w:t xml:space="preserve">ower </w:t>
      </w:r>
      <w:r w:rsidR="00431A9F">
        <w:rPr>
          <w:lang w:val="en-AU"/>
        </w:rPr>
        <w:t>p</w:t>
      </w:r>
      <w:r w:rsidR="00431A9F" w:rsidRPr="00893266">
        <w:rPr>
          <w:lang w:val="en-AU"/>
        </w:rPr>
        <w:t>roducers</w:t>
      </w:r>
      <w:r w:rsidRPr="00893266">
        <w:rPr>
          <w:lang w:val="en-AU"/>
        </w:rPr>
        <w:t xml:space="preserve">, and establishes services and performance measures for </w:t>
      </w:r>
      <w:r w:rsidR="00A43F6D">
        <w:rPr>
          <w:lang w:val="en-AU"/>
        </w:rPr>
        <w:t>PWC Networks</w:t>
      </w:r>
      <w:r w:rsidRPr="00893266">
        <w:rPr>
          <w:lang w:val="en-AU"/>
        </w:rPr>
        <w:t>.</w:t>
      </w:r>
    </w:p>
    <w:p w14:paraId="01C48CF9" w14:textId="77777777" w:rsidR="00893266" w:rsidRPr="00893266" w:rsidRDefault="00893266" w:rsidP="00A806E4">
      <w:pPr>
        <w:pStyle w:val="NumberLevel2"/>
        <w:numPr>
          <w:ilvl w:val="1"/>
          <w:numId w:val="5"/>
        </w:numPr>
        <w:tabs>
          <w:tab w:val="num" w:pos="709"/>
        </w:tabs>
        <w:ind w:left="709" w:hanging="709"/>
        <w:rPr>
          <w:lang w:val="en-AU"/>
        </w:rPr>
      </w:pPr>
      <w:r w:rsidRPr="00893266">
        <w:rPr>
          <w:lang w:val="en-AU"/>
        </w:rPr>
        <w:t xml:space="preserve">The objectives of the ESS Code are to: </w:t>
      </w:r>
    </w:p>
    <w:p w14:paraId="6C60DBE2" w14:textId="77777777" w:rsidR="00893266" w:rsidRPr="00893266" w:rsidRDefault="00893266" w:rsidP="008E229D">
      <w:pPr>
        <w:pStyle w:val="UtilComBulletText"/>
        <w:numPr>
          <w:ilvl w:val="0"/>
          <w:numId w:val="6"/>
        </w:numPr>
        <w:tabs>
          <w:tab w:val="clear" w:pos="964"/>
          <w:tab w:val="num" w:pos="1134"/>
        </w:tabs>
        <w:ind w:left="1134" w:hanging="425"/>
      </w:pPr>
      <w:r w:rsidRPr="00893266">
        <w:t xml:space="preserve">establish standards of service and performance measures in the electricity supply industry; </w:t>
      </w:r>
    </w:p>
    <w:p w14:paraId="5AE06C7B" w14:textId="77777777" w:rsidR="00893266" w:rsidRPr="00893266" w:rsidRDefault="00893266" w:rsidP="008E229D">
      <w:pPr>
        <w:pStyle w:val="UtilComBulletText"/>
        <w:numPr>
          <w:ilvl w:val="0"/>
          <w:numId w:val="6"/>
        </w:numPr>
        <w:tabs>
          <w:tab w:val="clear" w:pos="964"/>
          <w:tab w:val="num" w:pos="1134"/>
        </w:tabs>
        <w:ind w:left="1134" w:hanging="425"/>
      </w:pPr>
      <w:r w:rsidRPr="00893266">
        <w:t>develop, monitor, and enforce compliance with</w:t>
      </w:r>
      <w:r w:rsidR="00431A9F">
        <w:t>,</w:t>
      </w:r>
      <w:r w:rsidRPr="00893266">
        <w:t xml:space="preserve"> and promote improvement in</w:t>
      </w:r>
      <w:r w:rsidR="00431A9F">
        <w:t>,</w:t>
      </w:r>
      <w:r w:rsidRPr="00893266">
        <w:t xml:space="preserve"> standards of service of supply in the electricity supply industry; and </w:t>
      </w:r>
    </w:p>
    <w:p w14:paraId="6EAE935B" w14:textId="347B0F18" w:rsidR="00893266" w:rsidRPr="00893266" w:rsidRDefault="00893266" w:rsidP="008E229D">
      <w:pPr>
        <w:pStyle w:val="UtilComBulletText"/>
        <w:numPr>
          <w:ilvl w:val="0"/>
          <w:numId w:val="6"/>
        </w:numPr>
        <w:tabs>
          <w:tab w:val="clear" w:pos="964"/>
          <w:tab w:val="num" w:pos="1134"/>
        </w:tabs>
        <w:ind w:left="1134" w:hanging="425"/>
      </w:pPr>
      <w:r w:rsidRPr="00893266">
        <w:t xml:space="preserve">require electricity entities </w:t>
      </w:r>
      <w:r w:rsidR="00A43F6D">
        <w:t xml:space="preserve">such as PWC Networks </w:t>
      </w:r>
      <w:r w:rsidRPr="00893266">
        <w:t xml:space="preserve">to have adequate systems in place which allow for regular reporting of actual performance in accordance with the ESS Code. </w:t>
      </w:r>
    </w:p>
    <w:p w14:paraId="3A5800BF" w14:textId="3EA343F3" w:rsidR="00893266" w:rsidRPr="00893266" w:rsidRDefault="00893266" w:rsidP="00A806E4">
      <w:pPr>
        <w:pStyle w:val="NumberLevel2"/>
        <w:numPr>
          <w:ilvl w:val="1"/>
          <w:numId w:val="5"/>
        </w:numPr>
        <w:tabs>
          <w:tab w:val="num" w:pos="709"/>
        </w:tabs>
        <w:ind w:left="709" w:hanging="709"/>
        <w:rPr>
          <w:lang w:val="en-AU"/>
        </w:rPr>
      </w:pPr>
      <w:r w:rsidRPr="00893266">
        <w:rPr>
          <w:lang w:val="en-AU"/>
        </w:rPr>
        <w:t>The ESS Code sets out the process</w:t>
      </w:r>
      <w:r w:rsidR="00A43F6D">
        <w:rPr>
          <w:lang w:val="en-AU"/>
        </w:rPr>
        <w:t>es</w:t>
      </w:r>
      <w:r w:rsidRPr="00893266">
        <w:rPr>
          <w:lang w:val="en-AU"/>
        </w:rPr>
        <w:t xml:space="preserve"> and obligations for establishing, amending and meeting the approved target standards to be met by </w:t>
      </w:r>
      <w:r w:rsidR="00A43F6D" w:rsidRPr="00893266">
        <w:t>electricity entities</w:t>
      </w:r>
      <w:r w:rsidR="00A43F6D">
        <w:t>,</w:t>
      </w:r>
      <w:r w:rsidR="00A43F6D" w:rsidRPr="00893266">
        <w:t xml:space="preserve"> </w:t>
      </w:r>
      <w:r w:rsidR="00A43F6D">
        <w:t>including PWC Networks</w:t>
      </w:r>
      <w:r w:rsidRPr="00893266">
        <w:rPr>
          <w:lang w:val="en-AU"/>
        </w:rPr>
        <w:t>.</w:t>
      </w:r>
    </w:p>
    <w:p w14:paraId="5D216E6F" w14:textId="77777777" w:rsidR="00893266" w:rsidRPr="00893266" w:rsidRDefault="00893266" w:rsidP="00A806E4">
      <w:pPr>
        <w:pStyle w:val="NumberLevel2"/>
        <w:numPr>
          <w:ilvl w:val="1"/>
          <w:numId w:val="5"/>
        </w:numPr>
        <w:tabs>
          <w:tab w:val="num" w:pos="709"/>
        </w:tabs>
        <w:ind w:left="709" w:hanging="709"/>
        <w:rPr>
          <w:lang w:val="en-AU"/>
        </w:rPr>
      </w:pPr>
      <w:r w:rsidRPr="00893266">
        <w:rPr>
          <w:lang w:val="en-AU"/>
        </w:rPr>
        <w:t xml:space="preserve">The targets must be set for the performance indicators included in Table </w:t>
      </w:r>
      <w:r w:rsidR="00190F78">
        <w:rPr>
          <w:lang w:val="en-AU"/>
        </w:rPr>
        <w:t>8</w:t>
      </w:r>
      <w:r w:rsidR="006469C4">
        <w:rPr>
          <w:lang w:val="en-AU"/>
        </w:rPr>
        <w:t>.1</w:t>
      </w:r>
      <w:r w:rsidRPr="00893266">
        <w:rPr>
          <w:lang w:val="en-AU"/>
        </w:rPr>
        <w:t xml:space="preserve"> below.</w:t>
      </w:r>
      <w:r>
        <w:rPr>
          <w:rStyle w:val="FootnoteReference"/>
          <w:lang w:val="en-AU"/>
        </w:rPr>
        <w:footnoteReference w:id="45"/>
      </w:r>
      <w:r w:rsidRPr="00893266">
        <w:rPr>
          <w:lang w:val="en-AU"/>
        </w:rPr>
        <w:t xml:space="preserve"> </w:t>
      </w:r>
    </w:p>
    <w:p w14:paraId="66968A5D" w14:textId="77777777" w:rsidR="00893266" w:rsidRPr="00A139AD" w:rsidRDefault="00893266" w:rsidP="00431A9F">
      <w:pPr>
        <w:pStyle w:val="UtilComTableTitle"/>
        <w:keepNext/>
        <w:spacing w:before="120" w:after="0" w:line="240" w:lineRule="exact"/>
      </w:pPr>
      <w:r>
        <w:t xml:space="preserve">Table </w:t>
      </w:r>
      <w:r w:rsidR="000A4EF7">
        <w:t>8</w:t>
      </w:r>
      <w:r>
        <w:t>.1: Network target standards and segmentation</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5245"/>
        <w:gridCol w:w="3969"/>
      </w:tblGrid>
      <w:tr w:rsidR="00893266" w:rsidRPr="008A4655" w14:paraId="1A3577EB" w14:textId="77777777" w:rsidTr="00431A9F">
        <w:trPr>
          <w:cantSplit/>
          <w:trHeight w:val="360"/>
        </w:trPr>
        <w:tc>
          <w:tcPr>
            <w:tcW w:w="5245" w:type="dxa"/>
            <w:tcBorders>
              <w:top w:val="single" w:sz="4" w:space="0" w:color="999999"/>
              <w:bottom w:val="single" w:sz="4" w:space="0" w:color="auto"/>
            </w:tcBorders>
            <w:tcMar>
              <w:left w:w="108" w:type="dxa"/>
            </w:tcMar>
            <w:vAlign w:val="bottom"/>
          </w:tcPr>
          <w:p w14:paraId="3846FD28" w14:textId="77777777" w:rsidR="00893266" w:rsidRPr="00EE5A08" w:rsidRDefault="00893266" w:rsidP="00893266">
            <w:pPr>
              <w:pStyle w:val="UtilComTabletext"/>
              <w:rPr>
                <w:b/>
              </w:rPr>
            </w:pPr>
            <w:r>
              <w:rPr>
                <w:b/>
              </w:rPr>
              <w:t>Target Standards</w:t>
            </w:r>
          </w:p>
        </w:tc>
        <w:tc>
          <w:tcPr>
            <w:tcW w:w="3969" w:type="dxa"/>
            <w:tcBorders>
              <w:top w:val="single" w:sz="4" w:space="0" w:color="999999"/>
              <w:bottom w:val="single" w:sz="4" w:space="0" w:color="auto"/>
            </w:tcBorders>
            <w:tcMar>
              <w:left w:w="108" w:type="dxa"/>
            </w:tcMar>
            <w:vAlign w:val="bottom"/>
          </w:tcPr>
          <w:p w14:paraId="166ACC8A" w14:textId="77777777" w:rsidR="00893266" w:rsidRPr="00EE5A08" w:rsidRDefault="00893266" w:rsidP="00893266">
            <w:pPr>
              <w:pStyle w:val="UtilComTabletext"/>
              <w:rPr>
                <w:b/>
              </w:rPr>
            </w:pPr>
            <w:r>
              <w:rPr>
                <w:b/>
              </w:rPr>
              <w:t>Segmentation</w:t>
            </w:r>
          </w:p>
        </w:tc>
      </w:tr>
      <w:tr w:rsidR="003627D6" w:rsidRPr="008A4655" w14:paraId="6E0CE8AA" w14:textId="77777777" w:rsidTr="00431A9F">
        <w:trPr>
          <w:cantSplit/>
          <w:trHeight w:val="360"/>
        </w:trPr>
        <w:tc>
          <w:tcPr>
            <w:tcW w:w="9214" w:type="dxa"/>
            <w:gridSpan w:val="2"/>
            <w:tcBorders>
              <w:top w:val="single" w:sz="4" w:space="0" w:color="auto"/>
              <w:bottom w:val="single" w:sz="4" w:space="0" w:color="auto"/>
            </w:tcBorders>
            <w:tcMar>
              <w:left w:w="108" w:type="dxa"/>
            </w:tcMar>
          </w:tcPr>
          <w:p w14:paraId="1046252D" w14:textId="77777777" w:rsidR="003627D6" w:rsidRPr="003627D6" w:rsidRDefault="003627D6" w:rsidP="00431A9F">
            <w:pPr>
              <w:pStyle w:val="UtilComTabletext"/>
              <w:rPr>
                <w:b/>
              </w:rPr>
            </w:pPr>
            <w:r>
              <w:rPr>
                <w:b/>
              </w:rPr>
              <w:t xml:space="preserve">Adjusted </w:t>
            </w:r>
            <w:r w:rsidR="00431A9F">
              <w:rPr>
                <w:b/>
              </w:rPr>
              <w:t>distribution network performance indicators</w:t>
            </w:r>
          </w:p>
        </w:tc>
      </w:tr>
      <w:tr w:rsidR="003627D6" w:rsidRPr="008A4655" w14:paraId="66CBF189" w14:textId="77777777" w:rsidTr="00431A9F">
        <w:trPr>
          <w:cantSplit/>
          <w:trHeight w:val="360"/>
        </w:trPr>
        <w:tc>
          <w:tcPr>
            <w:tcW w:w="5245" w:type="dxa"/>
            <w:tcBorders>
              <w:top w:val="single" w:sz="4" w:space="0" w:color="auto"/>
              <w:bottom w:val="single" w:sz="4" w:space="0" w:color="999999"/>
            </w:tcBorders>
            <w:tcMar>
              <w:left w:w="108" w:type="dxa"/>
            </w:tcMar>
          </w:tcPr>
          <w:p w14:paraId="0046C03E" w14:textId="77777777" w:rsidR="003627D6" w:rsidRPr="00FE290A" w:rsidRDefault="003627D6" w:rsidP="00431A9F">
            <w:pPr>
              <w:pStyle w:val="UtilComTabletext"/>
            </w:pPr>
            <w:r w:rsidRPr="00FE290A">
              <w:t xml:space="preserve">System </w:t>
            </w:r>
            <w:r w:rsidR="00431A9F">
              <w:t>a</w:t>
            </w:r>
            <w:r w:rsidR="00431A9F" w:rsidRPr="00FE290A">
              <w:t xml:space="preserve">verage </w:t>
            </w:r>
            <w:r w:rsidR="00431A9F">
              <w:t>i</w:t>
            </w:r>
            <w:r w:rsidR="00431A9F" w:rsidRPr="00FE290A">
              <w:t xml:space="preserve">nterruption </w:t>
            </w:r>
            <w:r w:rsidR="00431A9F">
              <w:t>d</w:t>
            </w:r>
            <w:r w:rsidR="00431A9F" w:rsidRPr="00FE290A">
              <w:t xml:space="preserve">uration </w:t>
            </w:r>
            <w:r w:rsidR="00431A9F">
              <w:t>i</w:t>
            </w:r>
            <w:r w:rsidR="00431A9F" w:rsidRPr="00FE290A">
              <w:t xml:space="preserve">ndex </w:t>
            </w:r>
            <w:r w:rsidRPr="00FE290A">
              <w:t>(SAIDI)</w:t>
            </w:r>
          </w:p>
        </w:tc>
        <w:tc>
          <w:tcPr>
            <w:tcW w:w="3969" w:type="dxa"/>
            <w:tcBorders>
              <w:top w:val="single" w:sz="4" w:space="0" w:color="auto"/>
              <w:bottom w:val="single" w:sz="4" w:space="0" w:color="999999"/>
            </w:tcBorders>
            <w:shd w:val="clear" w:color="auto" w:fill="auto"/>
            <w:tcMar>
              <w:left w:w="108" w:type="dxa"/>
            </w:tcMar>
          </w:tcPr>
          <w:p w14:paraId="3549AF04" w14:textId="77777777" w:rsidR="003627D6" w:rsidRPr="00FE290A" w:rsidRDefault="003627D6" w:rsidP="00431A9F">
            <w:pPr>
              <w:pStyle w:val="UtilComTabletext"/>
            </w:pPr>
            <w:r w:rsidRPr="00FE290A">
              <w:t xml:space="preserve">By </w:t>
            </w:r>
            <w:r w:rsidR="00431A9F">
              <w:t>d</w:t>
            </w:r>
            <w:r w:rsidR="00431A9F" w:rsidRPr="00FE290A">
              <w:t xml:space="preserve">istribution </w:t>
            </w:r>
            <w:r w:rsidR="00431A9F">
              <w:t>f</w:t>
            </w:r>
            <w:r w:rsidR="00431A9F" w:rsidRPr="00FE290A">
              <w:t xml:space="preserve">eeder </w:t>
            </w:r>
            <w:r w:rsidR="00431A9F">
              <w:t>t</w:t>
            </w:r>
            <w:r w:rsidR="00431A9F" w:rsidRPr="00FE290A">
              <w:t xml:space="preserve">ype </w:t>
            </w:r>
            <w:r w:rsidRPr="00FE290A">
              <w:t xml:space="preserve">(CBD, </w:t>
            </w:r>
            <w:r w:rsidR="00431A9F">
              <w:t>u</w:t>
            </w:r>
            <w:r w:rsidR="00431A9F" w:rsidRPr="00FE290A">
              <w:t>rban</w:t>
            </w:r>
            <w:r w:rsidRPr="00FE290A">
              <w:t xml:space="preserve">, </w:t>
            </w:r>
            <w:r w:rsidR="00431A9F">
              <w:t>s</w:t>
            </w:r>
            <w:r w:rsidR="00431A9F" w:rsidRPr="00FE290A">
              <w:t xml:space="preserve">hort </w:t>
            </w:r>
            <w:r w:rsidR="00431A9F">
              <w:t>r</w:t>
            </w:r>
            <w:r w:rsidR="00431A9F" w:rsidRPr="00FE290A">
              <w:t>ural</w:t>
            </w:r>
            <w:r w:rsidRPr="00FE290A">
              <w:t xml:space="preserve">, </w:t>
            </w:r>
            <w:r w:rsidR="00431A9F">
              <w:t>l</w:t>
            </w:r>
            <w:r w:rsidR="00431A9F" w:rsidRPr="00FE290A">
              <w:t xml:space="preserve">ong </w:t>
            </w:r>
            <w:r w:rsidR="00431A9F">
              <w:t>r</w:t>
            </w:r>
            <w:r w:rsidR="00431A9F" w:rsidRPr="00FE290A">
              <w:t>ural</w:t>
            </w:r>
            <w:r w:rsidRPr="00FE290A">
              <w:t>)</w:t>
            </w:r>
          </w:p>
        </w:tc>
      </w:tr>
      <w:tr w:rsidR="003627D6" w:rsidRPr="008A4655" w14:paraId="142195E9" w14:textId="77777777" w:rsidTr="00431A9F">
        <w:trPr>
          <w:cantSplit/>
          <w:trHeight w:val="360"/>
        </w:trPr>
        <w:tc>
          <w:tcPr>
            <w:tcW w:w="5245" w:type="dxa"/>
            <w:tcBorders>
              <w:top w:val="single" w:sz="4" w:space="0" w:color="999999"/>
              <w:bottom w:val="single" w:sz="4" w:space="0" w:color="999999"/>
            </w:tcBorders>
            <w:tcMar>
              <w:left w:w="108" w:type="dxa"/>
            </w:tcMar>
          </w:tcPr>
          <w:p w14:paraId="38FE0F21" w14:textId="77777777" w:rsidR="003627D6" w:rsidRPr="00FE290A" w:rsidRDefault="003627D6" w:rsidP="00431A9F">
            <w:pPr>
              <w:pStyle w:val="UtilComTabletext"/>
            </w:pPr>
            <w:r w:rsidRPr="00FE290A">
              <w:t xml:space="preserve">System </w:t>
            </w:r>
            <w:r w:rsidR="00431A9F">
              <w:t>a</w:t>
            </w:r>
            <w:r w:rsidR="00431A9F" w:rsidRPr="00FE290A">
              <w:t xml:space="preserve">verage </w:t>
            </w:r>
            <w:r w:rsidR="00431A9F">
              <w:t>i</w:t>
            </w:r>
            <w:r w:rsidR="00431A9F" w:rsidRPr="00FE290A">
              <w:t xml:space="preserve">nterruption </w:t>
            </w:r>
            <w:r w:rsidR="00431A9F">
              <w:t>f</w:t>
            </w:r>
            <w:r w:rsidR="00431A9F" w:rsidRPr="00FE290A">
              <w:t xml:space="preserve">requency </w:t>
            </w:r>
            <w:r w:rsidR="00431A9F">
              <w:t>i</w:t>
            </w:r>
            <w:r w:rsidR="00431A9F" w:rsidRPr="00FE290A">
              <w:t xml:space="preserve">ndex </w:t>
            </w:r>
            <w:r w:rsidRPr="00FE290A">
              <w:t>(SAIFI)</w:t>
            </w:r>
          </w:p>
        </w:tc>
        <w:tc>
          <w:tcPr>
            <w:tcW w:w="3969" w:type="dxa"/>
            <w:tcBorders>
              <w:top w:val="single" w:sz="4" w:space="0" w:color="999999"/>
              <w:bottom w:val="single" w:sz="4" w:space="0" w:color="999999"/>
            </w:tcBorders>
            <w:shd w:val="clear" w:color="auto" w:fill="auto"/>
            <w:tcMar>
              <w:left w:w="108" w:type="dxa"/>
            </w:tcMar>
          </w:tcPr>
          <w:p w14:paraId="05973038" w14:textId="77777777" w:rsidR="003627D6" w:rsidRDefault="003627D6" w:rsidP="00431A9F">
            <w:pPr>
              <w:pStyle w:val="UtilComTabletext"/>
            </w:pPr>
            <w:r w:rsidRPr="00FE290A">
              <w:t xml:space="preserve">By </w:t>
            </w:r>
            <w:r w:rsidR="00431A9F">
              <w:t>d</w:t>
            </w:r>
            <w:r w:rsidR="00431A9F" w:rsidRPr="00FE290A">
              <w:t xml:space="preserve">istribution </w:t>
            </w:r>
            <w:r w:rsidR="00431A9F">
              <w:t>f</w:t>
            </w:r>
            <w:r w:rsidR="00431A9F" w:rsidRPr="00FE290A">
              <w:t xml:space="preserve">eeder </w:t>
            </w:r>
            <w:r w:rsidR="00431A9F">
              <w:t>t</w:t>
            </w:r>
            <w:r w:rsidR="00431A9F" w:rsidRPr="00FE290A">
              <w:t xml:space="preserve">ype </w:t>
            </w:r>
            <w:r w:rsidRPr="00FE290A">
              <w:t xml:space="preserve">(CBD, </w:t>
            </w:r>
            <w:r w:rsidR="00431A9F">
              <w:t>u</w:t>
            </w:r>
            <w:r w:rsidR="00431A9F" w:rsidRPr="00FE290A">
              <w:t>rban</w:t>
            </w:r>
            <w:r w:rsidRPr="00FE290A">
              <w:t xml:space="preserve">, </w:t>
            </w:r>
            <w:r w:rsidR="00431A9F">
              <w:t>s</w:t>
            </w:r>
            <w:r w:rsidR="00431A9F" w:rsidRPr="00FE290A">
              <w:t xml:space="preserve">hort </w:t>
            </w:r>
            <w:r w:rsidR="00431A9F">
              <w:t>r</w:t>
            </w:r>
            <w:r w:rsidR="00431A9F" w:rsidRPr="00FE290A">
              <w:t>ural</w:t>
            </w:r>
            <w:r w:rsidRPr="00FE290A">
              <w:t xml:space="preserve">, </w:t>
            </w:r>
            <w:r w:rsidR="00431A9F">
              <w:t>l</w:t>
            </w:r>
            <w:r w:rsidR="00431A9F" w:rsidRPr="00FE290A">
              <w:t xml:space="preserve">ong </w:t>
            </w:r>
            <w:r w:rsidR="00431A9F">
              <w:t>r</w:t>
            </w:r>
            <w:r w:rsidR="00431A9F" w:rsidRPr="00FE290A">
              <w:t>ural</w:t>
            </w:r>
            <w:r w:rsidRPr="00FE290A">
              <w:t>)</w:t>
            </w:r>
          </w:p>
        </w:tc>
      </w:tr>
      <w:tr w:rsidR="003627D6" w:rsidRPr="003627D6" w14:paraId="50D1FE33" w14:textId="77777777" w:rsidTr="00431A9F">
        <w:trPr>
          <w:cantSplit/>
          <w:trHeight w:val="360"/>
        </w:trPr>
        <w:tc>
          <w:tcPr>
            <w:tcW w:w="9214" w:type="dxa"/>
            <w:gridSpan w:val="2"/>
            <w:tcBorders>
              <w:top w:val="single" w:sz="4" w:space="0" w:color="auto"/>
              <w:bottom w:val="single" w:sz="4" w:space="0" w:color="999999"/>
            </w:tcBorders>
            <w:tcMar>
              <w:left w:w="108" w:type="dxa"/>
            </w:tcMar>
          </w:tcPr>
          <w:p w14:paraId="6780BCA5" w14:textId="77777777" w:rsidR="003627D6" w:rsidRPr="003627D6" w:rsidRDefault="003627D6" w:rsidP="00431A9F">
            <w:pPr>
              <w:pStyle w:val="UtilComTabletext"/>
              <w:rPr>
                <w:b/>
              </w:rPr>
            </w:pPr>
            <w:r w:rsidRPr="003627D6">
              <w:rPr>
                <w:b/>
              </w:rPr>
              <w:t xml:space="preserve">Adjusted </w:t>
            </w:r>
            <w:r w:rsidR="00431A9F">
              <w:rPr>
                <w:b/>
              </w:rPr>
              <w:t>transmission</w:t>
            </w:r>
            <w:r w:rsidR="00431A9F" w:rsidRPr="003627D6">
              <w:rPr>
                <w:b/>
              </w:rPr>
              <w:t xml:space="preserve"> </w:t>
            </w:r>
            <w:r w:rsidR="00431A9F">
              <w:rPr>
                <w:b/>
              </w:rPr>
              <w:t>n</w:t>
            </w:r>
            <w:r w:rsidR="00431A9F" w:rsidRPr="003627D6">
              <w:rPr>
                <w:b/>
              </w:rPr>
              <w:t xml:space="preserve">etwork </w:t>
            </w:r>
            <w:r w:rsidR="00431A9F">
              <w:rPr>
                <w:b/>
              </w:rPr>
              <w:t>p</w:t>
            </w:r>
            <w:r w:rsidR="00431A9F" w:rsidRPr="003627D6">
              <w:rPr>
                <w:b/>
              </w:rPr>
              <w:t xml:space="preserve">erformance </w:t>
            </w:r>
            <w:r w:rsidR="00431A9F">
              <w:rPr>
                <w:b/>
              </w:rPr>
              <w:t>i</w:t>
            </w:r>
            <w:r w:rsidR="00431A9F" w:rsidRPr="003627D6">
              <w:rPr>
                <w:b/>
              </w:rPr>
              <w:t>ndicators</w:t>
            </w:r>
          </w:p>
        </w:tc>
      </w:tr>
      <w:tr w:rsidR="003627D6" w:rsidRPr="008A4655" w14:paraId="6DFA0CD4" w14:textId="77777777" w:rsidTr="00431A9F">
        <w:trPr>
          <w:cantSplit/>
          <w:trHeight w:val="360"/>
        </w:trPr>
        <w:tc>
          <w:tcPr>
            <w:tcW w:w="5245" w:type="dxa"/>
            <w:tcBorders>
              <w:top w:val="single" w:sz="4" w:space="0" w:color="auto"/>
              <w:bottom w:val="single" w:sz="4" w:space="0" w:color="999999"/>
            </w:tcBorders>
            <w:tcMar>
              <w:left w:w="108" w:type="dxa"/>
            </w:tcMar>
          </w:tcPr>
          <w:p w14:paraId="2311D8D3" w14:textId="77777777" w:rsidR="003627D6" w:rsidRPr="00A9089F" w:rsidRDefault="003627D6" w:rsidP="00431A9F">
            <w:pPr>
              <w:pStyle w:val="UtilComTabletext"/>
            </w:pPr>
            <w:r w:rsidRPr="00A9089F">
              <w:t xml:space="preserve">Average </w:t>
            </w:r>
            <w:r w:rsidR="00431A9F">
              <w:t>c</w:t>
            </w:r>
            <w:r w:rsidR="00431A9F" w:rsidRPr="00A9089F">
              <w:t xml:space="preserve">ircuit </w:t>
            </w:r>
            <w:r w:rsidR="00431A9F">
              <w:t>o</w:t>
            </w:r>
            <w:r w:rsidR="00431A9F" w:rsidRPr="00A9089F">
              <w:t xml:space="preserve">utage </w:t>
            </w:r>
            <w:r w:rsidR="00431A9F">
              <w:t>d</w:t>
            </w:r>
            <w:r w:rsidR="00431A9F" w:rsidRPr="00A9089F">
              <w:t xml:space="preserve">uration </w:t>
            </w:r>
            <w:r w:rsidRPr="00A9089F">
              <w:t>(ACOD)</w:t>
            </w:r>
          </w:p>
        </w:tc>
        <w:tc>
          <w:tcPr>
            <w:tcW w:w="3969" w:type="dxa"/>
            <w:tcBorders>
              <w:top w:val="single" w:sz="4" w:space="0" w:color="auto"/>
              <w:bottom w:val="single" w:sz="4" w:space="0" w:color="999999"/>
            </w:tcBorders>
            <w:shd w:val="clear" w:color="auto" w:fill="auto"/>
            <w:tcMar>
              <w:left w:w="108" w:type="dxa"/>
            </w:tcMar>
          </w:tcPr>
          <w:p w14:paraId="7EB7D883" w14:textId="77777777" w:rsidR="003627D6" w:rsidRPr="00A9089F" w:rsidRDefault="003627D6" w:rsidP="00431A9F">
            <w:pPr>
              <w:pStyle w:val="UtilComTabletext"/>
            </w:pPr>
            <w:r w:rsidRPr="00A9089F">
              <w:t xml:space="preserve">By </w:t>
            </w:r>
            <w:r w:rsidR="00431A9F">
              <w:t>t</w:t>
            </w:r>
            <w:r w:rsidR="00431A9F" w:rsidRPr="00A9089F">
              <w:t xml:space="preserve">ransmission </w:t>
            </w:r>
            <w:r w:rsidR="00431A9F">
              <w:t>n</w:t>
            </w:r>
            <w:r w:rsidR="00431A9F" w:rsidRPr="00A9089F">
              <w:t>etwork</w:t>
            </w:r>
          </w:p>
        </w:tc>
      </w:tr>
      <w:tr w:rsidR="003627D6" w:rsidRPr="008A4655" w14:paraId="6BF8015B" w14:textId="77777777" w:rsidTr="00431A9F">
        <w:trPr>
          <w:cantSplit/>
          <w:trHeight w:val="360"/>
        </w:trPr>
        <w:tc>
          <w:tcPr>
            <w:tcW w:w="5245" w:type="dxa"/>
            <w:tcBorders>
              <w:top w:val="single" w:sz="4" w:space="0" w:color="999999"/>
              <w:bottom w:val="single" w:sz="4" w:space="0" w:color="999999"/>
            </w:tcBorders>
            <w:tcMar>
              <w:left w:w="108" w:type="dxa"/>
            </w:tcMar>
          </w:tcPr>
          <w:p w14:paraId="2CCB08CB" w14:textId="77777777" w:rsidR="003627D6" w:rsidRPr="00A9089F" w:rsidRDefault="003627D6" w:rsidP="00431A9F">
            <w:pPr>
              <w:pStyle w:val="UtilComTabletext"/>
            </w:pPr>
            <w:r w:rsidRPr="00A9089F">
              <w:t xml:space="preserve">Frequency of </w:t>
            </w:r>
            <w:r w:rsidR="00431A9F">
              <w:t>c</w:t>
            </w:r>
            <w:r w:rsidR="00431A9F" w:rsidRPr="00A9089F">
              <w:t xml:space="preserve">ircuit </w:t>
            </w:r>
            <w:r w:rsidR="00431A9F">
              <w:t>o</w:t>
            </w:r>
            <w:r w:rsidR="00431A9F" w:rsidRPr="00A9089F">
              <w:t xml:space="preserve">utage </w:t>
            </w:r>
            <w:r w:rsidRPr="00A9089F">
              <w:t>(FCO)</w:t>
            </w:r>
          </w:p>
        </w:tc>
        <w:tc>
          <w:tcPr>
            <w:tcW w:w="3969" w:type="dxa"/>
            <w:tcBorders>
              <w:top w:val="single" w:sz="4" w:space="0" w:color="999999"/>
              <w:bottom w:val="single" w:sz="4" w:space="0" w:color="999999"/>
            </w:tcBorders>
            <w:shd w:val="clear" w:color="auto" w:fill="auto"/>
            <w:tcMar>
              <w:left w:w="108" w:type="dxa"/>
            </w:tcMar>
          </w:tcPr>
          <w:p w14:paraId="041D1D41" w14:textId="77777777" w:rsidR="003627D6" w:rsidRPr="00A9089F" w:rsidRDefault="003627D6" w:rsidP="00431A9F">
            <w:pPr>
              <w:pStyle w:val="UtilComTabletext"/>
            </w:pPr>
            <w:r w:rsidRPr="00A9089F">
              <w:t xml:space="preserve">By </w:t>
            </w:r>
            <w:r w:rsidR="00431A9F">
              <w:t>t</w:t>
            </w:r>
            <w:r w:rsidR="00431A9F" w:rsidRPr="00A9089F">
              <w:t xml:space="preserve">ransmission </w:t>
            </w:r>
            <w:r w:rsidR="00431A9F">
              <w:t>n</w:t>
            </w:r>
            <w:r w:rsidR="00431A9F" w:rsidRPr="00A9089F">
              <w:t>etwork</w:t>
            </w:r>
          </w:p>
        </w:tc>
      </w:tr>
      <w:tr w:rsidR="003627D6" w:rsidRPr="008A4655" w14:paraId="22495997" w14:textId="77777777" w:rsidTr="00431A9F">
        <w:trPr>
          <w:cantSplit/>
          <w:trHeight w:val="360"/>
        </w:trPr>
        <w:tc>
          <w:tcPr>
            <w:tcW w:w="5245" w:type="dxa"/>
            <w:tcBorders>
              <w:top w:val="single" w:sz="4" w:space="0" w:color="999999"/>
              <w:bottom w:val="single" w:sz="4" w:space="0" w:color="999999"/>
            </w:tcBorders>
            <w:tcMar>
              <w:left w:w="108" w:type="dxa"/>
            </w:tcMar>
          </w:tcPr>
          <w:p w14:paraId="2458E97C" w14:textId="77777777" w:rsidR="003627D6" w:rsidRPr="00A9089F" w:rsidRDefault="003627D6" w:rsidP="00431A9F">
            <w:pPr>
              <w:pStyle w:val="UtilComTabletext"/>
            </w:pPr>
            <w:r w:rsidRPr="00A9089F">
              <w:t xml:space="preserve">Average </w:t>
            </w:r>
            <w:r w:rsidR="00431A9F">
              <w:t>t</w:t>
            </w:r>
            <w:r w:rsidR="00431A9F" w:rsidRPr="00A9089F">
              <w:t xml:space="preserve">ransformer </w:t>
            </w:r>
            <w:r w:rsidR="00431A9F">
              <w:t>o</w:t>
            </w:r>
            <w:r w:rsidR="00431A9F" w:rsidRPr="00A9089F">
              <w:t xml:space="preserve">utage </w:t>
            </w:r>
            <w:r w:rsidR="00431A9F">
              <w:t>d</w:t>
            </w:r>
            <w:r w:rsidR="00431A9F" w:rsidRPr="00A9089F">
              <w:t xml:space="preserve">uration </w:t>
            </w:r>
            <w:r w:rsidRPr="00A9089F">
              <w:t>(ATOD)</w:t>
            </w:r>
          </w:p>
        </w:tc>
        <w:tc>
          <w:tcPr>
            <w:tcW w:w="3969" w:type="dxa"/>
            <w:tcBorders>
              <w:top w:val="single" w:sz="4" w:space="0" w:color="999999"/>
              <w:bottom w:val="single" w:sz="4" w:space="0" w:color="999999"/>
            </w:tcBorders>
            <w:shd w:val="clear" w:color="auto" w:fill="auto"/>
            <w:tcMar>
              <w:left w:w="108" w:type="dxa"/>
            </w:tcMar>
          </w:tcPr>
          <w:p w14:paraId="02020368" w14:textId="77777777" w:rsidR="003627D6" w:rsidRPr="00A9089F" w:rsidRDefault="003627D6" w:rsidP="00431A9F">
            <w:pPr>
              <w:pStyle w:val="UtilComTabletext"/>
            </w:pPr>
            <w:r w:rsidRPr="00A9089F">
              <w:t xml:space="preserve">By </w:t>
            </w:r>
            <w:r w:rsidR="00431A9F">
              <w:t>t</w:t>
            </w:r>
            <w:r w:rsidR="00431A9F" w:rsidRPr="00A9089F">
              <w:t xml:space="preserve">ransmission </w:t>
            </w:r>
            <w:r w:rsidR="00431A9F">
              <w:t>n</w:t>
            </w:r>
            <w:r w:rsidR="00431A9F" w:rsidRPr="00A9089F">
              <w:t>etwork</w:t>
            </w:r>
          </w:p>
        </w:tc>
      </w:tr>
      <w:tr w:rsidR="003627D6" w:rsidRPr="008A4655" w14:paraId="21204338" w14:textId="77777777" w:rsidTr="00431A9F">
        <w:trPr>
          <w:cantSplit/>
          <w:trHeight w:val="360"/>
        </w:trPr>
        <w:tc>
          <w:tcPr>
            <w:tcW w:w="5245" w:type="dxa"/>
            <w:tcBorders>
              <w:top w:val="single" w:sz="4" w:space="0" w:color="999999"/>
              <w:bottom w:val="single" w:sz="4" w:space="0" w:color="000000"/>
            </w:tcBorders>
            <w:tcMar>
              <w:left w:w="108" w:type="dxa"/>
            </w:tcMar>
          </w:tcPr>
          <w:p w14:paraId="72FEC128" w14:textId="77777777" w:rsidR="003627D6" w:rsidRPr="00A9089F" w:rsidRDefault="003627D6" w:rsidP="00431A9F">
            <w:pPr>
              <w:pStyle w:val="UtilComTabletext"/>
            </w:pPr>
            <w:r w:rsidRPr="00A9089F">
              <w:t xml:space="preserve">Frequency of </w:t>
            </w:r>
            <w:r w:rsidR="00431A9F">
              <w:t>t</w:t>
            </w:r>
            <w:r w:rsidR="00431A9F" w:rsidRPr="00A9089F">
              <w:t xml:space="preserve">ransformer </w:t>
            </w:r>
            <w:r w:rsidR="00431A9F">
              <w:t>o</w:t>
            </w:r>
            <w:r w:rsidR="00431A9F" w:rsidRPr="00A9089F">
              <w:t xml:space="preserve">utages </w:t>
            </w:r>
            <w:r w:rsidRPr="00A9089F">
              <w:t>(FTO)</w:t>
            </w:r>
          </w:p>
        </w:tc>
        <w:tc>
          <w:tcPr>
            <w:tcW w:w="3969" w:type="dxa"/>
            <w:tcBorders>
              <w:top w:val="single" w:sz="4" w:space="0" w:color="999999"/>
              <w:bottom w:val="single" w:sz="4" w:space="0" w:color="000000"/>
            </w:tcBorders>
            <w:shd w:val="clear" w:color="auto" w:fill="auto"/>
            <w:tcMar>
              <w:left w:w="108" w:type="dxa"/>
            </w:tcMar>
          </w:tcPr>
          <w:p w14:paraId="3245216E" w14:textId="77777777" w:rsidR="003627D6" w:rsidRDefault="003627D6" w:rsidP="00431A9F">
            <w:pPr>
              <w:pStyle w:val="UtilComTabletext"/>
            </w:pPr>
            <w:r w:rsidRPr="00A9089F">
              <w:t xml:space="preserve">By </w:t>
            </w:r>
            <w:r w:rsidR="00431A9F">
              <w:t>t</w:t>
            </w:r>
            <w:r w:rsidR="00431A9F" w:rsidRPr="00A9089F">
              <w:t xml:space="preserve">ransmission </w:t>
            </w:r>
            <w:r w:rsidR="00431A9F">
              <w:t>n</w:t>
            </w:r>
            <w:r w:rsidR="00431A9F" w:rsidRPr="00A9089F">
              <w:t>etwork</w:t>
            </w:r>
          </w:p>
        </w:tc>
      </w:tr>
    </w:tbl>
    <w:p w14:paraId="6DBF6F0B" w14:textId="77777777" w:rsidR="00893266" w:rsidRPr="00E529C5" w:rsidRDefault="00893266" w:rsidP="006469C4">
      <w:pPr>
        <w:rPr>
          <w:lang w:val="en-AU"/>
        </w:rPr>
      </w:pPr>
    </w:p>
    <w:p w14:paraId="6413DF92" w14:textId="77777777" w:rsidR="00F47336" w:rsidRPr="00F47336" w:rsidRDefault="00F47336" w:rsidP="00A806E4">
      <w:pPr>
        <w:pStyle w:val="NumberLevel2"/>
        <w:numPr>
          <w:ilvl w:val="1"/>
          <w:numId w:val="5"/>
        </w:numPr>
        <w:tabs>
          <w:tab w:val="num" w:pos="709"/>
        </w:tabs>
        <w:ind w:left="709" w:hanging="709"/>
        <w:rPr>
          <w:lang w:val="en-AU"/>
        </w:rPr>
      </w:pPr>
      <w:r w:rsidRPr="00F47336">
        <w:rPr>
          <w:lang w:val="en-AU"/>
        </w:rPr>
        <w:t xml:space="preserve">The targets set and approved by the Commission in accordance with clause 3.1 of the </w:t>
      </w:r>
      <w:r>
        <w:rPr>
          <w:lang w:val="en-AU"/>
        </w:rPr>
        <w:t xml:space="preserve">ESS </w:t>
      </w:r>
      <w:r w:rsidRPr="00F47336">
        <w:rPr>
          <w:lang w:val="en-AU"/>
        </w:rPr>
        <w:t xml:space="preserve">Code will apply for the duration of the </w:t>
      </w:r>
      <w:r w:rsidR="000A4EF7">
        <w:rPr>
          <w:lang w:val="en-AU"/>
        </w:rPr>
        <w:t xml:space="preserve">2014-19 </w:t>
      </w:r>
      <w:r w:rsidRPr="00F47336">
        <w:rPr>
          <w:lang w:val="en-AU"/>
        </w:rPr>
        <w:t>regulatory control period.</w:t>
      </w:r>
    </w:p>
    <w:p w14:paraId="6974D780" w14:textId="77777777" w:rsidR="00F47336" w:rsidRPr="00F47336" w:rsidRDefault="00F47336" w:rsidP="00A806E4">
      <w:pPr>
        <w:pStyle w:val="NumberLevel2"/>
        <w:numPr>
          <w:ilvl w:val="1"/>
          <w:numId w:val="5"/>
        </w:numPr>
        <w:tabs>
          <w:tab w:val="num" w:pos="709"/>
        </w:tabs>
        <w:ind w:left="709" w:hanging="709"/>
        <w:rPr>
          <w:lang w:val="en-AU"/>
        </w:rPr>
      </w:pPr>
      <w:r w:rsidRPr="00F47336">
        <w:rPr>
          <w:lang w:val="en-AU"/>
        </w:rPr>
        <w:t>The process for approving the relevant targets is based on a propose-approve model, with PWC Network</w:t>
      </w:r>
      <w:r w:rsidR="006469C4">
        <w:rPr>
          <w:lang w:val="en-AU"/>
        </w:rPr>
        <w:t>s</w:t>
      </w:r>
      <w:r w:rsidRPr="00F47336">
        <w:rPr>
          <w:lang w:val="en-AU"/>
        </w:rPr>
        <w:t xml:space="preserve"> to apply a methodology i</w:t>
      </w:r>
      <w:r>
        <w:rPr>
          <w:lang w:val="en-AU"/>
        </w:rPr>
        <w:t xml:space="preserve">dentified in the </w:t>
      </w:r>
      <w:r w:rsidR="002C6484">
        <w:rPr>
          <w:lang w:val="en-AU"/>
        </w:rPr>
        <w:t xml:space="preserve">ESS </w:t>
      </w:r>
      <w:r>
        <w:rPr>
          <w:lang w:val="en-AU"/>
        </w:rPr>
        <w:t>Code, based on:</w:t>
      </w:r>
    </w:p>
    <w:p w14:paraId="427C462E" w14:textId="0BF3AD5A" w:rsidR="00F47336" w:rsidRPr="00F47336" w:rsidRDefault="00F47336" w:rsidP="008E229D">
      <w:pPr>
        <w:pStyle w:val="UtilComBulletText"/>
        <w:numPr>
          <w:ilvl w:val="0"/>
          <w:numId w:val="6"/>
        </w:numPr>
        <w:tabs>
          <w:tab w:val="clear" w:pos="964"/>
          <w:tab w:val="num" w:pos="1134"/>
        </w:tabs>
        <w:ind w:left="1134" w:hanging="425"/>
      </w:pPr>
      <w:r w:rsidRPr="00F47336">
        <w:t>segmenting the targets in accordance with the feeder categories specified in the Feeder Category G</w:t>
      </w:r>
      <w:r>
        <w:t>uidelines</w:t>
      </w:r>
      <w:r w:rsidRPr="00F47336">
        <w:t xml:space="preserve"> issued by the Commission;</w:t>
      </w:r>
      <w:r w:rsidR="006B6ED7" w:rsidRPr="006B6ED7">
        <w:rPr>
          <w:rStyle w:val="FootnoteReference"/>
        </w:rPr>
        <w:t xml:space="preserve"> </w:t>
      </w:r>
      <w:r w:rsidR="006B6ED7">
        <w:rPr>
          <w:rStyle w:val="FootnoteReference"/>
        </w:rPr>
        <w:footnoteReference w:id="46"/>
      </w:r>
      <w:r w:rsidRPr="00F47336">
        <w:t xml:space="preserve"> </w:t>
      </w:r>
    </w:p>
    <w:p w14:paraId="349D3624" w14:textId="77777777" w:rsidR="00F47336" w:rsidRPr="00F47336" w:rsidRDefault="00F47336" w:rsidP="008E229D">
      <w:pPr>
        <w:pStyle w:val="UtilComBulletText"/>
        <w:numPr>
          <w:ilvl w:val="0"/>
          <w:numId w:val="6"/>
        </w:numPr>
        <w:tabs>
          <w:tab w:val="clear" w:pos="964"/>
          <w:tab w:val="num" w:pos="1134"/>
        </w:tabs>
        <w:ind w:left="1134" w:hanging="425"/>
      </w:pPr>
      <w:r w:rsidRPr="00F47336">
        <w:t xml:space="preserve">averaging the data from the preceding five financial years; and </w:t>
      </w:r>
    </w:p>
    <w:p w14:paraId="0E32DE58" w14:textId="38EF2AD9" w:rsidR="00F47336" w:rsidRPr="00F47336" w:rsidRDefault="00F47336" w:rsidP="008E229D">
      <w:pPr>
        <w:pStyle w:val="UtilComBulletText"/>
        <w:numPr>
          <w:ilvl w:val="0"/>
          <w:numId w:val="6"/>
        </w:numPr>
        <w:tabs>
          <w:tab w:val="clear" w:pos="964"/>
          <w:tab w:val="num" w:pos="1134"/>
        </w:tabs>
        <w:ind w:left="1134" w:hanging="425"/>
      </w:pPr>
      <w:r w:rsidRPr="00F47336">
        <w:t>applying adjustments to the interruptions</w:t>
      </w:r>
      <w:r>
        <w:rPr>
          <w:rStyle w:val="FootnoteReference"/>
        </w:rPr>
        <w:footnoteReference w:id="47"/>
      </w:r>
      <w:r w:rsidRPr="00F47336">
        <w:t xml:space="preserve"> by excluding those events that are considered outside the control of </w:t>
      </w:r>
      <w:r w:rsidR="00A43F6D">
        <w:t>PWC Networks</w:t>
      </w:r>
      <w:r w:rsidRPr="00F47336">
        <w:t>.</w:t>
      </w:r>
    </w:p>
    <w:p w14:paraId="50889296" w14:textId="77777777" w:rsidR="00F47336" w:rsidRPr="00F47336" w:rsidRDefault="00F47336" w:rsidP="00A806E4">
      <w:pPr>
        <w:pStyle w:val="NumberLevel2"/>
        <w:numPr>
          <w:ilvl w:val="1"/>
          <w:numId w:val="5"/>
        </w:numPr>
        <w:tabs>
          <w:tab w:val="num" w:pos="709"/>
        </w:tabs>
        <w:ind w:left="709"/>
        <w:rPr>
          <w:lang w:val="en-AU"/>
        </w:rPr>
      </w:pPr>
      <w:r w:rsidRPr="00F47336">
        <w:rPr>
          <w:lang w:val="en-AU"/>
        </w:rPr>
        <w:t xml:space="preserve">In accordance with clause 3.1 of the ESS Code, the Commission considered the distribution targets developed by PWC Networks and submitted to the Commission on </w:t>
      </w:r>
      <w:r w:rsidR="000A4EF7" w:rsidRPr="00F47336">
        <w:rPr>
          <w:lang w:val="en-AU"/>
        </w:rPr>
        <w:t>1</w:t>
      </w:r>
      <w:r w:rsidR="000A4EF7">
        <w:rPr>
          <w:lang w:val="en-AU"/>
        </w:rPr>
        <w:t xml:space="preserve"> </w:t>
      </w:r>
      <w:r w:rsidR="000A4EF7" w:rsidRPr="00F47336">
        <w:rPr>
          <w:lang w:val="en-AU"/>
        </w:rPr>
        <w:t>March</w:t>
      </w:r>
      <w:r w:rsidR="000A4EF7">
        <w:rPr>
          <w:lang w:val="en-AU"/>
        </w:rPr>
        <w:t> </w:t>
      </w:r>
      <w:r w:rsidRPr="00F47336">
        <w:rPr>
          <w:lang w:val="en-AU"/>
        </w:rPr>
        <w:t xml:space="preserve">2013. </w:t>
      </w:r>
    </w:p>
    <w:p w14:paraId="226C5C4F" w14:textId="77777777" w:rsidR="00645CB5" w:rsidRDefault="00F47336" w:rsidP="00A806E4">
      <w:pPr>
        <w:pStyle w:val="NumberLevel2"/>
        <w:numPr>
          <w:ilvl w:val="1"/>
          <w:numId w:val="5"/>
        </w:numPr>
        <w:tabs>
          <w:tab w:val="num" w:pos="709"/>
        </w:tabs>
        <w:ind w:left="709"/>
        <w:rPr>
          <w:lang w:val="en-AU"/>
        </w:rPr>
      </w:pPr>
      <w:r w:rsidRPr="00F47336">
        <w:rPr>
          <w:lang w:val="en-AU"/>
        </w:rPr>
        <w:t xml:space="preserve">The Commission did not approve the proposed distribution targets submitted by </w:t>
      </w:r>
      <w:r w:rsidR="008936F5" w:rsidRPr="00F47336">
        <w:rPr>
          <w:lang w:val="en-AU"/>
        </w:rPr>
        <w:t>PWC</w:t>
      </w:r>
      <w:r w:rsidR="008936F5">
        <w:rPr>
          <w:lang w:val="en-AU"/>
        </w:rPr>
        <w:t> </w:t>
      </w:r>
      <w:r w:rsidRPr="00F47336">
        <w:rPr>
          <w:lang w:val="en-AU"/>
        </w:rPr>
        <w:t xml:space="preserve">Networks as they did not meet the objectives of the </w:t>
      </w:r>
      <w:r>
        <w:rPr>
          <w:lang w:val="en-AU"/>
        </w:rPr>
        <w:t xml:space="preserve">ESS </w:t>
      </w:r>
      <w:r w:rsidRPr="00F47336">
        <w:rPr>
          <w:lang w:val="en-AU"/>
        </w:rPr>
        <w:t>Code which, inter alia, aim to</w:t>
      </w:r>
      <w:r w:rsidR="00645CB5">
        <w:rPr>
          <w:lang w:val="en-AU"/>
        </w:rPr>
        <w:t>:</w:t>
      </w:r>
    </w:p>
    <w:p w14:paraId="321E180B" w14:textId="77777777" w:rsidR="00645CB5" w:rsidRDefault="002C6484" w:rsidP="004B63D8">
      <w:pPr>
        <w:pStyle w:val="UtilComQuotationText"/>
        <w:ind w:left="1134"/>
      </w:pPr>
      <w:r>
        <w:t>…</w:t>
      </w:r>
      <w:r w:rsidR="00F47336" w:rsidRPr="00645CB5">
        <w:t xml:space="preserve">promote improvement in standards of service by electricity entities in the electricity supply industry. </w:t>
      </w:r>
    </w:p>
    <w:p w14:paraId="478D3390" w14:textId="4E776529" w:rsidR="00F47336" w:rsidRPr="00645CB5" w:rsidRDefault="00F47336" w:rsidP="00A806E4">
      <w:pPr>
        <w:pStyle w:val="NumberLevel2"/>
        <w:numPr>
          <w:ilvl w:val="1"/>
          <w:numId w:val="5"/>
        </w:numPr>
        <w:tabs>
          <w:tab w:val="num" w:pos="709"/>
        </w:tabs>
        <w:ind w:left="709" w:hanging="709"/>
        <w:rPr>
          <w:lang w:val="en-AU"/>
        </w:rPr>
      </w:pPr>
      <w:r w:rsidRPr="00645CB5">
        <w:rPr>
          <w:lang w:val="en-AU"/>
        </w:rPr>
        <w:t xml:space="preserve">In making its decision, the Commission also </w:t>
      </w:r>
      <w:r w:rsidR="00A43F6D">
        <w:rPr>
          <w:lang w:val="en-AU"/>
        </w:rPr>
        <w:t xml:space="preserve">had </w:t>
      </w:r>
      <w:r w:rsidRPr="00645CB5">
        <w:rPr>
          <w:lang w:val="en-AU"/>
        </w:rPr>
        <w:t xml:space="preserve">regard to PWC Networks’ historical performance, </w:t>
      </w:r>
      <w:r w:rsidR="00A43F6D">
        <w:rPr>
          <w:lang w:val="en-AU"/>
        </w:rPr>
        <w:t xml:space="preserve">retail </w:t>
      </w:r>
      <w:r w:rsidRPr="00645CB5">
        <w:rPr>
          <w:lang w:val="en-AU"/>
        </w:rPr>
        <w:t xml:space="preserve">customers’ willingness to pay and the performance of comparable </w:t>
      </w:r>
      <w:r w:rsidR="00A43F6D">
        <w:rPr>
          <w:lang w:val="en-AU"/>
        </w:rPr>
        <w:t>DNSPs</w:t>
      </w:r>
      <w:r w:rsidR="00A43F6D" w:rsidRPr="00645CB5">
        <w:rPr>
          <w:lang w:val="en-AU"/>
        </w:rPr>
        <w:t xml:space="preserve"> </w:t>
      </w:r>
      <w:r w:rsidRPr="00645CB5">
        <w:rPr>
          <w:lang w:val="en-AU"/>
        </w:rPr>
        <w:t>in other Australian jurisdictions.</w:t>
      </w:r>
    </w:p>
    <w:p w14:paraId="0F0005CA" w14:textId="5570BDF8" w:rsidR="00F47336" w:rsidRPr="00F47336" w:rsidRDefault="00F47336" w:rsidP="00A806E4">
      <w:pPr>
        <w:pStyle w:val="NumberLevel2"/>
        <w:numPr>
          <w:ilvl w:val="1"/>
          <w:numId w:val="5"/>
        </w:numPr>
        <w:tabs>
          <w:tab w:val="num" w:pos="709"/>
        </w:tabs>
        <w:ind w:left="709" w:hanging="709"/>
        <w:rPr>
          <w:lang w:val="en-AU"/>
        </w:rPr>
      </w:pPr>
      <w:r w:rsidRPr="00F47336">
        <w:rPr>
          <w:lang w:val="en-AU"/>
        </w:rPr>
        <w:t xml:space="preserve">On 12 July 2013, the Commission approved the network performance target standards applicable to PWC Networks for the </w:t>
      </w:r>
      <w:r w:rsidR="007669D5">
        <w:rPr>
          <w:lang w:val="en-AU"/>
        </w:rPr>
        <w:t>2014-19</w:t>
      </w:r>
      <w:r w:rsidR="007669D5" w:rsidRPr="00F47336">
        <w:rPr>
          <w:lang w:val="en-AU"/>
        </w:rPr>
        <w:t xml:space="preserve"> </w:t>
      </w:r>
      <w:r w:rsidRPr="00F47336">
        <w:rPr>
          <w:lang w:val="en-AU"/>
        </w:rPr>
        <w:t xml:space="preserve">regulatory control period. </w:t>
      </w:r>
    </w:p>
    <w:p w14:paraId="0EEACE22" w14:textId="77777777" w:rsidR="00F47336" w:rsidRPr="00F47336" w:rsidRDefault="00F47336" w:rsidP="00A806E4">
      <w:pPr>
        <w:pStyle w:val="NumberLevel2"/>
        <w:numPr>
          <w:ilvl w:val="1"/>
          <w:numId w:val="5"/>
        </w:numPr>
        <w:tabs>
          <w:tab w:val="num" w:pos="709"/>
        </w:tabs>
        <w:ind w:left="709" w:hanging="709"/>
        <w:rPr>
          <w:lang w:val="en-AU"/>
        </w:rPr>
      </w:pPr>
      <w:r w:rsidRPr="00F47336">
        <w:rPr>
          <w:lang w:val="en-AU"/>
        </w:rPr>
        <w:t xml:space="preserve">Pursuant to clause 3.1.8 of the </w:t>
      </w:r>
      <w:r>
        <w:rPr>
          <w:lang w:val="en-AU"/>
        </w:rPr>
        <w:t xml:space="preserve">ESS </w:t>
      </w:r>
      <w:r w:rsidRPr="00F47336">
        <w:rPr>
          <w:lang w:val="en-AU"/>
        </w:rPr>
        <w:t>Code, the Commission set distribution targets using an improvement factor of:</w:t>
      </w:r>
    </w:p>
    <w:p w14:paraId="60F2A738" w14:textId="77777777" w:rsidR="00F47336" w:rsidRPr="00F47336" w:rsidRDefault="00F47336" w:rsidP="006B6ED7">
      <w:pPr>
        <w:pStyle w:val="UtilComBulletText"/>
        <w:numPr>
          <w:ilvl w:val="0"/>
          <w:numId w:val="6"/>
        </w:numPr>
        <w:tabs>
          <w:tab w:val="clear" w:pos="964"/>
          <w:tab w:val="clear" w:pos="1134"/>
          <w:tab w:val="num" w:pos="1418"/>
        </w:tabs>
        <w:ind w:left="1134" w:hanging="425"/>
      </w:pPr>
      <w:r w:rsidRPr="00F47336">
        <w:t xml:space="preserve">5 per cent applicable to CBD, urban </w:t>
      </w:r>
      <w:r w:rsidR="00645CB5">
        <w:t>and short rural feeders</w:t>
      </w:r>
      <w:r w:rsidRPr="00F47336">
        <w:t>; and</w:t>
      </w:r>
    </w:p>
    <w:p w14:paraId="58060A60" w14:textId="77777777" w:rsidR="00F47336" w:rsidRPr="00F47336" w:rsidRDefault="00F47336" w:rsidP="006B6ED7">
      <w:pPr>
        <w:pStyle w:val="UtilComBulletText"/>
        <w:numPr>
          <w:ilvl w:val="0"/>
          <w:numId w:val="6"/>
        </w:numPr>
        <w:tabs>
          <w:tab w:val="clear" w:pos="964"/>
          <w:tab w:val="clear" w:pos="1134"/>
          <w:tab w:val="num" w:pos="1418"/>
        </w:tabs>
        <w:ind w:left="1134" w:hanging="425"/>
      </w:pPr>
      <w:r w:rsidRPr="00F47336">
        <w:t xml:space="preserve">10 per cent applicable to long </w:t>
      </w:r>
      <w:r w:rsidR="00645CB5">
        <w:t xml:space="preserve">rural </w:t>
      </w:r>
      <w:r w:rsidRPr="00F47336">
        <w:t xml:space="preserve">feeders due to their exceptionally poor historical performance. </w:t>
      </w:r>
    </w:p>
    <w:p w14:paraId="7AC8E874" w14:textId="77777777" w:rsidR="00F47336" w:rsidRPr="00F47336" w:rsidRDefault="00F47336" w:rsidP="00A806E4">
      <w:pPr>
        <w:pStyle w:val="NumberLevel2"/>
        <w:numPr>
          <w:ilvl w:val="1"/>
          <w:numId w:val="5"/>
        </w:numPr>
        <w:tabs>
          <w:tab w:val="num" w:pos="709"/>
        </w:tabs>
        <w:ind w:left="709" w:hanging="709"/>
        <w:rPr>
          <w:lang w:val="en-AU"/>
        </w:rPr>
      </w:pPr>
      <w:r w:rsidRPr="00F47336">
        <w:rPr>
          <w:lang w:val="en-AU"/>
        </w:rPr>
        <w:t>The Commission</w:t>
      </w:r>
      <w:r w:rsidR="006469C4">
        <w:rPr>
          <w:lang w:val="en-AU"/>
        </w:rPr>
        <w:t xml:space="preserve"> has</w:t>
      </w:r>
      <w:r w:rsidRPr="00F47336">
        <w:rPr>
          <w:lang w:val="en-AU"/>
        </w:rPr>
        <w:t xml:space="preserve"> approved the distribution targets contained in Table </w:t>
      </w:r>
      <w:r w:rsidR="000A4EF7">
        <w:rPr>
          <w:lang w:val="en-AU"/>
        </w:rPr>
        <w:t>8</w:t>
      </w:r>
      <w:r w:rsidR="006469C4">
        <w:rPr>
          <w:lang w:val="en-AU"/>
        </w:rPr>
        <w:t>.2</w:t>
      </w:r>
      <w:r w:rsidRPr="00F47336">
        <w:rPr>
          <w:lang w:val="en-AU"/>
        </w:rPr>
        <w:t xml:space="preserve"> below. </w:t>
      </w:r>
    </w:p>
    <w:p w14:paraId="088A9358" w14:textId="77777777" w:rsidR="0096684F" w:rsidRPr="00A139AD" w:rsidRDefault="0096684F" w:rsidP="00645CB5">
      <w:pPr>
        <w:pStyle w:val="UtilComTableTitle"/>
        <w:keepNext/>
        <w:spacing w:before="120" w:after="0" w:line="240" w:lineRule="exact"/>
      </w:pPr>
      <w:r>
        <w:t xml:space="preserve">Table </w:t>
      </w:r>
      <w:r w:rsidR="000A4EF7">
        <w:t>8</w:t>
      </w:r>
      <w:r>
        <w:t>.2: Distribution targets set by the Commission</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976"/>
        <w:gridCol w:w="3119"/>
        <w:gridCol w:w="3119"/>
      </w:tblGrid>
      <w:tr w:rsidR="003603C7" w:rsidRPr="008A4655" w14:paraId="67FB2111" w14:textId="77777777" w:rsidTr="00645CB5">
        <w:trPr>
          <w:cantSplit/>
          <w:trHeight w:val="360"/>
        </w:trPr>
        <w:tc>
          <w:tcPr>
            <w:tcW w:w="2976" w:type="dxa"/>
            <w:tcBorders>
              <w:top w:val="single" w:sz="4" w:space="0" w:color="999999"/>
              <w:bottom w:val="single" w:sz="4" w:space="0" w:color="auto"/>
            </w:tcBorders>
            <w:vAlign w:val="bottom"/>
          </w:tcPr>
          <w:p w14:paraId="47434B58" w14:textId="77777777" w:rsidR="003603C7" w:rsidRPr="00EE5A08" w:rsidRDefault="003603C7" w:rsidP="0096684F">
            <w:pPr>
              <w:pStyle w:val="UtilComTabletext"/>
              <w:rPr>
                <w:b/>
              </w:rPr>
            </w:pPr>
          </w:p>
        </w:tc>
        <w:tc>
          <w:tcPr>
            <w:tcW w:w="6238" w:type="dxa"/>
            <w:gridSpan w:val="2"/>
            <w:tcBorders>
              <w:top w:val="single" w:sz="4" w:space="0" w:color="999999"/>
              <w:bottom w:val="single" w:sz="4" w:space="0" w:color="auto"/>
            </w:tcBorders>
            <w:vAlign w:val="bottom"/>
          </w:tcPr>
          <w:p w14:paraId="7BAE4788" w14:textId="77777777" w:rsidR="003603C7" w:rsidRPr="00EE5A08" w:rsidRDefault="003603C7" w:rsidP="003603C7">
            <w:pPr>
              <w:pStyle w:val="UtilComTabletext"/>
              <w:jc w:val="center"/>
              <w:rPr>
                <w:b/>
              </w:rPr>
            </w:pPr>
            <w:r>
              <w:rPr>
                <w:b/>
              </w:rPr>
              <w:t>Distribution Targets</w:t>
            </w:r>
          </w:p>
        </w:tc>
      </w:tr>
      <w:tr w:rsidR="003603C7" w:rsidRPr="003603C7" w14:paraId="1B613F70" w14:textId="77777777" w:rsidTr="00645CB5">
        <w:trPr>
          <w:cantSplit/>
          <w:trHeight w:val="360"/>
        </w:trPr>
        <w:tc>
          <w:tcPr>
            <w:tcW w:w="2976" w:type="dxa"/>
            <w:tcBorders>
              <w:top w:val="single" w:sz="4" w:space="0" w:color="999999"/>
              <w:bottom w:val="single" w:sz="4" w:space="0" w:color="999999"/>
            </w:tcBorders>
            <w:vAlign w:val="bottom"/>
          </w:tcPr>
          <w:p w14:paraId="28308256" w14:textId="77777777" w:rsidR="003603C7" w:rsidRPr="003603C7" w:rsidRDefault="003603C7" w:rsidP="00A11D17">
            <w:pPr>
              <w:rPr>
                <w:rFonts w:cs="Arial"/>
                <w:b/>
                <w:sz w:val="18"/>
                <w:szCs w:val="18"/>
              </w:rPr>
            </w:pPr>
            <w:r w:rsidRPr="003603C7">
              <w:rPr>
                <w:rFonts w:cs="Arial"/>
                <w:b/>
                <w:sz w:val="18"/>
                <w:szCs w:val="18"/>
              </w:rPr>
              <w:t>Feeder category</w:t>
            </w:r>
          </w:p>
        </w:tc>
        <w:tc>
          <w:tcPr>
            <w:tcW w:w="3119" w:type="dxa"/>
            <w:tcBorders>
              <w:top w:val="single" w:sz="4" w:space="0" w:color="999999"/>
              <w:bottom w:val="single" w:sz="4" w:space="0" w:color="999999"/>
            </w:tcBorders>
            <w:vAlign w:val="bottom"/>
          </w:tcPr>
          <w:p w14:paraId="6804EC11" w14:textId="77777777" w:rsidR="003603C7" w:rsidRPr="003603C7" w:rsidRDefault="003603C7" w:rsidP="00645CB5">
            <w:pPr>
              <w:jc w:val="center"/>
              <w:rPr>
                <w:rFonts w:cs="Arial"/>
                <w:b/>
                <w:sz w:val="18"/>
                <w:szCs w:val="18"/>
              </w:rPr>
            </w:pPr>
            <w:r w:rsidRPr="003603C7">
              <w:rPr>
                <w:rFonts w:cs="Arial"/>
                <w:b/>
                <w:sz w:val="18"/>
                <w:szCs w:val="18"/>
              </w:rPr>
              <w:t>SAIDI</w:t>
            </w:r>
          </w:p>
        </w:tc>
        <w:tc>
          <w:tcPr>
            <w:tcW w:w="3119" w:type="dxa"/>
            <w:tcBorders>
              <w:top w:val="single" w:sz="4" w:space="0" w:color="999999"/>
              <w:bottom w:val="single" w:sz="4" w:space="0" w:color="999999"/>
            </w:tcBorders>
            <w:shd w:val="clear" w:color="auto" w:fill="auto"/>
            <w:vAlign w:val="bottom"/>
          </w:tcPr>
          <w:p w14:paraId="1FE12550" w14:textId="77777777" w:rsidR="003603C7" w:rsidRPr="003603C7" w:rsidRDefault="003603C7" w:rsidP="00645CB5">
            <w:pPr>
              <w:jc w:val="center"/>
              <w:rPr>
                <w:rFonts w:cs="Arial"/>
                <w:b/>
                <w:sz w:val="18"/>
                <w:szCs w:val="18"/>
              </w:rPr>
            </w:pPr>
            <w:r w:rsidRPr="003603C7">
              <w:rPr>
                <w:rFonts w:cs="Arial"/>
                <w:b/>
                <w:sz w:val="18"/>
                <w:szCs w:val="18"/>
              </w:rPr>
              <w:t>SAIFI</w:t>
            </w:r>
          </w:p>
        </w:tc>
      </w:tr>
      <w:tr w:rsidR="003603C7" w:rsidRPr="008A4655" w14:paraId="4A0EE297" w14:textId="77777777" w:rsidTr="00645CB5">
        <w:trPr>
          <w:cantSplit/>
          <w:trHeight w:val="360"/>
        </w:trPr>
        <w:tc>
          <w:tcPr>
            <w:tcW w:w="2976" w:type="dxa"/>
            <w:tcBorders>
              <w:top w:val="single" w:sz="4" w:space="0" w:color="auto"/>
              <w:bottom w:val="single" w:sz="4" w:space="0" w:color="999999"/>
            </w:tcBorders>
          </w:tcPr>
          <w:p w14:paraId="7CCB6933" w14:textId="77777777" w:rsidR="003603C7" w:rsidRPr="003603C7" w:rsidRDefault="003603C7" w:rsidP="00645CB5">
            <w:pPr>
              <w:rPr>
                <w:rFonts w:cs="Arial"/>
                <w:sz w:val="18"/>
                <w:szCs w:val="18"/>
              </w:rPr>
            </w:pPr>
            <w:r w:rsidRPr="003603C7">
              <w:rPr>
                <w:rFonts w:cs="Arial"/>
                <w:sz w:val="18"/>
                <w:szCs w:val="18"/>
              </w:rPr>
              <w:t xml:space="preserve">Rural </w:t>
            </w:r>
            <w:r w:rsidR="00645CB5">
              <w:rPr>
                <w:rFonts w:cs="Arial"/>
                <w:sz w:val="18"/>
                <w:szCs w:val="18"/>
              </w:rPr>
              <w:t>l</w:t>
            </w:r>
            <w:r w:rsidR="00645CB5" w:rsidRPr="003603C7">
              <w:rPr>
                <w:rFonts w:cs="Arial"/>
                <w:sz w:val="18"/>
                <w:szCs w:val="18"/>
              </w:rPr>
              <w:t>ong</w:t>
            </w:r>
          </w:p>
        </w:tc>
        <w:tc>
          <w:tcPr>
            <w:tcW w:w="3119" w:type="dxa"/>
            <w:tcBorders>
              <w:top w:val="single" w:sz="4" w:space="0" w:color="auto"/>
              <w:bottom w:val="single" w:sz="4" w:space="0" w:color="999999"/>
            </w:tcBorders>
          </w:tcPr>
          <w:p w14:paraId="228FCE9A" w14:textId="77777777" w:rsidR="003603C7" w:rsidRPr="003603C7" w:rsidRDefault="003603C7" w:rsidP="003603C7">
            <w:pPr>
              <w:jc w:val="center"/>
              <w:rPr>
                <w:rFonts w:cs="Arial"/>
                <w:sz w:val="18"/>
                <w:szCs w:val="18"/>
              </w:rPr>
            </w:pPr>
            <w:r w:rsidRPr="003603C7">
              <w:rPr>
                <w:rFonts w:cs="Arial"/>
                <w:sz w:val="18"/>
                <w:szCs w:val="18"/>
              </w:rPr>
              <w:t>2,164.9</w:t>
            </w:r>
          </w:p>
        </w:tc>
        <w:tc>
          <w:tcPr>
            <w:tcW w:w="3119" w:type="dxa"/>
            <w:tcBorders>
              <w:top w:val="single" w:sz="4" w:space="0" w:color="auto"/>
              <w:bottom w:val="single" w:sz="4" w:space="0" w:color="999999"/>
            </w:tcBorders>
            <w:shd w:val="clear" w:color="auto" w:fill="auto"/>
          </w:tcPr>
          <w:p w14:paraId="01F5B434" w14:textId="77777777" w:rsidR="003603C7" w:rsidRPr="003603C7" w:rsidRDefault="003603C7" w:rsidP="003603C7">
            <w:pPr>
              <w:jc w:val="center"/>
              <w:rPr>
                <w:rFonts w:cs="Arial"/>
                <w:sz w:val="18"/>
                <w:szCs w:val="18"/>
              </w:rPr>
            </w:pPr>
            <w:r w:rsidRPr="003603C7">
              <w:rPr>
                <w:rFonts w:cs="Arial"/>
                <w:sz w:val="18"/>
                <w:szCs w:val="18"/>
              </w:rPr>
              <w:t>35.1</w:t>
            </w:r>
          </w:p>
        </w:tc>
      </w:tr>
      <w:tr w:rsidR="003603C7" w:rsidRPr="008A4655" w14:paraId="30A271FB" w14:textId="77777777" w:rsidTr="00645CB5">
        <w:trPr>
          <w:cantSplit/>
          <w:trHeight w:val="360"/>
        </w:trPr>
        <w:tc>
          <w:tcPr>
            <w:tcW w:w="2976" w:type="dxa"/>
            <w:tcBorders>
              <w:top w:val="single" w:sz="4" w:space="0" w:color="999999"/>
              <w:bottom w:val="single" w:sz="4" w:space="0" w:color="999999"/>
            </w:tcBorders>
          </w:tcPr>
          <w:p w14:paraId="3817A16F" w14:textId="77777777" w:rsidR="003603C7" w:rsidRPr="003603C7" w:rsidRDefault="003603C7" w:rsidP="00A11D17">
            <w:pPr>
              <w:rPr>
                <w:rFonts w:cs="Arial"/>
                <w:sz w:val="18"/>
                <w:szCs w:val="18"/>
              </w:rPr>
            </w:pPr>
            <w:r w:rsidRPr="003603C7">
              <w:rPr>
                <w:rFonts w:cs="Arial"/>
                <w:sz w:val="18"/>
                <w:szCs w:val="18"/>
              </w:rPr>
              <w:t>Rural short</w:t>
            </w:r>
          </w:p>
        </w:tc>
        <w:tc>
          <w:tcPr>
            <w:tcW w:w="3119" w:type="dxa"/>
            <w:tcBorders>
              <w:top w:val="single" w:sz="4" w:space="0" w:color="999999"/>
              <w:bottom w:val="single" w:sz="4" w:space="0" w:color="999999"/>
            </w:tcBorders>
          </w:tcPr>
          <w:p w14:paraId="7D99035A" w14:textId="77777777" w:rsidR="003603C7" w:rsidRPr="003603C7" w:rsidRDefault="003603C7" w:rsidP="003603C7">
            <w:pPr>
              <w:jc w:val="center"/>
              <w:rPr>
                <w:rFonts w:cs="Arial"/>
                <w:sz w:val="18"/>
                <w:szCs w:val="18"/>
              </w:rPr>
            </w:pPr>
            <w:r w:rsidRPr="003603C7">
              <w:rPr>
                <w:rFonts w:cs="Arial"/>
                <w:sz w:val="18"/>
                <w:szCs w:val="18"/>
              </w:rPr>
              <w:t>496.3</w:t>
            </w:r>
          </w:p>
        </w:tc>
        <w:tc>
          <w:tcPr>
            <w:tcW w:w="3119" w:type="dxa"/>
            <w:tcBorders>
              <w:top w:val="single" w:sz="4" w:space="0" w:color="999999"/>
              <w:bottom w:val="single" w:sz="4" w:space="0" w:color="999999"/>
            </w:tcBorders>
            <w:shd w:val="clear" w:color="auto" w:fill="auto"/>
          </w:tcPr>
          <w:p w14:paraId="72228057" w14:textId="77777777" w:rsidR="003603C7" w:rsidRPr="003603C7" w:rsidRDefault="003603C7" w:rsidP="003603C7">
            <w:pPr>
              <w:jc w:val="center"/>
              <w:rPr>
                <w:rFonts w:cs="Arial"/>
                <w:sz w:val="18"/>
                <w:szCs w:val="18"/>
              </w:rPr>
            </w:pPr>
            <w:r w:rsidRPr="003603C7">
              <w:rPr>
                <w:rFonts w:cs="Arial"/>
                <w:sz w:val="18"/>
                <w:szCs w:val="18"/>
              </w:rPr>
              <w:t>8.1</w:t>
            </w:r>
          </w:p>
        </w:tc>
      </w:tr>
      <w:tr w:rsidR="003603C7" w:rsidRPr="008A4655" w14:paraId="0B59E28F" w14:textId="77777777" w:rsidTr="00645CB5">
        <w:trPr>
          <w:cantSplit/>
          <w:trHeight w:val="360"/>
        </w:trPr>
        <w:tc>
          <w:tcPr>
            <w:tcW w:w="2976" w:type="dxa"/>
            <w:tcBorders>
              <w:top w:val="single" w:sz="4" w:space="0" w:color="999999"/>
              <w:bottom w:val="single" w:sz="4" w:space="0" w:color="999999"/>
            </w:tcBorders>
          </w:tcPr>
          <w:p w14:paraId="62FB8512" w14:textId="77777777" w:rsidR="003603C7" w:rsidRPr="003603C7" w:rsidRDefault="003603C7" w:rsidP="00A11D17">
            <w:pPr>
              <w:rPr>
                <w:rFonts w:cs="Arial"/>
                <w:sz w:val="18"/>
                <w:szCs w:val="18"/>
              </w:rPr>
            </w:pPr>
            <w:r w:rsidRPr="003603C7">
              <w:rPr>
                <w:rFonts w:cs="Arial"/>
                <w:sz w:val="18"/>
                <w:szCs w:val="18"/>
              </w:rPr>
              <w:t>Urban</w:t>
            </w:r>
          </w:p>
        </w:tc>
        <w:tc>
          <w:tcPr>
            <w:tcW w:w="3119" w:type="dxa"/>
            <w:tcBorders>
              <w:top w:val="single" w:sz="4" w:space="0" w:color="999999"/>
              <w:bottom w:val="single" w:sz="4" w:space="0" w:color="999999"/>
            </w:tcBorders>
          </w:tcPr>
          <w:p w14:paraId="662CEA0A" w14:textId="77777777" w:rsidR="003603C7" w:rsidRPr="003603C7" w:rsidRDefault="003603C7" w:rsidP="003603C7">
            <w:pPr>
              <w:jc w:val="center"/>
              <w:rPr>
                <w:rFonts w:cs="Arial"/>
                <w:sz w:val="18"/>
                <w:szCs w:val="18"/>
              </w:rPr>
            </w:pPr>
            <w:r w:rsidRPr="003603C7">
              <w:rPr>
                <w:rFonts w:cs="Arial"/>
                <w:sz w:val="18"/>
                <w:szCs w:val="18"/>
              </w:rPr>
              <w:t>136.0</w:t>
            </w:r>
          </w:p>
        </w:tc>
        <w:tc>
          <w:tcPr>
            <w:tcW w:w="3119" w:type="dxa"/>
            <w:tcBorders>
              <w:top w:val="single" w:sz="4" w:space="0" w:color="999999"/>
              <w:bottom w:val="single" w:sz="4" w:space="0" w:color="999999"/>
            </w:tcBorders>
            <w:shd w:val="clear" w:color="auto" w:fill="auto"/>
          </w:tcPr>
          <w:p w14:paraId="641B6E0D" w14:textId="77777777" w:rsidR="003603C7" w:rsidRPr="003603C7" w:rsidRDefault="003603C7" w:rsidP="003603C7">
            <w:pPr>
              <w:jc w:val="center"/>
              <w:rPr>
                <w:rFonts w:cs="Arial"/>
                <w:sz w:val="18"/>
                <w:szCs w:val="18"/>
              </w:rPr>
            </w:pPr>
            <w:r w:rsidRPr="003603C7">
              <w:rPr>
                <w:rFonts w:cs="Arial"/>
                <w:sz w:val="18"/>
                <w:szCs w:val="18"/>
              </w:rPr>
              <w:t>2.5</w:t>
            </w:r>
          </w:p>
        </w:tc>
      </w:tr>
      <w:tr w:rsidR="003603C7" w:rsidRPr="008A4655" w14:paraId="2A2B50E6" w14:textId="77777777" w:rsidTr="00645CB5">
        <w:trPr>
          <w:cantSplit/>
          <w:trHeight w:val="360"/>
        </w:trPr>
        <w:tc>
          <w:tcPr>
            <w:tcW w:w="2976" w:type="dxa"/>
            <w:tcBorders>
              <w:top w:val="single" w:sz="4" w:space="0" w:color="999999"/>
              <w:bottom w:val="single" w:sz="4" w:space="0" w:color="999999"/>
            </w:tcBorders>
          </w:tcPr>
          <w:p w14:paraId="125548C4" w14:textId="77777777" w:rsidR="003603C7" w:rsidRPr="003603C7" w:rsidRDefault="003603C7" w:rsidP="00A11D17">
            <w:pPr>
              <w:rPr>
                <w:rFonts w:cs="Arial"/>
                <w:sz w:val="18"/>
                <w:szCs w:val="18"/>
              </w:rPr>
            </w:pPr>
            <w:r w:rsidRPr="003603C7">
              <w:rPr>
                <w:rFonts w:cs="Arial"/>
                <w:sz w:val="18"/>
                <w:szCs w:val="18"/>
              </w:rPr>
              <w:t>CBD</w:t>
            </w:r>
          </w:p>
        </w:tc>
        <w:tc>
          <w:tcPr>
            <w:tcW w:w="3119" w:type="dxa"/>
            <w:tcBorders>
              <w:top w:val="single" w:sz="4" w:space="0" w:color="999999"/>
              <w:bottom w:val="single" w:sz="4" w:space="0" w:color="999999"/>
            </w:tcBorders>
          </w:tcPr>
          <w:p w14:paraId="6CD53F3F" w14:textId="77777777" w:rsidR="003603C7" w:rsidRPr="003603C7" w:rsidRDefault="003603C7" w:rsidP="003603C7">
            <w:pPr>
              <w:jc w:val="center"/>
              <w:rPr>
                <w:rFonts w:cs="Arial"/>
                <w:sz w:val="18"/>
                <w:szCs w:val="18"/>
              </w:rPr>
            </w:pPr>
            <w:r w:rsidRPr="003603C7">
              <w:rPr>
                <w:rFonts w:cs="Arial"/>
                <w:sz w:val="18"/>
                <w:szCs w:val="18"/>
              </w:rPr>
              <w:t>18.8</w:t>
            </w:r>
          </w:p>
        </w:tc>
        <w:tc>
          <w:tcPr>
            <w:tcW w:w="3119" w:type="dxa"/>
            <w:tcBorders>
              <w:top w:val="single" w:sz="4" w:space="0" w:color="999999"/>
              <w:bottom w:val="single" w:sz="4" w:space="0" w:color="999999"/>
            </w:tcBorders>
            <w:shd w:val="clear" w:color="auto" w:fill="auto"/>
          </w:tcPr>
          <w:p w14:paraId="4BE84EFE" w14:textId="77777777" w:rsidR="003603C7" w:rsidRPr="003603C7" w:rsidRDefault="003603C7" w:rsidP="003603C7">
            <w:pPr>
              <w:jc w:val="center"/>
              <w:rPr>
                <w:rFonts w:cs="Arial"/>
                <w:sz w:val="18"/>
                <w:szCs w:val="18"/>
              </w:rPr>
            </w:pPr>
            <w:r w:rsidRPr="003603C7">
              <w:rPr>
                <w:rFonts w:cs="Arial"/>
                <w:sz w:val="18"/>
                <w:szCs w:val="18"/>
              </w:rPr>
              <w:t>0.4</w:t>
            </w:r>
          </w:p>
        </w:tc>
      </w:tr>
    </w:tbl>
    <w:p w14:paraId="1BF73B6B" w14:textId="77777777" w:rsidR="0096684F" w:rsidRPr="00E529C5" w:rsidRDefault="0096684F" w:rsidP="002E5C3F">
      <w:pPr>
        <w:rPr>
          <w:lang w:val="en-AU"/>
        </w:rPr>
      </w:pPr>
    </w:p>
    <w:p w14:paraId="76AF31A3" w14:textId="77777777" w:rsidR="00894381" w:rsidRPr="00894381" w:rsidRDefault="00894381" w:rsidP="00A806E4">
      <w:pPr>
        <w:pStyle w:val="ListParagraph"/>
        <w:numPr>
          <w:ilvl w:val="1"/>
          <w:numId w:val="5"/>
        </w:numPr>
        <w:tabs>
          <w:tab w:val="num" w:pos="709"/>
        </w:tabs>
        <w:ind w:left="709" w:hanging="709"/>
        <w:rPr>
          <w:lang w:val="en-AU"/>
        </w:rPr>
      </w:pPr>
      <w:r w:rsidRPr="00894381">
        <w:rPr>
          <w:lang w:val="en-AU"/>
        </w:rPr>
        <w:t>The Commission</w:t>
      </w:r>
      <w:r w:rsidR="006469C4">
        <w:rPr>
          <w:lang w:val="en-AU"/>
        </w:rPr>
        <w:t xml:space="preserve"> has</w:t>
      </w:r>
      <w:r w:rsidRPr="00894381">
        <w:rPr>
          <w:lang w:val="en-AU"/>
        </w:rPr>
        <w:t xml:space="preserve"> approved the transmission targets proposed by PWC </w:t>
      </w:r>
      <w:r w:rsidR="00645CB5">
        <w:rPr>
          <w:lang w:val="en-AU"/>
        </w:rPr>
        <w:t xml:space="preserve">Networks </w:t>
      </w:r>
      <w:r w:rsidRPr="00894381">
        <w:rPr>
          <w:lang w:val="en-AU"/>
        </w:rPr>
        <w:t xml:space="preserve">and contained in Table </w:t>
      </w:r>
      <w:r w:rsidR="000A4EF7">
        <w:rPr>
          <w:lang w:val="en-AU"/>
        </w:rPr>
        <w:t>8</w:t>
      </w:r>
      <w:r>
        <w:rPr>
          <w:lang w:val="en-AU"/>
        </w:rPr>
        <w:t>.3</w:t>
      </w:r>
      <w:r w:rsidRPr="00894381">
        <w:rPr>
          <w:lang w:val="en-AU"/>
        </w:rPr>
        <w:t xml:space="preserve"> below. </w:t>
      </w:r>
    </w:p>
    <w:p w14:paraId="3A103C24" w14:textId="77777777" w:rsidR="00894381" w:rsidRPr="00A139AD" w:rsidRDefault="00894381" w:rsidP="00645CB5">
      <w:pPr>
        <w:pStyle w:val="UtilComTableTitle"/>
        <w:keepNext/>
        <w:spacing w:before="120" w:after="0" w:line="240" w:lineRule="exact"/>
      </w:pPr>
      <w:r>
        <w:t xml:space="preserve">Table </w:t>
      </w:r>
      <w:r w:rsidR="000A4EF7">
        <w:t>8</w:t>
      </w:r>
      <w:r>
        <w:t>.3: Transmission</w:t>
      </w:r>
      <w:r w:rsidRPr="00894381">
        <w:t xml:space="preserve"> targets set by the Commission</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5245"/>
        <w:gridCol w:w="3969"/>
      </w:tblGrid>
      <w:tr w:rsidR="00894381" w:rsidRPr="00894381" w14:paraId="1C2E2C5B" w14:textId="77777777" w:rsidTr="00645CB5">
        <w:trPr>
          <w:cantSplit/>
          <w:trHeight w:val="360"/>
        </w:trPr>
        <w:tc>
          <w:tcPr>
            <w:tcW w:w="5245" w:type="dxa"/>
            <w:tcBorders>
              <w:top w:val="single" w:sz="4" w:space="0" w:color="999999"/>
              <w:bottom w:val="single" w:sz="4" w:space="0" w:color="auto"/>
            </w:tcBorders>
            <w:vAlign w:val="bottom"/>
          </w:tcPr>
          <w:p w14:paraId="1BE00992" w14:textId="77777777" w:rsidR="00894381" w:rsidRPr="00894381" w:rsidRDefault="00894381" w:rsidP="00A11D17">
            <w:pPr>
              <w:rPr>
                <w:rFonts w:cs="Arial"/>
                <w:b/>
                <w:sz w:val="18"/>
                <w:szCs w:val="18"/>
              </w:rPr>
            </w:pPr>
            <w:r w:rsidRPr="00894381">
              <w:rPr>
                <w:rFonts w:cs="Arial"/>
                <w:b/>
                <w:sz w:val="18"/>
                <w:szCs w:val="18"/>
              </w:rPr>
              <w:t>Transmission performance indicators</w:t>
            </w:r>
          </w:p>
        </w:tc>
        <w:tc>
          <w:tcPr>
            <w:tcW w:w="3969" w:type="dxa"/>
            <w:tcBorders>
              <w:top w:val="single" w:sz="4" w:space="0" w:color="999999"/>
              <w:bottom w:val="single" w:sz="4" w:space="0" w:color="auto"/>
            </w:tcBorders>
            <w:tcMar>
              <w:left w:w="0" w:type="dxa"/>
            </w:tcMar>
            <w:vAlign w:val="bottom"/>
          </w:tcPr>
          <w:p w14:paraId="7CDBED5E" w14:textId="77777777" w:rsidR="00894381" w:rsidRPr="00894381" w:rsidRDefault="00894381" w:rsidP="00894381">
            <w:pPr>
              <w:jc w:val="center"/>
              <w:rPr>
                <w:rFonts w:cs="Arial"/>
                <w:b/>
                <w:sz w:val="18"/>
                <w:szCs w:val="18"/>
              </w:rPr>
            </w:pPr>
            <w:r w:rsidRPr="00894381">
              <w:rPr>
                <w:rFonts w:cs="Arial"/>
                <w:b/>
                <w:sz w:val="18"/>
                <w:szCs w:val="18"/>
              </w:rPr>
              <w:t>Target</w:t>
            </w:r>
          </w:p>
        </w:tc>
      </w:tr>
      <w:tr w:rsidR="00894381" w:rsidRPr="008A4655" w14:paraId="219A5A24" w14:textId="77777777" w:rsidTr="00645CB5">
        <w:trPr>
          <w:cantSplit/>
          <w:trHeight w:val="360"/>
        </w:trPr>
        <w:tc>
          <w:tcPr>
            <w:tcW w:w="5245" w:type="dxa"/>
            <w:tcBorders>
              <w:top w:val="single" w:sz="4" w:space="0" w:color="auto"/>
              <w:bottom w:val="single" w:sz="4" w:space="0" w:color="999999"/>
            </w:tcBorders>
          </w:tcPr>
          <w:p w14:paraId="3268669E" w14:textId="77777777" w:rsidR="00894381" w:rsidRPr="00894381" w:rsidRDefault="00894381" w:rsidP="00A11D17">
            <w:pPr>
              <w:rPr>
                <w:rFonts w:cs="Arial"/>
                <w:sz w:val="18"/>
                <w:szCs w:val="18"/>
              </w:rPr>
            </w:pPr>
            <w:r w:rsidRPr="00894381">
              <w:rPr>
                <w:rFonts w:cs="Arial"/>
                <w:sz w:val="18"/>
                <w:szCs w:val="18"/>
              </w:rPr>
              <w:t>ACOD</w:t>
            </w:r>
          </w:p>
        </w:tc>
        <w:tc>
          <w:tcPr>
            <w:tcW w:w="3969" w:type="dxa"/>
            <w:tcBorders>
              <w:top w:val="single" w:sz="4" w:space="0" w:color="auto"/>
              <w:bottom w:val="single" w:sz="4" w:space="0" w:color="999999"/>
            </w:tcBorders>
            <w:shd w:val="clear" w:color="auto" w:fill="auto"/>
          </w:tcPr>
          <w:p w14:paraId="6A3580C8" w14:textId="77777777" w:rsidR="00894381" w:rsidRPr="00894381" w:rsidRDefault="00894381" w:rsidP="00894381">
            <w:pPr>
              <w:jc w:val="center"/>
              <w:rPr>
                <w:rFonts w:cs="Arial"/>
                <w:sz w:val="18"/>
                <w:szCs w:val="18"/>
              </w:rPr>
            </w:pPr>
            <w:r w:rsidRPr="00894381">
              <w:rPr>
                <w:rFonts w:cs="Arial"/>
                <w:sz w:val="18"/>
                <w:szCs w:val="18"/>
              </w:rPr>
              <w:t>358.8</w:t>
            </w:r>
          </w:p>
        </w:tc>
      </w:tr>
      <w:tr w:rsidR="00894381" w:rsidRPr="008A4655" w14:paraId="51B904C3" w14:textId="77777777" w:rsidTr="00645CB5">
        <w:trPr>
          <w:cantSplit/>
          <w:trHeight w:val="360"/>
        </w:trPr>
        <w:tc>
          <w:tcPr>
            <w:tcW w:w="5245" w:type="dxa"/>
            <w:tcBorders>
              <w:top w:val="single" w:sz="4" w:space="0" w:color="999999"/>
              <w:bottom w:val="single" w:sz="4" w:space="0" w:color="999999"/>
            </w:tcBorders>
          </w:tcPr>
          <w:p w14:paraId="3980D69E" w14:textId="77777777" w:rsidR="00894381" w:rsidRPr="00894381" w:rsidRDefault="00894381" w:rsidP="00645CB5">
            <w:pPr>
              <w:rPr>
                <w:rFonts w:cs="Arial"/>
                <w:sz w:val="18"/>
                <w:szCs w:val="18"/>
              </w:rPr>
            </w:pPr>
            <w:r w:rsidRPr="00894381">
              <w:rPr>
                <w:rFonts w:cs="Arial"/>
                <w:sz w:val="18"/>
                <w:szCs w:val="18"/>
              </w:rPr>
              <w:t>FCO</w:t>
            </w:r>
          </w:p>
        </w:tc>
        <w:tc>
          <w:tcPr>
            <w:tcW w:w="3969" w:type="dxa"/>
            <w:tcBorders>
              <w:top w:val="single" w:sz="4" w:space="0" w:color="999999"/>
              <w:bottom w:val="single" w:sz="4" w:space="0" w:color="999999"/>
            </w:tcBorders>
            <w:shd w:val="clear" w:color="auto" w:fill="auto"/>
          </w:tcPr>
          <w:p w14:paraId="1EB64670" w14:textId="77777777" w:rsidR="00894381" w:rsidRPr="00894381" w:rsidRDefault="00894381" w:rsidP="00894381">
            <w:pPr>
              <w:jc w:val="center"/>
              <w:rPr>
                <w:rFonts w:cs="Arial"/>
                <w:sz w:val="18"/>
                <w:szCs w:val="18"/>
              </w:rPr>
            </w:pPr>
            <w:r w:rsidRPr="00894381">
              <w:rPr>
                <w:rFonts w:cs="Arial"/>
                <w:sz w:val="18"/>
                <w:szCs w:val="18"/>
              </w:rPr>
              <w:t>49.0</w:t>
            </w:r>
          </w:p>
        </w:tc>
      </w:tr>
      <w:tr w:rsidR="00894381" w:rsidRPr="008A4655" w14:paraId="712BD666" w14:textId="77777777" w:rsidTr="00645CB5">
        <w:trPr>
          <w:cantSplit/>
          <w:trHeight w:val="360"/>
        </w:trPr>
        <w:tc>
          <w:tcPr>
            <w:tcW w:w="5245" w:type="dxa"/>
            <w:tcBorders>
              <w:top w:val="single" w:sz="4" w:space="0" w:color="999999"/>
              <w:bottom w:val="single" w:sz="4" w:space="0" w:color="999999"/>
            </w:tcBorders>
          </w:tcPr>
          <w:p w14:paraId="41F89105" w14:textId="77777777" w:rsidR="00894381" w:rsidRPr="00894381" w:rsidRDefault="00894381" w:rsidP="00645CB5">
            <w:pPr>
              <w:rPr>
                <w:rFonts w:cs="Arial"/>
                <w:sz w:val="18"/>
                <w:szCs w:val="18"/>
              </w:rPr>
            </w:pPr>
            <w:r w:rsidRPr="00894381">
              <w:rPr>
                <w:rFonts w:cs="Arial"/>
                <w:sz w:val="18"/>
                <w:szCs w:val="18"/>
              </w:rPr>
              <w:t xml:space="preserve">ATOD </w:t>
            </w:r>
          </w:p>
        </w:tc>
        <w:tc>
          <w:tcPr>
            <w:tcW w:w="3969" w:type="dxa"/>
            <w:tcBorders>
              <w:top w:val="single" w:sz="4" w:space="0" w:color="999999"/>
              <w:bottom w:val="single" w:sz="4" w:space="0" w:color="999999"/>
            </w:tcBorders>
            <w:shd w:val="clear" w:color="auto" w:fill="auto"/>
          </w:tcPr>
          <w:p w14:paraId="77E04108" w14:textId="77777777" w:rsidR="00894381" w:rsidRPr="00894381" w:rsidRDefault="00894381" w:rsidP="00894381">
            <w:pPr>
              <w:jc w:val="center"/>
              <w:rPr>
                <w:rFonts w:cs="Arial"/>
                <w:sz w:val="18"/>
                <w:szCs w:val="18"/>
              </w:rPr>
            </w:pPr>
            <w:r w:rsidRPr="00894381">
              <w:rPr>
                <w:rFonts w:cs="Arial"/>
                <w:sz w:val="18"/>
                <w:szCs w:val="18"/>
              </w:rPr>
              <w:t>123.3</w:t>
            </w:r>
          </w:p>
        </w:tc>
      </w:tr>
      <w:tr w:rsidR="00894381" w:rsidRPr="008A4655" w14:paraId="2105C6F1" w14:textId="77777777" w:rsidTr="00645CB5">
        <w:trPr>
          <w:cantSplit/>
          <w:trHeight w:val="360"/>
        </w:trPr>
        <w:tc>
          <w:tcPr>
            <w:tcW w:w="5245" w:type="dxa"/>
            <w:tcBorders>
              <w:top w:val="single" w:sz="4" w:space="0" w:color="999999"/>
              <w:bottom w:val="single" w:sz="4" w:space="0" w:color="000000"/>
            </w:tcBorders>
          </w:tcPr>
          <w:p w14:paraId="39CD090E" w14:textId="77777777" w:rsidR="00894381" w:rsidRPr="00894381" w:rsidRDefault="00894381" w:rsidP="00645CB5">
            <w:pPr>
              <w:rPr>
                <w:rFonts w:cs="Arial"/>
                <w:sz w:val="18"/>
                <w:szCs w:val="18"/>
              </w:rPr>
            </w:pPr>
            <w:r w:rsidRPr="00894381">
              <w:rPr>
                <w:rFonts w:cs="Arial"/>
                <w:sz w:val="18"/>
                <w:szCs w:val="18"/>
              </w:rPr>
              <w:t>FTO</w:t>
            </w:r>
          </w:p>
        </w:tc>
        <w:tc>
          <w:tcPr>
            <w:tcW w:w="3969" w:type="dxa"/>
            <w:tcBorders>
              <w:top w:val="single" w:sz="4" w:space="0" w:color="999999"/>
              <w:bottom w:val="single" w:sz="4" w:space="0" w:color="000000"/>
            </w:tcBorders>
            <w:shd w:val="clear" w:color="auto" w:fill="auto"/>
          </w:tcPr>
          <w:p w14:paraId="09E13DA0" w14:textId="77777777" w:rsidR="00894381" w:rsidRPr="00894381" w:rsidRDefault="00894381" w:rsidP="00894381">
            <w:pPr>
              <w:jc w:val="center"/>
              <w:rPr>
                <w:rFonts w:cs="Arial"/>
                <w:sz w:val="18"/>
                <w:szCs w:val="18"/>
              </w:rPr>
            </w:pPr>
            <w:r w:rsidRPr="00894381">
              <w:rPr>
                <w:rFonts w:cs="Arial"/>
                <w:sz w:val="18"/>
                <w:szCs w:val="18"/>
              </w:rPr>
              <w:t>0.8</w:t>
            </w:r>
          </w:p>
        </w:tc>
      </w:tr>
    </w:tbl>
    <w:p w14:paraId="75ADDEA5" w14:textId="77777777" w:rsidR="00894381" w:rsidRPr="00E529C5" w:rsidRDefault="00894381" w:rsidP="002E5C3F">
      <w:pPr>
        <w:rPr>
          <w:lang w:val="en-AU"/>
        </w:rPr>
      </w:pPr>
    </w:p>
    <w:p w14:paraId="2A434AA4" w14:textId="77777777" w:rsidR="00EC79AB" w:rsidRPr="00EC79AB" w:rsidRDefault="00EC79AB" w:rsidP="00EC79AB">
      <w:pPr>
        <w:pStyle w:val="UtilComHeading3"/>
        <w:rPr>
          <w:lang w:val="en-AU"/>
        </w:rPr>
      </w:pPr>
      <w:r w:rsidRPr="00EC79AB">
        <w:rPr>
          <w:lang w:val="en-AU"/>
        </w:rPr>
        <w:t>Guaranteed Service Level Code</w:t>
      </w:r>
    </w:p>
    <w:p w14:paraId="7293423A" w14:textId="6134B865" w:rsidR="00EC79AB" w:rsidRPr="00EC79AB" w:rsidRDefault="00EC79AB" w:rsidP="00A806E4">
      <w:pPr>
        <w:pStyle w:val="NumberLevel2"/>
        <w:numPr>
          <w:ilvl w:val="1"/>
          <w:numId w:val="5"/>
        </w:numPr>
        <w:tabs>
          <w:tab w:val="left" w:pos="709"/>
        </w:tabs>
        <w:ind w:left="709" w:hanging="709"/>
        <w:rPr>
          <w:lang w:val="en-AU"/>
        </w:rPr>
      </w:pPr>
      <w:r w:rsidRPr="00EC79AB">
        <w:rPr>
          <w:lang w:val="en-AU"/>
        </w:rPr>
        <w:t xml:space="preserve">In late 2011, the Commission made a GSL Code to set out the arrangements for payments by </w:t>
      </w:r>
      <w:r w:rsidR="00A43F6D">
        <w:rPr>
          <w:lang w:val="en-AU"/>
        </w:rPr>
        <w:t>PWC Networks</w:t>
      </w:r>
      <w:r w:rsidRPr="00EC79AB">
        <w:rPr>
          <w:lang w:val="en-AU"/>
        </w:rPr>
        <w:t xml:space="preserve"> to small </w:t>
      </w:r>
      <w:r w:rsidR="00A43F6D">
        <w:rPr>
          <w:lang w:val="en-AU"/>
        </w:rPr>
        <w:t xml:space="preserve">retail </w:t>
      </w:r>
      <w:r w:rsidRPr="00EC79AB">
        <w:rPr>
          <w:lang w:val="en-AU"/>
        </w:rPr>
        <w:t xml:space="preserve">customers who receive poor levels of service. </w:t>
      </w:r>
    </w:p>
    <w:p w14:paraId="1660A44F" w14:textId="77777777" w:rsidR="00EC79AB" w:rsidRPr="00EC79AB" w:rsidRDefault="00EC79AB" w:rsidP="006A69F0">
      <w:pPr>
        <w:pStyle w:val="NumberLevel2"/>
        <w:numPr>
          <w:ilvl w:val="1"/>
          <w:numId w:val="5"/>
        </w:numPr>
        <w:tabs>
          <w:tab w:val="num" w:pos="709"/>
        </w:tabs>
        <w:ind w:left="709" w:hanging="709"/>
        <w:rPr>
          <w:lang w:val="en-AU"/>
        </w:rPr>
      </w:pPr>
      <w:r w:rsidRPr="00EC79AB">
        <w:rPr>
          <w:lang w:val="en-AU"/>
        </w:rPr>
        <w:t xml:space="preserve">The </w:t>
      </w:r>
      <w:r>
        <w:rPr>
          <w:lang w:val="en-AU"/>
        </w:rPr>
        <w:t xml:space="preserve">GSL </w:t>
      </w:r>
      <w:r w:rsidRPr="00EC79AB">
        <w:rPr>
          <w:lang w:val="en-AU"/>
        </w:rPr>
        <w:t>Code is based on the recommendations arising from the Review of Options for Implementation of a Customer Service Incentive Scheme for Northern Territory Electricity Customers</w:t>
      </w:r>
      <w:r w:rsidR="002E5C3F">
        <w:rPr>
          <w:rStyle w:val="FootnoteReference"/>
          <w:lang w:val="en-AU"/>
        </w:rPr>
        <w:footnoteReference w:id="48"/>
      </w:r>
      <w:r w:rsidRPr="00EC79AB">
        <w:rPr>
          <w:lang w:val="en-AU"/>
        </w:rPr>
        <w:t xml:space="preserve"> and consultation with electricity industry participants. </w:t>
      </w:r>
    </w:p>
    <w:p w14:paraId="148C1A22" w14:textId="254310CD" w:rsidR="00EC79AB" w:rsidRPr="00EC79AB" w:rsidRDefault="00EC79AB" w:rsidP="006A69F0">
      <w:pPr>
        <w:pStyle w:val="NumberLevel2"/>
        <w:numPr>
          <w:ilvl w:val="1"/>
          <w:numId w:val="5"/>
        </w:numPr>
        <w:tabs>
          <w:tab w:val="num" w:pos="709"/>
        </w:tabs>
        <w:ind w:left="709" w:hanging="709"/>
        <w:rPr>
          <w:lang w:val="en-AU"/>
        </w:rPr>
      </w:pPr>
      <w:r w:rsidRPr="00EC79AB">
        <w:rPr>
          <w:lang w:val="en-AU"/>
        </w:rPr>
        <w:t>All Australian jurisdictions have established GSL schemes for electricity network service performance, although the services subject to penalty payments and the applicable payment levels vary widely.</w:t>
      </w:r>
    </w:p>
    <w:p w14:paraId="5DD33D00" w14:textId="77777777" w:rsidR="00EC79AB" w:rsidRPr="00EC79AB" w:rsidRDefault="00EC79AB" w:rsidP="006A69F0">
      <w:pPr>
        <w:pStyle w:val="NumberLevel2"/>
        <w:numPr>
          <w:ilvl w:val="1"/>
          <w:numId w:val="5"/>
        </w:numPr>
        <w:tabs>
          <w:tab w:val="num" w:pos="709"/>
        </w:tabs>
        <w:ind w:left="709" w:hanging="709"/>
        <w:rPr>
          <w:lang w:val="en-AU"/>
        </w:rPr>
      </w:pPr>
      <w:r w:rsidRPr="00EC79AB">
        <w:rPr>
          <w:lang w:val="en-AU"/>
        </w:rPr>
        <w:t xml:space="preserve">The GSL Code took effect from 1 January 2012, with a staged approach to the implementation of payments for various service performance measures. The </w:t>
      </w:r>
      <w:r w:rsidR="00A243A1">
        <w:rPr>
          <w:lang w:val="en-AU"/>
        </w:rPr>
        <w:t>GSL </w:t>
      </w:r>
      <w:r w:rsidRPr="00EC79AB">
        <w:rPr>
          <w:lang w:val="en-AU"/>
        </w:rPr>
        <w:t xml:space="preserve">Code </w:t>
      </w:r>
      <w:r w:rsidR="00D5724E">
        <w:rPr>
          <w:lang w:val="en-AU"/>
        </w:rPr>
        <w:t>came into full force</w:t>
      </w:r>
      <w:r w:rsidR="00BE147B">
        <w:rPr>
          <w:lang w:val="en-AU"/>
        </w:rPr>
        <w:t xml:space="preserve"> </w:t>
      </w:r>
      <w:r w:rsidRPr="00EC79AB">
        <w:rPr>
          <w:lang w:val="en-AU"/>
        </w:rPr>
        <w:t>on 1 July 2012.</w:t>
      </w:r>
    </w:p>
    <w:p w14:paraId="0BD8211D" w14:textId="18E8434B" w:rsidR="00EC79AB" w:rsidRPr="00EC79AB" w:rsidRDefault="00EC79AB" w:rsidP="006A69F0">
      <w:pPr>
        <w:pStyle w:val="NumberLevel2"/>
        <w:numPr>
          <w:ilvl w:val="1"/>
          <w:numId w:val="5"/>
        </w:numPr>
        <w:tabs>
          <w:tab w:val="num" w:pos="709"/>
        </w:tabs>
        <w:ind w:left="709" w:hanging="709"/>
        <w:rPr>
          <w:lang w:val="en-AU"/>
        </w:rPr>
      </w:pPr>
      <w:r w:rsidRPr="00EC79AB">
        <w:rPr>
          <w:lang w:val="en-AU"/>
        </w:rPr>
        <w:t xml:space="preserve">The GSL Code applies to </w:t>
      </w:r>
      <w:r w:rsidR="00A43F6D">
        <w:rPr>
          <w:lang w:val="en-AU"/>
        </w:rPr>
        <w:t xml:space="preserve">retail </w:t>
      </w:r>
      <w:r w:rsidRPr="00EC79AB">
        <w:rPr>
          <w:lang w:val="en-AU"/>
        </w:rPr>
        <w:t>customers using less than 160</w:t>
      </w:r>
      <w:r w:rsidR="00A43F6D">
        <w:rPr>
          <w:lang w:val="en-AU"/>
        </w:rPr>
        <w:t> </w:t>
      </w:r>
      <w:r w:rsidRPr="00EC79AB">
        <w:rPr>
          <w:lang w:val="en-AU"/>
        </w:rPr>
        <w:t xml:space="preserve">MWh per year in the </w:t>
      </w:r>
      <w:r w:rsidR="00A43F6D">
        <w:rPr>
          <w:lang w:val="en-AU"/>
        </w:rPr>
        <w:t>electricity</w:t>
      </w:r>
      <w:r w:rsidR="00A43F6D" w:rsidRPr="00EC79AB">
        <w:rPr>
          <w:lang w:val="en-AU"/>
        </w:rPr>
        <w:t xml:space="preserve"> </w:t>
      </w:r>
      <w:r w:rsidRPr="00EC79AB">
        <w:rPr>
          <w:lang w:val="en-AU"/>
        </w:rPr>
        <w:t xml:space="preserve">networks of Darwin-Katherine, Alice Springs and Tennant Creek.  </w:t>
      </w:r>
    </w:p>
    <w:p w14:paraId="7D7B0F87" w14:textId="216A5E47" w:rsidR="00EC79AB" w:rsidRPr="00EC79AB" w:rsidRDefault="00EC79AB" w:rsidP="006A69F0">
      <w:pPr>
        <w:pStyle w:val="NumberLevel2"/>
        <w:numPr>
          <w:ilvl w:val="1"/>
          <w:numId w:val="5"/>
        </w:numPr>
        <w:tabs>
          <w:tab w:val="num" w:pos="709"/>
        </w:tabs>
        <w:ind w:left="709" w:hanging="709"/>
        <w:rPr>
          <w:lang w:val="en-AU"/>
        </w:rPr>
      </w:pPr>
      <w:r w:rsidRPr="00EC79AB">
        <w:rPr>
          <w:lang w:val="en-AU"/>
        </w:rPr>
        <w:t xml:space="preserve">Under the GSL Code, if PWC Networks does not meet the guaranteed service levels as specified in the GSL Code, PWC Networks must make a GSL payment to the eligible small </w:t>
      </w:r>
      <w:r w:rsidR="00A43F6D">
        <w:rPr>
          <w:lang w:val="en-AU"/>
        </w:rPr>
        <w:t xml:space="preserve">retail </w:t>
      </w:r>
      <w:r w:rsidRPr="00EC79AB">
        <w:rPr>
          <w:lang w:val="en-AU"/>
        </w:rPr>
        <w:t xml:space="preserve">customer </w:t>
      </w:r>
      <w:r>
        <w:rPr>
          <w:lang w:val="en-AU"/>
        </w:rPr>
        <w:t>in accordance with the GSL Code.</w:t>
      </w:r>
    </w:p>
    <w:p w14:paraId="750F9E82" w14:textId="08AF8EF5" w:rsidR="00CF1D30" w:rsidRPr="005A1C58" w:rsidRDefault="00CF1D30" w:rsidP="006A69F0">
      <w:pPr>
        <w:pStyle w:val="NumberLevel2"/>
        <w:numPr>
          <w:ilvl w:val="1"/>
          <w:numId w:val="5"/>
        </w:numPr>
        <w:tabs>
          <w:tab w:val="num" w:pos="709"/>
        </w:tabs>
        <w:ind w:left="709" w:hanging="709"/>
        <w:rPr>
          <w:lang w:val="en-AU"/>
        </w:rPr>
      </w:pPr>
      <w:r>
        <w:rPr>
          <w:lang w:val="en-AU"/>
        </w:rPr>
        <w:t xml:space="preserve">While </w:t>
      </w:r>
      <w:r w:rsidRPr="00EC79AB">
        <w:rPr>
          <w:lang w:val="en-AU"/>
        </w:rPr>
        <w:t xml:space="preserve">GSL schemes are designed to provide an incentive for a network </w:t>
      </w:r>
      <w:r w:rsidR="00900CC9">
        <w:rPr>
          <w:lang w:val="en-AU"/>
        </w:rPr>
        <w:t xml:space="preserve">service </w:t>
      </w:r>
      <w:r w:rsidRPr="00EC79AB">
        <w:rPr>
          <w:lang w:val="en-AU"/>
        </w:rPr>
        <w:t xml:space="preserve">provider to improve service to its </w:t>
      </w:r>
      <w:r w:rsidR="00A243A1" w:rsidRPr="00EC79AB">
        <w:rPr>
          <w:lang w:val="en-AU"/>
        </w:rPr>
        <w:t>worst</w:t>
      </w:r>
      <w:r w:rsidR="00A243A1">
        <w:rPr>
          <w:lang w:val="en-AU"/>
        </w:rPr>
        <w:t>-</w:t>
      </w:r>
      <w:r w:rsidRPr="00EC79AB">
        <w:rPr>
          <w:lang w:val="en-AU"/>
        </w:rPr>
        <w:t xml:space="preserve">served </w:t>
      </w:r>
      <w:r w:rsidR="00A43F6D">
        <w:rPr>
          <w:lang w:val="en-AU"/>
        </w:rPr>
        <w:t xml:space="preserve">retail </w:t>
      </w:r>
      <w:r w:rsidRPr="00EC79AB">
        <w:rPr>
          <w:lang w:val="en-AU"/>
        </w:rPr>
        <w:t>customers</w:t>
      </w:r>
      <w:r>
        <w:rPr>
          <w:lang w:val="en-AU"/>
        </w:rPr>
        <w:t xml:space="preserve">, reliability expenditure is fundamentally driven by the need to meet average targets across all </w:t>
      </w:r>
      <w:r w:rsidR="00A43F6D">
        <w:rPr>
          <w:lang w:val="en-AU"/>
        </w:rPr>
        <w:t xml:space="preserve">retail </w:t>
      </w:r>
      <w:r>
        <w:rPr>
          <w:lang w:val="en-AU"/>
        </w:rPr>
        <w:t xml:space="preserve">customers connected to </w:t>
      </w:r>
      <w:r w:rsidR="00A43F6D">
        <w:rPr>
          <w:lang w:val="en-AU"/>
        </w:rPr>
        <w:t xml:space="preserve">an electricity </w:t>
      </w:r>
      <w:r>
        <w:rPr>
          <w:lang w:val="en-AU"/>
        </w:rPr>
        <w:t>network. A network service provider can be fully compliant with average reliability standards and still be required to make payments under a GSL scheme, as there will inevitably be poor</w:t>
      </w:r>
      <w:r w:rsidR="00900CC9">
        <w:rPr>
          <w:lang w:val="en-AU"/>
        </w:rPr>
        <w:t>er</w:t>
      </w:r>
      <w:r>
        <w:rPr>
          <w:lang w:val="en-AU"/>
        </w:rPr>
        <w:t xml:space="preserve"> outcomes for</w:t>
      </w:r>
      <w:r w:rsidR="00900CC9">
        <w:rPr>
          <w:lang w:val="en-AU"/>
        </w:rPr>
        <w:t xml:space="preserve"> some</w:t>
      </w:r>
      <w:r>
        <w:rPr>
          <w:lang w:val="en-AU"/>
        </w:rPr>
        <w:t xml:space="preserve"> individual </w:t>
      </w:r>
      <w:r w:rsidR="00A43F6D">
        <w:rPr>
          <w:lang w:val="en-AU"/>
        </w:rPr>
        <w:t xml:space="preserve">retail </w:t>
      </w:r>
      <w:r>
        <w:rPr>
          <w:lang w:val="en-AU"/>
        </w:rPr>
        <w:t xml:space="preserve">customers. </w:t>
      </w:r>
    </w:p>
    <w:p w14:paraId="7340D3CA" w14:textId="7132D4D4" w:rsidR="00EC79AB" w:rsidRDefault="00EC79AB" w:rsidP="006A69F0">
      <w:pPr>
        <w:pStyle w:val="NumberLevel2"/>
        <w:numPr>
          <w:ilvl w:val="1"/>
          <w:numId w:val="5"/>
        </w:numPr>
        <w:tabs>
          <w:tab w:val="num" w:pos="709"/>
        </w:tabs>
        <w:ind w:left="709" w:hanging="709"/>
        <w:rPr>
          <w:lang w:val="en-AU"/>
        </w:rPr>
      </w:pPr>
      <w:r w:rsidRPr="00EC79AB">
        <w:rPr>
          <w:lang w:val="en-AU"/>
        </w:rPr>
        <w:t>The GSL Code set</w:t>
      </w:r>
      <w:r w:rsidR="00D5724E">
        <w:rPr>
          <w:lang w:val="en-AU"/>
        </w:rPr>
        <w:t>s</w:t>
      </w:r>
      <w:r w:rsidRPr="00EC79AB">
        <w:rPr>
          <w:lang w:val="en-AU"/>
        </w:rPr>
        <w:t xml:space="preserve"> payments from PWC Networks to an eligible </w:t>
      </w:r>
      <w:r w:rsidR="00A43F6D">
        <w:rPr>
          <w:lang w:val="en-AU"/>
        </w:rPr>
        <w:t xml:space="preserve">retail </w:t>
      </w:r>
      <w:r w:rsidRPr="00EC79AB">
        <w:rPr>
          <w:lang w:val="en-AU"/>
        </w:rPr>
        <w:t xml:space="preserve">customer </w:t>
      </w:r>
      <w:r w:rsidR="00A243A1">
        <w:rPr>
          <w:lang w:val="en-AU"/>
        </w:rPr>
        <w:t>who has</w:t>
      </w:r>
      <w:r w:rsidRPr="00EC79AB">
        <w:rPr>
          <w:lang w:val="en-AU"/>
        </w:rPr>
        <w:t xml:space="preserve"> experienced exceptionally poor service. GSL payments are not intended to be compensation but rather some recognition for poor service. </w:t>
      </w:r>
      <w:r w:rsidR="004850F7">
        <w:rPr>
          <w:lang w:val="en-AU"/>
        </w:rPr>
        <w:t xml:space="preserve"> </w:t>
      </w:r>
    </w:p>
    <w:p w14:paraId="78252A43" w14:textId="77777777" w:rsidR="00ED42D9" w:rsidRDefault="00EC79AB" w:rsidP="006A69F0">
      <w:pPr>
        <w:pStyle w:val="NumberLevel2"/>
        <w:numPr>
          <w:ilvl w:val="1"/>
          <w:numId w:val="5"/>
        </w:numPr>
        <w:tabs>
          <w:tab w:val="num" w:pos="709"/>
        </w:tabs>
        <w:ind w:left="709" w:hanging="709"/>
        <w:rPr>
          <w:lang w:val="en-AU"/>
        </w:rPr>
      </w:pPr>
      <w:r w:rsidRPr="00EC79AB">
        <w:rPr>
          <w:lang w:val="en-AU"/>
        </w:rPr>
        <w:t xml:space="preserve">GSL schemes are generally funded through the operational costs of a network </w:t>
      </w:r>
      <w:r w:rsidR="00A56082">
        <w:rPr>
          <w:lang w:val="en-AU"/>
        </w:rPr>
        <w:t xml:space="preserve">service </w:t>
      </w:r>
      <w:r w:rsidRPr="00EC79AB">
        <w:rPr>
          <w:lang w:val="en-AU"/>
        </w:rPr>
        <w:t xml:space="preserve">provider and approved by the </w:t>
      </w:r>
      <w:r w:rsidR="00ED42D9">
        <w:rPr>
          <w:lang w:val="en-AU"/>
        </w:rPr>
        <w:t xml:space="preserve">relevant </w:t>
      </w:r>
      <w:r w:rsidRPr="00EC79AB">
        <w:rPr>
          <w:lang w:val="en-AU"/>
        </w:rPr>
        <w:t xml:space="preserve">regulator through network </w:t>
      </w:r>
      <w:r w:rsidR="008936F5">
        <w:rPr>
          <w:lang w:val="en-AU"/>
        </w:rPr>
        <w:t xml:space="preserve">price </w:t>
      </w:r>
      <w:r w:rsidRPr="00EC79AB">
        <w:rPr>
          <w:lang w:val="en-AU"/>
        </w:rPr>
        <w:t>determination</w:t>
      </w:r>
      <w:r w:rsidR="00BE147B">
        <w:rPr>
          <w:lang w:val="en-AU"/>
        </w:rPr>
        <w:t>s</w:t>
      </w:r>
      <w:r w:rsidRPr="00EC79AB">
        <w:rPr>
          <w:lang w:val="en-AU"/>
        </w:rPr>
        <w:t xml:space="preserve">. The cost of the scheme is therefore borne by the network </w:t>
      </w:r>
      <w:r w:rsidR="00A56082">
        <w:rPr>
          <w:lang w:val="en-AU"/>
        </w:rPr>
        <w:t xml:space="preserve">service </w:t>
      </w:r>
      <w:r w:rsidRPr="00EC79AB">
        <w:rPr>
          <w:lang w:val="en-AU"/>
        </w:rPr>
        <w:t xml:space="preserve">provider’s customer base. </w:t>
      </w:r>
    </w:p>
    <w:p w14:paraId="1909E23F" w14:textId="4BBD67B5" w:rsidR="00EC79AB" w:rsidRDefault="00ED42D9" w:rsidP="006A69F0">
      <w:pPr>
        <w:pStyle w:val="NumberLevel2"/>
        <w:numPr>
          <w:ilvl w:val="1"/>
          <w:numId w:val="5"/>
        </w:numPr>
        <w:tabs>
          <w:tab w:val="num" w:pos="709"/>
        </w:tabs>
        <w:ind w:left="709" w:hanging="709"/>
        <w:rPr>
          <w:lang w:val="en-AU"/>
        </w:rPr>
      </w:pPr>
      <w:r>
        <w:rPr>
          <w:lang w:val="en-AU"/>
        </w:rPr>
        <w:t xml:space="preserve">The level of funding for GSL payments for PWC Networks for the 2014-19 regulatory control period is discussed in Chapter 10. </w:t>
      </w:r>
      <w:r w:rsidR="00EC79AB" w:rsidRPr="00EC79AB">
        <w:rPr>
          <w:lang w:val="en-AU"/>
        </w:rPr>
        <w:t xml:space="preserve">Should the total actual GSL payments made over the </w:t>
      </w:r>
      <w:r>
        <w:rPr>
          <w:lang w:val="en-AU"/>
        </w:rPr>
        <w:t xml:space="preserve">2014-19 </w:t>
      </w:r>
      <w:r w:rsidR="00EC79AB" w:rsidRPr="00EC79AB">
        <w:rPr>
          <w:lang w:val="en-AU"/>
        </w:rPr>
        <w:t xml:space="preserve">regulatory </w:t>
      </w:r>
      <w:r w:rsidR="001F0FFB">
        <w:rPr>
          <w:lang w:val="en-AU"/>
        </w:rPr>
        <w:t xml:space="preserve">control </w:t>
      </w:r>
      <w:r w:rsidR="00EC79AB" w:rsidRPr="00EC79AB">
        <w:rPr>
          <w:lang w:val="en-AU"/>
        </w:rPr>
        <w:t xml:space="preserve">period be below or above the estimated provision approved by </w:t>
      </w:r>
      <w:r>
        <w:rPr>
          <w:lang w:val="en-AU"/>
        </w:rPr>
        <w:t>Commission</w:t>
      </w:r>
      <w:r w:rsidR="00EC79AB" w:rsidRPr="00EC79AB">
        <w:rPr>
          <w:lang w:val="en-AU"/>
        </w:rPr>
        <w:t xml:space="preserve">, </w:t>
      </w:r>
      <w:r>
        <w:rPr>
          <w:lang w:val="en-AU"/>
        </w:rPr>
        <w:t>PWC Networks will</w:t>
      </w:r>
      <w:r w:rsidR="00EC79AB" w:rsidRPr="00EC79AB">
        <w:rPr>
          <w:lang w:val="en-AU"/>
        </w:rPr>
        <w:t xml:space="preserve"> retain or absorb the difference.</w:t>
      </w:r>
      <w:r w:rsidR="004850F7">
        <w:rPr>
          <w:lang w:val="en-AU"/>
        </w:rPr>
        <w:t xml:space="preserve"> </w:t>
      </w:r>
    </w:p>
    <w:p w14:paraId="2B395A16" w14:textId="77777777" w:rsidR="007B1EBC" w:rsidRPr="007B1EBC" w:rsidRDefault="007B1EBC" w:rsidP="007B1EBC">
      <w:pPr>
        <w:pStyle w:val="UtilComHeading3"/>
        <w:rPr>
          <w:lang w:val="en-AU"/>
        </w:rPr>
      </w:pPr>
      <w:r w:rsidRPr="007B1EBC">
        <w:rPr>
          <w:lang w:val="en-AU"/>
        </w:rPr>
        <w:t>National Electricity Rules</w:t>
      </w:r>
    </w:p>
    <w:p w14:paraId="5241D79B" w14:textId="34060B22"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Under the NER, accountability for delivering distribution services lies with the applicable </w:t>
      </w:r>
      <w:r w:rsidR="00570B39">
        <w:rPr>
          <w:lang w:val="en-AU"/>
        </w:rPr>
        <w:t>DNSP</w:t>
      </w:r>
      <w:r w:rsidRPr="007B1EBC">
        <w:rPr>
          <w:lang w:val="en-AU"/>
        </w:rPr>
        <w:t xml:space="preserve">. The AER, through its service target performance </w:t>
      </w:r>
      <w:r w:rsidR="00570B39">
        <w:rPr>
          <w:lang w:val="en-AU"/>
        </w:rPr>
        <w:t xml:space="preserve">incentive </w:t>
      </w:r>
      <w:r w:rsidRPr="007B1EBC">
        <w:rPr>
          <w:lang w:val="en-AU"/>
        </w:rPr>
        <w:t xml:space="preserve">scheme and efficiency benefit sharing scheme, places incentives on </w:t>
      </w:r>
      <w:r w:rsidR="00570B39">
        <w:rPr>
          <w:lang w:val="en-AU"/>
        </w:rPr>
        <w:t>DNSPs</w:t>
      </w:r>
      <w:r w:rsidRPr="007B1EBC">
        <w:rPr>
          <w:lang w:val="en-AU"/>
        </w:rPr>
        <w:t xml:space="preserve"> to improve distribution system reliability to all </w:t>
      </w:r>
      <w:r w:rsidR="00570B39">
        <w:rPr>
          <w:lang w:val="en-AU"/>
        </w:rPr>
        <w:t xml:space="preserve">retail </w:t>
      </w:r>
      <w:r w:rsidRPr="007B1EBC">
        <w:rPr>
          <w:lang w:val="en-AU"/>
        </w:rPr>
        <w:t>customers. The scheme</w:t>
      </w:r>
      <w:r w:rsidR="00570B39">
        <w:rPr>
          <w:lang w:val="en-AU"/>
        </w:rPr>
        <w:t>s</w:t>
      </w:r>
      <w:r w:rsidRPr="007B1EBC">
        <w:rPr>
          <w:lang w:val="en-AU"/>
        </w:rPr>
        <w:t xml:space="preserve"> aim to ensure that any cost savings achieved by a </w:t>
      </w:r>
      <w:r w:rsidR="00570B39">
        <w:rPr>
          <w:lang w:val="en-AU"/>
        </w:rPr>
        <w:t>DNSP</w:t>
      </w:r>
      <w:r w:rsidRPr="007B1EBC">
        <w:rPr>
          <w:lang w:val="en-AU"/>
        </w:rPr>
        <w:t xml:space="preserve"> during a regulatory control period do not come at the expense of service standards. In addition, the AER’s demand management </w:t>
      </w:r>
      <w:r w:rsidR="00570B39">
        <w:rPr>
          <w:lang w:val="en-AU"/>
        </w:rPr>
        <w:t xml:space="preserve">and embedded generation </w:t>
      </w:r>
      <w:r w:rsidRPr="007B1EBC">
        <w:rPr>
          <w:lang w:val="en-AU"/>
        </w:rPr>
        <w:t xml:space="preserve">incentive scheme provides </w:t>
      </w:r>
      <w:r w:rsidR="00570B39">
        <w:rPr>
          <w:lang w:val="en-AU"/>
        </w:rPr>
        <w:t>DNSPs</w:t>
      </w:r>
      <w:r w:rsidRPr="007B1EBC">
        <w:rPr>
          <w:lang w:val="en-AU"/>
        </w:rPr>
        <w:t xml:space="preserve"> with additional incentives to </w:t>
      </w:r>
      <w:r w:rsidR="00BE147B">
        <w:rPr>
          <w:lang w:val="en-AU"/>
        </w:rPr>
        <w:t xml:space="preserve">manage </w:t>
      </w:r>
      <w:r w:rsidRPr="007B1EBC">
        <w:rPr>
          <w:lang w:val="en-AU"/>
        </w:rPr>
        <w:t>demand.</w:t>
      </w:r>
    </w:p>
    <w:p w14:paraId="42F93870" w14:textId="57941DD1"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The AER published its </w:t>
      </w:r>
      <w:r w:rsidR="00570B39">
        <w:rPr>
          <w:lang w:val="en-AU"/>
        </w:rPr>
        <w:t xml:space="preserve">first </w:t>
      </w:r>
      <w:r w:rsidR="006B6ED7">
        <w:rPr>
          <w:lang w:val="en-AU"/>
        </w:rPr>
        <w:t>s</w:t>
      </w:r>
      <w:r w:rsidRPr="007B1EBC">
        <w:rPr>
          <w:lang w:val="en-AU"/>
        </w:rPr>
        <w:t xml:space="preserve">ervice </w:t>
      </w:r>
      <w:r w:rsidR="006B6ED7">
        <w:rPr>
          <w:lang w:val="en-AU"/>
        </w:rPr>
        <w:t>t</w:t>
      </w:r>
      <w:r w:rsidRPr="007B1EBC">
        <w:rPr>
          <w:lang w:val="en-AU"/>
        </w:rPr>
        <w:t xml:space="preserve">arget </w:t>
      </w:r>
      <w:r w:rsidR="006B6ED7">
        <w:rPr>
          <w:lang w:val="en-AU"/>
        </w:rPr>
        <w:t>p</w:t>
      </w:r>
      <w:r w:rsidRPr="007B1EBC">
        <w:rPr>
          <w:lang w:val="en-AU"/>
        </w:rPr>
        <w:t xml:space="preserve">erformance </w:t>
      </w:r>
      <w:r w:rsidR="006B6ED7">
        <w:rPr>
          <w:lang w:val="en-AU"/>
        </w:rPr>
        <w:t>i</w:t>
      </w:r>
      <w:r w:rsidRPr="007B1EBC">
        <w:rPr>
          <w:lang w:val="en-AU"/>
        </w:rPr>
        <w:t xml:space="preserve">ncentive </w:t>
      </w:r>
      <w:r w:rsidR="006B6ED7">
        <w:rPr>
          <w:lang w:val="en-AU"/>
        </w:rPr>
        <w:t>s</w:t>
      </w:r>
      <w:r w:rsidRPr="007B1EBC">
        <w:rPr>
          <w:lang w:val="en-AU"/>
        </w:rPr>
        <w:t xml:space="preserve">cheme in </w:t>
      </w:r>
      <w:r w:rsidR="00A243A1" w:rsidRPr="007B1EBC">
        <w:rPr>
          <w:lang w:val="en-AU"/>
        </w:rPr>
        <w:t>June</w:t>
      </w:r>
      <w:r w:rsidR="00A243A1">
        <w:rPr>
          <w:lang w:val="en-AU"/>
        </w:rPr>
        <w:t> </w:t>
      </w:r>
      <w:r w:rsidRPr="007B1EBC">
        <w:rPr>
          <w:lang w:val="en-AU"/>
        </w:rPr>
        <w:t xml:space="preserve">2008, in accordance with clause 6.6.2 of the NER. An amended version </w:t>
      </w:r>
      <w:r w:rsidR="00570B39">
        <w:rPr>
          <w:lang w:val="en-AU"/>
        </w:rPr>
        <w:t xml:space="preserve">of the scheme </w:t>
      </w:r>
      <w:r w:rsidRPr="007B1EBC">
        <w:rPr>
          <w:lang w:val="en-AU"/>
        </w:rPr>
        <w:t xml:space="preserve">was </w:t>
      </w:r>
      <w:r w:rsidR="00570B39">
        <w:rPr>
          <w:lang w:val="en-AU"/>
        </w:rPr>
        <w:t>published</w:t>
      </w:r>
      <w:r w:rsidR="00570B39" w:rsidRPr="007B1EBC">
        <w:rPr>
          <w:lang w:val="en-AU"/>
        </w:rPr>
        <w:t xml:space="preserve"> </w:t>
      </w:r>
      <w:r w:rsidRPr="007B1EBC">
        <w:rPr>
          <w:lang w:val="en-AU"/>
        </w:rPr>
        <w:t xml:space="preserve">in </w:t>
      </w:r>
      <w:r w:rsidR="00A243A1" w:rsidRPr="007B1EBC">
        <w:rPr>
          <w:lang w:val="en-AU"/>
        </w:rPr>
        <w:t>November</w:t>
      </w:r>
      <w:r w:rsidR="00A243A1">
        <w:rPr>
          <w:lang w:val="en-AU"/>
        </w:rPr>
        <w:t> </w:t>
      </w:r>
      <w:r w:rsidRPr="007B1EBC">
        <w:rPr>
          <w:lang w:val="en-AU"/>
        </w:rPr>
        <w:t>2009.</w:t>
      </w:r>
    </w:p>
    <w:p w14:paraId="6DF70670" w14:textId="4027BCC4"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While the regulatory regime as a whole encourages a business to improve its operating and capital efficiency, the </w:t>
      </w:r>
      <w:r w:rsidR="00570B39">
        <w:rPr>
          <w:lang w:val="en-AU"/>
        </w:rPr>
        <w:t>service target performance incentive scheme</w:t>
      </w:r>
      <w:r w:rsidRPr="007B1EBC">
        <w:rPr>
          <w:lang w:val="en-AU"/>
        </w:rPr>
        <w:t xml:space="preserve"> is designed to ensure that this increase in efficiency is not at the expense of a deterioration in service performance for </w:t>
      </w:r>
      <w:r w:rsidR="00570B39">
        <w:rPr>
          <w:lang w:val="en-AU"/>
        </w:rPr>
        <w:t xml:space="preserve">retail </w:t>
      </w:r>
      <w:r w:rsidRPr="007B1EBC">
        <w:rPr>
          <w:lang w:val="en-AU"/>
        </w:rPr>
        <w:t xml:space="preserve">customers. Further, the </w:t>
      </w:r>
      <w:r w:rsidR="00570B39">
        <w:rPr>
          <w:lang w:val="en-AU"/>
        </w:rPr>
        <w:t>service target performance incentive scheme</w:t>
      </w:r>
      <w:r w:rsidR="00570B39" w:rsidRPr="007B1EBC">
        <w:rPr>
          <w:lang w:val="en-AU"/>
        </w:rPr>
        <w:t xml:space="preserve"> </w:t>
      </w:r>
      <w:r w:rsidRPr="007B1EBC">
        <w:rPr>
          <w:lang w:val="en-AU"/>
        </w:rPr>
        <w:t xml:space="preserve">is intended to encourage a business to improve its service performance where </w:t>
      </w:r>
      <w:r w:rsidR="00570B39">
        <w:rPr>
          <w:lang w:val="en-AU"/>
        </w:rPr>
        <w:t xml:space="preserve">retail </w:t>
      </w:r>
      <w:r w:rsidRPr="007B1EBC">
        <w:rPr>
          <w:lang w:val="en-AU"/>
        </w:rPr>
        <w:t>customers are willing to pay for these improvements.</w:t>
      </w:r>
    </w:p>
    <w:p w14:paraId="38BEEA27" w14:textId="4F81784E" w:rsidR="007B1EBC" w:rsidRPr="007B1EBC" w:rsidRDefault="007B1EBC" w:rsidP="006A69F0">
      <w:pPr>
        <w:pStyle w:val="NumberLevel2"/>
        <w:numPr>
          <w:ilvl w:val="1"/>
          <w:numId w:val="5"/>
        </w:numPr>
        <w:tabs>
          <w:tab w:val="num" w:pos="1134"/>
        </w:tabs>
        <w:ind w:left="709" w:hanging="709"/>
        <w:rPr>
          <w:lang w:val="en-AU"/>
        </w:rPr>
      </w:pPr>
      <w:r w:rsidRPr="007B1EBC">
        <w:rPr>
          <w:lang w:val="en-AU"/>
        </w:rPr>
        <w:t xml:space="preserve">The AER’s </w:t>
      </w:r>
      <w:r w:rsidR="00570B39">
        <w:rPr>
          <w:lang w:val="en-AU"/>
        </w:rPr>
        <w:t>service target performance incentive scheme</w:t>
      </w:r>
      <w:r w:rsidRPr="007B1EBC">
        <w:rPr>
          <w:lang w:val="en-AU"/>
        </w:rPr>
        <w:t xml:space="preserve"> comprises four components being the:</w:t>
      </w:r>
    </w:p>
    <w:p w14:paraId="0F29B090" w14:textId="77777777" w:rsidR="007B1EBC" w:rsidRPr="007B1EBC" w:rsidRDefault="007B1EBC" w:rsidP="008E229D">
      <w:pPr>
        <w:pStyle w:val="UtilComBulletText"/>
        <w:numPr>
          <w:ilvl w:val="0"/>
          <w:numId w:val="6"/>
        </w:numPr>
        <w:tabs>
          <w:tab w:val="clear" w:pos="964"/>
          <w:tab w:val="clear" w:pos="1134"/>
          <w:tab w:val="left" w:pos="1276"/>
          <w:tab w:val="left" w:pos="1418"/>
        </w:tabs>
        <w:ind w:left="1134" w:hanging="425"/>
      </w:pPr>
      <w:r w:rsidRPr="007B1EBC">
        <w:t>‘reliability of supply’ component;</w:t>
      </w:r>
    </w:p>
    <w:p w14:paraId="4D674859" w14:textId="77777777" w:rsidR="007B1EBC" w:rsidRPr="007B1EBC" w:rsidRDefault="007B1EBC" w:rsidP="008E229D">
      <w:pPr>
        <w:pStyle w:val="UtilComBulletText"/>
        <w:numPr>
          <w:ilvl w:val="0"/>
          <w:numId w:val="6"/>
        </w:numPr>
        <w:tabs>
          <w:tab w:val="clear" w:pos="964"/>
          <w:tab w:val="clear" w:pos="1134"/>
          <w:tab w:val="left" w:pos="1276"/>
          <w:tab w:val="left" w:pos="1418"/>
        </w:tabs>
        <w:ind w:left="1134" w:hanging="425"/>
      </w:pPr>
      <w:r w:rsidRPr="007B1EBC">
        <w:t>‘quality of supply’ component;</w:t>
      </w:r>
    </w:p>
    <w:p w14:paraId="0E4F557A" w14:textId="77777777" w:rsidR="007B1EBC" w:rsidRPr="007B1EBC" w:rsidRDefault="007B1EBC" w:rsidP="008E229D">
      <w:pPr>
        <w:pStyle w:val="UtilComBulletText"/>
        <w:numPr>
          <w:ilvl w:val="0"/>
          <w:numId w:val="6"/>
        </w:numPr>
        <w:tabs>
          <w:tab w:val="clear" w:pos="964"/>
          <w:tab w:val="clear" w:pos="1134"/>
          <w:tab w:val="left" w:pos="1276"/>
          <w:tab w:val="left" w:pos="1418"/>
        </w:tabs>
        <w:ind w:left="1134" w:hanging="425"/>
      </w:pPr>
      <w:r w:rsidRPr="007B1EBC">
        <w:t>‘customer service’ component; and</w:t>
      </w:r>
    </w:p>
    <w:p w14:paraId="148EE651" w14:textId="77777777" w:rsidR="007B1EBC" w:rsidRPr="007B1EBC" w:rsidRDefault="007B1EBC" w:rsidP="008E229D">
      <w:pPr>
        <w:pStyle w:val="UtilComBulletText"/>
        <w:numPr>
          <w:ilvl w:val="0"/>
          <w:numId w:val="6"/>
        </w:numPr>
        <w:tabs>
          <w:tab w:val="clear" w:pos="964"/>
          <w:tab w:val="clear" w:pos="1134"/>
          <w:tab w:val="left" w:pos="1276"/>
          <w:tab w:val="left" w:pos="1418"/>
        </w:tabs>
        <w:ind w:left="1134" w:hanging="425"/>
      </w:pPr>
      <w:r w:rsidRPr="007B1EBC">
        <w:t>GSL component.</w:t>
      </w:r>
    </w:p>
    <w:p w14:paraId="49265F5B" w14:textId="31AC5D87"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Under the </w:t>
      </w:r>
      <w:r w:rsidR="006B6ED7">
        <w:rPr>
          <w:lang w:val="en-AU"/>
        </w:rPr>
        <w:t>‘</w:t>
      </w:r>
      <w:r w:rsidRPr="007B1EBC">
        <w:rPr>
          <w:lang w:val="en-AU"/>
        </w:rPr>
        <w:t>reliability of supply</w:t>
      </w:r>
      <w:r w:rsidR="006B6ED7">
        <w:rPr>
          <w:lang w:val="en-AU"/>
        </w:rPr>
        <w:t>’</w:t>
      </w:r>
      <w:r w:rsidRPr="007B1EBC">
        <w:rPr>
          <w:lang w:val="en-AU"/>
        </w:rPr>
        <w:t xml:space="preserve">, </w:t>
      </w:r>
      <w:r w:rsidR="006B6ED7">
        <w:rPr>
          <w:lang w:val="en-AU"/>
        </w:rPr>
        <w:t>‘</w:t>
      </w:r>
      <w:r w:rsidRPr="007B1EBC">
        <w:rPr>
          <w:lang w:val="en-AU"/>
        </w:rPr>
        <w:t>quality of supply</w:t>
      </w:r>
      <w:r w:rsidR="006B6ED7">
        <w:rPr>
          <w:lang w:val="en-AU"/>
        </w:rPr>
        <w:t>’</w:t>
      </w:r>
      <w:r w:rsidRPr="007B1EBC">
        <w:rPr>
          <w:lang w:val="en-AU"/>
        </w:rPr>
        <w:t xml:space="preserve"> and </w:t>
      </w:r>
      <w:r w:rsidR="006B6ED7">
        <w:rPr>
          <w:lang w:val="en-AU"/>
        </w:rPr>
        <w:t>‘</w:t>
      </w:r>
      <w:r w:rsidRPr="007B1EBC">
        <w:rPr>
          <w:lang w:val="en-AU"/>
        </w:rPr>
        <w:t>customer service</w:t>
      </w:r>
      <w:r w:rsidR="006B6ED7">
        <w:rPr>
          <w:lang w:val="en-AU"/>
        </w:rPr>
        <w:t>’</w:t>
      </w:r>
      <w:r w:rsidRPr="007B1EBC">
        <w:rPr>
          <w:lang w:val="en-AU"/>
        </w:rPr>
        <w:t xml:space="preserve"> components of the scheme, a </w:t>
      </w:r>
      <w:r w:rsidR="00570B39">
        <w:rPr>
          <w:lang w:val="en-AU"/>
        </w:rPr>
        <w:t>DNSP’s</w:t>
      </w:r>
      <w:r w:rsidRPr="007B1EBC">
        <w:rPr>
          <w:lang w:val="en-AU"/>
        </w:rPr>
        <w:t xml:space="preserve"> revenue is increased (or decreased) based on changes in service performance, as assessed by the AER in accordance with </w:t>
      </w:r>
      <w:r w:rsidR="00570B39">
        <w:rPr>
          <w:lang w:val="en-AU"/>
        </w:rPr>
        <w:t>the</w:t>
      </w:r>
      <w:r w:rsidR="00570B39" w:rsidRPr="007B1EBC">
        <w:rPr>
          <w:lang w:val="en-AU"/>
        </w:rPr>
        <w:t xml:space="preserve"> </w:t>
      </w:r>
      <w:r w:rsidRPr="007B1EBC">
        <w:rPr>
          <w:lang w:val="en-AU"/>
        </w:rPr>
        <w:t>scheme. This is achieved by including an S</w:t>
      </w:r>
      <w:r w:rsidR="00570B39">
        <w:rPr>
          <w:lang w:val="en-AU"/>
        </w:rPr>
        <w:t> </w:t>
      </w:r>
      <w:r w:rsidR="00A243A1">
        <w:rPr>
          <w:lang w:val="en-AU"/>
        </w:rPr>
        <w:t>f</w:t>
      </w:r>
      <w:r w:rsidR="00A243A1" w:rsidRPr="007B1EBC">
        <w:rPr>
          <w:lang w:val="en-AU"/>
        </w:rPr>
        <w:t xml:space="preserve">actor </w:t>
      </w:r>
      <w:r w:rsidRPr="007B1EBC">
        <w:rPr>
          <w:lang w:val="en-AU"/>
        </w:rPr>
        <w:t xml:space="preserve">component in the price control mechanism, so that </w:t>
      </w:r>
      <w:r w:rsidR="00570B39">
        <w:rPr>
          <w:lang w:val="en-AU"/>
        </w:rPr>
        <w:t>DNSPs</w:t>
      </w:r>
      <w:r w:rsidRPr="007B1EBC">
        <w:rPr>
          <w:lang w:val="en-AU"/>
        </w:rPr>
        <w:t xml:space="preserve"> are penalised (or rewarded) for diminished (or improved) service compared to predetermined targets.</w:t>
      </w:r>
    </w:p>
    <w:p w14:paraId="60250D29" w14:textId="05C1C877"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Under the GSL component, payments are made directly to </w:t>
      </w:r>
      <w:r w:rsidR="00570B39">
        <w:rPr>
          <w:lang w:val="en-AU"/>
        </w:rPr>
        <w:t xml:space="preserve">retail </w:t>
      </w:r>
      <w:r w:rsidRPr="007B1EBC">
        <w:rPr>
          <w:lang w:val="en-AU"/>
        </w:rPr>
        <w:t>customers where the service performance received is worse than a specified threshold.</w:t>
      </w:r>
    </w:p>
    <w:p w14:paraId="0876B557" w14:textId="222CB2C1" w:rsidR="007B1EBC" w:rsidRPr="007B1EBC" w:rsidRDefault="007B1EBC" w:rsidP="006A69F0">
      <w:pPr>
        <w:pStyle w:val="NumberLevel2"/>
        <w:numPr>
          <w:ilvl w:val="1"/>
          <w:numId w:val="5"/>
        </w:numPr>
        <w:tabs>
          <w:tab w:val="num" w:pos="709"/>
        </w:tabs>
        <w:ind w:left="709" w:hanging="709"/>
        <w:rPr>
          <w:lang w:val="en-AU"/>
        </w:rPr>
      </w:pPr>
      <w:r w:rsidRPr="007B1EBC">
        <w:rPr>
          <w:lang w:val="en-AU"/>
        </w:rPr>
        <w:t>As part of a distribution determination, the AER determine</w:t>
      </w:r>
      <w:r w:rsidR="00570B39">
        <w:rPr>
          <w:lang w:val="en-AU"/>
        </w:rPr>
        <w:t>s</w:t>
      </w:r>
      <w:r w:rsidRPr="007B1EBC">
        <w:rPr>
          <w:lang w:val="en-AU"/>
        </w:rPr>
        <w:t xml:space="preserve"> whether one or more components of </w:t>
      </w:r>
      <w:r w:rsidR="00570B39">
        <w:rPr>
          <w:lang w:val="en-AU"/>
        </w:rPr>
        <w:t>the</w:t>
      </w:r>
      <w:r w:rsidR="00570B39" w:rsidRPr="007B1EBC">
        <w:rPr>
          <w:lang w:val="en-AU"/>
        </w:rPr>
        <w:t xml:space="preserve"> </w:t>
      </w:r>
      <w:r w:rsidRPr="007B1EBC">
        <w:rPr>
          <w:lang w:val="en-AU"/>
        </w:rPr>
        <w:t xml:space="preserve">scheme may apply to a DNSP. </w:t>
      </w:r>
      <w:r w:rsidR="00570B39">
        <w:rPr>
          <w:lang w:val="en-AU"/>
        </w:rPr>
        <w:t>However, j</w:t>
      </w:r>
      <w:r w:rsidR="00570B39" w:rsidRPr="007B1EBC">
        <w:rPr>
          <w:lang w:val="en-AU"/>
        </w:rPr>
        <w:t xml:space="preserve">urisdictional </w:t>
      </w:r>
      <w:r w:rsidRPr="007B1EBC">
        <w:rPr>
          <w:lang w:val="en-AU"/>
        </w:rPr>
        <w:t xml:space="preserve">schemes take precedence and the AER will only consider applying components of </w:t>
      </w:r>
      <w:r w:rsidR="00570B39">
        <w:rPr>
          <w:lang w:val="en-AU"/>
        </w:rPr>
        <w:t>its service target performance incentive scheme</w:t>
      </w:r>
      <w:r w:rsidRPr="007B1EBC">
        <w:rPr>
          <w:lang w:val="en-AU"/>
        </w:rPr>
        <w:t xml:space="preserve"> where there is no </w:t>
      </w:r>
      <w:r w:rsidR="00570B39">
        <w:rPr>
          <w:lang w:val="en-AU"/>
        </w:rPr>
        <w:t xml:space="preserve">applicable </w:t>
      </w:r>
      <w:r w:rsidRPr="007B1EBC">
        <w:rPr>
          <w:lang w:val="en-AU"/>
        </w:rPr>
        <w:t xml:space="preserve">jurisdictional scheme. For example, for those jurisdictions which have a GSL scheme in place, the AER does not </w:t>
      </w:r>
      <w:r w:rsidR="00570B39">
        <w:rPr>
          <w:lang w:val="en-AU"/>
        </w:rPr>
        <w:t>apply</w:t>
      </w:r>
      <w:r w:rsidR="00570B39" w:rsidRPr="007B1EBC">
        <w:rPr>
          <w:lang w:val="en-AU"/>
        </w:rPr>
        <w:t xml:space="preserve"> </w:t>
      </w:r>
      <w:r w:rsidRPr="007B1EBC">
        <w:rPr>
          <w:lang w:val="en-AU"/>
        </w:rPr>
        <w:t xml:space="preserve">that component </w:t>
      </w:r>
      <w:r w:rsidR="00570B39">
        <w:rPr>
          <w:lang w:val="en-AU"/>
        </w:rPr>
        <w:t>of the service target performance incentive scheme</w:t>
      </w:r>
      <w:r w:rsidRPr="007B1EBC">
        <w:rPr>
          <w:lang w:val="en-AU"/>
        </w:rPr>
        <w:t xml:space="preserve"> </w:t>
      </w:r>
      <w:r w:rsidR="00570B39">
        <w:rPr>
          <w:lang w:val="en-AU"/>
        </w:rPr>
        <w:t>in</w:t>
      </w:r>
      <w:r w:rsidR="00570B39" w:rsidRPr="007B1EBC">
        <w:rPr>
          <w:lang w:val="en-AU"/>
        </w:rPr>
        <w:t xml:space="preserve"> </w:t>
      </w:r>
      <w:r w:rsidRPr="007B1EBC">
        <w:rPr>
          <w:lang w:val="en-AU"/>
        </w:rPr>
        <w:t>that jurisdiction.</w:t>
      </w:r>
    </w:p>
    <w:p w14:paraId="4D177D1B" w14:textId="27D24A7D"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The AER’s </w:t>
      </w:r>
      <w:r w:rsidR="00570B39">
        <w:rPr>
          <w:lang w:val="en-AU"/>
        </w:rPr>
        <w:t>service target performance incentive scheme</w:t>
      </w:r>
      <w:r w:rsidRPr="007B1EBC">
        <w:rPr>
          <w:lang w:val="en-AU"/>
        </w:rPr>
        <w:t xml:space="preserve"> also includes information and reporting requirements for annual reporting by DNSPs of actual performance against the parameters applicable to it as set out in the relevant distribution determination.</w:t>
      </w:r>
    </w:p>
    <w:p w14:paraId="19275EFC" w14:textId="043F7569" w:rsidR="008936F5" w:rsidRDefault="008936F5" w:rsidP="00BB4311">
      <w:pPr>
        <w:pStyle w:val="UtilComHeading3"/>
      </w:pPr>
      <w:r>
        <w:t xml:space="preserve">Framework and </w:t>
      </w:r>
      <w:r w:rsidR="00FF0959">
        <w:t>Approach</w:t>
      </w:r>
    </w:p>
    <w:p w14:paraId="1673ABC9" w14:textId="36B4E719" w:rsidR="007B1EBC" w:rsidRPr="007B1EBC" w:rsidRDefault="00A243A1" w:rsidP="006A69F0">
      <w:pPr>
        <w:pStyle w:val="NumberLevel2"/>
        <w:numPr>
          <w:ilvl w:val="1"/>
          <w:numId w:val="5"/>
        </w:numPr>
        <w:tabs>
          <w:tab w:val="num" w:pos="709"/>
        </w:tabs>
        <w:ind w:left="709" w:hanging="709"/>
        <w:rPr>
          <w:lang w:val="en-AU"/>
        </w:rPr>
      </w:pPr>
      <w:r>
        <w:rPr>
          <w:lang w:val="en-AU"/>
        </w:rPr>
        <w:t xml:space="preserve">In its Framework Statement, the </w:t>
      </w:r>
      <w:r w:rsidR="007B1EBC" w:rsidRPr="007B1EBC">
        <w:rPr>
          <w:lang w:val="en-AU"/>
        </w:rPr>
        <w:t xml:space="preserve">Commission </w:t>
      </w:r>
      <w:r w:rsidR="00B548C6">
        <w:rPr>
          <w:lang w:val="en-AU"/>
        </w:rPr>
        <w:t>stated</w:t>
      </w:r>
      <w:r w:rsidR="00B548C6" w:rsidRPr="007B1EBC">
        <w:rPr>
          <w:lang w:val="en-AU"/>
        </w:rPr>
        <w:t xml:space="preserve"> </w:t>
      </w:r>
      <w:r w:rsidR="007B1EBC" w:rsidRPr="007B1EBC">
        <w:rPr>
          <w:lang w:val="en-AU"/>
        </w:rPr>
        <w:t xml:space="preserve">that it would be premature for the 2014 Network Price Determination to </w:t>
      </w:r>
      <w:r w:rsidR="00B548C6">
        <w:rPr>
          <w:lang w:val="en-AU"/>
        </w:rPr>
        <w:t>require PWC Networks to comply with a service target performance incentive scheme</w:t>
      </w:r>
      <w:r w:rsidR="00490FBC">
        <w:rPr>
          <w:rStyle w:val="FootnoteReference"/>
          <w:lang w:val="en-AU"/>
        </w:rPr>
        <w:footnoteReference w:id="49"/>
      </w:r>
      <w:r w:rsidR="007B1EBC" w:rsidRPr="007B1EBC">
        <w:rPr>
          <w:lang w:val="en-AU"/>
        </w:rPr>
        <w:t xml:space="preserve"> since PWC Networks will have had only limited exposure to the new service standards</w:t>
      </w:r>
      <w:r>
        <w:rPr>
          <w:lang w:val="en-AU"/>
        </w:rPr>
        <w:t xml:space="preserve">. </w:t>
      </w:r>
      <w:r w:rsidR="00B548C6">
        <w:rPr>
          <w:lang w:val="en-AU"/>
        </w:rPr>
        <w:t>Instead</w:t>
      </w:r>
      <w:r>
        <w:rPr>
          <w:lang w:val="en-AU"/>
        </w:rPr>
        <w:t>,</w:t>
      </w:r>
      <w:r w:rsidR="007B1EBC" w:rsidRPr="007B1EBC">
        <w:rPr>
          <w:lang w:val="en-AU"/>
        </w:rPr>
        <w:t xml:space="preserve"> the Commission w</w:t>
      </w:r>
      <w:r w:rsidR="006B6ED7">
        <w:rPr>
          <w:lang w:val="en-AU"/>
        </w:rPr>
        <w:t xml:space="preserve">ould </w:t>
      </w:r>
      <w:r w:rsidR="007B1EBC" w:rsidRPr="007B1EBC">
        <w:rPr>
          <w:lang w:val="en-AU"/>
        </w:rPr>
        <w:t xml:space="preserve">rely on the GSL Code to drive reliability improvements in poorly performing areas of </w:t>
      </w:r>
      <w:r w:rsidR="00B548C6">
        <w:rPr>
          <w:lang w:val="en-AU"/>
        </w:rPr>
        <w:t>PWC Networks’ elect</w:t>
      </w:r>
      <w:r w:rsidR="006B6ED7">
        <w:rPr>
          <w:lang w:val="en-AU"/>
        </w:rPr>
        <w:t>r</w:t>
      </w:r>
      <w:r w:rsidR="00B548C6">
        <w:rPr>
          <w:lang w:val="en-AU"/>
        </w:rPr>
        <w:t>icity</w:t>
      </w:r>
      <w:r w:rsidR="00B548C6" w:rsidRPr="007B1EBC">
        <w:rPr>
          <w:lang w:val="en-AU"/>
        </w:rPr>
        <w:t xml:space="preserve"> </w:t>
      </w:r>
      <w:r w:rsidR="007B1EBC" w:rsidRPr="007B1EBC">
        <w:rPr>
          <w:lang w:val="en-AU"/>
        </w:rPr>
        <w:t>network</w:t>
      </w:r>
      <w:r>
        <w:rPr>
          <w:lang w:val="en-AU"/>
        </w:rPr>
        <w:t>,</w:t>
      </w:r>
      <w:r w:rsidR="007B1EBC" w:rsidRPr="007B1EBC">
        <w:rPr>
          <w:lang w:val="en-AU"/>
        </w:rPr>
        <w:t xml:space="preserve"> and on the targets and reporting framework established under the </w:t>
      </w:r>
      <w:r>
        <w:rPr>
          <w:lang w:val="en-AU"/>
        </w:rPr>
        <w:t>ESS</w:t>
      </w:r>
      <w:r w:rsidR="007B1EBC" w:rsidRPr="007B1EBC">
        <w:rPr>
          <w:lang w:val="en-AU"/>
        </w:rPr>
        <w:t xml:space="preserve"> Code to encourage reliability improvements across the </w:t>
      </w:r>
      <w:r w:rsidR="00B548C6">
        <w:rPr>
          <w:lang w:val="en-AU"/>
        </w:rPr>
        <w:t>electricity</w:t>
      </w:r>
      <w:r w:rsidR="00B548C6" w:rsidRPr="007B1EBC">
        <w:rPr>
          <w:lang w:val="en-AU"/>
        </w:rPr>
        <w:t xml:space="preserve"> </w:t>
      </w:r>
      <w:r w:rsidR="007B1EBC" w:rsidRPr="007B1EBC">
        <w:rPr>
          <w:lang w:val="en-AU"/>
        </w:rPr>
        <w:t xml:space="preserve">network as a whole. </w:t>
      </w:r>
    </w:p>
    <w:p w14:paraId="7331C10B" w14:textId="3D024156" w:rsidR="007B1EBC" w:rsidRPr="007B1EBC" w:rsidRDefault="007B1EBC" w:rsidP="007B1EBC">
      <w:pPr>
        <w:pStyle w:val="UtilComHeading2"/>
        <w:rPr>
          <w:lang w:val="en-AU"/>
        </w:rPr>
      </w:pPr>
      <w:bookmarkStart w:id="160" w:name="_Toc385241502"/>
      <w:bookmarkStart w:id="161" w:name="_Toc386013055"/>
      <w:r w:rsidRPr="007B1EBC">
        <w:rPr>
          <w:lang w:val="en-AU"/>
        </w:rPr>
        <w:t>PWC Networks</w:t>
      </w:r>
      <w:r w:rsidR="00D624BF">
        <w:rPr>
          <w:lang w:val="en-AU"/>
        </w:rPr>
        <w:t>’</w:t>
      </w:r>
      <w:r w:rsidRPr="007B1EBC">
        <w:rPr>
          <w:lang w:val="en-AU"/>
        </w:rPr>
        <w:t xml:space="preserve"> </w:t>
      </w:r>
      <w:r w:rsidR="00FF0959">
        <w:rPr>
          <w:lang w:val="en-AU"/>
        </w:rPr>
        <w:t>Initial R</w:t>
      </w:r>
      <w:r w:rsidR="00FF0959" w:rsidRPr="007B1EBC">
        <w:rPr>
          <w:lang w:val="en-AU"/>
        </w:rPr>
        <w:t xml:space="preserve">egulatory </w:t>
      </w:r>
      <w:bookmarkEnd w:id="160"/>
      <w:r w:rsidR="00FF0959">
        <w:rPr>
          <w:lang w:val="en-AU"/>
        </w:rPr>
        <w:t>P</w:t>
      </w:r>
      <w:r w:rsidR="00FF0959" w:rsidRPr="007B1EBC">
        <w:rPr>
          <w:lang w:val="en-AU"/>
        </w:rPr>
        <w:t>roposal</w:t>
      </w:r>
      <w:bookmarkEnd w:id="161"/>
    </w:p>
    <w:p w14:paraId="56C7B4A9" w14:textId="3C8CC036" w:rsidR="007D2794" w:rsidRDefault="007B1EBC" w:rsidP="006A69F0">
      <w:pPr>
        <w:pStyle w:val="NumberLevel2"/>
        <w:numPr>
          <w:ilvl w:val="1"/>
          <w:numId w:val="5"/>
        </w:numPr>
        <w:tabs>
          <w:tab w:val="num" w:pos="709"/>
        </w:tabs>
        <w:ind w:left="709" w:hanging="709"/>
        <w:rPr>
          <w:lang w:val="en-AU"/>
        </w:rPr>
      </w:pPr>
      <w:r w:rsidRPr="007B1EBC">
        <w:rPr>
          <w:lang w:val="en-AU"/>
        </w:rPr>
        <w:t>PWC</w:t>
      </w:r>
      <w:r w:rsidR="007D2794">
        <w:rPr>
          <w:lang w:val="en-AU"/>
        </w:rPr>
        <w:t xml:space="preserve"> Network</w:t>
      </w:r>
      <w:r w:rsidRPr="007B1EBC">
        <w:rPr>
          <w:lang w:val="en-AU"/>
        </w:rPr>
        <w:t>s</w:t>
      </w:r>
      <w:r w:rsidR="007D2794">
        <w:rPr>
          <w:lang w:val="en-AU"/>
        </w:rPr>
        <w:t>’</w:t>
      </w:r>
      <w:r w:rsidRPr="007B1EBC">
        <w:rPr>
          <w:lang w:val="en-AU"/>
        </w:rPr>
        <w:t xml:space="preserve"> </w:t>
      </w:r>
      <w:r w:rsidR="006B6ED7">
        <w:rPr>
          <w:lang w:val="en-AU"/>
        </w:rPr>
        <w:t xml:space="preserve">initial </w:t>
      </w:r>
      <w:r w:rsidRPr="007B1EBC">
        <w:rPr>
          <w:lang w:val="en-AU"/>
        </w:rPr>
        <w:t xml:space="preserve">regulatory proposal </w:t>
      </w:r>
      <w:r w:rsidR="00EC1C5F" w:rsidRPr="007B1EBC">
        <w:rPr>
          <w:lang w:val="en-AU"/>
        </w:rPr>
        <w:t>note</w:t>
      </w:r>
      <w:r w:rsidR="00EC1C5F">
        <w:rPr>
          <w:lang w:val="en-AU"/>
        </w:rPr>
        <w:t>d</w:t>
      </w:r>
      <w:r w:rsidR="00EC1C5F" w:rsidRPr="007B1EBC">
        <w:rPr>
          <w:lang w:val="en-AU"/>
        </w:rPr>
        <w:t xml:space="preserve"> </w:t>
      </w:r>
      <w:r w:rsidRPr="007B1EBC">
        <w:rPr>
          <w:lang w:val="en-AU"/>
        </w:rPr>
        <w:t>that the Commission approved the targets required under the ESS Code on 12 June 2013</w:t>
      </w:r>
      <w:r w:rsidR="00BC5AD6">
        <w:rPr>
          <w:lang w:val="en-AU"/>
        </w:rPr>
        <w:t xml:space="preserve">. </w:t>
      </w:r>
      <w:r w:rsidR="001D2066">
        <w:rPr>
          <w:lang w:val="en-AU"/>
        </w:rPr>
        <w:t xml:space="preserve">However, </w:t>
      </w:r>
      <w:r w:rsidRPr="007B1EBC">
        <w:rPr>
          <w:lang w:val="en-AU"/>
        </w:rPr>
        <w:t xml:space="preserve">PWC </w:t>
      </w:r>
      <w:r w:rsidR="00A56082">
        <w:rPr>
          <w:lang w:val="en-AU"/>
        </w:rPr>
        <w:t xml:space="preserve">Networks </w:t>
      </w:r>
      <w:r w:rsidR="00EC1C5F">
        <w:rPr>
          <w:lang w:val="en-AU"/>
        </w:rPr>
        <w:t xml:space="preserve">advised that it was </w:t>
      </w:r>
      <w:r w:rsidRPr="007B1EBC">
        <w:rPr>
          <w:lang w:val="en-AU"/>
        </w:rPr>
        <w:t>currently reviewing its proposed reliability capital expenditure, vegetation management program</w:t>
      </w:r>
      <w:r w:rsidR="007D2794">
        <w:rPr>
          <w:lang w:val="en-AU"/>
        </w:rPr>
        <w:t>, u</w:t>
      </w:r>
      <w:r w:rsidRPr="007B1EBC">
        <w:rPr>
          <w:lang w:val="en-AU"/>
        </w:rPr>
        <w:t xml:space="preserve">nplanned corrective </w:t>
      </w:r>
      <w:r w:rsidR="003E24C9">
        <w:rPr>
          <w:lang w:val="en-AU"/>
        </w:rPr>
        <w:t>maintenance</w:t>
      </w:r>
      <w:r w:rsidR="003E24C9" w:rsidRPr="007B1EBC">
        <w:rPr>
          <w:lang w:val="en-AU"/>
        </w:rPr>
        <w:t xml:space="preserve"> </w:t>
      </w:r>
      <w:r w:rsidRPr="007B1EBC">
        <w:rPr>
          <w:lang w:val="en-AU"/>
        </w:rPr>
        <w:t>and G</w:t>
      </w:r>
      <w:r w:rsidR="007D2794">
        <w:rPr>
          <w:lang w:val="en-AU"/>
        </w:rPr>
        <w:t>SL</w:t>
      </w:r>
      <w:r w:rsidRPr="007B1EBC">
        <w:rPr>
          <w:lang w:val="en-AU"/>
        </w:rPr>
        <w:t xml:space="preserve"> payment forecasts</w:t>
      </w:r>
      <w:r w:rsidR="006B6ED7">
        <w:rPr>
          <w:lang w:val="en-AU"/>
        </w:rPr>
        <w:t xml:space="preserve"> to account for the new ESS targets</w:t>
      </w:r>
      <w:r w:rsidRPr="007B1EBC">
        <w:rPr>
          <w:lang w:val="en-AU"/>
        </w:rPr>
        <w:t xml:space="preserve">.  </w:t>
      </w:r>
    </w:p>
    <w:p w14:paraId="466AA65D" w14:textId="77777777" w:rsidR="007B1EBC" w:rsidRPr="007D2794" w:rsidRDefault="007D2794" w:rsidP="006A69F0">
      <w:pPr>
        <w:pStyle w:val="NumberLevel2"/>
        <w:numPr>
          <w:ilvl w:val="1"/>
          <w:numId w:val="5"/>
        </w:numPr>
        <w:tabs>
          <w:tab w:val="num" w:pos="709"/>
        </w:tabs>
        <w:ind w:left="709" w:hanging="709"/>
        <w:rPr>
          <w:lang w:val="en-AU"/>
        </w:rPr>
      </w:pPr>
      <w:r w:rsidRPr="007D2794">
        <w:rPr>
          <w:lang w:val="en-AU"/>
        </w:rPr>
        <w:t xml:space="preserve">PWC Networks </w:t>
      </w:r>
      <w:r w:rsidR="00EC1C5F">
        <w:rPr>
          <w:lang w:val="en-AU"/>
        </w:rPr>
        <w:t>advised that it had</w:t>
      </w:r>
      <w:r w:rsidRPr="007D2794">
        <w:rPr>
          <w:lang w:val="en-AU"/>
        </w:rPr>
        <w:t xml:space="preserve"> prepared its expenditure forecasts on the basis of the former standards</w:t>
      </w:r>
      <w:r>
        <w:rPr>
          <w:lang w:val="en-AU"/>
        </w:rPr>
        <w:t>.</w:t>
      </w:r>
      <w:r w:rsidRPr="007D2794">
        <w:rPr>
          <w:lang w:val="en-AU"/>
        </w:rPr>
        <w:t xml:space="preserve"> </w:t>
      </w:r>
      <w:r w:rsidR="00490FBC">
        <w:rPr>
          <w:lang w:val="en-AU"/>
        </w:rPr>
        <w:t xml:space="preserve">PWC Networks foreshadowed a variation to the </w:t>
      </w:r>
      <w:r w:rsidR="007B1EBC" w:rsidRPr="007D2794">
        <w:rPr>
          <w:lang w:val="en-AU"/>
        </w:rPr>
        <w:t>expenditure</w:t>
      </w:r>
      <w:r w:rsidR="00490FBC">
        <w:rPr>
          <w:lang w:val="en-AU"/>
        </w:rPr>
        <w:t xml:space="preserve"> forecasts in its revised regulatory proposal</w:t>
      </w:r>
      <w:r w:rsidR="007B1EBC" w:rsidRPr="007D2794">
        <w:rPr>
          <w:lang w:val="en-AU"/>
        </w:rPr>
        <w:t xml:space="preserve"> </w:t>
      </w:r>
      <w:r w:rsidR="00900CC9">
        <w:rPr>
          <w:lang w:val="en-AU"/>
        </w:rPr>
        <w:t xml:space="preserve">(required to be submitted within 20 business days of the release of </w:t>
      </w:r>
      <w:r w:rsidR="00EC1C5F">
        <w:rPr>
          <w:lang w:val="en-AU"/>
        </w:rPr>
        <w:t xml:space="preserve">the </w:t>
      </w:r>
      <w:r w:rsidR="00900CC9">
        <w:rPr>
          <w:lang w:val="en-AU"/>
        </w:rPr>
        <w:t xml:space="preserve">Draft Determination) </w:t>
      </w:r>
      <w:r w:rsidR="007B1EBC" w:rsidRPr="007D2794">
        <w:rPr>
          <w:lang w:val="en-AU"/>
        </w:rPr>
        <w:t xml:space="preserve">to meet the </w:t>
      </w:r>
      <w:r w:rsidR="00490FBC">
        <w:rPr>
          <w:lang w:val="en-AU"/>
        </w:rPr>
        <w:t xml:space="preserve">revised reporting standards and </w:t>
      </w:r>
      <w:r w:rsidR="007B1EBC" w:rsidRPr="007D2794">
        <w:rPr>
          <w:lang w:val="en-AU"/>
        </w:rPr>
        <w:t xml:space="preserve">targets standards set under the ESS Code. </w:t>
      </w:r>
    </w:p>
    <w:p w14:paraId="047D1801" w14:textId="5BCFC708" w:rsidR="007B1EBC" w:rsidRPr="007B1EBC" w:rsidRDefault="007B1EBC" w:rsidP="007B1EBC">
      <w:pPr>
        <w:pStyle w:val="UtilComHeading2"/>
        <w:rPr>
          <w:lang w:val="en-AU"/>
        </w:rPr>
      </w:pPr>
      <w:bookmarkStart w:id="162" w:name="_Toc385241503"/>
      <w:bookmarkStart w:id="163" w:name="_Toc386013056"/>
      <w:r w:rsidRPr="007B1EBC">
        <w:rPr>
          <w:lang w:val="en-AU"/>
        </w:rPr>
        <w:t>Submissions</w:t>
      </w:r>
      <w:r w:rsidR="00EC1C5F">
        <w:rPr>
          <w:lang w:val="en-AU"/>
        </w:rPr>
        <w:t xml:space="preserve"> on </w:t>
      </w:r>
      <w:r w:rsidR="008B1697">
        <w:rPr>
          <w:lang w:val="en-AU"/>
        </w:rPr>
        <w:t>I</w:t>
      </w:r>
      <w:r w:rsidR="00EC1C5F">
        <w:rPr>
          <w:lang w:val="en-AU"/>
        </w:rPr>
        <w:t xml:space="preserve">nitial </w:t>
      </w:r>
      <w:r w:rsidR="008B1697">
        <w:rPr>
          <w:lang w:val="en-AU"/>
        </w:rPr>
        <w:t>R</w:t>
      </w:r>
      <w:r w:rsidR="00EC1C5F">
        <w:rPr>
          <w:lang w:val="en-AU"/>
        </w:rPr>
        <w:t xml:space="preserve">egulatory </w:t>
      </w:r>
      <w:r w:rsidR="008B1697">
        <w:rPr>
          <w:lang w:val="en-AU"/>
        </w:rPr>
        <w:t>P</w:t>
      </w:r>
      <w:r w:rsidR="00EC1C5F">
        <w:rPr>
          <w:lang w:val="en-AU"/>
        </w:rPr>
        <w:t>roposal</w:t>
      </w:r>
      <w:bookmarkEnd w:id="162"/>
      <w:bookmarkEnd w:id="163"/>
    </w:p>
    <w:p w14:paraId="4E0E8626" w14:textId="6A3C39F6"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The Commission did not receive any submissions </w:t>
      </w:r>
      <w:r w:rsidR="001D2066">
        <w:rPr>
          <w:lang w:val="en-AU"/>
        </w:rPr>
        <w:t>on</w:t>
      </w:r>
      <w:r w:rsidRPr="007B1EBC">
        <w:rPr>
          <w:lang w:val="en-AU"/>
        </w:rPr>
        <w:t xml:space="preserve"> </w:t>
      </w:r>
      <w:r w:rsidR="00BC5AD6">
        <w:rPr>
          <w:lang w:val="en-AU"/>
        </w:rPr>
        <w:t xml:space="preserve">the </w:t>
      </w:r>
      <w:r w:rsidRPr="007B1EBC">
        <w:rPr>
          <w:lang w:val="en-AU"/>
        </w:rPr>
        <w:t xml:space="preserve">service standards proposed in </w:t>
      </w:r>
      <w:r w:rsidR="001D2066">
        <w:rPr>
          <w:lang w:val="en-AU"/>
        </w:rPr>
        <w:t>PWC Networks’</w:t>
      </w:r>
      <w:r w:rsidR="001D2066" w:rsidRPr="007B1EBC">
        <w:rPr>
          <w:lang w:val="en-AU"/>
        </w:rPr>
        <w:t xml:space="preserve"> </w:t>
      </w:r>
      <w:r w:rsidR="00195E50">
        <w:rPr>
          <w:lang w:val="en-AU"/>
        </w:rPr>
        <w:t xml:space="preserve">initial </w:t>
      </w:r>
      <w:r w:rsidR="00BC5AD6">
        <w:rPr>
          <w:lang w:val="en-AU"/>
        </w:rPr>
        <w:t>regulatory proposal</w:t>
      </w:r>
      <w:r w:rsidRPr="007B1EBC">
        <w:rPr>
          <w:lang w:val="en-AU"/>
        </w:rPr>
        <w:t xml:space="preserve">.  </w:t>
      </w:r>
    </w:p>
    <w:p w14:paraId="1E3D4AF4" w14:textId="4D7A3F40" w:rsidR="007B1EBC" w:rsidRPr="007B1EBC" w:rsidRDefault="007B1EBC" w:rsidP="006A69F0">
      <w:pPr>
        <w:pStyle w:val="NumberLevel2"/>
        <w:numPr>
          <w:ilvl w:val="1"/>
          <w:numId w:val="5"/>
        </w:numPr>
        <w:tabs>
          <w:tab w:val="num" w:pos="709"/>
        </w:tabs>
        <w:ind w:left="709" w:hanging="709"/>
        <w:rPr>
          <w:lang w:val="en-AU"/>
        </w:rPr>
      </w:pPr>
      <w:r w:rsidRPr="007B1EBC">
        <w:rPr>
          <w:lang w:val="en-AU"/>
        </w:rPr>
        <w:t xml:space="preserve">The NTMEU noted that the fact that the Commission had implemented </w:t>
      </w:r>
      <w:r w:rsidR="001D2066">
        <w:rPr>
          <w:lang w:val="en-AU"/>
        </w:rPr>
        <w:t>the</w:t>
      </w:r>
      <w:r w:rsidR="001D2066" w:rsidRPr="007B1EBC">
        <w:rPr>
          <w:lang w:val="en-AU"/>
        </w:rPr>
        <w:t xml:space="preserve"> </w:t>
      </w:r>
      <w:r w:rsidRPr="007B1EBC">
        <w:rPr>
          <w:lang w:val="en-AU"/>
        </w:rPr>
        <w:t xml:space="preserve">GSL </w:t>
      </w:r>
      <w:r w:rsidR="001D2066">
        <w:rPr>
          <w:lang w:val="en-AU"/>
        </w:rPr>
        <w:t xml:space="preserve">scheme </w:t>
      </w:r>
      <w:r w:rsidRPr="007B1EBC">
        <w:rPr>
          <w:lang w:val="en-AU"/>
        </w:rPr>
        <w:t xml:space="preserve">late in the </w:t>
      </w:r>
      <w:r w:rsidR="001D2066">
        <w:rPr>
          <w:lang w:val="en-AU"/>
        </w:rPr>
        <w:t>2009-14</w:t>
      </w:r>
      <w:r w:rsidR="001D2066" w:rsidRPr="007B1EBC">
        <w:rPr>
          <w:lang w:val="en-AU"/>
        </w:rPr>
        <w:t xml:space="preserve"> </w:t>
      </w:r>
      <w:r w:rsidRPr="007B1EBC">
        <w:rPr>
          <w:lang w:val="en-AU"/>
        </w:rPr>
        <w:t xml:space="preserve">regulatory control period warranted an increase in </w:t>
      </w:r>
      <w:r w:rsidR="001D2066">
        <w:rPr>
          <w:lang w:val="en-AU"/>
        </w:rPr>
        <w:t>opex</w:t>
      </w:r>
      <w:r w:rsidRPr="007B1EBC">
        <w:rPr>
          <w:lang w:val="en-AU"/>
        </w:rPr>
        <w:t>. However, the NTMEU also noted that PWC</w:t>
      </w:r>
      <w:r w:rsidR="001D2066">
        <w:rPr>
          <w:lang w:val="en-AU"/>
        </w:rPr>
        <w:t> Networks</w:t>
      </w:r>
      <w:r w:rsidRPr="007B1EBC">
        <w:rPr>
          <w:lang w:val="en-AU"/>
        </w:rPr>
        <w:t xml:space="preserve"> cited step changes resulting in increased staffing for a variety of additional activities but there was no detailed explanation </w:t>
      </w:r>
      <w:r w:rsidR="002719F3">
        <w:rPr>
          <w:lang w:val="en-AU"/>
        </w:rPr>
        <w:t xml:space="preserve">of </w:t>
      </w:r>
      <w:r w:rsidRPr="007B1EBC">
        <w:rPr>
          <w:lang w:val="en-AU"/>
        </w:rPr>
        <w:t xml:space="preserve">these step changes and what caused </w:t>
      </w:r>
      <w:r w:rsidR="001D2066">
        <w:rPr>
          <w:lang w:val="en-AU"/>
        </w:rPr>
        <w:t>those</w:t>
      </w:r>
      <w:r w:rsidR="001D2066" w:rsidRPr="007B1EBC">
        <w:rPr>
          <w:lang w:val="en-AU"/>
        </w:rPr>
        <w:t xml:space="preserve"> </w:t>
      </w:r>
      <w:r w:rsidRPr="007B1EBC">
        <w:rPr>
          <w:lang w:val="en-AU"/>
        </w:rPr>
        <w:t xml:space="preserve">changes to be implemented. </w:t>
      </w:r>
    </w:p>
    <w:p w14:paraId="307142BE" w14:textId="056CB5D7" w:rsidR="007B1EBC" w:rsidRPr="007B1EBC" w:rsidRDefault="007B1EBC" w:rsidP="007B1EBC">
      <w:pPr>
        <w:pStyle w:val="UtilComHeading2"/>
        <w:rPr>
          <w:lang w:val="en-AU"/>
        </w:rPr>
      </w:pPr>
      <w:bookmarkStart w:id="164" w:name="_Toc385241504"/>
      <w:bookmarkStart w:id="165" w:name="_Toc386013057"/>
      <w:r w:rsidRPr="007B1EBC">
        <w:rPr>
          <w:lang w:val="en-AU"/>
        </w:rPr>
        <w:t xml:space="preserve">Issues and Commission’s </w:t>
      </w:r>
      <w:r w:rsidR="008B1697">
        <w:rPr>
          <w:lang w:val="en-AU"/>
        </w:rPr>
        <w:t>I</w:t>
      </w:r>
      <w:r w:rsidR="00EC1C5F">
        <w:rPr>
          <w:lang w:val="en-AU"/>
        </w:rPr>
        <w:t xml:space="preserve">nitial </w:t>
      </w:r>
      <w:r w:rsidR="008B1697">
        <w:rPr>
          <w:lang w:val="en-AU"/>
        </w:rPr>
        <w:t>C</w:t>
      </w:r>
      <w:r w:rsidRPr="007B1EBC">
        <w:rPr>
          <w:lang w:val="en-AU"/>
        </w:rPr>
        <w:t>onsiderations</w:t>
      </w:r>
      <w:bookmarkEnd w:id="164"/>
      <w:bookmarkEnd w:id="165"/>
    </w:p>
    <w:p w14:paraId="041A2D2C" w14:textId="7C9B5ABD" w:rsidR="007D2794" w:rsidRPr="007D2794" w:rsidRDefault="007D2794" w:rsidP="006A69F0">
      <w:pPr>
        <w:pStyle w:val="NumberLevel2"/>
        <w:numPr>
          <w:ilvl w:val="1"/>
          <w:numId w:val="5"/>
        </w:numPr>
        <w:tabs>
          <w:tab w:val="num" w:pos="709"/>
        </w:tabs>
        <w:ind w:left="709" w:hanging="709"/>
        <w:rPr>
          <w:lang w:val="en-AU"/>
        </w:rPr>
      </w:pPr>
      <w:r w:rsidRPr="007D2794">
        <w:rPr>
          <w:lang w:val="en-AU"/>
        </w:rPr>
        <w:t xml:space="preserve">The purpose of the </w:t>
      </w:r>
      <w:r w:rsidR="001D2066">
        <w:rPr>
          <w:lang w:val="en-AU"/>
        </w:rPr>
        <w:t>Network Price D</w:t>
      </w:r>
      <w:r w:rsidR="001D2066" w:rsidRPr="007D2794">
        <w:rPr>
          <w:lang w:val="en-AU"/>
        </w:rPr>
        <w:t xml:space="preserve">etermination </w:t>
      </w:r>
      <w:r w:rsidRPr="007D2794">
        <w:rPr>
          <w:lang w:val="en-AU"/>
        </w:rPr>
        <w:t xml:space="preserve">process is to ensure that secure, safe and reliable services are provided to </w:t>
      </w:r>
      <w:r w:rsidR="001D2066">
        <w:rPr>
          <w:lang w:val="en-AU"/>
        </w:rPr>
        <w:t>retail customers</w:t>
      </w:r>
      <w:r w:rsidR="001D2066" w:rsidRPr="007D2794">
        <w:rPr>
          <w:lang w:val="en-AU"/>
        </w:rPr>
        <w:t xml:space="preserve"> </w:t>
      </w:r>
      <w:r w:rsidRPr="007D2794">
        <w:rPr>
          <w:lang w:val="en-AU"/>
        </w:rPr>
        <w:t xml:space="preserve">at a fair and reasonable price. A </w:t>
      </w:r>
      <w:r w:rsidR="00BC5AD6" w:rsidRPr="007D2794">
        <w:rPr>
          <w:lang w:val="en-AU"/>
        </w:rPr>
        <w:t>customer</w:t>
      </w:r>
      <w:r w:rsidR="00BC5AD6">
        <w:rPr>
          <w:lang w:val="en-AU"/>
        </w:rPr>
        <w:noBreakHyphen/>
      </w:r>
      <w:r w:rsidR="009B4CD1" w:rsidRPr="007D2794">
        <w:rPr>
          <w:lang w:val="en-AU"/>
        </w:rPr>
        <w:t>focused</w:t>
      </w:r>
      <w:r w:rsidRPr="007D2794">
        <w:rPr>
          <w:lang w:val="en-AU"/>
        </w:rPr>
        <w:t xml:space="preserve"> culture and a culture of not only regulatory compliance</w:t>
      </w:r>
      <w:r w:rsidR="00900CC9">
        <w:rPr>
          <w:lang w:val="en-AU"/>
        </w:rPr>
        <w:t>,</w:t>
      </w:r>
      <w:r w:rsidRPr="007D2794">
        <w:rPr>
          <w:lang w:val="en-AU"/>
        </w:rPr>
        <w:t xml:space="preserve"> but also regulatory outperformance</w:t>
      </w:r>
      <w:r w:rsidR="00900CC9">
        <w:rPr>
          <w:lang w:val="en-AU"/>
        </w:rPr>
        <w:t>,</w:t>
      </w:r>
      <w:r w:rsidRPr="007D2794">
        <w:rPr>
          <w:lang w:val="en-AU"/>
        </w:rPr>
        <w:t xml:space="preserve"> is inherent in the pricing process.</w:t>
      </w:r>
    </w:p>
    <w:p w14:paraId="7B43A2A9" w14:textId="0779665B" w:rsidR="007B1EBC" w:rsidRDefault="007B1EBC" w:rsidP="006A69F0">
      <w:pPr>
        <w:pStyle w:val="NumberLevel2"/>
        <w:numPr>
          <w:ilvl w:val="1"/>
          <w:numId w:val="5"/>
        </w:numPr>
        <w:tabs>
          <w:tab w:val="num" w:pos="709"/>
        </w:tabs>
        <w:ind w:left="709" w:hanging="709"/>
        <w:rPr>
          <w:lang w:val="en-AU"/>
        </w:rPr>
      </w:pPr>
      <w:r w:rsidRPr="007B1EBC">
        <w:rPr>
          <w:lang w:val="en-AU"/>
        </w:rPr>
        <w:t xml:space="preserve">The Commission </w:t>
      </w:r>
      <w:r w:rsidR="00EC1C5F">
        <w:rPr>
          <w:lang w:val="en-AU"/>
        </w:rPr>
        <w:t xml:space="preserve">noted </w:t>
      </w:r>
      <w:r w:rsidR="001D2066">
        <w:rPr>
          <w:lang w:val="en-AU"/>
        </w:rPr>
        <w:t xml:space="preserve">that </w:t>
      </w:r>
      <w:r w:rsidRPr="007B1EBC">
        <w:rPr>
          <w:lang w:val="en-AU"/>
        </w:rPr>
        <w:t>PWC</w:t>
      </w:r>
      <w:r w:rsidR="00F2639C">
        <w:rPr>
          <w:lang w:val="en-AU"/>
        </w:rPr>
        <w:t xml:space="preserve"> Networks’ capex and opex forecasts </w:t>
      </w:r>
      <w:r w:rsidR="00C377F7">
        <w:rPr>
          <w:lang w:val="en-AU"/>
        </w:rPr>
        <w:t xml:space="preserve">had </w:t>
      </w:r>
      <w:r w:rsidR="00F2639C">
        <w:rPr>
          <w:lang w:val="en-AU"/>
        </w:rPr>
        <w:t xml:space="preserve">been developed based on the service standard targets in place prior to those </w:t>
      </w:r>
      <w:r w:rsidRPr="007B1EBC">
        <w:rPr>
          <w:lang w:val="en-AU"/>
        </w:rPr>
        <w:t>approved b</w:t>
      </w:r>
      <w:r w:rsidR="008456C6">
        <w:rPr>
          <w:lang w:val="en-AU"/>
        </w:rPr>
        <w:t>y the Commission in Ju</w:t>
      </w:r>
      <w:r w:rsidR="00900CC9">
        <w:rPr>
          <w:lang w:val="en-AU"/>
        </w:rPr>
        <w:t>ne</w:t>
      </w:r>
      <w:r w:rsidR="008456C6">
        <w:rPr>
          <w:lang w:val="en-AU"/>
        </w:rPr>
        <w:t xml:space="preserve"> 2013</w:t>
      </w:r>
      <w:r w:rsidR="00F2639C">
        <w:rPr>
          <w:lang w:val="en-AU"/>
        </w:rPr>
        <w:t xml:space="preserve"> and foreshadow</w:t>
      </w:r>
      <w:r w:rsidR="006B6ED7">
        <w:rPr>
          <w:lang w:val="en-AU"/>
        </w:rPr>
        <w:t>ed</w:t>
      </w:r>
      <w:r w:rsidR="00F2639C">
        <w:rPr>
          <w:lang w:val="en-AU"/>
        </w:rPr>
        <w:t xml:space="preserve"> revised forecasts to meet the </w:t>
      </w:r>
      <w:r w:rsidR="006B6ED7">
        <w:rPr>
          <w:lang w:val="en-AU"/>
        </w:rPr>
        <w:t>ESS </w:t>
      </w:r>
      <w:r w:rsidR="00F2639C">
        <w:rPr>
          <w:lang w:val="en-AU"/>
        </w:rPr>
        <w:t>targets</w:t>
      </w:r>
      <w:r w:rsidR="008456C6">
        <w:rPr>
          <w:lang w:val="en-AU"/>
        </w:rPr>
        <w:t xml:space="preserve">. </w:t>
      </w:r>
    </w:p>
    <w:p w14:paraId="6CC417A4" w14:textId="523F2A51" w:rsidR="00F2639C" w:rsidRPr="00F2639C" w:rsidRDefault="00F2639C" w:rsidP="006A69F0">
      <w:pPr>
        <w:pStyle w:val="NumberLevel2"/>
        <w:numPr>
          <w:ilvl w:val="1"/>
          <w:numId w:val="5"/>
        </w:numPr>
        <w:tabs>
          <w:tab w:val="num" w:pos="709"/>
        </w:tabs>
        <w:ind w:left="709" w:hanging="709"/>
        <w:rPr>
          <w:lang w:val="en-AU"/>
        </w:rPr>
      </w:pPr>
      <w:r>
        <w:rPr>
          <w:lang w:val="en-AU"/>
        </w:rPr>
        <w:t xml:space="preserve">The Commission </w:t>
      </w:r>
      <w:r w:rsidR="00EC1C5F">
        <w:rPr>
          <w:lang w:val="en-AU"/>
        </w:rPr>
        <w:t xml:space="preserve">noted </w:t>
      </w:r>
      <w:r>
        <w:rPr>
          <w:lang w:val="en-AU"/>
        </w:rPr>
        <w:t>that the new standards were introduced in July</w:t>
      </w:r>
      <w:r w:rsidR="00BC5AD6">
        <w:rPr>
          <w:lang w:val="en-AU"/>
        </w:rPr>
        <w:t xml:space="preserve"> 2013</w:t>
      </w:r>
      <w:r>
        <w:rPr>
          <w:lang w:val="en-AU"/>
        </w:rPr>
        <w:t xml:space="preserve">, three months before PWC Networks submitted its </w:t>
      </w:r>
      <w:r w:rsidR="002B6C7A">
        <w:rPr>
          <w:lang w:val="en-AU"/>
        </w:rPr>
        <w:t xml:space="preserve">initial </w:t>
      </w:r>
      <w:r>
        <w:rPr>
          <w:lang w:val="en-AU"/>
        </w:rPr>
        <w:t xml:space="preserve">regulatory proposal. Further, </w:t>
      </w:r>
      <w:r w:rsidR="00BD444C">
        <w:rPr>
          <w:lang w:val="en-AU"/>
        </w:rPr>
        <w:t xml:space="preserve">the Commission </w:t>
      </w:r>
      <w:r w:rsidR="00EC1C5F">
        <w:rPr>
          <w:lang w:val="en-AU"/>
        </w:rPr>
        <w:t xml:space="preserve">considered </w:t>
      </w:r>
      <w:r w:rsidR="00BD444C">
        <w:rPr>
          <w:lang w:val="en-AU"/>
        </w:rPr>
        <w:t xml:space="preserve">that there was significant funding provided to </w:t>
      </w:r>
      <w:r w:rsidR="00A25BFF">
        <w:rPr>
          <w:lang w:val="en-AU"/>
        </w:rPr>
        <w:t>implement the recommendations of</w:t>
      </w:r>
      <w:r>
        <w:rPr>
          <w:lang w:val="en-AU"/>
        </w:rPr>
        <w:t xml:space="preserve"> the Davies Review, </w:t>
      </w:r>
      <w:r w:rsidR="00BD444C">
        <w:rPr>
          <w:lang w:val="en-AU"/>
        </w:rPr>
        <w:t xml:space="preserve">and there should be </w:t>
      </w:r>
      <w:r w:rsidR="00900CC9">
        <w:rPr>
          <w:lang w:val="en-AU"/>
        </w:rPr>
        <w:t xml:space="preserve">significant </w:t>
      </w:r>
      <w:r w:rsidR="00BD444C">
        <w:rPr>
          <w:lang w:val="en-AU"/>
        </w:rPr>
        <w:t xml:space="preserve">reliability </w:t>
      </w:r>
      <w:r w:rsidR="00900CC9">
        <w:rPr>
          <w:lang w:val="en-AU"/>
        </w:rPr>
        <w:t xml:space="preserve">benefits </w:t>
      </w:r>
      <w:r w:rsidR="00BD444C">
        <w:rPr>
          <w:lang w:val="en-AU"/>
        </w:rPr>
        <w:t xml:space="preserve">associated with this </w:t>
      </w:r>
      <w:r w:rsidR="00900CC9">
        <w:rPr>
          <w:lang w:val="en-AU"/>
        </w:rPr>
        <w:t>expenditure.</w:t>
      </w:r>
      <w:r w:rsidR="00A25BFF">
        <w:rPr>
          <w:lang w:val="en-AU"/>
        </w:rPr>
        <w:t xml:space="preserve"> </w:t>
      </w:r>
    </w:p>
    <w:p w14:paraId="39CBDE26" w14:textId="08826A78" w:rsidR="007B1EBC" w:rsidRPr="007B1EBC" w:rsidRDefault="007B1EBC" w:rsidP="007B1EBC">
      <w:pPr>
        <w:pStyle w:val="UtilComHeading2"/>
        <w:rPr>
          <w:lang w:val="en-AU"/>
        </w:rPr>
      </w:pPr>
      <w:bookmarkStart w:id="166" w:name="_Toc385241505"/>
      <w:bookmarkStart w:id="167" w:name="_Toc386013058"/>
      <w:r w:rsidRPr="007B1EBC">
        <w:rPr>
          <w:lang w:val="en-AU"/>
        </w:rPr>
        <w:t xml:space="preserve">Commission’s </w:t>
      </w:r>
      <w:r w:rsidR="000A3526">
        <w:rPr>
          <w:lang w:val="en-AU"/>
        </w:rPr>
        <w:t>D</w:t>
      </w:r>
      <w:r w:rsidR="000A3526" w:rsidRPr="007B1EBC">
        <w:rPr>
          <w:lang w:val="en-AU"/>
        </w:rPr>
        <w:t xml:space="preserve">raft </w:t>
      </w:r>
      <w:bookmarkEnd w:id="166"/>
      <w:r w:rsidR="000A3526">
        <w:rPr>
          <w:lang w:val="en-AU"/>
        </w:rPr>
        <w:t>D</w:t>
      </w:r>
      <w:r w:rsidR="000A3526" w:rsidRPr="007B1EBC">
        <w:rPr>
          <w:lang w:val="en-AU"/>
        </w:rPr>
        <w:t>e</w:t>
      </w:r>
      <w:r w:rsidR="000A3526">
        <w:rPr>
          <w:lang w:val="en-AU"/>
        </w:rPr>
        <w:t>cision</w:t>
      </w:r>
      <w:bookmarkEnd w:id="167"/>
    </w:p>
    <w:p w14:paraId="5D161D1D" w14:textId="37DF3C82" w:rsidR="00EC1C5F" w:rsidRDefault="00EC1C5F" w:rsidP="00EC1C5F">
      <w:pPr>
        <w:pStyle w:val="NumberLevel2"/>
        <w:numPr>
          <w:ilvl w:val="1"/>
          <w:numId w:val="5"/>
        </w:numPr>
        <w:tabs>
          <w:tab w:val="num" w:pos="709"/>
        </w:tabs>
        <w:ind w:left="709" w:hanging="709"/>
        <w:rPr>
          <w:lang w:val="en-AU"/>
        </w:rPr>
      </w:pPr>
      <w:r>
        <w:rPr>
          <w:lang w:val="en-AU"/>
        </w:rPr>
        <w:t>The Commission considered that the ESS Code and GSL Code establish</w:t>
      </w:r>
      <w:r w:rsidR="002B6C7A">
        <w:rPr>
          <w:lang w:val="en-AU"/>
        </w:rPr>
        <w:t>ed</w:t>
      </w:r>
      <w:r>
        <w:rPr>
          <w:lang w:val="en-AU"/>
        </w:rPr>
        <w:t xml:space="preserve"> the appropriate standards for the service element of the regulatory bargain and form</w:t>
      </w:r>
      <w:r w:rsidR="002B6C7A">
        <w:rPr>
          <w:lang w:val="en-AU"/>
        </w:rPr>
        <w:t>ed</w:t>
      </w:r>
      <w:r>
        <w:rPr>
          <w:lang w:val="en-AU"/>
        </w:rPr>
        <w:t xml:space="preserve"> an appropriate basis for determining the </w:t>
      </w:r>
      <w:r w:rsidR="00C377F7">
        <w:rPr>
          <w:lang w:val="en-AU"/>
        </w:rPr>
        <w:t>capex and opex</w:t>
      </w:r>
      <w:r>
        <w:rPr>
          <w:lang w:val="en-AU"/>
        </w:rPr>
        <w:t xml:space="preserve"> required in the </w:t>
      </w:r>
      <w:r w:rsidR="00B673BB">
        <w:rPr>
          <w:lang w:val="en-AU"/>
        </w:rPr>
        <w:t xml:space="preserve">2014-19 </w:t>
      </w:r>
      <w:r>
        <w:rPr>
          <w:lang w:val="en-AU"/>
        </w:rPr>
        <w:t xml:space="preserve">regulatory control period. </w:t>
      </w:r>
    </w:p>
    <w:p w14:paraId="3467BC0D" w14:textId="39FD29D1" w:rsidR="007D2794" w:rsidRDefault="00EC1C5F" w:rsidP="00F7469F">
      <w:pPr>
        <w:pStyle w:val="NumberLevel2"/>
        <w:numPr>
          <w:ilvl w:val="1"/>
          <w:numId w:val="5"/>
        </w:numPr>
        <w:tabs>
          <w:tab w:val="num" w:pos="709"/>
        </w:tabs>
        <w:ind w:left="709" w:hanging="709"/>
        <w:rPr>
          <w:lang w:val="en-AU"/>
        </w:rPr>
      </w:pPr>
      <w:r>
        <w:rPr>
          <w:lang w:val="en-AU"/>
        </w:rPr>
        <w:t xml:space="preserve">The Commission’s draft decision was that the </w:t>
      </w:r>
      <w:r w:rsidR="007D2794">
        <w:rPr>
          <w:lang w:val="en-AU"/>
        </w:rPr>
        <w:t>s</w:t>
      </w:r>
      <w:r w:rsidR="007D2794" w:rsidRPr="00D8104F">
        <w:rPr>
          <w:lang w:val="en-AU"/>
        </w:rPr>
        <w:t xml:space="preserve">tandards of </w:t>
      </w:r>
      <w:r w:rsidR="007D2794">
        <w:rPr>
          <w:lang w:val="en-AU"/>
        </w:rPr>
        <w:t>quality, reliability and security of supply</w:t>
      </w:r>
      <w:r w:rsidR="007D2794" w:rsidRPr="00D8104F">
        <w:rPr>
          <w:lang w:val="en-AU"/>
        </w:rPr>
        <w:t xml:space="preserve"> </w:t>
      </w:r>
      <w:r w:rsidR="007D2794">
        <w:rPr>
          <w:lang w:val="en-AU"/>
        </w:rPr>
        <w:t xml:space="preserve">to be delivered in the </w:t>
      </w:r>
      <w:r>
        <w:rPr>
          <w:lang w:val="en-AU"/>
        </w:rPr>
        <w:t xml:space="preserve">2014-19 </w:t>
      </w:r>
      <w:r w:rsidR="007D2794">
        <w:rPr>
          <w:lang w:val="en-AU"/>
        </w:rPr>
        <w:t xml:space="preserve">regulatory control period </w:t>
      </w:r>
      <w:r w:rsidR="002B6C7A">
        <w:rPr>
          <w:lang w:val="en-AU"/>
        </w:rPr>
        <w:t>were</w:t>
      </w:r>
      <w:r w:rsidR="007D2794">
        <w:rPr>
          <w:lang w:val="en-AU"/>
        </w:rPr>
        <w:t xml:space="preserve"> the standards established in the Commission’s ESS Code and GSL Code.</w:t>
      </w:r>
    </w:p>
    <w:p w14:paraId="0AA60263" w14:textId="103DDF27" w:rsidR="00EC1C5F" w:rsidRPr="00083FAA" w:rsidRDefault="00EC1C5F" w:rsidP="00EC1C5F">
      <w:pPr>
        <w:pStyle w:val="UtilComHeading2"/>
      </w:pPr>
      <w:bookmarkStart w:id="168" w:name="_Toc385241506"/>
      <w:bookmarkStart w:id="169" w:name="_Toc386013059"/>
      <w:r w:rsidRPr="00083FAA">
        <w:t xml:space="preserve">PWC Networks’ </w:t>
      </w:r>
      <w:r w:rsidR="000A3526">
        <w:t>R</w:t>
      </w:r>
      <w:r w:rsidR="000A3526" w:rsidRPr="00083FAA">
        <w:t xml:space="preserve">evised </w:t>
      </w:r>
      <w:r w:rsidR="000A3526">
        <w:t>R</w:t>
      </w:r>
      <w:r w:rsidR="000A3526" w:rsidRPr="00083FAA">
        <w:t xml:space="preserve">egulatory </w:t>
      </w:r>
      <w:bookmarkEnd w:id="168"/>
      <w:r w:rsidR="000A3526">
        <w:t>P</w:t>
      </w:r>
      <w:r w:rsidR="000A3526" w:rsidRPr="00083FAA">
        <w:t>roposal</w:t>
      </w:r>
      <w:bookmarkEnd w:id="169"/>
    </w:p>
    <w:p w14:paraId="1DB64444" w14:textId="5B39042F" w:rsidR="00EC1C5F" w:rsidRDefault="00EC1C5F" w:rsidP="00EC1C5F">
      <w:pPr>
        <w:pStyle w:val="NumberLevel2"/>
        <w:numPr>
          <w:ilvl w:val="1"/>
          <w:numId w:val="5"/>
        </w:numPr>
        <w:tabs>
          <w:tab w:val="num" w:pos="709"/>
        </w:tabs>
        <w:ind w:left="709" w:hanging="709"/>
        <w:rPr>
          <w:lang w:val="en-AU"/>
        </w:rPr>
      </w:pPr>
      <w:r>
        <w:rPr>
          <w:lang w:val="en-AU"/>
        </w:rPr>
        <w:t>PWC Networks</w:t>
      </w:r>
      <w:r w:rsidRPr="001430C0">
        <w:rPr>
          <w:lang w:val="en-AU"/>
        </w:rPr>
        <w:t xml:space="preserve"> </w:t>
      </w:r>
      <w:r>
        <w:rPr>
          <w:lang w:val="en-AU"/>
        </w:rPr>
        <w:t xml:space="preserve">provided information on </w:t>
      </w:r>
      <w:r w:rsidR="00C377F7">
        <w:rPr>
          <w:lang w:val="en-AU"/>
        </w:rPr>
        <w:t xml:space="preserve">its </w:t>
      </w:r>
      <w:r>
        <w:rPr>
          <w:lang w:val="en-AU"/>
        </w:rPr>
        <w:t>actual performance against the new target standards established in July 2013.</w:t>
      </w:r>
    </w:p>
    <w:p w14:paraId="7465B64C" w14:textId="77777777" w:rsidR="00EC1C5F" w:rsidRDefault="00EC1C5F" w:rsidP="00EC1C5F">
      <w:pPr>
        <w:pStyle w:val="NumberLevel2"/>
        <w:numPr>
          <w:ilvl w:val="1"/>
          <w:numId w:val="5"/>
        </w:numPr>
        <w:tabs>
          <w:tab w:val="num" w:pos="709"/>
        </w:tabs>
        <w:ind w:left="709" w:hanging="709"/>
        <w:rPr>
          <w:lang w:val="en-AU"/>
        </w:rPr>
      </w:pPr>
      <w:r>
        <w:rPr>
          <w:lang w:val="en-AU"/>
        </w:rPr>
        <w:t xml:space="preserve">PWC Networks noted that improvements will be required in the 2014-19 regulatory control period to meet some of the new standards and outlined a range of programs </w:t>
      </w:r>
      <w:r w:rsidR="003C308A">
        <w:rPr>
          <w:lang w:val="en-AU"/>
        </w:rPr>
        <w:t>being undertaken to achieve this.</w:t>
      </w:r>
    </w:p>
    <w:p w14:paraId="7D0F7A64" w14:textId="32FFDFFD" w:rsidR="003C308A" w:rsidRPr="003C308A" w:rsidRDefault="003C308A" w:rsidP="003C308A">
      <w:pPr>
        <w:pStyle w:val="NumberLevel2"/>
        <w:numPr>
          <w:ilvl w:val="1"/>
          <w:numId w:val="5"/>
        </w:numPr>
        <w:tabs>
          <w:tab w:val="num" w:pos="709"/>
        </w:tabs>
        <w:ind w:left="709" w:hanging="709"/>
        <w:rPr>
          <w:lang w:val="en-AU"/>
        </w:rPr>
      </w:pPr>
      <w:r>
        <w:rPr>
          <w:lang w:val="en-AU"/>
        </w:rPr>
        <w:t xml:space="preserve">PWC Networks updated its forecast costs </w:t>
      </w:r>
      <w:r w:rsidR="00AA0C49">
        <w:rPr>
          <w:lang w:val="en-AU"/>
        </w:rPr>
        <w:t xml:space="preserve">for its feeder upgrade capex project and its vegetation management opex </w:t>
      </w:r>
      <w:r>
        <w:rPr>
          <w:lang w:val="en-AU"/>
        </w:rPr>
        <w:t xml:space="preserve">to meet the required performance standards. </w:t>
      </w:r>
    </w:p>
    <w:p w14:paraId="55D74709" w14:textId="73E578A7" w:rsidR="00EC1C5F" w:rsidRPr="007B064D" w:rsidRDefault="00EC1C5F" w:rsidP="00EC1C5F">
      <w:pPr>
        <w:pStyle w:val="UtilComHeading2"/>
      </w:pPr>
      <w:bookmarkStart w:id="170" w:name="_Toc385241507"/>
      <w:bookmarkStart w:id="171" w:name="_Toc386013060"/>
      <w:r w:rsidRPr="007B064D">
        <w:t xml:space="preserve">Submissions on </w:t>
      </w:r>
      <w:r w:rsidR="000A3526">
        <w:t>D</w:t>
      </w:r>
      <w:r w:rsidR="000A3526" w:rsidRPr="007B064D">
        <w:t xml:space="preserve">raft </w:t>
      </w:r>
      <w:r w:rsidR="000A3526">
        <w:t>D</w:t>
      </w:r>
      <w:r w:rsidR="000A3526" w:rsidRPr="007B064D">
        <w:t xml:space="preserve">etermination </w:t>
      </w:r>
      <w:r w:rsidRPr="007B064D">
        <w:t xml:space="preserve">and </w:t>
      </w:r>
      <w:r w:rsidR="000A3526">
        <w:t>R</w:t>
      </w:r>
      <w:r w:rsidR="000A3526" w:rsidRPr="007B064D">
        <w:t xml:space="preserve">evised </w:t>
      </w:r>
      <w:r w:rsidR="000A3526">
        <w:t>R</w:t>
      </w:r>
      <w:r w:rsidR="000A3526" w:rsidRPr="007B064D">
        <w:t xml:space="preserve">egulatory </w:t>
      </w:r>
      <w:bookmarkEnd w:id="170"/>
      <w:r w:rsidR="000A3526">
        <w:t>P</w:t>
      </w:r>
      <w:r w:rsidR="000A3526" w:rsidRPr="007B064D">
        <w:t>roposal</w:t>
      </w:r>
      <w:bookmarkEnd w:id="171"/>
    </w:p>
    <w:p w14:paraId="3ECD1616" w14:textId="1D40BE5C" w:rsidR="00EC1C5F" w:rsidRDefault="00EC1C5F" w:rsidP="00EC1C5F">
      <w:pPr>
        <w:pStyle w:val="ListParagraph"/>
        <w:numPr>
          <w:ilvl w:val="1"/>
          <w:numId w:val="5"/>
        </w:numPr>
        <w:tabs>
          <w:tab w:val="num" w:pos="709"/>
        </w:tabs>
        <w:ind w:left="709" w:hanging="709"/>
        <w:rPr>
          <w:lang w:val="en-AU"/>
        </w:rPr>
      </w:pPr>
      <w:r>
        <w:rPr>
          <w:lang w:val="en-AU"/>
        </w:rPr>
        <w:t xml:space="preserve">The NTMEU </w:t>
      </w:r>
      <w:r w:rsidR="003C308A">
        <w:rPr>
          <w:lang w:val="en-AU"/>
        </w:rPr>
        <w:t xml:space="preserve">noted that PWC Networks has generally not met service performance targets in the past and could have difficulty meeting the improved standards set for the </w:t>
      </w:r>
      <w:r w:rsidR="00C377F7">
        <w:rPr>
          <w:lang w:val="en-AU"/>
        </w:rPr>
        <w:t>2014-19</w:t>
      </w:r>
      <w:r w:rsidR="003C308A">
        <w:rPr>
          <w:lang w:val="en-AU"/>
        </w:rPr>
        <w:t xml:space="preserve"> regulatory control period.</w:t>
      </w:r>
      <w:r>
        <w:rPr>
          <w:lang w:val="en-AU"/>
        </w:rPr>
        <w:t xml:space="preserve"> </w:t>
      </w:r>
    </w:p>
    <w:p w14:paraId="5CD52075" w14:textId="57D393E8" w:rsidR="00EC1C5F" w:rsidRDefault="00EC1C5F" w:rsidP="00EC1C5F">
      <w:pPr>
        <w:pStyle w:val="ListParagraph"/>
        <w:numPr>
          <w:ilvl w:val="1"/>
          <w:numId w:val="5"/>
        </w:numPr>
        <w:tabs>
          <w:tab w:val="num" w:pos="709"/>
        </w:tabs>
        <w:ind w:left="709" w:hanging="709"/>
        <w:rPr>
          <w:lang w:val="en-AU"/>
        </w:rPr>
      </w:pPr>
      <w:r>
        <w:rPr>
          <w:lang w:val="en-AU"/>
        </w:rPr>
        <w:t xml:space="preserve">The NTMEU considered </w:t>
      </w:r>
      <w:r w:rsidR="003C308A">
        <w:rPr>
          <w:lang w:val="en-AU"/>
        </w:rPr>
        <w:t xml:space="preserve">that the Commission should couple the new service performance targets with an incentive to assist PWC Networks achieve the performance expected, similar to the </w:t>
      </w:r>
      <w:r w:rsidR="00C377F7">
        <w:rPr>
          <w:lang w:val="en-AU"/>
        </w:rPr>
        <w:t>service target performance incentive scheme</w:t>
      </w:r>
      <w:r w:rsidR="003C308A">
        <w:rPr>
          <w:lang w:val="en-AU"/>
        </w:rPr>
        <w:t xml:space="preserve"> applied by the AER in the NEM</w:t>
      </w:r>
      <w:r>
        <w:rPr>
          <w:lang w:val="en-AU"/>
        </w:rPr>
        <w:t>.</w:t>
      </w:r>
    </w:p>
    <w:p w14:paraId="774B19DE" w14:textId="618A964D" w:rsidR="00195E50" w:rsidRDefault="00195E50" w:rsidP="00EC1C5F">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 xml:space="preserve">submissions were received on </w:t>
      </w:r>
      <w:r>
        <w:rPr>
          <w:lang w:val="en-AU"/>
        </w:rPr>
        <w:t>standards of quality, reliability and security of supply t</w:t>
      </w:r>
      <w:r w:rsidR="002B6C7A">
        <w:rPr>
          <w:lang w:val="en-AU"/>
        </w:rPr>
        <w:t>o</w:t>
      </w:r>
      <w:r>
        <w:rPr>
          <w:lang w:val="en-AU"/>
        </w:rPr>
        <w:t xml:space="preserve"> </w:t>
      </w:r>
      <w:r w:rsidR="00C377F7">
        <w:rPr>
          <w:lang w:val="en-AU"/>
        </w:rPr>
        <w:t>apply</w:t>
      </w:r>
      <w:r>
        <w:rPr>
          <w:lang w:val="en-AU"/>
        </w:rPr>
        <w:t xml:space="preserve"> for the 2014-19 regulatory control period.</w:t>
      </w:r>
    </w:p>
    <w:p w14:paraId="172C5309" w14:textId="38B6F47B" w:rsidR="00EC1C5F" w:rsidRPr="00BB4EB2" w:rsidRDefault="00EC1C5F" w:rsidP="00EC1C5F">
      <w:pPr>
        <w:pStyle w:val="UtilComHeading2"/>
      </w:pPr>
      <w:bookmarkStart w:id="172" w:name="_Toc385241508"/>
      <w:bookmarkStart w:id="173" w:name="_Toc386013061"/>
      <w:r w:rsidRPr="00BB4EB2">
        <w:t xml:space="preserve">Issues and Commission’s </w:t>
      </w:r>
      <w:r w:rsidR="000A3526">
        <w:t>Further</w:t>
      </w:r>
      <w:r w:rsidR="000A3526" w:rsidRPr="00BB4EB2">
        <w:t xml:space="preserve"> </w:t>
      </w:r>
      <w:bookmarkEnd w:id="172"/>
      <w:r w:rsidR="000A3526">
        <w:t>C</w:t>
      </w:r>
      <w:r w:rsidR="000A3526" w:rsidRPr="00BB4EB2">
        <w:t>onsiderations</w:t>
      </w:r>
      <w:bookmarkEnd w:id="173"/>
    </w:p>
    <w:p w14:paraId="1A7A3DA3" w14:textId="1CB4FF1C" w:rsidR="00EC1C5F" w:rsidRDefault="009C61F1" w:rsidP="00EC1C5F">
      <w:pPr>
        <w:pStyle w:val="ListParagraph"/>
        <w:numPr>
          <w:ilvl w:val="1"/>
          <w:numId w:val="5"/>
        </w:numPr>
        <w:tabs>
          <w:tab w:val="num" w:pos="709"/>
        </w:tabs>
        <w:ind w:left="709" w:hanging="709"/>
        <w:rPr>
          <w:lang w:val="en-AU"/>
        </w:rPr>
      </w:pPr>
      <w:r>
        <w:rPr>
          <w:lang w:val="en-AU"/>
        </w:rPr>
        <w:t xml:space="preserve">The Commission’s considerations regarding PWC Networks proposed revisions to its </w:t>
      </w:r>
      <w:r w:rsidR="00A12A61">
        <w:rPr>
          <w:lang w:val="en-AU"/>
        </w:rPr>
        <w:t xml:space="preserve">forecast </w:t>
      </w:r>
      <w:r>
        <w:rPr>
          <w:lang w:val="en-AU"/>
        </w:rPr>
        <w:t>capex and opex proposals to meet the new performance standards are discussed in Chapters 9 and 10</w:t>
      </w:r>
      <w:r w:rsidR="002B6C7A">
        <w:rPr>
          <w:lang w:val="en-AU"/>
        </w:rPr>
        <w:t xml:space="preserve"> of this Statement of Reasons</w:t>
      </w:r>
      <w:r>
        <w:rPr>
          <w:lang w:val="en-AU"/>
        </w:rPr>
        <w:t>.</w:t>
      </w:r>
    </w:p>
    <w:p w14:paraId="5E9B66FC" w14:textId="63CF981E" w:rsidR="009C61F1" w:rsidRPr="005026F0" w:rsidRDefault="009C61F1" w:rsidP="00EC1C5F">
      <w:pPr>
        <w:pStyle w:val="ListParagraph"/>
        <w:numPr>
          <w:ilvl w:val="1"/>
          <w:numId w:val="5"/>
        </w:numPr>
        <w:tabs>
          <w:tab w:val="num" w:pos="709"/>
        </w:tabs>
        <w:ind w:left="709" w:hanging="709"/>
        <w:rPr>
          <w:lang w:val="en-AU"/>
        </w:rPr>
      </w:pPr>
      <w:r>
        <w:rPr>
          <w:lang w:val="en-AU"/>
        </w:rPr>
        <w:t xml:space="preserve">The </w:t>
      </w:r>
      <w:r w:rsidRPr="007B1EBC">
        <w:rPr>
          <w:lang w:val="en-AU"/>
        </w:rPr>
        <w:t xml:space="preserve">Commission identified </w:t>
      </w:r>
      <w:r>
        <w:rPr>
          <w:lang w:val="en-AU"/>
        </w:rPr>
        <w:t xml:space="preserve">in its Framework Statement and confirmed in the Draft Determination </w:t>
      </w:r>
      <w:r w:rsidRPr="007B1EBC">
        <w:rPr>
          <w:lang w:val="en-AU"/>
        </w:rPr>
        <w:t xml:space="preserve">that it would be premature for the 2014 Network Price Determination to </w:t>
      </w:r>
      <w:r w:rsidR="00A12A61">
        <w:rPr>
          <w:lang w:val="en-AU"/>
        </w:rPr>
        <w:t>apply a service target performance incentive scheme to PWC Networks</w:t>
      </w:r>
      <w:r w:rsidRPr="007B1EBC">
        <w:rPr>
          <w:lang w:val="en-AU"/>
        </w:rPr>
        <w:t xml:space="preserve">, since PWC Networks </w:t>
      </w:r>
      <w:r w:rsidR="00A12A61">
        <w:rPr>
          <w:lang w:val="en-AU"/>
        </w:rPr>
        <w:t>has</w:t>
      </w:r>
      <w:r w:rsidRPr="007B1EBC">
        <w:rPr>
          <w:lang w:val="en-AU"/>
        </w:rPr>
        <w:t xml:space="preserve"> had only limited exposure to the new service standards</w:t>
      </w:r>
      <w:r>
        <w:rPr>
          <w:lang w:val="en-AU"/>
        </w:rPr>
        <w:t>.</w:t>
      </w:r>
    </w:p>
    <w:p w14:paraId="0ACACA69" w14:textId="3C8DC9AB" w:rsidR="00EC1C5F" w:rsidRPr="00BB4EB2" w:rsidRDefault="00EC1C5F" w:rsidP="00EC1C5F">
      <w:pPr>
        <w:pStyle w:val="UtilComHeading2"/>
      </w:pPr>
      <w:bookmarkStart w:id="174" w:name="_Toc385241509"/>
      <w:bookmarkStart w:id="175" w:name="_Toc386013062"/>
      <w:r w:rsidRPr="00BB4EB2">
        <w:t xml:space="preserve">Commission’s </w:t>
      </w:r>
      <w:r w:rsidR="000A3526">
        <w:t>F</w:t>
      </w:r>
      <w:r w:rsidR="000A3526" w:rsidRPr="00BB4EB2">
        <w:t xml:space="preserve">inal </w:t>
      </w:r>
      <w:bookmarkEnd w:id="174"/>
      <w:r w:rsidR="000A3526">
        <w:t>D</w:t>
      </w:r>
      <w:r w:rsidR="000A3526" w:rsidRPr="00BB4EB2">
        <w:t>ecision</w:t>
      </w:r>
      <w:bookmarkEnd w:id="175"/>
    </w:p>
    <w:p w14:paraId="20C3D119" w14:textId="77777777" w:rsidR="003C308A" w:rsidRDefault="003C308A" w:rsidP="003C308A">
      <w:pPr>
        <w:pStyle w:val="ListParagraph"/>
        <w:numPr>
          <w:ilvl w:val="1"/>
          <w:numId w:val="5"/>
        </w:numPr>
        <w:tabs>
          <w:tab w:val="num" w:pos="709"/>
        </w:tabs>
        <w:ind w:left="709" w:hanging="709"/>
        <w:rPr>
          <w:lang w:val="en-AU"/>
        </w:rPr>
      </w:pPr>
      <w:r w:rsidRPr="00323FDE">
        <w:rPr>
          <w:lang w:val="en-AU"/>
        </w:rPr>
        <w:t xml:space="preserve">The Commission’s </w:t>
      </w:r>
      <w:r>
        <w:rPr>
          <w:lang w:val="en-AU"/>
        </w:rPr>
        <w:t>view</w:t>
      </w:r>
      <w:r w:rsidRPr="00323FDE">
        <w:rPr>
          <w:lang w:val="en-AU"/>
        </w:rPr>
        <w:t xml:space="preserve"> </w:t>
      </w:r>
      <w:r>
        <w:rPr>
          <w:lang w:val="en-AU"/>
        </w:rPr>
        <w:t>remains consistent with its views set out in the Draft Determination</w:t>
      </w:r>
      <w:r w:rsidRPr="00391C7B">
        <w:rPr>
          <w:lang w:val="en-AU"/>
        </w:rPr>
        <w:t>.</w:t>
      </w:r>
    </w:p>
    <w:p w14:paraId="13397358" w14:textId="267E7153" w:rsidR="003C308A" w:rsidRDefault="003C308A" w:rsidP="003C308A">
      <w:pPr>
        <w:pStyle w:val="NumberLevel2"/>
        <w:numPr>
          <w:ilvl w:val="1"/>
          <w:numId w:val="5"/>
        </w:numPr>
        <w:tabs>
          <w:tab w:val="num" w:pos="709"/>
        </w:tabs>
        <w:ind w:left="709" w:hanging="709"/>
        <w:rPr>
          <w:lang w:val="en-AU"/>
        </w:rPr>
      </w:pPr>
      <w:r>
        <w:rPr>
          <w:lang w:val="en-AU"/>
        </w:rPr>
        <w:t>The s</w:t>
      </w:r>
      <w:r w:rsidRPr="00D8104F">
        <w:rPr>
          <w:lang w:val="en-AU"/>
        </w:rPr>
        <w:t xml:space="preserve">tandards of </w:t>
      </w:r>
      <w:r>
        <w:rPr>
          <w:lang w:val="en-AU"/>
        </w:rPr>
        <w:t>quality, reliability and security of supply</w:t>
      </w:r>
      <w:r w:rsidRPr="00D8104F">
        <w:rPr>
          <w:lang w:val="en-AU"/>
        </w:rPr>
        <w:t xml:space="preserve"> </w:t>
      </w:r>
      <w:r>
        <w:rPr>
          <w:lang w:val="en-AU"/>
        </w:rPr>
        <w:t>that are to be delivered in the 2014-19 regulatory control period are the standards established in the ESS Code and GSL Code.</w:t>
      </w:r>
    </w:p>
    <w:p w14:paraId="1E0AA07B" w14:textId="77777777" w:rsidR="00893266" w:rsidRPr="00893266" w:rsidRDefault="00893266" w:rsidP="00F7469F">
      <w:pPr>
        <w:tabs>
          <w:tab w:val="num" w:pos="709"/>
        </w:tabs>
        <w:ind w:left="709" w:hanging="709"/>
        <w:rPr>
          <w:lang w:val="en-AU"/>
        </w:rPr>
      </w:pPr>
    </w:p>
    <w:tbl>
      <w:tblPr>
        <w:tblW w:w="0" w:type="auto"/>
        <w:tblLayout w:type="fixed"/>
        <w:tblLook w:val="01E0" w:firstRow="1" w:lastRow="1" w:firstColumn="1" w:lastColumn="1" w:noHBand="0" w:noVBand="0"/>
      </w:tblPr>
      <w:tblGrid>
        <w:gridCol w:w="9288"/>
      </w:tblGrid>
      <w:tr w:rsidR="000C1567" w14:paraId="668386EC" w14:textId="77777777" w:rsidTr="000C1567">
        <w:tc>
          <w:tcPr>
            <w:tcW w:w="9288" w:type="dxa"/>
          </w:tcPr>
          <w:p w14:paraId="18BB5A4A" w14:textId="77777777" w:rsidR="000C1567" w:rsidRDefault="000C1567" w:rsidP="00EF320F">
            <w:pPr>
              <w:pStyle w:val="NumberLevel1"/>
              <w:pageBreakBefore/>
              <w:numPr>
                <w:ilvl w:val="0"/>
                <w:numId w:val="4"/>
              </w:numPr>
              <w:ind w:left="431" w:hanging="431"/>
            </w:pPr>
            <w:r>
              <w:br w:type="page"/>
            </w:r>
          </w:p>
        </w:tc>
      </w:tr>
      <w:tr w:rsidR="000C1567" w14:paraId="374D6FB1" w14:textId="77777777" w:rsidTr="000C1567">
        <w:tc>
          <w:tcPr>
            <w:tcW w:w="9288" w:type="dxa"/>
          </w:tcPr>
          <w:p w14:paraId="5EDBF4DB" w14:textId="1CD77117" w:rsidR="000C1567" w:rsidRDefault="003B28CD" w:rsidP="00956D95">
            <w:pPr>
              <w:pStyle w:val="UtilComChapterHeading"/>
              <w:outlineLvl w:val="0"/>
            </w:pPr>
            <w:bookmarkStart w:id="176" w:name="_Toc385241510"/>
            <w:bookmarkStart w:id="177" w:name="_Toc386013063"/>
            <w:r>
              <w:t xml:space="preserve">Forecast </w:t>
            </w:r>
            <w:r w:rsidR="00956D95">
              <w:t>C</w:t>
            </w:r>
            <w:r>
              <w:t xml:space="preserve">apital </w:t>
            </w:r>
            <w:r w:rsidR="00956D95">
              <w:t>E</w:t>
            </w:r>
            <w:r>
              <w:t>xpenditure</w:t>
            </w:r>
            <w:bookmarkEnd w:id="176"/>
            <w:bookmarkEnd w:id="177"/>
          </w:p>
        </w:tc>
      </w:tr>
    </w:tbl>
    <w:p w14:paraId="30C2B5FD" w14:textId="77777777" w:rsidR="00C76810" w:rsidRDefault="00C76810" w:rsidP="00C76810">
      <w:pPr>
        <w:pStyle w:val="UtilComHeading2"/>
      </w:pPr>
      <w:bookmarkStart w:id="178" w:name="_Toc385241511"/>
      <w:bookmarkStart w:id="179" w:name="_Toc386013064"/>
      <w:r>
        <w:t>Introduction</w:t>
      </w:r>
      <w:bookmarkEnd w:id="178"/>
      <w:bookmarkEnd w:id="179"/>
    </w:p>
    <w:p w14:paraId="38CC78D6" w14:textId="2B9539D2" w:rsidR="00C76810" w:rsidRPr="00AE64C5" w:rsidRDefault="00C76810" w:rsidP="00346DAA">
      <w:pPr>
        <w:pStyle w:val="NumberLevel2"/>
        <w:numPr>
          <w:ilvl w:val="1"/>
          <w:numId w:val="5"/>
        </w:numPr>
        <w:ind w:left="709" w:hanging="709"/>
        <w:rPr>
          <w:lang w:val="en-AU"/>
        </w:rPr>
      </w:pPr>
      <w:r w:rsidRPr="00AE64C5">
        <w:rPr>
          <w:lang w:val="en-AU"/>
        </w:rPr>
        <w:t xml:space="preserve">This chapter sets out the Commission’s </w:t>
      </w:r>
      <w:r w:rsidR="009E13A8">
        <w:rPr>
          <w:lang w:val="en-AU"/>
        </w:rPr>
        <w:t>decision</w:t>
      </w:r>
      <w:r w:rsidR="009E13A8" w:rsidRPr="00AE64C5">
        <w:rPr>
          <w:lang w:val="en-AU"/>
        </w:rPr>
        <w:t xml:space="preserve"> </w:t>
      </w:r>
      <w:r w:rsidRPr="00AE64C5">
        <w:rPr>
          <w:lang w:val="en-AU"/>
        </w:rPr>
        <w:t xml:space="preserve">on </w:t>
      </w:r>
      <w:r w:rsidR="009E13A8">
        <w:rPr>
          <w:lang w:val="en-AU"/>
        </w:rPr>
        <w:t>the total capital expenditure required by</w:t>
      </w:r>
      <w:r w:rsidRPr="00AE64C5">
        <w:rPr>
          <w:lang w:val="en-AU"/>
        </w:rPr>
        <w:t xml:space="preserve"> PWC Networks for the </w:t>
      </w:r>
      <w:r w:rsidR="003578EF">
        <w:rPr>
          <w:lang w:val="en-AU"/>
        </w:rPr>
        <w:t>2014</w:t>
      </w:r>
      <w:r w:rsidR="009E13A8">
        <w:rPr>
          <w:lang w:val="en-AU"/>
        </w:rPr>
        <w:noBreakHyphen/>
      </w:r>
      <w:r w:rsidR="003578EF">
        <w:rPr>
          <w:lang w:val="en-AU"/>
        </w:rPr>
        <w:t>19</w:t>
      </w:r>
      <w:r w:rsidR="003578EF" w:rsidRPr="00AE64C5">
        <w:rPr>
          <w:lang w:val="en-AU"/>
        </w:rPr>
        <w:t xml:space="preserve"> </w:t>
      </w:r>
      <w:r w:rsidRPr="00AE64C5">
        <w:rPr>
          <w:lang w:val="en-AU"/>
        </w:rPr>
        <w:t>regulatory control period. It also:</w:t>
      </w:r>
    </w:p>
    <w:p w14:paraId="17447FFD" w14:textId="16D7EB2F" w:rsidR="00C76810" w:rsidRDefault="00C76810" w:rsidP="00346DAA">
      <w:pPr>
        <w:pStyle w:val="UtilComBulletText"/>
        <w:tabs>
          <w:tab w:val="clear" w:pos="964"/>
          <w:tab w:val="num" w:pos="1134"/>
        </w:tabs>
        <w:ind w:left="1134" w:hanging="425"/>
      </w:pPr>
      <w:r>
        <w:t xml:space="preserve">discusses the framework the </w:t>
      </w:r>
      <w:r w:rsidR="00E70748">
        <w:t>Commission</w:t>
      </w:r>
      <w:r>
        <w:t xml:space="preserve"> has applied in assessing </w:t>
      </w:r>
      <w:r w:rsidR="009E13A8">
        <w:t>PWC Networks’ proposed capex forecast</w:t>
      </w:r>
      <w:r w:rsidR="00E70748">
        <w:t>;</w:t>
      </w:r>
    </w:p>
    <w:p w14:paraId="39EEC302" w14:textId="77777777" w:rsidR="00C76810" w:rsidRDefault="00C76810" w:rsidP="00346DAA">
      <w:pPr>
        <w:pStyle w:val="UtilComBulletText"/>
        <w:tabs>
          <w:tab w:val="clear" w:pos="964"/>
          <w:tab w:val="num" w:pos="1134"/>
        </w:tabs>
        <w:ind w:left="1134" w:hanging="425"/>
      </w:pPr>
      <w:r>
        <w:t xml:space="preserve">discusses the outcomes of the </w:t>
      </w:r>
      <w:r w:rsidR="00107D48">
        <w:t xml:space="preserve">2009-14 </w:t>
      </w:r>
      <w:r>
        <w:t>regulatory control period</w:t>
      </w:r>
      <w:r w:rsidR="00E70748">
        <w:t>;</w:t>
      </w:r>
    </w:p>
    <w:p w14:paraId="17BC031D" w14:textId="74661EE5" w:rsidR="00C76810" w:rsidRDefault="00C76810" w:rsidP="00346DAA">
      <w:pPr>
        <w:pStyle w:val="UtilComBulletText"/>
        <w:tabs>
          <w:tab w:val="clear" w:pos="964"/>
          <w:tab w:val="num" w:pos="1134"/>
        </w:tabs>
        <w:ind w:left="1134" w:hanging="425"/>
      </w:pPr>
      <w:r>
        <w:t xml:space="preserve">provides a general overview of </w:t>
      </w:r>
      <w:r w:rsidR="009E13A8">
        <w:t>PWC Networks’ proposed capex forecast</w:t>
      </w:r>
      <w:r w:rsidR="00E70748">
        <w:t>;</w:t>
      </w:r>
    </w:p>
    <w:p w14:paraId="22D02BC8" w14:textId="0CBC3992" w:rsidR="00C76810" w:rsidRDefault="00C76810" w:rsidP="00346DAA">
      <w:pPr>
        <w:pStyle w:val="UtilComBulletText"/>
        <w:tabs>
          <w:tab w:val="clear" w:pos="964"/>
          <w:tab w:val="num" w:pos="1134"/>
        </w:tabs>
        <w:ind w:left="1134" w:hanging="425"/>
      </w:pPr>
      <w:r>
        <w:t xml:space="preserve">lists comments made by stakeholders on </w:t>
      </w:r>
      <w:r w:rsidR="009E13A8">
        <w:t>PWC Networks’ proposed capex forecast</w:t>
      </w:r>
      <w:r w:rsidR="00E70748">
        <w:t xml:space="preserve">; and </w:t>
      </w:r>
    </w:p>
    <w:p w14:paraId="272C4CA2" w14:textId="77777777" w:rsidR="00C76810" w:rsidRDefault="00C76810" w:rsidP="00346DAA">
      <w:pPr>
        <w:pStyle w:val="UtilComBulletText"/>
        <w:tabs>
          <w:tab w:val="clear" w:pos="964"/>
          <w:tab w:val="num" w:pos="1134"/>
        </w:tabs>
        <w:ind w:left="1134" w:hanging="425"/>
      </w:pPr>
      <w:r>
        <w:t xml:space="preserve">sets out the </w:t>
      </w:r>
      <w:r w:rsidR="00E70748">
        <w:t>Commission</w:t>
      </w:r>
      <w:r>
        <w:t>’s considerations and responses to stakeholder comments.</w:t>
      </w:r>
    </w:p>
    <w:p w14:paraId="6984A66F" w14:textId="5BCE4C93" w:rsidR="00C76810" w:rsidRDefault="00C76810" w:rsidP="00C76810">
      <w:pPr>
        <w:pStyle w:val="UtilComHeading2"/>
      </w:pPr>
      <w:bookmarkStart w:id="180" w:name="_Toc385241512"/>
      <w:bookmarkStart w:id="181" w:name="_Toc386013065"/>
      <w:r>
        <w:t xml:space="preserve">Regulatory </w:t>
      </w:r>
      <w:bookmarkEnd w:id="180"/>
      <w:r w:rsidR="00401920">
        <w:t>Requirements</w:t>
      </w:r>
      <w:bookmarkEnd w:id="181"/>
    </w:p>
    <w:p w14:paraId="20F1EA62" w14:textId="4E2E457F" w:rsidR="00FA7D1F" w:rsidRPr="00FA7D1F" w:rsidRDefault="00FB2EC5" w:rsidP="00FA7D1F">
      <w:pPr>
        <w:pStyle w:val="UtilComHeading3"/>
      </w:pPr>
      <w:r>
        <w:t>Network Access Code</w:t>
      </w:r>
    </w:p>
    <w:p w14:paraId="7BB98751" w14:textId="624C246F" w:rsidR="00900CD6" w:rsidRDefault="00900CD6" w:rsidP="00346DAA">
      <w:pPr>
        <w:pStyle w:val="NumberLevel2"/>
        <w:numPr>
          <w:ilvl w:val="1"/>
          <w:numId w:val="5"/>
        </w:numPr>
        <w:tabs>
          <w:tab w:val="num" w:pos="709"/>
        </w:tabs>
        <w:ind w:left="709" w:hanging="709"/>
        <w:rPr>
          <w:lang w:val="en-AU"/>
        </w:rPr>
      </w:pPr>
      <w:r>
        <w:rPr>
          <w:lang w:val="en-AU"/>
        </w:rPr>
        <w:t xml:space="preserve">Clause 68 of the </w:t>
      </w:r>
      <w:r w:rsidR="00FB2EC5">
        <w:rPr>
          <w:lang w:val="en-AU"/>
        </w:rPr>
        <w:t>Network Access Code</w:t>
      </w:r>
      <w:r>
        <w:rPr>
          <w:lang w:val="en-AU"/>
        </w:rPr>
        <w:t xml:space="preserve"> requires the Commission, in setting a revenue </w:t>
      </w:r>
      <w:r w:rsidR="009E13A8">
        <w:rPr>
          <w:lang w:val="en-AU"/>
        </w:rPr>
        <w:t xml:space="preserve">cap </w:t>
      </w:r>
      <w:r>
        <w:rPr>
          <w:lang w:val="en-AU"/>
        </w:rPr>
        <w:t xml:space="preserve">or price cap, to take into account the revenue requirements of </w:t>
      </w:r>
      <w:r w:rsidR="009E13A8">
        <w:rPr>
          <w:lang w:val="en-AU"/>
        </w:rPr>
        <w:t>PWC Networks</w:t>
      </w:r>
      <w:r>
        <w:rPr>
          <w:lang w:val="en-AU"/>
        </w:rPr>
        <w:t xml:space="preserve"> during the relevant </w:t>
      </w:r>
      <w:r w:rsidR="009E13A8">
        <w:rPr>
          <w:lang w:val="en-AU"/>
        </w:rPr>
        <w:t xml:space="preserve">regulatory </w:t>
      </w:r>
      <w:r>
        <w:rPr>
          <w:lang w:val="en-AU"/>
        </w:rPr>
        <w:t xml:space="preserve">year or </w:t>
      </w:r>
      <w:r w:rsidR="009E13A8">
        <w:rPr>
          <w:lang w:val="en-AU"/>
        </w:rPr>
        <w:t xml:space="preserve">regulatory </w:t>
      </w:r>
      <w:r>
        <w:rPr>
          <w:lang w:val="en-AU"/>
        </w:rPr>
        <w:t>years having regard to a number of factors.</w:t>
      </w:r>
    </w:p>
    <w:p w14:paraId="178926D7" w14:textId="77777777" w:rsidR="00900CD6" w:rsidRDefault="00900CD6" w:rsidP="00346DAA">
      <w:pPr>
        <w:pStyle w:val="NumberLevel2"/>
        <w:numPr>
          <w:ilvl w:val="1"/>
          <w:numId w:val="5"/>
        </w:numPr>
        <w:tabs>
          <w:tab w:val="num" w:pos="709"/>
        </w:tabs>
        <w:ind w:left="709" w:hanging="709"/>
        <w:rPr>
          <w:lang w:val="en-AU"/>
        </w:rPr>
      </w:pPr>
      <w:r>
        <w:rPr>
          <w:lang w:val="en-AU"/>
        </w:rPr>
        <w:t>One of these factors is:</w:t>
      </w:r>
    </w:p>
    <w:p w14:paraId="03A3B5B0" w14:textId="77777777" w:rsidR="003A5A05" w:rsidRPr="00FD4774" w:rsidRDefault="003A5A05" w:rsidP="004B63D8">
      <w:pPr>
        <w:pStyle w:val="UtilComQuotationText"/>
        <w:ind w:left="1560" w:hanging="426"/>
      </w:pPr>
      <w:r w:rsidRPr="00FD4774">
        <w:t>(e)</w:t>
      </w:r>
      <w:r w:rsidRPr="00FD4774">
        <w:tab/>
        <w:t>the provision of a return on efficient capital investment undertaken by the network provider in order to maintain or extend network capacity that is commensurate with the commercial and regulatory risks involved;</w:t>
      </w:r>
    </w:p>
    <w:p w14:paraId="3A7DE187" w14:textId="77777777" w:rsidR="003A5A05" w:rsidRDefault="003A5A05" w:rsidP="003A5A05">
      <w:pPr>
        <w:pStyle w:val="UtilComHeading3"/>
      </w:pPr>
      <w:r w:rsidRPr="00321BDA">
        <w:t>National Electricity Rules</w:t>
      </w:r>
    </w:p>
    <w:p w14:paraId="151E0528" w14:textId="5ABF7A76" w:rsidR="003A5A05" w:rsidRPr="003A5A05" w:rsidRDefault="003A5A05" w:rsidP="00346DAA">
      <w:pPr>
        <w:pStyle w:val="NumberLevel2"/>
        <w:numPr>
          <w:ilvl w:val="1"/>
          <w:numId w:val="5"/>
        </w:numPr>
        <w:tabs>
          <w:tab w:val="num" w:pos="709"/>
        </w:tabs>
        <w:ind w:left="709" w:hanging="709"/>
        <w:rPr>
          <w:lang w:val="en-AU"/>
        </w:rPr>
      </w:pPr>
      <w:r w:rsidRPr="003A5A05">
        <w:rPr>
          <w:lang w:val="en-AU"/>
        </w:rPr>
        <w:t xml:space="preserve">Clause 6.5.7(a) of the NER provides that a </w:t>
      </w:r>
      <w:r w:rsidR="009E13A8">
        <w:rPr>
          <w:lang w:val="en-AU"/>
        </w:rPr>
        <w:t>building block proposal</w:t>
      </w:r>
      <w:r w:rsidR="009E13A8" w:rsidRPr="003A5A05">
        <w:rPr>
          <w:lang w:val="en-AU"/>
        </w:rPr>
        <w:t xml:space="preserve"> </w:t>
      </w:r>
      <w:r w:rsidRPr="003A5A05">
        <w:rPr>
          <w:lang w:val="en-AU"/>
        </w:rPr>
        <w:t xml:space="preserve">must include the total forecast capex for the </w:t>
      </w:r>
      <w:r w:rsidR="009E13A8">
        <w:rPr>
          <w:lang w:val="en-AU"/>
        </w:rPr>
        <w:t xml:space="preserve">relevant </w:t>
      </w:r>
      <w:r w:rsidRPr="003A5A05">
        <w:rPr>
          <w:lang w:val="en-AU"/>
        </w:rPr>
        <w:t xml:space="preserve">regulatory control period </w:t>
      </w:r>
      <w:r w:rsidR="009E13A8">
        <w:rPr>
          <w:lang w:val="en-AU"/>
        </w:rPr>
        <w:t xml:space="preserve">which a DNSP considers is required </w:t>
      </w:r>
      <w:r w:rsidRPr="003A5A05">
        <w:rPr>
          <w:lang w:val="en-AU"/>
        </w:rPr>
        <w:t xml:space="preserve">in order to achieve </w:t>
      </w:r>
      <w:r w:rsidR="009E13A8">
        <w:rPr>
          <w:lang w:val="en-AU"/>
        </w:rPr>
        <w:t xml:space="preserve">each of </w:t>
      </w:r>
      <w:r w:rsidRPr="003A5A05">
        <w:rPr>
          <w:lang w:val="en-AU"/>
        </w:rPr>
        <w:t xml:space="preserve">the following </w:t>
      </w:r>
      <w:r w:rsidR="009E13A8">
        <w:rPr>
          <w:lang w:val="en-AU"/>
        </w:rPr>
        <w:t>capital expenditure</w:t>
      </w:r>
      <w:r w:rsidR="009E13A8" w:rsidRPr="003A5A05">
        <w:rPr>
          <w:lang w:val="en-AU"/>
        </w:rPr>
        <w:t xml:space="preserve"> </w:t>
      </w:r>
      <w:r w:rsidRPr="003A5A05">
        <w:rPr>
          <w:lang w:val="en-AU"/>
        </w:rPr>
        <w:t>objectives:</w:t>
      </w:r>
    </w:p>
    <w:p w14:paraId="3BB898D0" w14:textId="77777777" w:rsidR="003A5A05" w:rsidRPr="00B754A6" w:rsidRDefault="003A5A05" w:rsidP="00D8712A">
      <w:pPr>
        <w:pStyle w:val="UtilComQuotationText"/>
        <w:ind w:left="1134" w:hanging="425"/>
      </w:pPr>
      <w:r w:rsidRPr="00B754A6">
        <w:t xml:space="preserve">(1) </w:t>
      </w:r>
      <w:r w:rsidR="00B754A6">
        <w:tab/>
      </w:r>
      <w:r w:rsidRPr="00B754A6">
        <w:t>meet or manage the expected demand for standard control services over that period</w:t>
      </w:r>
    </w:p>
    <w:p w14:paraId="33CB2FC4" w14:textId="77777777" w:rsidR="003A5A05" w:rsidRPr="00B754A6" w:rsidRDefault="003A5A05" w:rsidP="00D8712A">
      <w:pPr>
        <w:pStyle w:val="UtilComQuotationText"/>
        <w:ind w:left="1134" w:hanging="425"/>
      </w:pPr>
      <w:r w:rsidRPr="00B754A6">
        <w:t xml:space="preserve">(2) </w:t>
      </w:r>
      <w:r w:rsidR="00B754A6">
        <w:tab/>
      </w:r>
      <w:r w:rsidRPr="00B754A6">
        <w:t>comply with all applicable regulatory obligations or requirements associated with the provision of standard control services</w:t>
      </w:r>
    </w:p>
    <w:p w14:paraId="14F441A1" w14:textId="2481D15C" w:rsidR="00BF4DCC" w:rsidRDefault="003A5A05" w:rsidP="00D8712A">
      <w:pPr>
        <w:pStyle w:val="UtilComQuotationText"/>
        <w:ind w:left="1134" w:hanging="425"/>
      </w:pPr>
      <w:r w:rsidRPr="00B754A6">
        <w:t xml:space="preserve">(3) </w:t>
      </w:r>
      <w:r w:rsidR="00B754A6">
        <w:tab/>
      </w:r>
      <w:r w:rsidR="00BF4DCC">
        <w:t>to the extent that there is no applicable regulatory obligation or requirement</w:t>
      </w:r>
      <w:r w:rsidR="00104537">
        <w:t xml:space="preserve"> </w:t>
      </w:r>
      <w:r w:rsidR="00BF4DCC">
        <w:t>in relation to:</w:t>
      </w:r>
    </w:p>
    <w:p w14:paraId="798685A4" w14:textId="074F4D37" w:rsidR="00BF4DCC" w:rsidRDefault="00BF4DCC" w:rsidP="00D8712A">
      <w:pPr>
        <w:pStyle w:val="UtilComQuotationText"/>
        <w:ind w:left="1560" w:hanging="426"/>
      </w:pPr>
      <w:r>
        <w:t>(i)</w:t>
      </w:r>
      <w:r w:rsidR="00D8712A">
        <w:tab/>
      </w:r>
      <w:r>
        <w:t>the quality, reliability or security of supply of standard control services; or</w:t>
      </w:r>
    </w:p>
    <w:p w14:paraId="38C1E1B6" w14:textId="0851F4A6" w:rsidR="00BF4DCC" w:rsidRDefault="00BF4DCC" w:rsidP="00D8712A">
      <w:pPr>
        <w:pStyle w:val="UtilComQuotationText"/>
        <w:ind w:left="1560" w:hanging="426"/>
      </w:pPr>
      <w:r>
        <w:t xml:space="preserve">(ii) </w:t>
      </w:r>
      <w:r w:rsidR="00D8712A">
        <w:tab/>
      </w:r>
      <w:r>
        <w:t>the reliability or security of the distribution system through the supply of standard control services;</w:t>
      </w:r>
    </w:p>
    <w:p w14:paraId="00FCC3A2" w14:textId="77777777" w:rsidR="00BF4DCC" w:rsidRDefault="00BF4DCC" w:rsidP="00D8712A">
      <w:pPr>
        <w:pStyle w:val="UtilComQuotationText"/>
        <w:ind w:left="1560" w:hanging="426"/>
      </w:pPr>
      <w:r>
        <w:t>to the relevant extent:</w:t>
      </w:r>
    </w:p>
    <w:p w14:paraId="7BE9E062" w14:textId="4B234A96" w:rsidR="003A5A05" w:rsidRDefault="00BF4DCC" w:rsidP="00D8712A">
      <w:pPr>
        <w:pStyle w:val="UtilComQuotationText"/>
        <w:ind w:left="1560" w:hanging="426"/>
      </w:pPr>
      <w:r>
        <w:t xml:space="preserve">(iii) </w:t>
      </w:r>
      <w:r w:rsidR="00D8712A">
        <w:tab/>
      </w:r>
      <w:r w:rsidR="003A5A05" w:rsidRPr="00B754A6">
        <w:t>maintain the quality, reliability and security of supply of standard control services</w:t>
      </w:r>
      <w:r>
        <w:t>; and</w:t>
      </w:r>
    </w:p>
    <w:p w14:paraId="56521B31" w14:textId="145C91ED" w:rsidR="00BF4DCC" w:rsidRPr="00B754A6" w:rsidRDefault="00BF4DCC" w:rsidP="00BB4311">
      <w:pPr>
        <w:pStyle w:val="UtilComQuotationText"/>
        <w:ind w:left="1560" w:hanging="426"/>
      </w:pPr>
      <w:r>
        <w:t>(iv)</w:t>
      </w:r>
      <w:r w:rsidR="00D8712A">
        <w:tab/>
      </w:r>
      <w:r>
        <w:t>maintain the reliability and security of the distribution system through the supply of standard control services; and</w:t>
      </w:r>
    </w:p>
    <w:p w14:paraId="26EA1B51" w14:textId="77777777" w:rsidR="003A5A05" w:rsidRPr="00B754A6" w:rsidRDefault="003A5A05" w:rsidP="00BB4311">
      <w:pPr>
        <w:pStyle w:val="UtilComQuotationText"/>
        <w:ind w:left="1134" w:hanging="425"/>
      </w:pPr>
      <w:r w:rsidRPr="00B754A6">
        <w:t xml:space="preserve">(4) </w:t>
      </w:r>
      <w:r w:rsidR="00B754A6">
        <w:tab/>
      </w:r>
      <w:r w:rsidRPr="00B754A6">
        <w:t>maintain the safety of the distribution system through the supply of standard control services.</w:t>
      </w:r>
    </w:p>
    <w:p w14:paraId="1AE57696" w14:textId="6BD89688" w:rsidR="009E13A8" w:rsidRDefault="009E13A8" w:rsidP="009E13A8">
      <w:pPr>
        <w:pStyle w:val="NumberLevel2"/>
        <w:numPr>
          <w:ilvl w:val="1"/>
          <w:numId w:val="5"/>
        </w:numPr>
        <w:tabs>
          <w:tab w:val="num" w:pos="709"/>
        </w:tabs>
        <w:ind w:left="709" w:hanging="709"/>
        <w:rPr>
          <w:lang w:val="en-AU"/>
        </w:rPr>
      </w:pPr>
      <w:r w:rsidRPr="009E13A8">
        <w:rPr>
          <w:lang w:val="en-AU"/>
        </w:rPr>
        <w:t>The DNSP's proposed capital expenditure forecast must also comply with any relevant regulatory information instrument, for expenditure that is properly allocated to standard control services in accordance with the principles and policies in the DNSP's CAM and include and identify several other matters specified in clause 6.5.7(b) of the</w:t>
      </w:r>
      <w:r w:rsidR="00114B1D">
        <w:rPr>
          <w:lang w:val="en-AU"/>
        </w:rPr>
        <w:t> </w:t>
      </w:r>
      <w:r w:rsidRPr="009E13A8">
        <w:rPr>
          <w:lang w:val="en-AU"/>
        </w:rPr>
        <w:t>NER.</w:t>
      </w:r>
    </w:p>
    <w:p w14:paraId="2E4F62B8" w14:textId="1E1EA3F2" w:rsidR="003A5A05" w:rsidRPr="003A5A05" w:rsidRDefault="003A5A05" w:rsidP="00346DAA">
      <w:pPr>
        <w:pStyle w:val="NumberLevel2"/>
        <w:numPr>
          <w:ilvl w:val="1"/>
          <w:numId w:val="5"/>
        </w:numPr>
        <w:tabs>
          <w:tab w:val="num" w:pos="709"/>
        </w:tabs>
        <w:ind w:left="709" w:hanging="709"/>
        <w:rPr>
          <w:lang w:val="en-AU"/>
        </w:rPr>
      </w:pPr>
      <w:r w:rsidRPr="003A5A05">
        <w:rPr>
          <w:lang w:val="en-AU"/>
        </w:rPr>
        <w:t xml:space="preserve">Clause 6.5.7(c) of the NER provides that the AER must accept the </w:t>
      </w:r>
      <w:r w:rsidR="00001A3C">
        <w:rPr>
          <w:lang w:val="en-AU"/>
        </w:rPr>
        <w:t xml:space="preserve">forecast of required </w:t>
      </w:r>
      <w:r w:rsidRPr="003A5A05">
        <w:rPr>
          <w:lang w:val="en-AU"/>
        </w:rPr>
        <w:t xml:space="preserve">capex included in a DNSP’s </w:t>
      </w:r>
      <w:r w:rsidR="00001A3C">
        <w:rPr>
          <w:lang w:val="en-AU"/>
        </w:rPr>
        <w:t>building block</w:t>
      </w:r>
      <w:r w:rsidR="00001A3C" w:rsidRPr="003A5A05">
        <w:rPr>
          <w:lang w:val="en-AU"/>
        </w:rPr>
        <w:t xml:space="preserve"> </w:t>
      </w:r>
      <w:r w:rsidRPr="003A5A05">
        <w:rPr>
          <w:lang w:val="en-AU"/>
        </w:rPr>
        <w:t xml:space="preserve">proposal if it is satisfied that the total of the forecast </w:t>
      </w:r>
      <w:r w:rsidR="00001A3C">
        <w:rPr>
          <w:lang w:val="en-AU"/>
        </w:rPr>
        <w:t xml:space="preserve">capex </w:t>
      </w:r>
      <w:r w:rsidRPr="003A5A05">
        <w:rPr>
          <w:lang w:val="en-AU"/>
        </w:rPr>
        <w:t>for the regulatory control period reasonably reflects</w:t>
      </w:r>
      <w:r w:rsidR="00001A3C">
        <w:rPr>
          <w:lang w:val="en-AU"/>
        </w:rPr>
        <w:t xml:space="preserve"> each of the </w:t>
      </w:r>
      <w:r w:rsidR="002B6C7A">
        <w:rPr>
          <w:lang w:val="en-AU"/>
        </w:rPr>
        <w:t xml:space="preserve">following </w:t>
      </w:r>
      <w:r w:rsidR="00001A3C">
        <w:rPr>
          <w:lang w:val="en-AU"/>
        </w:rPr>
        <w:t>capital expenditure criteria</w:t>
      </w:r>
      <w:r w:rsidRPr="003A5A05">
        <w:rPr>
          <w:lang w:val="en-AU"/>
        </w:rPr>
        <w:t>:</w:t>
      </w:r>
    </w:p>
    <w:p w14:paraId="368AE710" w14:textId="12A94E35" w:rsidR="003A5A05" w:rsidRPr="00B754A6" w:rsidRDefault="003A5A05" w:rsidP="00D8712A">
      <w:pPr>
        <w:pStyle w:val="UtilComQuotationText"/>
        <w:ind w:left="1134" w:hanging="425"/>
      </w:pPr>
      <w:r w:rsidRPr="00B754A6">
        <w:t xml:space="preserve">(1) </w:t>
      </w:r>
      <w:r w:rsidR="00B754A6">
        <w:tab/>
      </w:r>
      <w:r w:rsidRPr="00B754A6">
        <w:t xml:space="preserve">the efficient costs of achieving the </w:t>
      </w:r>
      <w:r w:rsidR="00001A3C">
        <w:t>capital expenditure</w:t>
      </w:r>
      <w:r w:rsidR="00001A3C" w:rsidRPr="00B754A6">
        <w:t xml:space="preserve"> </w:t>
      </w:r>
      <w:r w:rsidRPr="00B754A6">
        <w:t>objectives</w:t>
      </w:r>
    </w:p>
    <w:p w14:paraId="09CF2FD3" w14:textId="0429F94F" w:rsidR="003A5A05" w:rsidRPr="00B754A6" w:rsidRDefault="003A5A05" w:rsidP="00D8712A">
      <w:pPr>
        <w:pStyle w:val="UtilComQuotationText"/>
        <w:ind w:left="1134" w:hanging="425"/>
      </w:pPr>
      <w:r w:rsidRPr="00B754A6">
        <w:t xml:space="preserve">(2) </w:t>
      </w:r>
      <w:r w:rsidR="00B754A6">
        <w:tab/>
      </w:r>
      <w:r w:rsidRPr="00B754A6">
        <w:t xml:space="preserve">the costs that a prudent operator would require to achieve the </w:t>
      </w:r>
      <w:r w:rsidR="00001A3C">
        <w:t>capital expenditure</w:t>
      </w:r>
      <w:r w:rsidR="00001A3C" w:rsidRPr="00B754A6">
        <w:t xml:space="preserve"> </w:t>
      </w:r>
      <w:r w:rsidRPr="00B754A6">
        <w:t>objectives</w:t>
      </w:r>
    </w:p>
    <w:p w14:paraId="6C6A716A" w14:textId="594E0C10" w:rsidR="003A5A05" w:rsidRPr="00B754A6" w:rsidRDefault="003A5A05" w:rsidP="00D8712A">
      <w:pPr>
        <w:pStyle w:val="UtilComQuotationText"/>
        <w:ind w:left="1134" w:hanging="425"/>
      </w:pPr>
      <w:r w:rsidRPr="00B754A6">
        <w:t xml:space="preserve">(3) </w:t>
      </w:r>
      <w:r w:rsidR="00B754A6">
        <w:tab/>
      </w:r>
      <w:r w:rsidRPr="00B754A6">
        <w:t xml:space="preserve">a realistic expectation of the demand forecast and cost inputs required to achieve the </w:t>
      </w:r>
      <w:r w:rsidR="00001A3C">
        <w:t>capital expenditure</w:t>
      </w:r>
      <w:r w:rsidR="00001A3C" w:rsidRPr="00B754A6">
        <w:t xml:space="preserve"> </w:t>
      </w:r>
      <w:r w:rsidRPr="00B754A6">
        <w:t>objectives.</w:t>
      </w:r>
    </w:p>
    <w:p w14:paraId="4A8DDF73" w14:textId="01874344" w:rsidR="005D1A1E" w:rsidRPr="003A5A05" w:rsidRDefault="003A5A05" w:rsidP="00346DAA">
      <w:pPr>
        <w:pStyle w:val="NumberLevel2"/>
        <w:numPr>
          <w:ilvl w:val="1"/>
          <w:numId w:val="5"/>
        </w:numPr>
        <w:tabs>
          <w:tab w:val="num" w:pos="709"/>
        </w:tabs>
        <w:ind w:left="709" w:hanging="709"/>
        <w:rPr>
          <w:lang w:val="en-AU"/>
        </w:rPr>
      </w:pPr>
      <w:r w:rsidRPr="005D1A1E">
        <w:rPr>
          <w:lang w:val="en-AU"/>
        </w:rPr>
        <w:t>In making this assessment</w:t>
      </w:r>
      <w:r w:rsidR="00B754A6">
        <w:rPr>
          <w:lang w:val="en-AU"/>
        </w:rPr>
        <w:t>,</w:t>
      </w:r>
      <w:r w:rsidRPr="005D1A1E">
        <w:rPr>
          <w:lang w:val="en-AU"/>
        </w:rPr>
        <w:t xml:space="preserve"> the AER must have regard to the </w:t>
      </w:r>
      <w:r w:rsidR="00001A3C">
        <w:rPr>
          <w:lang w:val="en-AU"/>
        </w:rPr>
        <w:t>capital expenditure</w:t>
      </w:r>
      <w:r w:rsidR="00001A3C" w:rsidRPr="005D1A1E">
        <w:rPr>
          <w:lang w:val="en-AU"/>
        </w:rPr>
        <w:t xml:space="preserve"> </w:t>
      </w:r>
      <w:r w:rsidRPr="005D1A1E">
        <w:rPr>
          <w:lang w:val="en-AU"/>
        </w:rPr>
        <w:t>factor</w:t>
      </w:r>
      <w:r w:rsidR="005D1A1E">
        <w:rPr>
          <w:lang w:val="en-AU"/>
        </w:rPr>
        <w:t xml:space="preserve">s in </w:t>
      </w:r>
      <w:r w:rsidR="00001A3C">
        <w:rPr>
          <w:lang w:val="en-AU"/>
        </w:rPr>
        <w:t>clause </w:t>
      </w:r>
      <w:r w:rsidR="005D1A1E">
        <w:rPr>
          <w:lang w:val="en-AU"/>
        </w:rPr>
        <w:t>6.5.7(e) of the NER.</w:t>
      </w:r>
      <w:r w:rsidR="0011209F">
        <w:rPr>
          <w:lang w:val="en-AU"/>
        </w:rPr>
        <w:t xml:space="preserve"> These </w:t>
      </w:r>
      <w:r w:rsidR="00001A3C">
        <w:rPr>
          <w:lang w:val="en-AU"/>
        </w:rPr>
        <w:t xml:space="preserve">capital expenditure </w:t>
      </w:r>
      <w:r w:rsidR="0011209F">
        <w:rPr>
          <w:lang w:val="en-AU"/>
        </w:rPr>
        <w:t xml:space="preserve">factors were amended </w:t>
      </w:r>
      <w:r w:rsidR="00001A3C">
        <w:rPr>
          <w:lang w:val="en-AU"/>
        </w:rPr>
        <w:t>in</w:t>
      </w:r>
      <w:r w:rsidR="0011209F">
        <w:rPr>
          <w:lang w:val="en-AU"/>
        </w:rPr>
        <w:t xml:space="preserve"> </w:t>
      </w:r>
      <w:r w:rsidR="00FD5D58">
        <w:rPr>
          <w:lang w:val="en-AU"/>
        </w:rPr>
        <w:t xml:space="preserve">the </w:t>
      </w:r>
      <w:r w:rsidR="00001A3C">
        <w:rPr>
          <w:lang w:val="en-AU"/>
        </w:rPr>
        <w:t>November </w:t>
      </w:r>
      <w:r w:rsidR="0011209F">
        <w:rPr>
          <w:lang w:val="en-AU"/>
        </w:rPr>
        <w:t xml:space="preserve">2012, with a stronger emphasis being placed on benchmarking and a new factor </w:t>
      </w:r>
      <w:r w:rsidR="00001A3C">
        <w:rPr>
          <w:lang w:val="en-AU"/>
        </w:rPr>
        <w:t xml:space="preserve">included </w:t>
      </w:r>
      <w:r w:rsidR="0011209F">
        <w:rPr>
          <w:lang w:val="en-AU"/>
        </w:rPr>
        <w:t xml:space="preserve">to address the concerns identified by </w:t>
      </w:r>
      <w:r w:rsidR="00001A3C">
        <w:rPr>
          <w:lang w:val="en-AU"/>
        </w:rPr>
        <w:t xml:space="preserve">electricity </w:t>
      </w:r>
      <w:r w:rsidR="0011209F">
        <w:rPr>
          <w:lang w:val="en-AU"/>
        </w:rPr>
        <w:t xml:space="preserve">consumers. Provision was also made for projects excluded from capex </w:t>
      </w:r>
      <w:r w:rsidR="00001A3C">
        <w:rPr>
          <w:lang w:val="en-AU"/>
        </w:rPr>
        <w:t xml:space="preserve">forecasts </w:t>
      </w:r>
      <w:r w:rsidR="0011209F">
        <w:rPr>
          <w:lang w:val="en-AU"/>
        </w:rPr>
        <w:t>to be included as contingent projects.</w:t>
      </w:r>
    </w:p>
    <w:p w14:paraId="3FC226DA" w14:textId="5FBE0FF1" w:rsidR="003A5A05" w:rsidRPr="003A5A05" w:rsidRDefault="003A5A05" w:rsidP="00346DAA">
      <w:pPr>
        <w:pStyle w:val="NumberLevel2"/>
        <w:numPr>
          <w:ilvl w:val="1"/>
          <w:numId w:val="5"/>
        </w:numPr>
        <w:tabs>
          <w:tab w:val="num" w:pos="709"/>
        </w:tabs>
        <w:ind w:left="709" w:hanging="709"/>
        <w:rPr>
          <w:lang w:val="en-AU"/>
        </w:rPr>
      </w:pPr>
      <w:r w:rsidRPr="003A5A05">
        <w:rPr>
          <w:lang w:val="en-AU"/>
        </w:rPr>
        <w:t xml:space="preserve">Clause 6.5.7(d) of the NER states that, if the AER is not satisfied that a DNSP’s forecast capex reasonably reflects the </w:t>
      </w:r>
      <w:r w:rsidR="00001A3C">
        <w:rPr>
          <w:lang w:val="en-AU"/>
        </w:rPr>
        <w:t>capital expenditure</w:t>
      </w:r>
      <w:r w:rsidR="00001A3C" w:rsidRPr="003A5A05">
        <w:rPr>
          <w:lang w:val="en-AU"/>
        </w:rPr>
        <w:t xml:space="preserve"> </w:t>
      </w:r>
      <w:r w:rsidRPr="003A5A05">
        <w:rPr>
          <w:lang w:val="en-AU"/>
        </w:rPr>
        <w:t xml:space="preserve">criteria, the AER must not accept the </w:t>
      </w:r>
      <w:r w:rsidR="00001A3C">
        <w:rPr>
          <w:lang w:val="en-AU"/>
        </w:rPr>
        <w:t xml:space="preserve">DNSP’s </w:t>
      </w:r>
      <w:r w:rsidRPr="003A5A05">
        <w:rPr>
          <w:lang w:val="en-AU"/>
        </w:rPr>
        <w:t xml:space="preserve">forecast </w:t>
      </w:r>
      <w:r w:rsidR="00001A3C">
        <w:rPr>
          <w:lang w:val="en-AU"/>
        </w:rPr>
        <w:t xml:space="preserve">required </w:t>
      </w:r>
      <w:r w:rsidRPr="003A5A05">
        <w:rPr>
          <w:lang w:val="en-AU"/>
        </w:rPr>
        <w:t>capex</w:t>
      </w:r>
      <w:r w:rsidR="00FD5D58">
        <w:rPr>
          <w:lang w:val="en-AU"/>
        </w:rPr>
        <w:t>.</w:t>
      </w:r>
    </w:p>
    <w:p w14:paraId="29D8B87B" w14:textId="2A077311" w:rsidR="00001A3C" w:rsidRPr="00001A3C" w:rsidRDefault="00001A3C" w:rsidP="00001A3C">
      <w:pPr>
        <w:pStyle w:val="NumberLevel2"/>
        <w:numPr>
          <w:ilvl w:val="1"/>
          <w:numId w:val="5"/>
        </w:numPr>
        <w:tabs>
          <w:tab w:val="left" w:pos="709"/>
        </w:tabs>
        <w:ind w:left="709" w:hanging="709"/>
        <w:rPr>
          <w:lang w:val="en-AU"/>
        </w:rPr>
      </w:pPr>
      <w:r w:rsidRPr="00001A3C">
        <w:rPr>
          <w:lang w:val="en-AU"/>
        </w:rPr>
        <w:t>If the AER does not accept the proposal, then clause 6.12.1(3) of the NER requires the AER to set out its reasons for that decision and an estimate of the total of the DNSPs required capital expenditure that it is satisfied reasonably reflects the capital expenditure criteria, taking into account the capital expenditure factors outlined in clause 6.5.7 of the NER.</w:t>
      </w:r>
    </w:p>
    <w:p w14:paraId="7D8B1E27" w14:textId="3E56E180" w:rsidR="005D1A1E" w:rsidRDefault="005D1A1E" w:rsidP="005D1A1E">
      <w:pPr>
        <w:pStyle w:val="UtilComHeading3"/>
      </w:pPr>
      <w:r>
        <w:t xml:space="preserve">Framework and </w:t>
      </w:r>
      <w:r w:rsidR="00401920">
        <w:t>Approach</w:t>
      </w:r>
    </w:p>
    <w:p w14:paraId="5D10AD36" w14:textId="61960D09" w:rsidR="00E70748" w:rsidRPr="005D1A1E" w:rsidRDefault="005D1A1E" w:rsidP="00346DAA">
      <w:pPr>
        <w:pStyle w:val="NumberLevel2"/>
        <w:numPr>
          <w:ilvl w:val="1"/>
          <w:numId w:val="5"/>
        </w:numPr>
        <w:tabs>
          <w:tab w:val="left" w:pos="709"/>
        </w:tabs>
        <w:ind w:left="709" w:hanging="709"/>
        <w:rPr>
          <w:lang w:val="en-AU"/>
        </w:rPr>
      </w:pPr>
      <w:r w:rsidRPr="009F1175">
        <w:rPr>
          <w:lang w:val="en-AU"/>
        </w:rPr>
        <w:t>In its Framework</w:t>
      </w:r>
      <w:r w:rsidR="00622FA2">
        <w:rPr>
          <w:lang w:val="en-AU"/>
        </w:rPr>
        <w:t xml:space="preserve"> Statement</w:t>
      </w:r>
      <w:r w:rsidRPr="00CD113C">
        <w:rPr>
          <w:rStyle w:val="FootnoteReference"/>
          <w:vertAlign w:val="baseline"/>
        </w:rPr>
        <w:t>,</w:t>
      </w:r>
      <w:r w:rsidRPr="009F1175">
        <w:rPr>
          <w:lang w:val="en-AU"/>
        </w:rPr>
        <w:t xml:space="preserve"> the Commission </w:t>
      </w:r>
      <w:r w:rsidR="00001A3C">
        <w:rPr>
          <w:lang w:val="en-AU"/>
        </w:rPr>
        <w:t>stated that</w:t>
      </w:r>
      <w:r w:rsidRPr="009F1175">
        <w:rPr>
          <w:lang w:val="en-AU"/>
        </w:rPr>
        <w:t xml:space="preserve"> </w:t>
      </w:r>
      <w:r>
        <w:rPr>
          <w:lang w:val="en-AU"/>
        </w:rPr>
        <w:t>its</w:t>
      </w:r>
      <w:r w:rsidRPr="009F1175">
        <w:rPr>
          <w:lang w:val="en-AU"/>
        </w:rPr>
        <w:t xml:space="preserve"> preferred approach </w:t>
      </w:r>
      <w:r w:rsidR="00001A3C">
        <w:rPr>
          <w:lang w:val="en-AU"/>
        </w:rPr>
        <w:t>was to</w:t>
      </w:r>
      <w:r w:rsidRPr="005D1A1E">
        <w:rPr>
          <w:lang w:val="en-AU"/>
        </w:rPr>
        <w:t xml:space="preserve"> assess </w:t>
      </w:r>
      <w:r w:rsidR="00001A3C">
        <w:rPr>
          <w:lang w:val="en-AU"/>
        </w:rPr>
        <w:t>PWC Networks’ proposed</w:t>
      </w:r>
      <w:r w:rsidR="00001A3C" w:rsidRPr="005D1A1E">
        <w:rPr>
          <w:lang w:val="en-AU"/>
        </w:rPr>
        <w:t xml:space="preserve"> </w:t>
      </w:r>
      <w:r w:rsidR="000A2365">
        <w:rPr>
          <w:lang w:val="en-AU"/>
        </w:rPr>
        <w:t>capex</w:t>
      </w:r>
      <w:r w:rsidRPr="005D1A1E">
        <w:rPr>
          <w:lang w:val="en-AU"/>
        </w:rPr>
        <w:t xml:space="preserve"> </w:t>
      </w:r>
      <w:r w:rsidR="00001A3C">
        <w:rPr>
          <w:lang w:val="en-AU"/>
        </w:rPr>
        <w:t xml:space="preserve">forecast </w:t>
      </w:r>
      <w:r w:rsidRPr="005D1A1E">
        <w:rPr>
          <w:lang w:val="en-AU"/>
        </w:rPr>
        <w:t>against the requirements of clause 6.5.7 of the NER</w:t>
      </w:r>
      <w:r>
        <w:rPr>
          <w:lang w:val="en-AU"/>
        </w:rPr>
        <w:t>.</w:t>
      </w:r>
    </w:p>
    <w:p w14:paraId="63D1D1CC" w14:textId="2E3495C7" w:rsidR="00E70748" w:rsidRDefault="00E70748" w:rsidP="00CD113C">
      <w:pPr>
        <w:pStyle w:val="UtilComHeading2"/>
      </w:pPr>
      <w:bookmarkStart w:id="182" w:name="_Toc385241513"/>
      <w:bookmarkStart w:id="183" w:name="_Toc386013066"/>
      <w:r>
        <w:t xml:space="preserve">Current </w:t>
      </w:r>
      <w:r w:rsidR="00401920">
        <w:t xml:space="preserve">Period </w:t>
      </w:r>
      <w:bookmarkEnd w:id="182"/>
      <w:r w:rsidR="00401920">
        <w:t>Outcomes</w:t>
      </w:r>
      <w:bookmarkEnd w:id="183"/>
    </w:p>
    <w:p w14:paraId="036A6F81" w14:textId="71411052" w:rsidR="00185AA9" w:rsidRDefault="00185AA9" w:rsidP="00346DAA">
      <w:pPr>
        <w:pStyle w:val="NumberLevel2"/>
        <w:numPr>
          <w:ilvl w:val="1"/>
          <w:numId w:val="5"/>
        </w:numPr>
        <w:ind w:left="709" w:hanging="709"/>
        <w:rPr>
          <w:lang w:val="en-AU"/>
        </w:rPr>
      </w:pPr>
      <w:r w:rsidRPr="00185AA9">
        <w:rPr>
          <w:lang w:val="en-AU"/>
        </w:rPr>
        <w:t xml:space="preserve">The Commission has been unable to undertake a detailed analysis of capital expenditure outcomes with respect to </w:t>
      </w:r>
      <w:r>
        <w:rPr>
          <w:lang w:val="en-AU"/>
        </w:rPr>
        <w:t xml:space="preserve">the </w:t>
      </w:r>
      <w:r w:rsidR="00246B7B">
        <w:rPr>
          <w:lang w:val="en-AU"/>
        </w:rPr>
        <w:t>total required capex</w:t>
      </w:r>
      <w:r w:rsidR="00246B7B" w:rsidRPr="00185AA9">
        <w:rPr>
          <w:lang w:val="en-AU"/>
        </w:rPr>
        <w:t xml:space="preserve"> </w:t>
      </w:r>
      <w:r w:rsidRPr="00185AA9">
        <w:rPr>
          <w:lang w:val="en-AU"/>
        </w:rPr>
        <w:t>set by the Commission</w:t>
      </w:r>
      <w:r w:rsidR="002719F3">
        <w:rPr>
          <w:lang w:val="en-AU"/>
        </w:rPr>
        <w:t xml:space="preserve"> </w:t>
      </w:r>
      <w:r w:rsidR="00FC5144">
        <w:rPr>
          <w:lang w:val="en-AU"/>
        </w:rPr>
        <w:t xml:space="preserve">for </w:t>
      </w:r>
      <w:r w:rsidR="002719F3">
        <w:rPr>
          <w:lang w:val="en-AU"/>
        </w:rPr>
        <w:t xml:space="preserve">the 2009-14 </w:t>
      </w:r>
      <w:r w:rsidR="00BF4DCC">
        <w:rPr>
          <w:lang w:val="en-AU"/>
        </w:rPr>
        <w:t xml:space="preserve">regulatory control </w:t>
      </w:r>
      <w:r w:rsidR="00FC5144">
        <w:rPr>
          <w:lang w:val="en-AU"/>
        </w:rPr>
        <w:t>period</w:t>
      </w:r>
      <w:r w:rsidRPr="00185AA9">
        <w:rPr>
          <w:lang w:val="en-AU"/>
        </w:rPr>
        <w:t xml:space="preserve">, as the </w:t>
      </w:r>
      <w:r w:rsidR="00D83DD0">
        <w:rPr>
          <w:lang w:val="en-AU"/>
        </w:rPr>
        <w:t>2009 Network Price Determination</w:t>
      </w:r>
      <w:r w:rsidRPr="00185AA9">
        <w:rPr>
          <w:lang w:val="en-AU"/>
        </w:rPr>
        <w:t xml:space="preserve"> was not based on a </w:t>
      </w:r>
      <w:r>
        <w:rPr>
          <w:lang w:val="en-AU"/>
        </w:rPr>
        <w:t xml:space="preserve">building block approach and </w:t>
      </w:r>
      <w:r w:rsidR="00246B7B">
        <w:rPr>
          <w:lang w:val="en-AU"/>
        </w:rPr>
        <w:t xml:space="preserve">did not contain </w:t>
      </w:r>
      <w:r>
        <w:rPr>
          <w:lang w:val="en-AU"/>
        </w:rPr>
        <w:t xml:space="preserve">a bottom up assessment of proposed capex projects. </w:t>
      </w:r>
      <w:r w:rsidR="00246B7B">
        <w:rPr>
          <w:lang w:val="en-AU"/>
        </w:rPr>
        <w:t>Instead</w:t>
      </w:r>
      <w:r>
        <w:rPr>
          <w:lang w:val="en-AU"/>
        </w:rPr>
        <w:t xml:space="preserve">, the Commission applied a </w:t>
      </w:r>
      <w:r w:rsidR="00246B7B">
        <w:rPr>
          <w:lang w:val="en-AU"/>
        </w:rPr>
        <w:t>TFP-style</w:t>
      </w:r>
      <w:r w:rsidR="00E70748" w:rsidRPr="00185AA9">
        <w:rPr>
          <w:lang w:val="en-AU"/>
        </w:rPr>
        <w:t xml:space="preserve"> approach </w:t>
      </w:r>
      <w:r>
        <w:rPr>
          <w:lang w:val="en-AU"/>
        </w:rPr>
        <w:t xml:space="preserve">to escalate the total revenue </w:t>
      </w:r>
      <w:r w:rsidR="00246B7B">
        <w:rPr>
          <w:lang w:val="en-AU"/>
        </w:rPr>
        <w:t xml:space="preserve">requirement </w:t>
      </w:r>
      <w:r>
        <w:rPr>
          <w:lang w:val="en-AU"/>
        </w:rPr>
        <w:t xml:space="preserve">in line with what the Commission would expect an efficient </w:t>
      </w:r>
      <w:r w:rsidR="00246B7B">
        <w:rPr>
          <w:lang w:val="en-AU"/>
        </w:rPr>
        <w:t xml:space="preserve">network service provider </w:t>
      </w:r>
      <w:r>
        <w:rPr>
          <w:lang w:val="en-AU"/>
        </w:rPr>
        <w:t>to require.</w:t>
      </w:r>
    </w:p>
    <w:p w14:paraId="25446D06" w14:textId="18603F8F" w:rsidR="00695E1F" w:rsidRDefault="00185AA9" w:rsidP="00346DAA">
      <w:pPr>
        <w:pStyle w:val="NumberLevel2"/>
        <w:numPr>
          <w:ilvl w:val="1"/>
          <w:numId w:val="5"/>
        </w:numPr>
        <w:ind w:left="709" w:hanging="709"/>
        <w:rPr>
          <w:lang w:val="en-AU"/>
        </w:rPr>
      </w:pPr>
      <w:r>
        <w:rPr>
          <w:lang w:val="en-AU"/>
        </w:rPr>
        <w:t xml:space="preserve">The Commission has backcast the </w:t>
      </w:r>
      <w:r w:rsidR="00D83DD0">
        <w:rPr>
          <w:lang w:val="en-AU"/>
        </w:rPr>
        <w:t>2009 Network Price Determination</w:t>
      </w:r>
      <w:r>
        <w:rPr>
          <w:lang w:val="en-AU"/>
        </w:rPr>
        <w:t xml:space="preserve"> to estimate the </w:t>
      </w:r>
      <w:r w:rsidR="00246B7B">
        <w:rPr>
          <w:lang w:val="en-AU"/>
        </w:rPr>
        <w:t xml:space="preserve">total required </w:t>
      </w:r>
      <w:r>
        <w:rPr>
          <w:lang w:val="en-AU"/>
        </w:rPr>
        <w:t xml:space="preserve">capex that would have given rise to the same revenue outcomes. </w:t>
      </w:r>
      <w:r w:rsidR="00695E1F">
        <w:rPr>
          <w:lang w:val="en-AU"/>
        </w:rPr>
        <w:t xml:space="preserve">The estimated </w:t>
      </w:r>
      <w:r w:rsidR="00246B7B">
        <w:rPr>
          <w:lang w:val="en-AU"/>
        </w:rPr>
        <w:t xml:space="preserve">total required </w:t>
      </w:r>
      <w:r w:rsidR="00695E1F">
        <w:rPr>
          <w:lang w:val="en-AU"/>
        </w:rPr>
        <w:t xml:space="preserve">capex, the increase attributable to the cost pass through approved by the Commission in </w:t>
      </w:r>
      <w:r w:rsidR="00B754A6">
        <w:rPr>
          <w:lang w:val="en-AU"/>
        </w:rPr>
        <w:t>May </w:t>
      </w:r>
      <w:r w:rsidR="00695E1F">
        <w:rPr>
          <w:lang w:val="en-AU"/>
        </w:rPr>
        <w:t>2013</w:t>
      </w:r>
      <w:r w:rsidR="003226E2">
        <w:rPr>
          <w:rStyle w:val="FootnoteReference"/>
          <w:lang w:val="en-AU"/>
        </w:rPr>
        <w:footnoteReference w:id="50"/>
      </w:r>
      <w:r w:rsidR="00695E1F">
        <w:rPr>
          <w:lang w:val="en-AU"/>
        </w:rPr>
        <w:t xml:space="preserve"> and PWC </w:t>
      </w:r>
      <w:r w:rsidR="00B754A6">
        <w:rPr>
          <w:lang w:val="en-AU"/>
        </w:rPr>
        <w:t xml:space="preserve">Networks’ </w:t>
      </w:r>
      <w:r w:rsidR="00695E1F">
        <w:rPr>
          <w:lang w:val="en-AU"/>
        </w:rPr>
        <w:t xml:space="preserve">actual and forecast capex spend for the </w:t>
      </w:r>
      <w:r w:rsidR="00BF4DCC">
        <w:rPr>
          <w:lang w:val="en-AU"/>
        </w:rPr>
        <w:t xml:space="preserve">2009-14 </w:t>
      </w:r>
      <w:r w:rsidR="00695E1F">
        <w:rPr>
          <w:lang w:val="en-AU"/>
        </w:rPr>
        <w:t xml:space="preserve">regulatory control period are shown in </w:t>
      </w:r>
      <w:r w:rsidR="00B754A6">
        <w:rPr>
          <w:lang w:val="en-AU"/>
        </w:rPr>
        <w:t xml:space="preserve">Table </w:t>
      </w:r>
      <w:r w:rsidR="00BF4DCC">
        <w:rPr>
          <w:lang w:val="en-AU"/>
        </w:rPr>
        <w:t>9</w:t>
      </w:r>
      <w:r w:rsidR="00695E1F">
        <w:rPr>
          <w:lang w:val="en-AU"/>
        </w:rPr>
        <w:t>.1.</w:t>
      </w:r>
    </w:p>
    <w:p w14:paraId="4D174BC2" w14:textId="3BFBEA12" w:rsidR="00695E1F" w:rsidRDefault="00695E1F" w:rsidP="00346DAA">
      <w:pPr>
        <w:pStyle w:val="NumberLevel2"/>
        <w:numPr>
          <w:ilvl w:val="1"/>
          <w:numId w:val="5"/>
        </w:numPr>
        <w:ind w:left="709" w:hanging="709"/>
        <w:rPr>
          <w:lang w:val="en-AU"/>
        </w:rPr>
      </w:pPr>
      <w:r>
        <w:rPr>
          <w:lang w:val="en-AU"/>
        </w:rPr>
        <w:t xml:space="preserve">PWC Networks is expected to exceed the estimated </w:t>
      </w:r>
      <w:r w:rsidR="00246B7B">
        <w:rPr>
          <w:lang w:val="en-AU"/>
        </w:rPr>
        <w:t>capex requirement</w:t>
      </w:r>
      <w:r>
        <w:rPr>
          <w:lang w:val="en-AU"/>
        </w:rPr>
        <w:t>, including the additional cost pass through, by $58.</w:t>
      </w:r>
      <w:r w:rsidR="00246B7B">
        <w:rPr>
          <w:lang w:val="en-AU"/>
        </w:rPr>
        <w:t>6 </w:t>
      </w:r>
      <w:r>
        <w:rPr>
          <w:lang w:val="en-AU"/>
        </w:rPr>
        <w:t>million (</w:t>
      </w:r>
      <w:r w:rsidR="00246B7B">
        <w:rPr>
          <w:lang w:val="en-AU"/>
        </w:rPr>
        <w:t>14 per </w:t>
      </w:r>
      <w:r w:rsidR="00B754A6">
        <w:rPr>
          <w:lang w:val="en-AU"/>
        </w:rPr>
        <w:t>cent).</w:t>
      </w:r>
    </w:p>
    <w:p w14:paraId="11C21D62" w14:textId="675E24B2" w:rsidR="00E70748" w:rsidRDefault="00695E1F" w:rsidP="00346DAA">
      <w:pPr>
        <w:pStyle w:val="NumberLevel2"/>
        <w:numPr>
          <w:ilvl w:val="1"/>
          <w:numId w:val="5"/>
        </w:numPr>
        <w:tabs>
          <w:tab w:val="num" w:pos="709"/>
        </w:tabs>
        <w:ind w:left="709" w:hanging="709"/>
        <w:rPr>
          <w:lang w:val="en-AU"/>
        </w:rPr>
      </w:pPr>
      <w:r>
        <w:rPr>
          <w:lang w:val="en-AU"/>
        </w:rPr>
        <w:t>PWC Networks identified the main driver</w:t>
      </w:r>
      <w:r w:rsidR="008A33DF">
        <w:rPr>
          <w:lang w:val="en-AU"/>
        </w:rPr>
        <w:t>s</w:t>
      </w:r>
      <w:r>
        <w:rPr>
          <w:lang w:val="en-AU"/>
        </w:rPr>
        <w:t xml:space="preserve"> of the overspend as </w:t>
      </w:r>
      <w:r w:rsidRPr="00695E1F">
        <w:rPr>
          <w:lang w:val="en-AU"/>
        </w:rPr>
        <w:t xml:space="preserve">PWC </w:t>
      </w:r>
      <w:r w:rsidR="00B754A6">
        <w:rPr>
          <w:lang w:val="en-AU"/>
        </w:rPr>
        <w:t xml:space="preserve">Networks’ </w:t>
      </w:r>
      <w:r w:rsidRPr="00695E1F">
        <w:rPr>
          <w:lang w:val="en-AU"/>
        </w:rPr>
        <w:t xml:space="preserve">implementation of the </w:t>
      </w:r>
      <w:r w:rsidR="008A33DF">
        <w:rPr>
          <w:lang w:val="en-AU"/>
        </w:rPr>
        <w:t xml:space="preserve">Davies Review </w:t>
      </w:r>
      <w:r w:rsidRPr="00695E1F">
        <w:rPr>
          <w:lang w:val="en-AU"/>
        </w:rPr>
        <w:t>recommendations</w:t>
      </w:r>
      <w:r>
        <w:rPr>
          <w:lang w:val="en-AU"/>
        </w:rPr>
        <w:t xml:space="preserve">, </w:t>
      </w:r>
      <w:r w:rsidRPr="00695E1F">
        <w:rPr>
          <w:lang w:val="en-AU"/>
        </w:rPr>
        <w:t xml:space="preserve">the need for </w:t>
      </w:r>
      <w:r w:rsidR="008A33DF">
        <w:rPr>
          <w:lang w:val="en-AU"/>
        </w:rPr>
        <w:t>significant expenditure related to remedial works following the Casuarina Zone Substation failure in late 2008</w:t>
      </w:r>
      <w:r w:rsidR="00B754A6">
        <w:rPr>
          <w:lang w:val="en-AU"/>
        </w:rPr>
        <w:t>,</w:t>
      </w:r>
      <w:r w:rsidR="008A33DF">
        <w:rPr>
          <w:lang w:val="en-AU"/>
        </w:rPr>
        <w:t xml:space="preserve"> and </w:t>
      </w:r>
      <w:r w:rsidRPr="00695E1F">
        <w:rPr>
          <w:lang w:val="en-AU"/>
        </w:rPr>
        <w:t xml:space="preserve">the subsequent enhancement of </w:t>
      </w:r>
      <w:r w:rsidR="000D5DD0">
        <w:rPr>
          <w:lang w:val="en-AU"/>
        </w:rPr>
        <w:t>PWC Networks’</w:t>
      </w:r>
      <w:r w:rsidR="000D5DD0" w:rsidRPr="00695E1F">
        <w:rPr>
          <w:lang w:val="en-AU"/>
        </w:rPr>
        <w:t xml:space="preserve"> </w:t>
      </w:r>
      <w:r w:rsidRPr="00695E1F">
        <w:rPr>
          <w:lang w:val="en-AU"/>
        </w:rPr>
        <w:t>network asset management regime</w:t>
      </w:r>
      <w:r>
        <w:rPr>
          <w:lang w:val="en-AU"/>
        </w:rPr>
        <w:t>.</w:t>
      </w:r>
      <w:r w:rsidR="008A33DF" w:rsidRPr="008A33DF">
        <w:rPr>
          <w:lang w:val="en-AU"/>
        </w:rPr>
        <w:t xml:space="preserve"> </w:t>
      </w:r>
    </w:p>
    <w:p w14:paraId="5EEDEC27" w14:textId="3D2C44FF" w:rsidR="00125E7A" w:rsidRPr="00A139AD" w:rsidRDefault="00125E7A" w:rsidP="00B754A6">
      <w:pPr>
        <w:pStyle w:val="UtilComTableTitle"/>
        <w:keepNext/>
        <w:spacing w:before="120" w:after="0" w:line="240" w:lineRule="exact"/>
      </w:pPr>
      <w:r>
        <w:t xml:space="preserve">Table </w:t>
      </w:r>
      <w:r w:rsidR="00BF4DCC">
        <w:t>9</w:t>
      </w:r>
      <w:r>
        <w:t xml:space="preserve">.1: </w:t>
      </w:r>
      <w:r w:rsidRPr="00125E7A">
        <w:t>Capex outcomes</w:t>
      </w:r>
      <w:r w:rsidR="00622FA2">
        <w:t xml:space="preserve"> </w:t>
      </w:r>
      <w:r w:rsidR="00B754A6">
        <w:t xml:space="preserve">for </w:t>
      </w:r>
      <w:r>
        <w:t>PWC Networks</w:t>
      </w:r>
      <w:r w:rsidR="00622FA2" w:rsidRPr="00622FA2">
        <w:t xml:space="preserve"> </w:t>
      </w:r>
      <w:r w:rsidR="00622FA2">
        <w:t xml:space="preserve">for </w:t>
      </w:r>
      <w:r w:rsidR="00BF4DCC">
        <w:t>2009-1</w:t>
      </w:r>
      <w:r w:rsidR="00B47A29">
        <w:t>4</w:t>
      </w:r>
      <w:r w:rsidR="00BF4DCC">
        <w:t xml:space="preserve"> </w:t>
      </w:r>
      <w:r w:rsidR="00622FA2">
        <w:t>regulatory control period</w:t>
      </w:r>
      <w:r w:rsidRPr="00125E7A">
        <w:t xml:space="preserve"> ($</w:t>
      </w:r>
      <w:r w:rsidR="00484786">
        <w:t>M</w:t>
      </w:r>
      <w:r w:rsidRPr="00125E7A">
        <w:t xml:space="preserve">, </w:t>
      </w:r>
      <w:r w:rsidR="00622FA2">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125E7A" w:rsidRPr="008A4655" w14:paraId="7ECEDA2A" w14:textId="77777777" w:rsidTr="00900775">
        <w:trPr>
          <w:cantSplit/>
          <w:trHeight w:val="360"/>
        </w:trPr>
        <w:tc>
          <w:tcPr>
            <w:tcW w:w="1811" w:type="dxa"/>
            <w:tcBorders>
              <w:top w:val="single" w:sz="4" w:space="0" w:color="999999"/>
              <w:bottom w:val="single" w:sz="4" w:space="0" w:color="auto"/>
            </w:tcBorders>
            <w:vAlign w:val="bottom"/>
          </w:tcPr>
          <w:p w14:paraId="68896CCE" w14:textId="77777777" w:rsidR="00125E7A" w:rsidRPr="00EE5A08" w:rsidRDefault="00125E7A" w:rsidP="00900775">
            <w:pPr>
              <w:pStyle w:val="UtilComTabletext"/>
              <w:rPr>
                <w:b/>
              </w:rPr>
            </w:pPr>
          </w:p>
        </w:tc>
        <w:tc>
          <w:tcPr>
            <w:tcW w:w="1221" w:type="dxa"/>
            <w:tcBorders>
              <w:top w:val="single" w:sz="4" w:space="0" w:color="999999"/>
              <w:bottom w:val="single" w:sz="4" w:space="0" w:color="auto"/>
            </w:tcBorders>
            <w:tcMar>
              <w:left w:w="0" w:type="dxa"/>
            </w:tcMar>
            <w:vAlign w:val="bottom"/>
          </w:tcPr>
          <w:p w14:paraId="7B201677" w14:textId="77777777" w:rsidR="00125E7A" w:rsidRPr="00EE5A08" w:rsidRDefault="00125E7A" w:rsidP="00900775">
            <w:pPr>
              <w:pStyle w:val="UtilComTabletext"/>
              <w:jc w:val="right"/>
              <w:rPr>
                <w:b/>
              </w:rPr>
            </w:pPr>
            <w:r>
              <w:rPr>
                <w:b/>
              </w:rPr>
              <w:t>2009-10</w:t>
            </w:r>
          </w:p>
        </w:tc>
        <w:tc>
          <w:tcPr>
            <w:tcW w:w="1221" w:type="dxa"/>
            <w:tcBorders>
              <w:top w:val="single" w:sz="4" w:space="0" w:color="999999"/>
              <w:bottom w:val="single" w:sz="4" w:space="0" w:color="auto"/>
            </w:tcBorders>
            <w:tcMar>
              <w:left w:w="0" w:type="dxa"/>
            </w:tcMar>
            <w:vAlign w:val="bottom"/>
          </w:tcPr>
          <w:p w14:paraId="190AC832" w14:textId="77777777" w:rsidR="00125E7A" w:rsidRPr="00EE5A08" w:rsidRDefault="00125E7A" w:rsidP="00900775">
            <w:pPr>
              <w:pStyle w:val="UtilComTabletext"/>
              <w:jc w:val="right"/>
              <w:rPr>
                <w:b/>
              </w:rPr>
            </w:pPr>
            <w:r>
              <w:rPr>
                <w:b/>
              </w:rPr>
              <w:t>2010-11</w:t>
            </w:r>
          </w:p>
        </w:tc>
        <w:tc>
          <w:tcPr>
            <w:tcW w:w="1221" w:type="dxa"/>
            <w:tcBorders>
              <w:top w:val="single" w:sz="4" w:space="0" w:color="999999"/>
              <w:bottom w:val="single" w:sz="4" w:space="0" w:color="auto"/>
            </w:tcBorders>
            <w:vAlign w:val="bottom"/>
          </w:tcPr>
          <w:p w14:paraId="4DAEEE78" w14:textId="77777777" w:rsidR="00125E7A" w:rsidRDefault="00125E7A" w:rsidP="00900775">
            <w:pPr>
              <w:pStyle w:val="UtilComTabletext"/>
              <w:jc w:val="right"/>
              <w:rPr>
                <w:b/>
              </w:rPr>
            </w:pPr>
            <w:r>
              <w:rPr>
                <w:b/>
              </w:rPr>
              <w:t>2011-12</w:t>
            </w:r>
          </w:p>
        </w:tc>
        <w:tc>
          <w:tcPr>
            <w:tcW w:w="1221" w:type="dxa"/>
            <w:tcBorders>
              <w:top w:val="single" w:sz="4" w:space="0" w:color="999999"/>
              <w:bottom w:val="single" w:sz="4" w:space="0" w:color="auto"/>
            </w:tcBorders>
            <w:vAlign w:val="bottom"/>
          </w:tcPr>
          <w:p w14:paraId="4AFF564C" w14:textId="77777777" w:rsidR="00125E7A" w:rsidRDefault="00125E7A" w:rsidP="00900775">
            <w:pPr>
              <w:pStyle w:val="UtilComTabletext"/>
              <w:jc w:val="right"/>
              <w:rPr>
                <w:b/>
              </w:rPr>
            </w:pPr>
            <w:r>
              <w:rPr>
                <w:b/>
              </w:rPr>
              <w:t>2012-13 (f)</w:t>
            </w:r>
          </w:p>
        </w:tc>
        <w:tc>
          <w:tcPr>
            <w:tcW w:w="1221" w:type="dxa"/>
            <w:tcBorders>
              <w:top w:val="single" w:sz="4" w:space="0" w:color="999999"/>
              <w:bottom w:val="single" w:sz="4" w:space="0" w:color="auto"/>
            </w:tcBorders>
            <w:vAlign w:val="bottom"/>
          </w:tcPr>
          <w:p w14:paraId="409E803E" w14:textId="77777777" w:rsidR="00125E7A" w:rsidRDefault="00125E7A" w:rsidP="00900775">
            <w:pPr>
              <w:pStyle w:val="UtilComTabletext"/>
              <w:jc w:val="right"/>
              <w:rPr>
                <w:b/>
              </w:rPr>
            </w:pPr>
            <w:r>
              <w:rPr>
                <w:b/>
              </w:rPr>
              <w:t>2013-14 (f)</w:t>
            </w:r>
          </w:p>
        </w:tc>
        <w:tc>
          <w:tcPr>
            <w:tcW w:w="1221" w:type="dxa"/>
            <w:tcBorders>
              <w:top w:val="single" w:sz="4" w:space="0" w:color="999999"/>
              <w:bottom w:val="single" w:sz="4" w:space="0" w:color="auto"/>
            </w:tcBorders>
            <w:tcMar>
              <w:left w:w="0" w:type="dxa"/>
            </w:tcMar>
            <w:vAlign w:val="bottom"/>
          </w:tcPr>
          <w:p w14:paraId="1BAAB42D" w14:textId="77777777" w:rsidR="00125E7A" w:rsidRPr="00EE5A08" w:rsidRDefault="00125E7A" w:rsidP="00900775">
            <w:pPr>
              <w:pStyle w:val="UtilComTabletext"/>
              <w:jc w:val="right"/>
              <w:rPr>
                <w:b/>
              </w:rPr>
            </w:pPr>
            <w:r>
              <w:rPr>
                <w:b/>
              </w:rPr>
              <w:t>Total</w:t>
            </w:r>
          </w:p>
        </w:tc>
      </w:tr>
      <w:tr w:rsidR="00125E7A" w:rsidRPr="008A4655" w14:paraId="1AF33645" w14:textId="77777777" w:rsidTr="00900775">
        <w:trPr>
          <w:cantSplit/>
          <w:trHeight w:val="360"/>
        </w:trPr>
        <w:tc>
          <w:tcPr>
            <w:tcW w:w="1811" w:type="dxa"/>
            <w:tcBorders>
              <w:top w:val="single" w:sz="4" w:space="0" w:color="auto"/>
              <w:bottom w:val="single" w:sz="4" w:space="0" w:color="999999"/>
            </w:tcBorders>
          </w:tcPr>
          <w:p w14:paraId="609489D2" w14:textId="77777777" w:rsidR="00125E7A" w:rsidRDefault="00185AA9" w:rsidP="00900775">
            <w:pPr>
              <w:pStyle w:val="UtilComTabletext"/>
            </w:pPr>
            <w:r>
              <w:t xml:space="preserve">(est) </w:t>
            </w:r>
            <w:r w:rsidR="00900775">
              <w:t xml:space="preserve">Regulatory </w:t>
            </w:r>
            <w:r w:rsidR="00125E7A">
              <w:t>allowance</w:t>
            </w:r>
          </w:p>
        </w:tc>
        <w:tc>
          <w:tcPr>
            <w:tcW w:w="1221" w:type="dxa"/>
            <w:tcBorders>
              <w:top w:val="single" w:sz="4" w:space="0" w:color="auto"/>
              <w:bottom w:val="single" w:sz="4" w:space="0" w:color="999999"/>
            </w:tcBorders>
            <w:shd w:val="clear" w:color="auto" w:fill="auto"/>
            <w:tcMar>
              <w:left w:w="0" w:type="dxa"/>
            </w:tcMar>
          </w:tcPr>
          <w:p w14:paraId="3D783433" w14:textId="77777777" w:rsidR="00125E7A" w:rsidRDefault="00622FA2" w:rsidP="00900775">
            <w:pPr>
              <w:pStyle w:val="UtilComTabletext"/>
              <w:jc w:val="right"/>
            </w:pPr>
            <w:r>
              <w:t>67.</w:t>
            </w:r>
            <w:r w:rsidR="008F2EEB">
              <w:t>36</w:t>
            </w:r>
          </w:p>
        </w:tc>
        <w:tc>
          <w:tcPr>
            <w:tcW w:w="1221" w:type="dxa"/>
            <w:tcBorders>
              <w:top w:val="single" w:sz="4" w:space="0" w:color="auto"/>
              <w:bottom w:val="single" w:sz="4" w:space="0" w:color="999999"/>
            </w:tcBorders>
            <w:shd w:val="clear" w:color="auto" w:fill="auto"/>
            <w:tcMar>
              <w:left w:w="0" w:type="dxa"/>
            </w:tcMar>
          </w:tcPr>
          <w:p w14:paraId="47776C7B" w14:textId="77777777" w:rsidR="00125E7A" w:rsidRDefault="00622FA2" w:rsidP="00900775">
            <w:pPr>
              <w:pStyle w:val="UtilComTabletext"/>
              <w:jc w:val="right"/>
            </w:pPr>
            <w:r>
              <w:t>69.48</w:t>
            </w:r>
          </w:p>
        </w:tc>
        <w:tc>
          <w:tcPr>
            <w:tcW w:w="1221" w:type="dxa"/>
            <w:tcBorders>
              <w:top w:val="single" w:sz="4" w:space="0" w:color="auto"/>
              <w:bottom w:val="single" w:sz="4" w:space="0" w:color="999999"/>
            </w:tcBorders>
          </w:tcPr>
          <w:p w14:paraId="4B89905C" w14:textId="77777777" w:rsidR="00125E7A" w:rsidRDefault="00622FA2" w:rsidP="002A30BA">
            <w:pPr>
              <w:pStyle w:val="UtilComTabletext"/>
              <w:jc w:val="right"/>
            </w:pPr>
            <w:r>
              <w:t>73.33</w:t>
            </w:r>
          </w:p>
        </w:tc>
        <w:tc>
          <w:tcPr>
            <w:tcW w:w="1221" w:type="dxa"/>
            <w:tcBorders>
              <w:top w:val="single" w:sz="4" w:space="0" w:color="auto"/>
              <w:bottom w:val="single" w:sz="4" w:space="0" w:color="999999"/>
            </w:tcBorders>
          </w:tcPr>
          <w:p w14:paraId="777405EA" w14:textId="77777777" w:rsidR="00125E7A" w:rsidRDefault="00622FA2" w:rsidP="002A30BA">
            <w:pPr>
              <w:pStyle w:val="UtilComTabletext"/>
              <w:jc w:val="right"/>
            </w:pPr>
            <w:r>
              <w:t>75.79</w:t>
            </w:r>
          </w:p>
        </w:tc>
        <w:tc>
          <w:tcPr>
            <w:tcW w:w="1221" w:type="dxa"/>
            <w:tcBorders>
              <w:top w:val="single" w:sz="4" w:space="0" w:color="auto"/>
              <w:bottom w:val="single" w:sz="4" w:space="0" w:color="999999"/>
            </w:tcBorders>
          </w:tcPr>
          <w:p w14:paraId="3913E2CF" w14:textId="77777777" w:rsidR="00125E7A" w:rsidRDefault="00622FA2" w:rsidP="00BB4963">
            <w:pPr>
              <w:pStyle w:val="UtilComTabletext"/>
              <w:jc w:val="right"/>
            </w:pPr>
            <w:r>
              <w:t>78.02</w:t>
            </w:r>
          </w:p>
        </w:tc>
        <w:tc>
          <w:tcPr>
            <w:tcW w:w="1221" w:type="dxa"/>
            <w:tcBorders>
              <w:top w:val="single" w:sz="4" w:space="0" w:color="auto"/>
              <w:bottom w:val="single" w:sz="4" w:space="0" w:color="999999"/>
            </w:tcBorders>
            <w:shd w:val="clear" w:color="auto" w:fill="auto"/>
            <w:tcMar>
              <w:left w:w="0" w:type="dxa"/>
            </w:tcMar>
          </w:tcPr>
          <w:p w14:paraId="4AF10254" w14:textId="77777777" w:rsidR="00125E7A" w:rsidRDefault="00622FA2" w:rsidP="00BB4963">
            <w:pPr>
              <w:pStyle w:val="UtilComTabletext"/>
              <w:jc w:val="right"/>
            </w:pPr>
            <w:r>
              <w:t>363.98</w:t>
            </w:r>
          </w:p>
        </w:tc>
      </w:tr>
      <w:tr w:rsidR="00125E7A" w:rsidRPr="008A4655" w14:paraId="6D0AE982" w14:textId="77777777" w:rsidTr="00900775">
        <w:trPr>
          <w:cantSplit/>
          <w:trHeight w:val="360"/>
        </w:trPr>
        <w:tc>
          <w:tcPr>
            <w:tcW w:w="1811" w:type="dxa"/>
            <w:tcBorders>
              <w:bottom w:val="single" w:sz="4" w:space="0" w:color="auto"/>
            </w:tcBorders>
          </w:tcPr>
          <w:p w14:paraId="7F75C22A" w14:textId="21B2AAC4" w:rsidR="00125E7A" w:rsidRDefault="00125E7A" w:rsidP="000D5DD0">
            <w:pPr>
              <w:pStyle w:val="UtilComTabletext"/>
            </w:pPr>
            <w:r>
              <w:t>Additional cost pass through</w:t>
            </w:r>
            <w:r w:rsidR="00210E83" w:rsidRPr="00210E83">
              <w:rPr>
                <w:vertAlign w:val="superscript"/>
              </w:rPr>
              <w:t>(a)</w:t>
            </w:r>
          </w:p>
        </w:tc>
        <w:tc>
          <w:tcPr>
            <w:tcW w:w="1221" w:type="dxa"/>
            <w:tcBorders>
              <w:bottom w:val="single" w:sz="4" w:space="0" w:color="auto"/>
            </w:tcBorders>
            <w:shd w:val="clear" w:color="auto" w:fill="auto"/>
            <w:tcMar>
              <w:left w:w="0" w:type="dxa"/>
            </w:tcMar>
          </w:tcPr>
          <w:p w14:paraId="63A6C1F0" w14:textId="77777777" w:rsidR="00125E7A" w:rsidRDefault="00622FA2" w:rsidP="00900775">
            <w:pPr>
              <w:pStyle w:val="UtilComTabletext"/>
              <w:jc w:val="right"/>
            </w:pPr>
            <w:r>
              <w:t>6.</w:t>
            </w:r>
            <w:r w:rsidR="008F2EEB">
              <w:t>19</w:t>
            </w:r>
          </w:p>
        </w:tc>
        <w:tc>
          <w:tcPr>
            <w:tcW w:w="1221" w:type="dxa"/>
            <w:tcBorders>
              <w:bottom w:val="single" w:sz="4" w:space="0" w:color="auto"/>
            </w:tcBorders>
            <w:shd w:val="clear" w:color="auto" w:fill="auto"/>
            <w:tcMar>
              <w:left w:w="0" w:type="dxa"/>
            </w:tcMar>
          </w:tcPr>
          <w:p w14:paraId="0F6AF79F" w14:textId="77777777" w:rsidR="00125E7A" w:rsidRDefault="00622FA2" w:rsidP="00900775">
            <w:pPr>
              <w:pStyle w:val="UtilComTabletext"/>
              <w:jc w:val="right"/>
            </w:pPr>
            <w:r>
              <w:t>16.</w:t>
            </w:r>
            <w:r w:rsidR="008F2EEB">
              <w:t>52</w:t>
            </w:r>
          </w:p>
        </w:tc>
        <w:tc>
          <w:tcPr>
            <w:tcW w:w="1221" w:type="dxa"/>
            <w:tcBorders>
              <w:bottom w:val="single" w:sz="4" w:space="0" w:color="auto"/>
            </w:tcBorders>
          </w:tcPr>
          <w:p w14:paraId="15AA43AA" w14:textId="77777777" w:rsidR="00125E7A" w:rsidRDefault="00622FA2" w:rsidP="002A30BA">
            <w:pPr>
              <w:pStyle w:val="UtilComTabletext"/>
              <w:jc w:val="right"/>
            </w:pPr>
            <w:r>
              <w:t>26.</w:t>
            </w:r>
            <w:r w:rsidR="008F2EEB">
              <w:t>32</w:t>
            </w:r>
          </w:p>
        </w:tc>
        <w:tc>
          <w:tcPr>
            <w:tcW w:w="1221" w:type="dxa"/>
            <w:tcBorders>
              <w:bottom w:val="single" w:sz="4" w:space="0" w:color="auto"/>
            </w:tcBorders>
          </w:tcPr>
          <w:p w14:paraId="3FF28D60" w14:textId="77777777" w:rsidR="00125E7A" w:rsidRDefault="00622FA2" w:rsidP="002A30BA">
            <w:pPr>
              <w:pStyle w:val="UtilComTabletext"/>
              <w:jc w:val="right"/>
            </w:pPr>
            <w:r>
              <w:t>14.15</w:t>
            </w:r>
          </w:p>
        </w:tc>
        <w:tc>
          <w:tcPr>
            <w:tcW w:w="1221" w:type="dxa"/>
            <w:tcBorders>
              <w:bottom w:val="single" w:sz="4" w:space="0" w:color="auto"/>
            </w:tcBorders>
          </w:tcPr>
          <w:p w14:paraId="572673B1" w14:textId="77777777" w:rsidR="00125E7A" w:rsidRDefault="00622FA2" w:rsidP="00BB4963">
            <w:pPr>
              <w:pStyle w:val="UtilComTabletext"/>
              <w:jc w:val="right"/>
            </w:pPr>
            <w:r>
              <w:t>0.00</w:t>
            </w:r>
          </w:p>
        </w:tc>
        <w:tc>
          <w:tcPr>
            <w:tcW w:w="1221" w:type="dxa"/>
            <w:tcBorders>
              <w:bottom w:val="single" w:sz="4" w:space="0" w:color="auto"/>
            </w:tcBorders>
            <w:shd w:val="clear" w:color="auto" w:fill="auto"/>
            <w:tcMar>
              <w:left w:w="0" w:type="dxa"/>
            </w:tcMar>
          </w:tcPr>
          <w:p w14:paraId="793122A4" w14:textId="77777777" w:rsidR="00125E7A" w:rsidRDefault="00622FA2" w:rsidP="00BB4963">
            <w:pPr>
              <w:pStyle w:val="UtilComTabletext"/>
              <w:jc w:val="right"/>
            </w:pPr>
            <w:r>
              <w:t>63.</w:t>
            </w:r>
            <w:r w:rsidR="008F2EEB">
              <w:t>18</w:t>
            </w:r>
          </w:p>
        </w:tc>
      </w:tr>
      <w:tr w:rsidR="00622FA2" w:rsidRPr="008A4655" w14:paraId="2B78A4E3" w14:textId="77777777" w:rsidTr="00900775">
        <w:trPr>
          <w:cantSplit/>
          <w:trHeight w:val="360"/>
        </w:trPr>
        <w:tc>
          <w:tcPr>
            <w:tcW w:w="1811" w:type="dxa"/>
            <w:tcBorders>
              <w:top w:val="single" w:sz="4" w:space="0" w:color="auto"/>
              <w:bottom w:val="single" w:sz="4" w:space="0" w:color="999999"/>
            </w:tcBorders>
          </w:tcPr>
          <w:p w14:paraId="56AD0AB3" w14:textId="77777777" w:rsidR="00622FA2" w:rsidRDefault="00622FA2" w:rsidP="00900775">
            <w:pPr>
              <w:pStyle w:val="UtilComTabletext"/>
            </w:pPr>
          </w:p>
        </w:tc>
        <w:tc>
          <w:tcPr>
            <w:tcW w:w="1221" w:type="dxa"/>
            <w:tcBorders>
              <w:top w:val="single" w:sz="4" w:space="0" w:color="auto"/>
              <w:bottom w:val="single" w:sz="4" w:space="0" w:color="999999"/>
            </w:tcBorders>
            <w:shd w:val="clear" w:color="auto" w:fill="auto"/>
            <w:tcMar>
              <w:left w:w="0" w:type="dxa"/>
            </w:tcMar>
          </w:tcPr>
          <w:p w14:paraId="47805336" w14:textId="77777777" w:rsidR="00622FA2" w:rsidRPr="00477953" w:rsidRDefault="00622FA2" w:rsidP="00900775">
            <w:pPr>
              <w:pStyle w:val="UtilComTabletext"/>
              <w:jc w:val="right"/>
            </w:pPr>
            <w:r w:rsidRPr="00477953">
              <w:t xml:space="preserve">73.54 </w:t>
            </w:r>
          </w:p>
        </w:tc>
        <w:tc>
          <w:tcPr>
            <w:tcW w:w="1221" w:type="dxa"/>
            <w:tcBorders>
              <w:top w:val="single" w:sz="4" w:space="0" w:color="auto"/>
              <w:bottom w:val="single" w:sz="4" w:space="0" w:color="999999"/>
            </w:tcBorders>
            <w:shd w:val="clear" w:color="auto" w:fill="auto"/>
            <w:tcMar>
              <w:left w:w="0" w:type="dxa"/>
            </w:tcMar>
          </w:tcPr>
          <w:p w14:paraId="210524D2" w14:textId="77777777" w:rsidR="00622FA2" w:rsidRPr="00477953" w:rsidRDefault="00622FA2" w:rsidP="00900775">
            <w:pPr>
              <w:pStyle w:val="UtilComTabletext"/>
              <w:jc w:val="right"/>
            </w:pPr>
            <w:r w:rsidRPr="00477953">
              <w:t xml:space="preserve">86.00 </w:t>
            </w:r>
          </w:p>
        </w:tc>
        <w:tc>
          <w:tcPr>
            <w:tcW w:w="1221" w:type="dxa"/>
            <w:tcBorders>
              <w:top w:val="single" w:sz="4" w:space="0" w:color="auto"/>
              <w:bottom w:val="single" w:sz="4" w:space="0" w:color="999999"/>
            </w:tcBorders>
          </w:tcPr>
          <w:p w14:paraId="5D625CD6" w14:textId="77777777" w:rsidR="00622FA2" w:rsidRPr="00477953" w:rsidRDefault="00622FA2" w:rsidP="002A30BA">
            <w:pPr>
              <w:pStyle w:val="UtilComTabletext"/>
              <w:jc w:val="right"/>
            </w:pPr>
            <w:r w:rsidRPr="00477953">
              <w:t>99.</w:t>
            </w:r>
            <w:r w:rsidR="008F2EEB" w:rsidRPr="00477953">
              <w:t>6</w:t>
            </w:r>
            <w:r w:rsidR="008F2EEB">
              <w:t>5</w:t>
            </w:r>
          </w:p>
        </w:tc>
        <w:tc>
          <w:tcPr>
            <w:tcW w:w="1221" w:type="dxa"/>
            <w:tcBorders>
              <w:top w:val="single" w:sz="4" w:space="0" w:color="auto"/>
              <w:bottom w:val="single" w:sz="4" w:space="0" w:color="999999"/>
            </w:tcBorders>
          </w:tcPr>
          <w:p w14:paraId="219061B3" w14:textId="77777777" w:rsidR="00622FA2" w:rsidRPr="00477953" w:rsidRDefault="00622FA2" w:rsidP="002A30BA">
            <w:pPr>
              <w:pStyle w:val="UtilComTabletext"/>
              <w:jc w:val="right"/>
            </w:pPr>
            <w:r w:rsidRPr="00477953">
              <w:t xml:space="preserve">89.94 </w:t>
            </w:r>
          </w:p>
        </w:tc>
        <w:tc>
          <w:tcPr>
            <w:tcW w:w="1221" w:type="dxa"/>
            <w:tcBorders>
              <w:top w:val="single" w:sz="4" w:space="0" w:color="auto"/>
              <w:bottom w:val="single" w:sz="4" w:space="0" w:color="999999"/>
            </w:tcBorders>
          </w:tcPr>
          <w:p w14:paraId="3B00CF58" w14:textId="77777777" w:rsidR="00622FA2" w:rsidRPr="00477953" w:rsidRDefault="00622FA2" w:rsidP="00BB4963">
            <w:pPr>
              <w:pStyle w:val="UtilComTabletext"/>
              <w:jc w:val="right"/>
            </w:pPr>
            <w:r w:rsidRPr="00477953">
              <w:t xml:space="preserve">78.02 </w:t>
            </w:r>
          </w:p>
        </w:tc>
        <w:tc>
          <w:tcPr>
            <w:tcW w:w="1221" w:type="dxa"/>
            <w:tcBorders>
              <w:top w:val="single" w:sz="4" w:space="0" w:color="auto"/>
              <w:bottom w:val="single" w:sz="4" w:space="0" w:color="999999"/>
            </w:tcBorders>
            <w:shd w:val="clear" w:color="auto" w:fill="auto"/>
            <w:tcMar>
              <w:left w:w="0" w:type="dxa"/>
            </w:tcMar>
          </w:tcPr>
          <w:p w14:paraId="291F291A" w14:textId="77777777" w:rsidR="00622FA2" w:rsidRDefault="00622FA2" w:rsidP="00BB4963">
            <w:pPr>
              <w:pStyle w:val="UtilComTabletext"/>
              <w:jc w:val="right"/>
            </w:pPr>
            <w:r w:rsidRPr="00477953">
              <w:t>427.</w:t>
            </w:r>
            <w:r w:rsidR="008F2EEB" w:rsidRPr="00477953">
              <w:t>1</w:t>
            </w:r>
            <w:r w:rsidR="008F2EEB">
              <w:t>6</w:t>
            </w:r>
            <w:r w:rsidR="008F2EEB" w:rsidRPr="00477953">
              <w:t xml:space="preserve"> </w:t>
            </w:r>
          </w:p>
        </w:tc>
      </w:tr>
      <w:tr w:rsidR="00125E7A" w:rsidRPr="008A4655" w14:paraId="46CFDCB8" w14:textId="77777777" w:rsidTr="00900775">
        <w:trPr>
          <w:cantSplit/>
          <w:trHeight w:val="360"/>
        </w:trPr>
        <w:tc>
          <w:tcPr>
            <w:tcW w:w="1811" w:type="dxa"/>
            <w:tcBorders>
              <w:bottom w:val="single" w:sz="4" w:space="0" w:color="auto"/>
            </w:tcBorders>
          </w:tcPr>
          <w:p w14:paraId="4E5A5528" w14:textId="77777777" w:rsidR="00125E7A" w:rsidRDefault="00125E7A" w:rsidP="00900775">
            <w:pPr>
              <w:pStyle w:val="UtilComTabletext"/>
            </w:pPr>
            <w:r>
              <w:t>Actual net capex</w:t>
            </w:r>
          </w:p>
        </w:tc>
        <w:tc>
          <w:tcPr>
            <w:tcW w:w="1221" w:type="dxa"/>
            <w:tcBorders>
              <w:bottom w:val="single" w:sz="4" w:space="0" w:color="auto"/>
            </w:tcBorders>
            <w:shd w:val="clear" w:color="auto" w:fill="auto"/>
            <w:tcMar>
              <w:left w:w="0" w:type="dxa"/>
            </w:tcMar>
          </w:tcPr>
          <w:p w14:paraId="7A81BE50" w14:textId="77777777" w:rsidR="00125E7A" w:rsidRDefault="00622FA2" w:rsidP="00900775">
            <w:pPr>
              <w:pStyle w:val="UtilComTabletext"/>
              <w:jc w:val="right"/>
            </w:pPr>
            <w:r>
              <w:t>95.</w:t>
            </w:r>
            <w:r w:rsidR="008F2EEB">
              <w:t>15</w:t>
            </w:r>
          </w:p>
        </w:tc>
        <w:tc>
          <w:tcPr>
            <w:tcW w:w="1221" w:type="dxa"/>
            <w:tcBorders>
              <w:bottom w:val="single" w:sz="4" w:space="0" w:color="auto"/>
            </w:tcBorders>
            <w:shd w:val="clear" w:color="auto" w:fill="auto"/>
            <w:tcMar>
              <w:left w:w="0" w:type="dxa"/>
            </w:tcMar>
          </w:tcPr>
          <w:p w14:paraId="5E6EFAA6" w14:textId="77777777" w:rsidR="00125E7A" w:rsidRDefault="00622FA2" w:rsidP="00900775">
            <w:pPr>
              <w:pStyle w:val="UtilComTabletext"/>
              <w:jc w:val="right"/>
            </w:pPr>
            <w:r>
              <w:t>96.</w:t>
            </w:r>
            <w:r w:rsidR="008F2EEB">
              <w:t>34</w:t>
            </w:r>
          </w:p>
        </w:tc>
        <w:tc>
          <w:tcPr>
            <w:tcW w:w="1221" w:type="dxa"/>
            <w:tcBorders>
              <w:bottom w:val="single" w:sz="4" w:space="0" w:color="auto"/>
            </w:tcBorders>
          </w:tcPr>
          <w:p w14:paraId="6292883F" w14:textId="77777777" w:rsidR="00125E7A" w:rsidRDefault="00622FA2" w:rsidP="002A30BA">
            <w:pPr>
              <w:pStyle w:val="UtilComTabletext"/>
              <w:jc w:val="right"/>
            </w:pPr>
            <w:r>
              <w:t>84.82</w:t>
            </w:r>
          </w:p>
        </w:tc>
        <w:tc>
          <w:tcPr>
            <w:tcW w:w="1221" w:type="dxa"/>
            <w:tcBorders>
              <w:bottom w:val="single" w:sz="4" w:space="0" w:color="auto"/>
            </w:tcBorders>
          </w:tcPr>
          <w:p w14:paraId="2A81BFD7" w14:textId="77777777" w:rsidR="00125E7A" w:rsidRDefault="00622FA2" w:rsidP="002A30BA">
            <w:pPr>
              <w:pStyle w:val="UtilComTabletext"/>
              <w:jc w:val="right"/>
            </w:pPr>
            <w:r>
              <w:t>116.</w:t>
            </w:r>
            <w:r w:rsidR="008F2EEB">
              <w:t>37</w:t>
            </w:r>
          </w:p>
        </w:tc>
        <w:tc>
          <w:tcPr>
            <w:tcW w:w="1221" w:type="dxa"/>
            <w:tcBorders>
              <w:bottom w:val="single" w:sz="4" w:space="0" w:color="auto"/>
            </w:tcBorders>
          </w:tcPr>
          <w:p w14:paraId="4EA9649C" w14:textId="77777777" w:rsidR="00125E7A" w:rsidRDefault="00622FA2" w:rsidP="00BB4963">
            <w:pPr>
              <w:pStyle w:val="UtilComTabletext"/>
              <w:jc w:val="right"/>
            </w:pPr>
            <w:r>
              <w:t>93.</w:t>
            </w:r>
            <w:r w:rsidR="008F2EEB">
              <w:t>10</w:t>
            </w:r>
          </w:p>
        </w:tc>
        <w:tc>
          <w:tcPr>
            <w:tcW w:w="1221" w:type="dxa"/>
            <w:tcBorders>
              <w:bottom w:val="single" w:sz="4" w:space="0" w:color="auto"/>
            </w:tcBorders>
            <w:shd w:val="clear" w:color="auto" w:fill="auto"/>
            <w:tcMar>
              <w:left w:w="0" w:type="dxa"/>
            </w:tcMar>
          </w:tcPr>
          <w:p w14:paraId="538595C7" w14:textId="77777777" w:rsidR="00125E7A" w:rsidRDefault="00622FA2" w:rsidP="00BB4963">
            <w:pPr>
              <w:pStyle w:val="UtilComTabletext"/>
              <w:jc w:val="right"/>
            </w:pPr>
            <w:r>
              <w:t>485.77</w:t>
            </w:r>
          </w:p>
        </w:tc>
      </w:tr>
      <w:tr w:rsidR="00D1280A" w:rsidRPr="008A4655" w14:paraId="061C2CC2" w14:textId="77777777" w:rsidTr="00900775">
        <w:trPr>
          <w:cantSplit/>
          <w:trHeight w:val="360"/>
        </w:trPr>
        <w:tc>
          <w:tcPr>
            <w:tcW w:w="1811" w:type="dxa"/>
            <w:tcBorders>
              <w:top w:val="single" w:sz="4" w:space="0" w:color="auto"/>
              <w:bottom w:val="single" w:sz="4" w:space="0" w:color="000000"/>
            </w:tcBorders>
          </w:tcPr>
          <w:p w14:paraId="2F534820" w14:textId="77777777" w:rsidR="00D1280A" w:rsidRDefault="00D1280A" w:rsidP="00900775">
            <w:pPr>
              <w:pStyle w:val="UtilComTabletext"/>
            </w:pPr>
            <w:r>
              <w:t>Overspend</w:t>
            </w:r>
          </w:p>
        </w:tc>
        <w:tc>
          <w:tcPr>
            <w:tcW w:w="1221" w:type="dxa"/>
            <w:tcBorders>
              <w:top w:val="single" w:sz="4" w:space="0" w:color="auto"/>
              <w:bottom w:val="single" w:sz="4" w:space="0" w:color="000000"/>
            </w:tcBorders>
            <w:shd w:val="clear" w:color="auto" w:fill="auto"/>
          </w:tcPr>
          <w:p w14:paraId="2902BFD4" w14:textId="77777777" w:rsidR="00D1280A" w:rsidRPr="0096663C" w:rsidRDefault="00622FA2" w:rsidP="00900775">
            <w:pPr>
              <w:pStyle w:val="UtilComTabletext"/>
              <w:jc w:val="right"/>
            </w:pPr>
            <w:r>
              <w:t>21.60</w:t>
            </w:r>
          </w:p>
        </w:tc>
        <w:tc>
          <w:tcPr>
            <w:tcW w:w="1221" w:type="dxa"/>
            <w:tcBorders>
              <w:top w:val="single" w:sz="4" w:space="0" w:color="auto"/>
              <w:bottom w:val="single" w:sz="4" w:space="0" w:color="000000"/>
            </w:tcBorders>
            <w:shd w:val="clear" w:color="auto" w:fill="auto"/>
          </w:tcPr>
          <w:p w14:paraId="6985F770" w14:textId="77777777" w:rsidR="00D1280A" w:rsidRPr="0096663C" w:rsidRDefault="00622FA2" w:rsidP="00900775">
            <w:pPr>
              <w:pStyle w:val="UtilComTabletext"/>
              <w:jc w:val="right"/>
            </w:pPr>
            <w:r>
              <w:t>10.</w:t>
            </w:r>
            <w:r w:rsidR="008F2EEB">
              <w:t>34</w:t>
            </w:r>
          </w:p>
        </w:tc>
        <w:tc>
          <w:tcPr>
            <w:tcW w:w="1221" w:type="dxa"/>
            <w:tcBorders>
              <w:top w:val="single" w:sz="4" w:space="0" w:color="auto"/>
              <w:bottom w:val="single" w:sz="4" w:space="0" w:color="000000"/>
            </w:tcBorders>
          </w:tcPr>
          <w:p w14:paraId="53727235" w14:textId="77777777" w:rsidR="00D1280A" w:rsidRPr="0096663C" w:rsidRDefault="00622FA2" w:rsidP="002A30BA">
            <w:pPr>
              <w:pStyle w:val="UtilComTabletext"/>
              <w:jc w:val="right"/>
            </w:pPr>
            <w:r>
              <w:t>(14.</w:t>
            </w:r>
            <w:r w:rsidR="008F2EEB">
              <w:t>83</w:t>
            </w:r>
            <w:r>
              <w:t>)</w:t>
            </w:r>
          </w:p>
        </w:tc>
        <w:tc>
          <w:tcPr>
            <w:tcW w:w="1221" w:type="dxa"/>
            <w:tcBorders>
              <w:top w:val="single" w:sz="4" w:space="0" w:color="auto"/>
              <w:bottom w:val="single" w:sz="4" w:space="0" w:color="000000"/>
            </w:tcBorders>
          </w:tcPr>
          <w:p w14:paraId="68943205" w14:textId="77777777" w:rsidR="00D1280A" w:rsidRPr="0096663C" w:rsidRDefault="00622FA2" w:rsidP="002A30BA">
            <w:pPr>
              <w:pStyle w:val="UtilComTabletext"/>
              <w:jc w:val="right"/>
            </w:pPr>
            <w:r>
              <w:t>26.42</w:t>
            </w:r>
          </w:p>
        </w:tc>
        <w:tc>
          <w:tcPr>
            <w:tcW w:w="1221" w:type="dxa"/>
            <w:tcBorders>
              <w:top w:val="single" w:sz="4" w:space="0" w:color="auto"/>
              <w:bottom w:val="single" w:sz="4" w:space="0" w:color="000000"/>
            </w:tcBorders>
          </w:tcPr>
          <w:p w14:paraId="184FD0B2" w14:textId="77777777" w:rsidR="00D1280A" w:rsidRDefault="00622FA2" w:rsidP="00BB4963">
            <w:pPr>
              <w:pStyle w:val="UtilComTabletext"/>
              <w:jc w:val="right"/>
            </w:pPr>
            <w:r>
              <w:t>15.</w:t>
            </w:r>
            <w:r w:rsidR="008F2EEB">
              <w:t>08</w:t>
            </w:r>
          </w:p>
        </w:tc>
        <w:tc>
          <w:tcPr>
            <w:tcW w:w="1221" w:type="dxa"/>
            <w:tcBorders>
              <w:top w:val="single" w:sz="4" w:space="0" w:color="auto"/>
              <w:bottom w:val="single" w:sz="4" w:space="0" w:color="000000"/>
            </w:tcBorders>
            <w:shd w:val="clear" w:color="auto" w:fill="auto"/>
          </w:tcPr>
          <w:p w14:paraId="4905FF33" w14:textId="77777777" w:rsidR="00D1280A" w:rsidRDefault="00622FA2" w:rsidP="00BB4963">
            <w:pPr>
              <w:pStyle w:val="UtilComTabletext"/>
              <w:jc w:val="right"/>
            </w:pPr>
            <w:r>
              <w:t>58.61</w:t>
            </w:r>
          </w:p>
        </w:tc>
      </w:tr>
    </w:tbl>
    <w:p w14:paraId="01EDD12B" w14:textId="3762041F" w:rsidR="00125E7A" w:rsidRDefault="00D1280A" w:rsidP="00D32B9A">
      <w:pPr>
        <w:pStyle w:val="UtilComReferenceSource"/>
        <w:rPr>
          <w:lang w:val="en-AU"/>
        </w:rPr>
      </w:pPr>
      <w:r>
        <w:rPr>
          <w:lang w:val="en-AU"/>
        </w:rPr>
        <w:t>Source: Utilities Commission; PWC</w:t>
      </w:r>
      <w:r w:rsidR="000D5DD0">
        <w:rPr>
          <w:lang w:val="en-AU"/>
        </w:rPr>
        <w:t> Networks’</w:t>
      </w:r>
      <w:r>
        <w:rPr>
          <w:lang w:val="en-AU"/>
        </w:rPr>
        <w:t xml:space="preserve"> </w:t>
      </w:r>
      <w:r w:rsidR="000D5DD0">
        <w:rPr>
          <w:lang w:val="en-AU"/>
        </w:rPr>
        <w:t>initial regulatory proposal</w:t>
      </w:r>
      <w:r w:rsidR="00F2410D">
        <w:rPr>
          <w:lang w:val="en-AU"/>
        </w:rPr>
        <w:t>, c</w:t>
      </w:r>
      <w:r w:rsidR="00F2410D" w:rsidRPr="00F2410D">
        <w:rPr>
          <w:lang w:val="en-AU"/>
        </w:rPr>
        <w:t xml:space="preserve">onverted to real terms using ABS </w:t>
      </w:r>
      <w:r w:rsidR="000D5DD0">
        <w:rPr>
          <w:lang w:val="en-AU"/>
        </w:rPr>
        <w:t>CPI</w:t>
      </w:r>
      <w:r w:rsidR="000D5DD0" w:rsidRPr="00F2410D">
        <w:rPr>
          <w:lang w:val="en-AU"/>
        </w:rPr>
        <w:t xml:space="preserve"> </w:t>
      </w:r>
      <w:r w:rsidR="00F2410D" w:rsidRPr="00F2410D">
        <w:rPr>
          <w:lang w:val="en-AU"/>
        </w:rPr>
        <w:t>data.</w:t>
      </w:r>
      <w:r w:rsidR="00210E83">
        <w:rPr>
          <w:lang w:val="en-AU"/>
        </w:rPr>
        <w:br/>
      </w:r>
      <w:r w:rsidR="00210E83" w:rsidRPr="00D32B9A">
        <w:rPr>
          <w:vertAlign w:val="superscript"/>
          <w:lang w:val="en-AU"/>
        </w:rPr>
        <w:t>(a)</w:t>
      </w:r>
      <w:r w:rsidR="00210E83">
        <w:rPr>
          <w:lang w:val="en-AU"/>
        </w:rPr>
        <w:t xml:space="preserve"> Cos</w:t>
      </w:r>
      <w:r w:rsidR="00D250C2">
        <w:rPr>
          <w:lang w:val="en-AU"/>
        </w:rPr>
        <w:t xml:space="preserve">t pass through associated with </w:t>
      </w:r>
      <w:r w:rsidR="00210E83">
        <w:rPr>
          <w:lang w:val="en-AU"/>
        </w:rPr>
        <w:t>implementation of recommendations from the Davies Review, approved by the Commission in May 2013</w:t>
      </w:r>
      <w:r w:rsidR="00900775">
        <w:rPr>
          <w:lang w:val="en-AU"/>
        </w:rPr>
        <w:t>.</w:t>
      </w:r>
    </w:p>
    <w:p w14:paraId="1B7E0510" w14:textId="77777777" w:rsidR="001144DC" w:rsidRDefault="001144DC" w:rsidP="00FD5D58">
      <w:pPr>
        <w:pStyle w:val="UtilComReferenceSource"/>
        <w:spacing w:before="0" w:after="0"/>
        <w:rPr>
          <w:lang w:val="en-AU"/>
        </w:rPr>
      </w:pPr>
    </w:p>
    <w:p w14:paraId="4C94F142" w14:textId="088638BE" w:rsidR="00FD5E9B" w:rsidRDefault="00401920" w:rsidP="00D1280A">
      <w:pPr>
        <w:pStyle w:val="UtilComReferenceSource"/>
        <w:rPr>
          <w:rFonts w:cs="Arial"/>
          <w:spacing w:val="-14"/>
          <w:sz w:val="22"/>
          <w:szCs w:val="22"/>
          <w:lang w:val="en-AU"/>
        </w:rPr>
      </w:pPr>
      <w:r w:rsidRPr="00401920">
        <w:rPr>
          <w:noProof/>
          <w:lang w:val="en-AU" w:eastAsia="en-AU"/>
        </w:rPr>
        <w:drawing>
          <wp:anchor distT="0" distB="0" distL="114300" distR="114300" simplePos="0" relativeHeight="251689984" behindDoc="0" locked="0" layoutInCell="1" allowOverlap="1" wp14:anchorId="16ED3AF4" wp14:editId="399B622E">
            <wp:simplePos x="0" y="0"/>
            <wp:positionH relativeFrom="column">
              <wp:posOffset>-32385</wp:posOffset>
            </wp:positionH>
            <wp:positionV relativeFrom="paragraph">
              <wp:posOffset>373380</wp:posOffset>
            </wp:positionV>
            <wp:extent cx="5760720" cy="2748280"/>
            <wp:effectExtent l="19050" t="19050" r="11430" b="1397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2748280"/>
                    </a:xfrm>
                    <a:prstGeom prst="rect">
                      <a:avLst/>
                    </a:prstGeom>
                    <a:noFill/>
                    <a:ln>
                      <a:solidFill>
                        <a:schemeClr val="accent1">
                          <a:lumMod val="75000"/>
                        </a:schemeClr>
                      </a:solidFill>
                    </a:ln>
                  </pic:spPr>
                </pic:pic>
              </a:graphicData>
            </a:graphic>
            <wp14:sizeRelH relativeFrom="page">
              <wp14:pctWidth>0</wp14:pctWidth>
            </wp14:sizeRelH>
            <wp14:sizeRelV relativeFrom="page">
              <wp14:pctHeight>0</wp14:pctHeight>
            </wp14:sizeRelV>
          </wp:anchor>
        </w:drawing>
      </w:r>
      <w:r w:rsidR="001144DC" w:rsidRPr="00FD5E9B">
        <w:rPr>
          <w:rFonts w:cs="Arial"/>
          <w:spacing w:val="-14"/>
          <w:sz w:val="22"/>
          <w:szCs w:val="22"/>
          <w:lang w:val="en-AU"/>
        </w:rPr>
        <w:t xml:space="preserve">Figure </w:t>
      </w:r>
      <w:r w:rsidR="00BF4DCC">
        <w:rPr>
          <w:rFonts w:cs="Arial"/>
          <w:spacing w:val="-14"/>
          <w:sz w:val="22"/>
          <w:szCs w:val="22"/>
          <w:lang w:val="en-AU"/>
        </w:rPr>
        <w:t>9</w:t>
      </w:r>
      <w:r w:rsidR="001144DC" w:rsidRPr="00FD5E9B">
        <w:rPr>
          <w:rFonts w:cs="Arial"/>
          <w:spacing w:val="-14"/>
          <w:sz w:val="22"/>
          <w:szCs w:val="22"/>
          <w:lang w:val="en-AU"/>
        </w:rPr>
        <w:t>.1</w:t>
      </w:r>
      <w:r w:rsidR="00900775">
        <w:rPr>
          <w:rFonts w:cs="Arial"/>
          <w:spacing w:val="-14"/>
          <w:sz w:val="22"/>
          <w:szCs w:val="22"/>
          <w:lang w:val="en-AU"/>
        </w:rPr>
        <w:t>:</w:t>
      </w:r>
      <w:r w:rsidR="001144DC" w:rsidRPr="00FD5E9B">
        <w:rPr>
          <w:rFonts w:cs="Arial"/>
          <w:spacing w:val="-14"/>
          <w:sz w:val="22"/>
          <w:szCs w:val="22"/>
          <w:lang w:val="en-AU"/>
        </w:rPr>
        <w:t xml:space="preserve"> </w:t>
      </w:r>
      <w:r w:rsidR="00900775">
        <w:rPr>
          <w:rFonts w:cs="Arial"/>
          <w:spacing w:val="-14"/>
          <w:sz w:val="22"/>
          <w:szCs w:val="22"/>
          <w:lang w:val="en-AU"/>
        </w:rPr>
        <w:t>C</w:t>
      </w:r>
      <w:r w:rsidR="00900775" w:rsidRPr="00FD5E9B">
        <w:rPr>
          <w:rFonts w:cs="Arial"/>
          <w:spacing w:val="-14"/>
          <w:sz w:val="22"/>
          <w:szCs w:val="22"/>
          <w:lang w:val="en-AU"/>
        </w:rPr>
        <w:t xml:space="preserve">apex </w:t>
      </w:r>
      <w:r w:rsidR="00FD5E9B" w:rsidRPr="00FD5E9B">
        <w:rPr>
          <w:rFonts w:cs="Arial"/>
          <w:spacing w:val="-14"/>
          <w:sz w:val="22"/>
          <w:szCs w:val="22"/>
          <w:lang w:val="en-AU"/>
        </w:rPr>
        <w:t xml:space="preserve">allowance (including cost pass through) and actual capex for </w:t>
      </w:r>
      <w:r w:rsidR="000D5DD0">
        <w:rPr>
          <w:rFonts w:cs="Arial"/>
          <w:spacing w:val="-14"/>
          <w:sz w:val="22"/>
          <w:szCs w:val="22"/>
          <w:lang w:val="en-AU"/>
        </w:rPr>
        <w:t xml:space="preserve">the </w:t>
      </w:r>
      <w:r w:rsidR="00FD5E9B" w:rsidRPr="00FD5E9B">
        <w:rPr>
          <w:rFonts w:cs="Arial"/>
          <w:spacing w:val="-14"/>
          <w:sz w:val="22"/>
          <w:szCs w:val="22"/>
          <w:lang w:val="en-AU"/>
        </w:rPr>
        <w:t xml:space="preserve">2009-14 </w:t>
      </w:r>
      <w:r w:rsidR="000D5DD0">
        <w:rPr>
          <w:rFonts w:cs="Arial"/>
          <w:spacing w:val="-14"/>
          <w:sz w:val="22"/>
          <w:szCs w:val="22"/>
          <w:lang w:val="en-AU"/>
        </w:rPr>
        <w:t xml:space="preserve">regulatory control period </w:t>
      </w:r>
      <w:r w:rsidR="00FD5E9B" w:rsidRPr="00FD5E9B">
        <w:rPr>
          <w:rFonts w:cs="Arial"/>
          <w:spacing w:val="-14"/>
          <w:sz w:val="22"/>
          <w:szCs w:val="22"/>
          <w:lang w:val="en-AU"/>
        </w:rPr>
        <w:t xml:space="preserve">and proposed capex for </w:t>
      </w:r>
      <w:r w:rsidR="000D5DD0">
        <w:rPr>
          <w:rFonts w:cs="Arial"/>
          <w:spacing w:val="-14"/>
          <w:sz w:val="22"/>
          <w:szCs w:val="22"/>
          <w:lang w:val="en-AU"/>
        </w:rPr>
        <w:t xml:space="preserve">the </w:t>
      </w:r>
      <w:r w:rsidR="00FD5E9B" w:rsidRPr="00FD5E9B">
        <w:rPr>
          <w:rFonts w:cs="Arial"/>
          <w:spacing w:val="-14"/>
          <w:sz w:val="22"/>
          <w:szCs w:val="22"/>
          <w:lang w:val="en-AU"/>
        </w:rPr>
        <w:t>2014-19</w:t>
      </w:r>
      <w:r w:rsidR="00B47A29">
        <w:rPr>
          <w:rFonts w:cs="Arial"/>
          <w:spacing w:val="-14"/>
          <w:sz w:val="22"/>
          <w:szCs w:val="22"/>
          <w:lang w:val="en-AU"/>
        </w:rPr>
        <w:t xml:space="preserve"> </w:t>
      </w:r>
      <w:r w:rsidR="000D5DD0">
        <w:rPr>
          <w:rFonts w:cs="Arial"/>
          <w:spacing w:val="-14"/>
          <w:sz w:val="22"/>
          <w:szCs w:val="22"/>
          <w:lang w:val="en-AU"/>
        </w:rPr>
        <w:t>regulatory control period</w:t>
      </w:r>
    </w:p>
    <w:p w14:paraId="4262147E" w14:textId="77777777" w:rsidR="00661526" w:rsidRDefault="00661526" w:rsidP="00D1280A">
      <w:pPr>
        <w:pStyle w:val="UtilComReferenceSource"/>
        <w:rPr>
          <w:rFonts w:cs="Arial"/>
          <w:spacing w:val="-14"/>
          <w:sz w:val="22"/>
          <w:szCs w:val="22"/>
          <w:lang w:val="en-AU"/>
        </w:rPr>
      </w:pPr>
    </w:p>
    <w:p w14:paraId="47B90B00" w14:textId="5639F559" w:rsidR="00661526" w:rsidRDefault="00661526" w:rsidP="00D1280A">
      <w:pPr>
        <w:pStyle w:val="UtilComReferenceSource"/>
        <w:rPr>
          <w:rFonts w:cs="Arial"/>
          <w:spacing w:val="-14"/>
          <w:sz w:val="22"/>
          <w:szCs w:val="22"/>
          <w:lang w:val="en-AU"/>
        </w:rPr>
      </w:pPr>
    </w:p>
    <w:p w14:paraId="20E7E80D" w14:textId="77777777" w:rsidR="00661526" w:rsidRDefault="00661526" w:rsidP="00D1280A">
      <w:pPr>
        <w:pStyle w:val="UtilComReferenceSource"/>
        <w:rPr>
          <w:rFonts w:cs="Arial"/>
          <w:spacing w:val="-14"/>
          <w:sz w:val="22"/>
          <w:szCs w:val="22"/>
          <w:lang w:val="en-AU"/>
        </w:rPr>
      </w:pPr>
    </w:p>
    <w:p w14:paraId="7BBE0785" w14:textId="77777777" w:rsidR="00661526" w:rsidRDefault="00661526" w:rsidP="00D1280A">
      <w:pPr>
        <w:pStyle w:val="UtilComReferenceSource"/>
        <w:rPr>
          <w:rFonts w:cs="Arial"/>
          <w:spacing w:val="-14"/>
          <w:sz w:val="22"/>
          <w:szCs w:val="22"/>
          <w:lang w:val="en-AU"/>
        </w:rPr>
      </w:pPr>
    </w:p>
    <w:p w14:paraId="4433807D" w14:textId="77777777" w:rsidR="00661526" w:rsidRDefault="00661526" w:rsidP="00D1280A">
      <w:pPr>
        <w:pStyle w:val="UtilComReferenceSource"/>
        <w:rPr>
          <w:rFonts w:cs="Arial"/>
          <w:spacing w:val="-14"/>
          <w:sz w:val="22"/>
          <w:szCs w:val="22"/>
          <w:lang w:val="en-AU"/>
        </w:rPr>
      </w:pPr>
    </w:p>
    <w:p w14:paraId="06D508F7" w14:textId="77777777" w:rsidR="00661526" w:rsidRDefault="00661526" w:rsidP="00D1280A">
      <w:pPr>
        <w:pStyle w:val="UtilComReferenceSource"/>
        <w:rPr>
          <w:rFonts w:cs="Arial"/>
          <w:spacing w:val="-14"/>
          <w:sz w:val="22"/>
          <w:szCs w:val="22"/>
          <w:lang w:val="en-AU"/>
        </w:rPr>
      </w:pPr>
    </w:p>
    <w:p w14:paraId="08F85589" w14:textId="43BCF078" w:rsidR="001144DC" w:rsidRPr="00E529C5" w:rsidRDefault="001144DC" w:rsidP="00D1280A">
      <w:pPr>
        <w:pStyle w:val="UtilComReferenceSource"/>
        <w:rPr>
          <w:lang w:val="en-AU"/>
        </w:rPr>
      </w:pPr>
    </w:p>
    <w:p w14:paraId="3047BE56" w14:textId="7A32CDED" w:rsidR="001144DC" w:rsidRDefault="001144DC" w:rsidP="001144DC">
      <w:pPr>
        <w:pStyle w:val="UtilComHeading2"/>
      </w:pPr>
      <w:bookmarkStart w:id="184" w:name="_Toc385241514"/>
      <w:bookmarkStart w:id="185" w:name="_Toc386013067"/>
      <w:r>
        <w:t>PWC Networks</w:t>
      </w:r>
      <w:r w:rsidR="00D624BF">
        <w:t>’</w:t>
      </w:r>
      <w:r>
        <w:t xml:space="preserve"> </w:t>
      </w:r>
      <w:r w:rsidR="00401920">
        <w:t xml:space="preserve">Initial Regulatory </w:t>
      </w:r>
      <w:bookmarkEnd w:id="184"/>
      <w:r w:rsidR="00401920">
        <w:t>Proposal</w:t>
      </w:r>
      <w:bookmarkEnd w:id="185"/>
    </w:p>
    <w:p w14:paraId="4B5DC6AD" w14:textId="485A8D81" w:rsidR="001144DC" w:rsidRDefault="001144DC" w:rsidP="00346DAA">
      <w:pPr>
        <w:pStyle w:val="NumberLevel2"/>
        <w:numPr>
          <w:ilvl w:val="1"/>
          <w:numId w:val="5"/>
        </w:numPr>
        <w:tabs>
          <w:tab w:val="num" w:pos="709"/>
        </w:tabs>
        <w:ind w:left="709" w:hanging="709"/>
        <w:rPr>
          <w:lang w:val="en-AU"/>
        </w:rPr>
      </w:pPr>
      <w:r>
        <w:rPr>
          <w:lang w:val="en-AU"/>
        </w:rPr>
        <w:t xml:space="preserve">PWC Networks </w:t>
      </w:r>
      <w:r w:rsidR="00E2482D">
        <w:rPr>
          <w:lang w:val="en-AU"/>
        </w:rPr>
        <w:t xml:space="preserve">submitted an initial </w:t>
      </w:r>
      <w:r w:rsidRPr="00470E10">
        <w:rPr>
          <w:lang w:val="en-AU"/>
        </w:rPr>
        <w:t xml:space="preserve">capex </w:t>
      </w:r>
      <w:r w:rsidR="000D5DD0">
        <w:rPr>
          <w:lang w:val="en-AU"/>
        </w:rPr>
        <w:t xml:space="preserve">forecast requiring a total </w:t>
      </w:r>
      <w:r w:rsidRPr="00470E10">
        <w:rPr>
          <w:lang w:val="en-AU"/>
        </w:rPr>
        <w:t>$</w:t>
      </w:r>
      <w:r>
        <w:rPr>
          <w:lang w:val="en-AU"/>
        </w:rPr>
        <w:t>32</w:t>
      </w:r>
      <w:r w:rsidR="00900775">
        <w:rPr>
          <w:lang w:val="en-AU"/>
        </w:rPr>
        <w:t>3.0</w:t>
      </w:r>
      <w:r w:rsidRPr="00470E10">
        <w:rPr>
          <w:lang w:val="en-AU"/>
        </w:rPr>
        <w:t xml:space="preserve"> million ($20</w:t>
      </w:r>
      <w:r>
        <w:rPr>
          <w:lang w:val="en-AU"/>
        </w:rPr>
        <w:t>13</w:t>
      </w:r>
      <w:r w:rsidR="00900775" w:rsidRPr="00900775">
        <w:rPr>
          <w:lang w:val="en-AU"/>
        </w:rPr>
        <w:t>-</w:t>
      </w:r>
      <w:r w:rsidRPr="00470E10">
        <w:rPr>
          <w:lang w:val="en-AU"/>
        </w:rPr>
        <w:t>1</w:t>
      </w:r>
      <w:r>
        <w:rPr>
          <w:lang w:val="en-AU"/>
        </w:rPr>
        <w:t>4</w:t>
      </w:r>
      <w:r w:rsidRPr="00470E10">
        <w:rPr>
          <w:lang w:val="en-AU"/>
        </w:rPr>
        <w:t xml:space="preserve">) for the </w:t>
      </w:r>
      <w:r w:rsidR="00E2482D">
        <w:rPr>
          <w:lang w:val="en-AU"/>
        </w:rPr>
        <w:t>2014-19</w:t>
      </w:r>
      <w:r w:rsidR="00E2482D" w:rsidRPr="00470E10">
        <w:rPr>
          <w:lang w:val="en-AU"/>
        </w:rPr>
        <w:t xml:space="preserve"> </w:t>
      </w:r>
      <w:r w:rsidRPr="00470E10">
        <w:rPr>
          <w:lang w:val="en-AU"/>
        </w:rPr>
        <w:t xml:space="preserve">regulatory control period. The amounts proposed by the </w:t>
      </w:r>
      <w:r>
        <w:rPr>
          <w:lang w:val="en-AU"/>
        </w:rPr>
        <w:t>PWC Networks</w:t>
      </w:r>
      <w:r w:rsidRPr="00470E10">
        <w:rPr>
          <w:lang w:val="en-AU"/>
        </w:rPr>
        <w:t xml:space="preserve"> are set out in </w:t>
      </w:r>
      <w:r w:rsidR="00900775">
        <w:rPr>
          <w:lang w:val="en-AU"/>
        </w:rPr>
        <w:t>T</w:t>
      </w:r>
      <w:r w:rsidR="00900775" w:rsidRPr="00470E10">
        <w:rPr>
          <w:lang w:val="en-AU"/>
        </w:rPr>
        <w:t xml:space="preserve">able </w:t>
      </w:r>
      <w:r w:rsidR="00E2482D">
        <w:rPr>
          <w:lang w:val="en-AU"/>
        </w:rPr>
        <w:t>9</w:t>
      </w:r>
      <w:r>
        <w:rPr>
          <w:lang w:val="en-AU"/>
        </w:rPr>
        <w:t>.2.</w:t>
      </w:r>
      <w:r w:rsidRPr="00622FA2">
        <w:t xml:space="preserve"> </w:t>
      </w:r>
    </w:p>
    <w:p w14:paraId="679BC817" w14:textId="1911F3BD" w:rsidR="001144DC" w:rsidRDefault="001144DC" w:rsidP="00346DAA">
      <w:pPr>
        <w:pStyle w:val="NumberLevel2"/>
        <w:numPr>
          <w:ilvl w:val="1"/>
          <w:numId w:val="5"/>
        </w:numPr>
        <w:tabs>
          <w:tab w:val="num" w:pos="709"/>
        </w:tabs>
        <w:ind w:left="709" w:hanging="709"/>
        <w:rPr>
          <w:lang w:val="en-AU"/>
        </w:rPr>
      </w:pPr>
      <w:r>
        <w:rPr>
          <w:lang w:val="en-AU"/>
        </w:rPr>
        <w:t xml:space="preserve">PWC Networks’ </w:t>
      </w:r>
      <w:r w:rsidR="00E2482D">
        <w:rPr>
          <w:lang w:val="en-AU"/>
        </w:rPr>
        <w:t xml:space="preserve">initial </w:t>
      </w:r>
      <w:r w:rsidRPr="00622FA2">
        <w:rPr>
          <w:lang w:val="en-AU"/>
        </w:rPr>
        <w:t xml:space="preserve">capex </w:t>
      </w:r>
      <w:r w:rsidR="000D5DD0">
        <w:rPr>
          <w:lang w:val="en-AU"/>
        </w:rPr>
        <w:t xml:space="preserve">forecast </w:t>
      </w:r>
      <w:r w:rsidRPr="00622FA2">
        <w:rPr>
          <w:lang w:val="en-AU"/>
        </w:rPr>
        <w:t xml:space="preserve">for the </w:t>
      </w:r>
      <w:r w:rsidR="00E2482D">
        <w:rPr>
          <w:lang w:val="en-AU"/>
        </w:rPr>
        <w:t xml:space="preserve">2014-19 </w:t>
      </w:r>
      <w:r>
        <w:rPr>
          <w:lang w:val="en-AU"/>
        </w:rPr>
        <w:t>regulatory</w:t>
      </w:r>
      <w:r w:rsidRPr="00622FA2">
        <w:rPr>
          <w:lang w:val="en-AU"/>
        </w:rPr>
        <w:t xml:space="preserve"> </w:t>
      </w:r>
      <w:r w:rsidR="001F0FFB">
        <w:rPr>
          <w:lang w:val="en-AU"/>
        </w:rPr>
        <w:t xml:space="preserve">control </w:t>
      </w:r>
      <w:r w:rsidRPr="00622FA2">
        <w:rPr>
          <w:lang w:val="en-AU"/>
        </w:rPr>
        <w:t xml:space="preserve">period </w:t>
      </w:r>
      <w:r w:rsidR="00E2482D">
        <w:rPr>
          <w:lang w:val="en-AU"/>
        </w:rPr>
        <w:t>wa</w:t>
      </w:r>
      <w:r w:rsidR="00E2482D" w:rsidRPr="00622FA2">
        <w:rPr>
          <w:lang w:val="en-AU"/>
        </w:rPr>
        <w:t xml:space="preserve">s </w:t>
      </w:r>
      <w:r w:rsidRPr="00622FA2">
        <w:rPr>
          <w:lang w:val="en-AU"/>
        </w:rPr>
        <w:t xml:space="preserve">approximately </w:t>
      </w:r>
      <w:r w:rsidR="000D5DD0">
        <w:rPr>
          <w:lang w:val="en-AU"/>
        </w:rPr>
        <w:t>24 </w:t>
      </w:r>
      <w:r w:rsidR="000D5DD0" w:rsidRPr="00622FA2">
        <w:rPr>
          <w:lang w:val="en-AU"/>
        </w:rPr>
        <w:t>per</w:t>
      </w:r>
      <w:r w:rsidR="000D5DD0">
        <w:rPr>
          <w:lang w:val="en-AU"/>
        </w:rPr>
        <w:t> </w:t>
      </w:r>
      <w:r w:rsidRPr="00622FA2">
        <w:rPr>
          <w:lang w:val="en-AU"/>
        </w:rPr>
        <w:t xml:space="preserve">cent (in real terms) </w:t>
      </w:r>
      <w:r>
        <w:rPr>
          <w:lang w:val="en-AU"/>
        </w:rPr>
        <w:t>lower</w:t>
      </w:r>
      <w:r w:rsidRPr="00622FA2">
        <w:rPr>
          <w:lang w:val="en-AU"/>
        </w:rPr>
        <w:t xml:space="preserve"> than the </w:t>
      </w:r>
      <w:r w:rsidR="000D5DD0">
        <w:rPr>
          <w:lang w:val="en-AU"/>
        </w:rPr>
        <w:t xml:space="preserve">estimated total required </w:t>
      </w:r>
      <w:r>
        <w:rPr>
          <w:lang w:val="en-AU"/>
        </w:rPr>
        <w:t xml:space="preserve">capex (including the cost pass through) for the </w:t>
      </w:r>
      <w:r w:rsidR="00E2482D">
        <w:rPr>
          <w:lang w:val="en-AU"/>
        </w:rPr>
        <w:t xml:space="preserve">2009-14 </w:t>
      </w:r>
      <w:r>
        <w:rPr>
          <w:lang w:val="en-AU"/>
        </w:rPr>
        <w:t xml:space="preserve">regulatory control period and </w:t>
      </w:r>
      <w:r w:rsidR="000D5DD0">
        <w:rPr>
          <w:lang w:val="en-AU"/>
        </w:rPr>
        <w:t>29 </w:t>
      </w:r>
      <w:r w:rsidR="000D5DD0" w:rsidRPr="00622FA2">
        <w:rPr>
          <w:lang w:val="en-AU"/>
        </w:rPr>
        <w:t>per</w:t>
      </w:r>
      <w:r w:rsidR="000D5DD0">
        <w:rPr>
          <w:lang w:val="en-AU"/>
        </w:rPr>
        <w:t> </w:t>
      </w:r>
      <w:r w:rsidRPr="00622FA2">
        <w:rPr>
          <w:lang w:val="en-AU"/>
        </w:rPr>
        <w:t xml:space="preserve">cent (in real terms) </w:t>
      </w:r>
      <w:r>
        <w:rPr>
          <w:lang w:val="en-AU"/>
        </w:rPr>
        <w:t>lower</w:t>
      </w:r>
      <w:r w:rsidRPr="00622FA2">
        <w:rPr>
          <w:lang w:val="en-AU"/>
        </w:rPr>
        <w:t xml:space="preserve"> than expected </w:t>
      </w:r>
      <w:r>
        <w:rPr>
          <w:lang w:val="en-AU"/>
        </w:rPr>
        <w:t xml:space="preserve">actual </w:t>
      </w:r>
      <w:r w:rsidRPr="00622FA2">
        <w:rPr>
          <w:lang w:val="en-AU"/>
        </w:rPr>
        <w:t>capex.</w:t>
      </w:r>
    </w:p>
    <w:p w14:paraId="74087CBD" w14:textId="2A998D50" w:rsidR="001144DC" w:rsidRPr="00A139AD" w:rsidRDefault="001144DC" w:rsidP="00900775">
      <w:pPr>
        <w:pStyle w:val="UtilComTableTitle"/>
        <w:keepNext/>
        <w:spacing w:before="120" w:after="0" w:line="240" w:lineRule="exact"/>
      </w:pPr>
      <w:r>
        <w:t xml:space="preserve">Table </w:t>
      </w:r>
      <w:r w:rsidR="00E2482D">
        <w:t>9</w:t>
      </w:r>
      <w:r>
        <w:t xml:space="preserve">.2: PWC Networks </w:t>
      </w:r>
      <w:r w:rsidRPr="002D2B54">
        <w:t>proposed capex</w:t>
      </w:r>
      <w:r w:rsidR="000D5DD0">
        <w:t xml:space="preserve"> for the 2014-19 regulatory control period</w:t>
      </w:r>
      <w:r w:rsidRPr="00125E7A">
        <w:t xml:space="preserve"> ($</w:t>
      </w:r>
      <w:r w:rsidR="00484786">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1144DC" w:rsidRPr="008A4655" w14:paraId="648B43C4" w14:textId="77777777" w:rsidTr="002A30BA">
        <w:trPr>
          <w:cantSplit/>
          <w:trHeight w:val="360"/>
        </w:trPr>
        <w:tc>
          <w:tcPr>
            <w:tcW w:w="1811" w:type="dxa"/>
            <w:tcBorders>
              <w:top w:val="single" w:sz="4" w:space="0" w:color="999999"/>
              <w:bottom w:val="single" w:sz="4" w:space="0" w:color="auto"/>
            </w:tcBorders>
            <w:vAlign w:val="bottom"/>
          </w:tcPr>
          <w:p w14:paraId="04A6678F" w14:textId="77777777" w:rsidR="001144DC" w:rsidRPr="00EE5A08" w:rsidRDefault="001144DC" w:rsidP="002A30BA">
            <w:pPr>
              <w:pStyle w:val="UtilComTabletext"/>
              <w:rPr>
                <w:b/>
              </w:rPr>
            </w:pPr>
          </w:p>
        </w:tc>
        <w:tc>
          <w:tcPr>
            <w:tcW w:w="1221" w:type="dxa"/>
            <w:tcBorders>
              <w:top w:val="single" w:sz="4" w:space="0" w:color="999999"/>
              <w:bottom w:val="single" w:sz="4" w:space="0" w:color="auto"/>
            </w:tcBorders>
            <w:tcMar>
              <w:left w:w="0" w:type="dxa"/>
            </w:tcMar>
            <w:vAlign w:val="bottom"/>
          </w:tcPr>
          <w:p w14:paraId="7EDF8707" w14:textId="77777777" w:rsidR="001144DC" w:rsidRPr="00EE5A08" w:rsidRDefault="001144DC" w:rsidP="002A30BA">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604C0C94" w14:textId="77777777" w:rsidR="001144DC" w:rsidRPr="00EE5A08" w:rsidRDefault="001144DC" w:rsidP="002A30BA">
            <w:pPr>
              <w:pStyle w:val="UtilComTabletext"/>
              <w:jc w:val="right"/>
              <w:rPr>
                <w:b/>
              </w:rPr>
            </w:pPr>
            <w:r>
              <w:rPr>
                <w:b/>
              </w:rPr>
              <w:t>2015-16</w:t>
            </w:r>
          </w:p>
        </w:tc>
        <w:tc>
          <w:tcPr>
            <w:tcW w:w="1221" w:type="dxa"/>
            <w:tcBorders>
              <w:top w:val="single" w:sz="4" w:space="0" w:color="999999"/>
              <w:bottom w:val="single" w:sz="4" w:space="0" w:color="auto"/>
            </w:tcBorders>
            <w:vAlign w:val="bottom"/>
          </w:tcPr>
          <w:p w14:paraId="608B7F54" w14:textId="77777777" w:rsidR="001144DC" w:rsidRDefault="001144DC" w:rsidP="002A30BA">
            <w:pPr>
              <w:pStyle w:val="UtilComTabletext"/>
              <w:jc w:val="right"/>
              <w:rPr>
                <w:b/>
              </w:rPr>
            </w:pPr>
            <w:r>
              <w:rPr>
                <w:b/>
              </w:rPr>
              <w:t>2016-17</w:t>
            </w:r>
          </w:p>
        </w:tc>
        <w:tc>
          <w:tcPr>
            <w:tcW w:w="1221" w:type="dxa"/>
            <w:tcBorders>
              <w:top w:val="single" w:sz="4" w:space="0" w:color="999999"/>
              <w:bottom w:val="single" w:sz="4" w:space="0" w:color="auto"/>
            </w:tcBorders>
            <w:vAlign w:val="bottom"/>
          </w:tcPr>
          <w:p w14:paraId="62A09321" w14:textId="77777777" w:rsidR="001144DC" w:rsidRDefault="001144DC" w:rsidP="002A30BA">
            <w:pPr>
              <w:pStyle w:val="UtilComTabletext"/>
              <w:jc w:val="right"/>
              <w:rPr>
                <w:b/>
              </w:rPr>
            </w:pPr>
            <w:r>
              <w:rPr>
                <w:b/>
              </w:rPr>
              <w:t>2017-18</w:t>
            </w:r>
          </w:p>
        </w:tc>
        <w:tc>
          <w:tcPr>
            <w:tcW w:w="1221" w:type="dxa"/>
            <w:tcBorders>
              <w:top w:val="single" w:sz="4" w:space="0" w:color="999999"/>
              <w:bottom w:val="single" w:sz="4" w:space="0" w:color="auto"/>
            </w:tcBorders>
            <w:vAlign w:val="bottom"/>
          </w:tcPr>
          <w:p w14:paraId="45393C1E" w14:textId="77777777" w:rsidR="001144DC" w:rsidRDefault="001144DC" w:rsidP="002A30BA">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3FC430A7" w14:textId="77777777" w:rsidR="001144DC" w:rsidRPr="00EE5A08" w:rsidRDefault="001144DC" w:rsidP="002A30BA">
            <w:pPr>
              <w:pStyle w:val="UtilComTabletext"/>
              <w:jc w:val="right"/>
              <w:rPr>
                <w:b/>
              </w:rPr>
            </w:pPr>
            <w:r>
              <w:rPr>
                <w:b/>
              </w:rPr>
              <w:t>Total</w:t>
            </w:r>
          </w:p>
        </w:tc>
      </w:tr>
      <w:tr w:rsidR="001144DC" w:rsidRPr="008A4655" w14:paraId="379BAACD" w14:textId="77777777" w:rsidTr="002A30BA">
        <w:trPr>
          <w:cantSplit/>
          <w:trHeight w:val="360"/>
        </w:trPr>
        <w:tc>
          <w:tcPr>
            <w:tcW w:w="1811" w:type="dxa"/>
            <w:tcBorders>
              <w:top w:val="single" w:sz="4" w:space="0" w:color="auto"/>
              <w:bottom w:val="single" w:sz="4" w:space="0" w:color="999999"/>
            </w:tcBorders>
          </w:tcPr>
          <w:p w14:paraId="4DB3B2E2" w14:textId="77777777" w:rsidR="001144DC" w:rsidRDefault="001144DC" w:rsidP="002A30BA">
            <w:pPr>
              <w:pStyle w:val="UtilComTabletext"/>
            </w:pPr>
            <w:r>
              <w:t>User initiated</w:t>
            </w:r>
          </w:p>
        </w:tc>
        <w:tc>
          <w:tcPr>
            <w:tcW w:w="1221" w:type="dxa"/>
            <w:tcBorders>
              <w:top w:val="single" w:sz="4" w:space="0" w:color="auto"/>
              <w:bottom w:val="single" w:sz="4" w:space="0" w:color="999999"/>
            </w:tcBorders>
            <w:shd w:val="clear" w:color="auto" w:fill="auto"/>
          </w:tcPr>
          <w:p w14:paraId="01E26B89" w14:textId="77777777" w:rsidR="001144DC" w:rsidRPr="00E300D6" w:rsidRDefault="001144DC" w:rsidP="00DC3F92">
            <w:pPr>
              <w:pStyle w:val="UtilComTabletext"/>
              <w:jc w:val="right"/>
            </w:pPr>
            <w:r>
              <w:t>10.</w:t>
            </w:r>
            <w:r w:rsidR="00DC3F92">
              <w:t>39</w:t>
            </w:r>
          </w:p>
        </w:tc>
        <w:tc>
          <w:tcPr>
            <w:tcW w:w="1221" w:type="dxa"/>
            <w:tcBorders>
              <w:top w:val="single" w:sz="4" w:space="0" w:color="auto"/>
              <w:bottom w:val="single" w:sz="4" w:space="0" w:color="999999"/>
            </w:tcBorders>
            <w:shd w:val="clear" w:color="auto" w:fill="auto"/>
          </w:tcPr>
          <w:p w14:paraId="66441BAB" w14:textId="77777777" w:rsidR="001144DC" w:rsidRPr="00E300D6" w:rsidRDefault="001144DC" w:rsidP="00DC3F92">
            <w:pPr>
              <w:pStyle w:val="UtilComTabletext"/>
              <w:jc w:val="right"/>
            </w:pPr>
            <w:r>
              <w:t>10.59</w:t>
            </w:r>
          </w:p>
        </w:tc>
        <w:tc>
          <w:tcPr>
            <w:tcW w:w="1221" w:type="dxa"/>
            <w:tcBorders>
              <w:top w:val="single" w:sz="4" w:space="0" w:color="auto"/>
              <w:bottom w:val="single" w:sz="4" w:space="0" w:color="999999"/>
            </w:tcBorders>
          </w:tcPr>
          <w:p w14:paraId="5DE6521A" w14:textId="77777777" w:rsidR="001144DC" w:rsidRPr="00E300D6" w:rsidRDefault="001144DC" w:rsidP="00DC3F92">
            <w:pPr>
              <w:pStyle w:val="UtilComTabletext"/>
              <w:jc w:val="right"/>
            </w:pPr>
            <w:r>
              <w:t>11.</w:t>
            </w:r>
            <w:r w:rsidR="00DC3F92">
              <w:t>47</w:t>
            </w:r>
          </w:p>
        </w:tc>
        <w:tc>
          <w:tcPr>
            <w:tcW w:w="1221" w:type="dxa"/>
            <w:tcBorders>
              <w:top w:val="single" w:sz="4" w:space="0" w:color="auto"/>
              <w:bottom w:val="single" w:sz="4" w:space="0" w:color="999999"/>
            </w:tcBorders>
          </w:tcPr>
          <w:p w14:paraId="67E89E43" w14:textId="77777777" w:rsidR="001144DC" w:rsidRPr="00E300D6" w:rsidRDefault="001144DC" w:rsidP="00DC3F92">
            <w:pPr>
              <w:pStyle w:val="UtilComTabletext"/>
              <w:jc w:val="right"/>
            </w:pPr>
            <w:r>
              <w:t>12.</w:t>
            </w:r>
            <w:r w:rsidR="00DC3F92">
              <w:t>10</w:t>
            </w:r>
          </w:p>
        </w:tc>
        <w:tc>
          <w:tcPr>
            <w:tcW w:w="1221" w:type="dxa"/>
            <w:tcBorders>
              <w:top w:val="single" w:sz="4" w:space="0" w:color="auto"/>
              <w:bottom w:val="single" w:sz="4" w:space="0" w:color="999999"/>
            </w:tcBorders>
          </w:tcPr>
          <w:p w14:paraId="620C62FA" w14:textId="77777777" w:rsidR="001144DC" w:rsidRPr="00E300D6" w:rsidRDefault="001144DC" w:rsidP="00DC3F92">
            <w:pPr>
              <w:pStyle w:val="UtilComTabletext"/>
              <w:jc w:val="right"/>
            </w:pPr>
            <w:r>
              <w:t>16.</w:t>
            </w:r>
            <w:r w:rsidR="00DC3F92">
              <w:t>61</w:t>
            </w:r>
          </w:p>
        </w:tc>
        <w:tc>
          <w:tcPr>
            <w:tcW w:w="1221" w:type="dxa"/>
            <w:tcBorders>
              <w:top w:val="single" w:sz="4" w:space="0" w:color="auto"/>
              <w:bottom w:val="single" w:sz="4" w:space="0" w:color="999999"/>
            </w:tcBorders>
            <w:shd w:val="clear" w:color="auto" w:fill="auto"/>
          </w:tcPr>
          <w:p w14:paraId="103E0D94" w14:textId="77777777" w:rsidR="001144DC" w:rsidRDefault="001144DC" w:rsidP="00DC3F92">
            <w:pPr>
              <w:pStyle w:val="UtilComTabletext"/>
              <w:jc w:val="right"/>
            </w:pPr>
            <w:r>
              <w:t>61.</w:t>
            </w:r>
            <w:r w:rsidR="00DC3F92">
              <w:t>15</w:t>
            </w:r>
          </w:p>
        </w:tc>
      </w:tr>
      <w:tr w:rsidR="001144DC" w:rsidRPr="008A4655" w14:paraId="5ACB76BC" w14:textId="77777777" w:rsidTr="002A30BA">
        <w:trPr>
          <w:cantSplit/>
          <w:trHeight w:val="360"/>
        </w:trPr>
        <w:tc>
          <w:tcPr>
            <w:tcW w:w="1811" w:type="dxa"/>
            <w:tcBorders>
              <w:top w:val="single" w:sz="4" w:space="0" w:color="999999"/>
              <w:bottom w:val="single" w:sz="4" w:space="0" w:color="999999"/>
            </w:tcBorders>
          </w:tcPr>
          <w:p w14:paraId="69F4519D" w14:textId="77777777" w:rsidR="001144DC" w:rsidRDefault="001144DC" w:rsidP="002A30BA">
            <w:pPr>
              <w:pStyle w:val="UtilComTabletext"/>
            </w:pPr>
            <w:r>
              <w:t>Augmentation</w:t>
            </w:r>
          </w:p>
        </w:tc>
        <w:tc>
          <w:tcPr>
            <w:tcW w:w="1221" w:type="dxa"/>
            <w:tcBorders>
              <w:top w:val="single" w:sz="4" w:space="0" w:color="999999"/>
              <w:bottom w:val="single" w:sz="4" w:space="0" w:color="999999"/>
            </w:tcBorders>
            <w:shd w:val="clear" w:color="auto" w:fill="auto"/>
          </w:tcPr>
          <w:p w14:paraId="5CEBD763" w14:textId="77777777" w:rsidR="001144DC" w:rsidRPr="00E300D6" w:rsidRDefault="001144DC" w:rsidP="00DC3F92">
            <w:pPr>
              <w:pStyle w:val="UtilComTabletext"/>
              <w:jc w:val="right"/>
            </w:pPr>
            <w:r>
              <w:t>13.73</w:t>
            </w:r>
          </w:p>
        </w:tc>
        <w:tc>
          <w:tcPr>
            <w:tcW w:w="1221" w:type="dxa"/>
            <w:tcBorders>
              <w:top w:val="single" w:sz="4" w:space="0" w:color="999999"/>
              <w:bottom w:val="single" w:sz="4" w:space="0" w:color="999999"/>
            </w:tcBorders>
            <w:shd w:val="clear" w:color="auto" w:fill="auto"/>
          </w:tcPr>
          <w:p w14:paraId="5EB2EB9F" w14:textId="77777777" w:rsidR="001144DC" w:rsidRPr="00E300D6" w:rsidRDefault="001144DC" w:rsidP="00DC3F92">
            <w:pPr>
              <w:pStyle w:val="UtilComTabletext"/>
              <w:jc w:val="right"/>
            </w:pPr>
            <w:r>
              <w:t>16.</w:t>
            </w:r>
            <w:r w:rsidR="00DC3F92">
              <w:t>02</w:t>
            </w:r>
          </w:p>
        </w:tc>
        <w:tc>
          <w:tcPr>
            <w:tcW w:w="1221" w:type="dxa"/>
            <w:tcBorders>
              <w:top w:val="single" w:sz="4" w:space="0" w:color="999999"/>
              <w:bottom w:val="single" w:sz="4" w:space="0" w:color="999999"/>
            </w:tcBorders>
          </w:tcPr>
          <w:p w14:paraId="110619DE" w14:textId="77777777" w:rsidR="001144DC" w:rsidRPr="00E300D6" w:rsidRDefault="001144DC" w:rsidP="00DC3F92">
            <w:pPr>
              <w:pStyle w:val="UtilComTabletext"/>
              <w:jc w:val="right"/>
            </w:pPr>
            <w:r>
              <w:t>7.</w:t>
            </w:r>
            <w:r w:rsidR="00DC3F92">
              <w:t>92</w:t>
            </w:r>
          </w:p>
        </w:tc>
        <w:tc>
          <w:tcPr>
            <w:tcW w:w="1221" w:type="dxa"/>
            <w:tcBorders>
              <w:top w:val="single" w:sz="4" w:space="0" w:color="999999"/>
              <w:bottom w:val="single" w:sz="4" w:space="0" w:color="999999"/>
            </w:tcBorders>
          </w:tcPr>
          <w:p w14:paraId="321B0ABA" w14:textId="77777777" w:rsidR="001144DC" w:rsidRPr="00E300D6" w:rsidRDefault="00DC3F92" w:rsidP="00DC3F92">
            <w:pPr>
              <w:pStyle w:val="UtilComTabletext"/>
              <w:jc w:val="right"/>
            </w:pPr>
            <w:r>
              <w:t>0.</w:t>
            </w:r>
            <w:r w:rsidR="001144DC">
              <w:t>30</w:t>
            </w:r>
          </w:p>
        </w:tc>
        <w:tc>
          <w:tcPr>
            <w:tcW w:w="1221" w:type="dxa"/>
            <w:tcBorders>
              <w:top w:val="single" w:sz="4" w:space="0" w:color="999999"/>
              <w:bottom w:val="single" w:sz="4" w:space="0" w:color="999999"/>
            </w:tcBorders>
          </w:tcPr>
          <w:p w14:paraId="52775A6F" w14:textId="77777777" w:rsidR="001144DC" w:rsidRPr="00E300D6" w:rsidRDefault="001144DC" w:rsidP="00DC3F92">
            <w:pPr>
              <w:pStyle w:val="UtilComTabletext"/>
              <w:jc w:val="right"/>
            </w:pPr>
            <w:r>
              <w:t>14.</w:t>
            </w:r>
            <w:r w:rsidR="00DC3F92">
              <w:t>99</w:t>
            </w:r>
          </w:p>
        </w:tc>
        <w:tc>
          <w:tcPr>
            <w:tcW w:w="1221" w:type="dxa"/>
            <w:tcBorders>
              <w:top w:val="single" w:sz="4" w:space="0" w:color="999999"/>
              <w:bottom w:val="single" w:sz="4" w:space="0" w:color="999999"/>
            </w:tcBorders>
            <w:shd w:val="clear" w:color="auto" w:fill="auto"/>
          </w:tcPr>
          <w:p w14:paraId="47D53E7F" w14:textId="77777777" w:rsidR="001144DC" w:rsidRDefault="001144DC" w:rsidP="00DC3F92">
            <w:pPr>
              <w:pStyle w:val="UtilComTabletext"/>
              <w:jc w:val="right"/>
            </w:pPr>
            <w:r>
              <w:t>52.</w:t>
            </w:r>
            <w:r w:rsidR="00DC3F92">
              <w:t>96</w:t>
            </w:r>
          </w:p>
        </w:tc>
      </w:tr>
      <w:tr w:rsidR="001144DC" w:rsidRPr="008A4655" w14:paraId="5318EED2" w14:textId="77777777" w:rsidTr="002A30BA">
        <w:trPr>
          <w:cantSplit/>
          <w:trHeight w:val="360"/>
        </w:trPr>
        <w:tc>
          <w:tcPr>
            <w:tcW w:w="1811" w:type="dxa"/>
            <w:tcBorders>
              <w:top w:val="single" w:sz="4" w:space="0" w:color="999999"/>
              <w:bottom w:val="single" w:sz="4" w:space="0" w:color="999999"/>
            </w:tcBorders>
          </w:tcPr>
          <w:p w14:paraId="4A96FA04" w14:textId="77777777" w:rsidR="001144DC" w:rsidRDefault="001144DC" w:rsidP="002A30BA">
            <w:pPr>
              <w:pStyle w:val="UtilComTabletext"/>
            </w:pPr>
            <w:r>
              <w:t>Replacement</w:t>
            </w:r>
          </w:p>
        </w:tc>
        <w:tc>
          <w:tcPr>
            <w:tcW w:w="1221" w:type="dxa"/>
            <w:tcBorders>
              <w:top w:val="single" w:sz="4" w:space="0" w:color="999999"/>
              <w:bottom w:val="single" w:sz="4" w:space="0" w:color="999999"/>
            </w:tcBorders>
            <w:shd w:val="clear" w:color="auto" w:fill="auto"/>
          </w:tcPr>
          <w:p w14:paraId="1D023EA0" w14:textId="77777777" w:rsidR="001144DC" w:rsidRPr="00E300D6" w:rsidRDefault="001144DC" w:rsidP="00DC3F92">
            <w:pPr>
              <w:pStyle w:val="UtilComTabletext"/>
              <w:jc w:val="right"/>
            </w:pPr>
            <w:r>
              <w:t>46.17</w:t>
            </w:r>
          </w:p>
        </w:tc>
        <w:tc>
          <w:tcPr>
            <w:tcW w:w="1221" w:type="dxa"/>
            <w:tcBorders>
              <w:top w:val="single" w:sz="4" w:space="0" w:color="999999"/>
              <w:bottom w:val="single" w:sz="4" w:space="0" w:color="999999"/>
            </w:tcBorders>
            <w:shd w:val="clear" w:color="auto" w:fill="auto"/>
          </w:tcPr>
          <w:p w14:paraId="7A294B6D" w14:textId="77777777" w:rsidR="001144DC" w:rsidRPr="00E300D6" w:rsidRDefault="001144DC" w:rsidP="00DC3F92">
            <w:pPr>
              <w:pStyle w:val="UtilComTabletext"/>
              <w:jc w:val="right"/>
            </w:pPr>
            <w:r>
              <w:t>31.62</w:t>
            </w:r>
          </w:p>
        </w:tc>
        <w:tc>
          <w:tcPr>
            <w:tcW w:w="1221" w:type="dxa"/>
            <w:tcBorders>
              <w:top w:val="single" w:sz="4" w:space="0" w:color="999999"/>
              <w:bottom w:val="single" w:sz="4" w:space="0" w:color="999999"/>
            </w:tcBorders>
          </w:tcPr>
          <w:p w14:paraId="1D3F837E" w14:textId="77777777" w:rsidR="001144DC" w:rsidRPr="00E300D6" w:rsidRDefault="001144DC" w:rsidP="00DC3F92">
            <w:pPr>
              <w:pStyle w:val="UtilComTabletext"/>
              <w:jc w:val="right"/>
            </w:pPr>
            <w:r>
              <w:t>29.</w:t>
            </w:r>
            <w:r w:rsidR="00DC3F92">
              <w:t>23</w:t>
            </w:r>
          </w:p>
        </w:tc>
        <w:tc>
          <w:tcPr>
            <w:tcW w:w="1221" w:type="dxa"/>
            <w:tcBorders>
              <w:top w:val="single" w:sz="4" w:space="0" w:color="999999"/>
              <w:bottom w:val="single" w:sz="4" w:space="0" w:color="999999"/>
            </w:tcBorders>
          </w:tcPr>
          <w:p w14:paraId="28A44C05" w14:textId="77777777" w:rsidR="001144DC" w:rsidRPr="00E300D6" w:rsidRDefault="001144DC" w:rsidP="00DC3F92">
            <w:pPr>
              <w:pStyle w:val="UtilComTabletext"/>
              <w:jc w:val="right"/>
            </w:pPr>
            <w:r>
              <w:t>32.</w:t>
            </w:r>
            <w:r w:rsidR="00DC3F92">
              <w:t>06</w:t>
            </w:r>
          </w:p>
        </w:tc>
        <w:tc>
          <w:tcPr>
            <w:tcW w:w="1221" w:type="dxa"/>
            <w:tcBorders>
              <w:top w:val="single" w:sz="4" w:space="0" w:color="999999"/>
              <w:bottom w:val="single" w:sz="4" w:space="0" w:color="999999"/>
            </w:tcBorders>
          </w:tcPr>
          <w:p w14:paraId="42052E16" w14:textId="77777777" w:rsidR="001144DC" w:rsidRPr="00E300D6" w:rsidRDefault="001144DC" w:rsidP="00DC3F92">
            <w:pPr>
              <w:pStyle w:val="UtilComTabletext"/>
              <w:jc w:val="right"/>
            </w:pPr>
            <w:r>
              <w:t>18.96</w:t>
            </w:r>
          </w:p>
        </w:tc>
        <w:tc>
          <w:tcPr>
            <w:tcW w:w="1221" w:type="dxa"/>
            <w:tcBorders>
              <w:top w:val="single" w:sz="4" w:space="0" w:color="999999"/>
              <w:bottom w:val="single" w:sz="4" w:space="0" w:color="999999"/>
            </w:tcBorders>
            <w:shd w:val="clear" w:color="auto" w:fill="auto"/>
          </w:tcPr>
          <w:p w14:paraId="5BC5ECC3" w14:textId="77777777" w:rsidR="001144DC" w:rsidRDefault="001144DC" w:rsidP="00DC3F92">
            <w:pPr>
              <w:pStyle w:val="UtilComTabletext"/>
              <w:jc w:val="right"/>
            </w:pPr>
            <w:r>
              <w:t>158.</w:t>
            </w:r>
            <w:r w:rsidR="00DC3F92">
              <w:t>05</w:t>
            </w:r>
          </w:p>
        </w:tc>
      </w:tr>
      <w:tr w:rsidR="001144DC" w:rsidRPr="008A4655" w14:paraId="5F32A71F" w14:textId="77777777" w:rsidTr="002A30BA">
        <w:trPr>
          <w:cantSplit/>
          <w:trHeight w:val="360"/>
        </w:trPr>
        <w:tc>
          <w:tcPr>
            <w:tcW w:w="1811" w:type="dxa"/>
            <w:tcBorders>
              <w:top w:val="single" w:sz="4" w:space="0" w:color="999999"/>
              <w:bottom w:val="single" w:sz="4" w:space="0" w:color="999999"/>
            </w:tcBorders>
          </w:tcPr>
          <w:p w14:paraId="7E8EE366" w14:textId="77777777" w:rsidR="001144DC" w:rsidRDefault="001144DC" w:rsidP="002A30BA">
            <w:pPr>
              <w:pStyle w:val="UtilComTabletext"/>
            </w:pPr>
            <w:r>
              <w:t>Reliability</w:t>
            </w:r>
          </w:p>
        </w:tc>
        <w:tc>
          <w:tcPr>
            <w:tcW w:w="1221" w:type="dxa"/>
            <w:tcBorders>
              <w:top w:val="single" w:sz="4" w:space="0" w:color="999999"/>
              <w:bottom w:val="single" w:sz="4" w:space="0" w:color="999999"/>
            </w:tcBorders>
            <w:shd w:val="clear" w:color="auto" w:fill="auto"/>
          </w:tcPr>
          <w:p w14:paraId="4AB6BC96" w14:textId="77777777" w:rsidR="001144DC" w:rsidRPr="00E300D6" w:rsidRDefault="001144DC" w:rsidP="00DC3F92">
            <w:pPr>
              <w:pStyle w:val="UtilComTabletext"/>
              <w:jc w:val="right"/>
            </w:pPr>
            <w:r>
              <w:t>5.</w:t>
            </w:r>
            <w:r w:rsidR="00DC3F92">
              <w:t>69</w:t>
            </w:r>
          </w:p>
        </w:tc>
        <w:tc>
          <w:tcPr>
            <w:tcW w:w="1221" w:type="dxa"/>
            <w:tcBorders>
              <w:top w:val="single" w:sz="4" w:space="0" w:color="999999"/>
              <w:bottom w:val="single" w:sz="4" w:space="0" w:color="999999"/>
            </w:tcBorders>
            <w:shd w:val="clear" w:color="auto" w:fill="auto"/>
          </w:tcPr>
          <w:p w14:paraId="5F6D9BFC" w14:textId="77777777" w:rsidR="001144DC" w:rsidRPr="00E300D6" w:rsidRDefault="001144DC" w:rsidP="00DC3F92">
            <w:pPr>
              <w:pStyle w:val="UtilComTabletext"/>
              <w:jc w:val="right"/>
            </w:pPr>
            <w:r>
              <w:t>12.</w:t>
            </w:r>
            <w:r w:rsidR="00DC3F92">
              <w:t>80</w:t>
            </w:r>
          </w:p>
        </w:tc>
        <w:tc>
          <w:tcPr>
            <w:tcW w:w="1221" w:type="dxa"/>
            <w:tcBorders>
              <w:top w:val="single" w:sz="4" w:space="0" w:color="999999"/>
              <w:bottom w:val="single" w:sz="4" w:space="0" w:color="999999"/>
            </w:tcBorders>
          </w:tcPr>
          <w:p w14:paraId="0B05F60E" w14:textId="77777777" w:rsidR="001144DC" w:rsidRPr="00E300D6" w:rsidRDefault="001144DC" w:rsidP="00DC3F92">
            <w:pPr>
              <w:pStyle w:val="UtilComTabletext"/>
              <w:jc w:val="right"/>
            </w:pPr>
            <w:r>
              <w:t>6.87</w:t>
            </w:r>
          </w:p>
        </w:tc>
        <w:tc>
          <w:tcPr>
            <w:tcW w:w="1221" w:type="dxa"/>
            <w:tcBorders>
              <w:top w:val="single" w:sz="4" w:space="0" w:color="999999"/>
              <w:bottom w:val="single" w:sz="4" w:space="0" w:color="999999"/>
            </w:tcBorders>
          </w:tcPr>
          <w:p w14:paraId="7EBD32F3" w14:textId="77777777" w:rsidR="001144DC" w:rsidRPr="00E300D6" w:rsidRDefault="001144DC" w:rsidP="00DC3F92">
            <w:pPr>
              <w:pStyle w:val="UtilComTabletext"/>
              <w:jc w:val="right"/>
            </w:pPr>
            <w:r>
              <w:t>1.87</w:t>
            </w:r>
          </w:p>
        </w:tc>
        <w:tc>
          <w:tcPr>
            <w:tcW w:w="1221" w:type="dxa"/>
            <w:tcBorders>
              <w:top w:val="single" w:sz="4" w:space="0" w:color="999999"/>
              <w:bottom w:val="single" w:sz="4" w:space="0" w:color="999999"/>
            </w:tcBorders>
          </w:tcPr>
          <w:p w14:paraId="3B589980" w14:textId="77777777" w:rsidR="001144DC" w:rsidRPr="00E300D6" w:rsidRDefault="001144DC" w:rsidP="00DC3F92">
            <w:pPr>
              <w:pStyle w:val="UtilComTabletext"/>
              <w:jc w:val="right"/>
            </w:pPr>
            <w:r>
              <w:t>4.99</w:t>
            </w:r>
          </w:p>
        </w:tc>
        <w:tc>
          <w:tcPr>
            <w:tcW w:w="1221" w:type="dxa"/>
            <w:tcBorders>
              <w:top w:val="single" w:sz="4" w:space="0" w:color="999999"/>
              <w:bottom w:val="single" w:sz="4" w:space="0" w:color="999999"/>
            </w:tcBorders>
            <w:shd w:val="clear" w:color="auto" w:fill="auto"/>
          </w:tcPr>
          <w:p w14:paraId="51059BB1" w14:textId="77777777" w:rsidR="001144DC" w:rsidRDefault="001144DC" w:rsidP="00DC3F92">
            <w:pPr>
              <w:pStyle w:val="UtilComTabletext"/>
              <w:jc w:val="right"/>
            </w:pPr>
            <w:r>
              <w:t>32.22</w:t>
            </w:r>
          </w:p>
        </w:tc>
      </w:tr>
      <w:tr w:rsidR="001144DC" w:rsidRPr="008A4655" w14:paraId="21613DB3" w14:textId="77777777" w:rsidTr="002A30BA">
        <w:trPr>
          <w:cantSplit/>
          <w:trHeight w:val="360"/>
        </w:trPr>
        <w:tc>
          <w:tcPr>
            <w:tcW w:w="1811" w:type="dxa"/>
            <w:tcBorders>
              <w:top w:val="single" w:sz="4" w:space="0" w:color="999999"/>
              <w:bottom w:val="single" w:sz="4" w:space="0" w:color="999999"/>
            </w:tcBorders>
          </w:tcPr>
          <w:p w14:paraId="35423797" w14:textId="77777777" w:rsidR="001144DC" w:rsidRDefault="001144DC" w:rsidP="002A30BA">
            <w:pPr>
              <w:pStyle w:val="UtilComTabletext"/>
            </w:pPr>
            <w:r>
              <w:t>Compliance</w:t>
            </w:r>
          </w:p>
        </w:tc>
        <w:tc>
          <w:tcPr>
            <w:tcW w:w="1221" w:type="dxa"/>
            <w:tcBorders>
              <w:top w:val="single" w:sz="4" w:space="0" w:color="999999"/>
              <w:bottom w:val="single" w:sz="4" w:space="0" w:color="999999"/>
            </w:tcBorders>
            <w:shd w:val="clear" w:color="auto" w:fill="auto"/>
          </w:tcPr>
          <w:p w14:paraId="485B61D7" w14:textId="77777777" w:rsidR="001144DC" w:rsidRPr="00E300D6" w:rsidRDefault="001144DC" w:rsidP="00DC3F92">
            <w:pPr>
              <w:pStyle w:val="UtilComTabletext"/>
              <w:jc w:val="right"/>
            </w:pPr>
            <w:r>
              <w:t>1.88</w:t>
            </w:r>
          </w:p>
        </w:tc>
        <w:tc>
          <w:tcPr>
            <w:tcW w:w="1221" w:type="dxa"/>
            <w:tcBorders>
              <w:top w:val="single" w:sz="4" w:space="0" w:color="999999"/>
              <w:bottom w:val="single" w:sz="4" w:space="0" w:color="999999"/>
            </w:tcBorders>
            <w:shd w:val="clear" w:color="auto" w:fill="auto"/>
          </w:tcPr>
          <w:p w14:paraId="74C5419B" w14:textId="77777777" w:rsidR="001144DC" w:rsidRPr="00E300D6" w:rsidRDefault="00DC3F92" w:rsidP="00DC3F92">
            <w:pPr>
              <w:pStyle w:val="UtilComTabletext"/>
              <w:jc w:val="right"/>
            </w:pPr>
            <w:r>
              <w:t>0.</w:t>
            </w:r>
            <w:r w:rsidR="001144DC">
              <w:t>82</w:t>
            </w:r>
          </w:p>
        </w:tc>
        <w:tc>
          <w:tcPr>
            <w:tcW w:w="1221" w:type="dxa"/>
            <w:tcBorders>
              <w:top w:val="single" w:sz="4" w:space="0" w:color="999999"/>
              <w:bottom w:val="single" w:sz="4" w:space="0" w:color="999999"/>
            </w:tcBorders>
          </w:tcPr>
          <w:p w14:paraId="4E72C29B" w14:textId="77777777" w:rsidR="001144DC" w:rsidRPr="00E300D6" w:rsidRDefault="00DC3F92" w:rsidP="00DC3F92">
            <w:pPr>
              <w:pStyle w:val="UtilComTabletext"/>
              <w:jc w:val="right"/>
            </w:pPr>
            <w:r>
              <w:t>0.</w:t>
            </w:r>
            <w:r w:rsidR="001144DC">
              <w:t>72</w:t>
            </w:r>
          </w:p>
        </w:tc>
        <w:tc>
          <w:tcPr>
            <w:tcW w:w="1221" w:type="dxa"/>
            <w:tcBorders>
              <w:top w:val="single" w:sz="4" w:space="0" w:color="999999"/>
              <w:bottom w:val="single" w:sz="4" w:space="0" w:color="999999"/>
            </w:tcBorders>
          </w:tcPr>
          <w:p w14:paraId="23A09258" w14:textId="77777777" w:rsidR="001144DC" w:rsidRPr="00E300D6" w:rsidRDefault="00DC3F92" w:rsidP="00DC3F92">
            <w:pPr>
              <w:pStyle w:val="UtilComTabletext"/>
              <w:jc w:val="right"/>
            </w:pPr>
            <w:r>
              <w:t>0.</w:t>
            </w:r>
            <w:r w:rsidR="001144DC">
              <w:t>82</w:t>
            </w:r>
          </w:p>
        </w:tc>
        <w:tc>
          <w:tcPr>
            <w:tcW w:w="1221" w:type="dxa"/>
            <w:tcBorders>
              <w:top w:val="single" w:sz="4" w:space="0" w:color="999999"/>
              <w:bottom w:val="single" w:sz="4" w:space="0" w:color="999999"/>
            </w:tcBorders>
          </w:tcPr>
          <w:p w14:paraId="621B123C" w14:textId="77777777" w:rsidR="001144DC" w:rsidRPr="00E300D6" w:rsidRDefault="00DC3F92" w:rsidP="00DC3F92">
            <w:pPr>
              <w:pStyle w:val="UtilComTabletext"/>
              <w:jc w:val="right"/>
            </w:pPr>
            <w:r>
              <w:t>0.</w:t>
            </w:r>
            <w:r w:rsidR="001144DC">
              <w:t>79</w:t>
            </w:r>
          </w:p>
        </w:tc>
        <w:tc>
          <w:tcPr>
            <w:tcW w:w="1221" w:type="dxa"/>
            <w:tcBorders>
              <w:top w:val="single" w:sz="4" w:space="0" w:color="999999"/>
              <w:bottom w:val="single" w:sz="4" w:space="0" w:color="999999"/>
            </w:tcBorders>
            <w:shd w:val="clear" w:color="auto" w:fill="auto"/>
          </w:tcPr>
          <w:p w14:paraId="43976096" w14:textId="77777777" w:rsidR="001144DC" w:rsidRDefault="001144DC" w:rsidP="00DC3F92">
            <w:pPr>
              <w:pStyle w:val="UtilComTabletext"/>
              <w:jc w:val="right"/>
            </w:pPr>
            <w:r>
              <w:t>5.05</w:t>
            </w:r>
          </w:p>
        </w:tc>
      </w:tr>
      <w:tr w:rsidR="001144DC" w:rsidRPr="008A4655" w14:paraId="523D9AAF" w14:textId="77777777" w:rsidTr="002A30BA">
        <w:trPr>
          <w:cantSplit/>
          <w:trHeight w:val="360"/>
        </w:trPr>
        <w:tc>
          <w:tcPr>
            <w:tcW w:w="1811" w:type="dxa"/>
            <w:tcBorders>
              <w:top w:val="single" w:sz="4" w:space="0" w:color="999999"/>
              <w:bottom w:val="single" w:sz="4" w:space="0" w:color="auto"/>
            </w:tcBorders>
          </w:tcPr>
          <w:p w14:paraId="2A88C263" w14:textId="77777777" w:rsidR="001144DC" w:rsidRDefault="001144DC" w:rsidP="002A30BA">
            <w:pPr>
              <w:pStyle w:val="UtilComTabletext"/>
            </w:pPr>
            <w:r>
              <w:t>Non-system</w:t>
            </w:r>
          </w:p>
        </w:tc>
        <w:tc>
          <w:tcPr>
            <w:tcW w:w="1221" w:type="dxa"/>
            <w:tcBorders>
              <w:top w:val="single" w:sz="4" w:space="0" w:color="999999"/>
              <w:bottom w:val="single" w:sz="4" w:space="0" w:color="auto"/>
            </w:tcBorders>
            <w:shd w:val="clear" w:color="auto" w:fill="auto"/>
          </w:tcPr>
          <w:p w14:paraId="5B9618F2" w14:textId="77777777" w:rsidR="001144DC" w:rsidRPr="00E300D6" w:rsidRDefault="001144DC" w:rsidP="00DC3F92">
            <w:pPr>
              <w:pStyle w:val="UtilComTabletext"/>
              <w:jc w:val="right"/>
            </w:pPr>
            <w:r>
              <w:t>6.88</w:t>
            </w:r>
          </w:p>
        </w:tc>
        <w:tc>
          <w:tcPr>
            <w:tcW w:w="1221" w:type="dxa"/>
            <w:tcBorders>
              <w:top w:val="single" w:sz="4" w:space="0" w:color="999999"/>
              <w:bottom w:val="single" w:sz="4" w:space="0" w:color="auto"/>
            </w:tcBorders>
            <w:shd w:val="clear" w:color="auto" w:fill="auto"/>
          </w:tcPr>
          <w:p w14:paraId="2847D29C" w14:textId="77777777" w:rsidR="001144DC" w:rsidRPr="00E300D6" w:rsidRDefault="001144DC" w:rsidP="00DC3F92">
            <w:pPr>
              <w:pStyle w:val="UtilComTabletext"/>
              <w:jc w:val="right"/>
            </w:pPr>
            <w:r>
              <w:t>2.95</w:t>
            </w:r>
          </w:p>
        </w:tc>
        <w:tc>
          <w:tcPr>
            <w:tcW w:w="1221" w:type="dxa"/>
            <w:tcBorders>
              <w:top w:val="single" w:sz="4" w:space="0" w:color="999999"/>
              <w:bottom w:val="single" w:sz="4" w:space="0" w:color="auto"/>
            </w:tcBorders>
          </w:tcPr>
          <w:p w14:paraId="66676437" w14:textId="77777777" w:rsidR="001144DC" w:rsidRPr="00E300D6" w:rsidRDefault="001144DC" w:rsidP="00DC3F92">
            <w:pPr>
              <w:pStyle w:val="UtilComTabletext"/>
              <w:jc w:val="right"/>
            </w:pPr>
            <w:r>
              <w:t>1.</w:t>
            </w:r>
            <w:r w:rsidR="00DC3F92">
              <w:t>24</w:t>
            </w:r>
          </w:p>
        </w:tc>
        <w:tc>
          <w:tcPr>
            <w:tcW w:w="1221" w:type="dxa"/>
            <w:tcBorders>
              <w:top w:val="single" w:sz="4" w:space="0" w:color="999999"/>
              <w:bottom w:val="single" w:sz="4" w:space="0" w:color="auto"/>
            </w:tcBorders>
          </w:tcPr>
          <w:p w14:paraId="277C7F01" w14:textId="77777777" w:rsidR="001144DC" w:rsidRPr="00E300D6" w:rsidRDefault="001144DC" w:rsidP="00DC3F92">
            <w:pPr>
              <w:pStyle w:val="UtilComTabletext"/>
              <w:jc w:val="right"/>
            </w:pPr>
            <w:r>
              <w:t>1.</w:t>
            </w:r>
            <w:r w:rsidR="00DC3F92">
              <w:t>24</w:t>
            </w:r>
          </w:p>
        </w:tc>
        <w:tc>
          <w:tcPr>
            <w:tcW w:w="1221" w:type="dxa"/>
            <w:tcBorders>
              <w:top w:val="single" w:sz="4" w:space="0" w:color="999999"/>
              <w:bottom w:val="single" w:sz="4" w:space="0" w:color="auto"/>
            </w:tcBorders>
          </w:tcPr>
          <w:p w14:paraId="6E2107DA" w14:textId="77777777" w:rsidR="001144DC" w:rsidRPr="00E300D6" w:rsidRDefault="001144DC" w:rsidP="00DC3F92">
            <w:pPr>
              <w:pStyle w:val="UtilComTabletext"/>
              <w:jc w:val="right"/>
            </w:pPr>
            <w:r>
              <w:t>1.</w:t>
            </w:r>
            <w:r w:rsidR="00DC3F92">
              <w:t>24</w:t>
            </w:r>
          </w:p>
        </w:tc>
        <w:tc>
          <w:tcPr>
            <w:tcW w:w="1221" w:type="dxa"/>
            <w:tcBorders>
              <w:top w:val="single" w:sz="4" w:space="0" w:color="999999"/>
              <w:bottom w:val="single" w:sz="4" w:space="0" w:color="auto"/>
            </w:tcBorders>
            <w:shd w:val="clear" w:color="auto" w:fill="auto"/>
          </w:tcPr>
          <w:p w14:paraId="043722C5" w14:textId="77777777" w:rsidR="001144DC" w:rsidRDefault="001144DC" w:rsidP="00DC3F92">
            <w:pPr>
              <w:pStyle w:val="UtilComTabletext"/>
              <w:jc w:val="right"/>
            </w:pPr>
            <w:r>
              <w:t>13.54</w:t>
            </w:r>
          </w:p>
        </w:tc>
      </w:tr>
      <w:tr w:rsidR="001144DC" w:rsidRPr="005A0B65" w14:paraId="43AC15B9" w14:textId="77777777" w:rsidTr="002A30BA">
        <w:trPr>
          <w:cantSplit/>
          <w:trHeight w:val="360"/>
        </w:trPr>
        <w:tc>
          <w:tcPr>
            <w:tcW w:w="1811" w:type="dxa"/>
            <w:tcBorders>
              <w:top w:val="single" w:sz="4" w:space="0" w:color="auto"/>
              <w:bottom w:val="single" w:sz="4" w:space="0" w:color="000000"/>
            </w:tcBorders>
          </w:tcPr>
          <w:p w14:paraId="2064117B" w14:textId="77777777" w:rsidR="001144DC" w:rsidRPr="005A0B65" w:rsidRDefault="001144DC" w:rsidP="002A30BA">
            <w:pPr>
              <w:pStyle w:val="UtilComTabletext"/>
              <w:rPr>
                <w:b/>
              </w:rPr>
            </w:pPr>
            <w:r w:rsidRPr="005A0B65">
              <w:rPr>
                <w:b/>
              </w:rPr>
              <w:t>Total proposed capex</w:t>
            </w:r>
          </w:p>
        </w:tc>
        <w:tc>
          <w:tcPr>
            <w:tcW w:w="1221" w:type="dxa"/>
            <w:tcBorders>
              <w:top w:val="single" w:sz="4" w:space="0" w:color="auto"/>
              <w:bottom w:val="single" w:sz="4" w:space="0" w:color="000000"/>
            </w:tcBorders>
            <w:shd w:val="clear" w:color="auto" w:fill="auto"/>
          </w:tcPr>
          <w:p w14:paraId="39FF505C" w14:textId="77777777" w:rsidR="001144DC" w:rsidRPr="005A0B65" w:rsidRDefault="001144DC" w:rsidP="00DC3F92">
            <w:pPr>
              <w:pStyle w:val="UtilComTabletext"/>
              <w:jc w:val="right"/>
              <w:rPr>
                <w:b/>
              </w:rPr>
            </w:pPr>
            <w:r w:rsidRPr="005A0B65">
              <w:rPr>
                <w:b/>
              </w:rPr>
              <w:t xml:space="preserve"> 84</w:t>
            </w:r>
            <w:r>
              <w:rPr>
                <w:b/>
              </w:rPr>
              <w:t>.</w:t>
            </w:r>
            <w:r w:rsidRPr="005A0B65">
              <w:rPr>
                <w:b/>
              </w:rPr>
              <w:t xml:space="preserve">74 </w:t>
            </w:r>
          </w:p>
        </w:tc>
        <w:tc>
          <w:tcPr>
            <w:tcW w:w="1221" w:type="dxa"/>
            <w:tcBorders>
              <w:top w:val="single" w:sz="4" w:space="0" w:color="auto"/>
              <w:bottom w:val="single" w:sz="4" w:space="0" w:color="000000"/>
            </w:tcBorders>
            <w:shd w:val="clear" w:color="auto" w:fill="auto"/>
          </w:tcPr>
          <w:p w14:paraId="12BAA780" w14:textId="77777777" w:rsidR="001144DC" w:rsidRPr="005A0B65" w:rsidRDefault="001144DC" w:rsidP="00DC3F92">
            <w:pPr>
              <w:pStyle w:val="UtilComTabletext"/>
              <w:jc w:val="right"/>
              <w:rPr>
                <w:b/>
              </w:rPr>
            </w:pPr>
            <w:r w:rsidRPr="005A0B65">
              <w:rPr>
                <w:b/>
              </w:rPr>
              <w:t xml:space="preserve"> 74</w:t>
            </w:r>
            <w:r>
              <w:rPr>
                <w:b/>
              </w:rPr>
              <w:t>.</w:t>
            </w:r>
            <w:r w:rsidRPr="005A0B65">
              <w:rPr>
                <w:b/>
              </w:rPr>
              <w:t xml:space="preserve">80 </w:t>
            </w:r>
          </w:p>
        </w:tc>
        <w:tc>
          <w:tcPr>
            <w:tcW w:w="1221" w:type="dxa"/>
            <w:tcBorders>
              <w:top w:val="single" w:sz="4" w:space="0" w:color="auto"/>
              <w:bottom w:val="single" w:sz="4" w:space="0" w:color="000000"/>
            </w:tcBorders>
          </w:tcPr>
          <w:p w14:paraId="1DB89751" w14:textId="77777777" w:rsidR="001144DC" w:rsidRPr="005A0B65" w:rsidRDefault="001144DC" w:rsidP="00DC3F92">
            <w:pPr>
              <w:pStyle w:val="UtilComTabletext"/>
              <w:jc w:val="right"/>
              <w:rPr>
                <w:b/>
              </w:rPr>
            </w:pPr>
            <w:r w:rsidRPr="005A0B65">
              <w:rPr>
                <w:b/>
              </w:rPr>
              <w:t xml:space="preserve"> 57</w:t>
            </w:r>
            <w:r>
              <w:rPr>
                <w:b/>
              </w:rPr>
              <w:t>.</w:t>
            </w:r>
            <w:r w:rsidRPr="005A0B65">
              <w:rPr>
                <w:b/>
              </w:rPr>
              <w:t xml:space="preserve">44 </w:t>
            </w:r>
          </w:p>
        </w:tc>
        <w:tc>
          <w:tcPr>
            <w:tcW w:w="1221" w:type="dxa"/>
            <w:tcBorders>
              <w:top w:val="single" w:sz="4" w:space="0" w:color="auto"/>
              <w:bottom w:val="single" w:sz="4" w:space="0" w:color="000000"/>
            </w:tcBorders>
          </w:tcPr>
          <w:p w14:paraId="4D91D2A5" w14:textId="77777777" w:rsidR="001144DC" w:rsidRPr="005A0B65" w:rsidRDefault="001144DC" w:rsidP="00DC3F92">
            <w:pPr>
              <w:pStyle w:val="UtilComTabletext"/>
              <w:jc w:val="right"/>
              <w:rPr>
                <w:b/>
              </w:rPr>
            </w:pPr>
            <w:r w:rsidRPr="005A0B65">
              <w:rPr>
                <w:b/>
              </w:rPr>
              <w:t xml:space="preserve"> 48</w:t>
            </w:r>
            <w:r>
              <w:rPr>
                <w:b/>
              </w:rPr>
              <w:t>.</w:t>
            </w:r>
            <w:r w:rsidR="00DC3F92" w:rsidRPr="005A0B65">
              <w:rPr>
                <w:b/>
              </w:rPr>
              <w:t>3</w:t>
            </w:r>
            <w:r w:rsidR="00DC3F92">
              <w:rPr>
                <w:b/>
              </w:rPr>
              <w:t>9</w:t>
            </w:r>
            <w:r w:rsidR="00DC3F92" w:rsidRPr="005A0B65">
              <w:rPr>
                <w:b/>
              </w:rPr>
              <w:t xml:space="preserve"> </w:t>
            </w:r>
          </w:p>
        </w:tc>
        <w:tc>
          <w:tcPr>
            <w:tcW w:w="1221" w:type="dxa"/>
            <w:tcBorders>
              <w:top w:val="single" w:sz="4" w:space="0" w:color="auto"/>
              <w:bottom w:val="single" w:sz="4" w:space="0" w:color="000000"/>
            </w:tcBorders>
          </w:tcPr>
          <w:p w14:paraId="6E4AE412" w14:textId="77777777" w:rsidR="001144DC" w:rsidRPr="005A0B65" w:rsidRDefault="001144DC" w:rsidP="00DC3F92">
            <w:pPr>
              <w:pStyle w:val="UtilComTabletext"/>
              <w:jc w:val="right"/>
              <w:rPr>
                <w:b/>
              </w:rPr>
            </w:pPr>
            <w:r w:rsidRPr="005A0B65">
              <w:rPr>
                <w:b/>
              </w:rPr>
              <w:t xml:space="preserve"> 57</w:t>
            </w:r>
            <w:r>
              <w:rPr>
                <w:b/>
              </w:rPr>
              <w:t>.</w:t>
            </w:r>
            <w:r w:rsidRPr="005A0B65">
              <w:rPr>
                <w:b/>
              </w:rPr>
              <w:t xml:space="preserve">58 </w:t>
            </w:r>
          </w:p>
        </w:tc>
        <w:tc>
          <w:tcPr>
            <w:tcW w:w="1221" w:type="dxa"/>
            <w:tcBorders>
              <w:top w:val="single" w:sz="4" w:space="0" w:color="auto"/>
              <w:bottom w:val="single" w:sz="4" w:space="0" w:color="000000"/>
            </w:tcBorders>
            <w:shd w:val="clear" w:color="auto" w:fill="auto"/>
          </w:tcPr>
          <w:p w14:paraId="4A1C8877" w14:textId="77777777" w:rsidR="001144DC" w:rsidRPr="005A0B65" w:rsidRDefault="001144DC" w:rsidP="00DC3F92">
            <w:pPr>
              <w:pStyle w:val="UtilComTabletext"/>
              <w:jc w:val="right"/>
              <w:rPr>
                <w:b/>
              </w:rPr>
            </w:pPr>
            <w:r w:rsidRPr="005A0B65">
              <w:rPr>
                <w:b/>
              </w:rPr>
              <w:t>322.</w:t>
            </w:r>
            <w:r w:rsidR="00DC3F92" w:rsidRPr="005A0B65">
              <w:rPr>
                <w:b/>
              </w:rPr>
              <w:t>9</w:t>
            </w:r>
            <w:r w:rsidR="00DC3F92">
              <w:rPr>
                <w:b/>
              </w:rPr>
              <w:t>6</w:t>
            </w:r>
          </w:p>
        </w:tc>
      </w:tr>
    </w:tbl>
    <w:p w14:paraId="3BCA218A" w14:textId="60C04F3B" w:rsidR="001144DC" w:rsidRDefault="001144DC" w:rsidP="001144DC">
      <w:pPr>
        <w:pStyle w:val="UtilComReferenceSource"/>
        <w:rPr>
          <w:lang w:val="en-AU"/>
        </w:rPr>
      </w:pPr>
      <w:r>
        <w:rPr>
          <w:lang w:val="en-AU"/>
        </w:rPr>
        <w:t xml:space="preserve">Source: </w:t>
      </w:r>
      <w:r w:rsidR="00210E83" w:rsidRPr="00210E83">
        <w:rPr>
          <w:lang w:val="en-AU"/>
        </w:rPr>
        <w:t xml:space="preserve">Derived from PWC Networks, </w:t>
      </w:r>
      <w:r w:rsidR="000D5DD0">
        <w:rPr>
          <w:lang w:val="en-AU"/>
        </w:rPr>
        <w:t>initial r</w:t>
      </w:r>
      <w:r w:rsidR="000D5DD0" w:rsidRPr="00210E83">
        <w:rPr>
          <w:lang w:val="en-AU"/>
        </w:rPr>
        <w:t xml:space="preserve">egulatory </w:t>
      </w:r>
      <w:r w:rsidR="00210E83" w:rsidRPr="00210E83">
        <w:rPr>
          <w:lang w:val="en-AU"/>
        </w:rPr>
        <w:t>proposal, September 2013, RIN template 3.1 (confidential)</w:t>
      </w:r>
    </w:p>
    <w:p w14:paraId="547581F9" w14:textId="77777777" w:rsidR="00FD5E9B" w:rsidRDefault="00FD5E9B" w:rsidP="001144DC">
      <w:pPr>
        <w:pStyle w:val="UtilComReferenceSource"/>
        <w:rPr>
          <w:lang w:val="en-AU"/>
        </w:rPr>
      </w:pPr>
    </w:p>
    <w:p w14:paraId="3B081B4D" w14:textId="13E094E0" w:rsidR="00FD5E9B" w:rsidRDefault="00401920" w:rsidP="002A30BA">
      <w:pPr>
        <w:pStyle w:val="UtilComReferenceSource"/>
        <w:rPr>
          <w:rFonts w:cs="Arial"/>
          <w:spacing w:val="-14"/>
          <w:sz w:val="22"/>
          <w:szCs w:val="22"/>
          <w:lang w:val="en-AU"/>
        </w:rPr>
      </w:pPr>
      <w:r w:rsidRPr="00401920">
        <w:rPr>
          <w:noProof/>
          <w:lang w:val="en-AU" w:eastAsia="en-AU"/>
        </w:rPr>
        <w:drawing>
          <wp:anchor distT="0" distB="0" distL="114300" distR="114300" simplePos="0" relativeHeight="251691008" behindDoc="0" locked="0" layoutInCell="1" allowOverlap="1" wp14:anchorId="299DD8DF" wp14:editId="24AFA057">
            <wp:simplePos x="0" y="0"/>
            <wp:positionH relativeFrom="column">
              <wp:posOffset>-635</wp:posOffset>
            </wp:positionH>
            <wp:positionV relativeFrom="paragraph">
              <wp:posOffset>365759</wp:posOffset>
            </wp:positionV>
            <wp:extent cx="5911850" cy="3524823"/>
            <wp:effectExtent l="19050" t="19050" r="12700" b="1905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13154" cy="352560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FD5E9B" w:rsidRPr="002A30BA">
        <w:rPr>
          <w:rFonts w:cs="Arial"/>
          <w:spacing w:val="-14"/>
          <w:sz w:val="22"/>
          <w:szCs w:val="22"/>
          <w:lang w:val="en-AU"/>
        </w:rPr>
        <w:t xml:space="preserve">Figure </w:t>
      </w:r>
      <w:r w:rsidR="00B47A29">
        <w:rPr>
          <w:rFonts w:cs="Arial"/>
          <w:spacing w:val="-14"/>
          <w:sz w:val="22"/>
          <w:szCs w:val="22"/>
          <w:lang w:val="en-AU"/>
        </w:rPr>
        <w:t>9</w:t>
      </w:r>
      <w:r w:rsidR="00FD5E9B" w:rsidRPr="002A30BA">
        <w:rPr>
          <w:rFonts w:cs="Arial"/>
          <w:spacing w:val="-14"/>
          <w:sz w:val="22"/>
          <w:szCs w:val="22"/>
          <w:lang w:val="en-AU"/>
        </w:rPr>
        <w:t>.2</w:t>
      </w:r>
      <w:r w:rsidR="002A30BA">
        <w:rPr>
          <w:rFonts w:cs="Arial"/>
          <w:spacing w:val="-14"/>
          <w:sz w:val="22"/>
          <w:szCs w:val="22"/>
          <w:lang w:val="en-AU"/>
        </w:rPr>
        <w:t>:</w:t>
      </w:r>
      <w:r w:rsidR="00FD5E9B" w:rsidRPr="002A30BA">
        <w:rPr>
          <w:rFonts w:cs="Arial"/>
          <w:spacing w:val="-14"/>
          <w:sz w:val="22"/>
          <w:szCs w:val="22"/>
          <w:lang w:val="en-AU"/>
        </w:rPr>
        <w:t xml:space="preserve"> </w:t>
      </w:r>
      <w:r w:rsidR="002A30BA">
        <w:rPr>
          <w:rFonts w:cs="Arial"/>
          <w:spacing w:val="-14"/>
          <w:sz w:val="22"/>
          <w:szCs w:val="22"/>
          <w:lang w:val="en-AU"/>
        </w:rPr>
        <w:t>A</w:t>
      </w:r>
      <w:r w:rsidR="002A30BA" w:rsidRPr="002A30BA">
        <w:rPr>
          <w:rFonts w:cs="Arial"/>
          <w:spacing w:val="-14"/>
          <w:sz w:val="22"/>
          <w:szCs w:val="22"/>
          <w:lang w:val="en-AU"/>
        </w:rPr>
        <w:t xml:space="preserve">ctual </w:t>
      </w:r>
      <w:r w:rsidR="00FD5E9B" w:rsidRPr="002A30BA">
        <w:rPr>
          <w:rFonts w:cs="Arial"/>
          <w:spacing w:val="-14"/>
          <w:sz w:val="22"/>
          <w:szCs w:val="22"/>
          <w:lang w:val="en-AU"/>
        </w:rPr>
        <w:t xml:space="preserve">capex for </w:t>
      </w:r>
      <w:r w:rsidR="000D5DD0">
        <w:rPr>
          <w:rFonts w:cs="Arial"/>
          <w:spacing w:val="-14"/>
          <w:sz w:val="22"/>
          <w:szCs w:val="22"/>
          <w:lang w:val="en-AU"/>
        </w:rPr>
        <w:t xml:space="preserve">the </w:t>
      </w:r>
      <w:r w:rsidR="00FD5E9B" w:rsidRPr="002A30BA">
        <w:rPr>
          <w:rFonts w:cs="Arial"/>
          <w:spacing w:val="-14"/>
          <w:sz w:val="22"/>
          <w:szCs w:val="22"/>
          <w:lang w:val="en-AU"/>
        </w:rPr>
        <w:t xml:space="preserve">2009-14 </w:t>
      </w:r>
      <w:r w:rsidR="000D5DD0">
        <w:rPr>
          <w:rFonts w:cs="Arial"/>
          <w:spacing w:val="-14"/>
          <w:sz w:val="22"/>
          <w:szCs w:val="22"/>
          <w:lang w:val="en-AU"/>
        </w:rPr>
        <w:t xml:space="preserve">regulatory control period </w:t>
      </w:r>
      <w:r w:rsidR="00FD5E9B" w:rsidRPr="002A30BA">
        <w:rPr>
          <w:rFonts w:cs="Arial"/>
          <w:spacing w:val="-14"/>
          <w:sz w:val="22"/>
          <w:szCs w:val="22"/>
          <w:lang w:val="en-AU"/>
        </w:rPr>
        <w:t xml:space="preserve">and proposed capex for </w:t>
      </w:r>
      <w:r w:rsidR="000D5DD0">
        <w:rPr>
          <w:rFonts w:cs="Arial"/>
          <w:spacing w:val="-14"/>
          <w:sz w:val="22"/>
          <w:szCs w:val="22"/>
          <w:lang w:val="en-AU"/>
        </w:rPr>
        <w:t xml:space="preserve">the </w:t>
      </w:r>
      <w:r w:rsidR="00FD5E9B" w:rsidRPr="002A30BA">
        <w:rPr>
          <w:rFonts w:cs="Arial"/>
          <w:spacing w:val="-14"/>
          <w:sz w:val="22"/>
          <w:szCs w:val="22"/>
          <w:lang w:val="en-AU"/>
        </w:rPr>
        <w:t xml:space="preserve">2014-19 </w:t>
      </w:r>
      <w:r w:rsidR="000D5DD0">
        <w:rPr>
          <w:rFonts w:cs="Arial"/>
          <w:spacing w:val="-14"/>
          <w:sz w:val="22"/>
          <w:szCs w:val="22"/>
          <w:lang w:val="en-AU"/>
        </w:rPr>
        <w:t xml:space="preserve">regulatory control period </w:t>
      </w:r>
      <w:r w:rsidR="00FD5E9B" w:rsidRPr="002A30BA">
        <w:rPr>
          <w:rFonts w:cs="Arial"/>
          <w:spacing w:val="-14"/>
          <w:sz w:val="22"/>
          <w:szCs w:val="22"/>
          <w:lang w:val="en-AU"/>
        </w:rPr>
        <w:t>by capex driver</w:t>
      </w:r>
      <w:r w:rsidR="00B47A29">
        <w:rPr>
          <w:rFonts w:cs="Arial"/>
          <w:spacing w:val="-14"/>
          <w:sz w:val="22"/>
          <w:szCs w:val="22"/>
          <w:lang w:val="en-AU"/>
        </w:rPr>
        <w:t xml:space="preserve"> </w:t>
      </w:r>
    </w:p>
    <w:p w14:paraId="2C96192D" w14:textId="77777777" w:rsidR="00661526" w:rsidRDefault="00661526" w:rsidP="002A30BA">
      <w:pPr>
        <w:pStyle w:val="UtilComReferenceSource"/>
        <w:rPr>
          <w:rFonts w:cs="Arial"/>
          <w:spacing w:val="-14"/>
          <w:sz w:val="22"/>
          <w:szCs w:val="22"/>
          <w:lang w:val="en-AU"/>
        </w:rPr>
      </w:pPr>
    </w:p>
    <w:p w14:paraId="1272FBA7" w14:textId="77777777" w:rsidR="00401920" w:rsidRDefault="00401920" w:rsidP="002A30BA">
      <w:pPr>
        <w:pStyle w:val="UtilComReferenceSource"/>
        <w:rPr>
          <w:rFonts w:cs="Arial"/>
          <w:spacing w:val="-14"/>
          <w:sz w:val="22"/>
          <w:szCs w:val="22"/>
          <w:lang w:val="en-AU"/>
        </w:rPr>
      </w:pPr>
    </w:p>
    <w:p w14:paraId="602CF235" w14:textId="77777777" w:rsidR="00401920" w:rsidRDefault="00401920" w:rsidP="002A30BA">
      <w:pPr>
        <w:pStyle w:val="UtilComReferenceSource"/>
        <w:rPr>
          <w:rFonts w:cs="Arial"/>
          <w:spacing w:val="-14"/>
          <w:sz w:val="22"/>
          <w:szCs w:val="22"/>
          <w:lang w:val="en-AU"/>
        </w:rPr>
      </w:pPr>
    </w:p>
    <w:p w14:paraId="3754D277" w14:textId="77777777" w:rsidR="00401920" w:rsidRDefault="00401920" w:rsidP="002A30BA">
      <w:pPr>
        <w:pStyle w:val="UtilComReferenceSource"/>
        <w:rPr>
          <w:rFonts w:cs="Arial"/>
          <w:spacing w:val="-14"/>
          <w:sz w:val="22"/>
          <w:szCs w:val="22"/>
          <w:lang w:val="en-AU"/>
        </w:rPr>
      </w:pPr>
    </w:p>
    <w:p w14:paraId="4C1AF8B2" w14:textId="77777777" w:rsidR="00401920" w:rsidRDefault="00401920" w:rsidP="002A30BA">
      <w:pPr>
        <w:pStyle w:val="UtilComReferenceSource"/>
        <w:rPr>
          <w:rFonts w:cs="Arial"/>
          <w:spacing w:val="-14"/>
          <w:sz w:val="22"/>
          <w:szCs w:val="22"/>
          <w:lang w:val="en-AU"/>
        </w:rPr>
      </w:pPr>
    </w:p>
    <w:p w14:paraId="15508F5E" w14:textId="137F40AB" w:rsidR="00661526" w:rsidRDefault="00661526" w:rsidP="002A30BA">
      <w:pPr>
        <w:pStyle w:val="UtilComReferenceSource"/>
        <w:rPr>
          <w:rFonts w:cs="Arial"/>
          <w:spacing w:val="-14"/>
          <w:sz w:val="22"/>
          <w:szCs w:val="22"/>
          <w:lang w:val="en-AU"/>
        </w:rPr>
      </w:pPr>
    </w:p>
    <w:p w14:paraId="5B8B84D0" w14:textId="77777777" w:rsidR="00401920" w:rsidRDefault="00401920" w:rsidP="002A30BA">
      <w:pPr>
        <w:pStyle w:val="UtilComReferenceSource"/>
        <w:rPr>
          <w:rFonts w:cs="Arial"/>
          <w:spacing w:val="-14"/>
          <w:sz w:val="22"/>
          <w:szCs w:val="22"/>
          <w:lang w:val="en-AU"/>
        </w:rPr>
      </w:pPr>
    </w:p>
    <w:p w14:paraId="4E98CF95" w14:textId="77777777" w:rsidR="00661526" w:rsidRDefault="00661526" w:rsidP="002A30BA">
      <w:pPr>
        <w:pStyle w:val="UtilComReferenceSource"/>
        <w:rPr>
          <w:rFonts w:cs="Arial"/>
          <w:spacing w:val="-14"/>
          <w:sz w:val="22"/>
          <w:szCs w:val="22"/>
          <w:lang w:val="en-AU"/>
        </w:rPr>
      </w:pPr>
    </w:p>
    <w:p w14:paraId="57605714" w14:textId="77777777" w:rsidR="00661526" w:rsidRDefault="00661526" w:rsidP="002A30BA">
      <w:pPr>
        <w:pStyle w:val="UtilComReferenceSource"/>
        <w:rPr>
          <w:rFonts w:cs="Arial"/>
          <w:spacing w:val="-14"/>
          <w:sz w:val="22"/>
          <w:szCs w:val="22"/>
          <w:lang w:val="en-AU"/>
        </w:rPr>
      </w:pPr>
    </w:p>
    <w:p w14:paraId="74A345F1" w14:textId="77777777" w:rsidR="00401920" w:rsidRDefault="00401920" w:rsidP="002A30BA">
      <w:pPr>
        <w:pStyle w:val="UtilComReferenceSource"/>
        <w:rPr>
          <w:rFonts w:cs="Arial"/>
          <w:spacing w:val="-14"/>
          <w:sz w:val="22"/>
          <w:szCs w:val="22"/>
          <w:lang w:val="en-AU"/>
        </w:rPr>
      </w:pPr>
    </w:p>
    <w:p w14:paraId="36BF357F" w14:textId="77777777" w:rsidR="00401920" w:rsidRDefault="00401920" w:rsidP="002A30BA">
      <w:pPr>
        <w:pStyle w:val="UtilComReferenceSource"/>
        <w:rPr>
          <w:rFonts w:cs="Arial"/>
          <w:spacing w:val="-14"/>
          <w:sz w:val="22"/>
          <w:szCs w:val="22"/>
          <w:lang w:val="en-AU"/>
        </w:rPr>
      </w:pPr>
    </w:p>
    <w:p w14:paraId="60742838" w14:textId="77777777" w:rsidR="00401920" w:rsidRDefault="00401920" w:rsidP="002A30BA">
      <w:pPr>
        <w:pStyle w:val="UtilComReferenceSource"/>
        <w:rPr>
          <w:rFonts w:cs="Arial"/>
          <w:spacing w:val="-14"/>
          <w:sz w:val="22"/>
          <w:szCs w:val="22"/>
          <w:lang w:val="en-AU"/>
        </w:rPr>
      </w:pPr>
    </w:p>
    <w:p w14:paraId="6337D970" w14:textId="77777777" w:rsidR="00401920" w:rsidRDefault="00401920" w:rsidP="002A30BA">
      <w:pPr>
        <w:pStyle w:val="UtilComReferenceSource"/>
        <w:rPr>
          <w:rFonts w:cs="Arial"/>
          <w:spacing w:val="-14"/>
          <w:sz w:val="22"/>
          <w:szCs w:val="22"/>
          <w:lang w:val="en-AU"/>
        </w:rPr>
      </w:pPr>
    </w:p>
    <w:p w14:paraId="709D8982" w14:textId="77777777" w:rsidR="00401920" w:rsidRDefault="00401920" w:rsidP="002A30BA">
      <w:pPr>
        <w:pStyle w:val="UtilComReferenceSource"/>
        <w:rPr>
          <w:rFonts w:cs="Arial"/>
          <w:spacing w:val="-14"/>
          <w:sz w:val="22"/>
          <w:szCs w:val="22"/>
          <w:lang w:val="en-AU"/>
        </w:rPr>
      </w:pPr>
    </w:p>
    <w:p w14:paraId="25F96CD7" w14:textId="77777777" w:rsidR="00661526" w:rsidRDefault="00661526" w:rsidP="002A30BA">
      <w:pPr>
        <w:pStyle w:val="UtilComReferenceSource"/>
        <w:rPr>
          <w:rFonts w:cs="Arial"/>
          <w:spacing w:val="-14"/>
          <w:sz w:val="22"/>
          <w:szCs w:val="22"/>
          <w:lang w:val="en-AU"/>
        </w:rPr>
      </w:pPr>
    </w:p>
    <w:p w14:paraId="2FDF85AE" w14:textId="77777777" w:rsidR="00661526" w:rsidRPr="002A30BA" w:rsidRDefault="00661526" w:rsidP="002A30BA">
      <w:pPr>
        <w:pStyle w:val="UtilComReferenceSource"/>
        <w:rPr>
          <w:rFonts w:cs="Arial"/>
          <w:spacing w:val="-14"/>
          <w:sz w:val="22"/>
          <w:szCs w:val="22"/>
          <w:lang w:val="en-AU"/>
        </w:rPr>
      </w:pPr>
    </w:p>
    <w:p w14:paraId="26127745" w14:textId="68515A3E" w:rsidR="001144DC" w:rsidRDefault="001144DC" w:rsidP="00346DAA">
      <w:pPr>
        <w:pStyle w:val="NumberLevel2"/>
        <w:numPr>
          <w:ilvl w:val="1"/>
          <w:numId w:val="5"/>
        </w:numPr>
        <w:tabs>
          <w:tab w:val="num" w:pos="709"/>
        </w:tabs>
        <w:ind w:left="709" w:hanging="709"/>
        <w:rPr>
          <w:lang w:val="en-AU"/>
        </w:rPr>
      </w:pPr>
      <w:r>
        <w:rPr>
          <w:lang w:val="en-AU"/>
        </w:rPr>
        <w:t>PWC</w:t>
      </w:r>
      <w:r w:rsidR="000D5DD0">
        <w:rPr>
          <w:lang w:val="en-AU"/>
        </w:rPr>
        <w:t> Networks</w:t>
      </w:r>
      <w:r>
        <w:rPr>
          <w:lang w:val="en-AU"/>
        </w:rPr>
        <w:t xml:space="preserve"> identified the following key drivers for its proposed </w:t>
      </w:r>
      <w:r w:rsidR="00E2482D">
        <w:rPr>
          <w:lang w:val="en-AU"/>
        </w:rPr>
        <w:t xml:space="preserve">initial </w:t>
      </w:r>
      <w:r>
        <w:rPr>
          <w:lang w:val="en-AU"/>
        </w:rPr>
        <w:t xml:space="preserve">capex forecast: </w:t>
      </w:r>
    </w:p>
    <w:p w14:paraId="2D764E63" w14:textId="640263C9" w:rsidR="001144DC" w:rsidRPr="000C2BAB" w:rsidRDefault="001144DC" w:rsidP="008E229D">
      <w:pPr>
        <w:pStyle w:val="UtilComBulletText"/>
        <w:numPr>
          <w:ilvl w:val="0"/>
          <w:numId w:val="6"/>
        </w:numPr>
        <w:tabs>
          <w:tab w:val="clear" w:pos="964"/>
          <w:tab w:val="num" w:pos="1134"/>
        </w:tabs>
        <w:ind w:left="1134" w:hanging="425"/>
      </w:pPr>
      <w:r>
        <w:t>t</w:t>
      </w:r>
      <w:r w:rsidRPr="000C2BAB">
        <w:t>he intensive program of remedial works to replace or refurbish unserviceable equipment following on from the recommendations of the Davies Review in 200</w:t>
      </w:r>
      <w:r w:rsidR="002719F3">
        <w:t>8</w:t>
      </w:r>
      <w:r w:rsidR="002A30BA">
        <w:noBreakHyphen/>
      </w:r>
      <w:r w:rsidR="002719F3">
        <w:t>200</w:t>
      </w:r>
      <w:r w:rsidRPr="000C2BAB">
        <w:t xml:space="preserve">9 is nearing completion. While there is some carry over to the </w:t>
      </w:r>
      <w:r w:rsidR="000D5DD0">
        <w:t>2014-19 regulatory control</w:t>
      </w:r>
      <w:r w:rsidRPr="000C2BAB">
        <w:t xml:space="preserve"> period, asset replacements and refurbishments should return to more normal levels towards the end of </w:t>
      </w:r>
      <w:r w:rsidR="000D5DD0">
        <w:t>2014-19 regulatory control</w:t>
      </w:r>
      <w:r w:rsidRPr="000C2BAB">
        <w:t xml:space="preserve"> period</w:t>
      </w:r>
      <w:r w:rsidR="002A30BA">
        <w:t>;</w:t>
      </w:r>
    </w:p>
    <w:p w14:paraId="2EA9E7E9" w14:textId="7BEBD769" w:rsidR="001144DC" w:rsidRPr="000C2BAB" w:rsidRDefault="001144DC" w:rsidP="008E229D">
      <w:pPr>
        <w:pStyle w:val="UtilComBulletText"/>
        <w:numPr>
          <w:ilvl w:val="0"/>
          <w:numId w:val="6"/>
        </w:numPr>
        <w:tabs>
          <w:tab w:val="clear" w:pos="964"/>
          <w:tab w:val="num" w:pos="1134"/>
        </w:tabs>
        <w:ind w:left="1134" w:hanging="425"/>
      </w:pPr>
      <w:r>
        <w:t>d</w:t>
      </w:r>
      <w:r w:rsidRPr="000C2BAB">
        <w:t xml:space="preserve">emand growth is expected to continue at a higher rate than the historical growth </w:t>
      </w:r>
      <w:r w:rsidR="00FD5D58">
        <w:t xml:space="preserve">rate </w:t>
      </w:r>
      <w:r w:rsidRPr="000C2BAB">
        <w:t xml:space="preserve">throughout the </w:t>
      </w:r>
      <w:r w:rsidR="000D5DD0">
        <w:t>2014-19 regulatory control</w:t>
      </w:r>
      <w:r w:rsidRPr="000C2BAB">
        <w:t xml:space="preserve"> period. However the </w:t>
      </w:r>
      <w:r w:rsidR="00FD5D58">
        <w:t>‘</w:t>
      </w:r>
      <w:r w:rsidRPr="000C2BAB">
        <w:t>lumpiness</w:t>
      </w:r>
      <w:r w:rsidR="00FD5D58">
        <w:t>’</w:t>
      </w:r>
      <w:r w:rsidR="002A30BA" w:rsidRPr="0030001A">
        <w:t xml:space="preserve"> </w:t>
      </w:r>
      <w:r w:rsidRPr="000C2BAB">
        <w:t xml:space="preserve">of </w:t>
      </w:r>
      <w:r w:rsidR="000D5DD0">
        <w:t>capex</w:t>
      </w:r>
      <w:r w:rsidRPr="000C2BAB">
        <w:t xml:space="preserve"> on major projects such as zone substations and transmission lines results in significant year-on-year expenditure variation</w:t>
      </w:r>
      <w:r w:rsidR="000D5DD0">
        <w:t>s</w:t>
      </w:r>
      <w:r w:rsidRPr="000C2BAB">
        <w:t xml:space="preserve"> in a relatively small </w:t>
      </w:r>
      <w:r w:rsidR="000D5DD0">
        <w:t xml:space="preserve">electricity </w:t>
      </w:r>
      <w:r w:rsidRPr="000C2BAB">
        <w:t>network</w:t>
      </w:r>
      <w:r w:rsidR="002A30BA">
        <w:t>; and</w:t>
      </w:r>
    </w:p>
    <w:p w14:paraId="4732951C" w14:textId="3020E35E" w:rsidR="001144DC" w:rsidRDefault="001144DC" w:rsidP="008E229D">
      <w:pPr>
        <w:pStyle w:val="UtilComBulletText"/>
        <w:numPr>
          <w:ilvl w:val="0"/>
          <w:numId w:val="6"/>
        </w:numPr>
        <w:tabs>
          <w:tab w:val="clear" w:pos="964"/>
        </w:tabs>
        <w:ind w:left="1134" w:hanging="425"/>
      </w:pPr>
      <w:r w:rsidRPr="00E76762">
        <w:t xml:space="preserve">non-system capex </w:t>
      </w:r>
      <w:r w:rsidR="002719F3">
        <w:t xml:space="preserve">is </w:t>
      </w:r>
      <w:r w:rsidRPr="00E76762">
        <w:t xml:space="preserve">forecast to decline during the </w:t>
      </w:r>
      <w:r w:rsidR="000D5DD0">
        <w:t>2014-19 regulatory control</w:t>
      </w:r>
      <w:r w:rsidRPr="00E76762">
        <w:t xml:space="preserve"> period, as the need to acquire modern diagnostic and test equipment for the remedial asset management program has been met in the </w:t>
      </w:r>
      <w:r w:rsidR="007669D5">
        <w:t>2009-14</w:t>
      </w:r>
      <w:r w:rsidR="007669D5" w:rsidRPr="00E76762">
        <w:t xml:space="preserve"> </w:t>
      </w:r>
      <w:r w:rsidRPr="00E76762">
        <w:t>regulatory control period.</w:t>
      </w:r>
    </w:p>
    <w:p w14:paraId="7A8F273D" w14:textId="50C6BF29" w:rsidR="00C76810" w:rsidRDefault="00C76810" w:rsidP="00C76810">
      <w:pPr>
        <w:pStyle w:val="UtilComHeading2"/>
      </w:pPr>
      <w:bookmarkStart w:id="186" w:name="_Toc385241515"/>
      <w:bookmarkStart w:id="187" w:name="_Toc386013068"/>
      <w:r>
        <w:t>Submissions</w:t>
      </w:r>
      <w:r w:rsidR="00E2482D">
        <w:t xml:space="preserve"> on </w:t>
      </w:r>
      <w:r w:rsidR="00BA6E5D">
        <w:t xml:space="preserve">Initial Regulatory </w:t>
      </w:r>
      <w:bookmarkEnd w:id="186"/>
      <w:r w:rsidR="00BA6E5D">
        <w:t>Proposal</w:t>
      </w:r>
      <w:bookmarkEnd w:id="187"/>
    </w:p>
    <w:p w14:paraId="60E147B8" w14:textId="78BF475D" w:rsidR="00B01884" w:rsidRDefault="00B01884" w:rsidP="00346DAA">
      <w:pPr>
        <w:pStyle w:val="NumberLevel2"/>
        <w:numPr>
          <w:ilvl w:val="1"/>
          <w:numId w:val="5"/>
        </w:numPr>
        <w:tabs>
          <w:tab w:val="num" w:pos="709"/>
        </w:tabs>
        <w:ind w:left="709" w:hanging="709"/>
        <w:rPr>
          <w:lang w:val="en-AU"/>
        </w:rPr>
      </w:pPr>
      <w:r w:rsidRPr="00B01884">
        <w:rPr>
          <w:lang w:val="en-AU"/>
        </w:rPr>
        <w:t xml:space="preserve">The NTMEU submitted that PWC Networks </w:t>
      </w:r>
      <w:r w:rsidR="00E2482D">
        <w:rPr>
          <w:lang w:val="en-AU"/>
        </w:rPr>
        <w:t>wa</w:t>
      </w:r>
      <w:r w:rsidR="00E2482D" w:rsidRPr="00B01884">
        <w:rPr>
          <w:lang w:val="en-AU"/>
        </w:rPr>
        <w:t xml:space="preserve">s </w:t>
      </w:r>
      <w:r w:rsidRPr="00B01884">
        <w:rPr>
          <w:lang w:val="en-AU"/>
        </w:rPr>
        <w:t xml:space="preserve">proposing considerably more capex for the </w:t>
      </w:r>
      <w:r w:rsidR="00E2482D">
        <w:rPr>
          <w:lang w:val="en-AU"/>
        </w:rPr>
        <w:t>2014-19</w:t>
      </w:r>
      <w:r w:rsidR="00E2482D" w:rsidRPr="00B01884">
        <w:rPr>
          <w:lang w:val="en-AU"/>
        </w:rPr>
        <w:t xml:space="preserve"> </w:t>
      </w:r>
      <w:r w:rsidRPr="00B01884">
        <w:rPr>
          <w:lang w:val="en-AU"/>
        </w:rPr>
        <w:t xml:space="preserve">regulatory control period than </w:t>
      </w:r>
      <w:r w:rsidR="00771EA7">
        <w:rPr>
          <w:lang w:val="en-AU"/>
        </w:rPr>
        <w:t>was</w:t>
      </w:r>
      <w:r w:rsidR="00771EA7" w:rsidRPr="00B01884">
        <w:rPr>
          <w:lang w:val="en-AU"/>
        </w:rPr>
        <w:t xml:space="preserve"> </w:t>
      </w:r>
      <w:r w:rsidRPr="00B01884">
        <w:rPr>
          <w:lang w:val="en-AU"/>
        </w:rPr>
        <w:t xml:space="preserve">warranted (especially after </w:t>
      </w:r>
      <w:r>
        <w:rPr>
          <w:lang w:val="en-AU"/>
        </w:rPr>
        <w:t xml:space="preserve">what it </w:t>
      </w:r>
      <w:r w:rsidR="00E2482D">
        <w:rPr>
          <w:lang w:val="en-AU"/>
        </w:rPr>
        <w:t xml:space="preserve">contended </w:t>
      </w:r>
      <w:r>
        <w:rPr>
          <w:lang w:val="en-AU"/>
        </w:rPr>
        <w:t xml:space="preserve">was </w:t>
      </w:r>
      <w:r w:rsidRPr="00B01884">
        <w:rPr>
          <w:lang w:val="en-AU"/>
        </w:rPr>
        <w:t>the massive</w:t>
      </w:r>
      <w:r>
        <w:rPr>
          <w:lang w:val="en-AU"/>
        </w:rPr>
        <w:t xml:space="preserve"> </w:t>
      </w:r>
      <w:r w:rsidRPr="00B01884">
        <w:rPr>
          <w:lang w:val="en-AU"/>
        </w:rPr>
        <w:t xml:space="preserve">overspend in </w:t>
      </w:r>
      <w:r w:rsidR="00E2482D">
        <w:rPr>
          <w:lang w:val="en-AU"/>
        </w:rPr>
        <w:t xml:space="preserve">2009-14 </w:t>
      </w:r>
      <w:r>
        <w:rPr>
          <w:lang w:val="en-AU"/>
        </w:rPr>
        <w:t>regulatory control period</w:t>
      </w:r>
      <w:r w:rsidRPr="00B01884">
        <w:rPr>
          <w:lang w:val="en-AU"/>
        </w:rPr>
        <w:t>)</w:t>
      </w:r>
      <w:r w:rsidR="00010A02">
        <w:rPr>
          <w:lang w:val="en-AU"/>
        </w:rPr>
        <w:t>, noting that:</w:t>
      </w:r>
    </w:p>
    <w:p w14:paraId="3D8941B9" w14:textId="77777777" w:rsidR="00010A02" w:rsidRPr="002A30BA" w:rsidRDefault="00010A02" w:rsidP="004B63D8">
      <w:pPr>
        <w:pStyle w:val="UtilComQuotationText"/>
        <w:ind w:left="1134"/>
      </w:pPr>
      <w:r w:rsidRPr="002A30BA">
        <w:t xml:space="preserve">Whilst the excessive capex for [the </w:t>
      </w:r>
      <w:r w:rsidR="00E2482D">
        <w:t>2009-14</w:t>
      </w:r>
      <w:r w:rsidR="00E2482D" w:rsidRPr="002A30BA">
        <w:t xml:space="preserve"> </w:t>
      </w:r>
      <w:r w:rsidRPr="002A30BA">
        <w:t xml:space="preserve">regulatory control period] has been justified on the basis of the large amount of rectification of the failures experienced when seen in comparative terms, the capex proposed for [the </w:t>
      </w:r>
      <w:r w:rsidR="00E2482D">
        <w:t>2014-19</w:t>
      </w:r>
      <w:r w:rsidR="00E2482D" w:rsidRPr="002A30BA">
        <w:t xml:space="preserve"> </w:t>
      </w:r>
      <w:r w:rsidRPr="002A30BA">
        <w:t xml:space="preserve">regulatory control period] is still excessive when compared to that incurred in [the </w:t>
      </w:r>
      <w:r w:rsidR="00E2482D">
        <w:t>2004-09</w:t>
      </w:r>
      <w:r w:rsidR="00E2482D" w:rsidRPr="002A30BA">
        <w:t xml:space="preserve"> </w:t>
      </w:r>
      <w:r w:rsidRPr="002A30BA">
        <w:t>regulatory control period], despite there being only a modest growth in demand.</w:t>
      </w:r>
      <w:r w:rsidR="002A30BA">
        <w:t xml:space="preserve"> (page.27)</w:t>
      </w:r>
    </w:p>
    <w:p w14:paraId="55AB34EA" w14:textId="5D21C028" w:rsidR="002E130D" w:rsidRDefault="002E130D" w:rsidP="00346DAA">
      <w:pPr>
        <w:pStyle w:val="NumberLevel2"/>
        <w:numPr>
          <w:ilvl w:val="1"/>
          <w:numId w:val="5"/>
        </w:numPr>
        <w:tabs>
          <w:tab w:val="num" w:pos="709"/>
        </w:tabs>
        <w:ind w:left="709" w:hanging="709"/>
        <w:rPr>
          <w:lang w:val="en-AU"/>
        </w:rPr>
      </w:pPr>
      <w:r>
        <w:rPr>
          <w:lang w:val="en-AU"/>
        </w:rPr>
        <w:t>The NTMEU argued that</w:t>
      </w:r>
      <w:r w:rsidR="00172769">
        <w:rPr>
          <w:lang w:val="en-AU"/>
        </w:rPr>
        <w:t xml:space="preserve">, </w:t>
      </w:r>
      <w:r w:rsidR="00172769" w:rsidRPr="002E130D">
        <w:t xml:space="preserve">while the </w:t>
      </w:r>
      <w:r w:rsidR="00172769">
        <w:t xml:space="preserve">capex </w:t>
      </w:r>
      <w:r w:rsidR="00172769" w:rsidRPr="002E130D">
        <w:t>projects nominated by PWC Networks might be justified when viewed from a ‘bottom up’ basis</w:t>
      </w:r>
      <w:r w:rsidR="00172769">
        <w:t>, a ‘top down’ assessment of the proposed cape</w:t>
      </w:r>
      <w:r w:rsidR="00136EF9">
        <w:t>x</w:t>
      </w:r>
      <w:r w:rsidR="00172769">
        <w:t xml:space="preserve"> for the </w:t>
      </w:r>
      <w:r w:rsidR="00771EA7">
        <w:t>2014-19</w:t>
      </w:r>
      <w:r w:rsidR="00B47A29">
        <w:t xml:space="preserve"> </w:t>
      </w:r>
      <w:r w:rsidR="00172769">
        <w:t xml:space="preserve">regulatory control period </w:t>
      </w:r>
      <w:r w:rsidR="00E2482D">
        <w:t xml:space="preserve">did </w:t>
      </w:r>
      <w:r w:rsidR="00172769">
        <w:t>not support the amount of capex proposed by PWC Networks</w:t>
      </w:r>
      <w:r>
        <w:rPr>
          <w:lang w:val="en-AU"/>
        </w:rPr>
        <w:t>:</w:t>
      </w:r>
    </w:p>
    <w:p w14:paraId="2419E5A1" w14:textId="72D5A4A8" w:rsidR="002E130D" w:rsidRPr="002E130D" w:rsidRDefault="00771EA7" w:rsidP="002E130D">
      <w:pPr>
        <w:pStyle w:val="UtilComBulletText"/>
      </w:pPr>
      <w:r>
        <w:t xml:space="preserve">the proposed </w:t>
      </w:r>
      <w:r w:rsidR="002E130D">
        <w:t>a</w:t>
      </w:r>
      <w:r w:rsidR="002E130D" w:rsidRPr="002E130D">
        <w:t xml:space="preserve">ugmentation capex </w:t>
      </w:r>
      <w:r>
        <w:t>appeared</w:t>
      </w:r>
      <w:r w:rsidR="002E130D" w:rsidRPr="002E130D">
        <w:t xml:space="preserve"> to exceed for</w:t>
      </w:r>
      <w:r w:rsidR="002E130D">
        <w:t xml:space="preserve">ecast expectation of growth; </w:t>
      </w:r>
    </w:p>
    <w:p w14:paraId="108B0531" w14:textId="091AB0FA" w:rsidR="002E130D" w:rsidRPr="002E130D" w:rsidRDefault="00771EA7" w:rsidP="002E130D">
      <w:pPr>
        <w:pStyle w:val="UtilComBulletText"/>
      </w:pPr>
      <w:r>
        <w:t xml:space="preserve">the proposed </w:t>
      </w:r>
      <w:r w:rsidR="00172769">
        <w:t xml:space="preserve">replacement capex </w:t>
      </w:r>
      <w:r>
        <w:t xml:space="preserve">represented </w:t>
      </w:r>
      <w:r w:rsidR="002E130D">
        <w:t xml:space="preserve">a very large proportion of the RAB to be replaced in a </w:t>
      </w:r>
      <w:r w:rsidR="002A30BA">
        <w:t>five-</w:t>
      </w:r>
      <w:r w:rsidR="002E130D">
        <w:t>year period; and</w:t>
      </w:r>
    </w:p>
    <w:p w14:paraId="4052E904" w14:textId="5BF89067" w:rsidR="002E130D" w:rsidRPr="002E130D" w:rsidRDefault="002E130D" w:rsidP="002E130D">
      <w:pPr>
        <w:pStyle w:val="UtilComBulletText"/>
      </w:pPr>
      <w:r>
        <w:t>PWC Networks’</w:t>
      </w:r>
      <w:r w:rsidRPr="002E130D">
        <w:t xml:space="preserve"> arguments on expenditure to replace ag</w:t>
      </w:r>
      <w:r w:rsidR="00977262">
        <w:t>e</w:t>
      </w:r>
      <w:r w:rsidRPr="002E130D">
        <w:t xml:space="preserve">ing assets </w:t>
      </w:r>
      <w:r w:rsidR="00771EA7">
        <w:t>did</w:t>
      </w:r>
      <w:r w:rsidR="00771EA7" w:rsidRPr="002E130D">
        <w:t xml:space="preserve"> </w:t>
      </w:r>
      <w:r w:rsidRPr="002E130D">
        <w:t>not appear to be supported by the asset age profile</w:t>
      </w:r>
      <w:r>
        <w:t xml:space="preserve">, with </w:t>
      </w:r>
      <w:r w:rsidR="00172769">
        <w:t>an</w:t>
      </w:r>
      <w:r>
        <w:t xml:space="preserve"> implied decrease in average asset age </w:t>
      </w:r>
      <w:r w:rsidR="00172769">
        <w:t>in a short period</w:t>
      </w:r>
      <w:r w:rsidR="002A30BA">
        <w:t>.</w:t>
      </w:r>
      <w:r w:rsidR="00172769">
        <w:t xml:space="preserve"> </w:t>
      </w:r>
    </w:p>
    <w:p w14:paraId="47C20B7B" w14:textId="77777777" w:rsidR="00B01884" w:rsidRPr="00010A02" w:rsidRDefault="00010A02" w:rsidP="00346DAA">
      <w:pPr>
        <w:pStyle w:val="NumberLevel2"/>
        <w:numPr>
          <w:ilvl w:val="1"/>
          <w:numId w:val="5"/>
        </w:numPr>
        <w:tabs>
          <w:tab w:val="num" w:pos="709"/>
        </w:tabs>
        <w:ind w:left="709" w:hanging="709"/>
        <w:rPr>
          <w:lang w:val="en-AU"/>
        </w:rPr>
      </w:pPr>
      <w:r w:rsidRPr="00010A02">
        <w:rPr>
          <w:lang w:val="en-AU"/>
        </w:rPr>
        <w:t xml:space="preserve">The NTMEU also expressed concern that PWC </w:t>
      </w:r>
      <w:r w:rsidR="00136EF9">
        <w:rPr>
          <w:lang w:val="en-AU"/>
        </w:rPr>
        <w:t xml:space="preserve">Networks </w:t>
      </w:r>
      <w:r w:rsidRPr="00010A02">
        <w:rPr>
          <w:lang w:val="en-AU"/>
        </w:rPr>
        <w:t>d</w:t>
      </w:r>
      <w:r w:rsidR="002719F3">
        <w:rPr>
          <w:lang w:val="en-AU"/>
        </w:rPr>
        <w:t>id</w:t>
      </w:r>
      <w:r w:rsidRPr="00010A02">
        <w:rPr>
          <w:lang w:val="en-AU"/>
        </w:rPr>
        <w:t xml:space="preserve"> not provide </w:t>
      </w:r>
      <w:r w:rsidR="009A5951">
        <w:rPr>
          <w:lang w:val="en-AU"/>
        </w:rPr>
        <w:t xml:space="preserve">a </w:t>
      </w:r>
      <w:r w:rsidRPr="00010A02">
        <w:rPr>
          <w:lang w:val="en-AU"/>
        </w:rPr>
        <w:t>sufficient</w:t>
      </w:r>
      <w:r w:rsidR="009A5951">
        <w:rPr>
          <w:lang w:val="en-AU"/>
        </w:rPr>
        <w:t>ly</w:t>
      </w:r>
      <w:r w:rsidRPr="00010A02">
        <w:rPr>
          <w:lang w:val="en-AU"/>
        </w:rPr>
        <w:t xml:space="preserve"> detailed breakdown of the three capex classifications (augmentation, replacement and non-network) incurred in </w:t>
      </w:r>
      <w:r>
        <w:rPr>
          <w:lang w:val="en-AU"/>
        </w:rPr>
        <w:t xml:space="preserve">the </w:t>
      </w:r>
      <w:r w:rsidR="00B47A29">
        <w:rPr>
          <w:lang w:val="en-AU"/>
        </w:rPr>
        <w:t xml:space="preserve">2009-14 </w:t>
      </w:r>
      <w:r>
        <w:rPr>
          <w:lang w:val="en-AU"/>
        </w:rPr>
        <w:t xml:space="preserve">regulatory control period, </w:t>
      </w:r>
      <w:r w:rsidRPr="00010A02">
        <w:rPr>
          <w:lang w:val="en-AU"/>
        </w:rPr>
        <w:t>making comparisons with the forecast capex extremely difficult.</w:t>
      </w:r>
    </w:p>
    <w:p w14:paraId="7A3F3D08" w14:textId="77777777" w:rsidR="005C08E3" w:rsidRPr="001911C2" w:rsidRDefault="005C08E3" w:rsidP="00346DAA">
      <w:pPr>
        <w:pStyle w:val="NumberLevel2"/>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 xml:space="preserve">submissions were received on the </w:t>
      </w:r>
      <w:r w:rsidR="00C936F4">
        <w:rPr>
          <w:lang w:val="en-AU"/>
        </w:rPr>
        <w:t>PWC Networks’ forecast capex.</w:t>
      </w:r>
    </w:p>
    <w:p w14:paraId="67154375" w14:textId="6E4D52E0" w:rsidR="006E354D" w:rsidRDefault="006E354D" w:rsidP="006E354D">
      <w:pPr>
        <w:pStyle w:val="UtilComHeading2"/>
      </w:pPr>
      <w:bookmarkStart w:id="188" w:name="_Toc385241516"/>
      <w:bookmarkStart w:id="189" w:name="_Toc386013069"/>
      <w:r>
        <w:t xml:space="preserve">Issues and Commission’s </w:t>
      </w:r>
      <w:r w:rsidR="00697A8F">
        <w:t xml:space="preserve">Initial </w:t>
      </w:r>
      <w:bookmarkEnd w:id="188"/>
      <w:r w:rsidR="00697A8F">
        <w:t>Considerations</w:t>
      </w:r>
      <w:bookmarkEnd w:id="189"/>
    </w:p>
    <w:p w14:paraId="35C9BA65" w14:textId="336DE5C6" w:rsidR="007E4BB4" w:rsidRDefault="007E4BB4" w:rsidP="00346DAA">
      <w:pPr>
        <w:pStyle w:val="NumberLevel2"/>
        <w:numPr>
          <w:ilvl w:val="1"/>
          <w:numId w:val="5"/>
        </w:numPr>
        <w:tabs>
          <w:tab w:val="num" w:pos="709"/>
        </w:tabs>
        <w:ind w:left="709" w:hanging="709"/>
      </w:pPr>
      <w:r w:rsidRPr="007E4BB4">
        <w:rPr>
          <w:lang w:val="en-AU"/>
        </w:rPr>
        <w:t xml:space="preserve">The </w:t>
      </w:r>
      <w:r>
        <w:rPr>
          <w:lang w:val="en-AU"/>
        </w:rPr>
        <w:t>Commission</w:t>
      </w:r>
      <w:r w:rsidRPr="007E4BB4">
        <w:rPr>
          <w:lang w:val="en-AU"/>
        </w:rPr>
        <w:t xml:space="preserve"> engaged PB to provide independent reviews of the </w:t>
      </w:r>
      <w:r w:rsidR="00771EA7" w:rsidRPr="007E4BB4">
        <w:rPr>
          <w:lang w:val="en-AU"/>
        </w:rPr>
        <w:t>prudenc</w:t>
      </w:r>
      <w:r w:rsidR="00771EA7">
        <w:rPr>
          <w:lang w:val="en-AU"/>
        </w:rPr>
        <w:t>y</w:t>
      </w:r>
      <w:r w:rsidR="00771EA7" w:rsidRPr="007E4BB4">
        <w:rPr>
          <w:lang w:val="en-AU"/>
        </w:rPr>
        <w:t xml:space="preserve"> </w:t>
      </w:r>
      <w:r w:rsidRPr="007E4BB4">
        <w:rPr>
          <w:lang w:val="en-AU"/>
        </w:rPr>
        <w:t xml:space="preserve">and efficiency of </w:t>
      </w:r>
      <w:r>
        <w:rPr>
          <w:lang w:val="en-AU"/>
        </w:rPr>
        <w:t>PWC Networks</w:t>
      </w:r>
      <w:r w:rsidRPr="007E4BB4">
        <w:rPr>
          <w:lang w:val="en-AU"/>
        </w:rPr>
        <w:t xml:space="preserve">’ </w:t>
      </w:r>
      <w:r w:rsidR="00E2482D">
        <w:rPr>
          <w:lang w:val="en-AU"/>
        </w:rPr>
        <w:t xml:space="preserve">initial </w:t>
      </w:r>
      <w:r w:rsidR="00771EA7">
        <w:rPr>
          <w:lang w:val="en-AU"/>
        </w:rPr>
        <w:t xml:space="preserve">proposed </w:t>
      </w:r>
      <w:r w:rsidRPr="007E4BB4">
        <w:rPr>
          <w:lang w:val="en-AU"/>
        </w:rPr>
        <w:t xml:space="preserve">capex </w:t>
      </w:r>
      <w:r w:rsidR="00771EA7">
        <w:rPr>
          <w:lang w:val="en-AU"/>
        </w:rPr>
        <w:t>forecast</w:t>
      </w:r>
      <w:r w:rsidRPr="007E4BB4">
        <w:rPr>
          <w:lang w:val="en-AU"/>
        </w:rPr>
        <w:t xml:space="preserve">. </w:t>
      </w:r>
      <w:r w:rsidR="006E354D">
        <w:rPr>
          <w:lang w:val="en-AU"/>
        </w:rPr>
        <w:t xml:space="preserve">PB’s report </w:t>
      </w:r>
      <w:r w:rsidR="00E2482D">
        <w:rPr>
          <w:lang w:val="en-AU"/>
        </w:rPr>
        <w:t xml:space="preserve">was </w:t>
      </w:r>
      <w:r w:rsidR="006E354D">
        <w:rPr>
          <w:lang w:val="en-AU"/>
        </w:rPr>
        <w:t xml:space="preserve">released with </w:t>
      </w:r>
      <w:r w:rsidR="00E2482D">
        <w:rPr>
          <w:lang w:val="en-AU"/>
        </w:rPr>
        <w:t xml:space="preserve">the </w:t>
      </w:r>
      <w:r w:rsidR="006E354D">
        <w:rPr>
          <w:lang w:val="en-AU"/>
        </w:rPr>
        <w:t>Draft Determination.</w:t>
      </w:r>
    </w:p>
    <w:p w14:paraId="170074D5" w14:textId="63220E1D" w:rsidR="007E4BB4" w:rsidRDefault="0054234F" w:rsidP="00346DAA">
      <w:pPr>
        <w:pStyle w:val="NumberLevel2"/>
        <w:numPr>
          <w:ilvl w:val="1"/>
          <w:numId w:val="5"/>
        </w:numPr>
        <w:tabs>
          <w:tab w:val="num" w:pos="709"/>
        </w:tabs>
        <w:ind w:left="709" w:hanging="709"/>
        <w:rPr>
          <w:lang w:val="en-AU"/>
        </w:rPr>
      </w:pPr>
      <w:r>
        <w:rPr>
          <w:lang w:val="en-AU"/>
        </w:rPr>
        <w:t>T</w:t>
      </w:r>
      <w:r w:rsidRPr="007E4BB4">
        <w:rPr>
          <w:lang w:val="en-AU"/>
        </w:rPr>
        <w:t xml:space="preserve">he </w:t>
      </w:r>
      <w:r w:rsidR="00FB2EC5">
        <w:rPr>
          <w:lang w:val="en-AU"/>
        </w:rPr>
        <w:t>Network Access Code</w:t>
      </w:r>
      <w:r w:rsidRPr="007E4BB4">
        <w:rPr>
          <w:lang w:val="en-AU"/>
        </w:rPr>
        <w:t xml:space="preserve"> provides the Commission with </w:t>
      </w:r>
      <w:r>
        <w:rPr>
          <w:lang w:val="en-AU"/>
        </w:rPr>
        <w:t xml:space="preserve">more </w:t>
      </w:r>
      <w:r w:rsidRPr="007E4BB4">
        <w:rPr>
          <w:lang w:val="en-AU"/>
        </w:rPr>
        <w:t>flexibility in its approach</w:t>
      </w:r>
      <w:r>
        <w:rPr>
          <w:lang w:val="en-AU"/>
        </w:rPr>
        <w:t xml:space="preserve"> than </w:t>
      </w:r>
      <w:r w:rsidRPr="007E4BB4">
        <w:rPr>
          <w:lang w:val="en-AU"/>
        </w:rPr>
        <w:t>the NER</w:t>
      </w:r>
      <w:r>
        <w:rPr>
          <w:lang w:val="en-AU"/>
        </w:rPr>
        <w:t>, which</w:t>
      </w:r>
      <w:r w:rsidRPr="007E4BB4">
        <w:rPr>
          <w:lang w:val="en-AU"/>
        </w:rPr>
        <w:t xml:space="preserve"> is prescriptive in its treatment of any expenditure that is not fully justified by the </w:t>
      </w:r>
      <w:r>
        <w:rPr>
          <w:lang w:val="en-AU"/>
        </w:rPr>
        <w:t>DNSP. While</w:t>
      </w:r>
      <w:r w:rsidR="007E4BB4" w:rsidRPr="007E4BB4">
        <w:rPr>
          <w:lang w:val="en-AU"/>
        </w:rPr>
        <w:t xml:space="preserve"> </w:t>
      </w:r>
      <w:r>
        <w:rPr>
          <w:lang w:val="en-AU"/>
        </w:rPr>
        <w:t>PB’s</w:t>
      </w:r>
      <w:r w:rsidR="007E4BB4" w:rsidRPr="007E4BB4">
        <w:rPr>
          <w:lang w:val="en-AU"/>
        </w:rPr>
        <w:t xml:space="preserve"> review approach </w:t>
      </w:r>
      <w:r w:rsidR="00771EA7" w:rsidRPr="007E4BB4">
        <w:rPr>
          <w:lang w:val="en-AU"/>
        </w:rPr>
        <w:t>consider</w:t>
      </w:r>
      <w:r w:rsidR="00771EA7">
        <w:rPr>
          <w:lang w:val="en-AU"/>
        </w:rPr>
        <w:t>ed</w:t>
      </w:r>
      <w:r w:rsidR="00771EA7" w:rsidRPr="007E4BB4">
        <w:rPr>
          <w:lang w:val="en-AU"/>
        </w:rPr>
        <w:t xml:space="preserve"> </w:t>
      </w:r>
      <w:r w:rsidR="007E4BB4" w:rsidRPr="007E4BB4">
        <w:rPr>
          <w:lang w:val="en-AU"/>
        </w:rPr>
        <w:t xml:space="preserve">the NER and </w:t>
      </w:r>
      <w:r w:rsidR="00771EA7">
        <w:rPr>
          <w:lang w:val="en-AU"/>
        </w:rPr>
        <w:t>was</w:t>
      </w:r>
      <w:r w:rsidR="00771EA7" w:rsidRPr="007E4BB4">
        <w:rPr>
          <w:lang w:val="en-AU"/>
        </w:rPr>
        <w:t xml:space="preserve"> </w:t>
      </w:r>
      <w:r w:rsidR="007E4BB4" w:rsidRPr="007E4BB4">
        <w:rPr>
          <w:lang w:val="en-AU"/>
        </w:rPr>
        <w:t xml:space="preserve">based upon the principles and practices that the AER has applied in its </w:t>
      </w:r>
      <w:r w:rsidR="00771EA7">
        <w:rPr>
          <w:lang w:val="en-AU"/>
        </w:rPr>
        <w:t>distribution determinations</w:t>
      </w:r>
      <w:r>
        <w:rPr>
          <w:lang w:val="en-AU"/>
        </w:rPr>
        <w:t>, the Commission directed PB to</w:t>
      </w:r>
      <w:r w:rsidR="007E4BB4" w:rsidRPr="007E4BB4">
        <w:rPr>
          <w:lang w:val="en-AU"/>
        </w:rPr>
        <w:t xml:space="preserve"> take into consideration the context in which P</w:t>
      </w:r>
      <w:r>
        <w:rPr>
          <w:lang w:val="en-AU"/>
        </w:rPr>
        <w:t>WC</w:t>
      </w:r>
      <w:r w:rsidR="007E4BB4" w:rsidRPr="007E4BB4">
        <w:rPr>
          <w:lang w:val="en-AU"/>
        </w:rPr>
        <w:t xml:space="preserve"> Networks </w:t>
      </w:r>
      <w:r w:rsidR="00771EA7">
        <w:rPr>
          <w:lang w:val="en-AU"/>
        </w:rPr>
        <w:t>operates and</w:t>
      </w:r>
      <w:r w:rsidR="007E4BB4" w:rsidRPr="007E4BB4">
        <w:rPr>
          <w:lang w:val="en-AU"/>
        </w:rPr>
        <w:t>, specifically</w:t>
      </w:r>
      <w:r w:rsidR="00771EA7">
        <w:rPr>
          <w:lang w:val="en-AU"/>
        </w:rPr>
        <w:t>,</w:t>
      </w:r>
      <w:r w:rsidR="007E4BB4" w:rsidRPr="007E4BB4">
        <w:rPr>
          <w:lang w:val="en-AU"/>
        </w:rPr>
        <w:t xml:space="preserve"> the recent development of appropriate processes and procedures and limited availability of documentation and data. </w:t>
      </w:r>
    </w:p>
    <w:p w14:paraId="078ED571" w14:textId="097A39B5" w:rsidR="006E354D" w:rsidRDefault="006E354D" w:rsidP="00346DAA">
      <w:pPr>
        <w:pStyle w:val="NumberLevel2"/>
        <w:numPr>
          <w:ilvl w:val="1"/>
          <w:numId w:val="5"/>
        </w:numPr>
        <w:tabs>
          <w:tab w:val="num" w:pos="709"/>
        </w:tabs>
        <w:ind w:left="709" w:hanging="709"/>
        <w:rPr>
          <w:lang w:val="en-AU"/>
        </w:rPr>
      </w:pPr>
      <w:r w:rsidRPr="007E4BB4">
        <w:rPr>
          <w:lang w:val="en-AU"/>
        </w:rPr>
        <w:t xml:space="preserve">In assessing whether the capex </w:t>
      </w:r>
      <w:r w:rsidR="00771EA7">
        <w:rPr>
          <w:lang w:val="en-AU"/>
        </w:rPr>
        <w:t xml:space="preserve">forecasts </w:t>
      </w:r>
      <w:r w:rsidRPr="007E4BB4">
        <w:rPr>
          <w:lang w:val="en-AU"/>
        </w:rPr>
        <w:t xml:space="preserve">proposed by </w:t>
      </w:r>
      <w:r>
        <w:rPr>
          <w:lang w:val="en-AU"/>
        </w:rPr>
        <w:t>PWC Networks</w:t>
      </w:r>
      <w:r w:rsidRPr="007E4BB4">
        <w:rPr>
          <w:lang w:val="en-AU"/>
        </w:rPr>
        <w:t xml:space="preserve"> </w:t>
      </w:r>
      <w:r w:rsidR="00771EA7">
        <w:rPr>
          <w:lang w:val="en-AU"/>
        </w:rPr>
        <w:t>were</w:t>
      </w:r>
      <w:r w:rsidR="00771EA7" w:rsidRPr="007E4BB4">
        <w:rPr>
          <w:lang w:val="en-AU"/>
        </w:rPr>
        <w:t xml:space="preserve"> </w:t>
      </w:r>
      <w:r>
        <w:rPr>
          <w:lang w:val="en-AU"/>
        </w:rPr>
        <w:t>prudent and efficient, PB:</w:t>
      </w:r>
    </w:p>
    <w:p w14:paraId="0D9EFD29" w14:textId="4396EA93" w:rsidR="006E354D" w:rsidRPr="007E4BB4" w:rsidRDefault="006E354D" w:rsidP="00346DAA">
      <w:pPr>
        <w:pStyle w:val="UtilComBulletText"/>
        <w:tabs>
          <w:tab w:val="clear" w:pos="964"/>
          <w:tab w:val="num" w:pos="1134"/>
        </w:tabs>
        <w:ind w:left="1134" w:hanging="425"/>
      </w:pPr>
      <w:r w:rsidRPr="007E4BB4">
        <w:t>assessed whether P</w:t>
      </w:r>
      <w:r>
        <w:t>WC</w:t>
      </w:r>
      <w:r w:rsidRPr="007E4BB4">
        <w:t xml:space="preserve"> Networks </w:t>
      </w:r>
      <w:r w:rsidR="007A555F">
        <w:t>had acted</w:t>
      </w:r>
      <w:r w:rsidRPr="007E4BB4">
        <w:t xml:space="preserve"> efficiently in accordance with good industry practice through a review of capital governance, policy and procedures, cost estimating practices, specific reviews of certain expenditures</w:t>
      </w:r>
      <w:r w:rsidR="00FD5D58">
        <w:t xml:space="preserve"> </w:t>
      </w:r>
      <w:r w:rsidRPr="007E4BB4">
        <w:t>and the deliverability of the proposed works program</w:t>
      </w:r>
      <w:r>
        <w:t>;</w:t>
      </w:r>
    </w:p>
    <w:p w14:paraId="2762CEB6" w14:textId="6E59A1FF" w:rsidR="006E354D" w:rsidRPr="007E4BB4" w:rsidRDefault="006E354D" w:rsidP="00346DAA">
      <w:pPr>
        <w:pStyle w:val="UtilComBulletText"/>
        <w:tabs>
          <w:tab w:val="clear" w:pos="964"/>
          <w:tab w:val="num" w:pos="1134"/>
        </w:tabs>
        <w:ind w:left="1134" w:hanging="425"/>
      </w:pPr>
      <w:r w:rsidRPr="007E4BB4">
        <w:t xml:space="preserve">assessed whether there </w:t>
      </w:r>
      <w:r w:rsidR="007A555F">
        <w:t>was</w:t>
      </w:r>
      <w:r w:rsidR="007A555F" w:rsidRPr="007E4BB4">
        <w:t xml:space="preserve"> </w:t>
      </w:r>
      <w:r w:rsidRPr="007E4BB4">
        <w:t>a justifiable need for the proposed investment within each expenditure category</w:t>
      </w:r>
      <w:r>
        <w:t>;</w:t>
      </w:r>
    </w:p>
    <w:p w14:paraId="14A0D42B" w14:textId="7FA8A23A" w:rsidR="006E354D" w:rsidRPr="007E4BB4" w:rsidRDefault="006E354D" w:rsidP="00346DAA">
      <w:pPr>
        <w:pStyle w:val="UtilComBulletText"/>
        <w:tabs>
          <w:tab w:val="clear" w:pos="964"/>
          <w:tab w:val="num" w:pos="1134"/>
        </w:tabs>
        <w:ind w:left="1134" w:hanging="425"/>
      </w:pPr>
      <w:r w:rsidRPr="007E4BB4">
        <w:t xml:space="preserve">assessed whether all reasonable options </w:t>
      </w:r>
      <w:r w:rsidR="007A555F">
        <w:t>had</w:t>
      </w:r>
      <w:r w:rsidR="007A555F" w:rsidRPr="007E4BB4">
        <w:t xml:space="preserve"> </w:t>
      </w:r>
      <w:r w:rsidRPr="007E4BB4">
        <w:t>been considered and the most efficient investment selected to satisfy that need after confirming the need for an investment</w:t>
      </w:r>
      <w:r>
        <w:t>; and</w:t>
      </w:r>
    </w:p>
    <w:p w14:paraId="78F82400" w14:textId="43D54774" w:rsidR="006E354D" w:rsidRDefault="006E354D" w:rsidP="00346DAA">
      <w:pPr>
        <w:pStyle w:val="UtilComBulletText"/>
        <w:tabs>
          <w:tab w:val="clear" w:pos="964"/>
          <w:tab w:val="num" w:pos="1134"/>
        </w:tabs>
        <w:ind w:left="1134" w:hanging="425"/>
      </w:pPr>
      <w:r w:rsidRPr="007E4BB4">
        <w:t xml:space="preserve">assessed whether those assumptions </w:t>
      </w:r>
      <w:r w:rsidR="007A555F">
        <w:t>were</w:t>
      </w:r>
      <w:r w:rsidR="007A555F" w:rsidRPr="007E4BB4">
        <w:t xml:space="preserve"> </w:t>
      </w:r>
      <w:r w:rsidRPr="007E4BB4">
        <w:t xml:space="preserve">reasonable where an investment </w:t>
      </w:r>
      <w:r w:rsidR="007A555F">
        <w:t>was</w:t>
      </w:r>
      <w:r w:rsidR="007A555F" w:rsidRPr="007E4BB4">
        <w:t xml:space="preserve"> </w:t>
      </w:r>
      <w:r w:rsidRPr="007E4BB4">
        <w:t xml:space="preserve">based on assumptions </w:t>
      </w:r>
      <w:r>
        <w:t>about future conditions.</w:t>
      </w:r>
    </w:p>
    <w:p w14:paraId="6289FE8C" w14:textId="6C529057" w:rsidR="00D86DAD" w:rsidRPr="00CE710F" w:rsidRDefault="00D86DAD" w:rsidP="00346DAA">
      <w:pPr>
        <w:pStyle w:val="NumberLevel2"/>
        <w:numPr>
          <w:ilvl w:val="1"/>
          <w:numId w:val="5"/>
        </w:numPr>
        <w:tabs>
          <w:tab w:val="num" w:pos="709"/>
        </w:tabs>
        <w:ind w:left="709" w:hanging="709"/>
        <w:rPr>
          <w:lang w:val="en-AU"/>
        </w:rPr>
      </w:pPr>
      <w:r w:rsidRPr="00CE710F">
        <w:rPr>
          <w:lang w:val="en-AU"/>
        </w:rPr>
        <w:t>A project</w:t>
      </w:r>
      <w:r w:rsidR="00977262">
        <w:rPr>
          <w:lang w:val="en-AU"/>
        </w:rPr>
        <w:t xml:space="preserve"> was</w:t>
      </w:r>
      <w:r w:rsidRPr="00CE710F">
        <w:rPr>
          <w:lang w:val="en-AU"/>
        </w:rPr>
        <w:t xml:space="preserve"> considered prudent if it addresse</w:t>
      </w:r>
      <w:r w:rsidR="00977262">
        <w:rPr>
          <w:lang w:val="en-AU"/>
        </w:rPr>
        <w:t>d</w:t>
      </w:r>
      <w:r w:rsidRPr="00CE710F">
        <w:rPr>
          <w:lang w:val="en-AU"/>
        </w:rPr>
        <w:t xml:space="preserve"> an identified and justifiable need</w:t>
      </w:r>
      <w:r w:rsidR="00CE710F">
        <w:rPr>
          <w:lang w:val="en-AU"/>
        </w:rPr>
        <w:t xml:space="preserve"> and the benefits </w:t>
      </w:r>
      <w:r w:rsidR="00B754A6">
        <w:rPr>
          <w:lang w:val="en-AU"/>
        </w:rPr>
        <w:t xml:space="preserve">of undertaking the project </w:t>
      </w:r>
      <w:r w:rsidR="00CE710F">
        <w:rPr>
          <w:lang w:val="en-AU"/>
        </w:rPr>
        <w:t>outweigh the costs</w:t>
      </w:r>
      <w:r w:rsidRPr="00CE710F">
        <w:rPr>
          <w:lang w:val="en-AU"/>
        </w:rPr>
        <w:t xml:space="preserve">. A project </w:t>
      </w:r>
      <w:r w:rsidR="00977262">
        <w:rPr>
          <w:lang w:val="en-AU"/>
        </w:rPr>
        <w:t xml:space="preserve">was </w:t>
      </w:r>
      <w:r w:rsidRPr="00CE710F">
        <w:rPr>
          <w:lang w:val="en-AU"/>
        </w:rPr>
        <w:t xml:space="preserve">considered efficient if </w:t>
      </w:r>
      <w:r w:rsidR="00DA21BD">
        <w:rPr>
          <w:lang w:val="en-AU"/>
        </w:rPr>
        <w:t>it employ</w:t>
      </w:r>
      <w:r w:rsidR="00977262">
        <w:rPr>
          <w:lang w:val="en-AU"/>
        </w:rPr>
        <w:t xml:space="preserve">ed </w:t>
      </w:r>
      <w:r w:rsidR="00DA21BD">
        <w:rPr>
          <w:lang w:val="en-AU"/>
        </w:rPr>
        <w:t>the least cost option to deliver the technical requirements in the required timeframe</w:t>
      </w:r>
      <w:r w:rsidR="00136EF9" w:rsidRPr="00CE710F">
        <w:rPr>
          <w:lang w:val="en-AU"/>
        </w:rPr>
        <w:t>.</w:t>
      </w:r>
    </w:p>
    <w:p w14:paraId="62F725F0" w14:textId="77777777" w:rsidR="00943603" w:rsidRDefault="00943603" w:rsidP="00517937">
      <w:pPr>
        <w:pStyle w:val="UtilComHeading3"/>
        <w:rPr>
          <w:lang w:val="en-AU"/>
        </w:rPr>
      </w:pPr>
      <w:r>
        <w:rPr>
          <w:lang w:val="en-AU"/>
        </w:rPr>
        <w:t>Policies and procedures</w:t>
      </w:r>
    </w:p>
    <w:p w14:paraId="3E77434D" w14:textId="6822F705" w:rsidR="009A5951" w:rsidRPr="009A5951" w:rsidRDefault="009A5951" w:rsidP="00346DAA">
      <w:pPr>
        <w:pStyle w:val="ListParagraph"/>
        <w:numPr>
          <w:ilvl w:val="1"/>
          <w:numId w:val="5"/>
        </w:numPr>
        <w:tabs>
          <w:tab w:val="left" w:pos="709"/>
        </w:tabs>
        <w:ind w:left="709" w:hanging="709"/>
        <w:rPr>
          <w:lang w:val="en-AU"/>
        </w:rPr>
      </w:pPr>
      <w:r w:rsidRPr="009A5951">
        <w:rPr>
          <w:lang w:val="en-AU"/>
        </w:rPr>
        <w:t xml:space="preserve">The Davies Review identified a number of shortcomings of </w:t>
      </w:r>
      <w:r w:rsidR="003F75B2">
        <w:rPr>
          <w:lang w:val="en-AU"/>
        </w:rPr>
        <w:t>PWC Networks’</w:t>
      </w:r>
      <w:r w:rsidR="003F75B2" w:rsidRPr="009A5951">
        <w:rPr>
          <w:lang w:val="en-AU"/>
        </w:rPr>
        <w:t xml:space="preserve"> </w:t>
      </w:r>
      <w:r w:rsidRPr="009A5951">
        <w:rPr>
          <w:lang w:val="en-AU"/>
        </w:rPr>
        <w:t>substation maintenance practices and risks posed by the uncertain condition of its substation assets at the time of the review, and made a number of recommendations. The recommendations encompassed changes to policies, systems and processes, new reporting systems, increased workforce levels and training, and equipment upgrades.</w:t>
      </w:r>
    </w:p>
    <w:p w14:paraId="005DB605" w14:textId="03A05D40" w:rsidR="00943603" w:rsidRDefault="009A5951" w:rsidP="00346DAA">
      <w:pPr>
        <w:pStyle w:val="NumberLevel2"/>
        <w:numPr>
          <w:ilvl w:val="1"/>
          <w:numId w:val="5"/>
        </w:numPr>
        <w:tabs>
          <w:tab w:val="left" w:pos="709"/>
        </w:tabs>
        <w:ind w:left="709" w:hanging="709"/>
        <w:rPr>
          <w:lang w:val="en-AU"/>
        </w:rPr>
      </w:pPr>
      <w:r>
        <w:rPr>
          <w:lang w:val="en-AU"/>
        </w:rPr>
        <w:t>Accordingly PWC Networks</w:t>
      </w:r>
      <w:r w:rsidR="00BB4963">
        <w:rPr>
          <w:lang w:val="en-AU"/>
        </w:rPr>
        <w:t>’</w:t>
      </w:r>
      <w:r>
        <w:rPr>
          <w:lang w:val="en-AU"/>
        </w:rPr>
        <w:t xml:space="preserve"> capital g</w:t>
      </w:r>
      <w:r w:rsidR="00943603" w:rsidRPr="009A5951">
        <w:rPr>
          <w:lang w:val="en-AU"/>
        </w:rPr>
        <w:t>overnance framework is relatively new</w:t>
      </w:r>
      <w:r>
        <w:rPr>
          <w:lang w:val="en-AU"/>
        </w:rPr>
        <w:t xml:space="preserve">, </w:t>
      </w:r>
      <w:r w:rsidR="001D240D">
        <w:rPr>
          <w:lang w:val="en-AU"/>
        </w:rPr>
        <w:t>with new processes and procedures set out and templates developed in the Capital Investment and Delivery Framework implemented in May 2012.</w:t>
      </w:r>
      <w:r w:rsidR="00943603" w:rsidRPr="009A5951">
        <w:rPr>
          <w:lang w:val="en-AU"/>
        </w:rPr>
        <w:t xml:space="preserve"> </w:t>
      </w:r>
      <w:r w:rsidR="001D240D">
        <w:rPr>
          <w:lang w:val="en-AU"/>
        </w:rPr>
        <w:t xml:space="preserve">The Commission </w:t>
      </w:r>
      <w:r w:rsidR="00717FBA">
        <w:rPr>
          <w:lang w:val="en-AU"/>
        </w:rPr>
        <w:t>has been advised</w:t>
      </w:r>
      <w:r w:rsidR="001D240D">
        <w:rPr>
          <w:lang w:val="en-AU"/>
        </w:rPr>
        <w:t xml:space="preserve"> that PWC Networks has worked closely with peer DNSPs familiar with the requirements of the NER and national regulatory bodies</w:t>
      </w:r>
      <w:r w:rsidR="003F75B2">
        <w:rPr>
          <w:lang w:val="en-AU"/>
        </w:rPr>
        <w:t xml:space="preserve"> in developing these new policies and procedures</w:t>
      </w:r>
      <w:r w:rsidR="001D240D">
        <w:rPr>
          <w:lang w:val="en-AU"/>
        </w:rPr>
        <w:t>.</w:t>
      </w:r>
    </w:p>
    <w:p w14:paraId="261C9783" w14:textId="206B5867" w:rsidR="001D240D" w:rsidRPr="001D240D" w:rsidRDefault="001D240D" w:rsidP="00346DAA">
      <w:pPr>
        <w:pStyle w:val="NumberLevel2"/>
        <w:numPr>
          <w:ilvl w:val="1"/>
          <w:numId w:val="5"/>
        </w:numPr>
        <w:tabs>
          <w:tab w:val="left" w:pos="709"/>
        </w:tabs>
        <w:ind w:left="709" w:hanging="709"/>
        <w:rPr>
          <w:lang w:val="en-AU"/>
        </w:rPr>
      </w:pPr>
      <w:r w:rsidRPr="001D240D">
        <w:rPr>
          <w:lang w:val="en-AU"/>
        </w:rPr>
        <w:t xml:space="preserve">The Commission </w:t>
      </w:r>
      <w:r w:rsidR="00C73B40" w:rsidRPr="001D240D">
        <w:rPr>
          <w:lang w:val="en-AU"/>
        </w:rPr>
        <w:t>note</w:t>
      </w:r>
      <w:r w:rsidR="00C73B40">
        <w:rPr>
          <w:lang w:val="en-AU"/>
        </w:rPr>
        <w:t>d</w:t>
      </w:r>
      <w:r w:rsidRPr="001D240D">
        <w:rPr>
          <w:lang w:val="en-AU"/>
        </w:rPr>
        <w:t xml:space="preserve">, however, that PWC Networks is in the early stages of implementing the improved governance framework </w:t>
      </w:r>
      <w:r w:rsidR="000F23DB">
        <w:rPr>
          <w:lang w:val="en-AU"/>
        </w:rPr>
        <w:t xml:space="preserve">so evidence of </w:t>
      </w:r>
      <w:r w:rsidR="003F75B2">
        <w:rPr>
          <w:lang w:val="en-AU"/>
        </w:rPr>
        <w:t xml:space="preserve">its </w:t>
      </w:r>
      <w:r w:rsidR="000F23DB">
        <w:rPr>
          <w:lang w:val="en-AU"/>
        </w:rPr>
        <w:t xml:space="preserve">application is not readily assessable. </w:t>
      </w:r>
    </w:p>
    <w:p w14:paraId="31ED5130" w14:textId="401D62C3" w:rsidR="001D240D" w:rsidRDefault="001D240D" w:rsidP="00346DAA">
      <w:pPr>
        <w:pStyle w:val="NumberLevel2"/>
        <w:numPr>
          <w:ilvl w:val="1"/>
          <w:numId w:val="5"/>
        </w:numPr>
        <w:tabs>
          <w:tab w:val="left" w:pos="709"/>
        </w:tabs>
        <w:ind w:left="709" w:hanging="709"/>
        <w:rPr>
          <w:lang w:val="en-AU"/>
        </w:rPr>
      </w:pPr>
      <w:r>
        <w:rPr>
          <w:lang w:val="en-AU"/>
        </w:rPr>
        <w:t xml:space="preserve">The Commission </w:t>
      </w:r>
      <w:r w:rsidR="00C73B40">
        <w:rPr>
          <w:lang w:val="en-AU"/>
        </w:rPr>
        <w:t xml:space="preserve">was </w:t>
      </w:r>
      <w:r>
        <w:rPr>
          <w:lang w:val="en-AU"/>
        </w:rPr>
        <w:t>satisfied that, in general, the principles and practices set out in the Capital Investment and Delivery Framework and associated documents broadly accord</w:t>
      </w:r>
      <w:r w:rsidR="00977262">
        <w:rPr>
          <w:lang w:val="en-AU"/>
        </w:rPr>
        <w:t>ed</w:t>
      </w:r>
      <w:r>
        <w:rPr>
          <w:lang w:val="en-AU"/>
        </w:rPr>
        <w:t xml:space="preserve"> with good industry practice and form</w:t>
      </w:r>
      <w:r w:rsidR="00977262">
        <w:rPr>
          <w:lang w:val="en-AU"/>
        </w:rPr>
        <w:t>ed</w:t>
      </w:r>
      <w:r>
        <w:rPr>
          <w:lang w:val="en-AU"/>
        </w:rPr>
        <w:t xml:space="preserve"> a firm basis </w:t>
      </w:r>
      <w:r w:rsidR="00BB4963">
        <w:rPr>
          <w:lang w:val="en-AU"/>
        </w:rPr>
        <w:t xml:space="preserve">for </w:t>
      </w:r>
      <w:r w:rsidR="000F23DB">
        <w:rPr>
          <w:lang w:val="en-AU"/>
        </w:rPr>
        <w:t>PWC Networks to make efficient and prudent capital investment going forward.</w:t>
      </w:r>
    </w:p>
    <w:p w14:paraId="78506312" w14:textId="77777777" w:rsidR="00943603" w:rsidRDefault="00884B6E" w:rsidP="00517937">
      <w:pPr>
        <w:pStyle w:val="UtilComHeading3"/>
        <w:rPr>
          <w:lang w:val="en-AU"/>
        </w:rPr>
      </w:pPr>
      <w:r>
        <w:rPr>
          <w:lang w:val="en-AU"/>
        </w:rPr>
        <w:t>Network user initiated capex</w:t>
      </w:r>
      <w:r w:rsidRPr="00884B6E">
        <w:rPr>
          <w:lang w:val="en-AU"/>
        </w:rPr>
        <w:t xml:space="preserve"> </w:t>
      </w:r>
      <w:r>
        <w:rPr>
          <w:lang w:val="en-AU"/>
        </w:rPr>
        <w:t>and augmentation capex</w:t>
      </w:r>
    </w:p>
    <w:p w14:paraId="3EF59210" w14:textId="5E8A40C0" w:rsidR="00884B6E" w:rsidRDefault="00884B6E" w:rsidP="00346DAA">
      <w:pPr>
        <w:pStyle w:val="NumberLevel2"/>
        <w:numPr>
          <w:ilvl w:val="1"/>
          <w:numId w:val="5"/>
        </w:numPr>
        <w:tabs>
          <w:tab w:val="num" w:pos="709"/>
        </w:tabs>
        <w:ind w:left="709" w:hanging="709"/>
        <w:rPr>
          <w:lang w:val="en-AU"/>
        </w:rPr>
      </w:pPr>
      <w:r>
        <w:rPr>
          <w:lang w:val="en-AU"/>
        </w:rPr>
        <w:t xml:space="preserve">Network user </w:t>
      </w:r>
      <w:r w:rsidR="00520A74">
        <w:rPr>
          <w:lang w:val="en-AU"/>
        </w:rPr>
        <w:t>initiated</w:t>
      </w:r>
      <w:r>
        <w:rPr>
          <w:lang w:val="en-AU"/>
        </w:rPr>
        <w:t xml:space="preserve"> capex is the expenditure required </w:t>
      </w:r>
      <w:r w:rsidR="005E3AB0">
        <w:rPr>
          <w:lang w:val="en-AU"/>
        </w:rPr>
        <w:t xml:space="preserve">to construct assets where </w:t>
      </w:r>
      <w:r w:rsidR="00013B0E">
        <w:rPr>
          <w:lang w:val="en-AU"/>
        </w:rPr>
        <w:t xml:space="preserve">retail </w:t>
      </w:r>
      <w:r w:rsidR="005E3AB0">
        <w:rPr>
          <w:lang w:val="en-AU"/>
        </w:rPr>
        <w:t xml:space="preserve">customers seek extensions and upgrades in accordance with </w:t>
      </w:r>
      <w:r w:rsidR="00B2778B">
        <w:rPr>
          <w:lang w:val="en-AU"/>
        </w:rPr>
        <w:t>PWC </w:t>
      </w:r>
      <w:r w:rsidR="005E3AB0">
        <w:rPr>
          <w:lang w:val="en-AU"/>
        </w:rPr>
        <w:t>Networks</w:t>
      </w:r>
      <w:r w:rsidR="00BB4963">
        <w:rPr>
          <w:lang w:val="en-AU"/>
        </w:rPr>
        <w:t xml:space="preserve">’ </w:t>
      </w:r>
      <w:r w:rsidR="005E3AB0">
        <w:rPr>
          <w:lang w:val="en-AU"/>
        </w:rPr>
        <w:t>NCCP</w:t>
      </w:r>
      <w:r w:rsidR="00977262">
        <w:rPr>
          <w:lang w:val="en-AU"/>
        </w:rPr>
        <w:t>.</w:t>
      </w:r>
      <w:r w:rsidR="00BB4963">
        <w:rPr>
          <w:rStyle w:val="FootnoteReference"/>
          <w:lang w:val="en-AU"/>
        </w:rPr>
        <w:footnoteReference w:id="51"/>
      </w:r>
      <w:r w:rsidR="005E3AB0">
        <w:rPr>
          <w:lang w:val="en-AU"/>
        </w:rPr>
        <w:t xml:space="preserve"> PWC Networks funds that portion of the capex that it can reasonably expect to recover through </w:t>
      </w:r>
      <w:r w:rsidR="00013B0E">
        <w:rPr>
          <w:lang w:val="en-AU"/>
        </w:rPr>
        <w:t xml:space="preserve">reference </w:t>
      </w:r>
      <w:r w:rsidR="005E3AB0">
        <w:rPr>
          <w:lang w:val="en-AU"/>
        </w:rPr>
        <w:t xml:space="preserve">tariffs over time, with the </w:t>
      </w:r>
      <w:r w:rsidR="00013B0E">
        <w:rPr>
          <w:lang w:val="en-AU"/>
        </w:rPr>
        <w:t xml:space="preserve">retail </w:t>
      </w:r>
      <w:r w:rsidR="005E3AB0">
        <w:rPr>
          <w:lang w:val="en-AU"/>
        </w:rPr>
        <w:t>customer making a capital contribution for the cost of the works above this level.</w:t>
      </w:r>
    </w:p>
    <w:p w14:paraId="6DF158A2" w14:textId="3B6E144F" w:rsidR="00B47A29" w:rsidRPr="00B47A29" w:rsidRDefault="00B47A29" w:rsidP="00B47A29">
      <w:pPr>
        <w:pStyle w:val="NumberLevel2"/>
        <w:numPr>
          <w:ilvl w:val="1"/>
          <w:numId w:val="5"/>
        </w:numPr>
        <w:tabs>
          <w:tab w:val="num" w:pos="709"/>
        </w:tabs>
        <w:ind w:left="709" w:hanging="709"/>
        <w:rPr>
          <w:lang w:val="en-AU"/>
        </w:rPr>
      </w:pPr>
      <w:r w:rsidRPr="00B47A29">
        <w:rPr>
          <w:lang w:val="en-AU"/>
        </w:rPr>
        <w:t xml:space="preserve">Augmentation capex </w:t>
      </w:r>
      <w:r w:rsidR="008B7668">
        <w:rPr>
          <w:lang w:val="en-AU"/>
        </w:rPr>
        <w:t xml:space="preserve">is the </w:t>
      </w:r>
      <w:r w:rsidR="00013B0E">
        <w:rPr>
          <w:lang w:val="en-AU"/>
        </w:rPr>
        <w:t xml:space="preserve">capex </w:t>
      </w:r>
      <w:r w:rsidR="008B7668">
        <w:rPr>
          <w:lang w:val="en-AU"/>
        </w:rPr>
        <w:t xml:space="preserve">required to expand the capacity of </w:t>
      </w:r>
      <w:r w:rsidR="00013B0E">
        <w:rPr>
          <w:lang w:val="en-AU"/>
        </w:rPr>
        <w:t xml:space="preserve">PWC Networks’ electricity </w:t>
      </w:r>
      <w:r w:rsidR="008B7668">
        <w:rPr>
          <w:lang w:val="en-AU"/>
        </w:rPr>
        <w:t>network to meet expected load growth.</w:t>
      </w:r>
    </w:p>
    <w:p w14:paraId="5EE24379" w14:textId="49BE2232" w:rsidR="005E3AB0" w:rsidRPr="005E3AB0" w:rsidRDefault="005E3AB0" w:rsidP="00346DAA">
      <w:pPr>
        <w:pStyle w:val="NumberLevel2"/>
        <w:numPr>
          <w:ilvl w:val="1"/>
          <w:numId w:val="5"/>
        </w:numPr>
        <w:tabs>
          <w:tab w:val="num" w:pos="709"/>
        </w:tabs>
        <w:ind w:left="709" w:hanging="709"/>
        <w:rPr>
          <w:lang w:val="en-AU"/>
        </w:rPr>
      </w:pPr>
      <w:r>
        <w:rPr>
          <w:lang w:val="en-AU"/>
        </w:rPr>
        <w:t xml:space="preserve">Network user initiated capex and augmentation capex </w:t>
      </w:r>
      <w:r w:rsidR="00977262">
        <w:rPr>
          <w:lang w:val="en-AU"/>
        </w:rPr>
        <w:t>were</w:t>
      </w:r>
      <w:r>
        <w:rPr>
          <w:lang w:val="en-AU"/>
        </w:rPr>
        <w:t xml:space="preserve"> considered together as they </w:t>
      </w:r>
      <w:r w:rsidR="00BB4963">
        <w:rPr>
          <w:lang w:val="en-AU"/>
        </w:rPr>
        <w:t xml:space="preserve">both </w:t>
      </w:r>
      <w:r>
        <w:rPr>
          <w:lang w:val="en-AU"/>
        </w:rPr>
        <w:t xml:space="preserve">reflect </w:t>
      </w:r>
      <w:r w:rsidR="00BB4963">
        <w:rPr>
          <w:lang w:val="en-AU"/>
        </w:rPr>
        <w:t xml:space="preserve">expected </w:t>
      </w:r>
      <w:r>
        <w:rPr>
          <w:lang w:val="en-AU"/>
        </w:rPr>
        <w:t xml:space="preserve">growth in </w:t>
      </w:r>
      <w:r w:rsidR="00013B0E">
        <w:rPr>
          <w:lang w:val="en-AU"/>
        </w:rPr>
        <w:t xml:space="preserve">PWC Networks’ electricity </w:t>
      </w:r>
      <w:r>
        <w:rPr>
          <w:lang w:val="en-AU"/>
        </w:rPr>
        <w:t>network.</w:t>
      </w:r>
    </w:p>
    <w:p w14:paraId="29436621" w14:textId="42AE06CE" w:rsidR="00E37385" w:rsidRPr="00E37385" w:rsidRDefault="00884B6E" w:rsidP="00346DAA">
      <w:pPr>
        <w:pStyle w:val="NumberLevel2"/>
        <w:numPr>
          <w:ilvl w:val="1"/>
          <w:numId w:val="5"/>
        </w:numPr>
        <w:tabs>
          <w:tab w:val="num" w:pos="709"/>
        </w:tabs>
        <w:ind w:left="709" w:hanging="709"/>
        <w:rPr>
          <w:lang w:val="en-AU"/>
        </w:rPr>
      </w:pPr>
      <w:r w:rsidRPr="00884B6E">
        <w:rPr>
          <w:lang w:val="en-AU"/>
        </w:rPr>
        <w:t xml:space="preserve">Network user initiated capex and augmentation capex </w:t>
      </w:r>
      <w:r w:rsidR="00101EAE" w:rsidRPr="00E37385">
        <w:rPr>
          <w:lang w:val="en-AU"/>
        </w:rPr>
        <w:t>account</w:t>
      </w:r>
      <w:r w:rsidR="00977262">
        <w:rPr>
          <w:lang w:val="en-AU"/>
        </w:rPr>
        <w:t xml:space="preserve">ed </w:t>
      </w:r>
      <w:r w:rsidR="00101EAE" w:rsidRPr="00E37385">
        <w:rPr>
          <w:lang w:val="en-AU"/>
        </w:rPr>
        <w:t xml:space="preserve">for </w:t>
      </w:r>
      <w:r w:rsidR="00013B0E">
        <w:rPr>
          <w:lang w:val="en-AU"/>
        </w:rPr>
        <w:t>35 per </w:t>
      </w:r>
      <w:r w:rsidR="00BB4963">
        <w:rPr>
          <w:lang w:val="en-AU"/>
        </w:rPr>
        <w:t>cent</w:t>
      </w:r>
      <w:r w:rsidR="00101EAE" w:rsidRPr="00E37385">
        <w:rPr>
          <w:lang w:val="en-AU"/>
        </w:rPr>
        <w:t xml:space="preserve"> of PWC Networks forecast capex</w:t>
      </w:r>
      <w:r w:rsidR="00FB3BCD" w:rsidRPr="00E37385">
        <w:rPr>
          <w:lang w:val="en-AU"/>
        </w:rPr>
        <w:t>.</w:t>
      </w:r>
    </w:p>
    <w:p w14:paraId="19B1CC6B" w14:textId="0A74269B" w:rsidR="00E37385" w:rsidRDefault="00E37385" w:rsidP="00346DAA">
      <w:pPr>
        <w:pStyle w:val="NumberLevel2"/>
        <w:numPr>
          <w:ilvl w:val="1"/>
          <w:numId w:val="5"/>
        </w:numPr>
        <w:tabs>
          <w:tab w:val="num" w:pos="709"/>
        </w:tabs>
        <w:ind w:left="709" w:hanging="709"/>
        <w:rPr>
          <w:lang w:val="en-AU"/>
        </w:rPr>
      </w:pPr>
      <w:r>
        <w:rPr>
          <w:lang w:val="en-AU"/>
        </w:rPr>
        <w:t xml:space="preserve">PB examined the </w:t>
      </w:r>
      <w:r w:rsidR="005E3AB0">
        <w:rPr>
          <w:lang w:val="en-AU"/>
        </w:rPr>
        <w:t>largest project associated with network user initiated capex and t</w:t>
      </w:r>
      <w:r w:rsidR="00BB4963">
        <w:rPr>
          <w:lang w:val="en-AU"/>
        </w:rPr>
        <w:t>h</w:t>
      </w:r>
      <w:r w:rsidR="005E3AB0">
        <w:rPr>
          <w:lang w:val="en-AU"/>
        </w:rPr>
        <w:t xml:space="preserve">e </w:t>
      </w:r>
      <w:r>
        <w:rPr>
          <w:lang w:val="en-AU"/>
        </w:rPr>
        <w:t>two largest augmentation capex projects</w:t>
      </w:r>
      <w:r w:rsidR="00013B0E">
        <w:rPr>
          <w:lang w:val="en-AU"/>
        </w:rPr>
        <w:t xml:space="preserve"> which were as follows</w:t>
      </w:r>
      <w:r>
        <w:rPr>
          <w:lang w:val="en-AU"/>
        </w:rPr>
        <w:t>:</w:t>
      </w:r>
    </w:p>
    <w:p w14:paraId="54FBE2D6" w14:textId="77777777" w:rsidR="005E3AB0" w:rsidRPr="00136EF9" w:rsidRDefault="00136EF9" w:rsidP="00346DAA">
      <w:pPr>
        <w:pStyle w:val="UtilComBulletText"/>
        <w:tabs>
          <w:tab w:val="clear" w:pos="964"/>
          <w:tab w:val="num" w:pos="1134"/>
        </w:tabs>
        <w:ind w:left="1134" w:hanging="425"/>
      </w:pPr>
      <w:r>
        <w:t>c</w:t>
      </w:r>
      <w:r w:rsidR="005E3AB0">
        <w:t>ustomer augmentation and network extension program, with forecasts based on historical expenditure, adjusted for proposed changes to the NCCP</w:t>
      </w:r>
      <w:r w:rsidR="00BB4963">
        <w:t>;</w:t>
      </w:r>
      <w:r w:rsidR="005E3AB0">
        <w:t xml:space="preserve"> </w:t>
      </w:r>
    </w:p>
    <w:p w14:paraId="5E3A0DE6" w14:textId="73DECCAB" w:rsidR="00E37385" w:rsidRPr="00E37385" w:rsidRDefault="00136EF9" w:rsidP="00346DAA">
      <w:pPr>
        <w:pStyle w:val="UtilComBulletText"/>
        <w:tabs>
          <w:tab w:val="clear" w:pos="964"/>
          <w:tab w:val="num" w:pos="1134"/>
        </w:tabs>
        <w:ind w:left="1134" w:hanging="425"/>
      </w:pPr>
      <w:r>
        <w:t>c</w:t>
      </w:r>
      <w:r w:rsidR="00E37385" w:rsidRPr="00E37385">
        <w:t xml:space="preserve">onstruction of the East Arm Zone </w:t>
      </w:r>
      <w:r w:rsidR="00013B0E">
        <w:t>S</w:t>
      </w:r>
      <w:r w:rsidR="00013B0E" w:rsidRPr="00E37385">
        <w:t>ubstation</w:t>
      </w:r>
      <w:r w:rsidR="00E37385" w:rsidRPr="00E37385">
        <w:t>, to address emerging capacity constraints for the Berrimah Zone Substation and the Palmerston Zone substation and constraints on 11kV feeders that are resulting in quality of supply issues; and</w:t>
      </w:r>
    </w:p>
    <w:p w14:paraId="74340871" w14:textId="77777777" w:rsidR="00E37385" w:rsidRDefault="00136EF9" w:rsidP="00346DAA">
      <w:pPr>
        <w:pStyle w:val="UtilComBulletText"/>
        <w:tabs>
          <w:tab w:val="clear" w:pos="964"/>
          <w:tab w:val="num" w:pos="1134"/>
        </w:tabs>
        <w:ind w:left="1134" w:hanging="425"/>
      </w:pPr>
      <w:r>
        <w:t>c</w:t>
      </w:r>
      <w:r w:rsidR="00E37385" w:rsidRPr="00E37385">
        <w:t>onstruction of the Archer to Palmerston 66kV line, to address an expected growth rate of 3.2</w:t>
      </w:r>
      <w:r w:rsidR="00346DAA">
        <w:t xml:space="preserve"> per cent</w:t>
      </w:r>
      <w:r w:rsidR="00E37385" w:rsidRPr="00E37385">
        <w:t xml:space="preserve"> in the Palmerston, McMinn and Humpty Doo areas.</w:t>
      </w:r>
    </w:p>
    <w:p w14:paraId="0B34D9BB" w14:textId="005FCE51" w:rsidR="00E37385" w:rsidRPr="00FB1564" w:rsidRDefault="0036612C" w:rsidP="00346DAA">
      <w:pPr>
        <w:pStyle w:val="NumberLevel2"/>
        <w:numPr>
          <w:ilvl w:val="1"/>
          <w:numId w:val="5"/>
        </w:numPr>
        <w:tabs>
          <w:tab w:val="num" w:pos="709"/>
        </w:tabs>
        <w:ind w:left="709" w:hanging="709"/>
        <w:rPr>
          <w:lang w:val="en-AU"/>
        </w:rPr>
      </w:pPr>
      <w:r>
        <w:rPr>
          <w:lang w:val="en-AU"/>
        </w:rPr>
        <w:t>The</w:t>
      </w:r>
      <w:r w:rsidR="00D86DAD" w:rsidRPr="00FB1564">
        <w:rPr>
          <w:lang w:val="en-AU"/>
        </w:rPr>
        <w:t xml:space="preserve"> Commission </w:t>
      </w:r>
      <w:r w:rsidR="00C73B40" w:rsidRPr="00FB1564">
        <w:rPr>
          <w:lang w:val="en-AU"/>
        </w:rPr>
        <w:t>consider</w:t>
      </w:r>
      <w:r w:rsidR="00C73B40">
        <w:rPr>
          <w:lang w:val="en-AU"/>
        </w:rPr>
        <w:t>ed</w:t>
      </w:r>
      <w:r w:rsidR="00C73B40" w:rsidRPr="00FB1564">
        <w:rPr>
          <w:lang w:val="en-AU"/>
        </w:rPr>
        <w:t xml:space="preserve"> </w:t>
      </w:r>
      <w:r w:rsidR="00CB258F" w:rsidRPr="00FB1564">
        <w:rPr>
          <w:lang w:val="en-AU"/>
        </w:rPr>
        <w:t xml:space="preserve">that </w:t>
      </w:r>
      <w:r w:rsidR="00D86DAD" w:rsidRPr="00FB1564">
        <w:rPr>
          <w:lang w:val="en-AU"/>
        </w:rPr>
        <w:t>these projects</w:t>
      </w:r>
      <w:r w:rsidR="00CB258F" w:rsidRPr="00FB1564">
        <w:rPr>
          <w:lang w:val="en-AU"/>
        </w:rPr>
        <w:t>, while</w:t>
      </w:r>
      <w:r w:rsidR="00D86DAD" w:rsidRPr="00FB1564">
        <w:rPr>
          <w:lang w:val="en-AU"/>
        </w:rPr>
        <w:t xml:space="preserve"> prudent, </w:t>
      </w:r>
      <w:r w:rsidR="00013B0E">
        <w:rPr>
          <w:lang w:val="en-AU"/>
        </w:rPr>
        <w:t>were</w:t>
      </w:r>
      <w:r w:rsidR="00013B0E" w:rsidRPr="00FB1564">
        <w:rPr>
          <w:lang w:val="en-AU"/>
        </w:rPr>
        <w:t xml:space="preserve"> </w:t>
      </w:r>
      <w:r w:rsidR="00D86DAD" w:rsidRPr="00FB1564">
        <w:rPr>
          <w:lang w:val="en-AU"/>
        </w:rPr>
        <w:t>not efficient</w:t>
      </w:r>
      <w:r w:rsidR="005E3AB0" w:rsidRPr="00FB1564">
        <w:rPr>
          <w:lang w:val="en-AU"/>
        </w:rPr>
        <w:t xml:space="preserve">. </w:t>
      </w:r>
      <w:r w:rsidR="00013B0E">
        <w:rPr>
          <w:lang w:val="en-AU"/>
        </w:rPr>
        <w:t>The Commission decided that n</w:t>
      </w:r>
      <w:r w:rsidR="00013B0E" w:rsidRPr="00FB1564">
        <w:rPr>
          <w:lang w:val="en-AU"/>
        </w:rPr>
        <w:t xml:space="preserve">etwork </w:t>
      </w:r>
      <w:r w:rsidR="005E3AB0" w:rsidRPr="00FB1564">
        <w:rPr>
          <w:lang w:val="en-AU"/>
        </w:rPr>
        <w:t xml:space="preserve">user initiated capex should be reduced </w:t>
      </w:r>
      <w:r w:rsidR="00FB1564" w:rsidRPr="00FB1564">
        <w:rPr>
          <w:lang w:val="en-AU"/>
        </w:rPr>
        <w:t>based on</w:t>
      </w:r>
      <w:r w:rsidR="005E3AB0" w:rsidRPr="00FB1564">
        <w:rPr>
          <w:lang w:val="en-AU"/>
        </w:rPr>
        <w:t xml:space="preserve"> actual 2012-13 </w:t>
      </w:r>
      <w:r w:rsidR="00013B0E">
        <w:rPr>
          <w:lang w:val="en-AU"/>
        </w:rPr>
        <w:t>capex</w:t>
      </w:r>
      <w:r w:rsidR="00210E83">
        <w:rPr>
          <w:lang w:val="en-AU"/>
        </w:rPr>
        <w:t xml:space="preserve">, construction of the East Arm Zone </w:t>
      </w:r>
      <w:r w:rsidR="00013B0E">
        <w:rPr>
          <w:lang w:val="en-AU"/>
        </w:rPr>
        <w:t>Substation</w:t>
      </w:r>
      <w:r w:rsidR="00013B0E" w:rsidRPr="00FB1564">
        <w:rPr>
          <w:lang w:val="en-AU"/>
        </w:rPr>
        <w:t xml:space="preserve"> </w:t>
      </w:r>
      <w:r w:rsidR="00CB258F" w:rsidRPr="00FB1564">
        <w:rPr>
          <w:lang w:val="en-AU"/>
        </w:rPr>
        <w:t>should</w:t>
      </w:r>
      <w:r w:rsidR="00D86DAD" w:rsidRPr="00FB1564">
        <w:rPr>
          <w:lang w:val="en-AU"/>
        </w:rPr>
        <w:t xml:space="preserve"> be deferred to </w:t>
      </w:r>
      <w:r w:rsidR="00013B0E">
        <w:rPr>
          <w:lang w:val="en-AU"/>
        </w:rPr>
        <w:t>the Post 2019 regulatory control period</w:t>
      </w:r>
      <w:r w:rsidR="00210E83" w:rsidRPr="00FB1564">
        <w:rPr>
          <w:lang w:val="en-AU"/>
        </w:rPr>
        <w:t xml:space="preserve"> </w:t>
      </w:r>
      <w:r w:rsidR="00D86DAD" w:rsidRPr="00FB1564">
        <w:rPr>
          <w:lang w:val="en-AU"/>
        </w:rPr>
        <w:t xml:space="preserve">and </w:t>
      </w:r>
      <w:r w:rsidR="00210E83">
        <w:rPr>
          <w:lang w:val="en-AU"/>
        </w:rPr>
        <w:t>construction of the Archer to Palmerston 66</w:t>
      </w:r>
      <w:r w:rsidR="00013B0E">
        <w:rPr>
          <w:lang w:val="en-AU"/>
        </w:rPr>
        <w:t> </w:t>
      </w:r>
      <w:r w:rsidR="00210E83">
        <w:rPr>
          <w:lang w:val="en-AU"/>
        </w:rPr>
        <w:t xml:space="preserve">kV line should be deferred </w:t>
      </w:r>
      <w:r w:rsidR="00D86DAD" w:rsidRPr="00FB1564">
        <w:rPr>
          <w:lang w:val="en-AU"/>
        </w:rPr>
        <w:t xml:space="preserve">by two </w:t>
      </w:r>
      <w:r w:rsidR="00013B0E">
        <w:rPr>
          <w:lang w:val="en-AU"/>
        </w:rPr>
        <w:t xml:space="preserve">regulatory </w:t>
      </w:r>
      <w:r w:rsidR="00D86DAD" w:rsidRPr="00FB1564">
        <w:rPr>
          <w:lang w:val="en-AU"/>
        </w:rPr>
        <w:t>years.</w:t>
      </w:r>
      <w:r w:rsidR="005E3AB0" w:rsidRPr="00FB1564">
        <w:rPr>
          <w:lang w:val="en-AU"/>
        </w:rPr>
        <w:t xml:space="preserve"> </w:t>
      </w:r>
    </w:p>
    <w:p w14:paraId="05918605" w14:textId="77777777" w:rsidR="00943603" w:rsidRDefault="00943603" w:rsidP="00517937">
      <w:pPr>
        <w:pStyle w:val="UtilComHeading3"/>
        <w:rPr>
          <w:lang w:val="en-AU"/>
        </w:rPr>
      </w:pPr>
      <w:r>
        <w:rPr>
          <w:lang w:val="en-AU"/>
        </w:rPr>
        <w:t>Replacement capex</w:t>
      </w:r>
    </w:p>
    <w:p w14:paraId="3ACF324D" w14:textId="0014B7BE" w:rsidR="00884B6E" w:rsidRPr="00E37385" w:rsidRDefault="00884B6E" w:rsidP="00346DAA">
      <w:pPr>
        <w:pStyle w:val="NumberLevel2"/>
        <w:numPr>
          <w:ilvl w:val="1"/>
          <w:numId w:val="5"/>
        </w:numPr>
        <w:tabs>
          <w:tab w:val="num" w:pos="709"/>
        </w:tabs>
        <w:ind w:left="709" w:hanging="709"/>
        <w:rPr>
          <w:lang w:val="en-AU"/>
        </w:rPr>
      </w:pPr>
      <w:r>
        <w:rPr>
          <w:lang w:val="en-AU"/>
        </w:rPr>
        <w:t>Replacement</w:t>
      </w:r>
      <w:r w:rsidRPr="00E37385">
        <w:rPr>
          <w:lang w:val="en-AU"/>
        </w:rPr>
        <w:t xml:space="preserve"> capex account</w:t>
      </w:r>
      <w:r w:rsidR="00977262">
        <w:rPr>
          <w:lang w:val="en-AU"/>
        </w:rPr>
        <w:t xml:space="preserve">ed </w:t>
      </w:r>
      <w:r w:rsidRPr="00E37385">
        <w:rPr>
          <w:lang w:val="en-AU"/>
        </w:rPr>
        <w:t xml:space="preserve">for </w:t>
      </w:r>
      <w:r w:rsidR="00013B0E">
        <w:rPr>
          <w:lang w:val="en-AU"/>
        </w:rPr>
        <w:t>49 per </w:t>
      </w:r>
      <w:r w:rsidR="00BB4963">
        <w:rPr>
          <w:lang w:val="en-AU"/>
        </w:rPr>
        <w:t>cent</w:t>
      </w:r>
      <w:r w:rsidRPr="00E37385">
        <w:rPr>
          <w:lang w:val="en-AU"/>
        </w:rPr>
        <w:t xml:space="preserve"> of PWC Networks</w:t>
      </w:r>
      <w:r w:rsidR="00977262">
        <w:rPr>
          <w:lang w:val="en-AU"/>
        </w:rPr>
        <w:t>’</w:t>
      </w:r>
      <w:r w:rsidRPr="00E37385">
        <w:rPr>
          <w:lang w:val="en-AU"/>
        </w:rPr>
        <w:t xml:space="preserve"> forecast capex.</w:t>
      </w:r>
      <w:r>
        <w:rPr>
          <w:lang w:val="en-AU"/>
        </w:rPr>
        <w:t xml:space="preserve"> </w:t>
      </w:r>
      <w:r w:rsidR="00FF0F5B">
        <w:rPr>
          <w:lang w:val="en-AU"/>
        </w:rPr>
        <w:t xml:space="preserve">The primary driver of </w:t>
      </w:r>
      <w:r w:rsidR="00013B0E">
        <w:rPr>
          <w:lang w:val="en-AU"/>
        </w:rPr>
        <w:t xml:space="preserve">PWC Networks’ </w:t>
      </w:r>
      <w:r w:rsidR="00FF0F5B">
        <w:rPr>
          <w:lang w:val="en-AU"/>
        </w:rPr>
        <w:t xml:space="preserve">replacement capex forecast </w:t>
      </w:r>
      <w:r w:rsidR="00013B0E">
        <w:rPr>
          <w:lang w:val="en-AU"/>
        </w:rPr>
        <w:t xml:space="preserve">was </w:t>
      </w:r>
      <w:r w:rsidR="00FF0F5B">
        <w:rPr>
          <w:lang w:val="en-AU"/>
        </w:rPr>
        <w:t>the condition of the assets and the increased risk that is introduced by the condition of the assets.</w:t>
      </w:r>
    </w:p>
    <w:p w14:paraId="39C98E90" w14:textId="7207B0CD" w:rsidR="00884B6E" w:rsidRDefault="00884B6E" w:rsidP="00346DAA">
      <w:pPr>
        <w:pStyle w:val="NumberLevel2"/>
        <w:numPr>
          <w:ilvl w:val="1"/>
          <w:numId w:val="5"/>
        </w:numPr>
        <w:tabs>
          <w:tab w:val="num" w:pos="709"/>
        </w:tabs>
        <w:ind w:left="709" w:hanging="709"/>
        <w:rPr>
          <w:lang w:val="en-AU"/>
        </w:rPr>
      </w:pPr>
      <w:r>
        <w:rPr>
          <w:lang w:val="en-AU"/>
        </w:rPr>
        <w:t xml:space="preserve">PB examined the </w:t>
      </w:r>
      <w:r w:rsidR="00FF0F5B">
        <w:rPr>
          <w:lang w:val="en-AU"/>
        </w:rPr>
        <w:t>six</w:t>
      </w:r>
      <w:r>
        <w:rPr>
          <w:lang w:val="en-AU"/>
        </w:rPr>
        <w:t xml:space="preserve"> largest </w:t>
      </w:r>
      <w:r w:rsidR="00FF0F5B">
        <w:rPr>
          <w:lang w:val="en-AU"/>
        </w:rPr>
        <w:t>replacement</w:t>
      </w:r>
      <w:r>
        <w:rPr>
          <w:lang w:val="en-AU"/>
        </w:rPr>
        <w:t xml:space="preserve"> capex projects</w:t>
      </w:r>
      <w:r w:rsidR="00013B0E">
        <w:rPr>
          <w:lang w:val="en-AU"/>
        </w:rPr>
        <w:t xml:space="preserve"> which were as follows</w:t>
      </w:r>
      <w:r>
        <w:rPr>
          <w:lang w:val="en-AU"/>
        </w:rPr>
        <w:t>:</w:t>
      </w:r>
    </w:p>
    <w:p w14:paraId="046EF4F2" w14:textId="77777777" w:rsidR="00FF0F5B" w:rsidRDefault="00BB4963" w:rsidP="00346DAA">
      <w:pPr>
        <w:pStyle w:val="UtilComBulletText"/>
        <w:tabs>
          <w:tab w:val="clear" w:pos="964"/>
          <w:tab w:val="num" w:pos="1134"/>
        </w:tabs>
        <w:ind w:left="1134" w:hanging="425"/>
      </w:pPr>
      <w:r>
        <w:t xml:space="preserve">replacement </w:t>
      </w:r>
      <w:r w:rsidR="00FF0F5B">
        <w:t>of Casuarina Zone Substation 66kv Outdoor Switchyard, to address risk of asset failure;</w:t>
      </w:r>
    </w:p>
    <w:p w14:paraId="2FB79818" w14:textId="77777777" w:rsidR="00FF0F5B" w:rsidRDefault="00BB4963" w:rsidP="00346DAA">
      <w:pPr>
        <w:pStyle w:val="UtilComBulletText"/>
        <w:tabs>
          <w:tab w:val="clear" w:pos="964"/>
          <w:tab w:val="num" w:pos="1134"/>
        </w:tabs>
        <w:ind w:left="1134" w:hanging="425"/>
      </w:pPr>
      <w:r>
        <w:t xml:space="preserve">replacement </w:t>
      </w:r>
      <w:r w:rsidR="00FF0F5B">
        <w:t>of McMinns 66/22kV Zone Substation, to address risk of asset failure;</w:t>
      </w:r>
    </w:p>
    <w:p w14:paraId="3152A2B1" w14:textId="77777777" w:rsidR="00FF0F5B" w:rsidRDefault="00BB4963" w:rsidP="00346DAA">
      <w:pPr>
        <w:pStyle w:val="UtilComBulletText"/>
        <w:tabs>
          <w:tab w:val="clear" w:pos="964"/>
          <w:tab w:val="num" w:pos="1134"/>
        </w:tabs>
        <w:ind w:left="1134" w:hanging="425"/>
      </w:pPr>
      <w:r>
        <w:t xml:space="preserve">replacement </w:t>
      </w:r>
      <w:r w:rsidR="00FF0F5B">
        <w:t xml:space="preserve">of Berrimah Zone Substation, to address risk of asset failure </w:t>
      </w:r>
      <w:r w:rsidR="00DB1C31">
        <w:t>and emerging capacity constraints;</w:t>
      </w:r>
    </w:p>
    <w:p w14:paraId="4A382F33" w14:textId="6AB9C623" w:rsidR="00FF0F5B" w:rsidRDefault="00BB4963" w:rsidP="00346DAA">
      <w:pPr>
        <w:pStyle w:val="UtilComBulletText"/>
        <w:tabs>
          <w:tab w:val="clear" w:pos="964"/>
          <w:tab w:val="num" w:pos="1134"/>
        </w:tabs>
        <w:ind w:left="1134" w:hanging="425"/>
      </w:pPr>
      <w:r>
        <w:t xml:space="preserve">new </w:t>
      </w:r>
      <w:r w:rsidR="00FF0F5B">
        <w:t xml:space="preserve">Mitchell Street </w:t>
      </w:r>
      <w:r w:rsidR="00013B0E">
        <w:t>Switching Station</w:t>
      </w:r>
      <w:r w:rsidR="00DB1C31">
        <w:t xml:space="preserve">, to address </w:t>
      </w:r>
      <w:r w:rsidR="00013B0E">
        <w:t xml:space="preserve">a </w:t>
      </w:r>
      <w:r w:rsidR="00DB1C31">
        <w:t>possible  need to vacate premises;</w:t>
      </w:r>
    </w:p>
    <w:p w14:paraId="68779BA1" w14:textId="0FB1E74A" w:rsidR="00FF0F5B" w:rsidRDefault="00BB4963" w:rsidP="00346DAA">
      <w:pPr>
        <w:pStyle w:val="UtilComBulletText"/>
        <w:tabs>
          <w:tab w:val="clear" w:pos="964"/>
          <w:tab w:val="num" w:pos="1134"/>
        </w:tabs>
        <w:ind w:left="1134" w:hanging="425"/>
      </w:pPr>
      <w:r>
        <w:t xml:space="preserve">asset replacement </w:t>
      </w:r>
      <w:r w:rsidR="00FF0F5B">
        <w:t xml:space="preserve">and </w:t>
      </w:r>
      <w:r>
        <w:t xml:space="preserve">upgrade programs </w:t>
      </w:r>
      <w:r w:rsidR="00DB1C31">
        <w:t>composed of 19 sub-programs to replace non-major assets;</w:t>
      </w:r>
      <w:r w:rsidR="00FD5D58">
        <w:t xml:space="preserve"> and</w:t>
      </w:r>
    </w:p>
    <w:p w14:paraId="4F9A631A" w14:textId="73F327F8" w:rsidR="00884B6E" w:rsidRPr="00E37385" w:rsidRDefault="00013B0E" w:rsidP="00346DAA">
      <w:pPr>
        <w:pStyle w:val="UtilComBulletText"/>
        <w:tabs>
          <w:tab w:val="clear" w:pos="964"/>
          <w:tab w:val="num" w:pos="1134"/>
        </w:tabs>
        <w:ind w:left="1134" w:hanging="425"/>
      </w:pPr>
      <w:r>
        <w:t>meters</w:t>
      </w:r>
      <w:r w:rsidR="00FF0F5B">
        <w:t>/</w:t>
      </w:r>
      <w:r w:rsidR="00BB4963">
        <w:t xml:space="preserve">metering program </w:t>
      </w:r>
      <w:r w:rsidR="00DB1C31">
        <w:t>composed of four sub-programs – new meter installations, meter replacements, pre-payment meter replacements and smart metering trial.</w:t>
      </w:r>
    </w:p>
    <w:p w14:paraId="70D8C0B2" w14:textId="52514D94" w:rsidR="00FF0F5B" w:rsidRPr="00FF0F5B" w:rsidRDefault="00FF0F5B" w:rsidP="00346DAA">
      <w:pPr>
        <w:pStyle w:val="NumberLevel2"/>
        <w:numPr>
          <w:ilvl w:val="1"/>
          <w:numId w:val="5"/>
        </w:numPr>
        <w:tabs>
          <w:tab w:val="num" w:pos="709"/>
        </w:tabs>
        <w:ind w:left="709" w:hanging="709"/>
        <w:rPr>
          <w:lang w:val="en-AU"/>
        </w:rPr>
      </w:pPr>
      <w:r>
        <w:rPr>
          <w:lang w:val="en-AU"/>
        </w:rPr>
        <w:t xml:space="preserve">PB </w:t>
      </w:r>
      <w:r w:rsidRPr="00FF0F5B">
        <w:rPr>
          <w:lang w:val="en-AU"/>
        </w:rPr>
        <w:t xml:space="preserve">noted that the forecast replacement capex profile </w:t>
      </w:r>
      <w:r w:rsidR="00013B0E">
        <w:rPr>
          <w:lang w:val="en-AU"/>
        </w:rPr>
        <w:t>was</w:t>
      </w:r>
      <w:r w:rsidR="00013B0E" w:rsidRPr="00FF0F5B">
        <w:rPr>
          <w:lang w:val="en-AU"/>
        </w:rPr>
        <w:t xml:space="preserve"> </w:t>
      </w:r>
      <w:r w:rsidRPr="00FF0F5B">
        <w:rPr>
          <w:lang w:val="en-AU"/>
        </w:rPr>
        <w:t>relatively ‘front loaded’.</w:t>
      </w:r>
    </w:p>
    <w:p w14:paraId="46656E37" w14:textId="450906CF" w:rsidR="006D3DB2" w:rsidRDefault="0036612C" w:rsidP="00346DAA">
      <w:pPr>
        <w:pStyle w:val="NumberLevel2"/>
        <w:numPr>
          <w:ilvl w:val="1"/>
          <w:numId w:val="5"/>
        </w:numPr>
        <w:tabs>
          <w:tab w:val="num" w:pos="709"/>
        </w:tabs>
        <w:ind w:left="709" w:hanging="709"/>
        <w:rPr>
          <w:lang w:val="en-AU"/>
        </w:rPr>
      </w:pPr>
      <w:r>
        <w:rPr>
          <w:lang w:val="en-AU"/>
        </w:rPr>
        <w:t>The</w:t>
      </w:r>
      <w:r w:rsidR="00FF0F5B" w:rsidRPr="00FB1564">
        <w:rPr>
          <w:lang w:val="en-AU"/>
        </w:rPr>
        <w:t xml:space="preserve"> Commission </w:t>
      </w:r>
      <w:r w:rsidR="00C73B40" w:rsidRPr="00FB1564">
        <w:rPr>
          <w:lang w:val="en-AU"/>
        </w:rPr>
        <w:t>consider</w:t>
      </w:r>
      <w:r w:rsidR="00C73B40">
        <w:rPr>
          <w:lang w:val="en-AU"/>
        </w:rPr>
        <w:t>ed</w:t>
      </w:r>
      <w:r w:rsidR="00C73B40" w:rsidRPr="00FB1564">
        <w:rPr>
          <w:lang w:val="en-AU"/>
        </w:rPr>
        <w:t xml:space="preserve"> </w:t>
      </w:r>
      <w:r w:rsidR="00FF0F5B" w:rsidRPr="00FB1564">
        <w:rPr>
          <w:lang w:val="en-AU"/>
        </w:rPr>
        <w:t xml:space="preserve">that these projects, while </w:t>
      </w:r>
      <w:r w:rsidR="00DB1C31">
        <w:rPr>
          <w:lang w:val="en-AU"/>
        </w:rPr>
        <w:t xml:space="preserve">mostly </w:t>
      </w:r>
      <w:r w:rsidR="00FF0F5B" w:rsidRPr="00FB1564">
        <w:rPr>
          <w:lang w:val="en-AU"/>
        </w:rPr>
        <w:t xml:space="preserve">prudent, </w:t>
      </w:r>
      <w:r w:rsidR="00013B0E">
        <w:rPr>
          <w:lang w:val="en-AU"/>
        </w:rPr>
        <w:t>were</w:t>
      </w:r>
      <w:r w:rsidR="00013B0E" w:rsidRPr="00FB1564">
        <w:rPr>
          <w:lang w:val="en-AU"/>
        </w:rPr>
        <w:t xml:space="preserve"> </w:t>
      </w:r>
      <w:r w:rsidR="00FF0F5B" w:rsidRPr="00FB1564">
        <w:rPr>
          <w:lang w:val="en-AU"/>
        </w:rPr>
        <w:t>not efficient</w:t>
      </w:r>
      <w:r w:rsidR="00DB1C31">
        <w:rPr>
          <w:lang w:val="en-AU"/>
        </w:rPr>
        <w:t xml:space="preserve"> and contain</w:t>
      </w:r>
      <w:r w:rsidR="00013B0E">
        <w:rPr>
          <w:lang w:val="en-AU"/>
        </w:rPr>
        <w:t>ed</w:t>
      </w:r>
      <w:r w:rsidR="00DB1C31">
        <w:rPr>
          <w:lang w:val="en-AU"/>
        </w:rPr>
        <w:t xml:space="preserve"> some unnecessary expenditure</w:t>
      </w:r>
      <w:r w:rsidR="00FF0F5B" w:rsidRPr="00FB1564">
        <w:rPr>
          <w:lang w:val="en-AU"/>
        </w:rPr>
        <w:t xml:space="preserve">. </w:t>
      </w:r>
      <w:r w:rsidR="00DB1C31">
        <w:rPr>
          <w:lang w:val="en-AU"/>
        </w:rPr>
        <w:t xml:space="preserve">The Commission </w:t>
      </w:r>
      <w:r w:rsidR="00C73B40">
        <w:rPr>
          <w:lang w:val="en-AU"/>
        </w:rPr>
        <w:t xml:space="preserve">considered </w:t>
      </w:r>
      <w:r w:rsidR="00DB1C31">
        <w:rPr>
          <w:lang w:val="en-AU"/>
        </w:rPr>
        <w:t xml:space="preserve">that </w:t>
      </w:r>
      <w:r w:rsidR="006D3DB2">
        <w:rPr>
          <w:lang w:val="en-AU"/>
        </w:rPr>
        <w:t xml:space="preserve">prudent and efficient replacement capex would be achieved by deferring works at the Casuarina and Berrimah Zone </w:t>
      </w:r>
      <w:r w:rsidR="00013B0E">
        <w:rPr>
          <w:lang w:val="en-AU"/>
        </w:rPr>
        <w:t xml:space="preserve">Substations </w:t>
      </w:r>
      <w:r w:rsidR="006D3DB2">
        <w:rPr>
          <w:lang w:val="en-AU"/>
        </w:rPr>
        <w:t xml:space="preserve">by one and two </w:t>
      </w:r>
      <w:r w:rsidR="00013B0E">
        <w:rPr>
          <w:lang w:val="en-AU"/>
        </w:rPr>
        <w:t xml:space="preserve">regulatory </w:t>
      </w:r>
      <w:r w:rsidR="006D3DB2">
        <w:rPr>
          <w:lang w:val="en-AU"/>
        </w:rPr>
        <w:t>years respectively, removing some su</w:t>
      </w:r>
      <w:r w:rsidR="00717FBA">
        <w:rPr>
          <w:lang w:val="en-AU"/>
        </w:rPr>
        <w:t>b</w:t>
      </w:r>
      <w:r w:rsidR="006D3DB2">
        <w:rPr>
          <w:lang w:val="en-AU"/>
        </w:rPr>
        <w:t xml:space="preserve">-programs as unnecessary in the </w:t>
      </w:r>
      <w:r w:rsidR="008B7668">
        <w:rPr>
          <w:lang w:val="en-AU"/>
        </w:rPr>
        <w:t xml:space="preserve">2014-19 </w:t>
      </w:r>
      <w:r w:rsidR="006D3DB2">
        <w:rPr>
          <w:lang w:val="en-AU"/>
        </w:rPr>
        <w:t>regulatory control period, and reducing PWC Networks</w:t>
      </w:r>
      <w:r w:rsidR="00717FBA">
        <w:rPr>
          <w:lang w:val="en-AU"/>
        </w:rPr>
        <w:t>’</w:t>
      </w:r>
      <w:r w:rsidR="006D3DB2">
        <w:rPr>
          <w:lang w:val="en-AU"/>
        </w:rPr>
        <w:t xml:space="preserve"> estimates of unit rate costs.</w:t>
      </w:r>
      <w:r w:rsidR="00717FBA">
        <w:rPr>
          <w:lang w:val="en-AU"/>
        </w:rPr>
        <w:t xml:space="preserve"> </w:t>
      </w:r>
    </w:p>
    <w:p w14:paraId="3C421011" w14:textId="187A71FD" w:rsidR="00FF0F5B" w:rsidRPr="00FB1564" w:rsidRDefault="006D3DB2" w:rsidP="00346DAA">
      <w:pPr>
        <w:pStyle w:val="NumberLevel2"/>
        <w:numPr>
          <w:ilvl w:val="1"/>
          <w:numId w:val="5"/>
        </w:numPr>
        <w:tabs>
          <w:tab w:val="num" w:pos="709"/>
        </w:tabs>
        <w:ind w:left="709" w:hanging="709"/>
        <w:rPr>
          <w:lang w:val="en-AU"/>
        </w:rPr>
      </w:pPr>
      <w:r>
        <w:rPr>
          <w:lang w:val="en-AU"/>
        </w:rPr>
        <w:t xml:space="preserve">With respect to the Mitchell Street </w:t>
      </w:r>
      <w:r w:rsidR="00013B0E">
        <w:rPr>
          <w:lang w:val="en-AU"/>
        </w:rPr>
        <w:t>Switching Station</w:t>
      </w:r>
      <w:r>
        <w:rPr>
          <w:lang w:val="en-AU"/>
        </w:rPr>
        <w:t xml:space="preserve">, </w:t>
      </w:r>
      <w:r w:rsidR="00FA67BA">
        <w:rPr>
          <w:lang w:val="en-AU"/>
        </w:rPr>
        <w:t xml:space="preserve">the Commission </w:t>
      </w:r>
      <w:r w:rsidR="00C73B40">
        <w:rPr>
          <w:lang w:val="en-AU"/>
        </w:rPr>
        <w:t xml:space="preserve">noted </w:t>
      </w:r>
      <w:r w:rsidR="00FA67BA">
        <w:rPr>
          <w:lang w:val="en-AU"/>
        </w:rPr>
        <w:t xml:space="preserve">that PWC Networks </w:t>
      </w:r>
      <w:r w:rsidR="00977262">
        <w:rPr>
          <w:lang w:val="en-AU"/>
        </w:rPr>
        <w:t xml:space="preserve">was </w:t>
      </w:r>
      <w:r w:rsidR="00FA67BA">
        <w:rPr>
          <w:lang w:val="en-AU"/>
        </w:rPr>
        <w:t xml:space="preserve">still in negotiations with the City </w:t>
      </w:r>
      <w:r w:rsidR="00BB4963">
        <w:rPr>
          <w:lang w:val="en-AU"/>
        </w:rPr>
        <w:t xml:space="preserve">of Darwin </w:t>
      </w:r>
      <w:r w:rsidR="00FA67BA">
        <w:rPr>
          <w:lang w:val="en-AU"/>
        </w:rPr>
        <w:t>Council and m</w:t>
      </w:r>
      <w:r w:rsidR="00977262">
        <w:rPr>
          <w:lang w:val="en-AU"/>
        </w:rPr>
        <w:t xml:space="preserve">ight </w:t>
      </w:r>
      <w:r w:rsidR="00FA67BA">
        <w:rPr>
          <w:lang w:val="en-AU"/>
        </w:rPr>
        <w:t>reach an agreement</w:t>
      </w:r>
      <w:r w:rsidR="00717FBA">
        <w:rPr>
          <w:lang w:val="en-AU"/>
        </w:rPr>
        <w:t xml:space="preserve"> for</w:t>
      </w:r>
      <w:r w:rsidR="00FA67BA">
        <w:rPr>
          <w:lang w:val="en-AU"/>
        </w:rPr>
        <w:t xml:space="preserve"> operation at the current site to continue. Accordingly, this forecast </w:t>
      </w:r>
      <w:r w:rsidR="00013B0E">
        <w:rPr>
          <w:lang w:val="en-AU"/>
        </w:rPr>
        <w:t xml:space="preserve">capex </w:t>
      </w:r>
      <w:r w:rsidR="00C73B40">
        <w:rPr>
          <w:lang w:val="en-AU"/>
        </w:rPr>
        <w:t>was</w:t>
      </w:r>
      <w:r w:rsidR="00FA67BA">
        <w:rPr>
          <w:lang w:val="en-AU"/>
        </w:rPr>
        <w:t xml:space="preserve"> excluded. The Commission </w:t>
      </w:r>
      <w:r w:rsidR="00C73B40">
        <w:rPr>
          <w:lang w:val="en-AU"/>
        </w:rPr>
        <w:t xml:space="preserve">advised that it would </w:t>
      </w:r>
      <w:r w:rsidR="00FA67BA">
        <w:rPr>
          <w:lang w:val="en-AU"/>
        </w:rPr>
        <w:t xml:space="preserve">give consideration to including this as a contingent project </w:t>
      </w:r>
      <w:r w:rsidR="00977262">
        <w:rPr>
          <w:lang w:val="en-AU"/>
        </w:rPr>
        <w:t xml:space="preserve">when </w:t>
      </w:r>
      <w:r w:rsidR="00717FBA">
        <w:rPr>
          <w:lang w:val="en-AU"/>
        </w:rPr>
        <w:t xml:space="preserve">there </w:t>
      </w:r>
      <w:r w:rsidR="00013B0E">
        <w:rPr>
          <w:lang w:val="en-AU"/>
        </w:rPr>
        <w:t xml:space="preserve">was </w:t>
      </w:r>
      <w:r w:rsidR="00FA67BA">
        <w:rPr>
          <w:lang w:val="en-AU"/>
        </w:rPr>
        <w:t xml:space="preserve">legal clarification of the scope for such arrangements </w:t>
      </w:r>
      <w:r w:rsidR="00013B0E">
        <w:rPr>
          <w:lang w:val="en-AU"/>
        </w:rPr>
        <w:t>to be included in the 2014 Network Price Determination</w:t>
      </w:r>
      <w:r w:rsidR="00FA67BA">
        <w:rPr>
          <w:lang w:val="en-AU"/>
        </w:rPr>
        <w:t>.</w:t>
      </w:r>
    </w:p>
    <w:p w14:paraId="4D6F3F15" w14:textId="2B6B23AB" w:rsidR="00FA67BA" w:rsidRDefault="00FA67BA" w:rsidP="00346DAA">
      <w:pPr>
        <w:pStyle w:val="NumberLevel2"/>
        <w:numPr>
          <w:ilvl w:val="1"/>
          <w:numId w:val="5"/>
        </w:numPr>
        <w:tabs>
          <w:tab w:val="num" w:pos="709"/>
        </w:tabs>
        <w:ind w:left="709" w:hanging="709"/>
        <w:rPr>
          <w:lang w:val="en-AU"/>
        </w:rPr>
      </w:pPr>
      <w:r w:rsidRPr="00FA67BA">
        <w:rPr>
          <w:lang w:val="en-AU"/>
        </w:rPr>
        <w:t xml:space="preserve">The Commission </w:t>
      </w:r>
      <w:r w:rsidR="00C73B40" w:rsidRPr="00FA67BA">
        <w:rPr>
          <w:lang w:val="en-AU"/>
        </w:rPr>
        <w:t>note</w:t>
      </w:r>
      <w:r w:rsidR="00C73B40">
        <w:rPr>
          <w:lang w:val="en-AU"/>
        </w:rPr>
        <w:t>d</w:t>
      </w:r>
      <w:r w:rsidR="00C73B40" w:rsidRPr="00FA67BA">
        <w:rPr>
          <w:lang w:val="en-AU"/>
        </w:rPr>
        <w:t xml:space="preserve"> </w:t>
      </w:r>
      <w:r w:rsidRPr="00FA67BA">
        <w:rPr>
          <w:lang w:val="en-AU"/>
        </w:rPr>
        <w:t>arguments from the NTMEU that PWC Networks</w:t>
      </w:r>
      <w:r w:rsidR="00717FBA">
        <w:rPr>
          <w:lang w:val="en-AU"/>
        </w:rPr>
        <w:t>’</w:t>
      </w:r>
      <w:r w:rsidRPr="00FA67BA">
        <w:rPr>
          <w:lang w:val="en-AU"/>
        </w:rPr>
        <w:t xml:space="preserve"> proposed replacement capex </w:t>
      </w:r>
      <w:r w:rsidR="00013B0E">
        <w:rPr>
          <w:lang w:val="en-AU"/>
        </w:rPr>
        <w:t>was</w:t>
      </w:r>
      <w:r w:rsidR="00013B0E" w:rsidRPr="00FA67BA">
        <w:rPr>
          <w:lang w:val="en-AU"/>
        </w:rPr>
        <w:t xml:space="preserve"> </w:t>
      </w:r>
      <w:r w:rsidRPr="00FA67BA">
        <w:rPr>
          <w:lang w:val="en-AU"/>
        </w:rPr>
        <w:t xml:space="preserve">excessive as it </w:t>
      </w:r>
      <w:r w:rsidR="00013B0E" w:rsidRPr="00FA67BA">
        <w:rPr>
          <w:lang w:val="en-AU"/>
        </w:rPr>
        <w:t>represent</w:t>
      </w:r>
      <w:r w:rsidR="00013B0E">
        <w:rPr>
          <w:lang w:val="en-AU"/>
        </w:rPr>
        <w:t>ed</w:t>
      </w:r>
      <w:r w:rsidR="00013B0E" w:rsidRPr="00FA67BA">
        <w:rPr>
          <w:lang w:val="en-AU"/>
        </w:rPr>
        <w:t xml:space="preserve"> </w:t>
      </w:r>
      <w:r w:rsidR="00F63DAC" w:rsidRPr="00FA67BA">
        <w:rPr>
          <w:lang w:val="en-AU"/>
        </w:rPr>
        <w:t xml:space="preserve">a very large proportion of the RAB to be replaced in </w:t>
      </w:r>
      <w:r w:rsidR="00013B0E">
        <w:rPr>
          <w:lang w:val="en-AU"/>
        </w:rPr>
        <w:t>the 2014-19 regulatory control</w:t>
      </w:r>
      <w:r w:rsidR="00F63DAC" w:rsidRPr="00FA67BA">
        <w:rPr>
          <w:lang w:val="en-AU"/>
        </w:rPr>
        <w:t xml:space="preserve"> period. </w:t>
      </w:r>
    </w:p>
    <w:p w14:paraId="3FD3D97A" w14:textId="48442D37" w:rsidR="00FA67BA" w:rsidRDefault="00FA67BA" w:rsidP="00346DAA">
      <w:pPr>
        <w:pStyle w:val="NumberLevel2"/>
        <w:numPr>
          <w:ilvl w:val="1"/>
          <w:numId w:val="5"/>
        </w:numPr>
        <w:tabs>
          <w:tab w:val="num" w:pos="709"/>
        </w:tabs>
        <w:ind w:left="709" w:hanging="709"/>
        <w:rPr>
          <w:lang w:val="en-AU"/>
        </w:rPr>
      </w:pPr>
      <w:r>
        <w:rPr>
          <w:lang w:val="en-AU"/>
        </w:rPr>
        <w:t xml:space="preserve">While </w:t>
      </w:r>
      <w:r w:rsidR="0036612C">
        <w:rPr>
          <w:lang w:val="en-AU"/>
        </w:rPr>
        <w:t xml:space="preserve">replacement capex </w:t>
      </w:r>
      <w:r w:rsidR="00FC4C2E">
        <w:rPr>
          <w:lang w:val="en-AU"/>
        </w:rPr>
        <w:t xml:space="preserve">may represent a large proportion of </w:t>
      </w:r>
      <w:r w:rsidR="00013B0E">
        <w:rPr>
          <w:lang w:val="en-AU"/>
        </w:rPr>
        <w:t xml:space="preserve">PWC Networks’ </w:t>
      </w:r>
      <w:r w:rsidR="00FC4C2E">
        <w:rPr>
          <w:lang w:val="en-AU"/>
        </w:rPr>
        <w:t xml:space="preserve">RAB based on dollar value, it does not necessarily represent a large proportion of the units in service. PWC Networks continues to have a large number of older assets in service, with capex prior to the Casuarina event in 2008 being more </w:t>
      </w:r>
      <w:r w:rsidR="009B4CD1">
        <w:rPr>
          <w:lang w:val="en-AU"/>
        </w:rPr>
        <w:t>focused</w:t>
      </w:r>
      <w:r w:rsidR="00FC4C2E">
        <w:rPr>
          <w:lang w:val="en-AU"/>
        </w:rPr>
        <w:t xml:space="preserve"> on growth of the </w:t>
      </w:r>
      <w:r w:rsidR="00013B0E">
        <w:rPr>
          <w:lang w:val="en-AU"/>
        </w:rPr>
        <w:t xml:space="preserve">electricity </w:t>
      </w:r>
      <w:r w:rsidR="00FC4C2E">
        <w:rPr>
          <w:lang w:val="en-AU"/>
        </w:rPr>
        <w:t>network.</w:t>
      </w:r>
    </w:p>
    <w:p w14:paraId="3D4AF6C9" w14:textId="3D7E8AF2" w:rsidR="00F63DAC" w:rsidRPr="00FA67BA" w:rsidRDefault="00FC4C2E" w:rsidP="00346DAA">
      <w:pPr>
        <w:pStyle w:val="NumberLevel2"/>
        <w:numPr>
          <w:ilvl w:val="1"/>
          <w:numId w:val="5"/>
        </w:numPr>
        <w:tabs>
          <w:tab w:val="num" w:pos="709"/>
        </w:tabs>
        <w:ind w:left="709" w:hanging="709"/>
        <w:rPr>
          <w:lang w:val="en-AU"/>
        </w:rPr>
      </w:pPr>
      <w:r>
        <w:rPr>
          <w:lang w:val="en-AU"/>
        </w:rPr>
        <w:t>Further, the replacement ca</w:t>
      </w:r>
      <w:r w:rsidR="00977262">
        <w:rPr>
          <w:lang w:val="en-AU"/>
        </w:rPr>
        <w:t>pex as a proportion of the RAB wa</w:t>
      </w:r>
      <w:r>
        <w:rPr>
          <w:lang w:val="en-AU"/>
        </w:rPr>
        <w:t xml:space="preserve">s not inconsistent with that </w:t>
      </w:r>
      <w:r w:rsidR="00013B0E">
        <w:rPr>
          <w:lang w:val="en-AU"/>
        </w:rPr>
        <w:t xml:space="preserve">set </w:t>
      </w:r>
      <w:r>
        <w:rPr>
          <w:lang w:val="en-AU"/>
        </w:rPr>
        <w:t xml:space="preserve">by the AER for </w:t>
      </w:r>
      <w:r w:rsidR="00C57BB0" w:rsidRPr="00FA67BA">
        <w:rPr>
          <w:lang w:val="en-AU"/>
        </w:rPr>
        <w:t xml:space="preserve">comparable </w:t>
      </w:r>
      <w:r w:rsidR="00013B0E">
        <w:rPr>
          <w:lang w:val="en-AU"/>
        </w:rPr>
        <w:t>DNSPs</w:t>
      </w:r>
      <w:r w:rsidR="00EB71C1" w:rsidRPr="00FA67BA">
        <w:rPr>
          <w:lang w:val="en-AU"/>
        </w:rPr>
        <w:t>.</w:t>
      </w:r>
      <w:r w:rsidR="00210E83">
        <w:rPr>
          <w:rStyle w:val="FootnoteReference"/>
          <w:lang w:val="en-AU"/>
        </w:rPr>
        <w:footnoteReference w:id="52"/>
      </w:r>
      <w:r w:rsidR="00EB71C1" w:rsidRPr="00FA67BA">
        <w:rPr>
          <w:lang w:val="en-AU"/>
        </w:rPr>
        <w:t xml:space="preserve"> </w:t>
      </w:r>
    </w:p>
    <w:p w14:paraId="7FEA5236" w14:textId="77777777" w:rsidR="00943603" w:rsidRDefault="00943603" w:rsidP="00517937">
      <w:pPr>
        <w:pStyle w:val="UtilComHeading3"/>
        <w:rPr>
          <w:lang w:val="en-AU"/>
        </w:rPr>
      </w:pPr>
      <w:r>
        <w:rPr>
          <w:lang w:val="en-AU"/>
        </w:rPr>
        <w:t xml:space="preserve">Reliability </w:t>
      </w:r>
      <w:r w:rsidR="002A48E2">
        <w:rPr>
          <w:lang w:val="en-AU"/>
        </w:rPr>
        <w:t xml:space="preserve">and quality improvement </w:t>
      </w:r>
      <w:r>
        <w:rPr>
          <w:lang w:val="en-AU"/>
        </w:rPr>
        <w:t>capex</w:t>
      </w:r>
    </w:p>
    <w:p w14:paraId="5B60CF9C" w14:textId="2FEDB506" w:rsidR="002A48E2" w:rsidRPr="00E37385" w:rsidRDefault="002A48E2" w:rsidP="00346DAA">
      <w:pPr>
        <w:pStyle w:val="NumberLevel2"/>
        <w:numPr>
          <w:ilvl w:val="1"/>
          <w:numId w:val="5"/>
        </w:numPr>
        <w:tabs>
          <w:tab w:val="num" w:pos="709"/>
        </w:tabs>
        <w:ind w:left="709" w:hanging="709"/>
        <w:rPr>
          <w:lang w:val="en-AU"/>
        </w:rPr>
      </w:pPr>
      <w:r>
        <w:rPr>
          <w:lang w:val="en-AU"/>
        </w:rPr>
        <w:t>Reliability and quality improvement</w:t>
      </w:r>
      <w:r w:rsidRPr="00E37385">
        <w:rPr>
          <w:lang w:val="en-AU"/>
        </w:rPr>
        <w:t xml:space="preserve"> capex account</w:t>
      </w:r>
      <w:r w:rsidR="00977262">
        <w:rPr>
          <w:lang w:val="en-AU"/>
        </w:rPr>
        <w:t>ed</w:t>
      </w:r>
      <w:r w:rsidRPr="00E37385">
        <w:rPr>
          <w:lang w:val="en-AU"/>
        </w:rPr>
        <w:t xml:space="preserve"> for </w:t>
      </w:r>
      <w:r w:rsidR="00013B0E">
        <w:rPr>
          <w:lang w:val="en-AU"/>
        </w:rPr>
        <w:t>10 per </w:t>
      </w:r>
      <w:r w:rsidR="0036612C">
        <w:rPr>
          <w:lang w:val="en-AU"/>
        </w:rPr>
        <w:t>cent</w:t>
      </w:r>
      <w:r w:rsidRPr="00E37385">
        <w:rPr>
          <w:lang w:val="en-AU"/>
        </w:rPr>
        <w:t xml:space="preserve"> of </w:t>
      </w:r>
      <w:r w:rsidR="00013B0E" w:rsidRPr="00E37385">
        <w:rPr>
          <w:lang w:val="en-AU"/>
        </w:rPr>
        <w:t>PWC</w:t>
      </w:r>
      <w:r w:rsidR="00013B0E">
        <w:rPr>
          <w:lang w:val="en-AU"/>
        </w:rPr>
        <w:t> </w:t>
      </w:r>
      <w:r w:rsidRPr="00E37385">
        <w:rPr>
          <w:lang w:val="en-AU"/>
        </w:rPr>
        <w:t>Networks</w:t>
      </w:r>
      <w:r w:rsidR="0036612C">
        <w:rPr>
          <w:lang w:val="en-AU"/>
        </w:rPr>
        <w:t>’</w:t>
      </w:r>
      <w:r w:rsidRPr="00E37385">
        <w:rPr>
          <w:lang w:val="en-AU"/>
        </w:rPr>
        <w:t xml:space="preserve"> forecast capex.</w:t>
      </w:r>
      <w:r w:rsidR="00977262">
        <w:rPr>
          <w:lang w:val="en-AU"/>
        </w:rPr>
        <w:t xml:space="preserve"> This wa</w:t>
      </w:r>
      <w:r>
        <w:rPr>
          <w:lang w:val="en-AU"/>
        </w:rPr>
        <w:t xml:space="preserve">s reflective of </w:t>
      </w:r>
      <w:r w:rsidR="00013B0E">
        <w:rPr>
          <w:lang w:val="en-AU"/>
        </w:rPr>
        <w:t xml:space="preserve">PWC Networks’ </w:t>
      </w:r>
      <w:r>
        <w:rPr>
          <w:lang w:val="en-AU"/>
        </w:rPr>
        <w:t xml:space="preserve">move to </w:t>
      </w:r>
      <w:r w:rsidR="0036612C">
        <w:rPr>
          <w:lang w:val="en-AU"/>
        </w:rPr>
        <w:t>condition-</w:t>
      </w:r>
      <w:r>
        <w:rPr>
          <w:lang w:val="en-AU"/>
        </w:rPr>
        <w:t xml:space="preserve">based maintenance of its </w:t>
      </w:r>
      <w:r w:rsidR="00013B0E">
        <w:rPr>
          <w:lang w:val="en-AU"/>
        </w:rPr>
        <w:t>electricity network</w:t>
      </w:r>
      <w:r>
        <w:rPr>
          <w:lang w:val="en-AU"/>
        </w:rPr>
        <w:t>, rather than a run-to-failure regime.</w:t>
      </w:r>
    </w:p>
    <w:p w14:paraId="2C098663" w14:textId="78CAD123" w:rsidR="002A48E2" w:rsidRDefault="002A48E2" w:rsidP="00346DAA">
      <w:pPr>
        <w:pStyle w:val="NumberLevel2"/>
        <w:numPr>
          <w:ilvl w:val="1"/>
          <w:numId w:val="5"/>
        </w:numPr>
        <w:tabs>
          <w:tab w:val="num" w:pos="709"/>
        </w:tabs>
        <w:ind w:left="709" w:hanging="709"/>
        <w:rPr>
          <w:lang w:val="en-AU"/>
        </w:rPr>
      </w:pPr>
      <w:r>
        <w:rPr>
          <w:lang w:val="en-AU"/>
        </w:rPr>
        <w:t>PB examined the largest reliability capex project</w:t>
      </w:r>
      <w:r w:rsidR="00013B0E">
        <w:rPr>
          <w:lang w:val="en-AU"/>
        </w:rPr>
        <w:t xml:space="preserve"> which </w:t>
      </w:r>
      <w:r w:rsidR="00977262">
        <w:rPr>
          <w:lang w:val="en-AU"/>
        </w:rPr>
        <w:t xml:space="preserve">was </w:t>
      </w:r>
      <w:r w:rsidR="00013B0E">
        <w:rPr>
          <w:lang w:val="en-AU"/>
        </w:rPr>
        <w:t>to</w:t>
      </w:r>
      <w:r>
        <w:rPr>
          <w:lang w:val="en-AU"/>
        </w:rPr>
        <w:t>:</w:t>
      </w:r>
    </w:p>
    <w:p w14:paraId="04756154" w14:textId="77777777" w:rsidR="002A48E2" w:rsidRDefault="0036612C" w:rsidP="00421399">
      <w:pPr>
        <w:pStyle w:val="UtilComBulletText"/>
        <w:tabs>
          <w:tab w:val="clear" w:pos="964"/>
          <w:tab w:val="clear" w:pos="1134"/>
          <w:tab w:val="num" w:pos="1276"/>
        </w:tabs>
        <w:ind w:left="1134" w:hanging="425"/>
      </w:pPr>
      <w:r>
        <w:t xml:space="preserve">rebuild </w:t>
      </w:r>
      <w:r w:rsidR="002A48E2">
        <w:t>the Channel Island Power Station to Hudson Creek 132kV transmission line, to ensure that optimal risk mitigation is achieved.</w:t>
      </w:r>
    </w:p>
    <w:p w14:paraId="2623936E" w14:textId="47EFE748" w:rsidR="002A48E2" w:rsidRPr="002A48E2" w:rsidRDefault="0036612C" w:rsidP="00421399">
      <w:pPr>
        <w:pStyle w:val="NumberLevel2"/>
        <w:numPr>
          <w:ilvl w:val="1"/>
          <w:numId w:val="5"/>
        </w:numPr>
        <w:tabs>
          <w:tab w:val="num" w:pos="709"/>
        </w:tabs>
        <w:ind w:left="709" w:hanging="709"/>
        <w:rPr>
          <w:lang w:val="en-AU"/>
        </w:rPr>
      </w:pPr>
      <w:r>
        <w:rPr>
          <w:lang w:val="en-AU"/>
        </w:rPr>
        <w:t>The</w:t>
      </w:r>
      <w:r w:rsidR="002A48E2" w:rsidRPr="00FB1564">
        <w:rPr>
          <w:lang w:val="en-AU"/>
        </w:rPr>
        <w:t xml:space="preserve"> Commission </w:t>
      </w:r>
      <w:r w:rsidR="00C73B40" w:rsidRPr="00FB1564">
        <w:rPr>
          <w:lang w:val="en-AU"/>
        </w:rPr>
        <w:t>consider</w:t>
      </w:r>
      <w:r w:rsidR="00C73B40">
        <w:rPr>
          <w:lang w:val="en-AU"/>
        </w:rPr>
        <w:t>ed</w:t>
      </w:r>
      <w:r w:rsidR="00C73B40" w:rsidRPr="00FB1564">
        <w:rPr>
          <w:lang w:val="en-AU"/>
        </w:rPr>
        <w:t xml:space="preserve"> </w:t>
      </w:r>
      <w:r w:rsidR="002A48E2" w:rsidRPr="00FB1564">
        <w:rPr>
          <w:lang w:val="en-AU"/>
        </w:rPr>
        <w:t>that th</w:t>
      </w:r>
      <w:r w:rsidR="002A48E2">
        <w:rPr>
          <w:lang w:val="en-AU"/>
        </w:rPr>
        <w:t>is</w:t>
      </w:r>
      <w:r w:rsidR="002A48E2" w:rsidRPr="00FB1564">
        <w:rPr>
          <w:lang w:val="en-AU"/>
        </w:rPr>
        <w:t xml:space="preserve"> </w:t>
      </w:r>
      <w:r w:rsidR="00B27BAF">
        <w:rPr>
          <w:lang w:val="en-AU"/>
        </w:rPr>
        <w:t xml:space="preserve">project </w:t>
      </w:r>
      <w:r w:rsidR="00C73B40">
        <w:rPr>
          <w:lang w:val="en-AU"/>
        </w:rPr>
        <w:t xml:space="preserve">was </w:t>
      </w:r>
      <w:r w:rsidR="002A48E2">
        <w:rPr>
          <w:lang w:val="en-AU"/>
        </w:rPr>
        <w:t>prudent</w:t>
      </w:r>
      <w:r w:rsidR="00FD5D58">
        <w:rPr>
          <w:lang w:val="en-AU"/>
        </w:rPr>
        <w:t xml:space="preserve"> </w:t>
      </w:r>
      <w:r w:rsidR="00013B0E">
        <w:rPr>
          <w:lang w:val="en-AU"/>
        </w:rPr>
        <w:t>but</w:t>
      </w:r>
      <w:r w:rsidR="002A48E2">
        <w:rPr>
          <w:lang w:val="en-AU"/>
        </w:rPr>
        <w:t xml:space="preserve"> should be undertaken earlier than proposed by </w:t>
      </w:r>
      <w:r w:rsidR="00B444DA">
        <w:rPr>
          <w:lang w:val="en-AU"/>
        </w:rPr>
        <w:t>PWC </w:t>
      </w:r>
      <w:r w:rsidR="002A48E2">
        <w:rPr>
          <w:lang w:val="en-AU"/>
        </w:rPr>
        <w:t xml:space="preserve">Networks </w:t>
      </w:r>
      <w:r w:rsidR="00B444DA">
        <w:rPr>
          <w:lang w:val="en-AU"/>
        </w:rPr>
        <w:t>as</w:t>
      </w:r>
      <w:r w:rsidR="002A48E2">
        <w:rPr>
          <w:lang w:val="en-AU"/>
        </w:rPr>
        <w:t xml:space="preserve"> the efficiency of the project </w:t>
      </w:r>
      <w:r w:rsidR="00B444DA">
        <w:rPr>
          <w:lang w:val="en-AU"/>
        </w:rPr>
        <w:t xml:space="preserve">would </w:t>
      </w:r>
      <w:r w:rsidR="002A48E2">
        <w:rPr>
          <w:lang w:val="en-AU"/>
        </w:rPr>
        <w:t>decrease</w:t>
      </w:r>
      <w:r w:rsidR="00B444DA">
        <w:rPr>
          <w:lang w:val="en-AU"/>
        </w:rPr>
        <w:t xml:space="preserve"> if</w:t>
      </w:r>
      <w:r w:rsidR="00977262">
        <w:rPr>
          <w:lang w:val="en-AU"/>
        </w:rPr>
        <w:t xml:space="preserve"> delivery wa</w:t>
      </w:r>
      <w:r w:rsidR="002A48E2">
        <w:rPr>
          <w:lang w:val="en-AU"/>
        </w:rPr>
        <w:t>s deferred.</w:t>
      </w:r>
    </w:p>
    <w:p w14:paraId="3DDBBA7A" w14:textId="77777777" w:rsidR="00517937" w:rsidRDefault="00517937" w:rsidP="00517937">
      <w:pPr>
        <w:pStyle w:val="UtilComHeading3"/>
        <w:rPr>
          <w:lang w:val="en-AU"/>
        </w:rPr>
      </w:pPr>
      <w:r>
        <w:rPr>
          <w:lang w:val="en-AU"/>
        </w:rPr>
        <w:t>Real input cost escalation</w:t>
      </w:r>
    </w:p>
    <w:p w14:paraId="318DBA28" w14:textId="016114A7" w:rsidR="001D5122" w:rsidRDefault="001D5122" w:rsidP="00421399">
      <w:pPr>
        <w:pStyle w:val="NumberLevel2"/>
        <w:numPr>
          <w:ilvl w:val="1"/>
          <w:numId w:val="5"/>
        </w:numPr>
        <w:tabs>
          <w:tab w:val="num" w:pos="709"/>
        </w:tabs>
        <w:ind w:left="709" w:hanging="709"/>
        <w:rPr>
          <w:lang w:val="en-AU"/>
        </w:rPr>
      </w:pPr>
      <w:r w:rsidRPr="001D5122">
        <w:rPr>
          <w:lang w:val="en-AU"/>
        </w:rPr>
        <w:t>PB was not required to assess forecast rates of growth in input costs</w:t>
      </w:r>
      <w:r w:rsidR="00FD5D58">
        <w:rPr>
          <w:lang w:val="en-AU"/>
        </w:rPr>
        <w:t xml:space="preserve"> </w:t>
      </w:r>
      <w:r w:rsidR="00B444DA">
        <w:rPr>
          <w:lang w:val="en-AU"/>
        </w:rPr>
        <w:t>but</w:t>
      </w:r>
      <w:r w:rsidRPr="001D5122">
        <w:rPr>
          <w:lang w:val="en-AU"/>
        </w:rPr>
        <w:t xml:space="preserve"> was required to ensure that forecast changes in input costs </w:t>
      </w:r>
      <w:r w:rsidR="0036612C">
        <w:rPr>
          <w:lang w:val="en-AU"/>
        </w:rPr>
        <w:t>were</w:t>
      </w:r>
      <w:r w:rsidRPr="001D5122">
        <w:rPr>
          <w:lang w:val="en-AU"/>
        </w:rPr>
        <w:t xml:space="preserve"> appropriately reflected in the cost escalation calculations performed by </w:t>
      </w:r>
      <w:r w:rsidR="00B2778B">
        <w:rPr>
          <w:lang w:val="en-AU"/>
        </w:rPr>
        <w:t>PWC </w:t>
      </w:r>
      <w:r>
        <w:rPr>
          <w:lang w:val="en-AU"/>
        </w:rPr>
        <w:t>Networks</w:t>
      </w:r>
      <w:r w:rsidRPr="001D5122">
        <w:rPr>
          <w:lang w:val="en-AU"/>
        </w:rPr>
        <w:t xml:space="preserve"> in forecasting capex.</w:t>
      </w:r>
    </w:p>
    <w:p w14:paraId="252B5039" w14:textId="5C06BCAC" w:rsidR="001D5122" w:rsidRDefault="001D5122" w:rsidP="00421399">
      <w:pPr>
        <w:pStyle w:val="NumberLevel2"/>
        <w:numPr>
          <w:ilvl w:val="1"/>
          <w:numId w:val="5"/>
        </w:numPr>
        <w:tabs>
          <w:tab w:val="num" w:pos="709"/>
        </w:tabs>
        <w:ind w:left="709" w:hanging="709"/>
        <w:rPr>
          <w:lang w:val="en-AU"/>
        </w:rPr>
      </w:pPr>
      <w:r w:rsidRPr="001D5122">
        <w:rPr>
          <w:lang w:val="en-AU"/>
        </w:rPr>
        <w:t>P</w:t>
      </w:r>
      <w:r>
        <w:rPr>
          <w:lang w:val="en-AU"/>
        </w:rPr>
        <w:t>B</w:t>
      </w:r>
      <w:r w:rsidRPr="001D5122">
        <w:rPr>
          <w:lang w:val="en-AU"/>
        </w:rPr>
        <w:t xml:space="preserve"> reviewed the application of escalation in </w:t>
      </w:r>
      <w:r w:rsidR="00B2778B">
        <w:rPr>
          <w:lang w:val="en-AU"/>
        </w:rPr>
        <w:t>PWC</w:t>
      </w:r>
      <w:r w:rsidR="00B2778B" w:rsidRPr="001D5122">
        <w:rPr>
          <w:lang w:val="en-AU"/>
        </w:rPr>
        <w:t xml:space="preserve"> </w:t>
      </w:r>
      <w:r w:rsidRPr="001D5122">
        <w:rPr>
          <w:lang w:val="en-AU"/>
        </w:rPr>
        <w:t>Networks’ forecast capex model</w:t>
      </w:r>
      <w:r>
        <w:rPr>
          <w:lang w:val="en-AU"/>
        </w:rPr>
        <w:t xml:space="preserve"> </w:t>
      </w:r>
      <w:r w:rsidR="006E5149">
        <w:rPr>
          <w:lang w:val="en-AU"/>
        </w:rPr>
        <w:t xml:space="preserve">(refer Table </w:t>
      </w:r>
      <w:r w:rsidR="00C73B40">
        <w:rPr>
          <w:lang w:val="en-AU"/>
        </w:rPr>
        <w:t>9</w:t>
      </w:r>
      <w:r w:rsidR="006E5149">
        <w:rPr>
          <w:lang w:val="en-AU"/>
        </w:rPr>
        <w:t xml:space="preserve">.3) </w:t>
      </w:r>
      <w:r w:rsidRPr="001D5122">
        <w:rPr>
          <w:lang w:val="en-AU"/>
        </w:rPr>
        <w:t xml:space="preserve">and confirmed that the rates applied </w:t>
      </w:r>
      <w:r w:rsidR="00B444DA">
        <w:rPr>
          <w:lang w:val="en-AU"/>
        </w:rPr>
        <w:t>were</w:t>
      </w:r>
      <w:r w:rsidR="00B444DA" w:rsidRPr="001D5122">
        <w:rPr>
          <w:lang w:val="en-AU"/>
        </w:rPr>
        <w:t xml:space="preserve"> </w:t>
      </w:r>
      <w:r w:rsidRPr="001D5122">
        <w:rPr>
          <w:lang w:val="en-AU"/>
        </w:rPr>
        <w:t xml:space="preserve">those relevant to the capex forecast for the </w:t>
      </w:r>
      <w:r w:rsidR="00C73B40">
        <w:rPr>
          <w:lang w:val="en-AU"/>
        </w:rPr>
        <w:t>2014-19</w:t>
      </w:r>
      <w:r w:rsidR="00C73B40" w:rsidRPr="001D5122">
        <w:rPr>
          <w:lang w:val="en-AU"/>
        </w:rPr>
        <w:t xml:space="preserve"> </w:t>
      </w:r>
      <w:r w:rsidRPr="001D5122">
        <w:rPr>
          <w:lang w:val="en-AU"/>
        </w:rPr>
        <w:t>regulatory</w:t>
      </w:r>
      <w:r w:rsidR="005F6FEB">
        <w:rPr>
          <w:lang w:val="en-AU"/>
        </w:rPr>
        <w:t xml:space="preserve"> </w:t>
      </w:r>
      <w:r w:rsidR="001F0FFB">
        <w:rPr>
          <w:lang w:val="en-AU"/>
        </w:rPr>
        <w:t xml:space="preserve">control </w:t>
      </w:r>
      <w:r w:rsidRPr="001D5122">
        <w:rPr>
          <w:lang w:val="en-AU"/>
        </w:rPr>
        <w:t xml:space="preserve">period as recommended </w:t>
      </w:r>
      <w:r w:rsidR="005F6FEB">
        <w:rPr>
          <w:lang w:val="en-AU"/>
        </w:rPr>
        <w:t>by consultants engaged by PWC Networks</w:t>
      </w:r>
      <w:r w:rsidRPr="001D5122">
        <w:rPr>
          <w:lang w:val="en-AU"/>
        </w:rPr>
        <w:t xml:space="preserve">. </w:t>
      </w:r>
      <w:r w:rsidR="00554AEF" w:rsidRPr="001D5122">
        <w:rPr>
          <w:lang w:val="en-AU"/>
        </w:rPr>
        <w:t>P</w:t>
      </w:r>
      <w:r w:rsidR="00554AEF">
        <w:rPr>
          <w:lang w:val="en-AU"/>
        </w:rPr>
        <w:t xml:space="preserve">B found </w:t>
      </w:r>
      <w:r w:rsidR="00554AEF" w:rsidRPr="001D5122">
        <w:rPr>
          <w:lang w:val="en-AU"/>
        </w:rPr>
        <w:t xml:space="preserve">that </w:t>
      </w:r>
      <w:r w:rsidR="00B2778B">
        <w:rPr>
          <w:lang w:val="en-AU"/>
        </w:rPr>
        <w:t>PWC</w:t>
      </w:r>
      <w:r w:rsidR="00B2778B" w:rsidRPr="001D5122">
        <w:rPr>
          <w:lang w:val="en-AU"/>
        </w:rPr>
        <w:t xml:space="preserve"> </w:t>
      </w:r>
      <w:r w:rsidR="00554AEF" w:rsidRPr="001D5122">
        <w:rPr>
          <w:lang w:val="en-AU"/>
        </w:rPr>
        <w:t xml:space="preserve">Networks’ overall </w:t>
      </w:r>
      <w:r w:rsidR="00554AEF">
        <w:rPr>
          <w:lang w:val="en-AU"/>
        </w:rPr>
        <w:t>ca</w:t>
      </w:r>
      <w:r w:rsidR="00554AEF" w:rsidRPr="001D5122">
        <w:rPr>
          <w:lang w:val="en-AU"/>
        </w:rPr>
        <w:t>pex e</w:t>
      </w:r>
      <w:r w:rsidR="00554AEF">
        <w:rPr>
          <w:lang w:val="en-AU"/>
        </w:rPr>
        <w:t xml:space="preserve">scalation process </w:t>
      </w:r>
      <w:r w:rsidR="00B444DA">
        <w:rPr>
          <w:lang w:val="en-AU"/>
        </w:rPr>
        <w:t xml:space="preserve">was </w:t>
      </w:r>
      <w:r w:rsidR="00554AEF">
        <w:rPr>
          <w:lang w:val="en-AU"/>
        </w:rPr>
        <w:t>reasonable, however PB did not offer a view about the reasonableness of the escalators themselves.</w:t>
      </w:r>
    </w:p>
    <w:p w14:paraId="242FE76A" w14:textId="77777777" w:rsidR="00E9115D" w:rsidRDefault="00E9115D" w:rsidP="0036612C">
      <w:pPr>
        <w:pStyle w:val="UtilComTableTitle"/>
        <w:keepNext/>
        <w:spacing w:before="120" w:after="0" w:line="240" w:lineRule="exact"/>
      </w:pPr>
      <w:r>
        <w:br w:type="page"/>
      </w:r>
    </w:p>
    <w:p w14:paraId="09B15D52" w14:textId="55A40EC4" w:rsidR="00EB71C1" w:rsidRPr="00A139AD" w:rsidRDefault="00EB71C1" w:rsidP="0036612C">
      <w:pPr>
        <w:pStyle w:val="UtilComTableTitle"/>
        <w:keepNext/>
        <w:spacing w:before="120" w:after="0" w:line="240" w:lineRule="exact"/>
      </w:pPr>
      <w:r>
        <w:t xml:space="preserve">Table </w:t>
      </w:r>
      <w:r w:rsidR="00214519">
        <w:t>9</w:t>
      </w:r>
      <w:r>
        <w:t>.3: Impact of PWC Networks</w:t>
      </w:r>
      <w:r w:rsidR="00E22790">
        <w:t>’</w:t>
      </w:r>
      <w:r>
        <w:t xml:space="preserve"> real cost escalators on forecast capex</w:t>
      </w:r>
      <w:r w:rsidR="00B444DA">
        <w:t xml:space="preserve"> for the 2014-19 regulatory control period</w:t>
      </w:r>
      <w:r w:rsidRPr="00125E7A">
        <w:t>, ($</w:t>
      </w:r>
      <w:r w:rsidR="00484786">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EB71C1" w:rsidRPr="008A4655" w14:paraId="018F2E0E" w14:textId="77777777" w:rsidTr="0036612C">
        <w:trPr>
          <w:cantSplit/>
          <w:trHeight w:val="360"/>
        </w:trPr>
        <w:tc>
          <w:tcPr>
            <w:tcW w:w="1811" w:type="dxa"/>
            <w:tcBorders>
              <w:top w:val="single" w:sz="4" w:space="0" w:color="999999"/>
              <w:bottom w:val="single" w:sz="4" w:space="0" w:color="auto"/>
            </w:tcBorders>
            <w:vAlign w:val="bottom"/>
          </w:tcPr>
          <w:p w14:paraId="7455D89F" w14:textId="77777777" w:rsidR="00EB71C1" w:rsidRPr="00EE5A08" w:rsidRDefault="00EB71C1" w:rsidP="0036612C">
            <w:pPr>
              <w:pStyle w:val="UtilComTabletext"/>
              <w:rPr>
                <w:b/>
              </w:rPr>
            </w:pPr>
          </w:p>
        </w:tc>
        <w:tc>
          <w:tcPr>
            <w:tcW w:w="1221" w:type="dxa"/>
            <w:tcBorders>
              <w:top w:val="single" w:sz="4" w:space="0" w:color="999999"/>
              <w:bottom w:val="single" w:sz="4" w:space="0" w:color="auto"/>
            </w:tcBorders>
            <w:tcMar>
              <w:left w:w="0" w:type="dxa"/>
            </w:tcMar>
            <w:vAlign w:val="bottom"/>
          </w:tcPr>
          <w:p w14:paraId="1C6430B1" w14:textId="77777777" w:rsidR="00EB71C1" w:rsidRPr="00EE5A08" w:rsidRDefault="00EB71C1" w:rsidP="0036612C">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4AACC38D" w14:textId="77777777" w:rsidR="00EB71C1" w:rsidRPr="00EE5A08" w:rsidRDefault="00EB71C1" w:rsidP="0036612C">
            <w:pPr>
              <w:pStyle w:val="UtilComTabletext"/>
              <w:jc w:val="right"/>
              <w:rPr>
                <w:b/>
              </w:rPr>
            </w:pPr>
            <w:r>
              <w:rPr>
                <w:b/>
              </w:rPr>
              <w:t>2015-16</w:t>
            </w:r>
          </w:p>
        </w:tc>
        <w:tc>
          <w:tcPr>
            <w:tcW w:w="1221" w:type="dxa"/>
            <w:tcBorders>
              <w:top w:val="single" w:sz="4" w:space="0" w:color="999999"/>
              <w:bottom w:val="single" w:sz="4" w:space="0" w:color="auto"/>
            </w:tcBorders>
            <w:vAlign w:val="bottom"/>
          </w:tcPr>
          <w:p w14:paraId="60D6DC7A" w14:textId="77777777" w:rsidR="00EB71C1" w:rsidRDefault="00EB71C1" w:rsidP="0036612C">
            <w:pPr>
              <w:pStyle w:val="UtilComTabletext"/>
              <w:jc w:val="right"/>
              <w:rPr>
                <w:b/>
              </w:rPr>
            </w:pPr>
            <w:r>
              <w:rPr>
                <w:b/>
              </w:rPr>
              <w:t>2016-17</w:t>
            </w:r>
          </w:p>
        </w:tc>
        <w:tc>
          <w:tcPr>
            <w:tcW w:w="1221" w:type="dxa"/>
            <w:tcBorders>
              <w:top w:val="single" w:sz="4" w:space="0" w:color="999999"/>
              <w:bottom w:val="single" w:sz="4" w:space="0" w:color="auto"/>
            </w:tcBorders>
            <w:vAlign w:val="bottom"/>
          </w:tcPr>
          <w:p w14:paraId="2DD50F82" w14:textId="77777777" w:rsidR="00EB71C1" w:rsidRDefault="00EB71C1" w:rsidP="0036612C">
            <w:pPr>
              <w:pStyle w:val="UtilComTabletext"/>
              <w:jc w:val="right"/>
              <w:rPr>
                <w:b/>
              </w:rPr>
            </w:pPr>
            <w:r>
              <w:rPr>
                <w:b/>
              </w:rPr>
              <w:t>2017-18</w:t>
            </w:r>
          </w:p>
        </w:tc>
        <w:tc>
          <w:tcPr>
            <w:tcW w:w="1221" w:type="dxa"/>
            <w:tcBorders>
              <w:top w:val="single" w:sz="4" w:space="0" w:color="999999"/>
              <w:bottom w:val="single" w:sz="4" w:space="0" w:color="auto"/>
            </w:tcBorders>
            <w:vAlign w:val="bottom"/>
          </w:tcPr>
          <w:p w14:paraId="61C0CA3D" w14:textId="77777777" w:rsidR="00EB71C1" w:rsidRDefault="00EB71C1" w:rsidP="0036612C">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3C1B6219" w14:textId="77777777" w:rsidR="00EB71C1" w:rsidRPr="00EE5A08" w:rsidRDefault="00EB71C1" w:rsidP="0036612C">
            <w:pPr>
              <w:pStyle w:val="UtilComTabletext"/>
              <w:jc w:val="right"/>
              <w:rPr>
                <w:b/>
              </w:rPr>
            </w:pPr>
            <w:r>
              <w:rPr>
                <w:b/>
              </w:rPr>
              <w:t>Total</w:t>
            </w:r>
          </w:p>
        </w:tc>
      </w:tr>
      <w:tr w:rsidR="00C02A2A" w:rsidRPr="008A4655" w14:paraId="620AD1A7" w14:textId="77777777" w:rsidTr="0036612C">
        <w:trPr>
          <w:cantSplit/>
          <w:trHeight w:val="360"/>
        </w:trPr>
        <w:tc>
          <w:tcPr>
            <w:tcW w:w="1811" w:type="dxa"/>
            <w:tcBorders>
              <w:top w:val="single" w:sz="4" w:space="0" w:color="auto"/>
              <w:bottom w:val="single" w:sz="4" w:space="0" w:color="999999"/>
            </w:tcBorders>
          </w:tcPr>
          <w:p w14:paraId="6CE681CF" w14:textId="77777777" w:rsidR="00C02A2A" w:rsidRDefault="00C02A2A" w:rsidP="0036612C">
            <w:pPr>
              <w:pStyle w:val="UtilComTabletext"/>
            </w:pPr>
            <w:r>
              <w:t>Base capex</w:t>
            </w:r>
          </w:p>
        </w:tc>
        <w:tc>
          <w:tcPr>
            <w:tcW w:w="1221" w:type="dxa"/>
            <w:tcBorders>
              <w:top w:val="single" w:sz="4" w:space="0" w:color="auto"/>
              <w:bottom w:val="single" w:sz="4" w:space="0" w:color="999999"/>
            </w:tcBorders>
            <w:shd w:val="clear" w:color="auto" w:fill="auto"/>
          </w:tcPr>
          <w:p w14:paraId="620EE147" w14:textId="77777777" w:rsidR="00C02A2A" w:rsidRPr="00F61018" w:rsidRDefault="00C02A2A" w:rsidP="00DC3F92">
            <w:pPr>
              <w:pStyle w:val="UtilComTabletext"/>
              <w:jc w:val="right"/>
            </w:pPr>
            <w:r w:rsidRPr="00F61018">
              <w:t xml:space="preserve"> 83</w:t>
            </w:r>
            <w:r w:rsidR="00136EF9">
              <w:t>.</w:t>
            </w:r>
            <w:r w:rsidR="00DC3F92" w:rsidRPr="00F61018">
              <w:t>4</w:t>
            </w:r>
            <w:r w:rsidR="00DC3F92">
              <w:t>5</w:t>
            </w:r>
            <w:r w:rsidR="00DC3F92" w:rsidRPr="00F61018">
              <w:t xml:space="preserve"> </w:t>
            </w:r>
          </w:p>
        </w:tc>
        <w:tc>
          <w:tcPr>
            <w:tcW w:w="1221" w:type="dxa"/>
            <w:tcBorders>
              <w:top w:val="single" w:sz="4" w:space="0" w:color="auto"/>
              <w:bottom w:val="single" w:sz="4" w:space="0" w:color="999999"/>
            </w:tcBorders>
            <w:shd w:val="clear" w:color="auto" w:fill="auto"/>
          </w:tcPr>
          <w:p w14:paraId="6FE54891" w14:textId="77777777" w:rsidR="00C02A2A" w:rsidRPr="00F61018" w:rsidRDefault="00C02A2A" w:rsidP="00DC3F92">
            <w:pPr>
              <w:pStyle w:val="UtilComTabletext"/>
              <w:jc w:val="right"/>
            </w:pPr>
            <w:r w:rsidRPr="00F61018">
              <w:t xml:space="preserve"> 76</w:t>
            </w:r>
            <w:r w:rsidR="00136EF9">
              <w:t>.</w:t>
            </w:r>
            <w:r w:rsidR="00DC3F92">
              <w:t>20</w:t>
            </w:r>
            <w:r w:rsidR="00DC3F92" w:rsidRPr="00F61018">
              <w:t xml:space="preserve"> </w:t>
            </w:r>
          </w:p>
        </w:tc>
        <w:tc>
          <w:tcPr>
            <w:tcW w:w="1221" w:type="dxa"/>
            <w:tcBorders>
              <w:top w:val="single" w:sz="4" w:space="0" w:color="auto"/>
              <w:bottom w:val="single" w:sz="4" w:space="0" w:color="999999"/>
            </w:tcBorders>
          </w:tcPr>
          <w:p w14:paraId="4A1DD278" w14:textId="77777777" w:rsidR="00C02A2A" w:rsidRPr="00F61018" w:rsidRDefault="00C02A2A" w:rsidP="00DC3F92">
            <w:pPr>
              <w:pStyle w:val="UtilComTabletext"/>
              <w:jc w:val="right"/>
            </w:pPr>
            <w:r w:rsidRPr="00F61018">
              <w:t xml:space="preserve"> 57</w:t>
            </w:r>
            <w:r w:rsidR="00136EF9">
              <w:t>.</w:t>
            </w:r>
            <w:r w:rsidR="00DC3F92" w:rsidRPr="00F61018">
              <w:t>8</w:t>
            </w:r>
            <w:r w:rsidR="00DC3F92">
              <w:t>4</w:t>
            </w:r>
            <w:r w:rsidR="00DC3F92" w:rsidRPr="00F61018">
              <w:t xml:space="preserve"> </w:t>
            </w:r>
          </w:p>
        </w:tc>
        <w:tc>
          <w:tcPr>
            <w:tcW w:w="1221" w:type="dxa"/>
            <w:tcBorders>
              <w:top w:val="single" w:sz="4" w:space="0" w:color="auto"/>
              <w:bottom w:val="single" w:sz="4" w:space="0" w:color="999999"/>
            </w:tcBorders>
          </w:tcPr>
          <w:p w14:paraId="75201FBB" w14:textId="77777777" w:rsidR="00C02A2A" w:rsidRPr="00F61018" w:rsidRDefault="00C02A2A" w:rsidP="00DC3F92">
            <w:pPr>
              <w:pStyle w:val="UtilComTabletext"/>
              <w:jc w:val="right"/>
            </w:pPr>
            <w:r w:rsidRPr="00F61018">
              <w:t xml:space="preserve"> 48</w:t>
            </w:r>
            <w:r w:rsidR="00136EF9">
              <w:t>.</w:t>
            </w:r>
            <w:r w:rsidRPr="00F61018">
              <w:t xml:space="preserve">06 </w:t>
            </w:r>
          </w:p>
        </w:tc>
        <w:tc>
          <w:tcPr>
            <w:tcW w:w="1221" w:type="dxa"/>
            <w:tcBorders>
              <w:top w:val="single" w:sz="4" w:space="0" w:color="auto"/>
              <w:bottom w:val="single" w:sz="4" w:space="0" w:color="999999"/>
            </w:tcBorders>
          </w:tcPr>
          <w:p w14:paraId="6C6E367A" w14:textId="77777777" w:rsidR="00C02A2A" w:rsidRPr="00F61018" w:rsidRDefault="00C02A2A" w:rsidP="00DC3F92">
            <w:pPr>
              <w:pStyle w:val="UtilComTabletext"/>
              <w:jc w:val="right"/>
            </w:pPr>
            <w:r w:rsidRPr="00F61018">
              <w:t xml:space="preserve"> 56</w:t>
            </w:r>
            <w:r w:rsidR="00136EF9">
              <w:t>.</w:t>
            </w:r>
            <w:r w:rsidR="00DC3F92" w:rsidRPr="00F61018">
              <w:t>8</w:t>
            </w:r>
            <w:r w:rsidR="00DC3F92">
              <w:t>1</w:t>
            </w:r>
            <w:r w:rsidR="00DC3F92" w:rsidRPr="00F61018">
              <w:t xml:space="preserve"> </w:t>
            </w:r>
          </w:p>
        </w:tc>
        <w:tc>
          <w:tcPr>
            <w:tcW w:w="1221" w:type="dxa"/>
            <w:tcBorders>
              <w:top w:val="single" w:sz="4" w:space="0" w:color="auto"/>
              <w:bottom w:val="single" w:sz="4" w:space="0" w:color="999999"/>
            </w:tcBorders>
            <w:shd w:val="clear" w:color="auto" w:fill="auto"/>
          </w:tcPr>
          <w:p w14:paraId="5B2CD596" w14:textId="77777777" w:rsidR="00C02A2A" w:rsidRDefault="00C02A2A" w:rsidP="00DC3F92">
            <w:pPr>
              <w:pStyle w:val="UtilComTabletext"/>
              <w:jc w:val="right"/>
            </w:pPr>
            <w:r w:rsidRPr="00F61018">
              <w:t xml:space="preserve"> 322</w:t>
            </w:r>
            <w:r w:rsidR="00136EF9">
              <w:t>.</w:t>
            </w:r>
            <w:r w:rsidR="00DC3F92" w:rsidRPr="00F61018">
              <w:t>3</w:t>
            </w:r>
            <w:r w:rsidR="00DC3F92">
              <w:t>5</w:t>
            </w:r>
            <w:r w:rsidR="00DC3F92" w:rsidRPr="00F61018">
              <w:t xml:space="preserve"> </w:t>
            </w:r>
          </w:p>
        </w:tc>
      </w:tr>
      <w:tr w:rsidR="00C02A2A" w:rsidRPr="008A4655" w14:paraId="71CB26A9" w14:textId="77777777" w:rsidTr="0036612C">
        <w:trPr>
          <w:cantSplit/>
          <w:trHeight w:val="360"/>
        </w:trPr>
        <w:tc>
          <w:tcPr>
            <w:tcW w:w="1811" w:type="dxa"/>
            <w:tcBorders>
              <w:top w:val="single" w:sz="4" w:space="0" w:color="999999"/>
              <w:bottom w:val="single" w:sz="4" w:space="0" w:color="999999"/>
            </w:tcBorders>
          </w:tcPr>
          <w:p w14:paraId="5419DEAA" w14:textId="77777777" w:rsidR="00C02A2A" w:rsidRDefault="00C02A2A" w:rsidP="0036612C">
            <w:pPr>
              <w:pStyle w:val="UtilComTabletext"/>
            </w:pPr>
            <w:r>
              <w:t>Real cost escalation adjustment</w:t>
            </w:r>
          </w:p>
        </w:tc>
        <w:tc>
          <w:tcPr>
            <w:tcW w:w="1221" w:type="dxa"/>
            <w:tcBorders>
              <w:top w:val="single" w:sz="4" w:space="0" w:color="999999"/>
              <w:bottom w:val="single" w:sz="4" w:space="0" w:color="999999"/>
            </w:tcBorders>
            <w:shd w:val="clear" w:color="auto" w:fill="auto"/>
          </w:tcPr>
          <w:p w14:paraId="7F800847" w14:textId="77777777" w:rsidR="00C02A2A" w:rsidRPr="0053463A" w:rsidRDefault="00C02A2A" w:rsidP="00DC3F92">
            <w:pPr>
              <w:pStyle w:val="UtilComTabletext"/>
              <w:jc w:val="right"/>
            </w:pPr>
            <w:r w:rsidRPr="0053463A">
              <w:t xml:space="preserve"> 1</w:t>
            </w:r>
            <w:r w:rsidR="00136EF9">
              <w:t>.</w:t>
            </w:r>
            <w:r w:rsidR="00DC3F92">
              <w:t>30</w:t>
            </w:r>
            <w:r w:rsidR="00DC3F92" w:rsidRPr="0053463A">
              <w:t xml:space="preserve"> </w:t>
            </w:r>
          </w:p>
        </w:tc>
        <w:tc>
          <w:tcPr>
            <w:tcW w:w="1221" w:type="dxa"/>
            <w:tcBorders>
              <w:top w:val="single" w:sz="4" w:space="0" w:color="999999"/>
              <w:bottom w:val="single" w:sz="4" w:space="0" w:color="999999"/>
            </w:tcBorders>
            <w:shd w:val="clear" w:color="auto" w:fill="auto"/>
          </w:tcPr>
          <w:p w14:paraId="6DCA9AE7" w14:textId="77777777" w:rsidR="00C02A2A" w:rsidRPr="0053463A" w:rsidRDefault="00C02A2A" w:rsidP="00DC3F92">
            <w:pPr>
              <w:pStyle w:val="UtilComTabletext"/>
              <w:jc w:val="right"/>
            </w:pPr>
            <w:r>
              <w:t>(</w:t>
            </w:r>
            <w:r w:rsidRPr="0053463A">
              <w:t>1</w:t>
            </w:r>
            <w:r w:rsidR="00136EF9">
              <w:t>.</w:t>
            </w:r>
            <w:r w:rsidRPr="0053463A">
              <w:t>39</w:t>
            </w:r>
            <w:r w:rsidR="00DC3F92">
              <w:t>)</w:t>
            </w:r>
            <w:r w:rsidRPr="0053463A">
              <w:t xml:space="preserve"> </w:t>
            </w:r>
          </w:p>
        </w:tc>
        <w:tc>
          <w:tcPr>
            <w:tcW w:w="1221" w:type="dxa"/>
            <w:tcBorders>
              <w:top w:val="single" w:sz="4" w:space="0" w:color="999999"/>
              <w:bottom w:val="single" w:sz="4" w:space="0" w:color="999999"/>
            </w:tcBorders>
          </w:tcPr>
          <w:p w14:paraId="10A58D93" w14:textId="77777777" w:rsidR="00C02A2A" w:rsidRPr="0053463A" w:rsidRDefault="00C02A2A" w:rsidP="00DC3F92">
            <w:pPr>
              <w:pStyle w:val="UtilComTabletext"/>
              <w:jc w:val="right"/>
            </w:pPr>
            <w:r>
              <w:t>(</w:t>
            </w:r>
            <w:r w:rsidR="00DC3F92">
              <w:t>0.40</w:t>
            </w:r>
            <w:r>
              <w:t>)</w:t>
            </w:r>
          </w:p>
        </w:tc>
        <w:tc>
          <w:tcPr>
            <w:tcW w:w="1221" w:type="dxa"/>
            <w:tcBorders>
              <w:top w:val="single" w:sz="4" w:space="0" w:color="999999"/>
              <w:bottom w:val="single" w:sz="4" w:space="0" w:color="999999"/>
            </w:tcBorders>
          </w:tcPr>
          <w:p w14:paraId="3A350B68" w14:textId="77777777" w:rsidR="00C02A2A" w:rsidRPr="0053463A" w:rsidRDefault="00C02A2A" w:rsidP="00DC3F92">
            <w:pPr>
              <w:pStyle w:val="UtilComTabletext"/>
              <w:jc w:val="right"/>
            </w:pPr>
            <w:r w:rsidRPr="0053463A">
              <w:t xml:space="preserve"> </w:t>
            </w:r>
            <w:r w:rsidR="00DC3F92">
              <w:t>0.</w:t>
            </w:r>
            <w:r w:rsidR="00DC3F92" w:rsidRPr="0053463A">
              <w:t>3</w:t>
            </w:r>
            <w:r w:rsidR="00DC3F92">
              <w:t>3</w:t>
            </w:r>
            <w:r w:rsidR="00DC3F92" w:rsidRPr="0053463A">
              <w:t xml:space="preserve"> </w:t>
            </w:r>
          </w:p>
        </w:tc>
        <w:tc>
          <w:tcPr>
            <w:tcW w:w="1221" w:type="dxa"/>
            <w:tcBorders>
              <w:top w:val="single" w:sz="4" w:space="0" w:color="999999"/>
              <w:bottom w:val="single" w:sz="4" w:space="0" w:color="999999"/>
            </w:tcBorders>
          </w:tcPr>
          <w:p w14:paraId="200367CE" w14:textId="77777777" w:rsidR="00C02A2A" w:rsidRPr="0053463A" w:rsidRDefault="00C02A2A" w:rsidP="00DC3F92">
            <w:pPr>
              <w:pStyle w:val="UtilComTabletext"/>
              <w:jc w:val="right"/>
            </w:pPr>
            <w:r w:rsidRPr="0053463A">
              <w:t xml:space="preserve"> </w:t>
            </w:r>
            <w:r w:rsidR="00DC3F92">
              <w:t>0.</w:t>
            </w:r>
            <w:r w:rsidRPr="0053463A">
              <w:t xml:space="preserve">77 </w:t>
            </w:r>
          </w:p>
        </w:tc>
        <w:tc>
          <w:tcPr>
            <w:tcW w:w="1221" w:type="dxa"/>
            <w:tcBorders>
              <w:top w:val="single" w:sz="4" w:space="0" w:color="999999"/>
              <w:bottom w:val="single" w:sz="4" w:space="0" w:color="999999"/>
            </w:tcBorders>
            <w:shd w:val="clear" w:color="auto" w:fill="auto"/>
          </w:tcPr>
          <w:p w14:paraId="3DB20734" w14:textId="77777777" w:rsidR="00C02A2A" w:rsidRDefault="00C02A2A" w:rsidP="00DC3F92">
            <w:pPr>
              <w:pStyle w:val="UtilComTabletext"/>
              <w:jc w:val="right"/>
            </w:pPr>
            <w:r w:rsidRPr="0053463A">
              <w:t xml:space="preserve"> </w:t>
            </w:r>
            <w:r w:rsidR="00DC3F92">
              <w:t>0.</w:t>
            </w:r>
            <w:r w:rsidR="00DC3F92" w:rsidRPr="0053463A">
              <w:t>6</w:t>
            </w:r>
            <w:r w:rsidR="00DC3F92">
              <w:t>1</w:t>
            </w:r>
            <w:r w:rsidR="00DC3F92" w:rsidRPr="0053463A">
              <w:t xml:space="preserve"> </w:t>
            </w:r>
          </w:p>
        </w:tc>
      </w:tr>
      <w:tr w:rsidR="00EB71C1" w:rsidRPr="005A0B65" w14:paraId="2348B3A6" w14:textId="77777777" w:rsidTr="0036612C">
        <w:trPr>
          <w:cantSplit/>
          <w:trHeight w:val="360"/>
        </w:trPr>
        <w:tc>
          <w:tcPr>
            <w:tcW w:w="1811" w:type="dxa"/>
            <w:tcBorders>
              <w:top w:val="single" w:sz="4" w:space="0" w:color="auto"/>
              <w:bottom w:val="single" w:sz="4" w:space="0" w:color="000000"/>
            </w:tcBorders>
          </w:tcPr>
          <w:p w14:paraId="19971A42" w14:textId="77777777" w:rsidR="00EB71C1" w:rsidRPr="005A0B65" w:rsidRDefault="00EB71C1" w:rsidP="0036612C">
            <w:pPr>
              <w:pStyle w:val="UtilComTabletext"/>
              <w:rPr>
                <w:b/>
              </w:rPr>
            </w:pPr>
            <w:r w:rsidRPr="005A0B65">
              <w:rPr>
                <w:b/>
              </w:rPr>
              <w:t>Total proposed capex</w:t>
            </w:r>
          </w:p>
        </w:tc>
        <w:tc>
          <w:tcPr>
            <w:tcW w:w="1221" w:type="dxa"/>
            <w:tcBorders>
              <w:top w:val="single" w:sz="4" w:space="0" w:color="auto"/>
              <w:bottom w:val="single" w:sz="4" w:space="0" w:color="000000"/>
            </w:tcBorders>
            <w:shd w:val="clear" w:color="auto" w:fill="auto"/>
          </w:tcPr>
          <w:p w14:paraId="54D70900" w14:textId="77777777" w:rsidR="00EB71C1" w:rsidRPr="005A0B65" w:rsidRDefault="00EB71C1" w:rsidP="00DC3F92">
            <w:pPr>
              <w:pStyle w:val="UtilComTabletext"/>
              <w:jc w:val="right"/>
              <w:rPr>
                <w:b/>
              </w:rPr>
            </w:pPr>
            <w:r w:rsidRPr="005A0B65">
              <w:rPr>
                <w:b/>
              </w:rPr>
              <w:t xml:space="preserve"> 84</w:t>
            </w:r>
            <w:r w:rsidR="00136EF9">
              <w:rPr>
                <w:b/>
              </w:rPr>
              <w:t>.</w:t>
            </w:r>
            <w:r w:rsidRPr="005A0B65">
              <w:rPr>
                <w:b/>
              </w:rPr>
              <w:t xml:space="preserve">74 </w:t>
            </w:r>
          </w:p>
        </w:tc>
        <w:tc>
          <w:tcPr>
            <w:tcW w:w="1221" w:type="dxa"/>
            <w:tcBorders>
              <w:top w:val="single" w:sz="4" w:space="0" w:color="auto"/>
              <w:bottom w:val="single" w:sz="4" w:space="0" w:color="000000"/>
            </w:tcBorders>
            <w:shd w:val="clear" w:color="auto" w:fill="auto"/>
          </w:tcPr>
          <w:p w14:paraId="58813996" w14:textId="77777777" w:rsidR="00EB71C1" w:rsidRPr="005A0B65" w:rsidRDefault="00EB71C1" w:rsidP="00DC3F92">
            <w:pPr>
              <w:pStyle w:val="UtilComTabletext"/>
              <w:jc w:val="right"/>
              <w:rPr>
                <w:b/>
              </w:rPr>
            </w:pPr>
            <w:r w:rsidRPr="005A0B65">
              <w:rPr>
                <w:b/>
              </w:rPr>
              <w:t xml:space="preserve"> 74</w:t>
            </w:r>
            <w:r w:rsidR="00136EF9">
              <w:rPr>
                <w:b/>
              </w:rPr>
              <w:t>.</w:t>
            </w:r>
            <w:r w:rsidRPr="005A0B65">
              <w:rPr>
                <w:b/>
              </w:rPr>
              <w:t xml:space="preserve">80 </w:t>
            </w:r>
          </w:p>
        </w:tc>
        <w:tc>
          <w:tcPr>
            <w:tcW w:w="1221" w:type="dxa"/>
            <w:tcBorders>
              <w:top w:val="single" w:sz="4" w:space="0" w:color="auto"/>
              <w:bottom w:val="single" w:sz="4" w:space="0" w:color="000000"/>
            </w:tcBorders>
          </w:tcPr>
          <w:p w14:paraId="708B219B" w14:textId="77777777" w:rsidR="00EB71C1" w:rsidRPr="005A0B65" w:rsidRDefault="00EB71C1" w:rsidP="00DC3F92">
            <w:pPr>
              <w:pStyle w:val="UtilComTabletext"/>
              <w:jc w:val="right"/>
              <w:rPr>
                <w:b/>
              </w:rPr>
            </w:pPr>
            <w:r w:rsidRPr="005A0B65">
              <w:rPr>
                <w:b/>
              </w:rPr>
              <w:t xml:space="preserve"> 57</w:t>
            </w:r>
            <w:r w:rsidR="00136EF9">
              <w:rPr>
                <w:b/>
              </w:rPr>
              <w:t>.</w:t>
            </w:r>
            <w:r w:rsidRPr="005A0B65">
              <w:rPr>
                <w:b/>
              </w:rPr>
              <w:t xml:space="preserve">44 </w:t>
            </w:r>
          </w:p>
        </w:tc>
        <w:tc>
          <w:tcPr>
            <w:tcW w:w="1221" w:type="dxa"/>
            <w:tcBorders>
              <w:top w:val="single" w:sz="4" w:space="0" w:color="auto"/>
              <w:bottom w:val="single" w:sz="4" w:space="0" w:color="000000"/>
            </w:tcBorders>
          </w:tcPr>
          <w:p w14:paraId="249529A7" w14:textId="77777777" w:rsidR="00EB71C1" w:rsidRPr="005A0B65" w:rsidRDefault="00EB71C1" w:rsidP="00DC3F92">
            <w:pPr>
              <w:pStyle w:val="UtilComTabletext"/>
              <w:jc w:val="right"/>
              <w:rPr>
                <w:b/>
              </w:rPr>
            </w:pPr>
            <w:r w:rsidRPr="005A0B65">
              <w:rPr>
                <w:b/>
              </w:rPr>
              <w:t xml:space="preserve"> 48</w:t>
            </w:r>
            <w:r w:rsidR="00136EF9">
              <w:rPr>
                <w:b/>
              </w:rPr>
              <w:t>.</w:t>
            </w:r>
            <w:r w:rsidR="00DC3F92" w:rsidRPr="005A0B65">
              <w:rPr>
                <w:b/>
              </w:rPr>
              <w:t>3</w:t>
            </w:r>
            <w:r w:rsidR="00DC3F92">
              <w:rPr>
                <w:b/>
              </w:rPr>
              <w:t>9</w:t>
            </w:r>
            <w:r w:rsidR="00DC3F92" w:rsidRPr="005A0B65">
              <w:rPr>
                <w:b/>
              </w:rPr>
              <w:t xml:space="preserve"> </w:t>
            </w:r>
          </w:p>
        </w:tc>
        <w:tc>
          <w:tcPr>
            <w:tcW w:w="1221" w:type="dxa"/>
            <w:tcBorders>
              <w:top w:val="single" w:sz="4" w:space="0" w:color="auto"/>
              <w:bottom w:val="single" w:sz="4" w:space="0" w:color="000000"/>
            </w:tcBorders>
          </w:tcPr>
          <w:p w14:paraId="096BA631" w14:textId="77777777" w:rsidR="00EB71C1" w:rsidRPr="005A0B65" w:rsidRDefault="00EB71C1" w:rsidP="00DC3F92">
            <w:pPr>
              <w:pStyle w:val="UtilComTabletext"/>
              <w:jc w:val="right"/>
              <w:rPr>
                <w:b/>
              </w:rPr>
            </w:pPr>
            <w:r w:rsidRPr="005A0B65">
              <w:rPr>
                <w:b/>
              </w:rPr>
              <w:t xml:space="preserve"> 57</w:t>
            </w:r>
            <w:r w:rsidR="00136EF9">
              <w:rPr>
                <w:b/>
              </w:rPr>
              <w:t>.</w:t>
            </w:r>
            <w:r w:rsidRPr="005A0B65">
              <w:rPr>
                <w:b/>
              </w:rPr>
              <w:t xml:space="preserve">58 </w:t>
            </w:r>
          </w:p>
        </w:tc>
        <w:tc>
          <w:tcPr>
            <w:tcW w:w="1221" w:type="dxa"/>
            <w:tcBorders>
              <w:top w:val="single" w:sz="4" w:space="0" w:color="auto"/>
              <w:bottom w:val="single" w:sz="4" w:space="0" w:color="000000"/>
            </w:tcBorders>
            <w:shd w:val="clear" w:color="auto" w:fill="auto"/>
          </w:tcPr>
          <w:p w14:paraId="01D353F6" w14:textId="77777777" w:rsidR="00EB71C1" w:rsidRPr="005A0B65" w:rsidRDefault="00EB71C1" w:rsidP="00DC3F92">
            <w:pPr>
              <w:pStyle w:val="UtilComTabletext"/>
              <w:jc w:val="right"/>
              <w:rPr>
                <w:b/>
              </w:rPr>
            </w:pPr>
            <w:r w:rsidRPr="005A0B65">
              <w:rPr>
                <w:b/>
              </w:rPr>
              <w:t>322.</w:t>
            </w:r>
            <w:r w:rsidR="00DC3F92" w:rsidRPr="005A0B65">
              <w:rPr>
                <w:b/>
              </w:rPr>
              <w:t>9</w:t>
            </w:r>
            <w:r w:rsidR="00DC3F92">
              <w:rPr>
                <w:b/>
              </w:rPr>
              <w:t>6</w:t>
            </w:r>
          </w:p>
        </w:tc>
      </w:tr>
    </w:tbl>
    <w:p w14:paraId="3720B263" w14:textId="0980F6AB" w:rsidR="00EB71C1" w:rsidRPr="00E529C5" w:rsidRDefault="00EB71C1" w:rsidP="00EB71C1">
      <w:pPr>
        <w:pStyle w:val="UtilComReferenceSource"/>
        <w:rPr>
          <w:lang w:val="en-AU"/>
        </w:rPr>
      </w:pPr>
      <w:r>
        <w:rPr>
          <w:lang w:val="en-AU"/>
        </w:rPr>
        <w:t xml:space="preserve">Source: </w:t>
      </w:r>
      <w:r w:rsidR="00B778D2" w:rsidRPr="00B778D2">
        <w:rPr>
          <w:lang w:val="en-AU"/>
        </w:rPr>
        <w:t xml:space="preserve">Derived from PWC Networks, </w:t>
      </w:r>
      <w:r w:rsidR="00B444DA">
        <w:rPr>
          <w:lang w:val="en-AU"/>
        </w:rPr>
        <w:t>initial r</w:t>
      </w:r>
      <w:r w:rsidR="00B444DA" w:rsidRPr="00B778D2">
        <w:rPr>
          <w:lang w:val="en-AU"/>
        </w:rPr>
        <w:t xml:space="preserve">egulatory </w:t>
      </w:r>
      <w:r w:rsidR="00B778D2" w:rsidRPr="00B778D2">
        <w:rPr>
          <w:lang w:val="en-AU"/>
        </w:rPr>
        <w:t>proposal, September 2013, RIN template 3.1 (confidential)</w:t>
      </w:r>
    </w:p>
    <w:p w14:paraId="7C684A97" w14:textId="5D1A73DD" w:rsidR="00A45C3F" w:rsidRPr="00F275BF" w:rsidRDefault="00A45C3F" w:rsidP="00421399">
      <w:pPr>
        <w:pStyle w:val="NumberLevel2"/>
        <w:numPr>
          <w:ilvl w:val="1"/>
          <w:numId w:val="5"/>
        </w:numPr>
        <w:tabs>
          <w:tab w:val="num" w:pos="709"/>
        </w:tabs>
        <w:ind w:left="709" w:hanging="709"/>
        <w:rPr>
          <w:lang w:val="en-AU"/>
        </w:rPr>
      </w:pPr>
      <w:r w:rsidRPr="00F275BF">
        <w:rPr>
          <w:lang w:val="en-AU"/>
        </w:rPr>
        <w:t xml:space="preserve">The NTMEU expressed concern that </w:t>
      </w:r>
      <w:r w:rsidR="00E22790">
        <w:rPr>
          <w:lang w:val="en-AU"/>
        </w:rPr>
        <w:t xml:space="preserve">PWC Networks’ </w:t>
      </w:r>
      <w:r w:rsidRPr="00F275BF">
        <w:rPr>
          <w:lang w:val="en-AU"/>
        </w:rPr>
        <w:t>real labour cost escalators did not include a productivity adjustment and</w:t>
      </w:r>
      <w:r w:rsidR="00F275BF" w:rsidRPr="00F275BF">
        <w:rPr>
          <w:lang w:val="en-AU"/>
        </w:rPr>
        <w:t>, for internal labour, were based on</w:t>
      </w:r>
      <w:r w:rsidRPr="00F275BF">
        <w:rPr>
          <w:lang w:val="en-AU"/>
        </w:rPr>
        <w:t xml:space="preserve"> </w:t>
      </w:r>
      <w:r w:rsidR="00F275BF" w:rsidRPr="00F275BF">
        <w:rPr>
          <w:lang w:val="en-AU"/>
        </w:rPr>
        <w:t xml:space="preserve">the PWC Enterprise Bargaining Agreement. The NTMEU also noted that the </w:t>
      </w:r>
      <w:r w:rsidR="00270B81" w:rsidRPr="00F275BF">
        <w:rPr>
          <w:lang w:val="en-AU"/>
        </w:rPr>
        <w:t>long</w:t>
      </w:r>
      <w:r w:rsidR="00270B81">
        <w:rPr>
          <w:lang w:val="en-AU"/>
        </w:rPr>
        <w:t>-</w:t>
      </w:r>
      <w:r w:rsidR="00F275BF" w:rsidRPr="00F275BF">
        <w:rPr>
          <w:lang w:val="en-AU"/>
        </w:rPr>
        <w:t>term accuracy of forecasters of future labour costs was variable.</w:t>
      </w:r>
      <w:r w:rsidRPr="00F275BF">
        <w:rPr>
          <w:lang w:val="en-AU"/>
        </w:rPr>
        <w:t xml:space="preserve"> </w:t>
      </w:r>
    </w:p>
    <w:p w14:paraId="48027FC3" w14:textId="5D6975F4" w:rsidR="00A45C3F" w:rsidRPr="00F275BF" w:rsidRDefault="00F275BF" w:rsidP="00421399">
      <w:pPr>
        <w:pStyle w:val="NumberLevel2"/>
        <w:numPr>
          <w:ilvl w:val="1"/>
          <w:numId w:val="5"/>
        </w:numPr>
        <w:tabs>
          <w:tab w:val="num" w:pos="709"/>
        </w:tabs>
        <w:ind w:left="709" w:hanging="709"/>
        <w:rPr>
          <w:lang w:val="en-AU"/>
        </w:rPr>
      </w:pPr>
      <w:r w:rsidRPr="00F275BF">
        <w:rPr>
          <w:lang w:val="en-AU"/>
        </w:rPr>
        <w:t xml:space="preserve">The NTMEU accepted that PWC Networks’ approach to forecast real material cost changes </w:t>
      </w:r>
      <w:r w:rsidR="00B444DA">
        <w:rPr>
          <w:lang w:val="en-AU"/>
        </w:rPr>
        <w:t>had</w:t>
      </w:r>
      <w:r w:rsidR="00B444DA" w:rsidRPr="00F275BF">
        <w:rPr>
          <w:lang w:val="en-AU"/>
        </w:rPr>
        <w:t xml:space="preserve"> </w:t>
      </w:r>
      <w:r w:rsidRPr="00F275BF">
        <w:rPr>
          <w:lang w:val="en-AU"/>
        </w:rPr>
        <w:t>regulatory precedent.</w:t>
      </w:r>
    </w:p>
    <w:p w14:paraId="22EC2DE3" w14:textId="31DEED34" w:rsidR="00A45C3F" w:rsidRPr="00136EF9" w:rsidRDefault="00586988" w:rsidP="00421399">
      <w:pPr>
        <w:pStyle w:val="NumberLevel2"/>
        <w:numPr>
          <w:ilvl w:val="1"/>
          <w:numId w:val="5"/>
        </w:numPr>
        <w:tabs>
          <w:tab w:val="num" w:pos="709"/>
        </w:tabs>
        <w:ind w:left="709" w:hanging="709"/>
        <w:rPr>
          <w:lang w:val="en-AU"/>
        </w:rPr>
      </w:pPr>
      <w:r w:rsidRPr="00136EF9">
        <w:rPr>
          <w:lang w:val="en-AU"/>
        </w:rPr>
        <w:t xml:space="preserve">The Commission </w:t>
      </w:r>
      <w:r w:rsidR="00C73B40" w:rsidRPr="00136EF9">
        <w:rPr>
          <w:lang w:val="en-AU"/>
        </w:rPr>
        <w:t>consider</w:t>
      </w:r>
      <w:r w:rsidR="00C73B40">
        <w:rPr>
          <w:lang w:val="en-AU"/>
        </w:rPr>
        <w:t>ed</w:t>
      </w:r>
      <w:r w:rsidR="00C73B40" w:rsidRPr="00136EF9">
        <w:rPr>
          <w:lang w:val="en-AU"/>
        </w:rPr>
        <w:t xml:space="preserve"> </w:t>
      </w:r>
      <w:r w:rsidR="00C358C2" w:rsidRPr="00136EF9">
        <w:rPr>
          <w:lang w:val="en-AU"/>
        </w:rPr>
        <w:t xml:space="preserve">the real input cost escalators proposed by PWC Networks </w:t>
      </w:r>
      <w:r w:rsidR="00B444DA">
        <w:rPr>
          <w:lang w:val="en-AU"/>
        </w:rPr>
        <w:t xml:space="preserve">were </w:t>
      </w:r>
      <w:r w:rsidR="00136EF9">
        <w:rPr>
          <w:lang w:val="en-AU"/>
        </w:rPr>
        <w:t>reasonable</w:t>
      </w:r>
      <w:r w:rsidR="00C358C2" w:rsidRPr="00136EF9">
        <w:rPr>
          <w:lang w:val="en-AU"/>
        </w:rPr>
        <w:t>, taking into account the higher costs generally incurred in the Territory due to its remoteness</w:t>
      </w:r>
      <w:r w:rsidR="006E5149">
        <w:rPr>
          <w:lang w:val="en-AU"/>
        </w:rPr>
        <w:t>,</w:t>
      </w:r>
      <w:r w:rsidR="00C358C2" w:rsidRPr="00136EF9">
        <w:rPr>
          <w:lang w:val="en-AU"/>
        </w:rPr>
        <w:t xml:space="preserve"> lack of economies of scale</w:t>
      </w:r>
      <w:r w:rsidR="00717FBA">
        <w:rPr>
          <w:lang w:val="en-AU"/>
        </w:rPr>
        <w:t xml:space="preserve"> and pressure arising from such major projects as I</w:t>
      </w:r>
      <w:r w:rsidR="00104762">
        <w:rPr>
          <w:lang w:val="en-AU"/>
        </w:rPr>
        <w:t>chthys</w:t>
      </w:r>
      <w:r w:rsidR="00C358C2" w:rsidRPr="00136EF9">
        <w:rPr>
          <w:lang w:val="en-AU"/>
        </w:rPr>
        <w:t>.</w:t>
      </w:r>
    </w:p>
    <w:p w14:paraId="59A93355" w14:textId="77777777" w:rsidR="00943603" w:rsidRDefault="00943603" w:rsidP="00943603">
      <w:pPr>
        <w:pStyle w:val="UtilComHeading3"/>
        <w:rPr>
          <w:lang w:val="en-AU"/>
        </w:rPr>
      </w:pPr>
      <w:r>
        <w:rPr>
          <w:lang w:val="en-AU"/>
        </w:rPr>
        <w:t>Deliverability</w:t>
      </w:r>
    </w:p>
    <w:p w14:paraId="4B2323DD" w14:textId="503EBC61" w:rsidR="00943603" w:rsidRDefault="00F275BF" w:rsidP="00421399">
      <w:pPr>
        <w:pStyle w:val="NumberLevel2"/>
        <w:numPr>
          <w:ilvl w:val="1"/>
          <w:numId w:val="5"/>
        </w:numPr>
        <w:tabs>
          <w:tab w:val="num" w:pos="851"/>
        </w:tabs>
        <w:ind w:left="851" w:hanging="851"/>
        <w:rPr>
          <w:lang w:val="en-AU"/>
        </w:rPr>
      </w:pPr>
      <w:r>
        <w:rPr>
          <w:lang w:val="en-AU"/>
        </w:rPr>
        <w:t xml:space="preserve">The Commission </w:t>
      </w:r>
      <w:r w:rsidR="00C73B40">
        <w:rPr>
          <w:lang w:val="en-AU"/>
        </w:rPr>
        <w:t xml:space="preserve">noted </w:t>
      </w:r>
      <w:r>
        <w:rPr>
          <w:lang w:val="en-AU"/>
        </w:rPr>
        <w:t>that PWC Networks</w:t>
      </w:r>
      <w:r w:rsidR="00270B81">
        <w:rPr>
          <w:lang w:val="en-AU"/>
        </w:rPr>
        <w:t>’</w:t>
      </w:r>
      <w:r>
        <w:rPr>
          <w:lang w:val="en-AU"/>
        </w:rPr>
        <w:t xml:space="preserve"> forecast capex program </w:t>
      </w:r>
      <w:r w:rsidR="00B444DA">
        <w:rPr>
          <w:lang w:val="en-AU"/>
        </w:rPr>
        <w:t xml:space="preserve">represented </w:t>
      </w:r>
      <w:r>
        <w:rPr>
          <w:lang w:val="en-AU"/>
        </w:rPr>
        <w:t xml:space="preserve">a decrease compared to the level of actual capex in the </w:t>
      </w:r>
      <w:r w:rsidR="00C20F29">
        <w:rPr>
          <w:lang w:val="en-AU"/>
        </w:rPr>
        <w:t xml:space="preserve">2009-14 </w:t>
      </w:r>
      <w:r>
        <w:rPr>
          <w:lang w:val="en-AU"/>
        </w:rPr>
        <w:t xml:space="preserve">regulatory control period. </w:t>
      </w:r>
    </w:p>
    <w:p w14:paraId="1E23A2EA" w14:textId="11CDC2F0" w:rsidR="00F275BF" w:rsidRDefault="00F275BF" w:rsidP="00421399">
      <w:pPr>
        <w:pStyle w:val="NumberLevel2"/>
        <w:numPr>
          <w:ilvl w:val="1"/>
          <w:numId w:val="5"/>
        </w:numPr>
        <w:tabs>
          <w:tab w:val="num" w:pos="851"/>
        </w:tabs>
        <w:ind w:left="851" w:hanging="851"/>
        <w:rPr>
          <w:lang w:val="en-AU"/>
        </w:rPr>
      </w:pPr>
      <w:r>
        <w:rPr>
          <w:lang w:val="en-AU"/>
        </w:rPr>
        <w:t>Adjustments to the t</w:t>
      </w:r>
      <w:r w:rsidR="0069641A">
        <w:rPr>
          <w:lang w:val="en-AU"/>
        </w:rPr>
        <w:t xml:space="preserve">iming of some capex projects </w:t>
      </w:r>
      <w:r w:rsidR="00B444DA">
        <w:rPr>
          <w:lang w:val="en-AU"/>
        </w:rPr>
        <w:t xml:space="preserve">would </w:t>
      </w:r>
      <w:r w:rsidR="0069641A">
        <w:rPr>
          <w:lang w:val="en-AU"/>
        </w:rPr>
        <w:t>address the ‘front loading’ and improve the deliverability of the forecast capex program.</w:t>
      </w:r>
    </w:p>
    <w:p w14:paraId="582DA560" w14:textId="1DBC21AB" w:rsidR="0069641A" w:rsidRPr="00F275BF" w:rsidRDefault="0069641A" w:rsidP="00421399">
      <w:pPr>
        <w:pStyle w:val="NumberLevel2"/>
        <w:numPr>
          <w:ilvl w:val="1"/>
          <w:numId w:val="5"/>
        </w:numPr>
        <w:tabs>
          <w:tab w:val="num" w:pos="851"/>
        </w:tabs>
        <w:ind w:left="851" w:hanging="851"/>
        <w:rPr>
          <w:lang w:val="en-AU"/>
        </w:rPr>
      </w:pPr>
      <w:r>
        <w:rPr>
          <w:lang w:val="en-AU"/>
        </w:rPr>
        <w:t xml:space="preserve">The Commission </w:t>
      </w:r>
      <w:r w:rsidR="00C73B40">
        <w:rPr>
          <w:lang w:val="en-AU"/>
        </w:rPr>
        <w:t xml:space="preserve">was </w:t>
      </w:r>
      <w:r>
        <w:rPr>
          <w:lang w:val="en-AU"/>
        </w:rPr>
        <w:t xml:space="preserve">satisfied that PWC Networks </w:t>
      </w:r>
      <w:r w:rsidR="00B444DA">
        <w:rPr>
          <w:lang w:val="en-AU"/>
        </w:rPr>
        <w:t xml:space="preserve">had </w:t>
      </w:r>
      <w:r>
        <w:rPr>
          <w:lang w:val="en-AU"/>
        </w:rPr>
        <w:t xml:space="preserve">resource capability and material procurement processes in place to deliver its proposed capital works program during the </w:t>
      </w:r>
      <w:r w:rsidR="00C20F29">
        <w:rPr>
          <w:lang w:val="en-AU"/>
        </w:rPr>
        <w:t xml:space="preserve">2014-19 </w:t>
      </w:r>
      <w:r>
        <w:rPr>
          <w:lang w:val="en-AU"/>
        </w:rPr>
        <w:t>regulatory control period.</w:t>
      </w:r>
    </w:p>
    <w:p w14:paraId="6A2E40D2" w14:textId="747FEEF0" w:rsidR="00C76810" w:rsidRDefault="00C76810" w:rsidP="00C76810">
      <w:pPr>
        <w:pStyle w:val="UtilComHeading2"/>
      </w:pPr>
      <w:bookmarkStart w:id="190" w:name="_Toc385241517"/>
      <w:bookmarkStart w:id="191" w:name="_Toc386013070"/>
      <w:r>
        <w:t xml:space="preserve">Commission’s </w:t>
      </w:r>
      <w:r w:rsidR="00E9115D">
        <w:t xml:space="preserve">Draft </w:t>
      </w:r>
      <w:bookmarkEnd w:id="190"/>
      <w:r w:rsidR="00E9115D">
        <w:t>Decision</w:t>
      </w:r>
      <w:bookmarkEnd w:id="191"/>
    </w:p>
    <w:p w14:paraId="0B79962E" w14:textId="7D5F4942" w:rsidR="00BB353A" w:rsidRPr="00BB353A" w:rsidRDefault="00D5387C" w:rsidP="006B490F">
      <w:pPr>
        <w:pStyle w:val="NumberLevel2"/>
        <w:numPr>
          <w:ilvl w:val="1"/>
          <w:numId w:val="5"/>
        </w:numPr>
        <w:tabs>
          <w:tab w:val="num" w:pos="709"/>
        </w:tabs>
        <w:ind w:left="709" w:hanging="709"/>
        <w:rPr>
          <w:lang w:val="en-AU"/>
        </w:rPr>
      </w:pPr>
      <w:r>
        <w:rPr>
          <w:lang w:val="en-AU"/>
        </w:rPr>
        <w:t xml:space="preserve">The Commission </w:t>
      </w:r>
      <w:r w:rsidR="006B490F">
        <w:rPr>
          <w:lang w:val="en-AU"/>
        </w:rPr>
        <w:t xml:space="preserve">considered </w:t>
      </w:r>
      <w:r w:rsidR="00980011">
        <w:rPr>
          <w:lang w:val="en-AU"/>
        </w:rPr>
        <w:t>PWC Network</w:t>
      </w:r>
      <w:r w:rsidR="006B490F">
        <w:rPr>
          <w:lang w:val="en-AU"/>
        </w:rPr>
        <w:t>s</w:t>
      </w:r>
      <w:r w:rsidR="00980011">
        <w:rPr>
          <w:lang w:val="en-AU"/>
        </w:rPr>
        <w:t>’</w:t>
      </w:r>
      <w:r w:rsidR="006B490F">
        <w:rPr>
          <w:lang w:val="en-AU"/>
        </w:rPr>
        <w:t xml:space="preserve"> proposed forecast </w:t>
      </w:r>
      <w:r w:rsidR="00B444DA">
        <w:rPr>
          <w:lang w:val="en-AU"/>
        </w:rPr>
        <w:t xml:space="preserve">of required </w:t>
      </w:r>
      <w:r w:rsidR="006B490F">
        <w:rPr>
          <w:lang w:val="en-AU"/>
        </w:rPr>
        <w:t xml:space="preserve">capex of </w:t>
      </w:r>
      <w:r w:rsidR="006B490F" w:rsidRPr="006B490F">
        <w:rPr>
          <w:lang w:val="en-AU"/>
        </w:rPr>
        <w:t xml:space="preserve">$323.0 million ($2013-14) </w:t>
      </w:r>
      <w:r w:rsidR="00E22790">
        <w:rPr>
          <w:lang w:val="en-AU"/>
        </w:rPr>
        <w:t xml:space="preserve">but </w:t>
      </w:r>
      <w:r w:rsidR="006B490F">
        <w:rPr>
          <w:lang w:val="en-AU"/>
        </w:rPr>
        <w:t xml:space="preserve">was </w:t>
      </w:r>
      <w:r>
        <w:rPr>
          <w:lang w:val="en-AU"/>
        </w:rPr>
        <w:t xml:space="preserve">not satisfied that the </w:t>
      </w:r>
      <w:r w:rsidR="00B444DA">
        <w:rPr>
          <w:lang w:val="en-AU"/>
        </w:rPr>
        <w:t>capex</w:t>
      </w:r>
      <w:r>
        <w:rPr>
          <w:lang w:val="en-AU"/>
        </w:rPr>
        <w:t xml:space="preserve"> proposed by </w:t>
      </w:r>
      <w:r w:rsidR="002D49A6">
        <w:rPr>
          <w:lang w:val="en-AU"/>
        </w:rPr>
        <w:t>PWC </w:t>
      </w:r>
      <w:r>
        <w:rPr>
          <w:lang w:val="en-AU"/>
        </w:rPr>
        <w:t xml:space="preserve">Networks </w:t>
      </w:r>
      <w:r w:rsidRPr="00D5387C">
        <w:rPr>
          <w:lang w:val="en-AU"/>
        </w:rPr>
        <w:t xml:space="preserve">reasonably </w:t>
      </w:r>
      <w:r w:rsidR="00B444DA" w:rsidRPr="00D5387C">
        <w:rPr>
          <w:lang w:val="en-AU"/>
        </w:rPr>
        <w:t>reflect</w:t>
      </w:r>
      <w:r w:rsidR="00B444DA">
        <w:rPr>
          <w:lang w:val="en-AU"/>
        </w:rPr>
        <w:t>ed</w:t>
      </w:r>
      <w:r w:rsidR="00B444DA" w:rsidRPr="00D5387C">
        <w:rPr>
          <w:lang w:val="en-AU"/>
        </w:rPr>
        <w:t xml:space="preserve"> </w:t>
      </w:r>
      <w:r w:rsidRPr="00D5387C">
        <w:rPr>
          <w:lang w:val="en-AU"/>
        </w:rPr>
        <w:t xml:space="preserve">the efficient capital investment required to be undertaken by PWC Networks in the </w:t>
      </w:r>
      <w:r w:rsidR="006B490F">
        <w:rPr>
          <w:lang w:val="en-AU"/>
        </w:rPr>
        <w:t>2014</w:t>
      </w:r>
      <w:r w:rsidR="00B444DA">
        <w:rPr>
          <w:lang w:val="en-AU"/>
        </w:rPr>
        <w:noBreakHyphen/>
      </w:r>
      <w:r w:rsidR="006B490F">
        <w:rPr>
          <w:lang w:val="en-AU"/>
        </w:rPr>
        <w:t>19</w:t>
      </w:r>
      <w:r w:rsidR="006B490F" w:rsidRPr="00D5387C">
        <w:rPr>
          <w:lang w:val="en-AU"/>
        </w:rPr>
        <w:t xml:space="preserve"> </w:t>
      </w:r>
      <w:r w:rsidRPr="00D5387C">
        <w:rPr>
          <w:lang w:val="en-AU"/>
        </w:rPr>
        <w:t>regulatory control period</w:t>
      </w:r>
      <w:r>
        <w:rPr>
          <w:lang w:val="en-AU"/>
        </w:rPr>
        <w:t>. Further, t</w:t>
      </w:r>
      <w:r w:rsidR="00BB353A" w:rsidRPr="00BB353A">
        <w:rPr>
          <w:lang w:val="en-AU"/>
        </w:rPr>
        <w:t xml:space="preserve">he </w:t>
      </w:r>
      <w:r w:rsidR="00BB353A">
        <w:rPr>
          <w:lang w:val="en-AU"/>
        </w:rPr>
        <w:t>Commission</w:t>
      </w:r>
      <w:r w:rsidR="00BB353A" w:rsidRPr="00BB353A">
        <w:rPr>
          <w:lang w:val="en-AU"/>
        </w:rPr>
        <w:t xml:space="preserve"> </w:t>
      </w:r>
      <w:r w:rsidR="006B490F">
        <w:rPr>
          <w:lang w:val="en-AU"/>
        </w:rPr>
        <w:t>wa</w:t>
      </w:r>
      <w:r w:rsidR="006B490F" w:rsidRPr="00BB353A">
        <w:rPr>
          <w:lang w:val="en-AU"/>
        </w:rPr>
        <w:t xml:space="preserve">s </w:t>
      </w:r>
      <w:r w:rsidR="00BB353A" w:rsidRPr="00BB353A">
        <w:rPr>
          <w:lang w:val="en-AU"/>
        </w:rPr>
        <w:t xml:space="preserve">not satisfied that </w:t>
      </w:r>
      <w:r w:rsidR="00BB353A">
        <w:rPr>
          <w:lang w:val="en-AU"/>
        </w:rPr>
        <w:t>PWC Networks’</w:t>
      </w:r>
      <w:r w:rsidR="00BB353A" w:rsidRPr="00BB353A">
        <w:rPr>
          <w:lang w:val="en-AU"/>
        </w:rPr>
        <w:t xml:space="preserve"> forecast capex, taking into account the </w:t>
      </w:r>
      <w:r w:rsidR="00B444DA">
        <w:rPr>
          <w:lang w:val="en-AU"/>
        </w:rPr>
        <w:t>capital expenditure</w:t>
      </w:r>
      <w:r w:rsidR="00B444DA" w:rsidRPr="00BB353A">
        <w:rPr>
          <w:lang w:val="en-AU"/>
        </w:rPr>
        <w:t xml:space="preserve"> </w:t>
      </w:r>
      <w:r w:rsidR="00BB353A" w:rsidRPr="00BB353A">
        <w:rPr>
          <w:lang w:val="en-AU"/>
        </w:rPr>
        <w:t xml:space="preserve">factors, reasonably </w:t>
      </w:r>
      <w:r w:rsidR="00B444DA" w:rsidRPr="00BB353A">
        <w:rPr>
          <w:lang w:val="en-AU"/>
        </w:rPr>
        <w:t>reflect</w:t>
      </w:r>
      <w:r w:rsidR="00B444DA">
        <w:rPr>
          <w:lang w:val="en-AU"/>
        </w:rPr>
        <w:t>ed</w:t>
      </w:r>
      <w:r w:rsidR="00B444DA" w:rsidRPr="00BB353A">
        <w:rPr>
          <w:lang w:val="en-AU"/>
        </w:rPr>
        <w:t xml:space="preserve"> </w:t>
      </w:r>
      <w:r w:rsidR="00BB353A" w:rsidRPr="00BB353A">
        <w:rPr>
          <w:lang w:val="en-AU"/>
        </w:rPr>
        <w:t xml:space="preserve">the </w:t>
      </w:r>
      <w:r w:rsidR="00B444DA">
        <w:rPr>
          <w:lang w:val="en-AU"/>
        </w:rPr>
        <w:t>capital expenditure</w:t>
      </w:r>
      <w:r w:rsidR="00B444DA" w:rsidRPr="00BB353A">
        <w:rPr>
          <w:lang w:val="en-AU"/>
        </w:rPr>
        <w:t xml:space="preserve"> </w:t>
      </w:r>
      <w:r w:rsidR="00BB353A" w:rsidRPr="00BB353A">
        <w:rPr>
          <w:lang w:val="en-AU"/>
        </w:rPr>
        <w:t>criteria in clause 6.5.7 of the</w:t>
      </w:r>
      <w:r w:rsidR="00006B84">
        <w:rPr>
          <w:lang w:val="en-AU"/>
        </w:rPr>
        <w:t> </w:t>
      </w:r>
      <w:r w:rsidR="00BB353A" w:rsidRPr="00BB353A">
        <w:rPr>
          <w:lang w:val="en-AU"/>
        </w:rPr>
        <w:t xml:space="preserve">NER. </w:t>
      </w:r>
    </w:p>
    <w:p w14:paraId="528306AD" w14:textId="14AD6105" w:rsidR="006B490F" w:rsidRDefault="006B490F" w:rsidP="006B490F">
      <w:pPr>
        <w:pStyle w:val="NumberLevel2"/>
        <w:numPr>
          <w:ilvl w:val="1"/>
          <w:numId w:val="5"/>
        </w:numPr>
        <w:tabs>
          <w:tab w:val="num" w:pos="709"/>
        </w:tabs>
        <w:ind w:left="709" w:hanging="709"/>
        <w:rPr>
          <w:lang w:val="en-AU"/>
        </w:rPr>
      </w:pPr>
      <w:r w:rsidRPr="005B6B13">
        <w:rPr>
          <w:lang w:val="en-AU"/>
        </w:rPr>
        <w:t xml:space="preserve">Following </w:t>
      </w:r>
      <w:r>
        <w:rPr>
          <w:lang w:val="en-AU"/>
        </w:rPr>
        <w:t xml:space="preserve">its review of PWC Networks capex proposal, the Commission made the following </w:t>
      </w:r>
      <w:r w:rsidRPr="005B6B13">
        <w:rPr>
          <w:lang w:val="en-AU"/>
        </w:rPr>
        <w:t>adjustments</w:t>
      </w:r>
      <w:r w:rsidR="00B444DA">
        <w:rPr>
          <w:lang w:val="en-AU"/>
        </w:rPr>
        <w:t xml:space="preserve"> to PWC Networks’ proposed capex forecast for the 2014-19 regulatory control period</w:t>
      </w:r>
      <w:r w:rsidR="00E22790">
        <w:rPr>
          <w:lang w:val="en-AU"/>
        </w:rPr>
        <w:t>.</w:t>
      </w:r>
      <w:r>
        <w:rPr>
          <w:rStyle w:val="FootnoteReference"/>
          <w:lang w:val="en-AU"/>
        </w:rPr>
        <w:footnoteReference w:id="53"/>
      </w:r>
    </w:p>
    <w:p w14:paraId="07A3FBE2" w14:textId="3FAA343E" w:rsidR="006B490F" w:rsidRPr="005B6B13" w:rsidRDefault="006B490F" w:rsidP="008E229D">
      <w:pPr>
        <w:pStyle w:val="UtilComBulletText"/>
        <w:numPr>
          <w:ilvl w:val="0"/>
          <w:numId w:val="6"/>
        </w:numPr>
        <w:tabs>
          <w:tab w:val="clear" w:pos="964"/>
          <w:tab w:val="num" w:pos="1134"/>
        </w:tabs>
        <w:ind w:left="1134" w:hanging="425"/>
      </w:pPr>
      <w:r>
        <w:t>a</w:t>
      </w:r>
      <w:r w:rsidRPr="005B6B13">
        <w:t xml:space="preserve"> reduction of $8.</w:t>
      </w:r>
      <w:r>
        <w:t>6 million</w:t>
      </w:r>
      <w:r w:rsidRPr="005B6B13">
        <w:t xml:space="preserve"> to the network user</w:t>
      </w:r>
      <w:r>
        <w:t xml:space="preserve"> </w:t>
      </w:r>
      <w:r w:rsidRPr="005B6B13">
        <w:t>initiated capex forecast as the forecast has not been sufficiently substantiated</w:t>
      </w:r>
      <w:r w:rsidR="00FD5D58">
        <w:t>;</w:t>
      </w:r>
    </w:p>
    <w:p w14:paraId="3902C932" w14:textId="2E3CA06E" w:rsidR="006B490F" w:rsidRPr="005B6B13" w:rsidRDefault="006B490F" w:rsidP="008E229D">
      <w:pPr>
        <w:pStyle w:val="UtilComBulletText"/>
        <w:numPr>
          <w:ilvl w:val="0"/>
          <w:numId w:val="6"/>
        </w:numPr>
        <w:tabs>
          <w:tab w:val="clear" w:pos="964"/>
          <w:tab w:val="num" w:pos="1134"/>
        </w:tabs>
        <w:ind w:left="1134" w:hanging="425"/>
      </w:pPr>
      <w:r>
        <w:t>a</w:t>
      </w:r>
      <w:r w:rsidRPr="005B6B13">
        <w:t xml:space="preserve"> reduction of $</w:t>
      </w:r>
      <w:r>
        <w:t>15</w:t>
      </w:r>
      <w:r w:rsidRPr="005B6B13">
        <w:t>.</w:t>
      </w:r>
      <w:r>
        <w:t>8 million</w:t>
      </w:r>
      <w:r w:rsidRPr="005B6B13">
        <w:t xml:space="preserve"> to the augmentation capex forecast as the forecast has not been sufficiently substantiated</w:t>
      </w:r>
      <w:r w:rsidR="00B444DA">
        <w:t>;</w:t>
      </w:r>
    </w:p>
    <w:p w14:paraId="3AED5091" w14:textId="77777777" w:rsidR="006B490F" w:rsidRPr="005B6B13" w:rsidRDefault="006B490F" w:rsidP="008E229D">
      <w:pPr>
        <w:pStyle w:val="UtilComBulletText"/>
        <w:numPr>
          <w:ilvl w:val="0"/>
          <w:numId w:val="6"/>
        </w:numPr>
        <w:tabs>
          <w:tab w:val="clear" w:pos="964"/>
          <w:tab w:val="num" w:pos="1134"/>
        </w:tabs>
        <w:ind w:left="1134" w:hanging="425"/>
      </w:pPr>
      <w:r>
        <w:t>a</w:t>
      </w:r>
      <w:r w:rsidRPr="005B6B13">
        <w:t xml:space="preserve"> reduction of $31.</w:t>
      </w:r>
      <w:r>
        <w:t>4 million</w:t>
      </w:r>
      <w:r w:rsidRPr="005B6B13">
        <w:t xml:space="preserve"> to the asset replacement capex forecast consisting of:</w:t>
      </w:r>
    </w:p>
    <w:p w14:paraId="3D389681" w14:textId="50C30ED1" w:rsidR="006B490F" w:rsidRPr="005B6B13" w:rsidRDefault="006B490F" w:rsidP="008E229D">
      <w:pPr>
        <w:pStyle w:val="UtilComBulletText"/>
        <w:numPr>
          <w:ilvl w:val="1"/>
          <w:numId w:val="13"/>
        </w:numPr>
        <w:tabs>
          <w:tab w:val="clear" w:pos="1134"/>
          <w:tab w:val="left" w:pos="1701"/>
        </w:tabs>
        <w:ind w:left="1418" w:hanging="284"/>
      </w:pPr>
      <w:r w:rsidRPr="005B6B13">
        <w:t>$15.8</w:t>
      </w:r>
      <w:r>
        <w:t xml:space="preserve"> million</w:t>
      </w:r>
      <w:r w:rsidRPr="005B6B13">
        <w:t xml:space="preserve"> as some components of work </w:t>
      </w:r>
      <w:r w:rsidR="00B444DA">
        <w:t>were</w:t>
      </w:r>
      <w:r w:rsidR="00B444DA" w:rsidRPr="005B6B13">
        <w:t xml:space="preserve"> </w:t>
      </w:r>
      <w:r w:rsidRPr="005B6B13">
        <w:t>not demonstrated to be prudent and the unit ra</w:t>
      </w:r>
      <w:r w:rsidR="00E22790">
        <w:t>tes underpinning the forecasts were</w:t>
      </w:r>
      <w:r w:rsidRPr="005B6B13">
        <w:t xml:space="preserve"> upwardly biased</w:t>
      </w:r>
      <w:r w:rsidR="00B444DA">
        <w:t>; and</w:t>
      </w:r>
    </w:p>
    <w:p w14:paraId="3EF2A5CF" w14:textId="661C40CA" w:rsidR="006B490F" w:rsidRPr="005B6B13" w:rsidRDefault="006B490F" w:rsidP="008E229D">
      <w:pPr>
        <w:pStyle w:val="UtilComBulletText"/>
        <w:numPr>
          <w:ilvl w:val="1"/>
          <w:numId w:val="13"/>
        </w:numPr>
        <w:tabs>
          <w:tab w:val="clear" w:pos="1134"/>
          <w:tab w:val="left" w:pos="1701"/>
        </w:tabs>
        <w:ind w:left="1418" w:hanging="284"/>
      </w:pPr>
      <w:r w:rsidRPr="005B6B13">
        <w:t>$15.</w:t>
      </w:r>
      <w:r>
        <w:t>6 million</w:t>
      </w:r>
      <w:r w:rsidRPr="005B6B13">
        <w:t xml:space="preserve"> as the Mitchell St </w:t>
      </w:r>
      <w:r w:rsidR="00B444DA">
        <w:t>S</w:t>
      </w:r>
      <w:r w:rsidR="00B444DA" w:rsidRPr="005B6B13">
        <w:t xml:space="preserve">witching </w:t>
      </w:r>
      <w:r w:rsidR="00B444DA">
        <w:t>S</w:t>
      </w:r>
      <w:r w:rsidR="00B444DA" w:rsidRPr="005B6B13">
        <w:t xml:space="preserve">tation </w:t>
      </w:r>
      <w:r>
        <w:t>r</w:t>
      </w:r>
      <w:r w:rsidRPr="005B6B13">
        <w:t xml:space="preserve">eplacement </w:t>
      </w:r>
      <w:r w:rsidR="00E22790">
        <w:t xml:space="preserve">project </w:t>
      </w:r>
      <w:r w:rsidR="00B444DA">
        <w:t>was</w:t>
      </w:r>
      <w:r w:rsidR="00B444DA" w:rsidRPr="005B6B13">
        <w:t xml:space="preserve"> </w:t>
      </w:r>
      <w:r w:rsidRPr="005B6B13">
        <w:t>a contingent project,</w:t>
      </w:r>
      <w:r w:rsidRPr="00C20F29">
        <w:rPr>
          <w:rStyle w:val="FootnoteReference"/>
          <w:rFonts w:cs="Times New Roman"/>
          <w:szCs w:val="20"/>
          <w:lang w:val="en-AU"/>
        </w:rPr>
        <w:footnoteReference w:id="54"/>
      </w:r>
      <w:r w:rsidRPr="005B6B13">
        <w:t xml:space="preserve"> dependent on the decision by City</w:t>
      </w:r>
      <w:r>
        <w:t xml:space="preserve"> of Darwin</w:t>
      </w:r>
      <w:r w:rsidRPr="005B6B13">
        <w:t xml:space="preserve"> Council not to extend the lease on the Mitchell Street site</w:t>
      </w:r>
      <w:r w:rsidR="00B444DA">
        <w:t>; and</w:t>
      </w:r>
    </w:p>
    <w:p w14:paraId="7DCFD2F5" w14:textId="5605D983" w:rsidR="006B490F" w:rsidRPr="005B6B13" w:rsidRDefault="006B490F" w:rsidP="008E229D">
      <w:pPr>
        <w:pStyle w:val="UtilComBulletText"/>
        <w:numPr>
          <w:ilvl w:val="0"/>
          <w:numId w:val="6"/>
        </w:numPr>
        <w:tabs>
          <w:tab w:val="clear" w:pos="964"/>
          <w:tab w:val="num" w:pos="1134"/>
        </w:tabs>
        <w:ind w:left="1134" w:hanging="425"/>
      </w:pPr>
      <w:r>
        <w:t>a</w:t>
      </w:r>
      <w:r w:rsidRPr="005B6B13">
        <w:t xml:space="preserve"> reduction of $2.</w:t>
      </w:r>
      <w:r>
        <w:t>1 million</w:t>
      </w:r>
      <w:r w:rsidRPr="005B6B13">
        <w:t xml:space="preserve"> to the capex forecast relating to reliability and quality of supply, as some components of work </w:t>
      </w:r>
      <w:r w:rsidR="00B444DA">
        <w:t>were</w:t>
      </w:r>
      <w:r w:rsidR="00B444DA" w:rsidRPr="005B6B13">
        <w:t xml:space="preserve"> </w:t>
      </w:r>
      <w:r w:rsidRPr="005B6B13">
        <w:t>not demonstrated to be prudent.</w:t>
      </w:r>
    </w:p>
    <w:p w14:paraId="28DCFC43" w14:textId="40988C2A" w:rsidR="006B490F" w:rsidRDefault="006B490F" w:rsidP="006B490F">
      <w:pPr>
        <w:pStyle w:val="NumberLevel2"/>
        <w:numPr>
          <w:ilvl w:val="1"/>
          <w:numId w:val="5"/>
        </w:numPr>
        <w:tabs>
          <w:tab w:val="num" w:pos="709"/>
        </w:tabs>
        <w:ind w:left="709" w:hanging="709"/>
        <w:rPr>
          <w:lang w:val="en-AU"/>
        </w:rPr>
      </w:pPr>
      <w:r>
        <w:rPr>
          <w:lang w:val="en-AU"/>
        </w:rPr>
        <w:t xml:space="preserve">The Commission also had regard to the </w:t>
      </w:r>
      <w:r w:rsidR="00B444DA">
        <w:rPr>
          <w:lang w:val="en-AU"/>
        </w:rPr>
        <w:t>capital expenditure</w:t>
      </w:r>
      <w:r w:rsidR="00B444DA" w:rsidRPr="005B6B13">
        <w:rPr>
          <w:lang w:val="en-AU"/>
        </w:rPr>
        <w:t xml:space="preserve"> </w:t>
      </w:r>
      <w:r w:rsidRPr="005B6B13">
        <w:rPr>
          <w:lang w:val="en-AU"/>
        </w:rPr>
        <w:t>criteria</w:t>
      </w:r>
      <w:r>
        <w:rPr>
          <w:lang w:val="en-AU"/>
        </w:rPr>
        <w:t xml:space="preserve"> set out in the NER</w:t>
      </w:r>
      <w:r w:rsidRPr="005B6B13">
        <w:rPr>
          <w:lang w:val="en-AU"/>
        </w:rPr>
        <w:t xml:space="preserve">, taking into account the </w:t>
      </w:r>
      <w:r w:rsidR="00B444DA">
        <w:rPr>
          <w:lang w:val="en-AU"/>
        </w:rPr>
        <w:t>capital expenditure</w:t>
      </w:r>
      <w:r w:rsidR="00B444DA" w:rsidRPr="005B6B13">
        <w:rPr>
          <w:lang w:val="en-AU"/>
        </w:rPr>
        <w:t xml:space="preserve"> </w:t>
      </w:r>
      <w:r w:rsidRPr="005B6B13">
        <w:rPr>
          <w:lang w:val="en-AU"/>
        </w:rPr>
        <w:t xml:space="preserve">factors. The </w:t>
      </w:r>
      <w:r>
        <w:rPr>
          <w:lang w:val="en-AU"/>
        </w:rPr>
        <w:t>Commission</w:t>
      </w:r>
      <w:r w:rsidRPr="005B6B13">
        <w:rPr>
          <w:lang w:val="en-AU"/>
        </w:rPr>
        <w:t xml:space="preserve"> </w:t>
      </w:r>
      <w:r w:rsidR="00B444DA" w:rsidRPr="005B6B13">
        <w:rPr>
          <w:lang w:val="en-AU"/>
        </w:rPr>
        <w:t>consider</w:t>
      </w:r>
      <w:r w:rsidR="00B444DA">
        <w:rPr>
          <w:lang w:val="en-AU"/>
        </w:rPr>
        <w:t>ed</w:t>
      </w:r>
      <w:r w:rsidR="00B444DA" w:rsidRPr="005B6B13">
        <w:rPr>
          <w:lang w:val="en-AU"/>
        </w:rPr>
        <w:t xml:space="preserve"> </w:t>
      </w:r>
      <w:r w:rsidRPr="005B6B13">
        <w:rPr>
          <w:lang w:val="en-AU"/>
        </w:rPr>
        <w:t xml:space="preserve">this reduction </w:t>
      </w:r>
      <w:r w:rsidR="00B444DA">
        <w:rPr>
          <w:lang w:val="en-AU"/>
        </w:rPr>
        <w:t>was</w:t>
      </w:r>
      <w:r w:rsidR="00B444DA" w:rsidRPr="005B6B13">
        <w:rPr>
          <w:lang w:val="en-AU"/>
        </w:rPr>
        <w:t xml:space="preserve"> </w:t>
      </w:r>
      <w:r w:rsidRPr="005B6B13">
        <w:rPr>
          <w:lang w:val="en-AU"/>
        </w:rPr>
        <w:t xml:space="preserve">the minimum adjustment necessary to ensure </w:t>
      </w:r>
      <w:r>
        <w:rPr>
          <w:lang w:val="en-AU"/>
        </w:rPr>
        <w:t>PWC Networks’</w:t>
      </w:r>
      <w:r w:rsidRPr="005B6B13">
        <w:rPr>
          <w:lang w:val="en-AU"/>
        </w:rPr>
        <w:t xml:space="preserve"> capex forecast </w:t>
      </w:r>
      <w:r w:rsidR="00B444DA">
        <w:rPr>
          <w:lang w:val="en-AU"/>
        </w:rPr>
        <w:t>met</w:t>
      </w:r>
      <w:r w:rsidR="00B444DA" w:rsidRPr="005B6B13">
        <w:rPr>
          <w:lang w:val="en-AU"/>
        </w:rPr>
        <w:t xml:space="preserve"> </w:t>
      </w:r>
      <w:r w:rsidRPr="005B6B13">
        <w:rPr>
          <w:lang w:val="en-AU"/>
        </w:rPr>
        <w:t xml:space="preserve">the </w:t>
      </w:r>
      <w:r w:rsidR="00B444DA">
        <w:rPr>
          <w:lang w:val="en-AU"/>
        </w:rPr>
        <w:t>capital expenditure</w:t>
      </w:r>
      <w:r w:rsidR="00B444DA" w:rsidRPr="005B6B13">
        <w:rPr>
          <w:lang w:val="en-AU"/>
        </w:rPr>
        <w:t xml:space="preserve"> </w:t>
      </w:r>
      <w:r w:rsidRPr="005B6B13">
        <w:rPr>
          <w:lang w:val="en-AU"/>
        </w:rPr>
        <w:t>criteria.</w:t>
      </w:r>
    </w:p>
    <w:p w14:paraId="40C66889" w14:textId="64EE7B05" w:rsidR="006B490F" w:rsidRDefault="00FD5D58" w:rsidP="006B490F">
      <w:pPr>
        <w:pStyle w:val="NumberLevel2"/>
        <w:numPr>
          <w:ilvl w:val="1"/>
          <w:numId w:val="5"/>
        </w:numPr>
        <w:tabs>
          <w:tab w:val="num" w:pos="709"/>
        </w:tabs>
        <w:ind w:left="709" w:hanging="709"/>
        <w:rPr>
          <w:lang w:val="en-AU"/>
        </w:rPr>
      </w:pPr>
      <w:r>
        <w:rPr>
          <w:lang w:val="en-AU"/>
        </w:rPr>
        <w:t xml:space="preserve">The </w:t>
      </w:r>
      <w:r w:rsidR="006B490F" w:rsidRPr="00F275BF">
        <w:rPr>
          <w:lang w:val="en-AU"/>
        </w:rPr>
        <w:t xml:space="preserve">Commission accepted </w:t>
      </w:r>
      <w:r w:rsidR="00B444DA">
        <w:rPr>
          <w:lang w:val="en-AU"/>
        </w:rPr>
        <w:t xml:space="preserve">the </w:t>
      </w:r>
      <w:r w:rsidR="006B490F" w:rsidRPr="00F275BF">
        <w:rPr>
          <w:lang w:val="en-AU"/>
        </w:rPr>
        <w:t>real input cost escalators proposed by PWC</w:t>
      </w:r>
      <w:r w:rsidR="00E22790">
        <w:rPr>
          <w:lang w:val="en-AU"/>
        </w:rPr>
        <w:t xml:space="preserve"> Networks</w:t>
      </w:r>
      <w:r w:rsidR="006B490F">
        <w:rPr>
          <w:lang w:val="en-AU"/>
        </w:rPr>
        <w:t>.</w:t>
      </w:r>
    </w:p>
    <w:p w14:paraId="16A53394" w14:textId="74648DE0" w:rsidR="006B490F" w:rsidRDefault="006B490F" w:rsidP="006B490F">
      <w:pPr>
        <w:pStyle w:val="NumberLevel2"/>
        <w:numPr>
          <w:ilvl w:val="1"/>
          <w:numId w:val="5"/>
        </w:numPr>
        <w:tabs>
          <w:tab w:val="num" w:pos="709"/>
        </w:tabs>
        <w:ind w:left="709" w:hanging="709"/>
        <w:rPr>
          <w:lang w:val="en-AU"/>
        </w:rPr>
      </w:pPr>
      <w:r w:rsidRPr="00BB353A">
        <w:rPr>
          <w:lang w:val="en-AU"/>
        </w:rPr>
        <w:t xml:space="preserve">The </w:t>
      </w:r>
      <w:r>
        <w:rPr>
          <w:lang w:val="en-AU"/>
        </w:rPr>
        <w:t>Commission</w:t>
      </w:r>
      <w:r w:rsidRPr="00BB353A">
        <w:rPr>
          <w:lang w:val="en-AU"/>
        </w:rPr>
        <w:t xml:space="preserve">’s </w:t>
      </w:r>
      <w:r w:rsidR="00B444DA">
        <w:rPr>
          <w:lang w:val="en-AU"/>
        </w:rPr>
        <w:t>decision in the Draft Determination</w:t>
      </w:r>
      <w:r w:rsidRPr="00BB353A">
        <w:rPr>
          <w:lang w:val="en-AU"/>
        </w:rPr>
        <w:t xml:space="preserve"> </w:t>
      </w:r>
      <w:r w:rsidR="00A74AFB">
        <w:rPr>
          <w:lang w:val="en-AU"/>
        </w:rPr>
        <w:t>is shown</w:t>
      </w:r>
      <w:r w:rsidRPr="00BB353A">
        <w:rPr>
          <w:lang w:val="en-AU"/>
        </w:rPr>
        <w:t xml:space="preserve"> in </w:t>
      </w:r>
      <w:r>
        <w:rPr>
          <w:lang w:val="en-AU"/>
        </w:rPr>
        <w:t>T</w:t>
      </w:r>
      <w:r w:rsidRPr="00BB353A">
        <w:rPr>
          <w:lang w:val="en-AU"/>
        </w:rPr>
        <w:t xml:space="preserve">able </w:t>
      </w:r>
      <w:r>
        <w:rPr>
          <w:lang w:val="en-AU"/>
        </w:rPr>
        <w:t>9.4</w:t>
      </w:r>
      <w:r w:rsidRPr="00BB353A">
        <w:rPr>
          <w:lang w:val="en-AU"/>
        </w:rPr>
        <w:t xml:space="preserve"> </w:t>
      </w:r>
      <w:r>
        <w:rPr>
          <w:lang w:val="en-AU"/>
        </w:rPr>
        <w:t>below</w:t>
      </w:r>
      <w:r w:rsidRPr="00BB353A">
        <w:rPr>
          <w:lang w:val="en-AU"/>
        </w:rPr>
        <w:t>.</w:t>
      </w:r>
    </w:p>
    <w:p w14:paraId="5AB86624" w14:textId="2BF24F67" w:rsidR="006B490F" w:rsidRPr="00A139AD" w:rsidRDefault="006B490F" w:rsidP="006B490F">
      <w:pPr>
        <w:pStyle w:val="UtilComTableTitle"/>
        <w:keepNext/>
        <w:spacing w:before="120" w:after="0" w:line="240" w:lineRule="exact"/>
      </w:pPr>
      <w:r>
        <w:t xml:space="preserve">Table 9.4: Commission’s </w:t>
      </w:r>
      <w:r w:rsidR="00B444DA">
        <w:t>decision</w:t>
      </w:r>
      <w:r w:rsidR="00F249F0">
        <w:t xml:space="preserve"> in the Draft Determination</w:t>
      </w:r>
      <w:r w:rsidR="00B444DA" w:rsidRPr="00B97588">
        <w:t xml:space="preserve"> </w:t>
      </w:r>
      <w:r w:rsidRPr="00B97588">
        <w:t xml:space="preserve">on </w:t>
      </w:r>
      <w:r>
        <w:t>PWC Networks</w:t>
      </w:r>
      <w:r w:rsidRPr="00B97588">
        <w:t xml:space="preserve"> </w:t>
      </w:r>
      <w:r w:rsidR="00B444DA">
        <w:t xml:space="preserve">total required </w:t>
      </w:r>
      <w:r w:rsidRPr="00B97588">
        <w:t xml:space="preserve">capex </w:t>
      </w:r>
      <w:r w:rsidR="00B444DA">
        <w:t>for the 2014-19 regulatory control period</w:t>
      </w:r>
      <w:r w:rsidRPr="00125E7A">
        <w:t xml:space="preserve"> ($</w:t>
      </w:r>
      <w:r>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6B490F" w:rsidRPr="008A4655" w14:paraId="71C3C40E" w14:textId="77777777" w:rsidTr="00AB3FF5">
        <w:trPr>
          <w:trHeight w:val="360"/>
        </w:trPr>
        <w:tc>
          <w:tcPr>
            <w:tcW w:w="1811" w:type="dxa"/>
            <w:tcBorders>
              <w:top w:val="single" w:sz="4" w:space="0" w:color="999999"/>
              <w:bottom w:val="single" w:sz="4" w:space="0" w:color="auto"/>
            </w:tcBorders>
          </w:tcPr>
          <w:p w14:paraId="6F3367D0" w14:textId="77777777" w:rsidR="006B490F" w:rsidRPr="00EE5A08" w:rsidRDefault="006B490F" w:rsidP="00AB3FF5">
            <w:pPr>
              <w:pStyle w:val="UtilComTabletext"/>
              <w:jc w:val="center"/>
              <w:rPr>
                <w:b/>
              </w:rPr>
            </w:pPr>
          </w:p>
        </w:tc>
        <w:tc>
          <w:tcPr>
            <w:tcW w:w="1221" w:type="dxa"/>
            <w:tcBorders>
              <w:top w:val="single" w:sz="4" w:space="0" w:color="999999"/>
              <w:bottom w:val="single" w:sz="4" w:space="0" w:color="auto"/>
            </w:tcBorders>
            <w:tcMar>
              <w:left w:w="0" w:type="dxa"/>
            </w:tcMar>
          </w:tcPr>
          <w:p w14:paraId="2222969E" w14:textId="77777777" w:rsidR="006B490F" w:rsidRPr="00EE5A08" w:rsidRDefault="006B490F" w:rsidP="00AB3FF5">
            <w:pPr>
              <w:pStyle w:val="UtilComTabletext"/>
              <w:jc w:val="center"/>
              <w:rPr>
                <w:b/>
              </w:rPr>
            </w:pPr>
            <w:r>
              <w:rPr>
                <w:b/>
              </w:rPr>
              <w:t>2014-15</w:t>
            </w:r>
          </w:p>
        </w:tc>
        <w:tc>
          <w:tcPr>
            <w:tcW w:w="1221" w:type="dxa"/>
            <w:tcBorders>
              <w:top w:val="single" w:sz="4" w:space="0" w:color="999999"/>
              <w:bottom w:val="single" w:sz="4" w:space="0" w:color="auto"/>
            </w:tcBorders>
            <w:tcMar>
              <w:left w:w="0" w:type="dxa"/>
            </w:tcMar>
          </w:tcPr>
          <w:p w14:paraId="23F8EF36" w14:textId="77777777" w:rsidR="006B490F" w:rsidRPr="00EE5A08" w:rsidRDefault="006B490F" w:rsidP="00AB3FF5">
            <w:pPr>
              <w:pStyle w:val="UtilComTabletext"/>
              <w:jc w:val="center"/>
              <w:rPr>
                <w:b/>
              </w:rPr>
            </w:pPr>
            <w:r>
              <w:rPr>
                <w:b/>
              </w:rPr>
              <w:t>2015-16</w:t>
            </w:r>
          </w:p>
        </w:tc>
        <w:tc>
          <w:tcPr>
            <w:tcW w:w="1221" w:type="dxa"/>
            <w:tcBorders>
              <w:top w:val="single" w:sz="4" w:space="0" w:color="999999"/>
              <w:bottom w:val="single" w:sz="4" w:space="0" w:color="auto"/>
            </w:tcBorders>
          </w:tcPr>
          <w:p w14:paraId="1FFDACDB" w14:textId="77777777" w:rsidR="006B490F" w:rsidRDefault="006B490F" w:rsidP="00AB3FF5">
            <w:pPr>
              <w:pStyle w:val="UtilComTabletext"/>
              <w:jc w:val="center"/>
              <w:rPr>
                <w:b/>
              </w:rPr>
            </w:pPr>
            <w:r>
              <w:rPr>
                <w:b/>
              </w:rPr>
              <w:t>2016-17</w:t>
            </w:r>
          </w:p>
        </w:tc>
        <w:tc>
          <w:tcPr>
            <w:tcW w:w="1221" w:type="dxa"/>
            <w:tcBorders>
              <w:top w:val="single" w:sz="4" w:space="0" w:color="999999"/>
              <w:bottom w:val="single" w:sz="4" w:space="0" w:color="auto"/>
            </w:tcBorders>
          </w:tcPr>
          <w:p w14:paraId="61DD16E9" w14:textId="77777777" w:rsidR="006B490F" w:rsidRDefault="006B490F" w:rsidP="00AB3FF5">
            <w:pPr>
              <w:pStyle w:val="UtilComTabletext"/>
              <w:jc w:val="center"/>
              <w:rPr>
                <w:b/>
              </w:rPr>
            </w:pPr>
            <w:r>
              <w:rPr>
                <w:b/>
              </w:rPr>
              <w:t>2017-18</w:t>
            </w:r>
          </w:p>
        </w:tc>
        <w:tc>
          <w:tcPr>
            <w:tcW w:w="1221" w:type="dxa"/>
            <w:tcBorders>
              <w:top w:val="single" w:sz="4" w:space="0" w:color="999999"/>
              <w:bottom w:val="single" w:sz="4" w:space="0" w:color="auto"/>
            </w:tcBorders>
          </w:tcPr>
          <w:p w14:paraId="79C4E22D" w14:textId="77777777" w:rsidR="006B490F" w:rsidRDefault="006B490F" w:rsidP="00AB3FF5">
            <w:pPr>
              <w:pStyle w:val="UtilComTabletext"/>
              <w:jc w:val="center"/>
              <w:rPr>
                <w:b/>
              </w:rPr>
            </w:pPr>
            <w:r>
              <w:rPr>
                <w:b/>
              </w:rPr>
              <w:t>2018-19</w:t>
            </w:r>
          </w:p>
        </w:tc>
        <w:tc>
          <w:tcPr>
            <w:tcW w:w="1221" w:type="dxa"/>
            <w:tcBorders>
              <w:top w:val="single" w:sz="4" w:space="0" w:color="999999"/>
              <w:bottom w:val="single" w:sz="4" w:space="0" w:color="auto"/>
            </w:tcBorders>
            <w:tcMar>
              <w:left w:w="0" w:type="dxa"/>
            </w:tcMar>
          </w:tcPr>
          <w:p w14:paraId="1125CA04" w14:textId="77777777" w:rsidR="006B490F" w:rsidRPr="00EE5A08" w:rsidRDefault="006B490F" w:rsidP="00AB3FF5">
            <w:pPr>
              <w:pStyle w:val="UtilComTabletext"/>
              <w:jc w:val="center"/>
              <w:rPr>
                <w:b/>
              </w:rPr>
            </w:pPr>
            <w:r>
              <w:rPr>
                <w:b/>
              </w:rPr>
              <w:t>Total</w:t>
            </w:r>
          </w:p>
        </w:tc>
      </w:tr>
      <w:tr w:rsidR="006B490F" w:rsidRPr="008A4655" w14:paraId="572DFDFF" w14:textId="77777777" w:rsidTr="00AB3FF5">
        <w:trPr>
          <w:trHeight w:val="360"/>
        </w:trPr>
        <w:tc>
          <w:tcPr>
            <w:tcW w:w="1811" w:type="dxa"/>
            <w:tcBorders>
              <w:top w:val="single" w:sz="4" w:space="0" w:color="auto"/>
              <w:bottom w:val="single" w:sz="4" w:space="0" w:color="999999"/>
            </w:tcBorders>
          </w:tcPr>
          <w:p w14:paraId="7E454DA9" w14:textId="77777777" w:rsidR="006B490F" w:rsidRDefault="006B490F" w:rsidP="00AB3FF5">
            <w:pPr>
              <w:pStyle w:val="UtilComTabletext"/>
            </w:pPr>
            <w:r>
              <w:t>PWC Networks proposed capex</w:t>
            </w:r>
          </w:p>
        </w:tc>
        <w:tc>
          <w:tcPr>
            <w:tcW w:w="1221" w:type="dxa"/>
            <w:tcBorders>
              <w:top w:val="single" w:sz="4" w:space="0" w:color="auto"/>
              <w:bottom w:val="single" w:sz="4" w:space="0" w:color="999999"/>
            </w:tcBorders>
            <w:shd w:val="clear" w:color="auto" w:fill="auto"/>
          </w:tcPr>
          <w:p w14:paraId="43C140E8" w14:textId="77777777" w:rsidR="006B490F" w:rsidRPr="00E300D6" w:rsidRDefault="006B490F" w:rsidP="00AB3FF5">
            <w:pPr>
              <w:pStyle w:val="UtilComTabletext"/>
              <w:jc w:val="right"/>
            </w:pPr>
            <w:r w:rsidRPr="00E300D6">
              <w:t xml:space="preserve"> 84</w:t>
            </w:r>
            <w:r>
              <w:t>.</w:t>
            </w:r>
            <w:r w:rsidRPr="00E300D6">
              <w:t xml:space="preserve">74 </w:t>
            </w:r>
          </w:p>
        </w:tc>
        <w:tc>
          <w:tcPr>
            <w:tcW w:w="1221" w:type="dxa"/>
            <w:tcBorders>
              <w:top w:val="single" w:sz="4" w:space="0" w:color="auto"/>
              <w:bottom w:val="single" w:sz="4" w:space="0" w:color="999999"/>
            </w:tcBorders>
            <w:shd w:val="clear" w:color="auto" w:fill="auto"/>
          </w:tcPr>
          <w:p w14:paraId="67E3EF80" w14:textId="77777777" w:rsidR="006B490F" w:rsidRPr="00E300D6" w:rsidRDefault="006B490F" w:rsidP="00AB3FF5">
            <w:pPr>
              <w:pStyle w:val="UtilComTabletext"/>
              <w:jc w:val="right"/>
            </w:pPr>
            <w:r w:rsidRPr="00E300D6">
              <w:t xml:space="preserve"> 74</w:t>
            </w:r>
            <w:r>
              <w:t>.</w:t>
            </w:r>
            <w:r w:rsidRPr="00E300D6">
              <w:t xml:space="preserve">80 </w:t>
            </w:r>
          </w:p>
        </w:tc>
        <w:tc>
          <w:tcPr>
            <w:tcW w:w="1221" w:type="dxa"/>
            <w:tcBorders>
              <w:top w:val="single" w:sz="4" w:space="0" w:color="auto"/>
              <w:bottom w:val="single" w:sz="4" w:space="0" w:color="999999"/>
            </w:tcBorders>
          </w:tcPr>
          <w:p w14:paraId="2E67FEEE" w14:textId="77777777" w:rsidR="006B490F" w:rsidRPr="00E300D6" w:rsidRDefault="006B490F" w:rsidP="00AB3FF5">
            <w:pPr>
              <w:pStyle w:val="UtilComTabletext"/>
              <w:jc w:val="right"/>
            </w:pPr>
            <w:r w:rsidRPr="00E300D6">
              <w:t xml:space="preserve"> 57</w:t>
            </w:r>
            <w:r>
              <w:t>.</w:t>
            </w:r>
            <w:r w:rsidRPr="00E300D6">
              <w:t xml:space="preserve">44 </w:t>
            </w:r>
          </w:p>
        </w:tc>
        <w:tc>
          <w:tcPr>
            <w:tcW w:w="1221" w:type="dxa"/>
            <w:tcBorders>
              <w:top w:val="single" w:sz="4" w:space="0" w:color="auto"/>
              <w:bottom w:val="single" w:sz="4" w:space="0" w:color="999999"/>
            </w:tcBorders>
          </w:tcPr>
          <w:p w14:paraId="66ABCCD8" w14:textId="77777777" w:rsidR="006B490F" w:rsidRPr="00E300D6" w:rsidRDefault="006B490F" w:rsidP="00AB3FF5">
            <w:pPr>
              <w:pStyle w:val="UtilComTabletext"/>
              <w:jc w:val="right"/>
            </w:pPr>
            <w:r w:rsidRPr="00E300D6">
              <w:t xml:space="preserve"> 48</w:t>
            </w:r>
            <w:r>
              <w:t>.</w:t>
            </w:r>
            <w:r w:rsidRPr="00E300D6">
              <w:t>3</w:t>
            </w:r>
            <w:r>
              <w:t>9</w:t>
            </w:r>
            <w:r w:rsidRPr="00E300D6">
              <w:t xml:space="preserve"> </w:t>
            </w:r>
          </w:p>
        </w:tc>
        <w:tc>
          <w:tcPr>
            <w:tcW w:w="1221" w:type="dxa"/>
            <w:tcBorders>
              <w:top w:val="single" w:sz="4" w:space="0" w:color="auto"/>
              <w:bottom w:val="single" w:sz="4" w:space="0" w:color="999999"/>
            </w:tcBorders>
          </w:tcPr>
          <w:p w14:paraId="67DE793F" w14:textId="77777777" w:rsidR="006B490F" w:rsidRDefault="006B490F" w:rsidP="00AB3FF5">
            <w:pPr>
              <w:pStyle w:val="UtilComTabletext"/>
              <w:jc w:val="right"/>
            </w:pPr>
            <w:r w:rsidRPr="00E300D6">
              <w:t xml:space="preserve"> 57</w:t>
            </w:r>
            <w:r>
              <w:t>.</w:t>
            </w:r>
            <w:r w:rsidRPr="00E300D6">
              <w:t xml:space="preserve">58 </w:t>
            </w:r>
          </w:p>
        </w:tc>
        <w:tc>
          <w:tcPr>
            <w:tcW w:w="1221" w:type="dxa"/>
            <w:tcBorders>
              <w:top w:val="single" w:sz="4" w:space="0" w:color="auto"/>
              <w:bottom w:val="single" w:sz="4" w:space="0" w:color="999999"/>
            </w:tcBorders>
            <w:shd w:val="clear" w:color="auto" w:fill="auto"/>
          </w:tcPr>
          <w:p w14:paraId="5CDE4C9D" w14:textId="77777777" w:rsidR="006B490F" w:rsidRDefault="006B490F" w:rsidP="00AB3FF5">
            <w:pPr>
              <w:pStyle w:val="UtilComTabletext"/>
              <w:jc w:val="right"/>
            </w:pPr>
            <w:r>
              <w:t>322.96</w:t>
            </w:r>
          </w:p>
        </w:tc>
      </w:tr>
      <w:tr w:rsidR="006B490F" w:rsidRPr="008A4655" w14:paraId="06A54445" w14:textId="77777777" w:rsidTr="00AB3FF5">
        <w:trPr>
          <w:trHeight w:val="360"/>
        </w:trPr>
        <w:tc>
          <w:tcPr>
            <w:tcW w:w="1811" w:type="dxa"/>
            <w:tcBorders>
              <w:top w:val="single" w:sz="4" w:space="0" w:color="999999"/>
              <w:bottom w:val="single" w:sz="4" w:space="0" w:color="999999"/>
              <w:right w:val="single" w:sz="4" w:space="0" w:color="999999"/>
            </w:tcBorders>
          </w:tcPr>
          <w:p w14:paraId="1A760D1C" w14:textId="77777777" w:rsidR="006B490F" w:rsidRDefault="006B490F" w:rsidP="00AB3FF5">
            <w:pPr>
              <w:pStyle w:val="UtilComTabletext"/>
            </w:pPr>
            <w:r>
              <w:t>Adjustment to network user initiated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3DE1AD1C" w14:textId="77777777" w:rsidR="006B490F" w:rsidRDefault="006B490F" w:rsidP="00AB3FF5">
            <w:pPr>
              <w:pStyle w:val="UtilComTabletext"/>
              <w:jc w:val="right"/>
            </w:pPr>
            <w:r>
              <w:t>- 1.20</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15BADF05" w14:textId="77777777" w:rsidR="006B490F" w:rsidRDefault="006B490F" w:rsidP="00AB3FF5">
            <w:pPr>
              <w:pStyle w:val="UtilComTabletext"/>
              <w:jc w:val="right"/>
            </w:pPr>
            <w:r>
              <w:t>- 1.43</w:t>
            </w:r>
          </w:p>
        </w:tc>
        <w:tc>
          <w:tcPr>
            <w:tcW w:w="1221" w:type="dxa"/>
            <w:tcBorders>
              <w:top w:val="single" w:sz="4" w:space="0" w:color="999999"/>
              <w:left w:val="single" w:sz="4" w:space="0" w:color="999999"/>
              <w:bottom w:val="single" w:sz="4" w:space="0" w:color="999999"/>
              <w:right w:val="single" w:sz="4" w:space="0" w:color="999999"/>
            </w:tcBorders>
          </w:tcPr>
          <w:p w14:paraId="3D0A801C" w14:textId="77777777" w:rsidR="006B490F" w:rsidRDefault="006B490F" w:rsidP="00AB3FF5">
            <w:pPr>
              <w:pStyle w:val="UtilComTabletext"/>
              <w:jc w:val="right"/>
            </w:pPr>
            <w:r>
              <w:t>- 1.71</w:t>
            </w:r>
          </w:p>
        </w:tc>
        <w:tc>
          <w:tcPr>
            <w:tcW w:w="1221" w:type="dxa"/>
            <w:tcBorders>
              <w:top w:val="single" w:sz="4" w:space="0" w:color="999999"/>
              <w:left w:val="single" w:sz="4" w:space="0" w:color="999999"/>
              <w:bottom w:val="single" w:sz="4" w:space="0" w:color="999999"/>
              <w:right w:val="single" w:sz="4" w:space="0" w:color="999999"/>
            </w:tcBorders>
          </w:tcPr>
          <w:p w14:paraId="56E17BFA" w14:textId="1905D9A2" w:rsidR="006B490F" w:rsidRDefault="006B490F" w:rsidP="00076DB6">
            <w:pPr>
              <w:pStyle w:val="UtilComTabletext"/>
              <w:jc w:val="right"/>
            </w:pPr>
            <w:r>
              <w:t>- 2.01</w:t>
            </w:r>
          </w:p>
        </w:tc>
        <w:tc>
          <w:tcPr>
            <w:tcW w:w="1221" w:type="dxa"/>
            <w:tcBorders>
              <w:top w:val="single" w:sz="4" w:space="0" w:color="999999"/>
              <w:left w:val="single" w:sz="4" w:space="0" w:color="999999"/>
              <w:bottom w:val="single" w:sz="4" w:space="0" w:color="999999"/>
              <w:right w:val="single" w:sz="4" w:space="0" w:color="999999"/>
            </w:tcBorders>
          </w:tcPr>
          <w:p w14:paraId="235DFC71" w14:textId="77777777" w:rsidR="006B490F" w:rsidRDefault="006B490F" w:rsidP="00AB3FF5">
            <w:pPr>
              <w:pStyle w:val="UtilComTabletext"/>
              <w:jc w:val="right"/>
            </w:pPr>
            <w:r>
              <w:t>- 2.23</w:t>
            </w:r>
          </w:p>
        </w:tc>
        <w:tc>
          <w:tcPr>
            <w:tcW w:w="1221" w:type="dxa"/>
            <w:tcBorders>
              <w:top w:val="single" w:sz="4" w:space="0" w:color="999999"/>
              <w:left w:val="single" w:sz="4" w:space="0" w:color="999999"/>
              <w:bottom w:val="single" w:sz="4" w:space="0" w:color="999999"/>
            </w:tcBorders>
            <w:shd w:val="clear" w:color="auto" w:fill="auto"/>
          </w:tcPr>
          <w:p w14:paraId="67AA2DA0" w14:textId="77777777" w:rsidR="006B490F" w:rsidRDefault="006B490F" w:rsidP="00AB3FF5">
            <w:pPr>
              <w:pStyle w:val="UtilComTabletext"/>
              <w:jc w:val="right"/>
            </w:pPr>
            <w:r>
              <w:t>- 8.57</w:t>
            </w:r>
          </w:p>
        </w:tc>
      </w:tr>
      <w:tr w:rsidR="006B490F" w:rsidRPr="008A4655" w14:paraId="1D969EE4" w14:textId="77777777" w:rsidTr="00AB3FF5">
        <w:trPr>
          <w:trHeight w:val="360"/>
        </w:trPr>
        <w:tc>
          <w:tcPr>
            <w:tcW w:w="1811" w:type="dxa"/>
            <w:tcBorders>
              <w:top w:val="single" w:sz="4" w:space="0" w:color="999999"/>
              <w:bottom w:val="single" w:sz="4" w:space="0" w:color="999999"/>
              <w:right w:val="single" w:sz="4" w:space="0" w:color="999999"/>
            </w:tcBorders>
          </w:tcPr>
          <w:p w14:paraId="0D38C92F" w14:textId="77777777" w:rsidR="006B490F" w:rsidRDefault="006B490F" w:rsidP="00AB3FF5">
            <w:pPr>
              <w:pStyle w:val="UtilComTabletext"/>
            </w:pPr>
            <w:r>
              <w:t>Adjustment to augmentation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568AD9CD" w14:textId="77777777" w:rsidR="006B490F" w:rsidRDefault="006B490F" w:rsidP="00AB3FF5">
            <w:pPr>
              <w:pStyle w:val="UtilComTabletext"/>
              <w:jc w:val="right"/>
            </w:pPr>
            <w:r>
              <w:t>- 1.73</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27D2837D" w14:textId="77777777" w:rsidR="006B490F" w:rsidRDefault="006B490F" w:rsidP="00AB3FF5">
            <w:pPr>
              <w:pStyle w:val="UtilComTabletext"/>
              <w:jc w:val="right"/>
            </w:pPr>
            <w:r>
              <w:t>- 10.28</w:t>
            </w:r>
          </w:p>
        </w:tc>
        <w:tc>
          <w:tcPr>
            <w:tcW w:w="1221" w:type="dxa"/>
            <w:tcBorders>
              <w:top w:val="single" w:sz="4" w:space="0" w:color="999999"/>
              <w:left w:val="single" w:sz="4" w:space="0" w:color="999999"/>
              <w:bottom w:val="single" w:sz="4" w:space="0" w:color="999999"/>
              <w:right w:val="single" w:sz="4" w:space="0" w:color="999999"/>
            </w:tcBorders>
          </w:tcPr>
          <w:p w14:paraId="520B091B" w14:textId="77777777" w:rsidR="006B490F" w:rsidRDefault="006B490F" w:rsidP="00AB3FF5">
            <w:pPr>
              <w:pStyle w:val="UtilComTabletext"/>
              <w:jc w:val="right"/>
            </w:pPr>
            <w:r>
              <w:t>- 6.05</w:t>
            </w:r>
          </w:p>
        </w:tc>
        <w:tc>
          <w:tcPr>
            <w:tcW w:w="1221" w:type="dxa"/>
            <w:tcBorders>
              <w:top w:val="single" w:sz="4" w:space="0" w:color="999999"/>
              <w:left w:val="single" w:sz="4" w:space="0" w:color="999999"/>
              <w:bottom w:val="single" w:sz="4" w:space="0" w:color="999999"/>
              <w:right w:val="single" w:sz="4" w:space="0" w:color="999999"/>
            </w:tcBorders>
          </w:tcPr>
          <w:p w14:paraId="0C694194" w14:textId="77777777" w:rsidR="006B490F" w:rsidRDefault="006B490F" w:rsidP="00AB3FF5">
            <w:pPr>
              <w:pStyle w:val="UtilComTabletext"/>
              <w:jc w:val="right"/>
            </w:pPr>
            <w:r>
              <w:t>7.06</w:t>
            </w:r>
          </w:p>
        </w:tc>
        <w:tc>
          <w:tcPr>
            <w:tcW w:w="1221" w:type="dxa"/>
            <w:tcBorders>
              <w:top w:val="single" w:sz="4" w:space="0" w:color="999999"/>
              <w:left w:val="single" w:sz="4" w:space="0" w:color="999999"/>
              <w:bottom w:val="single" w:sz="4" w:space="0" w:color="999999"/>
              <w:right w:val="single" w:sz="4" w:space="0" w:color="999999"/>
            </w:tcBorders>
          </w:tcPr>
          <w:p w14:paraId="3D058C67" w14:textId="77777777" w:rsidR="006B490F" w:rsidRDefault="006B490F" w:rsidP="00AB3FF5">
            <w:pPr>
              <w:pStyle w:val="UtilComTabletext"/>
              <w:jc w:val="right"/>
            </w:pPr>
            <w:r>
              <w:t>- 4.81</w:t>
            </w:r>
          </w:p>
        </w:tc>
        <w:tc>
          <w:tcPr>
            <w:tcW w:w="1221" w:type="dxa"/>
            <w:tcBorders>
              <w:top w:val="single" w:sz="4" w:space="0" w:color="999999"/>
              <w:left w:val="single" w:sz="4" w:space="0" w:color="999999"/>
              <w:bottom w:val="single" w:sz="4" w:space="0" w:color="999999"/>
            </w:tcBorders>
            <w:shd w:val="clear" w:color="auto" w:fill="auto"/>
          </w:tcPr>
          <w:p w14:paraId="18E829C1" w14:textId="77777777" w:rsidR="006B490F" w:rsidRDefault="006B490F" w:rsidP="00AB3FF5">
            <w:pPr>
              <w:pStyle w:val="UtilComTabletext"/>
              <w:jc w:val="right"/>
            </w:pPr>
            <w:r>
              <w:t>- 15.81</w:t>
            </w:r>
          </w:p>
        </w:tc>
      </w:tr>
      <w:tr w:rsidR="006B490F" w:rsidRPr="008A4655" w14:paraId="40B80C51" w14:textId="77777777" w:rsidTr="00AB3FF5">
        <w:trPr>
          <w:trHeight w:val="360"/>
        </w:trPr>
        <w:tc>
          <w:tcPr>
            <w:tcW w:w="1811" w:type="dxa"/>
            <w:tcBorders>
              <w:top w:val="single" w:sz="4" w:space="0" w:color="999999"/>
              <w:bottom w:val="single" w:sz="4" w:space="0" w:color="999999"/>
              <w:right w:val="single" w:sz="4" w:space="0" w:color="999999"/>
            </w:tcBorders>
          </w:tcPr>
          <w:p w14:paraId="365A5923" w14:textId="77777777" w:rsidR="006B490F" w:rsidRDefault="006B490F" w:rsidP="00AB3FF5">
            <w:pPr>
              <w:pStyle w:val="UtilComTabletext"/>
            </w:pPr>
            <w:r>
              <w:t>Adjustment to replacement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431A520E" w14:textId="77777777" w:rsidR="006B490F" w:rsidRDefault="006B490F" w:rsidP="00AB3FF5">
            <w:pPr>
              <w:pStyle w:val="UtilComTabletext"/>
              <w:jc w:val="right"/>
            </w:pPr>
            <w:r>
              <w:t>- 18.76</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63CAC1B8" w14:textId="77777777" w:rsidR="006B490F" w:rsidRDefault="006B490F" w:rsidP="00AB3FF5">
            <w:pPr>
              <w:pStyle w:val="UtilComTabletext"/>
              <w:jc w:val="right"/>
            </w:pPr>
            <w:r>
              <w:t>- 6.44</w:t>
            </w:r>
          </w:p>
        </w:tc>
        <w:tc>
          <w:tcPr>
            <w:tcW w:w="1221" w:type="dxa"/>
            <w:tcBorders>
              <w:top w:val="single" w:sz="4" w:space="0" w:color="999999"/>
              <w:left w:val="single" w:sz="4" w:space="0" w:color="999999"/>
              <w:bottom w:val="single" w:sz="4" w:space="0" w:color="999999"/>
              <w:right w:val="single" w:sz="4" w:space="0" w:color="999999"/>
            </w:tcBorders>
          </w:tcPr>
          <w:p w14:paraId="7476997D" w14:textId="77777777" w:rsidR="006B490F" w:rsidRDefault="006B490F" w:rsidP="00AB3FF5">
            <w:pPr>
              <w:pStyle w:val="UtilComTabletext"/>
              <w:jc w:val="right"/>
            </w:pPr>
            <w:r>
              <w:t>- 4.32</w:t>
            </w:r>
          </w:p>
        </w:tc>
        <w:tc>
          <w:tcPr>
            <w:tcW w:w="1221" w:type="dxa"/>
            <w:tcBorders>
              <w:top w:val="single" w:sz="4" w:space="0" w:color="999999"/>
              <w:left w:val="single" w:sz="4" w:space="0" w:color="999999"/>
              <w:bottom w:val="single" w:sz="4" w:space="0" w:color="999999"/>
              <w:right w:val="single" w:sz="4" w:space="0" w:color="999999"/>
            </w:tcBorders>
          </w:tcPr>
          <w:p w14:paraId="04EB54F6" w14:textId="77777777" w:rsidR="006B490F" w:rsidRDefault="006B490F" w:rsidP="00AB3FF5">
            <w:pPr>
              <w:pStyle w:val="UtilComTabletext"/>
              <w:jc w:val="right"/>
            </w:pPr>
            <w:r>
              <w:t>- 8.73</w:t>
            </w:r>
          </w:p>
        </w:tc>
        <w:tc>
          <w:tcPr>
            <w:tcW w:w="1221" w:type="dxa"/>
            <w:tcBorders>
              <w:top w:val="single" w:sz="4" w:space="0" w:color="999999"/>
              <w:left w:val="single" w:sz="4" w:space="0" w:color="999999"/>
              <w:bottom w:val="single" w:sz="4" w:space="0" w:color="999999"/>
              <w:right w:val="single" w:sz="4" w:space="0" w:color="999999"/>
            </w:tcBorders>
          </w:tcPr>
          <w:p w14:paraId="53272148" w14:textId="77777777" w:rsidR="006B490F" w:rsidRDefault="006B490F" w:rsidP="00AB3FF5">
            <w:pPr>
              <w:pStyle w:val="UtilComTabletext"/>
              <w:jc w:val="right"/>
            </w:pPr>
            <w:r>
              <w:t>- 6.88</w:t>
            </w:r>
          </w:p>
        </w:tc>
        <w:tc>
          <w:tcPr>
            <w:tcW w:w="1221" w:type="dxa"/>
            <w:tcBorders>
              <w:top w:val="single" w:sz="4" w:space="0" w:color="999999"/>
              <w:left w:val="single" w:sz="4" w:space="0" w:color="999999"/>
              <w:bottom w:val="single" w:sz="4" w:space="0" w:color="999999"/>
            </w:tcBorders>
            <w:shd w:val="clear" w:color="auto" w:fill="auto"/>
          </w:tcPr>
          <w:p w14:paraId="1F349EAD" w14:textId="77777777" w:rsidR="006B490F" w:rsidRDefault="006B490F" w:rsidP="00AB3FF5">
            <w:pPr>
              <w:pStyle w:val="UtilComTabletext"/>
              <w:jc w:val="right"/>
            </w:pPr>
            <w:r>
              <w:t>- 31.37</w:t>
            </w:r>
          </w:p>
        </w:tc>
      </w:tr>
      <w:tr w:rsidR="006B490F" w:rsidRPr="008A4655" w14:paraId="747B22A0" w14:textId="77777777" w:rsidTr="00AB3FF5">
        <w:trPr>
          <w:trHeight w:val="360"/>
        </w:trPr>
        <w:tc>
          <w:tcPr>
            <w:tcW w:w="1811" w:type="dxa"/>
            <w:tcBorders>
              <w:top w:val="single" w:sz="4" w:space="0" w:color="999999"/>
              <w:bottom w:val="single" w:sz="4" w:space="0" w:color="000000" w:themeColor="text1"/>
              <w:right w:val="single" w:sz="4" w:space="0" w:color="999999"/>
            </w:tcBorders>
          </w:tcPr>
          <w:p w14:paraId="6FBD657A" w14:textId="77777777" w:rsidR="006B490F" w:rsidRDefault="006B490F" w:rsidP="00AB3FF5">
            <w:pPr>
              <w:pStyle w:val="UtilComTabletext"/>
            </w:pPr>
            <w:r>
              <w:t>Adjustment to reliability capex</w:t>
            </w:r>
          </w:p>
        </w:tc>
        <w:tc>
          <w:tcPr>
            <w:tcW w:w="1221" w:type="dxa"/>
            <w:tcBorders>
              <w:top w:val="single" w:sz="4" w:space="0" w:color="999999"/>
              <w:left w:val="single" w:sz="4" w:space="0" w:color="999999"/>
              <w:bottom w:val="single" w:sz="4" w:space="0" w:color="000000" w:themeColor="text1"/>
              <w:right w:val="single" w:sz="4" w:space="0" w:color="999999"/>
            </w:tcBorders>
            <w:shd w:val="clear" w:color="auto" w:fill="auto"/>
          </w:tcPr>
          <w:p w14:paraId="4FEAE24B" w14:textId="77777777" w:rsidR="006B490F" w:rsidRDefault="006B490F" w:rsidP="00AB3FF5">
            <w:pPr>
              <w:pStyle w:val="UtilComTabletext"/>
              <w:jc w:val="right"/>
            </w:pPr>
            <w:r>
              <w:t>10.93</w:t>
            </w:r>
          </w:p>
        </w:tc>
        <w:tc>
          <w:tcPr>
            <w:tcW w:w="1221" w:type="dxa"/>
            <w:tcBorders>
              <w:top w:val="single" w:sz="4" w:space="0" w:color="999999"/>
              <w:left w:val="single" w:sz="4" w:space="0" w:color="999999"/>
              <w:bottom w:val="single" w:sz="4" w:space="0" w:color="000000" w:themeColor="text1"/>
              <w:right w:val="single" w:sz="4" w:space="0" w:color="999999"/>
            </w:tcBorders>
            <w:shd w:val="clear" w:color="auto" w:fill="auto"/>
          </w:tcPr>
          <w:p w14:paraId="00F84386" w14:textId="77777777" w:rsidR="006B490F" w:rsidRDefault="006B490F" w:rsidP="00AB3FF5">
            <w:pPr>
              <w:pStyle w:val="UtilComTabletext"/>
              <w:jc w:val="right"/>
            </w:pPr>
            <w:r>
              <w:t>- 5.78</w:t>
            </w:r>
          </w:p>
        </w:tc>
        <w:tc>
          <w:tcPr>
            <w:tcW w:w="1221" w:type="dxa"/>
            <w:tcBorders>
              <w:top w:val="single" w:sz="4" w:space="0" w:color="999999"/>
              <w:left w:val="single" w:sz="4" w:space="0" w:color="999999"/>
              <w:bottom w:val="single" w:sz="4" w:space="0" w:color="000000" w:themeColor="text1"/>
              <w:right w:val="single" w:sz="4" w:space="0" w:color="999999"/>
            </w:tcBorders>
          </w:tcPr>
          <w:p w14:paraId="4F430AD9" w14:textId="77777777" w:rsidR="006B490F" w:rsidRDefault="006B490F" w:rsidP="00AB3FF5">
            <w:pPr>
              <w:pStyle w:val="UtilComTabletext"/>
              <w:jc w:val="right"/>
            </w:pPr>
            <w:r>
              <w:t>- 4.65</w:t>
            </w:r>
          </w:p>
        </w:tc>
        <w:tc>
          <w:tcPr>
            <w:tcW w:w="1221" w:type="dxa"/>
            <w:tcBorders>
              <w:top w:val="single" w:sz="4" w:space="0" w:color="999999"/>
              <w:left w:val="single" w:sz="4" w:space="0" w:color="999999"/>
              <w:bottom w:val="single" w:sz="4" w:space="0" w:color="000000" w:themeColor="text1"/>
              <w:right w:val="single" w:sz="4" w:space="0" w:color="999999"/>
            </w:tcBorders>
          </w:tcPr>
          <w:p w14:paraId="5A041640" w14:textId="77777777" w:rsidR="006B490F" w:rsidRDefault="006B490F" w:rsidP="00AB3FF5">
            <w:pPr>
              <w:pStyle w:val="UtilComTabletext"/>
              <w:jc w:val="right"/>
            </w:pPr>
            <w:r>
              <w:t>0.29</w:t>
            </w:r>
          </w:p>
        </w:tc>
        <w:tc>
          <w:tcPr>
            <w:tcW w:w="1221" w:type="dxa"/>
            <w:tcBorders>
              <w:top w:val="single" w:sz="4" w:space="0" w:color="999999"/>
              <w:left w:val="single" w:sz="4" w:space="0" w:color="999999"/>
              <w:bottom w:val="single" w:sz="4" w:space="0" w:color="000000" w:themeColor="text1"/>
              <w:right w:val="single" w:sz="4" w:space="0" w:color="999999"/>
            </w:tcBorders>
          </w:tcPr>
          <w:p w14:paraId="69D67E5F" w14:textId="77777777" w:rsidR="006B490F" w:rsidRDefault="006B490F" w:rsidP="00AB3FF5">
            <w:pPr>
              <w:pStyle w:val="UtilComTabletext"/>
              <w:jc w:val="right"/>
            </w:pPr>
            <w:r>
              <w:t>- 2.88</w:t>
            </w:r>
          </w:p>
        </w:tc>
        <w:tc>
          <w:tcPr>
            <w:tcW w:w="1221" w:type="dxa"/>
            <w:tcBorders>
              <w:top w:val="single" w:sz="4" w:space="0" w:color="999999"/>
              <w:left w:val="single" w:sz="4" w:space="0" w:color="999999"/>
              <w:bottom w:val="single" w:sz="4" w:space="0" w:color="000000" w:themeColor="text1"/>
            </w:tcBorders>
            <w:shd w:val="clear" w:color="auto" w:fill="auto"/>
          </w:tcPr>
          <w:p w14:paraId="64BAFCA5" w14:textId="77777777" w:rsidR="006B490F" w:rsidRDefault="006B490F" w:rsidP="00AB3FF5">
            <w:pPr>
              <w:pStyle w:val="UtilComTabletext"/>
              <w:jc w:val="right"/>
            </w:pPr>
            <w:r>
              <w:t>- 2.08</w:t>
            </w:r>
          </w:p>
        </w:tc>
      </w:tr>
      <w:tr w:rsidR="006B490F" w:rsidRPr="008A4655" w14:paraId="749C9D85" w14:textId="77777777" w:rsidTr="00AB3FF5">
        <w:trPr>
          <w:trHeight w:val="360"/>
        </w:trPr>
        <w:tc>
          <w:tcPr>
            <w:tcW w:w="1811" w:type="dxa"/>
            <w:tcBorders>
              <w:top w:val="single" w:sz="4" w:space="0" w:color="000000" w:themeColor="text1"/>
              <w:bottom w:val="single" w:sz="4" w:space="0" w:color="000000"/>
            </w:tcBorders>
          </w:tcPr>
          <w:p w14:paraId="32EC486A" w14:textId="4D3A37B0" w:rsidR="006B490F" w:rsidRDefault="006B490F" w:rsidP="00B444DA">
            <w:pPr>
              <w:pStyle w:val="UtilComTabletext"/>
            </w:pPr>
            <w:r>
              <w:t xml:space="preserve">Commission </w:t>
            </w:r>
            <w:r w:rsidR="00B444DA">
              <w:t xml:space="preserve">estimate of required </w:t>
            </w:r>
            <w:r>
              <w:t xml:space="preserve">capex </w:t>
            </w:r>
            <w:r w:rsidR="00B444DA">
              <w:t>forecast</w:t>
            </w:r>
          </w:p>
        </w:tc>
        <w:tc>
          <w:tcPr>
            <w:tcW w:w="1221" w:type="dxa"/>
            <w:tcBorders>
              <w:top w:val="single" w:sz="4" w:space="0" w:color="000000" w:themeColor="text1"/>
              <w:bottom w:val="single" w:sz="4" w:space="0" w:color="000000"/>
            </w:tcBorders>
            <w:shd w:val="clear" w:color="auto" w:fill="auto"/>
          </w:tcPr>
          <w:p w14:paraId="2DA2E0C0" w14:textId="77777777" w:rsidR="006B490F" w:rsidRPr="0096663C" w:rsidRDefault="006B490F" w:rsidP="00AB3FF5">
            <w:pPr>
              <w:pStyle w:val="UtilComTabletext"/>
              <w:jc w:val="right"/>
            </w:pPr>
            <w:r>
              <w:t>73.99</w:t>
            </w:r>
          </w:p>
        </w:tc>
        <w:tc>
          <w:tcPr>
            <w:tcW w:w="1221" w:type="dxa"/>
            <w:tcBorders>
              <w:top w:val="single" w:sz="4" w:space="0" w:color="000000" w:themeColor="text1"/>
              <w:bottom w:val="single" w:sz="4" w:space="0" w:color="000000"/>
            </w:tcBorders>
            <w:shd w:val="clear" w:color="auto" w:fill="auto"/>
          </w:tcPr>
          <w:p w14:paraId="5C950236" w14:textId="77777777" w:rsidR="006B490F" w:rsidRPr="0096663C" w:rsidRDefault="006B490F" w:rsidP="00AB3FF5">
            <w:pPr>
              <w:pStyle w:val="UtilComTabletext"/>
              <w:jc w:val="right"/>
            </w:pPr>
            <w:r>
              <w:t>50.88</w:t>
            </w:r>
          </w:p>
        </w:tc>
        <w:tc>
          <w:tcPr>
            <w:tcW w:w="1221" w:type="dxa"/>
            <w:tcBorders>
              <w:top w:val="single" w:sz="4" w:space="0" w:color="000000" w:themeColor="text1"/>
              <w:bottom w:val="single" w:sz="4" w:space="0" w:color="000000"/>
            </w:tcBorders>
          </w:tcPr>
          <w:p w14:paraId="5B82B100" w14:textId="77777777" w:rsidR="006B490F" w:rsidRPr="0096663C" w:rsidRDefault="006B490F" w:rsidP="00AB3FF5">
            <w:pPr>
              <w:pStyle w:val="UtilComTabletext"/>
              <w:jc w:val="right"/>
            </w:pPr>
            <w:r>
              <w:t>40.71</w:t>
            </w:r>
          </w:p>
        </w:tc>
        <w:tc>
          <w:tcPr>
            <w:tcW w:w="1221" w:type="dxa"/>
            <w:tcBorders>
              <w:top w:val="single" w:sz="4" w:space="0" w:color="000000" w:themeColor="text1"/>
              <w:bottom w:val="single" w:sz="4" w:space="0" w:color="000000"/>
            </w:tcBorders>
          </w:tcPr>
          <w:p w14:paraId="3FCD2F9B" w14:textId="77777777" w:rsidR="006B490F" w:rsidRPr="0096663C" w:rsidRDefault="006B490F" w:rsidP="00AB3FF5">
            <w:pPr>
              <w:pStyle w:val="UtilComTabletext"/>
              <w:jc w:val="right"/>
            </w:pPr>
            <w:r>
              <w:t>45.00</w:t>
            </w:r>
          </w:p>
        </w:tc>
        <w:tc>
          <w:tcPr>
            <w:tcW w:w="1221" w:type="dxa"/>
            <w:tcBorders>
              <w:top w:val="single" w:sz="4" w:space="0" w:color="000000" w:themeColor="text1"/>
              <w:bottom w:val="single" w:sz="4" w:space="0" w:color="000000"/>
            </w:tcBorders>
          </w:tcPr>
          <w:p w14:paraId="3DA828A6" w14:textId="77777777" w:rsidR="006B490F" w:rsidRDefault="006B490F" w:rsidP="00AB3FF5">
            <w:pPr>
              <w:pStyle w:val="UtilComTabletext"/>
              <w:jc w:val="right"/>
            </w:pPr>
            <w:r>
              <w:t>54.55</w:t>
            </w:r>
          </w:p>
        </w:tc>
        <w:tc>
          <w:tcPr>
            <w:tcW w:w="1221" w:type="dxa"/>
            <w:tcBorders>
              <w:top w:val="single" w:sz="4" w:space="0" w:color="000000" w:themeColor="text1"/>
              <w:bottom w:val="single" w:sz="4" w:space="0" w:color="000000"/>
            </w:tcBorders>
            <w:shd w:val="clear" w:color="auto" w:fill="auto"/>
          </w:tcPr>
          <w:p w14:paraId="772C2BE3" w14:textId="77777777" w:rsidR="006B490F" w:rsidRDefault="006B490F" w:rsidP="00AB3FF5">
            <w:pPr>
              <w:pStyle w:val="UtilComTabletext"/>
              <w:jc w:val="right"/>
            </w:pPr>
            <w:r>
              <w:t>265.13</w:t>
            </w:r>
          </w:p>
        </w:tc>
      </w:tr>
    </w:tbl>
    <w:p w14:paraId="3753F379" w14:textId="77777777" w:rsidR="006B490F" w:rsidRPr="00E529C5" w:rsidRDefault="006B490F" w:rsidP="006B490F">
      <w:pPr>
        <w:pStyle w:val="UtilComReferenceSource"/>
        <w:rPr>
          <w:lang w:val="en-AU"/>
        </w:rPr>
      </w:pPr>
      <w:r>
        <w:rPr>
          <w:lang w:val="en-AU"/>
        </w:rPr>
        <w:t>Source: Utilities Commission</w:t>
      </w:r>
    </w:p>
    <w:p w14:paraId="2AB0420C" w14:textId="36889FC5" w:rsidR="00A74AFB" w:rsidRPr="00083FAA" w:rsidRDefault="00A74AFB" w:rsidP="00A74AFB">
      <w:pPr>
        <w:pStyle w:val="UtilComHeading2"/>
      </w:pPr>
      <w:bookmarkStart w:id="192" w:name="_Toc385241518"/>
      <w:bookmarkStart w:id="193" w:name="_Toc386013071"/>
      <w:r w:rsidRPr="00083FAA">
        <w:t xml:space="preserve">PWC Networks’ </w:t>
      </w:r>
      <w:r w:rsidR="00E9115D">
        <w:t>R</w:t>
      </w:r>
      <w:r w:rsidRPr="00083FAA">
        <w:t xml:space="preserve">evised </w:t>
      </w:r>
      <w:r w:rsidR="00E9115D">
        <w:t>R</w:t>
      </w:r>
      <w:r w:rsidR="00E9115D" w:rsidRPr="00083FAA">
        <w:t xml:space="preserve">egulatory </w:t>
      </w:r>
      <w:bookmarkEnd w:id="192"/>
      <w:r w:rsidR="00E9115D">
        <w:t>P</w:t>
      </w:r>
      <w:r w:rsidR="00E9115D" w:rsidRPr="00083FAA">
        <w:t>roposal</w:t>
      </w:r>
      <w:bookmarkEnd w:id="193"/>
    </w:p>
    <w:p w14:paraId="46E29F13" w14:textId="55EB6A95" w:rsidR="00A74AFB" w:rsidRDefault="00A74AFB" w:rsidP="00E71498">
      <w:pPr>
        <w:pStyle w:val="NumberLevel2"/>
        <w:numPr>
          <w:ilvl w:val="1"/>
          <w:numId w:val="5"/>
        </w:numPr>
        <w:tabs>
          <w:tab w:val="num" w:pos="709"/>
        </w:tabs>
        <w:ind w:left="709" w:hanging="709"/>
        <w:rPr>
          <w:lang w:val="en-AU"/>
        </w:rPr>
      </w:pPr>
      <w:r>
        <w:rPr>
          <w:lang w:val="en-AU"/>
        </w:rPr>
        <w:t>PWC Networks</w:t>
      </w:r>
      <w:r w:rsidR="00D624BF">
        <w:rPr>
          <w:lang w:val="en-AU"/>
        </w:rPr>
        <w:t>’</w:t>
      </w:r>
      <w:r w:rsidRPr="001430C0">
        <w:rPr>
          <w:lang w:val="en-AU"/>
        </w:rPr>
        <w:t xml:space="preserve"> </w:t>
      </w:r>
      <w:r w:rsidR="00AB3FF5">
        <w:rPr>
          <w:lang w:val="en-AU"/>
        </w:rPr>
        <w:t xml:space="preserve">revised regulatory proposal included a </w:t>
      </w:r>
      <w:r w:rsidR="00B257F1">
        <w:rPr>
          <w:lang w:val="en-AU"/>
        </w:rPr>
        <w:t xml:space="preserve">proposed </w:t>
      </w:r>
      <w:r w:rsidR="00AB3FF5">
        <w:rPr>
          <w:lang w:val="en-AU"/>
        </w:rPr>
        <w:t xml:space="preserve">capex </w:t>
      </w:r>
      <w:r w:rsidR="00B257F1">
        <w:rPr>
          <w:lang w:val="en-AU"/>
        </w:rPr>
        <w:t xml:space="preserve">forecast requiring a total </w:t>
      </w:r>
      <w:r w:rsidR="00AB3FF5">
        <w:rPr>
          <w:lang w:val="en-AU"/>
        </w:rPr>
        <w:t xml:space="preserve">of </w:t>
      </w:r>
      <w:r w:rsidR="00E71498">
        <w:rPr>
          <w:lang w:val="en-AU"/>
        </w:rPr>
        <w:t xml:space="preserve">$292.4 million </w:t>
      </w:r>
      <w:r w:rsidR="00E71498" w:rsidRPr="006B490F">
        <w:rPr>
          <w:lang w:val="en-AU"/>
        </w:rPr>
        <w:t>($2013-14)</w:t>
      </w:r>
      <w:r w:rsidR="00E71498">
        <w:rPr>
          <w:lang w:val="en-AU"/>
        </w:rPr>
        <w:t xml:space="preserve"> for the 2014-19 regulatory control period</w:t>
      </w:r>
      <w:r w:rsidR="00725823">
        <w:rPr>
          <w:lang w:val="en-AU"/>
        </w:rPr>
        <w:t xml:space="preserve">, approximately $30 million lower than </w:t>
      </w:r>
      <w:r w:rsidR="005A1A7E">
        <w:rPr>
          <w:lang w:val="en-AU"/>
        </w:rPr>
        <w:t>the proposed</w:t>
      </w:r>
      <w:r w:rsidR="00725823">
        <w:rPr>
          <w:lang w:val="en-AU"/>
        </w:rPr>
        <w:t xml:space="preserve"> capex </w:t>
      </w:r>
      <w:r w:rsidR="005A1A7E">
        <w:rPr>
          <w:lang w:val="en-AU"/>
        </w:rPr>
        <w:t>forecast in its initial regulatory proposal</w:t>
      </w:r>
      <w:r w:rsidR="00E71498">
        <w:rPr>
          <w:lang w:val="en-AU"/>
        </w:rPr>
        <w:t>. PWC Networks’ revised capex proposal is set out in Table 9.5.</w:t>
      </w:r>
    </w:p>
    <w:p w14:paraId="7EFD7823" w14:textId="79E8EF0F" w:rsidR="00E71498" w:rsidRPr="00A139AD" w:rsidRDefault="00E71498" w:rsidP="00E71498">
      <w:pPr>
        <w:pStyle w:val="UtilComTableTitle"/>
        <w:keepNext/>
        <w:spacing w:before="120" w:after="0" w:line="240" w:lineRule="exact"/>
        <w:ind w:left="142"/>
      </w:pPr>
      <w:r>
        <w:t>Table 9.5: PWC Networks original and revised</w:t>
      </w:r>
      <w:r w:rsidRPr="002D2B54">
        <w:t xml:space="preserve"> capex</w:t>
      </w:r>
      <w:r w:rsidR="005A1A7E">
        <w:t xml:space="preserve"> forecast</w:t>
      </w:r>
      <w:r w:rsidRPr="00125E7A">
        <w:t xml:space="preserve"> ($</w:t>
      </w:r>
      <w:r>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E71498" w:rsidRPr="008A4655" w14:paraId="1B6B80FF" w14:textId="77777777" w:rsidTr="003951D7">
        <w:trPr>
          <w:cantSplit/>
          <w:trHeight w:val="360"/>
        </w:trPr>
        <w:tc>
          <w:tcPr>
            <w:tcW w:w="1811" w:type="dxa"/>
            <w:tcBorders>
              <w:top w:val="single" w:sz="4" w:space="0" w:color="999999"/>
              <w:bottom w:val="single" w:sz="4" w:space="0" w:color="auto"/>
            </w:tcBorders>
            <w:vAlign w:val="bottom"/>
          </w:tcPr>
          <w:p w14:paraId="5CF6C78E" w14:textId="77777777" w:rsidR="00E71498" w:rsidRPr="00EE5A08" w:rsidRDefault="00E71498" w:rsidP="003951D7">
            <w:pPr>
              <w:pStyle w:val="UtilComTabletext"/>
              <w:rPr>
                <w:b/>
              </w:rPr>
            </w:pPr>
          </w:p>
        </w:tc>
        <w:tc>
          <w:tcPr>
            <w:tcW w:w="1221" w:type="dxa"/>
            <w:tcBorders>
              <w:top w:val="single" w:sz="4" w:space="0" w:color="999999"/>
              <w:bottom w:val="single" w:sz="4" w:space="0" w:color="auto"/>
            </w:tcBorders>
            <w:tcMar>
              <w:left w:w="0" w:type="dxa"/>
            </w:tcMar>
            <w:vAlign w:val="bottom"/>
          </w:tcPr>
          <w:p w14:paraId="0252818F" w14:textId="77777777" w:rsidR="00E71498" w:rsidRPr="00EE5A08" w:rsidRDefault="00E71498" w:rsidP="003951D7">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3240FECD" w14:textId="77777777" w:rsidR="00E71498" w:rsidRPr="00EE5A08" w:rsidRDefault="00E71498" w:rsidP="003951D7">
            <w:pPr>
              <w:pStyle w:val="UtilComTabletext"/>
              <w:jc w:val="right"/>
              <w:rPr>
                <w:b/>
              </w:rPr>
            </w:pPr>
            <w:r>
              <w:rPr>
                <w:b/>
              </w:rPr>
              <w:t>2015-16</w:t>
            </w:r>
          </w:p>
        </w:tc>
        <w:tc>
          <w:tcPr>
            <w:tcW w:w="1221" w:type="dxa"/>
            <w:tcBorders>
              <w:top w:val="single" w:sz="4" w:space="0" w:color="999999"/>
              <w:bottom w:val="single" w:sz="4" w:space="0" w:color="auto"/>
            </w:tcBorders>
            <w:vAlign w:val="bottom"/>
          </w:tcPr>
          <w:p w14:paraId="027BCCA1" w14:textId="77777777" w:rsidR="00E71498" w:rsidRDefault="00E71498" w:rsidP="003951D7">
            <w:pPr>
              <w:pStyle w:val="UtilComTabletext"/>
              <w:jc w:val="right"/>
              <w:rPr>
                <w:b/>
              </w:rPr>
            </w:pPr>
            <w:r>
              <w:rPr>
                <w:b/>
              </w:rPr>
              <w:t>2016-17</w:t>
            </w:r>
          </w:p>
        </w:tc>
        <w:tc>
          <w:tcPr>
            <w:tcW w:w="1221" w:type="dxa"/>
            <w:tcBorders>
              <w:top w:val="single" w:sz="4" w:space="0" w:color="999999"/>
              <w:bottom w:val="single" w:sz="4" w:space="0" w:color="auto"/>
            </w:tcBorders>
            <w:vAlign w:val="bottom"/>
          </w:tcPr>
          <w:p w14:paraId="6265F1E9" w14:textId="77777777" w:rsidR="00E71498" w:rsidRDefault="00E71498" w:rsidP="003951D7">
            <w:pPr>
              <w:pStyle w:val="UtilComTabletext"/>
              <w:jc w:val="right"/>
              <w:rPr>
                <w:b/>
              </w:rPr>
            </w:pPr>
            <w:r>
              <w:rPr>
                <w:b/>
              </w:rPr>
              <w:t>2017-18</w:t>
            </w:r>
          </w:p>
        </w:tc>
        <w:tc>
          <w:tcPr>
            <w:tcW w:w="1221" w:type="dxa"/>
            <w:tcBorders>
              <w:top w:val="single" w:sz="4" w:space="0" w:color="999999"/>
              <w:bottom w:val="single" w:sz="4" w:space="0" w:color="auto"/>
            </w:tcBorders>
            <w:vAlign w:val="bottom"/>
          </w:tcPr>
          <w:p w14:paraId="7BFE650A" w14:textId="77777777" w:rsidR="00E71498" w:rsidRDefault="00E71498" w:rsidP="003951D7">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697728F7" w14:textId="77777777" w:rsidR="00E71498" w:rsidRPr="00EE5A08" w:rsidRDefault="00E71498" w:rsidP="003951D7">
            <w:pPr>
              <w:pStyle w:val="UtilComTabletext"/>
              <w:jc w:val="right"/>
              <w:rPr>
                <w:b/>
              </w:rPr>
            </w:pPr>
            <w:r>
              <w:rPr>
                <w:b/>
              </w:rPr>
              <w:t>Total</w:t>
            </w:r>
          </w:p>
        </w:tc>
      </w:tr>
      <w:tr w:rsidR="00E71498" w:rsidRPr="008A4655" w14:paraId="1CDB5F41" w14:textId="77777777" w:rsidTr="003951D7">
        <w:trPr>
          <w:cantSplit/>
          <w:trHeight w:val="360"/>
        </w:trPr>
        <w:tc>
          <w:tcPr>
            <w:tcW w:w="1811" w:type="dxa"/>
            <w:tcBorders>
              <w:top w:val="single" w:sz="4" w:space="0" w:color="auto"/>
              <w:bottom w:val="single" w:sz="4" w:space="0" w:color="999999"/>
            </w:tcBorders>
          </w:tcPr>
          <w:p w14:paraId="06407462" w14:textId="77777777" w:rsidR="00E71498" w:rsidRDefault="00E71498" w:rsidP="003951D7">
            <w:pPr>
              <w:pStyle w:val="UtilComTabletext"/>
            </w:pPr>
            <w:r>
              <w:t xml:space="preserve">Original capex </w:t>
            </w:r>
          </w:p>
        </w:tc>
        <w:tc>
          <w:tcPr>
            <w:tcW w:w="1221" w:type="dxa"/>
            <w:tcBorders>
              <w:top w:val="single" w:sz="4" w:space="0" w:color="auto"/>
              <w:bottom w:val="single" w:sz="4" w:space="0" w:color="999999"/>
            </w:tcBorders>
            <w:shd w:val="clear" w:color="auto" w:fill="auto"/>
          </w:tcPr>
          <w:p w14:paraId="71BD7A7D" w14:textId="77777777" w:rsidR="00E71498" w:rsidRPr="00E300D6" w:rsidRDefault="00E71498" w:rsidP="003951D7">
            <w:pPr>
              <w:pStyle w:val="UtilComTabletext"/>
              <w:jc w:val="right"/>
            </w:pPr>
            <w:r>
              <w:t>84.74</w:t>
            </w:r>
          </w:p>
        </w:tc>
        <w:tc>
          <w:tcPr>
            <w:tcW w:w="1221" w:type="dxa"/>
            <w:tcBorders>
              <w:top w:val="single" w:sz="4" w:space="0" w:color="auto"/>
              <w:bottom w:val="single" w:sz="4" w:space="0" w:color="999999"/>
            </w:tcBorders>
            <w:shd w:val="clear" w:color="auto" w:fill="auto"/>
          </w:tcPr>
          <w:p w14:paraId="0D10F1AB" w14:textId="77777777" w:rsidR="00E71498" w:rsidRPr="00E300D6" w:rsidRDefault="00E71498" w:rsidP="003951D7">
            <w:pPr>
              <w:pStyle w:val="UtilComTabletext"/>
              <w:jc w:val="right"/>
            </w:pPr>
            <w:r>
              <w:t>74.80</w:t>
            </w:r>
          </w:p>
        </w:tc>
        <w:tc>
          <w:tcPr>
            <w:tcW w:w="1221" w:type="dxa"/>
            <w:tcBorders>
              <w:top w:val="single" w:sz="4" w:space="0" w:color="auto"/>
              <w:bottom w:val="single" w:sz="4" w:space="0" w:color="999999"/>
            </w:tcBorders>
          </w:tcPr>
          <w:p w14:paraId="5E13E1F2" w14:textId="77777777" w:rsidR="00E71498" w:rsidRPr="00E300D6" w:rsidRDefault="00E71498" w:rsidP="003951D7">
            <w:pPr>
              <w:pStyle w:val="UtilComTabletext"/>
              <w:jc w:val="right"/>
            </w:pPr>
            <w:r>
              <w:t>57.44</w:t>
            </w:r>
          </w:p>
        </w:tc>
        <w:tc>
          <w:tcPr>
            <w:tcW w:w="1221" w:type="dxa"/>
            <w:tcBorders>
              <w:top w:val="single" w:sz="4" w:space="0" w:color="auto"/>
              <w:bottom w:val="single" w:sz="4" w:space="0" w:color="999999"/>
            </w:tcBorders>
          </w:tcPr>
          <w:p w14:paraId="3BCFDCED" w14:textId="77777777" w:rsidR="00E71498" w:rsidRPr="00E300D6" w:rsidRDefault="00E71498" w:rsidP="003951D7">
            <w:pPr>
              <w:pStyle w:val="UtilComTabletext"/>
              <w:jc w:val="right"/>
            </w:pPr>
            <w:r>
              <w:t>48.39</w:t>
            </w:r>
          </w:p>
        </w:tc>
        <w:tc>
          <w:tcPr>
            <w:tcW w:w="1221" w:type="dxa"/>
            <w:tcBorders>
              <w:top w:val="single" w:sz="4" w:space="0" w:color="auto"/>
              <w:bottom w:val="single" w:sz="4" w:space="0" w:color="999999"/>
            </w:tcBorders>
          </w:tcPr>
          <w:p w14:paraId="305B4C09" w14:textId="77777777" w:rsidR="00E71498" w:rsidRPr="00E300D6" w:rsidRDefault="00E71498" w:rsidP="003951D7">
            <w:pPr>
              <w:pStyle w:val="UtilComTabletext"/>
              <w:jc w:val="right"/>
            </w:pPr>
            <w:r>
              <w:t>57.58</w:t>
            </w:r>
          </w:p>
        </w:tc>
        <w:tc>
          <w:tcPr>
            <w:tcW w:w="1221" w:type="dxa"/>
            <w:tcBorders>
              <w:top w:val="single" w:sz="4" w:space="0" w:color="auto"/>
              <w:bottom w:val="single" w:sz="4" w:space="0" w:color="999999"/>
            </w:tcBorders>
            <w:shd w:val="clear" w:color="auto" w:fill="auto"/>
          </w:tcPr>
          <w:p w14:paraId="3980CA3D" w14:textId="77777777" w:rsidR="00E71498" w:rsidRDefault="00E71498" w:rsidP="003951D7">
            <w:pPr>
              <w:pStyle w:val="UtilComTabletext"/>
              <w:jc w:val="right"/>
            </w:pPr>
            <w:r>
              <w:t>322.96</w:t>
            </w:r>
          </w:p>
        </w:tc>
      </w:tr>
      <w:tr w:rsidR="00E71498" w:rsidRPr="008A4655" w14:paraId="19612A73" w14:textId="77777777" w:rsidTr="003951D7">
        <w:trPr>
          <w:cantSplit/>
          <w:trHeight w:val="360"/>
        </w:trPr>
        <w:tc>
          <w:tcPr>
            <w:tcW w:w="1811" w:type="dxa"/>
            <w:tcBorders>
              <w:top w:val="single" w:sz="4" w:space="0" w:color="999999"/>
              <w:bottom w:val="single" w:sz="4" w:space="0" w:color="auto"/>
            </w:tcBorders>
          </w:tcPr>
          <w:p w14:paraId="26E1F2F8" w14:textId="77777777" w:rsidR="00E71498" w:rsidRDefault="00E71498" w:rsidP="003951D7">
            <w:pPr>
              <w:pStyle w:val="UtilComTabletext"/>
            </w:pPr>
            <w:r>
              <w:t>Revised capex</w:t>
            </w:r>
          </w:p>
        </w:tc>
        <w:tc>
          <w:tcPr>
            <w:tcW w:w="1221" w:type="dxa"/>
            <w:tcBorders>
              <w:top w:val="single" w:sz="4" w:space="0" w:color="999999"/>
              <w:bottom w:val="single" w:sz="4" w:space="0" w:color="auto"/>
            </w:tcBorders>
            <w:shd w:val="clear" w:color="auto" w:fill="auto"/>
          </w:tcPr>
          <w:p w14:paraId="4532C9F8" w14:textId="77777777" w:rsidR="00E71498" w:rsidRPr="00E300D6" w:rsidRDefault="00E71498" w:rsidP="003951D7">
            <w:pPr>
              <w:pStyle w:val="UtilComTabletext"/>
              <w:jc w:val="right"/>
            </w:pPr>
            <w:r>
              <w:t>79.14</w:t>
            </w:r>
          </w:p>
        </w:tc>
        <w:tc>
          <w:tcPr>
            <w:tcW w:w="1221" w:type="dxa"/>
            <w:tcBorders>
              <w:top w:val="single" w:sz="4" w:space="0" w:color="999999"/>
              <w:bottom w:val="single" w:sz="4" w:space="0" w:color="auto"/>
            </w:tcBorders>
            <w:shd w:val="clear" w:color="auto" w:fill="auto"/>
          </w:tcPr>
          <w:p w14:paraId="487AF993" w14:textId="77777777" w:rsidR="00E71498" w:rsidRPr="00E300D6" w:rsidRDefault="00E71498" w:rsidP="003951D7">
            <w:pPr>
              <w:pStyle w:val="UtilComTabletext"/>
              <w:jc w:val="right"/>
            </w:pPr>
            <w:r>
              <w:t>66.83</w:t>
            </w:r>
          </w:p>
        </w:tc>
        <w:tc>
          <w:tcPr>
            <w:tcW w:w="1221" w:type="dxa"/>
            <w:tcBorders>
              <w:top w:val="single" w:sz="4" w:space="0" w:color="999999"/>
              <w:bottom w:val="single" w:sz="4" w:space="0" w:color="auto"/>
            </w:tcBorders>
          </w:tcPr>
          <w:p w14:paraId="30C54502" w14:textId="77777777" w:rsidR="00E71498" w:rsidRPr="00E300D6" w:rsidRDefault="00E71498" w:rsidP="003951D7">
            <w:pPr>
              <w:pStyle w:val="UtilComTabletext"/>
              <w:jc w:val="right"/>
            </w:pPr>
            <w:r>
              <w:t>45.71</w:t>
            </w:r>
          </w:p>
        </w:tc>
        <w:tc>
          <w:tcPr>
            <w:tcW w:w="1221" w:type="dxa"/>
            <w:tcBorders>
              <w:top w:val="single" w:sz="4" w:space="0" w:color="999999"/>
              <w:bottom w:val="single" w:sz="4" w:space="0" w:color="auto"/>
            </w:tcBorders>
          </w:tcPr>
          <w:p w14:paraId="1AF537F1" w14:textId="77777777" w:rsidR="00E71498" w:rsidRPr="00E300D6" w:rsidRDefault="00E71498" w:rsidP="003951D7">
            <w:pPr>
              <w:pStyle w:val="UtilComTabletext"/>
              <w:jc w:val="right"/>
            </w:pPr>
            <w:r>
              <w:t>42.89</w:t>
            </w:r>
          </w:p>
        </w:tc>
        <w:tc>
          <w:tcPr>
            <w:tcW w:w="1221" w:type="dxa"/>
            <w:tcBorders>
              <w:top w:val="single" w:sz="4" w:space="0" w:color="999999"/>
              <w:bottom w:val="single" w:sz="4" w:space="0" w:color="auto"/>
            </w:tcBorders>
          </w:tcPr>
          <w:p w14:paraId="4C6FE6B3" w14:textId="77777777" w:rsidR="00E71498" w:rsidRPr="00E300D6" w:rsidRDefault="00E71498" w:rsidP="003951D7">
            <w:pPr>
              <w:pStyle w:val="UtilComTabletext"/>
              <w:jc w:val="right"/>
            </w:pPr>
            <w:r>
              <w:t>57.89</w:t>
            </w:r>
          </w:p>
        </w:tc>
        <w:tc>
          <w:tcPr>
            <w:tcW w:w="1221" w:type="dxa"/>
            <w:tcBorders>
              <w:top w:val="single" w:sz="4" w:space="0" w:color="999999"/>
              <w:bottom w:val="single" w:sz="4" w:space="0" w:color="auto"/>
            </w:tcBorders>
            <w:shd w:val="clear" w:color="auto" w:fill="auto"/>
          </w:tcPr>
          <w:p w14:paraId="7BF24C2C" w14:textId="77777777" w:rsidR="00E71498" w:rsidRDefault="00E71498" w:rsidP="003951D7">
            <w:pPr>
              <w:pStyle w:val="UtilComTabletext"/>
              <w:jc w:val="right"/>
            </w:pPr>
            <w:r>
              <w:t>292.46</w:t>
            </w:r>
          </w:p>
        </w:tc>
      </w:tr>
      <w:tr w:rsidR="00E71498" w:rsidRPr="00E71498" w14:paraId="48C811D1" w14:textId="77777777" w:rsidTr="003951D7">
        <w:trPr>
          <w:cantSplit/>
          <w:trHeight w:val="360"/>
        </w:trPr>
        <w:tc>
          <w:tcPr>
            <w:tcW w:w="1811" w:type="dxa"/>
            <w:tcBorders>
              <w:top w:val="single" w:sz="4" w:space="0" w:color="auto"/>
              <w:bottom w:val="single" w:sz="4" w:space="0" w:color="000000"/>
            </w:tcBorders>
          </w:tcPr>
          <w:p w14:paraId="3FA637FF" w14:textId="77777777" w:rsidR="00E71498" w:rsidRPr="00E71498" w:rsidRDefault="00E71498" w:rsidP="003951D7">
            <w:pPr>
              <w:pStyle w:val="UtilComTabletext"/>
            </w:pPr>
            <w:r>
              <w:t>Difference</w:t>
            </w:r>
          </w:p>
        </w:tc>
        <w:tc>
          <w:tcPr>
            <w:tcW w:w="1221" w:type="dxa"/>
            <w:tcBorders>
              <w:top w:val="single" w:sz="4" w:space="0" w:color="auto"/>
              <w:bottom w:val="single" w:sz="4" w:space="0" w:color="000000"/>
            </w:tcBorders>
            <w:shd w:val="clear" w:color="auto" w:fill="auto"/>
          </w:tcPr>
          <w:p w14:paraId="66BF10A5" w14:textId="77777777" w:rsidR="00E71498" w:rsidRPr="00E71498" w:rsidRDefault="00725823" w:rsidP="003951D7">
            <w:pPr>
              <w:pStyle w:val="UtilComTabletext"/>
              <w:jc w:val="right"/>
            </w:pPr>
            <w:r>
              <w:t>-5.60</w:t>
            </w:r>
          </w:p>
        </w:tc>
        <w:tc>
          <w:tcPr>
            <w:tcW w:w="1221" w:type="dxa"/>
            <w:tcBorders>
              <w:top w:val="single" w:sz="4" w:space="0" w:color="auto"/>
              <w:bottom w:val="single" w:sz="4" w:space="0" w:color="000000"/>
            </w:tcBorders>
            <w:shd w:val="clear" w:color="auto" w:fill="auto"/>
          </w:tcPr>
          <w:p w14:paraId="4AEE7011" w14:textId="77777777" w:rsidR="00E71498" w:rsidRPr="00E71498" w:rsidRDefault="00725823" w:rsidP="003951D7">
            <w:pPr>
              <w:pStyle w:val="UtilComTabletext"/>
              <w:jc w:val="right"/>
            </w:pPr>
            <w:r>
              <w:t>-7.97</w:t>
            </w:r>
          </w:p>
        </w:tc>
        <w:tc>
          <w:tcPr>
            <w:tcW w:w="1221" w:type="dxa"/>
            <w:tcBorders>
              <w:top w:val="single" w:sz="4" w:space="0" w:color="auto"/>
              <w:bottom w:val="single" w:sz="4" w:space="0" w:color="000000"/>
            </w:tcBorders>
          </w:tcPr>
          <w:p w14:paraId="384E2C1F" w14:textId="77777777" w:rsidR="00E71498" w:rsidRPr="00E71498" w:rsidRDefault="00725823" w:rsidP="003951D7">
            <w:pPr>
              <w:pStyle w:val="UtilComTabletext"/>
              <w:jc w:val="right"/>
            </w:pPr>
            <w:r>
              <w:t>-11.73</w:t>
            </w:r>
          </w:p>
        </w:tc>
        <w:tc>
          <w:tcPr>
            <w:tcW w:w="1221" w:type="dxa"/>
            <w:tcBorders>
              <w:top w:val="single" w:sz="4" w:space="0" w:color="auto"/>
              <w:bottom w:val="single" w:sz="4" w:space="0" w:color="000000"/>
            </w:tcBorders>
          </w:tcPr>
          <w:p w14:paraId="29FF62FA" w14:textId="77777777" w:rsidR="00E71498" w:rsidRPr="00E71498" w:rsidRDefault="00725823" w:rsidP="003951D7">
            <w:pPr>
              <w:pStyle w:val="UtilComTabletext"/>
              <w:jc w:val="right"/>
            </w:pPr>
            <w:r>
              <w:t>-5.50</w:t>
            </w:r>
          </w:p>
        </w:tc>
        <w:tc>
          <w:tcPr>
            <w:tcW w:w="1221" w:type="dxa"/>
            <w:tcBorders>
              <w:top w:val="single" w:sz="4" w:space="0" w:color="auto"/>
              <w:bottom w:val="single" w:sz="4" w:space="0" w:color="000000"/>
            </w:tcBorders>
          </w:tcPr>
          <w:p w14:paraId="4584CFC3" w14:textId="77777777" w:rsidR="00E71498" w:rsidRPr="00E71498" w:rsidRDefault="00725823" w:rsidP="003951D7">
            <w:pPr>
              <w:pStyle w:val="UtilComTabletext"/>
              <w:jc w:val="right"/>
            </w:pPr>
            <w:r>
              <w:t>0.31</w:t>
            </w:r>
          </w:p>
        </w:tc>
        <w:tc>
          <w:tcPr>
            <w:tcW w:w="1221" w:type="dxa"/>
            <w:tcBorders>
              <w:top w:val="single" w:sz="4" w:space="0" w:color="auto"/>
              <w:bottom w:val="single" w:sz="4" w:space="0" w:color="000000"/>
            </w:tcBorders>
            <w:shd w:val="clear" w:color="auto" w:fill="auto"/>
          </w:tcPr>
          <w:p w14:paraId="1323357F" w14:textId="37F2CEA4" w:rsidR="00E71498" w:rsidRPr="00E71498" w:rsidRDefault="00725823" w:rsidP="00E149C6">
            <w:pPr>
              <w:pStyle w:val="UtilComTabletext"/>
              <w:jc w:val="right"/>
            </w:pPr>
            <w:r>
              <w:t>-30.</w:t>
            </w:r>
            <w:r w:rsidR="00E149C6">
              <w:t>49</w:t>
            </w:r>
          </w:p>
        </w:tc>
      </w:tr>
    </w:tbl>
    <w:p w14:paraId="3E60601C" w14:textId="29DA116D" w:rsidR="00E71498" w:rsidRDefault="00E71498" w:rsidP="00E71498">
      <w:pPr>
        <w:pStyle w:val="UtilComReferenceSource"/>
        <w:ind w:left="142"/>
        <w:rPr>
          <w:lang w:val="en-AU"/>
        </w:rPr>
      </w:pPr>
      <w:r>
        <w:rPr>
          <w:lang w:val="en-AU"/>
        </w:rPr>
        <w:t xml:space="preserve">Source: </w:t>
      </w:r>
      <w:r w:rsidRPr="00210E83">
        <w:rPr>
          <w:lang w:val="en-AU"/>
        </w:rPr>
        <w:t xml:space="preserve">PWC Networks, </w:t>
      </w:r>
      <w:r w:rsidR="005A1A7E">
        <w:rPr>
          <w:lang w:val="en-AU"/>
        </w:rPr>
        <w:t xml:space="preserve">revised </w:t>
      </w:r>
      <w:r>
        <w:rPr>
          <w:lang w:val="en-AU"/>
        </w:rPr>
        <w:t>r</w:t>
      </w:r>
      <w:r w:rsidRPr="00210E83">
        <w:rPr>
          <w:lang w:val="en-AU"/>
        </w:rPr>
        <w:t xml:space="preserve">egulatory proposal, </w:t>
      </w:r>
      <w:r>
        <w:rPr>
          <w:lang w:val="en-AU"/>
        </w:rPr>
        <w:t>January 2014</w:t>
      </w:r>
      <w:r w:rsidRPr="00210E83">
        <w:rPr>
          <w:lang w:val="en-AU"/>
        </w:rPr>
        <w:t xml:space="preserve">, </w:t>
      </w:r>
      <w:r>
        <w:rPr>
          <w:lang w:val="en-AU"/>
        </w:rPr>
        <w:t>RRP:</w:t>
      </w:r>
      <w:r w:rsidR="00104537">
        <w:rPr>
          <w:lang w:val="en-AU"/>
        </w:rPr>
        <w:t xml:space="preserve"> </w:t>
      </w:r>
      <w:r w:rsidRPr="00210E83">
        <w:rPr>
          <w:lang w:val="en-AU"/>
        </w:rPr>
        <w:t>RIN template 3.1 (confidential)</w:t>
      </w:r>
    </w:p>
    <w:p w14:paraId="1BF69515" w14:textId="4EF51A91" w:rsidR="00294A96" w:rsidRDefault="00294A96">
      <w:pPr>
        <w:spacing w:before="0" w:after="0" w:line="240" w:lineRule="auto"/>
        <w:rPr>
          <w:lang w:val="en-AU"/>
        </w:rPr>
      </w:pPr>
    </w:p>
    <w:p w14:paraId="36337C0D" w14:textId="65F81921" w:rsidR="00E71498" w:rsidRDefault="00725823" w:rsidP="00725823">
      <w:pPr>
        <w:pStyle w:val="NumberLevel2"/>
        <w:numPr>
          <w:ilvl w:val="1"/>
          <w:numId w:val="5"/>
        </w:numPr>
        <w:tabs>
          <w:tab w:val="num" w:pos="709"/>
        </w:tabs>
        <w:ind w:left="709" w:hanging="709"/>
        <w:rPr>
          <w:lang w:val="en-AU"/>
        </w:rPr>
      </w:pPr>
      <w:r>
        <w:rPr>
          <w:lang w:val="en-AU"/>
        </w:rPr>
        <w:t xml:space="preserve">Table 9.6 shows PWC Networks’ revised </w:t>
      </w:r>
      <w:r w:rsidR="005A1A7E">
        <w:rPr>
          <w:lang w:val="en-AU"/>
        </w:rPr>
        <w:t xml:space="preserve">proposed </w:t>
      </w:r>
      <w:r>
        <w:rPr>
          <w:lang w:val="en-AU"/>
        </w:rPr>
        <w:t xml:space="preserve">capex </w:t>
      </w:r>
      <w:r w:rsidR="005A1A7E">
        <w:rPr>
          <w:lang w:val="en-AU"/>
        </w:rPr>
        <w:t xml:space="preserve">forecast </w:t>
      </w:r>
      <w:r>
        <w:rPr>
          <w:lang w:val="en-AU"/>
        </w:rPr>
        <w:t>by capex categor</w:t>
      </w:r>
      <w:r w:rsidR="00E22790">
        <w:rPr>
          <w:lang w:val="en-AU"/>
        </w:rPr>
        <w:t>y</w:t>
      </w:r>
      <w:r>
        <w:rPr>
          <w:lang w:val="en-AU"/>
        </w:rPr>
        <w:t>.</w:t>
      </w:r>
    </w:p>
    <w:p w14:paraId="702ACB4C" w14:textId="78281E1D" w:rsidR="00725823" w:rsidRPr="00A139AD" w:rsidRDefault="00725823" w:rsidP="00725823">
      <w:pPr>
        <w:pStyle w:val="UtilComTableTitle"/>
        <w:keepNext/>
        <w:spacing w:before="120" w:after="0" w:line="240" w:lineRule="exact"/>
        <w:ind w:left="142"/>
      </w:pPr>
      <w:r>
        <w:t xml:space="preserve">Table 9.6: PWC Networks </w:t>
      </w:r>
      <w:r w:rsidR="00D624BF">
        <w:t>‘</w:t>
      </w:r>
      <w:r>
        <w:t>revised</w:t>
      </w:r>
      <w:r w:rsidRPr="002D2B54">
        <w:t xml:space="preserve"> </w:t>
      </w:r>
      <w:r w:rsidR="005A1A7E">
        <w:t xml:space="preserve">proposed </w:t>
      </w:r>
      <w:r w:rsidRPr="002D2B54">
        <w:t>capex</w:t>
      </w:r>
      <w:r>
        <w:t xml:space="preserve"> </w:t>
      </w:r>
      <w:r w:rsidR="005A1A7E">
        <w:t xml:space="preserve">forecast </w:t>
      </w:r>
      <w:r>
        <w:t>by category</w:t>
      </w:r>
      <w:r w:rsidRPr="00125E7A">
        <w:t xml:space="preserve"> ($</w:t>
      </w:r>
      <w:r>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725823" w:rsidRPr="008A4655" w14:paraId="7FECA520" w14:textId="77777777" w:rsidTr="003951D7">
        <w:trPr>
          <w:cantSplit/>
          <w:trHeight w:val="360"/>
        </w:trPr>
        <w:tc>
          <w:tcPr>
            <w:tcW w:w="1811" w:type="dxa"/>
            <w:tcBorders>
              <w:top w:val="single" w:sz="4" w:space="0" w:color="999999"/>
              <w:bottom w:val="single" w:sz="4" w:space="0" w:color="auto"/>
            </w:tcBorders>
            <w:vAlign w:val="bottom"/>
          </w:tcPr>
          <w:p w14:paraId="34C614E0" w14:textId="77777777" w:rsidR="00725823" w:rsidRPr="00EE5A08" w:rsidRDefault="00725823" w:rsidP="003951D7">
            <w:pPr>
              <w:pStyle w:val="UtilComTabletext"/>
              <w:rPr>
                <w:b/>
              </w:rPr>
            </w:pPr>
          </w:p>
        </w:tc>
        <w:tc>
          <w:tcPr>
            <w:tcW w:w="1221" w:type="dxa"/>
            <w:tcBorders>
              <w:top w:val="single" w:sz="4" w:space="0" w:color="999999"/>
              <w:bottom w:val="single" w:sz="4" w:space="0" w:color="auto"/>
            </w:tcBorders>
            <w:tcMar>
              <w:left w:w="0" w:type="dxa"/>
            </w:tcMar>
            <w:vAlign w:val="bottom"/>
          </w:tcPr>
          <w:p w14:paraId="2E1BAF5E" w14:textId="77777777" w:rsidR="00725823" w:rsidRPr="00EE5A08" w:rsidRDefault="00725823" w:rsidP="003951D7">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77236264" w14:textId="77777777" w:rsidR="00725823" w:rsidRPr="00EE5A08" w:rsidRDefault="00725823" w:rsidP="003951D7">
            <w:pPr>
              <w:pStyle w:val="UtilComTabletext"/>
              <w:jc w:val="right"/>
              <w:rPr>
                <w:b/>
              </w:rPr>
            </w:pPr>
            <w:r>
              <w:rPr>
                <w:b/>
              </w:rPr>
              <w:t>2015-16</w:t>
            </w:r>
          </w:p>
        </w:tc>
        <w:tc>
          <w:tcPr>
            <w:tcW w:w="1221" w:type="dxa"/>
            <w:tcBorders>
              <w:top w:val="single" w:sz="4" w:space="0" w:color="999999"/>
              <w:bottom w:val="single" w:sz="4" w:space="0" w:color="auto"/>
            </w:tcBorders>
            <w:vAlign w:val="bottom"/>
          </w:tcPr>
          <w:p w14:paraId="23828DD7" w14:textId="77777777" w:rsidR="00725823" w:rsidRDefault="00725823" w:rsidP="003951D7">
            <w:pPr>
              <w:pStyle w:val="UtilComTabletext"/>
              <w:jc w:val="right"/>
              <w:rPr>
                <w:b/>
              </w:rPr>
            </w:pPr>
            <w:r>
              <w:rPr>
                <w:b/>
              </w:rPr>
              <w:t>2016-17</w:t>
            </w:r>
          </w:p>
        </w:tc>
        <w:tc>
          <w:tcPr>
            <w:tcW w:w="1221" w:type="dxa"/>
            <w:tcBorders>
              <w:top w:val="single" w:sz="4" w:space="0" w:color="999999"/>
              <w:bottom w:val="single" w:sz="4" w:space="0" w:color="auto"/>
            </w:tcBorders>
            <w:vAlign w:val="bottom"/>
          </w:tcPr>
          <w:p w14:paraId="62884027" w14:textId="77777777" w:rsidR="00725823" w:rsidRDefault="00725823" w:rsidP="003951D7">
            <w:pPr>
              <w:pStyle w:val="UtilComTabletext"/>
              <w:jc w:val="right"/>
              <w:rPr>
                <w:b/>
              </w:rPr>
            </w:pPr>
            <w:r>
              <w:rPr>
                <w:b/>
              </w:rPr>
              <w:t>2017-18</w:t>
            </w:r>
          </w:p>
        </w:tc>
        <w:tc>
          <w:tcPr>
            <w:tcW w:w="1221" w:type="dxa"/>
            <w:tcBorders>
              <w:top w:val="single" w:sz="4" w:space="0" w:color="999999"/>
              <w:bottom w:val="single" w:sz="4" w:space="0" w:color="auto"/>
            </w:tcBorders>
            <w:vAlign w:val="bottom"/>
          </w:tcPr>
          <w:p w14:paraId="20120A36" w14:textId="77777777" w:rsidR="00725823" w:rsidRDefault="00725823" w:rsidP="003951D7">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6F1E7EA0" w14:textId="77777777" w:rsidR="00725823" w:rsidRPr="00EE5A08" w:rsidRDefault="00725823" w:rsidP="003951D7">
            <w:pPr>
              <w:pStyle w:val="UtilComTabletext"/>
              <w:jc w:val="right"/>
              <w:rPr>
                <w:b/>
              </w:rPr>
            </w:pPr>
            <w:r>
              <w:rPr>
                <w:b/>
              </w:rPr>
              <w:t>Total</w:t>
            </w:r>
          </w:p>
        </w:tc>
      </w:tr>
      <w:tr w:rsidR="00725823" w:rsidRPr="008A4655" w14:paraId="1CC580CC" w14:textId="77777777" w:rsidTr="003951D7">
        <w:trPr>
          <w:cantSplit/>
          <w:trHeight w:val="360"/>
        </w:trPr>
        <w:tc>
          <w:tcPr>
            <w:tcW w:w="1811" w:type="dxa"/>
            <w:tcBorders>
              <w:top w:val="single" w:sz="4" w:space="0" w:color="auto"/>
              <w:bottom w:val="single" w:sz="4" w:space="0" w:color="999999"/>
            </w:tcBorders>
          </w:tcPr>
          <w:p w14:paraId="3487B722" w14:textId="77777777" w:rsidR="00725823" w:rsidRDefault="00725823" w:rsidP="003951D7">
            <w:pPr>
              <w:pStyle w:val="UtilComTabletext"/>
            </w:pPr>
            <w:r>
              <w:t>User initiated</w:t>
            </w:r>
          </w:p>
        </w:tc>
        <w:tc>
          <w:tcPr>
            <w:tcW w:w="1221" w:type="dxa"/>
            <w:tcBorders>
              <w:top w:val="single" w:sz="4" w:space="0" w:color="auto"/>
              <w:bottom w:val="single" w:sz="4" w:space="0" w:color="999999"/>
            </w:tcBorders>
            <w:shd w:val="clear" w:color="auto" w:fill="auto"/>
          </w:tcPr>
          <w:p w14:paraId="55896C97" w14:textId="77777777" w:rsidR="00725823" w:rsidRPr="00E300D6" w:rsidRDefault="00725823" w:rsidP="00725823">
            <w:pPr>
              <w:pStyle w:val="UtilComTabletext"/>
              <w:jc w:val="right"/>
            </w:pPr>
            <w:r>
              <w:t>10.3</w:t>
            </w:r>
            <w:r w:rsidR="00A535F7">
              <w:t>7</w:t>
            </w:r>
          </w:p>
        </w:tc>
        <w:tc>
          <w:tcPr>
            <w:tcW w:w="1221" w:type="dxa"/>
            <w:tcBorders>
              <w:top w:val="single" w:sz="4" w:space="0" w:color="auto"/>
              <w:bottom w:val="single" w:sz="4" w:space="0" w:color="999999"/>
            </w:tcBorders>
            <w:shd w:val="clear" w:color="auto" w:fill="auto"/>
          </w:tcPr>
          <w:p w14:paraId="1417C383" w14:textId="77777777" w:rsidR="00725823" w:rsidRPr="00E300D6" w:rsidRDefault="00725823" w:rsidP="00A535F7">
            <w:pPr>
              <w:pStyle w:val="UtilComTabletext"/>
              <w:jc w:val="right"/>
            </w:pPr>
            <w:r>
              <w:t>10.5</w:t>
            </w:r>
            <w:r w:rsidR="00A535F7">
              <w:t>5</w:t>
            </w:r>
          </w:p>
        </w:tc>
        <w:tc>
          <w:tcPr>
            <w:tcW w:w="1221" w:type="dxa"/>
            <w:tcBorders>
              <w:top w:val="single" w:sz="4" w:space="0" w:color="auto"/>
              <w:bottom w:val="single" w:sz="4" w:space="0" w:color="999999"/>
            </w:tcBorders>
          </w:tcPr>
          <w:p w14:paraId="6EB42638" w14:textId="77777777" w:rsidR="00725823" w:rsidRPr="00E300D6" w:rsidRDefault="00725823" w:rsidP="00A535F7">
            <w:pPr>
              <w:pStyle w:val="UtilComTabletext"/>
              <w:jc w:val="right"/>
            </w:pPr>
            <w:r>
              <w:t>11.4</w:t>
            </w:r>
            <w:r w:rsidR="00A535F7">
              <w:t>1</w:t>
            </w:r>
          </w:p>
        </w:tc>
        <w:tc>
          <w:tcPr>
            <w:tcW w:w="1221" w:type="dxa"/>
            <w:tcBorders>
              <w:top w:val="single" w:sz="4" w:space="0" w:color="auto"/>
              <w:bottom w:val="single" w:sz="4" w:space="0" w:color="999999"/>
            </w:tcBorders>
          </w:tcPr>
          <w:p w14:paraId="102B23F0" w14:textId="77777777" w:rsidR="00725823" w:rsidRPr="00E300D6" w:rsidRDefault="00725823" w:rsidP="00A535F7">
            <w:pPr>
              <w:pStyle w:val="UtilComTabletext"/>
              <w:jc w:val="right"/>
            </w:pPr>
            <w:r>
              <w:t>12.01</w:t>
            </w:r>
          </w:p>
        </w:tc>
        <w:tc>
          <w:tcPr>
            <w:tcW w:w="1221" w:type="dxa"/>
            <w:tcBorders>
              <w:top w:val="single" w:sz="4" w:space="0" w:color="auto"/>
              <w:bottom w:val="single" w:sz="4" w:space="0" w:color="999999"/>
            </w:tcBorders>
          </w:tcPr>
          <w:p w14:paraId="620E6FBF" w14:textId="77777777" w:rsidR="00725823" w:rsidRPr="00E300D6" w:rsidRDefault="00725823" w:rsidP="00A535F7">
            <w:pPr>
              <w:pStyle w:val="UtilComTabletext"/>
              <w:jc w:val="right"/>
            </w:pPr>
            <w:r>
              <w:t>16.5</w:t>
            </w:r>
            <w:r w:rsidR="00A535F7">
              <w:t>8</w:t>
            </w:r>
          </w:p>
        </w:tc>
        <w:tc>
          <w:tcPr>
            <w:tcW w:w="1221" w:type="dxa"/>
            <w:tcBorders>
              <w:top w:val="single" w:sz="4" w:space="0" w:color="auto"/>
              <w:bottom w:val="single" w:sz="4" w:space="0" w:color="999999"/>
            </w:tcBorders>
            <w:shd w:val="clear" w:color="auto" w:fill="auto"/>
          </w:tcPr>
          <w:p w14:paraId="5EE1F01D" w14:textId="77777777" w:rsidR="00725823" w:rsidRDefault="00725823" w:rsidP="00A535F7">
            <w:pPr>
              <w:pStyle w:val="UtilComTabletext"/>
              <w:jc w:val="right"/>
            </w:pPr>
            <w:r>
              <w:t>60.9</w:t>
            </w:r>
            <w:r w:rsidR="00A535F7">
              <w:t>2</w:t>
            </w:r>
          </w:p>
        </w:tc>
      </w:tr>
      <w:tr w:rsidR="00725823" w:rsidRPr="008A4655" w14:paraId="0B2F64ED" w14:textId="77777777" w:rsidTr="003951D7">
        <w:trPr>
          <w:cantSplit/>
          <w:trHeight w:val="360"/>
        </w:trPr>
        <w:tc>
          <w:tcPr>
            <w:tcW w:w="1811" w:type="dxa"/>
            <w:tcBorders>
              <w:top w:val="single" w:sz="4" w:space="0" w:color="999999"/>
              <w:bottom w:val="single" w:sz="4" w:space="0" w:color="999999"/>
            </w:tcBorders>
          </w:tcPr>
          <w:p w14:paraId="5FEADA0A" w14:textId="77777777" w:rsidR="00725823" w:rsidRDefault="00725823" w:rsidP="003951D7">
            <w:pPr>
              <w:pStyle w:val="UtilComTabletext"/>
            </w:pPr>
            <w:r>
              <w:t>Augmentation</w:t>
            </w:r>
          </w:p>
        </w:tc>
        <w:tc>
          <w:tcPr>
            <w:tcW w:w="1221" w:type="dxa"/>
            <w:tcBorders>
              <w:top w:val="single" w:sz="4" w:space="0" w:color="999999"/>
              <w:bottom w:val="single" w:sz="4" w:space="0" w:color="999999"/>
            </w:tcBorders>
            <w:shd w:val="clear" w:color="auto" w:fill="auto"/>
          </w:tcPr>
          <w:p w14:paraId="4FBB99DC" w14:textId="77777777" w:rsidR="00725823" w:rsidRPr="00E300D6" w:rsidRDefault="00725823" w:rsidP="00A535F7">
            <w:pPr>
              <w:pStyle w:val="UtilComTabletext"/>
              <w:jc w:val="right"/>
            </w:pPr>
            <w:r>
              <w:t>16.8</w:t>
            </w:r>
            <w:r w:rsidR="00A535F7">
              <w:t>6</w:t>
            </w:r>
          </w:p>
        </w:tc>
        <w:tc>
          <w:tcPr>
            <w:tcW w:w="1221" w:type="dxa"/>
            <w:tcBorders>
              <w:top w:val="single" w:sz="4" w:space="0" w:color="999999"/>
              <w:bottom w:val="single" w:sz="4" w:space="0" w:color="999999"/>
            </w:tcBorders>
            <w:shd w:val="clear" w:color="auto" w:fill="auto"/>
          </w:tcPr>
          <w:p w14:paraId="6B0A59CC" w14:textId="77777777" w:rsidR="00725823" w:rsidRPr="00E300D6" w:rsidRDefault="00725823" w:rsidP="00A535F7">
            <w:pPr>
              <w:pStyle w:val="UtilComTabletext"/>
              <w:jc w:val="right"/>
            </w:pPr>
            <w:r>
              <w:t>13.32</w:t>
            </w:r>
          </w:p>
        </w:tc>
        <w:tc>
          <w:tcPr>
            <w:tcW w:w="1221" w:type="dxa"/>
            <w:tcBorders>
              <w:top w:val="single" w:sz="4" w:space="0" w:color="999999"/>
              <w:bottom w:val="single" w:sz="4" w:space="0" w:color="999999"/>
            </w:tcBorders>
          </w:tcPr>
          <w:p w14:paraId="0723CEE4" w14:textId="77777777" w:rsidR="00725823" w:rsidRPr="00E300D6" w:rsidRDefault="00A535F7" w:rsidP="00A535F7">
            <w:pPr>
              <w:pStyle w:val="UtilComTabletext"/>
              <w:jc w:val="right"/>
            </w:pPr>
            <w:r>
              <w:t>0.70</w:t>
            </w:r>
          </w:p>
        </w:tc>
        <w:tc>
          <w:tcPr>
            <w:tcW w:w="1221" w:type="dxa"/>
            <w:tcBorders>
              <w:top w:val="single" w:sz="4" w:space="0" w:color="999999"/>
              <w:bottom w:val="single" w:sz="4" w:space="0" w:color="999999"/>
            </w:tcBorders>
          </w:tcPr>
          <w:p w14:paraId="03C4A3F9" w14:textId="77777777" w:rsidR="00725823" w:rsidRPr="00E300D6" w:rsidRDefault="00725823" w:rsidP="00A535F7">
            <w:pPr>
              <w:pStyle w:val="UtilComTabletext"/>
              <w:jc w:val="right"/>
            </w:pPr>
            <w:r>
              <w:t>2,71</w:t>
            </w:r>
          </w:p>
        </w:tc>
        <w:tc>
          <w:tcPr>
            <w:tcW w:w="1221" w:type="dxa"/>
            <w:tcBorders>
              <w:top w:val="single" w:sz="4" w:space="0" w:color="999999"/>
              <w:bottom w:val="single" w:sz="4" w:space="0" w:color="999999"/>
            </w:tcBorders>
          </w:tcPr>
          <w:p w14:paraId="29D34234" w14:textId="77777777" w:rsidR="00725823" w:rsidRPr="00E300D6" w:rsidRDefault="00C25C07" w:rsidP="00A535F7">
            <w:pPr>
              <w:pStyle w:val="UtilComTabletext"/>
              <w:jc w:val="right"/>
            </w:pPr>
            <w:r>
              <w:t>5,66</w:t>
            </w:r>
          </w:p>
        </w:tc>
        <w:tc>
          <w:tcPr>
            <w:tcW w:w="1221" w:type="dxa"/>
            <w:tcBorders>
              <w:top w:val="single" w:sz="4" w:space="0" w:color="999999"/>
              <w:bottom w:val="single" w:sz="4" w:space="0" w:color="999999"/>
            </w:tcBorders>
            <w:shd w:val="clear" w:color="auto" w:fill="auto"/>
          </w:tcPr>
          <w:p w14:paraId="289F87F4" w14:textId="77777777" w:rsidR="00725823" w:rsidRDefault="00C25C07" w:rsidP="00A535F7">
            <w:pPr>
              <w:pStyle w:val="UtilComTabletext"/>
              <w:jc w:val="right"/>
            </w:pPr>
            <w:r>
              <w:t>39,2</w:t>
            </w:r>
            <w:r w:rsidR="00A535F7">
              <w:t>6</w:t>
            </w:r>
          </w:p>
        </w:tc>
      </w:tr>
      <w:tr w:rsidR="00725823" w:rsidRPr="008A4655" w14:paraId="2B183BB6" w14:textId="77777777" w:rsidTr="003951D7">
        <w:trPr>
          <w:cantSplit/>
          <w:trHeight w:val="360"/>
        </w:trPr>
        <w:tc>
          <w:tcPr>
            <w:tcW w:w="1811" w:type="dxa"/>
            <w:tcBorders>
              <w:top w:val="single" w:sz="4" w:space="0" w:color="999999"/>
              <w:bottom w:val="single" w:sz="4" w:space="0" w:color="999999"/>
            </w:tcBorders>
          </w:tcPr>
          <w:p w14:paraId="343F7DF0" w14:textId="77777777" w:rsidR="00725823" w:rsidRDefault="00725823" w:rsidP="003951D7">
            <w:pPr>
              <w:pStyle w:val="UtilComTabletext"/>
            </w:pPr>
            <w:r>
              <w:t>Replacement</w:t>
            </w:r>
          </w:p>
        </w:tc>
        <w:tc>
          <w:tcPr>
            <w:tcW w:w="1221" w:type="dxa"/>
            <w:tcBorders>
              <w:top w:val="single" w:sz="4" w:space="0" w:color="999999"/>
              <w:bottom w:val="single" w:sz="4" w:space="0" w:color="999999"/>
            </w:tcBorders>
            <w:shd w:val="clear" w:color="auto" w:fill="auto"/>
          </w:tcPr>
          <w:p w14:paraId="02CF2F9E" w14:textId="77777777" w:rsidR="00725823" w:rsidRPr="00E300D6" w:rsidRDefault="00C25C07" w:rsidP="00A535F7">
            <w:pPr>
              <w:pStyle w:val="UtilComTabletext"/>
              <w:jc w:val="right"/>
            </w:pPr>
            <w:r>
              <w:t>3</w:t>
            </w:r>
            <w:r w:rsidR="00725823">
              <w:t>6.1</w:t>
            </w:r>
            <w:r>
              <w:t>8</w:t>
            </w:r>
          </w:p>
        </w:tc>
        <w:tc>
          <w:tcPr>
            <w:tcW w:w="1221" w:type="dxa"/>
            <w:tcBorders>
              <w:top w:val="single" w:sz="4" w:space="0" w:color="999999"/>
              <w:bottom w:val="single" w:sz="4" w:space="0" w:color="999999"/>
            </w:tcBorders>
            <w:shd w:val="clear" w:color="auto" w:fill="auto"/>
          </w:tcPr>
          <w:p w14:paraId="61626230" w14:textId="77777777" w:rsidR="00725823" w:rsidRPr="00E300D6" w:rsidRDefault="00C25C07" w:rsidP="00A535F7">
            <w:pPr>
              <w:pStyle w:val="UtilComTabletext"/>
              <w:jc w:val="right"/>
            </w:pPr>
            <w:r>
              <w:t>25</w:t>
            </w:r>
            <w:r w:rsidR="00725823">
              <w:t>.</w:t>
            </w:r>
            <w:r>
              <w:t>8</w:t>
            </w:r>
            <w:r w:rsidR="00A535F7">
              <w:t>5</w:t>
            </w:r>
          </w:p>
        </w:tc>
        <w:tc>
          <w:tcPr>
            <w:tcW w:w="1221" w:type="dxa"/>
            <w:tcBorders>
              <w:top w:val="single" w:sz="4" w:space="0" w:color="999999"/>
              <w:bottom w:val="single" w:sz="4" w:space="0" w:color="999999"/>
            </w:tcBorders>
          </w:tcPr>
          <w:p w14:paraId="165DC893" w14:textId="77777777" w:rsidR="00725823" w:rsidRPr="00E300D6" w:rsidRDefault="00725823" w:rsidP="00A535F7">
            <w:pPr>
              <w:pStyle w:val="UtilComTabletext"/>
              <w:jc w:val="right"/>
            </w:pPr>
            <w:r>
              <w:t>2</w:t>
            </w:r>
            <w:r w:rsidR="00C25C07">
              <w:t>4</w:t>
            </w:r>
            <w:r>
              <w:t>.</w:t>
            </w:r>
            <w:r w:rsidR="00A535F7">
              <w:t>07</w:t>
            </w:r>
          </w:p>
        </w:tc>
        <w:tc>
          <w:tcPr>
            <w:tcW w:w="1221" w:type="dxa"/>
            <w:tcBorders>
              <w:top w:val="single" w:sz="4" w:space="0" w:color="999999"/>
              <w:bottom w:val="single" w:sz="4" w:space="0" w:color="999999"/>
            </w:tcBorders>
          </w:tcPr>
          <w:p w14:paraId="26E4608F" w14:textId="77777777" w:rsidR="00725823" w:rsidRPr="00E300D6" w:rsidRDefault="00C25C07" w:rsidP="00A535F7">
            <w:pPr>
              <w:pStyle w:val="UtilComTabletext"/>
              <w:jc w:val="right"/>
            </w:pPr>
            <w:r>
              <w:t>23</w:t>
            </w:r>
            <w:r w:rsidR="00725823">
              <w:t>.</w:t>
            </w:r>
            <w:r>
              <w:t>41</w:t>
            </w:r>
          </w:p>
        </w:tc>
        <w:tc>
          <w:tcPr>
            <w:tcW w:w="1221" w:type="dxa"/>
            <w:tcBorders>
              <w:top w:val="single" w:sz="4" w:space="0" w:color="999999"/>
              <w:bottom w:val="single" w:sz="4" w:space="0" w:color="999999"/>
            </w:tcBorders>
          </w:tcPr>
          <w:p w14:paraId="2259076C" w14:textId="77777777" w:rsidR="00725823" w:rsidRPr="00E300D6" w:rsidRDefault="00C25C07" w:rsidP="00A535F7">
            <w:pPr>
              <w:pStyle w:val="UtilComTabletext"/>
              <w:jc w:val="right"/>
            </w:pPr>
            <w:r>
              <w:t>30</w:t>
            </w:r>
            <w:r w:rsidR="00725823">
              <w:t>.</w:t>
            </w:r>
            <w:r>
              <w:t>89</w:t>
            </w:r>
          </w:p>
        </w:tc>
        <w:tc>
          <w:tcPr>
            <w:tcW w:w="1221" w:type="dxa"/>
            <w:tcBorders>
              <w:top w:val="single" w:sz="4" w:space="0" w:color="999999"/>
              <w:bottom w:val="single" w:sz="4" w:space="0" w:color="999999"/>
            </w:tcBorders>
            <w:shd w:val="clear" w:color="auto" w:fill="auto"/>
          </w:tcPr>
          <w:p w14:paraId="4C7E79EC" w14:textId="77777777" w:rsidR="00725823" w:rsidRDefault="00725823" w:rsidP="00A535F7">
            <w:pPr>
              <w:pStyle w:val="UtilComTabletext"/>
              <w:jc w:val="right"/>
            </w:pPr>
            <w:r>
              <w:t>1</w:t>
            </w:r>
            <w:r w:rsidR="00C25C07">
              <w:t>40</w:t>
            </w:r>
            <w:r>
              <w:t>.</w:t>
            </w:r>
            <w:r w:rsidR="00C25C07">
              <w:t>4</w:t>
            </w:r>
            <w:r w:rsidR="00A535F7">
              <w:t>1</w:t>
            </w:r>
          </w:p>
        </w:tc>
      </w:tr>
      <w:tr w:rsidR="00725823" w:rsidRPr="008A4655" w14:paraId="73432808" w14:textId="77777777" w:rsidTr="003951D7">
        <w:trPr>
          <w:cantSplit/>
          <w:trHeight w:val="360"/>
        </w:trPr>
        <w:tc>
          <w:tcPr>
            <w:tcW w:w="1811" w:type="dxa"/>
            <w:tcBorders>
              <w:top w:val="single" w:sz="4" w:space="0" w:color="999999"/>
              <w:bottom w:val="single" w:sz="4" w:space="0" w:color="999999"/>
            </w:tcBorders>
          </w:tcPr>
          <w:p w14:paraId="5BB77AF3" w14:textId="77777777" w:rsidR="00725823" w:rsidRDefault="00725823" w:rsidP="003951D7">
            <w:pPr>
              <w:pStyle w:val="UtilComTabletext"/>
            </w:pPr>
            <w:r>
              <w:t>Reliability</w:t>
            </w:r>
          </w:p>
        </w:tc>
        <w:tc>
          <w:tcPr>
            <w:tcW w:w="1221" w:type="dxa"/>
            <w:tcBorders>
              <w:top w:val="single" w:sz="4" w:space="0" w:color="999999"/>
              <w:bottom w:val="single" w:sz="4" w:space="0" w:color="999999"/>
            </w:tcBorders>
            <w:shd w:val="clear" w:color="auto" w:fill="auto"/>
          </w:tcPr>
          <w:p w14:paraId="28F4A135" w14:textId="77777777" w:rsidR="00725823" w:rsidRPr="00E300D6" w:rsidRDefault="00C25C07" w:rsidP="00A535F7">
            <w:pPr>
              <w:pStyle w:val="UtilComTabletext"/>
              <w:jc w:val="right"/>
            </w:pPr>
            <w:r>
              <w:t>6</w:t>
            </w:r>
            <w:r w:rsidR="00725823">
              <w:t>.</w:t>
            </w:r>
            <w:r>
              <w:t>96</w:t>
            </w:r>
          </w:p>
        </w:tc>
        <w:tc>
          <w:tcPr>
            <w:tcW w:w="1221" w:type="dxa"/>
            <w:tcBorders>
              <w:top w:val="single" w:sz="4" w:space="0" w:color="999999"/>
              <w:bottom w:val="single" w:sz="4" w:space="0" w:color="999999"/>
            </w:tcBorders>
            <w:shd w:val="clear" w:color="auto" w:fill="auto"/>
          </w:tcPr>
          <w:p w14:paraId="4BD93B6E" w14:textId="77777777" w:rsidR="00725823" w:rsidRPr="00E300D6" w:rsidRDefault="00725823" w:rsidP="00A535F7">
            <w:pPr>
              <w:pStyle w:val="UtilComTabletext"/>
              <w:jc w:val="right"/>
            </w:pPr>
            <w:r>
              <w:t>1</w:t>
            </w:r>
            <w:r w:rsidR="00C25C07">
              <w:t>3</w:t>
            </w:r>
            <w:r>
              <w:t>.</w:t>
            </w:r>
            <w:r w:rsidR="00C25C07">
              <w:t>3</w:t>
            </w:r>
            <w:r w:rsidR="00A535F7">
              <w:t>4</w:t>
            </w:r>
          </w:p>
        </w:tc>
        <w:tc>
          <w:tcPr>
            <w:tcW w:w="1221" w:type="dxa"/>
            <w:tcBorders>
              <w:top w:val="single" w:sz="4" w:space="0" w:color="999999"/>
              <w:bottom w:val="single" w:sz="4" w:space="0" w:color="999999"/>
            </w:tcBorders>
          </w:tcPr>
          <w:p w14:paraId="67C9C83F" w14:textId="77777777" w:rsidR="00725823" w:rsidRPr="00E300D6" w:rsidRDefault="00C25C07" w:rsidP="00A535F7">
            <w:pPr>
              <w:pStyle w:val="UtilComTabletext"/>
              <w:jc w:val="right"/>
            </w:pPr>
            <w:r>
              <w:t>7</w:t>
            </w:r>
            <w:r w:rsidR="00725823">
              <w:t>.</w:t>
            </w:r>
            <w:r>
              <w:t>57</w:t>
            </w:r>
          </w:p>
        </w:tc>
        <w:tc>
          <w:tcPr>
            <w:tcW w:w="1221" w:type="dxa"/>
            <w:tcBorders>
              <w:top w:val="single" w:sz="4" w:space="0" w:color="999999"/>
              <w:bottom w:val="single" w:sz="4" w:space="0" w:color="999999"/>
            </w:tcBorders>
          </w:tcPr>
          <w:p w14:paraId="4313F832" w14:textId="77777777" w:rsidR="00725823" w:rsidRPr="00E300D6" w:rsidRDefault="00C25C07" w:rsidP="00A535F7">
            <w:pPr>
              <w:pStyle w:val="UtilComTabletext"/>
              <w:jc w:val="right"/>
            </w:pPr>
            <w:r>
              <w:t>2</w:t>
            </w:r>
            <w:r w:rsidR="00725823">
              <w:t>.</w:t>
            </w:r>
            <w:r>
              <w:t>69</w:t>
            </w:r>
          </w:p>
        </w:tc>
        <w:tc>
          <w:tcPr>
            <w:tcW w:w="1221" w:type="dxa"/>
            <w:tcBorders>
              <w:top w:val="single" w:sz="4" w:space="0" w:color="999999"/>
              <w:bottom w:val="single" w:sz="4" w:space="0" w:color="999999"/>
            </w:tcBorders>
          </w:tcPr>
          <w:p w14:paraId="702571CC" w14:textId="77777777" w:rsidR="00725823" w:rsidRPr="00E300D6" w:rsidRDefault="00C25C07" w:rsidP="00A535F7">
            <w:pPr>
              <w:pStyle w:val="UtilComTabletext"/>
              <w:jc w:val="right"/>
            </w:pPr>
            <w:r>
              <w:t>2</w:t>
            </w:r>
            <w:r w:rsidR="00725823">
              <w:t>.</w:t>
            </w:r>
            <w:r>
              <w:t>73</w:t>
            </w:r>
          </w:p>
        </w:tc>
        <w:tc>
          <w:tcPr>
            <w:tcW w:w="1221" w:type="dxa"/>
            <w:tcBorders>
              <w:top w:val="single" w:sz="4" w:space="0" w:color="999999"/>
              <w:bottom w:val="single" w:sz="4" w:space="0" w:color="999999"/>
            </w:tcBorders>
            <w:shd w:val="clear" w:color="auto" w:fill="auto"/>
          </w:tcPr>
          <w:p w14:paraId="678BA4EE" w14:textId="77777777" w:rsidR="00725823" w:rsidRDefault="00725823" w:rsidP="00A535F7">
            <w:pPr>
              <w:pStyle w:val="UtilComTabletext"/>
              <w:jc w:val="right"/>
            </w:pPr>
            <w:r>
              <w:t>3</w:t>
            </w:r>
            <w:r w:rsidR="00C25C07">
              <w:t>3</w:t>
            </w:r>
            <w:r>
              <w:t>.</w:t>
            </w:r>
            <w:r w:rsidR="00A535F7">
              <w:t>30</w:t>
            </w:r>
          </w:p>
        </w:tc>
      </w:tr>
      <w:tr w:rsidR="00725823" w:rsidRPr="008A4655" w14:paraId="18BEA0AC" w14:textId="77777777" w:rsidTr="003951D7">
        <w:trPr>
          <w:cantSplit/>
          <w:trHeight w:val="360"/>
        </w:trPr>
        <w:tc>
          <w:tcPr>
            <w:tcW w:w="1811" w:type="dxa"/>
            <w:tcBorders>
              <w:top w:val="single" w:sz="4" w:space="0" w:color="999999"/>
              <w:bottom w:val="single" w:sz="4" w:space="0" w:color="999999"/>
            </w:tcBorders>
          </w:tcPr>
          <w:p w14:paraId="7263B87C" w14:textId="77777777" w:rsidR="00725823" w:rsidRDefault="00725823" w:rsidP="003951D7">
            <w:pPr>
              <w:pStyle w:val="UtilComTabletext"/>
            </w:pPr>
            <w:r>
              <w:t>Compliance</w:t>
            </w:r>
          </w:p>
        </w:tc>
        <w:tc>
          <w:tcPr>
            <w:tcW w:w="1221" w:type="dxa"/>
            <w:tcBorders>
              <w:top w:val="single" w:sz="4" w:space="0" w:color="999999"/>
              <w:bottom w:val="single" w:sz="4" w:space="0" w:color="999999"/>
            </w:tcBorders>
            <w:shd w:val="clear" w:color="auto" w:fill="auto"/>
          </w:tcPr>
          <w:p w14:paraId="76A9575E" w14:textId="77777777" w:rsidR="00725823" w:rsidRPr="00E300D6" w:rsidRDefault="00725823" w:rsidP="00A535F7">
            <w:pPr>
              <w:pStyle w:val="UtilComTabletext"/>
              <w:jc w:val="right"/>
            </w:pPr>
            <w:r>
              <w:t>1.88</w:t>
            </w:r>
          </w:p>
        </w:tc>
        <w:tc>
          <w:tcPr>
            <w:tcW w:w="1221" w:type="dxa"/>
            <w:tcBorders>
              <w:top w:val="single" w:sz="4" w:space="0" w:color="999999"/>
              <w:bottom w:val="single" w:sz="4" w:space="0" w:color="999999"/>
            </w:tcBorders>
            <w:shd w:val="clear" w:color="auto" w:fill="auto"/>
          </w:tcPr>
          <w:p w14:paraId="5989A7C2" w14:textId="77777777" w:rsidR="00725823" w:rsidRPr="00E300D6" w:rsidRDefault="00A535F7" w:rsidP="00A535F7">
            <w:pPr>
              <w:pStyle w:val="UtilComTabletext"/>
              <w:jc w:val="right"/>
            </w:pPr>
            <w:r>
              <w:t>0.</w:t>
            </w:r>
            <w:r w:rsidR="00725823">
              <w:t>82</w:t>
            </w:r>
          </w:p>
        </w:tc>
        <w:tc>
          <w:tcPr>
            <w:tcW w:w="1221" w:type="dxa"/>
            <w:tcBorders>
              <w:top w:val="single" w:sz="4" w:space="0" w:color="999999"/>
              <w:bottom w:val="single" w:sz="4" w:space="0" w:color="999999"/>
            </w:tcBorders>
          </w:tcPr>
          <w:p w14:paraId="10F5AC00" w14:textId="77777777" w:rsidR="00725823" w:rsidRPr="00E300D6" w:rsidRDefault="00A535F7" w:rsidP="00A535F7">
            <w:pPr>
              <w:pStyle w:val="UtilComTabletext"/>
              <w:jc w:val="right"/>
            </w:pPr>
            <w:r>
              <w:t>0.</w:t>
            </w:r>
            <w:r w:rsidR="00725823">
              <w:t>72</w:t>
            </w:r>
          </w:p>
        </w:tc>
        <w:tc>
          <w:tcPr>
            <w:tcW w:w="1221" w:type="dxa"/>
            <w:tcBorders>
              <w:top w:val="single" w:sz="4" w:space="0" w:color="999999"/>
              <w:bottom w:val="single" w:sz="4" w:space="0" w:color="999999"/>
            </w:tcBorders>
          </w:tcPr>
          <w:p w14:paraId="3BD42C67" w14:textId="77777777" w:rsidR="00725823" w:rsidRPr="00E300D6" w:rsidRDefault="00A535F7" w:rsidP="00A535F7">
            <w:pPr>
              <w:pStyle w:val="UtilComTabletext"/>
              <w:jc w:val="right"/>
            </w:pPr>
            <w:r>
              <w:t>0.</w:t>
            </w:r>
            <w:r w:rsidR="00725823">
              <w:t>82</w:t>
            </w:r>
          </w:p>
        </w:tc>
        <w:tc>
          <w:tcPr>
            <w:tcW w:w="1221" w:type="dxa"/>
            <w:tcBorders>
              <w:top w:val="single" w:sz="4" w:space="0" w:color="999999"/>
              <w:bottom w:val="single" w:sz="4" w:space="0" w:color="999999"/>
            </w:tcBorders>
          </w:tcPr>
          <w:p w14:paraId="55B8524B" w14:textId="77777777" w:rsidR="00725823" w:rsidRPr="00E300D6" w:rsidRDefault="00A535F7" w:rsidP="00A535F7">
            <w:pPr>
              <w:pStyle w:val="UtilComTabletext"/>
              <w:jc w:val="right"/>
            </w:pPr>
            <w:r>
              <w:t>0.</w:t>
            </w:r>
            <w:r w:rsidR="00725823">
              <w:t>79</w:t>
            </w:r>
          </w:p>
        </w:tc>
        <w:tc>
          <w:tcPr>
            <w:tcW w:w="1221" w:type="dxa"/>
            <w:tcBorders>
              <w:top w:val="single" w:sz="4" w:space="0" w:color="999999"/>
              <w:bottom w:val="single" w:sz="4" w:space="0" w:color="999999"/>
            </w:tcBorders>
            <w:shd w:val="clear" w:color="auto" w:fill="auto"/>
          </w:tcPr>
          <w:p w14:paraId="1B39F026" w14:textId="77777777" w:rsidR="00725823" w:rsidRDefault="00725823" w:rsidP="00A535F7">
            <w:pPr>
              <w:pStyle w:val="UtilComTabletext"/>
              <w:jc w:val="right"/>
            </w:pPr>
            <w:r>
              <w:t>5.0</w:t>
            </w:r>
            <w:r w:rsidR="00C25C07">
              <w:t>4</w:t>
            </w:r>
          </w:p>
        </w:tc>
      </w:tr>
      <w:tr w:rsidR="00725823" w:rsidRPr="008A4655" w14:paraId="610EB7EB" w14:textId="77777777" w:rsidTr="003951D7">
        <w:trPr>
          <w:cantSplit/>
          <w:trHeight w:val="360"/>
        </w:trPr>
        <w:tc>
          <w:tcPr>
            <w:tcW w:w="1811" w:type="dxa"/>
            <w:tcBorders>
              <w:top w:val="single" w:sz="4" w:space="0" w:color="999999"/>
              <w:bottom w:val="single" w:sz="4" w:space="0" w:color="auto"/>
            </w:tcBorders>
          </w:tcPr>
          <w:p w14:paraId="6426A92B" w14:textId="77777777" w:rsidR="00725823" w:rsidRDefault="00725823" w:rsidP="003951D7">
            <w:pPr>
              <w:pStyle w:val="UtilComTabletext"/>
            </w:pPr>
            <w:r>
              <w:t>Non-system</w:t>
            </w:r>
          </w:p>
        </w:tc>
        <w:tc>
          <w:tcPr>
            <w:tcW w:w="1221" w:type="dxa"/>
            <w:tcBorders>
              <w:top w:val="single" w:sz="4" w:space="0" w:color="999999"/>
              <w:bottom w:val="single" w:sz="4" w:space="0" w:color="auto"/>
            </w:tcBorders>
            <w:shd w:val="clear" w:color="auto" w:fill="auto"/>
          </w:tcPr>
          <w:p w14:paraId="3A34C9C9" w14:textId="77777777" w:rsidR="00725823" w:rsidRPr="00E300D6" w:rsidRDefault="00725823" w:rsidP="00A535F7">
            <w:pPr>
              <w:pStyle w:val="UtilComTabletext"/>
              <w:jc w:val="right"/>
            </w:pPr>
            <w:r>
              <w:t>6.88</w:t>
            </w:r>
          </w:p>
        </w:tc>
        <w:tc>
          <w:tcPr>
            <w:tcW w:w="1221" w:type="dxa"/>
            <w:tcBorders>
              <w:top w:val="single" w:sz="4" w:space="0" w:color="999999"/>
              <w:bottom w:val="single" w:sz="4" w:space="0" w:color="auto"/>
            </w:tcBorders>
            <w:shd w:val="clear" w:color="auto" w:fill="auto"/>
          </w:tcPr>
          <w:p w14:paraId="162E04D4" w14:textId="77777777" w:rsidR="00725823" w:rsidRPr="00E300D6" w:rsidRDefault="00725823" w:rsidP="00A535F7">
            <w:pPr>
              <w:pStyle w:val="UtilComTabletext"/>
              <w:jc w:val="right"/>
            </w:pPr>
            <w:r>
              <w:t>2.95</w:t>
            </w:r>
          </w:p>
        </w:tc>
        <w:tc>
          <w:tcPr>
            <w:tcW w:w="1221" w:type="dxa"/>
            <w:tcBorders>
              <w:top w:val="single" w:sz="4" w:space="0" w:color="999999"/>
              <w:bottom w:val="single" w:sz="4" w:space="0" w:color="auto"/>
            </w:tcBorders>
          </w:tcPr>
          <w:p w14:paraId="7E7C0690" w14:textId="77777777" w:rsidR="00725823" w:rsidRPr="00E300D6" w:rsidRDefault="00725823" w:rsidP="00A535F7">
            <w:pPr>
              <w:pStyle w:val="UtilComTabletext"/>
              <w:jc w:val="right"/>
            </w:pPr>
            <w:r>
              <w:t>1.2</w:t>
            </w:r>
            <w:r w:rsidR="00A535F7">
              <w:t>4</w:t>
            </w:r>
          </w:p>
        </w:tc>
        <w:tc>
          <w:tcPr>
            <w:tcW w:w="1221" w:type="dxa"/>
            <w:tcBorders>
              <w:top w:val="single" w:sz="4" w:space="0" w:color="999999"/>
              <w:bottom w:val="single" w:sz="4" w:space="0" w:color="auto"/>
            </w:tcBorders>
          </w:tcPr>
          <w:p w14:paraId="7714C270" w14:textId="77777777" w:rsidR="00725823" w:rsidRPr="00E300D6" w:rsidRDefault="00725823" w:rsidP="00A535F7">
            <w:pPr>
              <w:pStyle w:val="UtilComTabletext"/>
              <w:jc w:val="right"/>
            </w:pPr>
            <w:r>
              <w:t>1.2</w:t>
            </w:r>
            <w:r w:rsidR="00A535F7">
              <w:t>4</w:t>
            </w:r>
          </w:p>
        </w:tc>
        <w:tc>
          <w:tcPr>
            <w:tcW w:w="1221" w:type="dxa"/>
            <w:tcBorders>
              <w:top w:val="single" w:sz="4" w:space="0" w:color="999999"/>
              <w:bottom w:val="single" w:sz="4" w:space="0" w:color="auto"/>
            </w:tcBorders>
          </w:tcPr>
          <w:p w14:paraId="727433C0" w14:textId="77777777" w:rsidR="00725823" w:rsidRPr="00E300D6" w:rsidRDefault="00725823" w:rsidP="00A535F7">
            <w:pPr>
              <w:pStyle w:val="UtilComTabletext"/>
              <w:jc w:val="right"/>
            </w:pPr>
            <w:r>
              <w:t>1.2</w:t>
            </w:r>
            <w:r w:rsidR="00A535F7">
              <w:t>4</w:t>
            </w:r>
          </w:p>
        </w:tc>
        <w:tc>
          <w:tcPr>
            <w:tcW w:w="1221" w:type="dxa"/>
            <w:tcBorders>
              <w:top w:val="single" w:sz="4" w:space="0" w:color="999999"/>
              <w:bottom w:val="single" w:sz="4" w:space="0" w:color="auto"/>
            </w:tcBorders>
            <w:shd w:val="clear" w:color="auto" w:fill="auto"/>
          </w:tcPr>
          <w:p w14:paraId="6EF250B2" w14:textId="77777777" w:rsidR="00725823" w:rsidRDefault="00725823" w:rsidP="00A535F7">
            <w:pPr>
              <w:pStyle w:val="UtilComTabletext"/>
              <w:jc w:val="right"/>
            </w:pPr>
            <w:r>
              <w:t>13.54</w:t>
            </w:r>
          </w:p>
        </w:tc>
      </w:tr>
      <w:tr w:rsidR="00725823" w:rsidRPr="005A0B65" w14:paraId="643BB432" w14:textId="77777777" w:rsidTr="003951D7">
        <w:trPr>
          <w:cantSplit/>
          <w:trHeight w:val="360"/>
        </w:trPr>
        <w:tc>
          <w:tcPr>
            <w:tcW w:w="1811" w:type="dxa"/>
            <w:tcBorders>
              <w:top w:val="single" w:sz="4" w:space="0" w:color="auto"/>
              <w:bottom w:val="single" w:sz="4" w:space="0" w:color="000000"/>
            </w:tcBorders>
          </w:tcPr>
          <w:p w14:paraId="0CB2AAEF" w14:textId="77777777" w:rsidR="00725823" w:rsidRPr="005A0B65" w:rsidRDefault="00725823" w:rsidP="003951D7">
            <w:pPr>
              <w:pStyle w:val="UtilComTabletext"/>
              <w:rPr>
                <w:b/>
              </w:rPr>
            </w:pPr>
            <w:r w:rsidRPr="005A0B65">
              <w:rPr>
                <w:b/>
              </w:rPr>
              <w:t>Total proposed capex</w:t>
            </w:r>
          </w:p>
        </w:tc>
        <w:tc>
          <w:tcPr>
            <w:tcW w:w="1221" w:type="dxa"/>
            <w:tcBorders>
              <w:top w:val="single" w:sz="4" w:space="0" w:color="auto"/>
              <w:bottom w:val="single" w:sz="4" w:space="0" w:color="000000"/>
            </w:tcBorders>
            <w:shd w:val="clear" w:color="auto" w:fill="auto"/>
          </w:tcPr>
          <w:p w14:paraId="3D545044" w14:textId="77777777" w:rsidR="00725823" w:rsidRPr="005A0B65" w:rsidRDefault="00725823" w:rsidP="00A535F7">
            <w:pPr>
              <w:pStyle w:val="UtilComTabletext"/>
              <w:jc w:val="right"/>
              <w:rPr>
                <w:b/>
              </w:rPr>
            </w:pPr>
            <w:r w:rsidRPr="005A0B65">
              <w:rPr>
                <w:b/>
              </w:rPr>
              <w:t xml:space="preserve"> </w:t>
            </w:r>
            <w:r w:rsidR="00C25C07">
              <w:rPr>
                <w:b/>
              </w:rPr>
              <w:t>79.14</w:t>
            </w:r>
            <w:r w:rsidRPr="005A0B65">
              <w:rPr>
                <w:b/>
              </w:rPr>
              <w:t xml:space="preserve"> </w:t>
            </w:r>
          </w:p>
        </w:tc>
        <w:tc>
          <w:tcPr>
            <w:tcW w:w="1221" w:type="dxa"/>
            <w:tcBorders>
              <w:top w:val="single" w:sz="4" w:space="0" w:color="auto"/>
              <w:bottom w:val="single" w:sz="4" w:space="0" w:color="000000"/>
            </w:tcBorders>
            <w:shd w:val="clear" w:color="auto" w:fill="auto"/>
          </w:tcPr>
          <w:p w14:paraId="66981871" w14:textId="77777777" w:rsidR="00725823" w:rsidRPr="005A0B65" w:rsidRDefault="00725823" w:rsidP="00A535F7">
            <w:pPr>
              <w:pStyle w:val="UtilComTabletext"/>
              <w:jc w:val="right"/>
              <w:rPr>
                <w:b/>
              </w:rPr>
            </w:pPr>
            <w:r w:rsidRPr="005A0B65">
              <w:rPr>
                <w:b/>
              </w:rPr>
              <w:t xml:space="preserve"> </w:t>
            </w:r>
            <w:r w:rsidR="00C25C07">
              <w:rPr>
                <w:b/>
              </w:rPr>
              <w:t>66,83</w:t>
            </w:r>
            <w:r w:rsidRPr="005A0B65">
              <w:rPr>
                <w:b/>
              </w:rPr>
              <w:t xml:space="preserve"> </w:t>
            </w:r>
          </w:p>
        </w:tc>
        <w:tc>
          <w:tcPr>
            <w:tcW w:w="1221" w:type="dxa"/>
            <w:tcBorders>
              <w:top w:val="single" w:sz="4" w:space="0" w:color="auto"/>
              <w:bottom w:val="single" w:sz="4" w:space="0" w:color="000000"/>
            </w:tcBorders>
          </w:tcPr>
          <w:p w14:paraId="73EE9BC9" w14:textId="77777777" w:rsidR="00725823" w:rsidRPr="005A0B65" w:rsidRDefault="00725823" w:rsidP="00A535F7">
            <w:pPr>
              <w:pStyle w:val="UtilComTabletext"/>
              <w:jc w:val="right"/>
              <w:rPr>
                <w:b/>
              </w:rPr>
            </w:pPr>
            <w:r w:rsidRPr="005A0B65">
              <w:rPr>
                <w:b/>
              </w:rPr>
              <w:t xml:space="preserve"> </w:t>
            </w:r>
            <w:r w:rsidR="00C25C07">
              <w:rPr>
                <w:b/>
              </w:rPr>
              <w:t>45</w:t>
            </w:r>
            <w:r>
              <w:rPr>
                <w:b/>
              </w:rPr>
              <w:t>.</w:t>
            </w:r>
            <w:r w:rsidR="00C25C07">
              <w:rPr>
                <w:b/>
              </w:rPr>
              <w:t>71</w:t>
            </w:r>
            <w:r w:rsidRPr="005A0B65">
              <w:rPr>
                <w:b/>
              </w:rPr>
              <w:t xml:space="preserve"> </w:t>
            </w:r>
          </w:p>
        </w:tc>
        <w:tc>
          <w:tcPr>
            <w:tcW w:w="1221" w:type="dxa"/>
            <w:tcBorders>
              <w:top w:val="single" w:sz="4" w:space="0" w:color="auto"/>
              <w:bottom w:val="single" w:sz="4" w:space="0" w:color="000000"/>
            </w:tcBorders>
          </w:tcPr>
          <w:p w14:paraId="23DB6E13" w14:textId="77777777" w:rsidR="00725823" w:rsidRPr="005A0B65" w:rsidRDefault="00725823" w:rsidP="00A535F7">
            <w:pPr>
              <w:pStyle w:val="UtilComTabletext"/>
              <w:jc w:val="right"/>
              <w:rPr>
                <w:b/>
              </w:rPr>
            </w:pPr>
            <w:r w:rsidRPr="005A0B65">
              <w:rPr>
                <w:b/>
              </w:rPr>
              <w:t xml:space="preserve"> 4</w:t>
            </w:r>
            <w:r w:rsidR="00C25C07">
              <w:rPr>
                <w:b/>
              </w:rPr>
              <w:t>2</w:t>
            </w:r>
            <w:r>
              <w:rPr>
                <w:b/>
              </w:rPr>
              <w:t>.</w:t>
            </w:r>
            <w:r w:rsidR="00C25C07">
              <w:rPr>
                <w:b/>
              </w:rPr>
              <w:t>8</w:t>
            </w:r>
            <w:r w:rsidR="00A535F7">
              <w:rPr>
                <w:b/>
              </w:rPr>
              <w:t>9</w:t>
            </w:r>
            <w:r w:rsidRPr="005A0B65">
              <w:rPr>
                <w:b/>
              </w:rPr>
              <w:t xml:space="preserve"> </w:t>
            </w:r>
          </w:p>
        </w:tc>
        <w:tc>
          <w:tcPr>
            <w:tcW w:w="1221" w:type="dxa"/>
            <w:tcBorders>
              <w:top w:val="single" w:sz="4" w:space="0" w:color="auto"/>
              <w:bottom w:val="single" w:sz="4" w:space="0" w:color="000000"/>
            </w:tcBorders>
          </w:tcPr>
          <w:p w14:paraId="341A92B7" w14:textId="77777777" w:rsidR="00725823" w:rsidRPr="005A0B65" w:rsidRDefault="00725823" w:rsidP="00A535F7">
            <w:pPr>
              <w:pStyle w:val="UtilComTabletext"/>
              <w:jc w:val="right"/>
              <w:rPr>
                <w:b/>
              </w:rPr>
            </w:pPr>
            <w:r w:rsidRPr="005A0B65">
              <w:rPr>
                <w:b/>
              </w:rPr>
              <w:t xml:space="preserve"> 57</w:t>
            </w:r>
            <w:r>
              <w:rPr>
                <w:b/>
              </w:rPr>
              <w:t>.</w:t>
            </w:r>
            <w:r w:rsidR="00C25C07">
              <w:rPr>
                <w:b/>
              </w:rPr>
              <w:t>89</w:t>
            </w:r>
            <w:r w:rsidRPr="005A0B65">
              <w:rPr>
                <w:b/>
              </w:rPr>
              <w:t xml:space="preserve"> </w:t>
            </w:r>
          </w:p>
        </w:tc>
        <w:tc>
          <w:tcPr>
            <w:tcW w:w="1221" w:type="dxa"/>
            <w:tcBorders>
              <w:top w:val="single" w:sz="4" w:space="0" w:color="auto"/>
              <w:bottom w:val="single" w:sz="4" w:space="0" w:color="000000"/>
            </w:tcBorders>
            <w:shd w:val="clear" w:color="auto" w:fill="auto"/>
          </w:tcPr>
          <w:p w14:paraId="7A7B38B7" w14:textId="77777777" w:rsidR="00725823" w:rsidRPr="005A0B65" w:rsidRDefault="00C25C07" w:rsidP="00A535F7">
            <w:pPr>
              <w:pStyle w:val="UtilComTabletext"/>
              <w:jc w:val="right"/>
              <w:rPr>
                <w:b/>
              </w:rPr>
            </w:pPr>
            <w:r>
              <w:rPr>
                <w:b/>
              </w:rPr>
              <w:t>292</w:t>
            </w:r>
            <w:r w:rsidR="00725823" w:rsidRPr="005A0B65">
              <w:rPr>
                <w:b/>
              </w:rPr>
              <w:t>.</w:t>
            </w:r>
            <w:r>
              <w:rPr>
                <w:b/>
              </w:rPr>
              <w:t>46</w:t>
            </w:r>
          </w:p>
        </w:tc>
      </w:tr>
    </w:tbl>
    <w:p w14:paraId="617CDBC5" w14:textId="1E11FBF2" w:rsidR="00725823" w:rsidRDefault="00725823" w:rsidP="00725823">
      <w:pPr>
        <w:pStyle w:val="UtilComReferenceSource"/>
        <w:ind w:left="142"/>
        <w:rPr>
          <w:lang w:val="en-AU"/>
        </w:rPr>
      </w:pPr>
      <w:r>
        <w:rPr>
          <w:lang w:val="en-AU"/>
        </w:rPr>
        <w:t xml:space="preserve">Source: </w:t>
      </w:r>
      <w:r w:rsidRPr="00210E83">
        <w:rPr>
          <w:lang w:val="en-AU"/>
        </w:rPr>
        <w:t xml:space="preserve">PWC Networks, </w:t>
      </w:r>
      <w:r w:rsidR="005A1A7E">
        <w:rPr>
          <w:lang w:val="en-AU"/>
        </w:rPr>
        <w:t xml:space="preserve">revised </w:t>
      </w:r>
      <w:r w:rsidR="00C25C07">
        <w:rPr>
          <w:lang w:val="en-AU"/>
        </w:rPr>
        <w:t>r</w:t>
      </w:r>
      <w:r w:rsidRPr="00210E83">
        <w:rPr>
          <w:lang w:val="en-AU"/>
        </w:rPr>
        <w:t xml:space="preserve">egulatory proposal, </w:t>
      </w:r>
      <w:r w:rsidR="00C25C07">
        <w:rPr>
          <w:lang w:val="en-AU"/>
        </w:rPr>
        <w:t>January</w:t>
      </w:r>
      <w:r w:rsidRPr="00210E83">
        <w:rPr>
          <w:lang w:val="en-AU"/>
        </w:rPr>
        <w:t xml:space="preserve"> 201</w:t>
      </w:r>
      <w:r w:rsidR="00C25C07">
        <w:rPr>
          <w:lang w:val="en-AU"/>
        </w:rPr>
        <w:t>4</w:t>
      </w:r>
      <w:r w:rsidRPr="00210E83">
        <w:rPr>
          <w:lang w:val="en-AU"/>
        </w:rPr>
        <w:t>, RIN template 3.1 (confidential)</w:t>
      </w:r>
    </w:p>
    <w:p w14:paraId="65EF484C" w14:textId="4C1FCC59" w:rsidR="00C10B28" w:rsidRDefault="00AE627D" w:rsidP="00AE627D">
      <w:pPr>
        <w:pStyle w:val="ListParagraph"/>
        <w:numPr>
          <w:ilvl w:val="1"/>
          <w:numId w:val="5"/>
        </w:numPr>
        <w:tabs>
          <w:tab w:val="num" w:pos="709"/>
        </w:tabs>
        <w:ind w:left="709" w:hanging="709"/>
        <w:rPr>
          <w:lang w:val="en-AU"/>
        </w:rPr>
      </w:pPr>
      <w:r>
        <w:rPr>
          <w:lang w:val="en-AU"/>
        </w:rPr>
        <w:t xml:space="preserve">PWC Networks’ revised </w:t>
      </w:r>
      <w:r w:rsidR="00FD5D58">
        <w:rPr>
          <w:lang w:val="en-AU"/>
        </w:rPr>
        <w:t>regulatory proposal re</w:t>
      </w:r>
      <w:r w:rsidR="000630EE">
        <w:rPr>
          <w:lang w:val="en-AU"/>
        </w:rPr>
        <w:t xml:space="preserve">submitted </w:t>
      </w:r>
      <w:r w:rsidR="00E22790">
        <w:rPr>
          <w:lang w:val="en-AU"/>
        </w:rPr>
        <w:t xml:space="preserve">the </w:t>
      </w:r>
      <w:r w:rsidR="000630EE">
        <w:rPr>
          <w:lang w:val="en-AU"/>
        </w:rPr>
        <w:t xml:space="preserve">proposed </w:t>
      </w:r>
      <w:r>
        <w:rPr>
          <w:lang w:val="en-AU"/>
        </w:rPr>
        <w:t xml:space="preserve">capex </w:t>
      </w:r>
      <w:r w:rsidR="000630EE">
        <w:rPr>
          <w:lang w:val="en-AU"/>
        </w:rPr>
        <w:t xml:space="preserve">forecast </w:t>
      </w:r>
      <w:r w:rsidR="00FD5D58">
        <w:rPr>
          <w:lang w:val="en-AU"/>
        </w:rPr>
        <w:t xml:space="preserve">including </w:t>
      </w:r>
      <w:r w:rsidR="000630EE">
        <w:rPr>
          <w:lang w:val="en-AU"/>
        </w:rPr>
        <w:t xml:space="preserve">a total </w:t>
      </w:r>
      <w:r>
        <w:rPr>
          <w:lang w:val="en-AU"/>
        </w:rPr>
        <w:t>of $24.9 million ($2013-14) that was rejected by the Commis</w:t>
      </w:r>
      <w:r w:rsidR="00C10B28">
        <w:rPr>
          <w:lang w:val="en-AU"/>
        </w:rPr>
        <w:t xml:space="preserve">sion in its Draft Determination. The main areas of </w:t>
      </w:r>
      <w:r w:rsidR="000630EE">
        <w:rPr>
          <w:lang w:val="en-AU"/>
        </w:rPr>
        <w:t>contention were</w:t>
      </w:r>
      <w:r w:rsidR="00C10B28">
        <w:rPr>
          <w:lang w:val="en-AU"/>
        </w:rPr>
        <w:t>:</w:t>
      </w:r>
    </w:p>
    <w:p w14:paraId="27B58598" w14:textId="7AEF4739" w:rsidR="00C10B28" w:rsidRDefault="00C10B28" w:rsidP="008E229D">
      <w:pPr>
        <w:pStyle w:val="UtilComBulletText"/>
        <w:numPr>
          <w:ilvl w:val="0"/>
          <w:numId w:val="6"/>
        </w:numPr>
        <w:tabs>
          <w:tab w:val="clear" w:pos="964"/>
          <w:tab w:val="num" w:pos="1134"/>
        </w:tabs>
        <w:ind w:left="1134" w:hanging="425"/>
      </w:pPr>
      <w:r w:rsidRPr="00C10B28">
        <w:t>PWC</w:t>
      </w:r>
      <w:r>
        <w:t> </w:t>
      </w:r>
      <w:r w:rsidRPr="00C10B28">
        <w:t xml:space="preserve">Networks </w:t>
      </w:r>
      <w:r w:rsidR="000630EE">
        <w:t xml:space="preserve">did </w:t>
      </w:r>
      <w:r>
        <w:t xml:space="preserve">not accept </w:t>
      </w:r>
      <w:r w:rsidRPr="00C10B28">
        <w:t xml:space="preserve">the Commission’s </w:t>
      </w:r>
      <w:r>
        <w:t xml:space="preserve">view that </w:t>
      </w:r>
      <w:r w:rsidR="00FD5D58">
        <w:t>its demand forecast</w:t>
      </w:r>
      <w:r w:rsidR="00E22790">
        <w:t>s</w:t>
      </w:r>
      <w:r w:rsidR="00FD5D58">
        <w:t xml:space="preserve"> was</w:t>
      </w:r>
      <w:r w:rsidR="000630EE">
        <w:t xml:space="preserve"> </w:t>
      </w:r>
      <w:r>
        <w:t xml:space="preserve">over-estimated and </w:t>
      </w:r>
      <w:r w:rsidR="000630EE">
        <w:t xml:space="preserve">had accordingly </w:t>
      </w:r>
      <w:r>
        <w:t xml:space="preserve">maintained its original capex forecasts </w:t>
      </w:r>
      <w:r w:rsidRPr="00C10B28">
        <w:t>for its customer augmentation and network extension program</w:t>
      </w:r>
      <w:r w:rsidR="005A68E7">
        <w:t>,</w:t>
      </w:r>
      <w:r w:rsidRPr="00C10B28">
        <w:t xml:space="preserve"> </w:t>
      </w:r>
      <w:r w:rsidR="000630EE">
        <w:t xml:space="preserve">retail </w:t>
      </w:r>
      <w:r w:rsidRPr="00C10B28">
        <w:t>customer connection program</w:t>
      </w:r>
      <w:r w:rsidR="005A68E7">
        <w:t xml:space="preserve"> and the construction of the Archer to Palmerston 66 kV transmission line</w:t>
      </w:r>
      <w:r w:rsidR="0002398B">
        <w:t>. PWC Networks provided further information</w:t>
      </w:r>
      <w:r w:rsidR="002225E5">
        <w:t xml:space="preserve"> </w:t>
      </w:r>
      <w:r w:rsidR="0002398B">
        <w:t>to support its new service connection forecasts</w:t>
      </w:r>
      <w:r>
        <w:t>;</w:t>
      </w:r>
    </w:p>
    <w:p w14:paraId="79D2E6F7" w14:textId="77777777" w:rsidR="00C10B28" w:rsidRDefault="00C10B28" w:rsidP="008E229D">
      <w:pPr>
        <w:pStyle w:val="UtilComBulletText"/>
        <w:numPr>
          <w:ilvl w:val="0"/>
          <w:numId w:val="6"/>
        </w:numPr>
        <w:tabs>
          <w:tab w:val="clear" w:pos="964"/>
          <w:tab w:val="num" w:pos="1134"/>
        </w:tabs>
        <w:ind w:left="1134" w:hanging="425"/>
      </w:pPr>
      <w:r>
        <w:t xml:space="preserve">PWC Networks did not accept the Commission’s view that purchase of three new transformers should be removed from the replacement capex forecast; </w:t>
      </w:r>
    </w:p>
    <w:p w14:paraId="2AF38E43" w14:textId="742A5DC5" w:rsidR="00C10B28" w:rsidRDefault="00C10B28" w:rsidP="008E229D">
      <w:pPr>
        <w:pStyle w:val="UtilComBulletText"/>
        <w:numPr>
          <w:ilvl w:val="0"/>
          <w:numId w:val="6"/>
        </w:numPr>
        <w:tabs>
          <w:tab w:val="clear" w:pos="964"/>
          <w:tab w:val="num" w:pos="1134"/>
        </w:tabs>
        <w:ind w:left="1134" w:hanging="425"/>
      </w:pPr>
      <w:r>
        <w:t xml:space="preserve">PWC Networks did not accept the Commission’s view that the replacement unit rates used to develop its </w:t>
      </w:r>
      <w:r w:rsidR="000630EE">
        <w:t xml:space="preserve">capex </w:t>
      </w:r>
      <w:r>
        <w:t>f</w:t>
      </w:r>
      <w:r w:rsidR="002225E5">
        <w:t>orecast were over-estimated;</w:t>
      </w:r>
    </w:p>
    <w:p w14:paraId="5CA575D5" w14:textId="77777777" w:rsidR="00C10B28" w:rsidRDefault="00C10B28" w:rsidP="008E229D">
      <w:pPr>
        <w:pStyle w:val="UtilComBulletText"/>
        <w:numPr>
          <w:ilvl w:val="0"/>
          <w:numId w:val="6"/>
        </w:numPr>
        <w:tabs>
          <w:tab w:val="clear" w:pos="964"/>
          <w:tab w:val="num" w:pos="1134"/>
        </w:tabs>
        <w:ind w:left="1134" w:hanging="425"/>
      </w:pPr>
      <w:r>
        <w:t xml:space="preserve">PWC Networks did not accept </w:t>
      </w:r>
      <w:r w:rsidR="00067AFC">
        <w:t>the deferral and smoothing of some zone substation projects, on the basis that its demand projections supported the proposed timing and that it had substantially improved its capabil</w:t>
      </w:r>
      <w:r w:rsidR="002225E5">
        <w:t>ity in capital project delivery; and</w:t>
      </w:r>
    </w:p>
    <w:p w14:paraId="52A64FE2" w14:textId="252A7110" w:rsidR="002225E5" w:rsidRPr="002225E5" w:rsidRDefault="002225E5" w:rsidP="008E229D">
      <w:pPr>
        <w:pStyle w:val="UtilComBulletText"/>
        <w:numPr>
          <w:ilvl w:val="0"/>
          <w:numId w:val="6"/>
        </w:numPr>
        <w:tabs>
          <w:tab w:val="clear" w:pos="964"/>
          <w:tab w:val="num" w:pos="1134"/>
        </w:tabs>
        <w:ind w:left="1134" w:hanging="425"/>
      </w:pPr>
      <w:r w:rsidRPr="002225E5">
        <w:t xml:space="preserve">PWC Networks increased its forecast reliability capex for its feeder upgrade program, on the basis that additional expenditure </w:t>
      </w:r>
      <w:r w:rsidR="000630EE">
        <w:t>was</w:t>
      </w:r>
      <w:r w:rsidR="000630EE" w:rsidRPr="002225E5">
        <w:t xml:space="preserve"> </w:t>
      </w:r>
      <w:r w:rsidRPr="002225E5">
        <w:t>required to meet the new service standards targets.</w:t>
      </w:r>
    </w:p>
    <w:p w14:paraId="51537355" w14:textId="0450E549" w:rsidR="002B1150" w:rsidRDefault="002B1150" w:rsidP="002B1150">
      <w:pPr>
        <w:pStyle w:val="ListParagraph"/>
        <w:numPr>
          <w:ilvl w:val="1"/>
          <w:numId w:val="5"/>
        </w:numPr>
        <w:tabs>
          <w:tab w:val="num" w:pos="709"/>
        </w:tabs>
        <w:ind w:left="709" w:hanging="709"/>
        <w:rPr>
          <w:lang w:val="en-AU"/>
        </w:rPr>
      </w:pPr>
      <w:r>
        <w:rPr>
          <w:lang w:val="en-AU"/>
        </w:rPr>
        <w:t xml:space="preserve">PWC Networks submitted that, if removed from the capex </w:t>
      </w:r>
      <w:r w:rsidR="000630EE">
        <w:rPr>
          <w:lang w:val="en-AU"/>
        </w:rPr>
        <w:t>forecast</w:t>
      </w:r>
      <w:r>
        <w:rPr>
          <w:lang w:val="en-AU"/>
        </w:rPr>
        <w:t xml:space="preserve">, the following projects </w:t>
      </w:r>
      <w:r w:rsidR="000630EE">
        <w:rPr>
          <w:lang w:val="en-AU"/>
        </w:rPr>
        <w:t xml:space="preserve">should </w:t>
      </w:r>
      <w:r>
        <w:rPr>
          <w:lang w:val="en-AU"/>
        </w:rPr>
        <w:t>be approved as contingent projects:</w:t>
      </w:r>
    </w:p>
    <w:p w14:paraId="097C62BE" w14:textId="4B5FAC44" w:rsidR="002B1150" w:rsidRPr="002B1150" w:rsidRDefault="002B1150" w:rsidP="008E229D">
      <w:pPr>
        <w:pStyle w:val="UtilComBulletText"/>
        <w:numPr>
          <w:ilvl w:val="0"/>
          <w:numId w:val="6"/>
        </w:numPr>
        <w:tabs>
          <w:tab w:val="clear" w:pos="964"/>
          <w:tab w:val="num" w:pos="1134"/>
        </w:tabs>
        <w:ind w:left="1134" w:hanging="425"/>
      </w:pPr>
      <w:r w:rsidRPr="002B1150">
        <w:t xml:space="preserve">construction of East Arm </w:t>
      </w:r>
      <w:r w:rsidR="000630EE">
        <w:t>Z</w:t>
      </w:r>
      <w:r w:rsidR="000630EE" w:rsidRPr="002B1150">
        <w:t xml:space="preserve">one </w:t>
      </w:r>
      <w:r w:rsidR="000630EE">
        <w:t>S</w:t>
      </w:r>
      <w:r w:rsidR="000630EE" w:rsidRPr="002B1150">
        <w:t>ubstation</w:t>
      </w:r>
      <w:r w:rsidR="000630EE">
        <w:t xml:space="preserve"> </w:t>
      </w:r>
      <w:r>
        <w:t>if load requirements gr</w:t>
      </w:r>
      <w:r w:rsidR="00E22790">
        <w:t>e</w:t>
      </w:r>
      <w:r>
        <w:t>w substantially, which c</w:t>
      </w:r>
      <w:r w:rsidR="00E22790">
        <w:t>ould</w:t>
      </w:r>
      <w:r>
        <w:t xml:space="preserve"> occur with the addition of just one or two major industrial customers in the East Arm industrial zone</w:t>
      </w:r>
      <w:r w:rsidRPr="002B1150">
        <w:t>; and</w:t>
      </w:r>
    </w:p>
    <w:p w14:paraId="03E4C4DB" w14:textId="3E6A05C9" w:rsidR="002B1150" w:rsidRPr="002B1150" w:rsidRDefault="002B1150" w:rsidP="008E229D">
      <w:pPr>
        <w:pStyle w:val="UtilComBulletText"/>
        <w:numPr>
          <w:ilvl w:val="0"/>
          <w:numId w:val="6"/>
        </w:numPr>
        <w:tabs>
          <w:tab w:val="clear" w:pos="964"/>
          <w:tab w:val="num" w:pos="1134"/>
        </w:tabs>
        <w:ind w:left="1134" w:hanging="425"/>
      </w:pPr>
      <w:r w:rsidRPr="002B1150">
        <w:t xml:space="preserve">construction of a new Mitchell Street </w:t>
      </w:r>
      <w:r w:rsidR="000630EE">
        <w:t>S</w:t>
      </w:r>
      <w:r w:rsidR="000630EE" w:rsidRPr="002B1150">
        <w:t xml:space="preserve">witching </w:t>
      </w:r>
      <w:r w:rsidR="000630EE">
        <w:t>S</w:t>
      </w:r>
      <w:r w:rsidR="000630EE" w:rsidRPr="002B1150">
        <w:t xml:space="preserve">tation </w:t>
      </w:r>
      <w:r w:rsidRPr="002B1150">
        <w:t>if PWC Networks</w:t>
      </w:r>
      <w:r w:rsidR="00E22790">
        <w:t xml:space="preserve"> was </w:t>
      </w:r>
      <w:r w:rsidRPr="002B1150">
        <w:t>required to vacate the current premises.</w:t>
      </w:r>
    </w:p>
    <w:p w14:paraId="7A60B104" w14:textId="56E12D2F" w:rsidR="00A74AFB" w:rsidRPr="007B064D" w:rsidRDefault="00A74AFB" w:rsidP="00A74AFB">
      <w:pPr>
        <w:pStyle w:val="UtilComHeading2"/>
      </w:pPr>
      <w:bookmarkStart w:id="194" w:name="_Toc385241519"/>
      <w:bookmarkStart w:id="195" w:name="_Toc386013072"/>
      <w:r w:rsidRPr="007B064D">
        <w:t xml:space="preserve">Submissions on </w:t>
      </w:r>
      <w:r w:rsidR="00E9115D">
        <w:t>D</w:t>
      </w:r>
      <w:r w:rsidR="00E9115D" w:rsidRPr="007B064D">
        <w:t xml:space="preserve">raft </w:t>
      </w:r>
      <w:r w:rsidR="00E9115D">
        <w:t>D</w:t>
      </w:r>
      <w:r w:rsidR="00E9115D" w:rsidRPr="007B064D">
        <w:t xml:space="preserve">etermination </w:t>
      </w:r>
      <w:r w:rsidRPr="007B064D">
        <w:t xml:space="preserve">and </w:t>
      </w:r>
      <w:r w:rsidR="00E9115D">
        <w:t>R</w:t>
      </w:r>
      <w:r w:rsidR="00E9115D" w:rsidRPr="007B064D">
        <w:t xml:space="preserve">evised </w:t>
      </w:r>
      <w:r w:rsidR="00E9115D">
        <w:t>R</w:t>
      </w:r>
      <w:r w:rsidR="00E9115D" w:rsidRPr="007B064D">
        <w:t xml:space="preserve">egulatory </w:t>
      </w:r>
      <w:bookmarkEnd w:id="194"/>
      <w:r w:rsidR="00E9115D">
        <w:t>P</w:t>
      </w:r>
      <w:r w:rsidR="00E9115D" w:rsidRPr="007B064D">
        <w:t>roposal</w:t>
      </w:r>
      <w:bookmarkEnd w:id="195"/>
    </w:p>
    <w:p w14:paraId="6A73CDC7" w14:textId="139611EA" w:rsidR="00A74AFB" w:rsidRDefault="0071594F" w:rsidP="00A74AFB">
      <w:pPr>
        <w:pStyle w:val="ListParagraph"/>
        <w:numPr>
          <w:ilvl w:val="1"/>
          <w:numId w:val="5"/>
        </w:numPr>
        <w:tabs>
          <w:tab w:val="num" w:pos="709"/>
        </w:tabs>
        <w:ind w:left="709" w:hanging="709"/>
        <w:rPr>
          <w:lang w:val="en-AU"/>
        </w:rPr>
      </w:pPr>
      <w:r>
        <w:rPr>
          <w:lang w:val="en-AU"/>
        </w:rPr>
        <w:t xml:space="preserve">The NTMEU considered that the reduction in capex included in the Commission’s </w:t>
      </w:r>
      <w:r w:rsidR="00D97B4F">
        <w:rPr>
          <w:lang w:val="en-AU"/>
        </w:rPr>
        <w:t xml:space="preserve">Draft Determination </w:t>
      </w:r>
      <w:r>
        <w:rPr>
          <w:lang w:val="en-AU"/>
        </w:rPr>
        <w:t xml:space="preserve">was welcome, but </w:t>
      </w:r>
      <w:r w:rsidR="00B242D3">
        <w:rPr>
          <w:lang w:val="en-AU"/>
        </w:rPr>
        <w:t xml:space="preserve">that </w:t>
      </w:r>
      <w:r w:rsidR="00D97B4F">
        <w:rPr>
          <w:lang w:val="en-AU"/>
        </w:rPr>
        <w:t xml:space="preserve">PWC Networks’ proposed </w:t>
      </w:r>
      <w:r w:rsidR="00B242D3">
        <w:rPr>
          <w:lang w:val="en-AU"/>
        </w:rPr>
        <w:t xml:space="preserve">capex </w:t>
      </w:r>
      <w:r w:rsidR="00D97B4F">
        <w:rPr>
          <w:lang w:val="en-AU"/>
        </w:rPr>
        <w:t xml:space="preserve">forecast </w:t>
      </w:r>
      <w:r>
        <w:rPr>
          <w:lang w:val="en-AU"/>
        </w:rPr>
        <w:t xml:space="preserve">still appeared to be inflated. The NTMEU did not consider that the increased capex </w:t>
      </w:r>
      <w:r w:rsidR="00D97B4F">
        <w:rPr>
          <w:lang w:val="en-AU"/>
        </w:rPr>
        <w:t>forecast proposed</w:t>
      </w:r>
      <w:r>
        <w:rPr>
          <w:lang w:val="en-AU"/>
        </w:rPr>
        <w:t xml:space="preserve"> by PWC Networks in it</w:t>
      </w:r>
      <w:r w:rsidR="003951D7">
        <w:rPr>
          <w:lang w:val="en-AU"/>
        </w:rPr>
        <w:t>s</w:t>
      </w:r>
      <w:r>
        <w:rPr>
          <w:lang w:val="en-AU"/>
        </w:rPr>
        <w:t xml:space="preserve"> revised regulatory proposal was justified on a global view and expressed concern that PWC Networks’ arguments </w:t>
      </w:r>
      <w:r w:rsidR="00D97B4F">
        <w:rPr>
          <w:lang w:val="en-AU"/>
        </w:rPr>
        <w:t xml:space="preserve">were </w:t>
      </w:r>
      <w:r>
        <w:rPr>
          <w:lang w:val="en-AU"/>
        </w:rPr>
        <w:t xml:space="preserve">all based on a ‘bottom up’ approach, which the NTMEU </w:t>
      </w:r>
      <w:r w:rsidR="00D97B4F">
        <w:rPr>
          <w:lang w:val="en-AU"/>
        </w:rPr>
        <w:t xml:space="preserve">argued was </w:t>
      </w:r>
      <w:r>
        <w:rPr>
          <w:lang w:val="en-AU"/>
        </w:rPr>
        <w:t>a recognised technique for increasing claims.</w:t>
      </w:r>
    </w:p>
    <w:p w14:paraId="77AA37B6" w14:textId="60A0BC37" w:rsidR="00903422" w:rsidRDefault="0071594F" w:rsidP="00A74AFB">
      <w:pPr>
        <w:pStyle w:val="ListParagraph"/>
        <w:numPr>
          <w:ilvl w:val="1"/>
          <w:numId w:val="5"/>
        </w:numPr>
        <w:tabs>
          <w:tab w:val="num" w:pos="709"/>
        </w:tabs>
        <w:ind w:left="709" w:hanging="709"/>
        <w:rPr>
          <w:lang w:val="en-AU"/>
        </w:rPr>
      </w:pPr>
      <w:r>
        <w:rPr>
          <w:lang w:val="en-AU"/>
        </w:rPr>
        <w:t xml:space="preserve">The NTMEU commented on the amount of capex proposed by PWC Networks for the various categories of capex, noting that a decrease in augmentation capex </w:t>
      </w:r>
      <w:r w:rsidR="00D97B4F">
        <w:rPr>
          <w:lang w:val="en-AU"/>
        </w:rPr>
        <w:t xml:space="preserve">had </w:t>
      </w:r>
      <w:r>
        <w:rPr>
          <w:lang w:val="en-AU"/>
        </w:rPr>
        <w:t xml:space="preserve">been offset by increases in replacement and reliability capex over the later </w:t>
      </w:r>
      <w:r w:rsidR="00D97B4F">
        <w:rPr>
          <w:lang w:val="en-AU"/>
        </w:rPr>
        <w:t xml:space="preserve">regulatory </w:t>
      </w:r>
      <w:r>
        <w:rPr>
          <w:lang w:val="en-AU"/>
        </w:rPr>
        <w:t>years of the 2009-14 regulatory control period. The NTMEU also noted the significant variation</w:t>
      </w:r>
      <w:r w:rsidR="00D97B4F">
        <w:rPr>
          <w:lang w:val="en-AU"/>
        </w:rPr>
        <w:t>s</w:t>
      </w:r>
      <w:r>
        <w:rPr>
          <w:lang w:val="en-AU"/>
        </w:rPr>
        <w:t xml:space="preserve"> </w:t>
      </w:r>
      <w:r w:rsidR="00903422">
        <w:rPr>
          <w:lang w:val="en-AU"/>
        </w:rPr>
        <w:t xml:space="preserve">in </w:t>
      </w:r>
      <w:r w:rsidR="00D97B4F">
        <w:rPr>
          <w:lang w:val="en-AU"/>
        </w:rPr>
        <w:t xml:space="preserve">the </w:t>
      </w:r>
      <w:r w:rsidR="00903422">
        <w:rPr>
          <w:lang w:val="en-AU"/>
        </w:rPr>
        <w:t xml:space="preserve">proposed capex </w:t>
      </w:r>
      <w:r>
        <w:rPr>
          <w:lang w:val="en-AU"/>
        </w:rPr>
        <w:t>year on year</w:t>
      </w:r>
      <w:r w:rsidR="00903422">
        <w:rPr>
          <w:lang w:val="en-AU"/>
        </w:rPr>
        <w:t>.</w:t>
      </w:r>
    </w:p>
    <w:p w14:paraId="58283AF3" w14:textId="07C2B7F5" w:rsidR="0092013D" w:rsidRDefault="00903422" w:rsidP="00980011">
      <w:pPr>
        <w:pStyle w:val="ListParagraph"/>
        <w:numPr>
          <w:ilvl w:val="1"/>
          <w:numId w:val="5"/>
        </w:numPr>
        <w:tabs>
          <w:tab w:val="num" w:pos="709"/>
        </w:tabs>
        <w:ind w:left="709" w:hanging="709"/>
        <w:rPr>
          <w:lang w:val="en-AU"/>
        </w:rPr>
      </w:pPr>
      <w:r w:rsidRPr="00980011">
        <w:rPr>
          <w:lang w:val="en-AU"/>
        </w:rPr>
        <w:t xml:space="preserve">The NTMEU noted the Commission’s proposal to provide for contingent projects. The NTMEU </w:t>
      </w:r>
      <w:r w:rsidR="00D97B4F" w:rsidRPr="00980011">
        <w:rPr>
          <w:lang w:val="en-AU"/>
        </w:rPr>
        <w:t>consider</w:t>
      </w:r>
      <w:r w:rsidR="00D97B4F">
        <w:rPr>
          <w:lang w:val="en-AU"/>
        </w:rPr>
        <w:t>ed</w:t>
      </w:r>
      <w:r w:rsidR="00D97B4F" w:rsidRPr="00980011">
        <w:rPr>
          <w:lang w:val="en-AU"/>
        </w:rPr>
        <w:t xml:space="preserve"> </w:t>
      </w:r>
      <w:r w:rsidRPr="00980011">
        <w:rPr>
          <w:lang w:val="en-AU"/>
        </w:rPr>
        <w:t xml:space="preserve">that this should result in a reduction in </w:t>
      </w:r>
      <w:r w:rsidRPr="0021320D">
        <w:rPr>
          <w:lang w:val="en-AU"/>
        </w:rPr>
        <w:t>PWC Networks</w:t>
      </w:r>
      <w:r w:rsidR="00D97B4F">
        <w:rPr>
          <w:lang w:val="en-AU"/>
        </w:rPr>
        <w:t>’ proposed capex forecast</w:t>
      </w:r>
      <w:r w:rsidRPr="0021320D">
        <w:rPr>
          <w:lang w:val="en-AU"/>
        </w:rPr>
        <w:t xml:space="preserve">, as this effectively </w:t>
      </w:r>
      <w:r w:rsidR="00D97B4F" w:rsidRPr="0021320D">
        <w:rPr>
          <w:lang w:val="en-AU"/>
        </w:rPr>
        <w:t>transfer</w:t>
      </w:r>
      <w:r w:rsidR="00D97B4F">
        <w:rPr>
          <w:lang w:val="en-AU"/>
        </w:rPr>
        <w:t>red</w:t>
      </w:r>
      <w:r w:rsidR="00D97B4F" w:rsidRPr="0021320D">
        <w:rPr>
          <w:lang w:val="en-AU"/>
        </w:rPr>
        <w:t xml:space="preserve"> </w:t>
      </w:r>
      <w:r w:rsidRPr="0021320D">
        <w:rPr>
          <w:lang w:val="en-AU"/>
        </w:rPr>
        <w:t xml:space="preserve">risk from </w:t>
      </w:r>
      <w:r w:rsidR="00D97B4F">
        <w:rPr>
          <w:lang w:val="en-AU"/>
        </w:rPr>
        <w:t>PWC Networks</w:t>
      </w:r>
      <w:r w:rsidRPr="001E620B">
        <w:rPr>
          <w:lang w:val="en-AU"/>
        </w:rPr>
        <w:t xml:space="preserve"> to </w:t>
      </w:r>
      <w:r w:rsidR="00D97B4F">
        <w:rPr>
          <w:lang w:val="en-AU"/>
        </w:rPr>
        <w:t>retail customers</w:t>
      </w:r>
      <w:r w:rsidRPr="001E620B">
        <w:rPr>
          <w:lang w:val="en-AU"/>
        </w:rPr>
        <w:t xml:space="preserve">. </w:t>
      </w:r>
    </w:p>
    <w:p w14:paraId="1A6A6375" w14:textId="347229DB" w:rsidR="0002398B" w:rsidRPr="00BC141C" w:rsidRDefault="0002398B" w:rsidP="00980011">
      <w:pPr>
        <w:pStyle w:val="ListParagraph"/>
        <w:numPr>
          <w:ilvl w:val="1"/>
          <w:numId w:val="5"/>
        </w:numPr>
        <w:tabs>
          <w:tab w:val="num" w:pos="709"/>
        </w:tabs>
        <w:ind w:left="709" w:hanging="709"/>
        <w:rPr>
          <w:lang w:val="en-AU"/>
        </w:rPr>
      </w:pPr>
      <w:r>
        <w:rPr>
          <w:lang w:val="en-AU"/>
        </w:rPr>
        <w:t xml:space="preserve">The NTMEU also </w:t>
      </w:r>
      <w:r w:rsidR="00D97B4F">
        <w:rPr>
          <w:lang w:val="en-AU"/>
        </w:rPr>
        <w:t>raised concerns regarding</w:t>
      </w:r>
      <w:r>
        <w:rPr>
          <w:lang w:val="en-AU"/>
        </w:rPr>
        <w:t xml:space="preserve"> the Commission’s acceptance of the real cost escalators proposed by PWC Networks, particularly </w:t>
      </w:r>
      <w:r w:rsidR="00D97B4F">
        <w:rPr>
          <w:lang w:val="en-AU"/>
        </w:rPr>
        <w:t xml:space="preserve">in relation to </w:t>
      </w:r>
      <w:r>
        <w:rPr>
          <w:lang w:val="en-AU"/>
        </w:rPr>
        <w:t xml:space="preserve">the use of a labour cost escalator based on </w:t>
      </w:r>
      <w:r w:rsidR="00BA28F2">
        <w:rPr>
          <w:lang w:val="en-AU"/>
        </w:rPr>
        <w:t xml:space="preserve">the </w:t>
      </w:r>
      <w:r>
        <w:rPr>
          <w:lang w:val="en-AU"/>
        </w:rPr>
        <w:t>PWC enterprise bargaining agreement.</w:t>
      </w:r>
    </w:p>
    <w:p w14:paraId="7E76378C" w14:textId="1ABC871C" w:rsidR="00FB50C8" w:rsidRDefault="00FB50C8" w:rsidP="00A74AFB">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w:t>
      </w:r>
      <w:r>
        <w:rPr>
          <w:lang w:val="en-AU"/>
        </w:rPr>
        <w:t xml:space="preserve"> </w:t>
      </w:r>
      <w:r w:rsidR="00D97B4F">
        <w:rPr>
          <w:lang w:val="en-AU"/>
        </w:rPr>
        <w:t>PWC Networks’ proposed capex forecast</w:t>
      </w:r>
      <w:r>
        <w:rPr>
          <w:lang w:val="en-AU"/>
        </w:rPr>
        <w:t>.</w:t>
      </w:r>
    </w:p>
    <w:p w14:paraId="183DF0F8" w14:textId="4FF65A2C" w:rsidR="00A74AFB" w:rsidRPr="00BB4EB2" w:rsidRDefault="00A74AFB" w:rsidP="00A74AFB">
      <w:pPr>
        <w:pStyle w:val="UtilComHeading2"/>
      </w:pPr>
      <w:bookmarkStart w:id="196" w:name="_Toc385241520"/>
      <w:bookmarkStart w:id="197" w:name="_Toc386013073"/>
      <w:r w:rsidRPr="00BB4EB2">
        <w:t xml:space="preserve">Issues and Commission’s </w:t>
      </w:r>
      <w:r w:rsidR="001C5A9B">
        <w:t>Further</w:t>
      </w:r>
      <w:r w:rsidR="001C5A9B" w:rsidRPr="00BB4EB2">
        <w:t xml:space="preserve"> </w:t>
      </w:r>
      <w:bookmarkEnd w:id="196"/>
      <w:r w:rsidR="001C5A9B">
        <w:t>C</w:t>
      </w:r>
      <w:r w:rsidR="001C5A9B" w:rsidRPr="00BB4EB2">
        <w:t>onsiderations</w:t>
      </w:r>
      <w:bookmarkEnd w:id="197"/>
    </w:p>
    <w:p w14:paraId="1B521E5B" w14:textId="11617F8C" w:rsidR="0002398B" w:rsidRDefault="0002398B" w:rsidP="0002398B">
      <w:pPr>
        <w:pStyle w:val="NumberLevel2"/>
        <w:numPr>
          <w:ilvl w:val="1"/>
          <w:numId w:val="5"/>
        </w:numPr>
        <w:tabs>
          <w:tab w:val="num" w:pos="709"/>
        </w:tabs>
        <w:ind w:left="709" w:hanging="709"/>
        <w:rPr>
          <w:lang w:val="en-AU"/>
        </w:rPr>
      </w:pPr>
      <w:r w:rsidRPr="007E4BB4">
        <w:rPr>
          <w:lang w:val="en-AU"/>
        </w:rPr>
        <w:t xml:space="preserve">The </w:t>
      </w:r>
      <w:r>
        <w:rPr>
          <w:lang w:val="en-AU"/>
        </w:rPr>
        <w:t>Commission</w:t>
      </w:r>
      <w:r w:rsidRPr="007E4BB4">
        <w:rPr>
          <w:lang w:val="en-AU"/>
        </w:rPr>
        <w:t xml:space="preserve"> engaged PB to </w:t>
      </w:r>
      <w:r>
        <w:rPr>
          <w:lang w:val="en-AU"/>
        </w:rPr>
        <w:t xml:space="preserve">undertake further analysis of </w:t>
      </w:r>
      <w:r w:rsidR="002A7E60">
        <w:rPr>
          <w:lang w:val="en-AU"/>
        </w:rPr>
        <w:t xml:space="preserve">PWC Networks’ </w:t>
      </w:r>
      <w:r>
        <w:rPr>
          <w:lang w:val="en-AU"/>
        </w:rPr>
        <w:t xml:space="preserve">revised </w:t>
      </w:r>
      <w:r w:rsidR="00113A07">
        <w:rPr>
          <w:lang w:val="en-AU"/>
        </w:rPr>
        <w:t>proposed capex forecast</w:t>
      </w:r>
      <w:r>
        <w:rPr>
          <w:lang w:val="en-AU"/>
        </w:rPr>
        <w:t xml:space="preserve"> for the 2014-19 regulatory control period.</w:t>
      </w:r>
      <w:r w:rsidRPr="007E4BB4">
        <w:rPr>
          <w:lang w:val="en-AU"/>
        </w:rPr>
        <w:t xml:space="preserve"> </w:t>
      </w:r>
      <w:r>
        <w:rPr>
          <w:lang w:val="en-AU"/>
        </w:rPr>
        <w:t xml:space="preserve">PB’s report has been released with this </w:t>
      </w:r>
      <w:r w:rsidR="00113A07">
        <w:rPr>
          <w:lang w:val="en-AU"/>
        </w:rPr>
        <w:t>Final Determination</w:t>
      </w:r>
      <w:r>
        <w:rPr>
          <w:lang w:val="en-AU"/>
        </w:rPr>
        <w:t>.</w:t>
      </w:r>
    </w:p>
    <w:p w14:paraId="38634EBE" w14:textId="38EE3A01" w:rsidR="004C37FC" w:rsidRDefault="004C37FC" w:rsidP="004C37FC">
      <w:pPr>
        <w:pStyle w:val="UtilComHeading3"/>
        <w:rPr>
          <w:lang w:val="en-AU"/>
        </w:rPr>
      </w:pPr>
      <w:r>
        <w:rPr>
          <w:lang w:val="en-AU"/>
        </w:rPr>
        <w:t xml:space="preserve">Growth </w:t>
      </w:r>
      <w:r w:rsidR="001C5A9B">
        <w:rPr>
          <w:lang w:val="en-AU"/>
        </w:rPr>
        <w:t>Capex</w:t>
      </w:r>
    </w:p>
    <w:p w14:paraId="54D0A604" w14:textId="1EF36984" w:rsidR="0095119D" w:rsidRDefault="002B1150" w:rsidP="002B1150">
      <w:pPr>
        <w:pStyle w:val="NumberLevel2"/>
        <w:numPr>
          <w:ilvl w:val="1"/>
          <w:numId w:val="5"/>
        </w:numPr>
        <w:tabs>
          <w:tab w:val="num" w:pos="709"/>
        </w:tabs>
        <w:ind w:left="709" w:hanging="709"/>
        <w:rPr>
          <w:lang w:val="en-AU"/>
        </w:rPr>
      </w:pPr>
      <w:r>
        <w:rPr>
          <w:lang w:val="en-AU"/>
        </w:rPr>
        <w:t xml:space="preserve">PWC Networks resubmitted </w:t>
      </w:r>
      <w:r w:rsidR="0095119D">
        <w:rPr>
          <w:lang w:val="en-AU"/>
        </w:rPr>
        <w:t xml:space="preserve">some </w:t>
      </w:r>
      <w:r w:rsidR="002B6F63">
        <w:rPr>
          <w:lang w:val="en-AU"/>
        </w:rPr>
        <w:t xml:space="preserve">parts of its original proposed </w:t>
      </w:r>
      <w:r w:rsidR="0095119D">
        <w:rPr>
          <w:lang w:val="en-AU"/>
        </w:rPr>
        <w:t xml:space="preserve">capex </w:t>
      </w:r>
      <w:r w:rsidR="002B6F63">
        <w:rPr>
          <w:lang w:val="en-AU"/>
        </w:rPr>
        <w:t xml:space="preserve">forecast </w:t>
      </w:r>
      <w:r w:rsidR="0095119D">
        <w:rPr>
          <w:lang w:val="en-AU"/>
        </w:rPr>
        <w:t xml:space="preserve">that the Commission previously rejected as not </w:t>
      </w:r>
      <w:r w:rsidR="002B6F63">
        <w:rPr>
          <w:lang w:val="en-AU"/>
        </w:rPr>
        <w:t xml:space="preserve">being </w:t>
      </w:r>
      <w:r w:rsidR="0095119D">
        <w:rPr>
          <w:lang w:val="en-AU"/>
        </w:rPr>
        <w:t xml:space="preserve">required in the 2014-19 regulatory control period, based on the Commission’s view that PWC Networks’ demand forecasts were over-estimated. This </w:t>
      </w:r>
      <w:r w:rsidR="002B6F63">
        <w:rPr>
          <w:lang w:val="en-AU"/>
        </w:rPr>
        <w:t xml:space="preserve">view led </w:t>
      </w:r>
      <w:r w:rsidR="0095119D">
        <w:rPr>
          <w:lang w:val="en-AU"/>
        </w:rPr>
        <w:t>to:</w:t>
      </w:r>
    </w:p>
    <w:p w14:paraId="637DBCDF" w14:textId="3BB3C2D1" w:rsidR="0002398B" w:rsidRPr="0095119D" w:rsidRDefault="002B6F63" w:rsidP="008E229D">
      <w:pPr>
        <w:pStyle w:val="UtilComBulletText"/>
        <w:numPr>
          <w:ilvl w:val="0"/>
          <w:numId w:val="6"/>
        </w:numPr>
        <w:tabs>
          <w:tab w:val="clear" w:pos="964"/>
          <w:tab w:val="num" w:pos="1134"/>
        </w:tabs>
        <w:ind w:left="1134" w:hanging="425"/>
      </w:pPr>
      <w:r>
        <w:t xml:space="preserve">the </w:t>
      </w:r>
      <w:r w:rsidR="00745248">
        <w:t>r</w:t>
      </w:r>
      <w:r w:rsidR="0095119D">
        <w:t xml:space="preserve">eduction in the capex required for </w:t>
      </w:r>
      <w:r w:rsidR="0095119D" w:rsidRPr="0095119D">
        <w:t>the customer augmentation and network extension pro</w:t>
      </w:r>
      <w:r w:rsidR="0095119D">
        <w:t>g</w:t>
      </w:r>
      <w:r w:rsidR="0095119D" w:rsidRPr="0095119D">
        <w:t>ram;</w:t>
      </w:r>
    </w:p>
    <w:p w14:paraId="69C3938C" w14:textId="7A459EDE" w:rsidR="0095119D" w:rsidRDefault="002B6F63" w:rsidP="008E229D">
      <w:pPr>
        <w:pStyle w:val="UtilComBulletText"/>
        <w:numPr>
          <w:ilvl w:val="0"/>
          <w:numId w:val="6"/>
        </w:numPr>
        <w:tabs>
          <w:tab w:val="clear" w:pos="964"/>
          <w:tab w:val="num" w:pos="1134"/>
        </w:tabs>
        <w:ind w:left="1134" w:hanging="425"/>
      </w:pPr>
      <w:r>
        <w:t xml:space="preserve">the </w:t>
      </w:r>
      <w:r w:rsidR="00745248">
        <w:t>r</w:t>
      </w:r>
      <w:r w:rsidR="0095119D">
        <w:t>eduction in capex required for the customer connection program;</w:t>
      </w:r>
    </w:p>
    <w:p w14:paraId="0F004837" w14:textId="5BECADC6" w:rsidR="0095119D" w:rsidRDefault="002B6F63" w:rsidP="008E229D">
      <w:pPr>
        <w:pStyle w:val="UtilComBulletText"/>
        <w:numPr>
          <w:ilvl w:val="0"/>
          <w:numId w:val="6"/>
        </w:numPr>
        <w:tabs>
          <w:tab w:val="clear" w:pos="964"/>
          <w:tab w:val="num" w:pos="1134"/>
        </w:tabs>
        <w:ind w:left="1134" w:hanging="425"/>
      </w:pPr>
      <w:r>
        <w:t xml:space="preserve">the </w:t>
      </w:r>
      <w:r w:rsidR="00745248">
        <w:t>r</w:t>
      </w:r>
      <w:r w:rsidR="0095119D">
        <w:t>eduction in capex required for the metering program;</w:t>
      </w:r>
    </w:p>
    <w:p w14:paraId="18DF1E1B" w14:textId="21D359D3" w:rsidR="0095119D" w:rsidRDefault="002B6F63" w:rsidP="008E229D">
      <w:pPr>
        <w:pStyle w:val="UtilComBulletText"/>
        <w:numPr>
          <w:ilvl w:val="0"/>
          <w:numId w:val="6"/>
        </w:numPr>
        <w:tabs>
          <w:tab w:val="clear" w:pos="964"/>
          <w:tab w:val="num" w:pos="1134"/>
        </w:tabs>
        <w:ind w:left="1134" w:hanging="425"/>
      </w:pPr>
      <w:r>
        <w:t xml:space="preserve">the </w:t>
      </w:r>
      <w:r w:rsidR="00745248">
        <w:t>d</w:t>
      </w:r>
      <w:r w:rsidR="0095119D">
        <w:t>eferral of the construction of the Archer to Palmerston 66 kV transmission line to Post 2019 regulatory control period;</w:t>
      </w:r>
      <w:r w:rsidR="00745248">
        <w:t xml:space="preserve"> </w:t>
      </w:r>
      <w:r w:rsidR="004C37FC">
        <w:t xml:space="preserve">and </w:t>
      </w:r>
    </w:p>
    <w:p w14:paraId="4292A728" w14:textId="6466D11C" w:rsidR="00011F28" w:rsidRDefault="002B6F63" w:rsidP="008E229D">
      <w:pPr>
        <w:pStyle w:val="UtilComBulletText"/>
        <w:numPr>
          <w:ilvl w:val="0"/>
          <w:numId w:val="6"/>
        </w:numPr>
        <w:tabs>
          <w:tab w:val="clear" w:pos="964"/>
          <w:tab w:val="num" w:pos="1134"/>
        </w:tabs>
        <w:ind w:left="1134" w:hanging="425"/>
      </w:pPr>
      <w:r>
        <w:t xml:space="preserve">the </w:t>
      </w:r>
      <w:r w:rsidR="00011F28">
        <w:t xml:space="preserve">deferral of construction of the East Arm </w:t>
      </w:r>
      <w:r>
        <w:t>Zone Substation</w:t>
      </w:r>
      <w:r w:rsidRPr="00011F28">
        <w:t xml:space="preserve"> </w:t>
      </w:r>
      <w:r w:rsidR="00011F28">
        <w:t xml:space="preserve">to </w:t>
      </w:r>
      <w:r w:rsidR="00E22790">
        <w:t xml:space="preserve">the </w:t>
      </w:r>
      <w:r w:rsidR="00011F28">
        <w:t>Post 2019 regulatory control period</w:t>
      </w:r>
      <w:r w:rsidR="004C37FC">
        <w:t>.</w:t>
      </w:r>
    </w:p>
    <w:p w14:paraId="0F238FF6" w14:textId="77777777" w:rsidR="00745248" w:rsidRDefault="00422CD4" w:rsidP="00745248">
      <w:pPr>
        <w:pStyle w:val="NumberLevel2"/>
        <w:numPr>
          <w:ilvl w:val="1"/>
          <w:numId w:val="5"/>
        </w:numPr>
        <w:tabs>
          <w:tab w:val="num" w:pos="709"/>
        </w:tabs>
        <w:ind w:left="709" w:hanging="709"/>
        <w:rPr>
          <w:lang w:val="en-AU"/>
        </w:rPr>
      </w:pPr>
      <w:r>
        <w:rPr>
          <w:lang w:val="en-AU"/>
        </w:rPr>
        <w:t>As discussed in Chapter 7, the Commission does not consider that PWC Networks has provided any further information that changes the view of expected demand expressed by the Commission in its Draft Determination.</w:t>
      </w:r>
    </w:p>
    <w:p w14:paraId="62568F74" w14:textId="7ABC39E8" w:rsidR="00422CD4" w:rsidRDefault="00422CD4" w:rsidP="00011F28">
      <w:pPr>
        <w:pStyle w:val="NumberLevel2"/>
        <w:numPr>
          <w:ilvl w:val="1"/>
          <w:numId w:val="5"/>
        </w:numPr>
        <w:tabs>
          <w:tab w:val="num" w:pos="709"/>
        </w:tabs>
        <w:ind w:left="709" w:hanging="709"/>
        <w:rPr>
          <w:lang w:val="en-AU"/>
        </w:rPr>
      </w:pPr>
      <w:r>
        <w:rPr>
          <w:lang w:val="en-AU"/>
        </w:rPr>
        <w:t>The Commiss</w:t>
      </w:r>
      <w:r w:rsidR="00011F28">
        <w:rPr>
          <w:lang w:val="en-AU"/>
        </w:rPr>
        <w:t xml:space="preserve">ion maintains its decision to remove these elements from </w:t>
      </w:r>
      <w:r w:rsidR="002B6F63">
        <w:rPr>
          <w:lang w:val="en-AU"/>
        </w:rPr>
        <w:t>its estimates of PWC Networks’ total required capex</w:t>
      </w:r>
      <w:r w:rsidR="00011F28">
        <w:rPr>
          <w:lang w:val="en-AU"/>
        </w:rPr>
        <w:t>.</w:t>
      </w:r>
    </w:p>
    <w:p w14:paraId="2DCA5319" w14:textId="2CCC9AA1" w:rsidR="00011F28" w:rsidRDefault="00011F28" w:rsidP="004C37FC">
      <w:pPr>
        <w:pStyle w:val="NumberLevel2"/>
        <w:numPr>
          <w:ilvl w:val="1"/>
          <w:numId w:val="5"/>
        </w:numPr>
        <w:tabs>
          <w:tab w:val="num" w:pos="709"/>
        </w:tabs>
        <w:ind w:left="709" w:hanging="709"/>
        <w:rPr>
          <w:lang w:val="en-AU"/>
        </w:rPr>
      </w:pPr>
      <w:r>
        <w:rPr>
          <w:lang w:val="en-AU"/>
        </w:rPr>
        <w:t xml:space="preserve">However, with respect to the construction of the East Arm Zone </w:t>
      </w:r>
      <w:r w:rsidR="002B6F63">
        <w:rPr>
          <w:lang w:val="en-AU"/>
        </w:rPr>
        <w:t>Substation</w:t>
      </w:r>
      <w:r>
        <w:rPr>
          <w:lang w:val="en-AU"/>
        </w:rPr>
        <w:t xml:space="preserve">, </w:t>
      </w:r>
      <w:r w:rsidR="004C37FC">
        <w:rPr>
          <w:lang w:val="en-AU"/>
        </w:rPr>
        <w:t>the Commission acknowledges PWC Networks</w:t>
      </w:r>
      <w:r w:rsidR="002B6F63">
        <w:rPr>
          <w:lang w:val="en-AU"/>
        </w:rPr>
        <w:t>’</w:t>
      </w:r>
      <w:r w:rsidR="004C37FC">
        <w:rPr>
          <w:lang w:val="en-AU"/>
        </w:rPr>
        <w:t xml:space="preserve"> </w:t>
      </w:r>
      <w:r w:rsidR="002B6F63">
        <w:rPr>
          <w:lang w:val="en-AU"/>
        </w:rPr>
        <w:t xml:space="preserve">submission </w:t>
      </w:r>
      <w:r w:rsidR="004C37FC">
        <w:rPr>
          <w:lang w:val="en-AU"/>
        </w:rPr>
        <w:t xml:space="preserve">that load requirements in the East Arm industrial area can change unexpectedly with the arrival of one or two large industrial customers. Accordingly, the Commission accepts this </w:t>
      </w:r>
      <w:r w:rsidR="002B6F63">
        <w:rPr>
          <w:lang w:val="en-AU"/>
        </w:rPr>
        <w:t xml:space="preserve">project should be </w:t>
      </w:r>
      <w:r w:rsidR="004C37FC">
        <w:rPr>
          <w:lang w:val="en-AU"/>
        </w:rPr>
        <w:t>a contingent project</w:t>
      </w:r>
      <w:r w:rsidR="002B6F63">
        <w:rPr>
          <w:lang w:val="en-AU"/>
        </w:rPr>
        <w:t xml:space="preserve"> for the purposes of the 2014 Network Price Determination</w:t>
      </w:r>
      <w:r w:rsidR="004C37FC">
        <w:rPr>
          <w:lang w:val="en-AU"/>
        </w:rPr>
        <w:t>.</w:t>
      </w:r>
    </w:p>
    <w:p w14:paraId="45E2A685" w14:textId="77777777" w:rsidR="004C37FC" w:rsidRDefault="004C37FC" w:rsidP="004C37FC">
      <w:pPr>
        <w:pStyle w:val="UtilComHeading3"/>
        <w:rPr>
          <w:lang w:val="en-AU"/>
        </w:rPr>
      </w:pPr>
      <w:r>
        <w:rPr>
          <w:lang w:val="en-AU"/>
        </w:rPr>
        <w:t>Replacement capex</w:t>
      </w:r>
    </w:p>
    <w:p w14:paraId="231B1E40" w14:textId="77777777" w:rsidR="003B24E5" w:rsidRDefault="003B24E5" w:rsidP="004C37FC">
      <w:pPr>
        <w:pStyle w:val="NumberLevel2"/>
        <w:numPr>
          <w:ilvl w:val="1"/>
          <w:numId w:val="5"/>
        </w:numPr>
        <w:tabs>
          <w:tab w:val="num" w:pos="709"/>
        </w:tabs>
        <w:ind w:left="709" w:hanging="709"/>
        <w:rPr>
          <w:lang w:val="en-AU"/>
        </w:rPr>
      </w:pPr>
      <w:r>
        <w:rPr>
          <w:lang w:val="en-AU"/>
        </w:rPr>
        <w:t xml:space="preserve">PWC Networks did not accept the Commission’s removal of capex for excessive power transformer replacements or for the reduction in replacement unit rates. </w:t>
      </w:r>
    </w:p>
    <w:p w14:paraId="6264403C" w14:textId="71FE62D3" w:rsidR="004C37FC" w:rsidRDefault="00F86342" w:rsidP="004C37FC">
      <w:pPr>
        <w:pStyle w:val="NumberLevel2"/>
        <w:numPr>
          <w:ilvl w:val="1"/>
          <w:numId w:val="5"/>
        </w:numPr>
        <w:tabs>
          <w:tab w:val="num" w:pos="709"/>
        </w:tabs>
        <w:ind w:left="709" w:hanging="709"/>
        <w:rPr>
          <w:lang w:val="en-AU"/>
        </w:rPr>
      </w:pPr>
      <w:r>
        <w:rPr>
          <w:lang w:val="en-AU"/>
        </w:rPr>
        <w:t>The Commission’s decision</w:t>
      </w:r>
      <w:r w:rsidR="00A153EC">
        <w:rPr>
          <w:lang w:val="en-AU"/>
        </w:rPr>
        <w:t xml:space="preserve"> in the Draft Determination</w:t>
      </w:r>
      <w:r>
        <w:rPr>
          <w:lang w:val="en-AU"/>
        </w:rPr>
        <w:t xml:space="preserve"> reduced the number of power transformers required for zone substation works on the basis that PWC Networks had not proven or justified that condition issues with some transformers required their replacement during the 2014-19 regulatory control period. No further evidence of the condition of the transformers </w:t>
      </w:r>
      <w:r w:rsidR="00E22790">
        <w:rPr>
          <w:lang w:val="en-AU"/>
        </w:rPr>
        <w:t xml:space="preserve">was </w:t>
      </w:r>
      <w:r>
        <w:rPr>
          <w:lang w:val="en-AU"/>
        </w:rPr>
        <w:t xml:space="preserve">provided in the revised regulatory proposal. </w:t>
      </w:r>
      <w:r w:rsidR="003B24E5">
        <w:rPr>
          <w:lang w:val="en-AU"/>
        </w:rPr>
        <w:t>The</w:t>
      </w:r>
      <w:r>
        <w:rPr>
          <w:lang w:val="en-AU"/>
        </w:rPr>
        <w:t xml:space="preserve"> </w:t>
      </w:r>
      <w:r w:rsidR="003B24E5">
        <w:rPr>
          <w:lang w:val="en-AU"/>
        </w:rPr>
        <w:t xml:space="preserve">Commission </w:t>
      </w:r>
      <w:r>
        <w:rPr>
          <w:lang w:val="en-AU"/>
        </w:rPr>
        <w:t xml:space="preserve">has reviewed the information provided by PWC Networks and </w:t>
      </w:r>
      <w:r w:rsidR="003B24E5">
        <w:rPr>
          <w:lang w:val="en-AU"/>
        </w:rPr>
        <w:t>maintains its view that the number of replacement transformers proposed by PWC</w:t>
      </w:r>
      <w:r w:rsidR="00A153EC">
        <w:rPr>
          <w:lang w:val="en-AU"/>
        </w:rPr>
        <w:t> Networks</w:t>
      </w:r>
      <w:r w:rsidR="003B24E5">
        <w:rPr>
          <w:lang w:val="en-AU"/>
        </w:rPr>
        <w:t xml:space="preserve"> </w:t>
      </w:r>
      <w:r w:rsidR="00E22790">
        <w:rPr>
          <w:lang w:val="en-AU"/>
        </w:rPr>
        <w:t>i</w:t>
      </w:r>
      <w:r w:rsidR="003B24E5">
        <w:rPr>
          <w:lang w:val="en-AU"/>
        </w:rPr>
        <w:t xml:space="preserve">s excessive. </w:t>
      </w:r>
      <w:r w:rsidR="00EE23A0">
        <w:rPr>
          <w:lang w:val="en-AU"/>
        </w:rPr>
        <w:t xml:space="preserve">The zone substation replacement </w:t>
      </w:r>
      <w:r w:rsidR="00A153EC">
        <w:rPr>
          <w:lang w:val="en-AU"/>
        </w:rPr>
        <w:t xml:space="preserve">program </w:t>
      </w:r>
      <w:r w:rsidR="00EE23A0">
        <w:rPr>
          <w:lang w:val="en-AU"/>
        </w:rPr>
        <w:t>proposed by PWC Networks would see a large number of power transformers retained as spares at the completion of the program. The Commission considers that PWC Networks can utilise efficient scheduling, logistics and spares</w:t>
      </w:r>
      <w:r w:rsidR="003B24E5">
        <w:rPr>
          <w:lang w:val="en-AU"/>
        </w:rPr>
        <w:t xml:space="preserve"> </w:t>
      </w:r>
      <w:r w:rsidR="00EE23A0">
        <w:rPr>
          <w:lang w:val="en-AU"/>
        </w:rPr>
        <w:t xml:space="preserve">to carry out its zone substation replacements within the </w:t>
      </w:r>
      <w:r w:rsidR="00A153EC">
        <w:rPr>
          <w:lang w:val="en-AU"/>
        </w:rPr>
        <w:t xml:space="preserve">Commission’s estimate of PWC Networks’ total required </w:t>
      </w:r>
      <w:r w:rsidR="00EE23A0">
        <w:rPr>
          <w:lang w:val="en-AU"/>
        </w:rPr>
        <w:t>capex.</w:t>
      </w:r>
    </w:p>
    <w:p w14:paraId="3B012679" w14:textId="51727456" w:rsidR="004C37FC" w:rsidRDefault="00EE23A0" w:rsidP="00DF01CF">
      <w:pPr>
        <w:pStyle w:val="NumberLevel2"/>
        <w:numPr>
          <w:ilvl w:val="1"/>
          <w:numId w:val="5"/>
        </w:numPr>
        <w:tabs>
          <w:tab w:val="num" w:pos="709"/>
        </w:tabs>
        <w:ind w:left="709" w:hanging="709"/>
        <w:rPr>
          <w:lang w:val="en-AU"/>
        </w:rPr>
      </w:pPr>
      <w:r>
        <w:rPr>
          <w:lang w:val="en-AU"/>
        </w:rPr>
        <w:t xml:space="preserve">The Commission does, however, accept PWC Networks estimate of the cost of those replacement transformers that are required and </w:t>
      </w:r>
      <w:r w:rsidR="00A153EC">
        <w:rPr>
          <w:lang w:val="en-AU"/>
        </w:rPr>
        <w:t xml:space="preserve">has </w:t>
      </w:r>
      <w:r>
        <w:rPr>
          <w:lang w:val="en-AU"/>
        </w:rPr>
        <w:t xml:space="preserve">adjusted the </w:t>
      </w:r>
      <w:r w:rsidR="00A153EC">
        <w:rPr>
          <w:lang w:val="en-AU"/>
        </w:rPr>
        <w:t xml:space="preserve">estimate of PWC Network’ total required </w:t>
      </w:r>
      <w:r>
        <w:rPr>
          <w:lang w:val="en-AU"/>
        </w:rPr>
        <w:t xml:space="preserve">capex accordingly. The Commission has also accepted PWC Networks’ </w:t>
      </w:r>
      <w:r w:rsidR="00DF01CF">
        <w:rPr>
          <w:lang w:val="en-AU"/>
        </w:rPr>
        <w:t>replacement unit rates for zone substation replacement works as these are likely to contain estimates derived from previous contract</w:t>
      </w:r>
      <w:r w:rsidR="00A153EC">
        <w:rPr>
          <w:lang w:val="en-AU"/>
        </w:rPr>
        <w:t>s</w:t>
      </w:r>
      <w:r w:rsidR="00DF01CF">
        <w:rPr>
          <w:lang w:val="en-AU"/>
        </w:rPr>
        <w:t>.</w:t>
      </w:r>
    </w:p>
    <w:p w14:paraId="362DC048" w14:textId="47223D33" w:rsidR="00DF01CF" w:rsidRDefault="005469F0" w:rsidP="00DF01CF">
      <w:pPr>
        <w:pStyle w:val="NumberLevel2"/>
        <w:numPr>
          <w:ilvl w:val="1"/>
          <w:numId w:val="5"/>
        </w:numPr>
        <w:tabs>
          <w:tab w:val="num" w:pos="709"/>
        </w:tabs>
        <w:ind w:left="709" w:hanging="709"/>
        <w:rPr>
          <w:lang w:val="en-AU"/>
        </w:rPr>
      </w:pPr>
      <w:r>
        <w:rPr>
          <w:lang w:val="en-AU"/>
        </w:rPr>
        <w:t>PWC Networks also rejected the Commission’s smoothing of program expenditure for its asset replacement and upgrade program, and smoothing and deferral of zone substation works</w:t>
      </w:r>
      <w:r w:rsidR="00F86342">
        <w:rPr>
          <w:lang w:val="en-AU"/>
        </w:rPr>
        <w:t xml:space="preserve">, but provided </w:t>
      </w:r>
      <w:r>
        <w:rPr>
          <w:lang w:val="en-AU"/>
        </w:rPr>
        <w:t>no further justification for the timing of these works</w:t>
      </w:r>
      <w:r w:rsidR="00F86342">
        <w:rPr>
          <w:lang w:val="en-AU"/>
        </w:rPr>
        <w:t>.</w:t>
      </w:r>
      <w:r>
        <w:rPr>
          <w:lang w:val="en-AU"/>
        </w:rPr>
        <w:t xml:space="preserve"> </w:t>
      </w:r>
      <w:r w:rsidR="00F86342">
        <w:rPr>
          <w:lang w:val="en-AU"/>
        </w:rPr>
        <w:t xml:space="preserve">The </w:t>
      </w:r>
      <w:r>
        <w:rPr>
          <w:lang w:val="en-AU"/>
        </w:rPr>
        <w:t xml:space="preserve">Commission </w:t>
      </w:r>
      <w:r w:rsidR="00F86342">
        <w:rPr>
          <w:lang w:val="en-AU"/>
        </w:rPr>
        <w:t xml:space="preserve">has reviewed the information provided by PWC Networks and </w:t>
      </w:r>
      <w:r>
        <w:rPr>
          <w:lang w:val="en-AU"/>
        </w:rPr>
        <w:t>maintains its view</w:t>
      </w:r>
      <w:r w:rsidR="00F86342">
        <w:rPr>
          <w:lang w:val="en-AU"/>
        </w:rPr>
        <w:t xml:space="preserve"> that </w:t>
      </w:r>
      <w:r w:rsidR="0018608B">
        <w:rPr>
          <w:lang w:val="en-AU"/>
        </w:rPr>
        <w:t xml:space="preserve">not all of the proposed works are required to be undertaken in the 2014-19 regulatory control period and that </w:t>
      </w:r>
      <w:r w:rsidR="00F86342">
        <w:rPr>
          <w:lang w:val="en-AU"/>
        </w:rPr>
        <w:t xml:space="preserve">the timing of </w:t>
      </w:r>
      <w:r w:rsidR="0018608B">
        <w:rPr>
          <w:lang w:val="en-AU"/>
        </w:rPr>
        <w:t>some</w:t>
      </w:r>
      <w:r w:rsidR="00F86342">
        <w:rPr>
          <w:lang w:val="en-AU"/>
        </w:rPr>
        <w:t xml:space="preserve"> works </w:t>
      </w:r>
      <w:r w:rsidR="0018608B">
        <w:rPr>
          <w:lang w:val="en-AU"/>
        </w:rPr>
        <w:t xml:space="preserve">can be deferred to later in the </w:t>
      </w:r>
      <w:r w:rsidR="00A153EC">
        <w:rPr>
          <w:lang w:val="en-AU"/>
        </w:rPr>
        <w:t xml:space="preserve">2014-19 </w:t>
      </w:r>
      <w:r w:rsidR="0018608B">
        <w:rPr>
          <w:lang w:val="en-AU"/>
        </w:rPr>
        <w:t>regulatory control period</w:t>
      </w:r>
      <w:r>
        <w:rPr>
          <w:lang w:val="en-AU"/>
        </w:rPr>
        <w:t>.</w:t>
      </w:r>
    </w:p>
    <w:p w14:paraId="14365935" w14:textId="77777777" w:rsidR="005469F0" w:rsidRDefault="005469F0" w:rsidP="005469F0">
      <w:pPr>
        <w:pStyle w:val="UtilComHeading3"/>
        <w:rPr>
          <w:lang w:val="en-AU"/>
        </w:rPr>
      </w:pPr>
      <w:r>
        <w:rPr>
          <w:lang w:val="en-AU"/>
        </w:rPr>
        <w:t>Reliability capex</w:t>
      </w:r>
    </w:p>
    <w:p w14:paraId="15033C43" w14:textId="133E29FC" w:rsidR="001F16A6" w:rsidRDefault="001F16A6" w:rsidP="00EA53A3">
      <w:pPr>
        <w:pStyle w:val="NumberLevel2"/>
        <w:numPr>
          <w:ilvl w:val="1"/>
          <w:numId w:val="5"/>
        </w:numPr>
        <w:tabs>
          <w:tab w:val="num" w:pos="709"/>
        </w:tabs>
        <w:ind w:left="709" w:hanging="709"/>
      </w:pPr>
      <w:r>
        <w:rPr>
          <w:lang w:val="en-AU"/>
        </w:rPr>
        <w:t xml:space="preserve">PWC Networks has increased the proposed expenditure for its feeder upgrade program </w:t>
      </w:r>
      <w:r w:rsidRPr="002225E5">
        <w:t>on the basis that additional expenditure is required to meet the new service standards targets</w:t>
      </w:r>
      <w:r w:rsidR="00A7551A">
        <w:t xml:space="preserve"> established under the ESS Code</w:t>
      </w:r>
      <w:r>
        <w:t xml:space="preserve">. </w:t>
      </w:r>
      <w:r w:rsidR="00FE6468" w:rsidRPr="001F16A6">
        <w:rPr>
          <w:lang w:val="en-AU"/>
        </w:rPr>
        <w:t>PWC Networks provided a detailed analysis based on reliability in the short rural feeder category showing a worsening trend during the 2009-14 regulatory control period.</w:t>
      </w:r>
    </w:p>
    <w:p w14:paraId="23A11F13" w14:textId="45ECDDCC" w:rsidR="001F16A6" w:rsidRPr="00FE6468" w:rsidRDefault="00FE6468" w:rsidP="00FE6468">
      <w:pPr>
        <w:pStyle w:val="NumberLevel2"/>
        <w:numPr>
          <w:ilvl w:val="1"/>
          <w:numId w:val="5"/>
        </w:numPr>
        <w:tabs>
          <w:tab w:val="num" w:pos="709"/>
        </w:tabs>
        <w:ind w:left="709" w:hanging="709"/>
        <w:rPr>
          <w:lang w:val="en-AU"/>
        </w:rPr>
      </w:pPr>
      <w:r w:rsidRPr="00FE6468">
        <w:rPr>
          <w:lang w:val="en-AU"/>
        </w:rPr>
        <w:t xml:space="preserve">The feeder upgrade program was not one of the projects subject to specific </w:t>
      </w:r>
      <w:r>
        <w:rPr>
          <w:lang w:val="en-AU"/>
        </w:rPr>
        <w:t xml:space="preserve">and detailed </w:t>
      </w:r>
      <w:r w:rsidRPr="00FE6468">
        <w:rPr>
          <w:lang w:val="en-AU"/>
        </w:rPr>
        <w:t>review for the Draft Determination. The program appeared reasonable given that there was an expectation that improvements in reliability were required.</w:t>
      </w:r>
      <w:r>
        <w:rPr>
          <w:lang w:val="en-AU"/>
        </w:rPr>
        <w:t xml:space="preserve"> In its</w:t>
      </w:r>
      <w:r w:rsidRPr="00FE6468">
        <w:rPr>
          <w:lang w:val="en-AU"/>
        </w:rPr>
        <w:t xml:space="preserve"> further analysis of the revised </w:t>
      </w:r>
      <w:r w:rsidR="00A7551A">
        <w:rPr>
          <w:lang w:val="en-AU"/>
        </w:rPr>
        <w:t>proposed capex forecast</w:t>
      </w:r>
      <w:r w:rsidRPr="00FE6468">
        <w:rPr>
          <w:lang w:val="en-AU"/>
        </w:rPr>
        <w:t xml:space="preserve"> submitted by PWC Networks for the 2014-19 regulatory control period</w:t>
      </w:r>
      <w:r>
        <w:rPr>
          <w:lang w:val="en-AU"/>
        </w:rPr>
        <w:t xml:space="preserve">, PB examined this project more closely. </w:t>
      </w:r>
    </w:p>
    <w:p w14:paraId="08E18A29" w14:textId="2208BD5B" w:rsidR="00DD6B4B" w:rsidRDefault="00FE6468" w:rsidP="00FE6468">
      <w:pPr>
        <w:pStyle w:val="NumberLevel2"/>
        <w:numPr>
          <w:ilvl w:val="1"/>
          <w:numId w:val="5"/>
        </w:numPr>
        <w:tabs>
          <w:tab w:val="num" w:pos="709"/>
        </w:tabs>
        <w:ind w:left="709" w:hanging="709"/>
        <w:rPr>
          <w:lang w:val="en-AU"/>
        </w:rPr>
      </w:pPr>
      <w:r>
        <w:rPr>
          <w:lang w:val="en-AU"/>
        </w:rPr>
        <w:t>PWC Networks forec</w:t>
      </w:r>
      <w:r w:rsidR="00DD6B4B">
        <w:rPr>
          <w:lang w:val="en-AU"/>
        </w:rPr>
        <w:t>ast the performance gap to meet</w:t>
      </w:r>
      <w:r w:rsidR="00E22790">
        <w:rPr>
          <w:lang w:val="en-AU"/>
        </w:rPr>
        <w:t xml:space="preserve"> the</w:t>
      </w:r>
      <w:r w:rsidR="00DD6B4B">
        <w:rPr>
          <w:lang w:val="en-AU"/>
        </w:rPr>
        <w:t xml:space="preserve"> ESS Code requirements then estimated the contribution to reliability performance of vegetation related outages and targeted improvements to vegetation management in t</w:t>
      </w:r>
      <w:r w:rsidR="004930C6">
        <w:rPr>
          <w:lang w:val="en-AU"/>
        </w:rPr>
        <w:t>h</w:t>
      </w:r>
      <w:r w:rsidR="00DD6B4B">
        <w:rPr>
          <w:lang w:val="en-AU"/>
        </w:rPr>
        <w:t xml:space="preserve">e same proportion. The remainder of the performance gap </w:t>
      </w:r>
      <w:r w:rsidR="00151356">
        <w:rPr>
          <w:lang w:val="en-AU"/>
        </w:rPr>
        <w:t xml:space="preserve">was to be </w:t>
      </w:r>
      <w:r w:rsidR="00DD6B4B">
        <w:rPr>
          <w:lang w:val="en-AU"/>
        </w:rPr>
        <w:t>addressed by the feeder upgrade program.</w:t>
      </w:r>
    </w:p>
    <w:p w14:paraId="23B98506" w14:textId="0A45A750" w:rsidR="0018608B" w:rsidRDefault="00DD6B4B" w:rsidP="00FE6468">
      <w:pPr>
        <w:pStyle w:val="NumberLevel2"/>
        <w:numPr>
          <w:ilvl w:val="1"/>
          <w:numId w:val="5"/>
        </w:numPr>
        <w:tabs>
          <w:tab w:val="num" w:pos="709"/>
        </w:tabs>
        <w:ind w:left="709" w:hanging="709"/>
        <w:rPr>
          <w:lang w:val="en-AU"/>
        </w:rPr>
      </w:pPr>
      <w:r>
        <w:rPr>
          <w:lang w:val="en-AU"/>
        </w:rPr>
        <w:t xml:space="preserve">PB identified shortcomings in </w:t>
      </w:r>
      <w:r w:rsidR="00151356">
        <w:rPr>
          <w:lang w:val="en-AU"/>
        </w:rPr>
        <w:t xml:space="preserve">the </w:t>
      </w:r>
      <w:r>
        <w:rPr>
          <w:lang w:val="en-AU"/>
        </w:rPr>
        <w:t xml:space="preserve">forecasts of reliability performance </w:t>
      </w:r>
      <w:r w:rsidR="004930C6">
        <w:rPr>
          <w:lang w:val="en-AU"/>
        </w:rPr>
        <w:t>that underl</w:t>
      </w:r>
      <w:r w:rsidR="00151356">
        <w:rPr>
          <w:lang w:val="en-AU"/>
        </w:rPr>
        <w:t>a</w:t>
      </w:r>
      <w:r w:rsidR="004930C6">
        <w:rPr>
          <w:lang w:val="en-AU"/>
        </w:rPr>
        <w:t xml:space="preserve">y the proposed </w:t>
      </w:r>
      <w:r w:rsidR="00A7551A">
        <w:rPr>
          <w:lang w:val="en-AU"/>
        </w:rPr>
        <w:t>capex</w:t>
      </w:r>
      <w:r w:rsidR="004930C6">
        <w:rPr>
          <w:lang w:val="en-AU"/>
        </w:rPr>
        <w:t xml:space="preserve">. </w:t>
      </w:r>
      <w:r w:rsidR="00A94219">
        <w:rPr>
          <w:lang w:val="en-AU"/>
        </w:rPr>
        <w:t>PWC</w:t>
      </w:r>
      <w:r w:rsidR="00AF25B5">
        <w:rPr>
          <w:lang w:val="en-AU"/>
        </w:rPr>
        <w:t xml:space="preserve"> Networks</w:t>
      </w:r>
      <w:r w:rsidR="00A94219">
        <w:rPr>
          <w:lang w:val="en-AU"/>
        </w:rPr>
        <w:t xml:space="preserve">’ </w:t>
      </w:r>
      <w:r w:rsidR="004930C6">
        <w:rPr>
          <w:lang w:val="en-AU"/>
        </w:rPr>
        <w:t xml:space="preserve">performance </w:t>
      </w:r>
      <w:r w:rsidR="001E3D81" w:rsidRPr="001F16A6">
        <w:rPr>
          <w:lang w:val="en-AU"/>
        </w:rPr>
        <w:t xml:space="preserve">trend </w:t>
      </w:r>
      <w:r w:rsidR="00A94219">
        <w:rPr>
          <w:lang w:val="en-AU"/>
        </w:rPr>
        <w:t>was</w:t>
      </w:r>
      <w:r w:rsidR="001E3D81" w:rsidRPr="001F16A6">
        <w:rPr>
          <w:lang w:val="en-AU"/>
        </w:rPr>
        <w:t xml:space="preserve"> based on a trend line fit to a few data points and with a low correlation coefficient, indicating that the</w:t>
      </w:r>
      <w:r w:rsidR="004930C6">
        <w:rPr>
          <w:lang w:val="en-AU"/>
        </w:rPr>
        <w:t xml:space="preserve"> fitted trend line </w:t>
      </w:r>
      <w:r w:rsidR="00A94219">
        <w:rPr>
          <w:lang w:val="en-AU"/>
        </w:rPr>
        <w:t>was</w:t>
      </w:r>
      <w:r w:rsidR="004930C6">
        <w:rPr>
          <w:lang w:val="en-AU"/>
        </w:rPr>
        <w:t xml:space="preserve"> not valid and, particularly when compared to 2012-13 actual performance, appear</w:t>
      </w:r>
      <w:r w:rsidR="00A94219">
        <w:rPr>
          <w:lang w:val="en-AU"/>
        </w:rPr>
        <w:t>ed</w:t>
      </w:r>
      <w:r w:rsidR="004930C6">
        <w:rPr>
          <w:lang w:val="en-AU"/>
        </w:rPr>
        <w:t xml:space="preserve"> to understate current performance.</w:t>
      </w:r>
    </w:p>
    <w:p w14:paraId="11F250FF" w14:textId="423AAE39" w:rsidR="00A94219" w:rsidRPr="00A94219" w:rsidRDefault="00A94219">
      <w:pPr>
        <w:pStyle w:val="NumberLevel2"/>
        <w:numPr>
          <w:ilvl w:val="1"/>
          <w:numId w:val="5"/>
        </w:numPr>
        <w:tabs>
          <w:tab w:val="num" w:pos="709"/>
        </w:tabs>
        <w:ind w:left="709" w:hanging="709"/>
        <w:rPr>
          <w:lang w:val="en-AU"/>
        </w:rPr>
      </w:pPr>
      <w:r w:rsidRPr="00A94219">
        <w:rPr>
          <w:lang w:val="en-AU"/>
        </w:rPr>
        <w:t xml:space="preserve">PB </w:t>
      </w:r>
      <w:r w:rsidRPr="008E229D">
        <w:rPr>
          <w:lang w:val="en-AU"/>
        </w:rPr>
        <w:t>recommend</w:t>
      </w:r>
      <w:r w:rsidRPr="00A94219">
        <w:rPr>
          <w:lang w:val="en-AU"/>
        </w:rPr>
        <w:t xml:space="preserve">ed </w:t>
      </w:r>
      <w:r w:rsidRPr="008E229D">
        <w:rPr>
          <w:lang w:val="en-AU"/>
        </w:rPr>
        <w:t>the use of averages to establish current</w:t>
      </w:r>
      <w:r w:rsidRPr="00A94219">
        <w:rPr>
          <w:lang w:val="en-AU"/>
        </w:rPr>
        <w:t xml:space="preserve"> </w:t>
      </w:r>
      <w:r w:rsidRPr="008E229D">
        <w:rPr>
          <w:lang w:val="en-AU"/>
        </w:rPr>
        <w:t>performance</w:t>
      </w:r>
      <w:r>
        <w:rPr>
          <w:lang w:val="en-AU"/>
        </w:rPr>
        <w:t xml:space="preserve"> </w:t>
      </w:r>
      <w:r w:rsidRPr="00A94219">
        <w:rPr>
          <w:lang w:val="en-AU"/>
        </w:rPr>
        <w:t xml:space="preserve">and undertook analysis on each </w:t>
      </w:r>
      <w:r w:rsidRPr="008E229D">
        <w:rPr>
          <w:lang w:val="en-AU"/>
        </w:rPr>
        <w:t>feeder type and the gap to the</w:t>
      </w:r>
      <w:r w:rsidRPr="00A94219">
        <w:rPr>
          <w:lang w:val="en-AU"/>
        </w:rPr>
        <w:t xml:space="preserve"> </w:t>
      </w:r>
      <w:r w:rsidRPr="008E229D">
        <w:rPr>
          <w:lang w:val="en-AU"/>
        </w:rPr>
        <w:t>targets for SAIDI and SAIFI respectively</w:t>
      </w:r>
      <w:r>
        <w:rPr>
          <w:lang w:val="en-AU"/>
        </w:rPr>
        <w:t>.</w:t>
      </w:r>
    </w:p>
    <w:p w14:paraId="3DA28236" w14:textId="0CC1F219" w:rsidR="00A94219" w:rsidRDefault="00A94219">
      <w:pPr>
        <w:pStyle w:val="NumberLevel2"/>
        <w:numPr>
          <w:ilvl w:val="1"/>
          <w:numId w:val="5"/>
        </w:numPr>
        <w:tabs>
          <w:tab w:val="num" w:pos="709"/>
        </w:tabs>
        <w:ind w:left="709" w:hanging="709"/>
        <w:rPr>
          <w:lang w:val="en-AU"/>
        </w:rPr>
      </w:pPr>
      <w:r w:rsidRPr="00A94219">
        <w:rPr>
          <w:lang w:val="en-AU"/>
        </w:rPr>
        <w:t xml:space="preserve">PB considered </w:t>
      </w:r>
      <w:r>
        <w:rPr>
          <w:lang w:val="en-AU"/>
        </w:rPr>
        <w:t xml:space="preserve">PWC </w:t>
      </w:r>
      <w:r w:rsidR="009E01BF">
        <w:rPr>
          <w:lang w:val="en-AU"/>
        </w:rPr>
        <w:t xml:space="preserve">Networks’ </w:t>
      </w:r>
      <w:r>
        <w:rPr>
          <w:lang w:val="en-AU"/>
        </w:rPr>
        <w:t xml:space="preserve">analysis of the value to </w:t>
      </w:r>
      <w:r w:rsidRPr="008E229D">
        <w:rPr>
          <w:lang w:val="en-AU"/>
        </w:rPr>
        <w:t>consumers of reliability improvements</w:t>
      </w:r>
      <w:r>
        <w:rPr>
          <w:lang w:val="en-AU"/>
        </w:rPr>
        <w:t xml:space="preserve">. </w:t>
      </w:r>
      <w:r w:rsidRPr="008E229D">
        <w:rPr>
          <w:lang w:val="en-AU"/>
        </w:rPr>
        <w:t xml:space="preserve">PB </w:t>
      </w:r>
      <w:r>
        <w:rPr>
          <w:lang w:val="en-AU"/>
        </w:rPr>
        <w:t xml:space="preserve">also </w:t>
      </w:r>
      <w:r w:rsidRPr="008E229D">
        <w:rPr>
          <w:lang w:val="en-AU"/>
        </w:rPr>
        <w:t xml:space="preserve">compared the </w:t>
      </w:r>
      <w:r w:rsidR="00A7551A" w:rsidRPr="008E229D">
        <w:rPr>
          <w:lang w:val="en-AU"/>
        </w:rPr>
        <w:t>$</w:t>
      </w:r>
      <w:r w:rsidR="00A7551A">
        <w:rPr>
          <w:lang w:val="en-AU"/>
        </w:rPr>
        <w:t> </w:t>
      </w:r>
      <w:r w:rsidR="00A7551A" w:rsidRPr="008E229D">
        <w:rPr>
          <w:lang w:val="en-AU"/>
        </w:rPr>
        <w:t>per</w:t>
      </w:r>
      <w:r w:rsidR="00A7551A">
        <w:rPr>
          <w:lang w:val="en-AU"/>
        </w:rPr>
        <w:t> </w:t>
      </w:r>
      <w:r w:rsidRPr="008E229D">
        <w:rPr>
          <w:lang w:val="en-AU"/>
        </w:rPr>
        <w:t xml:space="preserve">SAIDI minute saved and the </w:t>
      </w:r>
      <w:r w:rsidR="00A7551A" w:rsidRPr="008E229D">
        <w:rPr>
          <w:lang w:val="en-AU"/>
        </w:rPr>
        <w:t>$</w:t>
      </w:r>
      <w:r w:rsidR="00A7551A">
        <w:rPr>
          <w:lang w:val="en-AU"/>
        </w:rPr>
        <w:t> </w:t>
      </w:r>
      <w:r w:rsidR="00A7551A" w:rsidRPr="008E229D">
        <w:rPr>
          <w:lang w:val="en-AU"/>
        </w:rPr>
        <w:t>per</w:t>
      </w:r>
      <w:r w:rsidR="00A7551A">
        <w:rPr>
          <w:lang w:val="en-AU"/>
        </w:rPr>
        <w:t> </w:t>
      </w:r>
      <w:r w:rsidRPr="008E229D">
        <w:rPr>
          <w:lang w:val="en-AU"/>
        </w:rPr>
        <w:t>SAIFI</w:t>
      </w:r>
      <w:r w:rsidRPr="00A94219">
        <w:rPr>
          <w:lang w:val="en-AU"/>
        </w:rPr>
        <w:t xml:space="preserve"> </w:t>
      </w:r>
      <w:r w:rsidRPr="008E229D">
        <w:rPr>
          <w:lang w:val="en-AU"/>
        </w:rPr>
        <w:t xml:space="preserve">interruption avoided using its knowledge of other </w:t>
      </w:r>
      <w:r w:rsidR="00A7551A">
        <w:rPr>
          <w:lang w:val="en-AU"/>
        </w:rPr>
        <w:t>DNSPs’</w:t>
      </w:r>
      <w:r w:rsidR="00A7551A" w:rsidRPr="008E229D">
        <w:rPr>
          <w:lang w:val="en-AU"/>
        </w:rPr>
        <w:t xml:space="preserve"> </w:t>
      </w:r>
      <w:r w:rsidRPr="008E229D">
        <w:rPr>
          <w:lang w:val="en-AU"/>
        </w:rPr>
        <w:t>improvement programs and consider</w:t>
      </w:r>
      <w:r w:rsidR="00E22790">
        <w:rPr>
          <w:lang w:val="en-AU"/>
        </w:rPr>
        <w:t>ed</w:t>
      </w:r>
      <w:r w:rsidRPr="008E229D">
        <w:rPr>
          <w:lang w:val="en-AU"/>
        </w:rPr>
        <w:t xml:space="preserve"> that the</w:t>
      </w:r>
      <w:r w:rsidRPr="00A94219">
        <w:rPr>
          <w:lang w:val="en-AU"/>
        </w:rPr>
        <w:t xml:space="preserve"> </w:t>
      </w:r>
      <w:r w:rsidRPr="008E229D">
        <w:rPr>
          <w:lang w:val="en-AU"/>
        </w:rPr>
        <w:t xml:space="preserve">values proposed by </w:t>
      </w:r>
      <w:r w:rsidR="002165F7">
        <w:rPr>
          <w:lang w:val="en-AU"/>
        </w:rPr>
        <w:t>PWC Networks</w:t>
      </w:r>
      <w:r w:rsidRPr="008E229D">
        <w:rPr>
          <w:lang w:val="en-AU"/>
        </w:rPr>
        <w:t xml:space="preserve"> </w:t>
      </w:r>
      <w:r w:rsidR="009E01BF">
        <w:rPr>
          <w:lang w:val="en-AU"/>
        </w:rPr>
        <w:t>were</w:t>
      </w:r>
      <w:r w:rsidRPr="008E229D">
        <w:rPr>
          <w:lang w:val="en-AU"/>
        </w:rPr>
        <w:t xml:space="preserve"> not unreasonable</w:t>
      </w:r>
      <w:r w:rsidRPr="00A94219">
        <w:rPr>
          <w:rFonts w:cs="Arial"/>
          <w:sz w:val="20"/>
          <w:lang w:val="en-AU" w:eastAsia="en-AU"/>
        </w:rPr>
        <w:t>.</w:t>
      </w:r>
      <w:r w:rsidRPr="00A94219">
        <w:rPr>
          <w:lang w:val="en-AU"/>
        </w:rPr>
        <w:t xml:space="preserve"> </w:t>
      </w:r>
    </w:p>
    <w:p w14:paraId="65A63CA1" w14:textId="498980BC" w:rsidR="00FE6468" w:rsidRPr="00FE6468" w:rsidRDefault="009E01BF" w:rsidP="00FE6468">
      <w:pPr>
        <w:pStyle w:val="NumberLevel2"/>
        <w:numPr>
          <w:ilvl w:val="1"/>
          <w:numId w:val="5"/>
        </w:numPr>
        <w:tabs>
          <w:tab w:val="num" w:pos="709"/>
        </w:tabs>
        <w:ind w:left="709" w:hanging="709"/>
        <w:rPr>
          <w:lang w:val="en-AU"/>
        </w:rPr>
      </w:pPr>
      <w:r>
        <w:rPr>
          <w:lang w:val="en-AU"/>
        </w:rPr>
        <w:t>Based</w:t>
      </w:r>
      <w:r w:rsidR="00AF25B5">
        <w:rPr>
          <w:lang w:val="en-AU"/>
        </w:rPr>
        <w:t xml:space="preserve"> on</w:t>
      </w:r>
      <w:r>
        <w:rPr>
          <w:lang w:val="en-AU"/>
        </w:rPr>
        <w:t xml:space="preserve"> its analysis of PWC Networks’ actual performance against </w:t>
      </w:r>
      <w:r w:rsidR="00AF25B5">
        <w:rPr>
          <w:lang w:val="en-AU"/>
        </w:rPr>
        <w:t>the ESS</w:t>
      </w:r>
      <w:r>
        <w:rPr>
          <w:lang w:val="en-AU"/>
        </w:rPr>
        <w:t xml:space="preserve"> targets, PB recommended a</w:t>
      </w:r>
      <w:r w:rsidR="00AF25B5">
        <w:rPr>
          <w:lang w:val="en-AU"/>
        </w:rPr>
        <w:t xml:space="preserve"> further reduction </w:t>
      </w:r>
      <w:r>
        <w:rPr>
          <w:lang w:val="en-AU"/>
        </w:rPr>
        <w:t xml:space="preserve">to capex for the feeder upgrade program. </w:t>
      </w:r>
      <w:r w:rsidR="00E57219">
        <w:rPr>
          <w:lang w:val="en-AU"/>
        </w:rPr>
        <w:t>However, as the Commission was unable to provide PWC Networks with an opportunity to comment on PB’s analysis due to time constraints</w:t>
      </w:r>
      <w:r w:rsidR="00AF25B5">
        <w:rPr>
          <w:lang w:val="en-AU"/>
        </w:rPr>
        <w:t>, t</w:t>
      </w:r>
      <w:r w:rsidR="00E57219">
        <w:rPr>
          <w:lang w:val="en-AU"/>
        </w:rPr>
        <w:t xml:space="preserve">he Commission has maintained reliability capex at the level included in the Draft Determination. </w:t>
      </w:r>
    </w:p>
    <w:p w14:paraId="6B01C2D5" w14:textId="39F682BE" w:rsidR="005469F0" w:rsidRDefault="005469F0" w:rsidP="00EA53A3">
      <w:pPr>
        <w:pStyle w:val="UtilComHeading3"/>
        <w:rPr>
          <w:lang w:val="en-AU"/>
        </w:rPr>
      </w:pPr>
      <w:r>
        <w:rPr>
          <w:lang w:val="en-AU"/>
        </w:rPr>
        <w:t xml:space="preserve">Real </w:t>
      </w:r>
      <w:r w:rsidR="001C5A9B">
        <w:rPr>
          <w:lang w:val="en-AU"/>
        </w:rPr>
        <w:t>Cost E</w:t>
      </w:r>
      <w:r>
        <w:rPr>
          <w:lang w:val="en-AU"/>
        </w:rPr>
        <w:t>scalators</w:t>
      </w:r>
    </w:p>
    <w:p w14:paraId="3D9C4A62" w14:textId="5A2A747E" w:rsidR="002D635A" w:rsidRDefault="005469F0" w:rsidP="00F5565F">
      <w:pPr>
        <w:pStyle w:val="NumberLevel2"/>
        <w:numPr>
          <w:ilvl w:val="1"/>
          <w:numId w:val="5"/>
        </w:numPr>
        <w:tabs>
          <w:tab w:val="num" w:pos="709"/>
        </w:tabs>
        <w:ind w:left="709" w:hanging="709"/>
        <w:rPr>
          <w:lang w:val="en-AU"/>
        </w:rPr>
      </w:pPr>
      <w:r>
        <w:rPr>
          <w:lang w:val="en-AU"/>
        </w:rPr>
        <w:t>The Commission note</w:t>
      </w:r>
      <w:r w:rsidR="00E22790">
        <w:rPr>
          <w:lang w:val="en-AU"/>
        </w:rPr>
        <w:t>s</w:t>
      </w:r>
      <w:r>
        <w:rPr>
          <w:lang w:val="en-AU"/>
        </w:rPr>
        <w:t xml:space="preserve"> the concerns raised by the NTMEU and has reviewed its acceptance of the real cost escalators submitted by PWC Networks. </w:t>
      </w:r>
    </w:p>
    <w:p w14:paraId="2FDE65BF" w14:textId="00318051" w:rsidR="002D635A" w:rsidRDefault="00F5565F" w:rsidP="00F5565F">
      <w:pPr>
        <w:pStyle w:val="NumberLevel2"/>
        <w:numPr>
          <w:ilvl w:val="1"/>
          <w:numId w:val="5"/>
        </w:numPr>
        <w:tabs>
          <w:tab w:val="num" w:pos="709"/>
        </w:tabs>
        <w:ind w:left="709" w:hanging="709"/>
        <w:rPr>
          <w:lang w:val="en-AU"/>
        </w:rPr>
      </w:pPr>
      <w:r>
        <w:rPr>
          <w:lang w:val="en-AU"/>
        </w:rPr>
        <w:t xml:space="preserve">The Commission confirms its decision </w:t>
      </w:r>
      <w:r w:rsidR="00BA28F2">
        <w:rPr>
          <w:lang w:val="en-AU"/>
        </w:rPr>
        <w:t xml:space="preserve">in the Draft Determination </w:t>
      </w:r>
      <w:r>
        <w:rPr>
          <w:lang w:val="en-AU"/>
        </w:rPr>
        <w:t>to use the material real cost escala</w:t>
      </w:r>
      <w:r w:rsidR="002D635A">
        <w:rPr>
          <w:lang w:val="en-AU"/>
        </w:rPr>
        <w:t xml:space="preserve">tors submitted by PWC Networks. The Commission is satisfied that the modelling undertaken to derive aggregated material cost escalators for PWC Networks standard asset classes reflects reasonable estimates in the movement of key cost drivers </w:t>
      </w:r>
      <w:r w:rsidR="00E22790">
        <w:rPr>
          <w:lang w:val="en-AU"/>
        </w:rPr>
        <w:t xml:space="preserve">which includes </w:t>
      </w:r>
      <w:r w:rsidR="002D635A">
        <w:rPr>
          <w:lang w:val="en-AU"/>
        </w:rPr>
        <w:t xml:space="preserve">input commodity prices, construction costs, relevant exchange rates and forecast CPI. </w:t>
      </w:r>
    </w:p>
    <w:p w14:paraId="01F2298E" w14:textId="6161FC13" w:rsidR="002463EA" w:rsidRDefault="002463EA" w:rsidP="002463EA">
      <w:pPr>
        <w:pStyle w:val="NumberLevel2"/>
        <w:numPr>
          <w:ilvl w:val="1"/>
          <w:numId w:val="5"/>
        </w:numPr>
        <w:tabs>
          <w:tab w:val="num" w:pos="709"/>
        </w:tabs>
        <w:ind w:left="709" w:hanging="709"/>
        <w:rPr>
          <w:lang w:val="en-AU"/>
        </w:rPr>
      </w:pPr>
      <w:r w:rsidRPr="002463EA">
        <w:rPr>
          <w:lang w:val="en-AU"/>
        </w:rPr>
        <w:t>With respect to t</w:t>
      </w:r>
      <w:r>
        <w:rPr>
          <w:lang w:val="en-AU"/>
        </w:rPr>
        <w:t xml:space="preserve">he real labour cost escalators, PWC Networks has submitted the escalators recommended by its consultants for </w:t>
      </w:r>
      <w:r w:rsidR="00E22790">
        <w:rPr>
          <w:lang w:val="en-AU"/>
        </w:rPr>
        <w:t xml:space="preserve">the </w:t>
      </w:r>
      <w:r>
        <w:rPr>
          <w:lang w:val="en-AU"/>
        </w:rPr>
        <w:t>2015-16 to 2018-19</w:t>
      </w:r>
      <w:r w:rsidR="00E22790">
        <w:rPr>
          <w:lang w:val="en-AU"/>
        </w:rPr>
        <w:t xml:space="preserve"> regulatory years,</w:t>
      </w:r>
      <w:r>
        <w:rPr>
          <w:lang w:val="en-AU"/>
        </w:rPr>
        <w:t xml:space="preserve"> but has substituted its own values for internal labours costs in </w:t>
      </w:r>
      <w:r w:rsidR="00BA28F2">
        <w:rPr>
          <w:lang w:val="en-AU"/>
        </w:rPr>
        <w:t xml:space="preserve">the </w:t>
      </w:r>
      <w:r>
        <w:rPr>
          <w:lang w:val="en-AU"/>
        </w:rPr>
        <w:t xml:space="preserve">2013-14 and 2014-15 </w:t>
      </w:r>
      <w:r w:rsidR="00BA28F2">
        <w:rPr>
          <w:lang w:val="en-AU"/>
        </w:rPr>
        <w:t xml:space="preserve">regulatory years </w:t>
      </w:r>
      <w:r>
        <w:rPr>
          <w:lang w:val="en-AU"/>
        </w:rPr>
        <w:t xml:space="preserve">based on </w:t>
      </w:r>
      <w:r w:rsidR="00BA28F2">
        <w:rPr>
          <w:lang w:val="en-AU"/>
        </w:rPr>
        <w:t xml:space="preserve">the PWC </w:t>
      </w:r>
      <w:r>
        <w:rPr>
          <w:lang w:val="en-AU"/>
        </w:rPr>
        <w:t>enterprise bargaining agreement.</w:t>
      </w:r>
    </w:p>
    <w:p w14:paraId="4230E5E8" w14:textId="7800DC03" w:rsidR="00F27EE5" w:rsidRPr="002463EA" w:rsidRDefault="00E22790" w:rsidP="002463EA">
      <w:pPr>
        <w:pStyle w:val="NumberLevel2"/>
        <w:numPr>
          <w:ilvl w:val="1"/>
          <w:numId w:val="5"/>
        </w:numPr>
        <w:tabs>
          <w:tab w:val="num" w:pos="709"/>
        </w:tabs>
        <w:ind w:left="709" w:hanging="709"/>
        <w:rPr>
          <w:lang w:val="en-AU"/>
        </w:rPr>
      </w:pPr>
      <w:r>
        <w:rPr>
          <w:lang w:val="en-AU"/>
        </w:rPr>
        <w:t xml:space="preserve">PWC Networks </w:t>
      </w:r>
      <w:r w:rsidR="00105316" w:rsidRPr="002463EA">
        <w:rPr>
          <w:lang w:val="en-AU"/>
        </w:rPr>
        <w:t xml:space="preserve">used the nominal wage increase and the associated uplift in employee provisions </w:t>
      </w:r>
      <w:r w:rsidR="002463EA">
        <w:rPr>
          <w:lang w:val="en-AU"/>
        </w:rPr>
        <w:t xml:space="preserve">contained in </w:t>
      </w:r>
      <w:r w:rsidR="00BA28F2">
        <w:rPr>
          <w:lang w:val="en-AU"/>
        </w:rPr>
        <w:t xml:space="preserve">the PWC </w:t>
      </w:r>
      <w:r w:rsidR="002463EA">
        <w:rPr>
          <w:lang w:val="en-AU"/>
        </w:rPr>
        <w:t xml:space="preserve">enterprise bargaining agreement </w:t>
      </w:r>
      <w:r w:rsidR="00105316" w:rsidRPr="002463EA">
        <w:rPr>
          <w:lang w:val="en-AU"/>
        </w:rPr>
        <w:t>in calculating the real labour cost escalator</w:t>
      </w:r>
      <w:r w:rsidR="002463EA" w:rsidRPr="002463EA">
        <w:rPr>
          <w:lang w:val="en-AU"/>
        </w:rPr>
        <w:t>, taking no</w:t>
      </w:r>
      <w:r w:rsidR="00105316" w:rsidRPr="002463EA">
        <w:rPr>
          <w:lang w:val="en-AU"/>
        </w:rPr>
        <w:t xml:space="preserve"> account of productivity and efficiency impro</w:t>
      </w:r>
      <w:r w:rsidR="002463EA" w:rsidRPr="002463EA">
        <w:rPr>
          <w:lang w:val="en-AU"/>
        </w:rPr>
        <w:t xml:space="preserve">vements. As such, the Commission </w:t>
      </w:r>
      <w:r w:rsidR="00F27EE5" w:rsidRPr="002463EA">
        <w:rPr>
          <w:lang w:val="en-AU"/>
        </w:rPr>
        <w:t>consider</w:t>
      </w:r>
      <w:r w:rsidR="002463EA" w:rsidRPr="002463EA">
        <w:rPr>
          <w:lang w:val="en-AU"/>
        </w:rPr>
        <w:t>s</w:t>
      </w:r>
      <w:r w:rsidR="00F27EE5" w:rsidRPr="002463EA">
        <w:rPr>
          <w:lang w:val="en-AU"/>
        </w:rPr>
        <w:t xml:space="preserve"> </w:t>
      </w:r>
      <w:r w:rsidR="00BA28F2">
        <w:rPr>
          <w:lang w:val="en-AU"/>
        </w:rPr>
        <w:t>this expenditure</w:t>
      </w:r>
      <w:r w:rsidR="00BA28F2" w:rsidRPr="002463EA">
        <w:rPr>
          <w:lang w:val="en-AU"/>
        </w:rPr>
        <w:t xml:space="preserve"> </w:t>
      </w:r>
      <w:r w:rsidR="002463EA" w:rsidRPr="002463EA">
        <w:rPr>
          <w:lang w:val="en-AU"/>
        </w:rPr>
        <w:t xml:space="preserve">has </w:t>
      </w:r>
      <w:r w:rsidR="00F27EE5" w:rsidRPr="002463EA">
        <w:rPr>
          <w:lang w:val="en-AU"/>
        </w:rPr>
        <w:t xml:space="preserve">not been demonstrated to be efficient by </w:t>
      </w:r>
      <w:r w:rsidR="002463EA" w:rsidRPr="002463EA">
        <w:rPr>
          <w:lang w:val="en-AU"/>
        </w:rPr>
        <w:t xml:space="preserve">PWC Networks. </w:t>
      </w:r>
    </w:p>
    <w:p w14:paraId="68F0CD66" w14:textId="38873170" w:rsidR="00F27EE5" w:rsidRPr="00F27EE5" w:rsidRDefault="002463EA" w:rsidP="002463EA">
      <w:pPr>
        <w:pStyle w:val="NumberLevel2"/>
        <w:numPr>
          <w:ilvl w:val="1"/>
          <w:numId w:val="5"/>
        </w:numPr>
        <w:tabs>
          <w:tab w:val="num" w:pos="709"/>
        </w:tabs>
        <w:ind w:left="709" w:hanging="709"/>
        <w:rPr>
          <w:lang w:val="en-AU"/>
        </w:rPr>
      </w:pPr>
      <w:r>
        <w:rPr>
          <w:lang w:val="en-AU"/>
        </w:rPr>
        <w:t xml:space="preserve">The Commission has decided to apply the real labour cost escalators for </w:t>
      </w:r>
      <w:r w:rsidR="00BA28F2">
        <w:rPr>
          <w:lang w:val="en-AU"/>
        </w:rPr>
        <w:t xml:space="preserve">the </w:t>
      </w:r>
      <w:r w:rsidRPr="00F5565F">
        <w:rPr>
          <w:lang w:val="en-AU"/>
        </w:rPr>
        <w:t>2014-19 regulatory control period as recommended by consultants engaged by PWC Networks</w:t>
      </w:r>
      <w:r>
        <w:rPr>
          <w:lang w:val="en-AU"/>
        </w:rPr>
        <w:t>, rather than the PWC Networks</w:t>
      </w:r>
      <w:r w:rsidR="00E22790">
        <w:rPr>
          <w:lang w:val="en-AU"/>
        </w:rPr>
        <w:t>’ proposed</w:t>
      </w:r>
      <w:r>
        <w:rPr>
          <w:lang w:val="en-AU"/>
        </w:rPr>
        <w:t xml:space="preserve"> real labour cost escalators which included an adjustment for the PWC </w:t>
      </w:r>
      <w:r w:rsidR="00E22790">
        <w:rPr>
          <w:lang w:val="en-AU"/>
        </w:rPr>
        <w:t xml:space="preserve">enterprise bargaining agreement </w:t>
      </w:r>
      <w:r>
        <w:rPr>
          <w:lang w:val="en-AU"/>
        </w:rPr>
        <w:t>in</w:t>
      </w:r>
      <w:r w:rsidR="00E22790">
        <w:rPr>
          <w:lang w:val="en-AU"/>
        </w:rPr>
        <w:t xml:space="preserve"> the</w:t>
      </w:r>
      <w:r>
        <w:rPr>
          <w:lang w:val="en-AU"/>
        </w:rPr>
        <w:t xml:space="preserve"> 2013-14 and 2014-15</w:t>
      </w:r>
      <w:r w:rsidR="00E22790">
        <w:rPr>
          <w:lang w:val="en-AU"/>
        </w:rPr>
        <w:t xml:space="preserve"> regulatory years</w:t>
      </w:r>
      <w:r>
        <w:rPr>
          <w:lang w:val="en-AU"/>
        </w:rPr>
        <w:t>.</w:t>
      </w:r>
    </w:p>
    <w:p w14:paraId="62712607" w14:textId="16C96FA7" w:rsidR="00A74AFB" w:rsidRPr="00BB4EB2" w:rsidRDefault="00A74AFB" w:rsidP="00A74AFB">
      <w:pPr>
        <w:pStyle w:val="UtilComHeading2"/>
      </w:pPr>
      <w:bookmarkStart w:id="198" w:name="_Toc385241521"/>
      <w:bookmarkStart w:id="199" w:name="_Toc386013074"/>
      <w:r w:rsidRPr="00BB4EB2">
        <w:t xml:space="preserve">Commission’s </w:t>
      </w:r>
      <w:r w:rsidR="001C5A9B">
        <w:t>F</w:t>
      </w:r>
      <w:r w:rsidR="001C5A9B" w:rsidRPr="00BB4EB2">
        <w:t xml:space="preserve">inal </w:t>
      </w:r>
      <w:bookmarkEnd w:id="198"/>
      <w:r w:rsidR="001C5A9B">
        <w:t>D</w:t>
      </w:r>
      <w:r w:rsidR="001C5A9B" w:rsidRPr="00BB4EB2">
        <w:t>ecision</w:t>
      </w:r>
      <w:bookmarkEnd w:id="199"/>
    </w:p>
    <w:p w14:paraId="18AD71AC" w14:textId="48CD2592" w:rsidR="00BA28F2" w:rsidRDefault="00B242D3" w:rsidP="00B242D3">
      <w:pPr>
        <w:pStyle w:val="NumberLevel2"/>
        <w:numPr>
          <w:ilvl w:val="1"/>
          <w:numId w:val="5"/>
        </w:numPr>
        <w:tabs>
          <w:tab w:val="num" w:pos="709"/>
        </w:tabs>
        <w:ind w:left="709" w:hanging="709"/>
        <w:rPr>
          <w:lang w:val="en-AU"/>
        </w:rPr>
      </w:pPr>
      <w:r>
        <w:rPr>
          <w:lang w:val="en-AU"/>
        </w:rPr>
        <w:t xml:space="preserve">The Commission </w:t>
      </w:r>
      <w:r w:rsidR="00BA28F2">
        <w:rPr>
          <w:lang w:val="en-AU"/>
        </w:rPr>
        <w:t xml:space="preserve">considers that </w:t>
      </w:r>
      <w:r>
        <w:rPr>
          <w:lang w:val="en-AU"/>
        </w:rPr>
        <w:t xml:space="preserve">PWC Networks’ revised capex </w:t>
      </w:r>
      <w:r w:rsidR="00BA28F2">
        <w:rPr>
          <w:lang w:val="en-AU"/>
        </w:rPr>
        <w:t xml:space="preserve">forecast requiring a total </w:t>
      </w:r>
      <w:r>
        <w:rPr>
          <w:lang w:val="en-AU"/>
        </w:rPr>
        <w:t xml:space="preserve">of </w:t>
      </w:r>
      <w:r w:rsidRPr="006B490F">
        <w:rPr>
          <w:lang w:val="en-AU"/>
        </w:rPr>
        <w:t>$</w:t>
      </w:r>
      <w:r>
        <w:rPr>
          <w:lang w:val="en-AU"/>
        </w:rPr>
        <w:t>292</w:t>
      </w:r>
      <w:r w:rsidRPr="006B490F">
        <w:rPr>
          <w:lang w:val="en-AU"/>
        </w:rPr>
        <w:t>.</w:t>
      </w:r>
      <w:r w:rsidR="00BA28F2">
        <w:rPr>
          <w:lang w:val="en-AU"/>
        </w:rPr>
        <w:t>5 </w:t>
      </w:r>
      <w:r w:rsidRPr="006B490F">
        <w:rPr>
          <w:lang w:val="en-AU"/>
        </w:rPr>
        <w:t xml:space="preserve">million ($2013-14) </w:t>
      </w:r>
      <w:r w:rsidR="00BA28F2">
        <w:rPr>
          <w:lang w:val="en-AU"/>
        </w:rPr>
        <w:t>does not</w:t>
      </w:r>
      <w:r>
        <w:rPr>
          <w:lang w:val="en-AU"/>
        </w:rPr>
        <w:t xml:space="preserve"> </w:t>
      </w:r>
      <w:r w:rsidRPr="00D5387C">
        <w:rPr>
          <w:lang w:val="en-AU"/>
        </w:rPr>
        <w:t xml:space="preserve">reasonably reflect the efficient capital investment required to be undertaken by PWC Networks in the </w:t>
      </w:r>
      <w:r>
        <w:rPr>
          <w:lang w:val="en-AU"/>
        </w:rPr>
        <w:t>2014-19</w:t>
      </w:r>
      <w:r w:rsidRPr="00D5387C">
        <w:rPr>
          <w:lang w:val="en-AU"/>
        </w:rPr>
        <w:t xml:space="preserve"> regulatory control period</w:t>
      </w:r>
      <w:r w:rsidR="00BA28F2">
        <w:rPr>
          <w:lang w:val="en-AU"/>
        </w:rPr>
        <w:t xml:space="preserve"> in order to maintain or extend network capacity that is commensurate with the commercial and regulatory risks involved</w:t>
      </w:r>
      <w:r>
        <w:rPr>
          <w:lang w:val="en-AU"/>
        </w:rPr>
        <w:t xml:space="preserve">. </w:t>
      </w:r>
    </w:p>
    <w:p w14:paraId="29CCBB34" w14:textId="67F92287" w:rsidR="00B242D3" w:rsidRPr="00BB353A" w:rsidRDefault="00BA28F2" w:rsidP="00B242D3">
      <w:pPr>
        <w:pStyle w:val="NumberLevel2"/>
        <w:numPr>
          <w:ilvl w:val="1"/>
          <w:numId w:val="5"/>
        </w:numPr>
        <w:tabs>
          <w:tab w:val="num" w:pos="709"/>
        </w:tabs>
        <w:ind w:left="709" w:hanging="709"/>
        <w:rPr>
          <w:lang w:val="en-AU"/>
        </w:rPr>
      </w:pPr>
      <w:r>
        <w:rPr>
          <w:lang w:val="en-AU"/>
        </w:rPr>
        <w:t>In addition</w:t>
      </w:r>
      <w:r w:rsidR="00B242D3">
        <w:rPr>
          <w:lang w:val="en-AU"/>
        </w:rPr>
        <w:t>, t</w:t>
      </w:r>
      <w:r w:rsidR="00B242D3" w:rsidRPr="00BB353A">
        <w:rPr>
          <w:lang w:val="en-AU"/>
        </w:rPr>
        <w:t xml:space="preserve">he </w:t>
      </w:r>
      <w:r w:rsidR="00B242D3">
        <w:rPr>
          <w:lang w:val="en-AU"/>
        </w:rPr>
        <w:t>Commission</w:t>
      </w:r>
      <w:r w:rsidR="00B242D3" w:rsidRPr="00BB353A">
        <w:rPr>
          <w:lang w:val="en-AU"/>
        </w:rPr>
        <w:t xml:space="preserve"> </w:t>
      </w:r>
      <w:r>
        <w:rPr>
          <w:lang w:val="en-AU"/>
        </w:rPr>
        <w:t>is</w:t>
      </w:r>
      <w:r w:rsidRPr="00BB353A">
        <w:rPr>
          <w:lang w:val="en-AU"/>
        </w:rPr>
        <w:t xml:space="preserve"> </w:t>
      </w:r>
      <w:r w:rsidR="00B242D3" w:rsidRPr="00BB353A">
        <w:rPr>
          <w:lang w:val="en-AU"/>
        </w:rPr>
        <w:t xml:space="preserve">not satisfied that </w:t>
      </w:r>
      <w:r w:rsidR="00B242D3">
        <w:rPr>
          <w:lang w:val="en-AU"/>
        </w:rPr>
        <w:t>PWC Networks’</w:t>
      </w:r>
      <w:r w:rsidR="00B242D3" w:rsidRPr="00BB353A">
        <w:rPr>
          <w:lang w:val="en-AU"/>
        </w:rPr>
        <w:t xml:space="preserve"> </w:t>
      </w:r>
      <w:r>
        <w:rPr>
          <w:lang w:val="en-AU"/>
        </w:rPr>
        <w:t xml:space="preserve">proposed </w:t>
      </w:r>
      <w:r w:rsidR="00B242D3" w:rsidRPr="00BB353A">
        <w:rPr>
          <w:lang w:val="en-AU"/>
        </w:rPr>
        <w:t>capex</w:t>
      </w:r>
      <w:r>
        <w:rPr>
          <w:lang w:val="en-AU"/>
        </w:rPr>
        <w:t xml:space="preserve"> forecast</w:t>
      </w:r>
      <w:r w:rsidR="00B242D3" w:rsidRPr="00BB353A">
        <w:rPr>
          <w:lang w:val="en-AU"/>
        </w:rPr>
        <w:t xml:space="preserve">, taking into account the </w:t>
      </w:r>
      <w:r>
        <w:rPr>
          <w:lang w:val="en-AU"/>
        </w:rPr>
        <w:t>capital expenditure</w:t>
      </w:r>
      <w:r w:rsidRPr="00BB353A">
        <w:rPr>
          <w:lang w:val="en-AU"/>
        </w:rPr>
        <w:t xml:space="preserve"> </w:t>
      </w:r>
      <w:r w:rsidR="00B242D3" w:rsidRPr="00BB353A">
        <w:rPr>
          <w:lang w:val="en-AU"/>
        </w:rPr>
        <w:t xml:space="preserve">factors, reasonably reflects the </w:t>
      </w:r>
      <w:r>
        <w:rPr>
          <w:lang w:val="en-AU"/>
        </w:rPr>
        <w:t>capital expenditure</w:t>
      </w:r>
      <w:r w:rsidRPr="00BB353A">
        <w:rPr>
          <w:lang w:val="en-AU"/>
        </w:rPr>
        <w:t xml:space="preserve"> </w:t>
      </w:r>
      <w:r w:rsidR="00B242D3" w:rsidRPr="00BB353A">
        <w:rPr>
          <w:lang w:val="en-AU"/>
        </w:rPr>
        <w:t>criteria in clause 6.5.7 of the</w:t>
      </w:r>
      <w:r w:rsidR="00B242D3">
        <w:rPr>
          <w:lang w:val="en-AU"/>
        </w:rPr>
        <w:t> </w:t>
      </w:r>
      <w:r w:rsidR="00B242D3" w:rsidRPr="00BB353A">
        <w:rPr>
          <w:lang w:val="en-AU"/>
        </w:rPr>
        <w:t xml:space="preserve">NER. </w:t>
      </w:r>
    </w:p>
    <w:p w14:paraId="2E367982" w14:textId="21BFE2C6" w:rsidR="00B242D3" w:rsidRPr="007877E4" w:rsidRDefault="00BA28F2" w:rsidP="00B242D3">
      <w:pPr>
        <w:pStyle w:val="NumberLevel2"/>
        <w:numPr>
          <w:ilvl w:val="1"/>
          <w:numId w:val="5"/>
        </w:numPr>
        <w:tabs>
          <w:tab w:val="num" w:pos="709"/>
        </w:tabs>
        <w:ind w:left="709" w:hanging="709"/>
        <w:rPr>
          <w:lang w:val="en-AU"/>
        </w:rPr>
      </w:pPr>
      <w:r>
        <w:rPr>
          <w:lang w:val="en-AU"/>
        </w:rPr>
        <w:t>As such, the Commission has decide</w:t>
      </w:r>
      <w:r w:rsidR="00FD5D58">
        <w:rPr>
          <w:lang w:val="en-AU"/>
        </w:rPr>
        <w:t>d</w:t>
      </w:r>
      <w:r>
        <w:rPr>
          <w:lang w:val="en-AU"/>
        </w:rPr>
        <w:t xml:space="preserve"> to substitute PWC Networks’ proposed capex forecast with its </w:t>
      </w:r>
      <w:r w:rsidR="00FD5D58">
        <w:rPr>
          <w:lang w:val="en-AU"/>
        </w:rPr>
        <w:t xml:space="preserve">own </w:t>
      </w:r>
      <w:r>
        <w:rPr>
          <w:lang w:val="en-AU"/>
        </w:rPr>
        <w:t xml:space="preserve">estimate of PWC Networks’ total required capital expenditure which takes into account </w:t>
      </w:r>
      <w:r w:rsidR="00B242D3">
        <w:rPr>
          <w:lang w:val="en-AU"/>
        </w:rPr>
        <w:t xml:space="preserve">the following </w:t>
      </w:r>
      <w:r w:rsidR="00B242D3" w:rsidRPr="005B6B13">
        <w:rPr>
          <w:lang w:val="en-AU"/>
        </w:rPr>
        <w:t>adjustments</w:t>
      </w:r>
      <w:r w:rsidR="00B242D3">
        <w:rPr>
          <w:rStyle w:val="FootnoteReference"/>
          <w:lang w:val="en-AU"/>
        </w:rPr>
        <w:footnoteReference w:id="55"/>
      </w:r>
      <w:r w:rsidR="00B242D3">
        <w:rPr>
          <w:lang w:val="en-AU"/>
        </w:rPr>
        <w:t>:</w:t>
      </w:r>
      <w:r w:rsidR="00E71B8C">
        <w:rPr>
          <w:lang w:val="en-AU"/>
        </w:rPr>
        <w:t xml:space="preserve"> </w:t>
      </w:r>
    </w:p>
    <w:p w14:paraId="7AE02BDE" w14:textId="39B11A88" w:rsidR="00B242D3" w:rsidRPr="007877E4" w:rsidRDefault="00B242D3" w:rsidP="008E229D">
      <w:pPr>
        <w:pStyle w:val="UtilComBulletText"/>
        <w:numPr>
          <w:ilvl w:val="0"/>
          <w:numId w:val="6"/>
        </w:numPr>
        <w:tabs>
          <w:tab w:val="clear" w:pos="964"/>
          <w:tab w:val="num" w:pos="1134"/>
        </w:tabs>
        <w:ind w:left="1134" w:hanging="425"/>
      </w:pPr>
      <w:r w:rsidRPr="007877E4">
        <w:t>a reduction of $8.</w:t>
      </w:r>
      <w:r w:rsidR="00F02FEE" w:rsidRPr="007877E4">
        <w:t>3</w:t>
      </w:r>
      <w:r w:rsidRPr="007877E4">
        <w:t xml:space="preserve"> million to the network user initiated capex forecast as the forecast has not been sufficiently substantiated</w:t>
      </w:r>
      <w:r w:rsidR="00164ED4">
        <w:t>;</w:t>
      </w:r>
    </w:p>
    <w:p w14:paraId="04FFD3F8" w14:textId="0AE99EC9" w:rsidR="00B242D3" w:rsidRPr="007877E4" w:rsidRDefault="00B242D3" w:rsidP="008E229D">
      <w:pPr>
        <w:pStyle w:val="UtilComBulletText"/>
        <w:numPr>
          <w:ilvl w:val="0"/>
          <w:numId w:val="6"/>
        </w:numPr>
        <w:tabs>
          <w:tab w:val="clear" w:pos="964"/>
          <w:tab w:val="num" w:pos="1134"/>
        </w:tabs>
        <w:ind w:left="1134" w:hanging="425"/>
      </w:pPr>
      <w:r w:rsidRPr="007877E4">
        <w:t>a</w:t>
      </w:r>
      <w:r w:rsidR="00F02FEE" w:rsidRPr="007877E4">
        <w:t>n</w:t>
      </w:r>
      <w:r w:rsidRPr="007877E4">
        <w:t xml:space="preserve"> </w:t>
      </w:r>
      <w:r w:rsidR="00F02FEE" w:rsidRPr="007877E4">
        <w:t>increase</w:t>
      </w:r>
      <w:r w:rsidRPr="007877E4">
        <w:t xml:space="preserve"> of $</w:t>
      </w:r>
      <w:r w:rsidR="008D23A6" w:rsidRPr="007877E4">
        <w:t>0.3</w:t>
      </w:r>
      <w:r w:rsidRPr="007877E4">
        <w:t xml:space="preserve"> million to the augmentation capex forecast </w:t>
      </w:r>
      <w:r w:rsidR="00F02FEE" w:rsidRPr="007877E4">
        <w:t>for timing adjustments</w:t>
      </w:r>
      <w:r w:rsidR="00FD5D58">
        <w:t>;</w:t>
      </w:r>
    </w:p>
    <w:p w14:paraId="65738F5B" w14:textId="07427C91" w:rsidR="00B242D3" w:rsidRPr="007877E4" w:rsidRDefault="00B242D3" w:rsidP="008E229D">
      <w:pPr>
        <w:pStyle w:val="UtilComBulletText"/>
        <w:numPr>
          <w:ilvl w:val="0"/>
          <w:numId w:val="6"/>
        </w:numPr>
        <w:tabs>
          <w:tab w:val="clear" w:pos="964"/>
          <w:tab w:val="num" w:pos="1134"/>
        </w:tabs>
        <w:ind w:left="1134" w:hanging="425"/>
      </w:pPr>
      <w:r w:rsidRPr="007877E4">
        <w:t>a reduction of $</w:t>
      </w:r>
      <w:r w:rsidR="00F02FEE" w:rsidRPr="007877E4">
        <w:t>7.4</w:t>
      </w:r>
      <w:r w:rsidRPr="007877E4">
        <w:t xml:space="preserve"> million to the asset replacement capex forecast </w:t>
      </w:r>
      <w:r w:rsidR="00FD5D58">
        <w:t xml:space="preserve">as </w:t>
      </w:r>
      <w:r w:rsidRPr="007877E4">
        <w:t xml:space="preserve">some components of work </w:t>
      </w:r>
      <w:r w:rsidR="00E22790">
        <w:t xml:space="preserve">which have </w:t>
      </w:r>
      <w:r w:rsidRPr="007877E4">
        <w:t xml:space="preserve">not </w:t>
      </w:r>
      <w:r w:rsidR="00E22790">
        <w:t xml:space="preserve">been </w:t>
      </w:r>
      <w:r w:rsidRPr="007877E4">
        <w:t>demonstrated to be prudent</w:t>
      </w:r>
      <w:r w:rsidR="00FD5D58">
        <w:t>;</w:t>
      </w:r>
      <w:r w:rsidR="00164ED4">
        <w:t>:</w:t>
      </w:r>
    </w:p>
    <w:p w14:paraId="1D4F9417" w14:textId="6DFF9C3E" w:rsidR="00B242D3" w:rsidRPr="007877E4" w:rsidRDefault="00B242D3" w:rsidP="008E229D">
      <w:pPr>
        <w:pStyle w:val="UtilComBulletText"/>
        <w:numPr>
          <w:ilvl w:val="0"/>
          <w:numId w:val="6"/>
        </w:numPr>
        <w:tabs>
          <w:tab w:val="clear" w:pos="964"/>
          <w:tab w:val="num" w:pos="1134"/>
        </w:tabs>
        <w:ind w:left="1134" w:hanging="425"/>
      </w:pPr>
      <w:r w:rsidRPr="007877E4">
        <w:t xml:space="preserve">a reduction </w:t>
      </w:r>
      <w:r w:rsidRPr="00164ED4">
        <w:t>of $</w:t>
      </w:r>
      <w:r w:rsidR="00176BC8" w:rsidRPr="00164ED4">
        <w:t>3</w:t>
      </w:r>
      <w:r w:rsidRPr="00164ED4">
        <w:t>.</w:t>
      </w:r>
      <w:r w:rsidR="00176BC8" w:rsidRPr="00164ED4">
        <w:t>2</w:t>
      </w:r>
      <w:r w:rsidRPr="007877E4">
        <w:t xml:space="preserve"> million to the capex forecast relating to reliability and quality of supply, as some components of work</w:t>
      </w:r>
      <w:r w:rsidR="00E22790">
        <w:t xml:space="preserve"> which have not been </w:t>
      </w:r>
      <w:r w:rsidRPr="007877E4">
        <w:t>demonstrated to be prudent</w:t>
      </w:r>
      <w:r w:rsidR="00164ED4">
        <w:t>; and</w:t>
      </w:r>
    </w:p>
    <w:p w14:paraId="10F0FDC4" w14:textId="77777777" w:rsidR="00176BC8" w:rsidRPr="007877E4" w:rsidRDefault="00176BC8" w:rsidP="008E229D">
      <w:pPr>
        <w:pStyle w:val="UtilComBulletText"/>
        <w:numPr>
          <w:ilvl w:val="0"/>
          <w:numId w:val="6"/>
        </w:numPr>
        <w:tabs>
          <w:tab w:val="clear" w:pos="964"/>
          <w:tab w:val="num" w:pos="1134"/>
        </w:tabs>
        <w:ind w:left="1134" w:hanging="425"/>
      </w:pPr>
      <w:r w:rsidRPr="007877E4">
        <w:t>a reduction of $0.1 million for adjustments to real cost escalation.</w:t>
      </w:r>
    </w:p>
    <w:p w14:paraId="01AC894E" w14:textId="4752F707" w:rsidR="00164ED4" w:rsidRDefault="00363469" w:rsidP="00363469">
      <w:pPr>
        <w:pStyle w:val="NumberLevel2"/>
        <w:numPr>
          <w:ilvl w:val="1"/>
          <w:numId w:val="5"/>
        </w:numPr>
        <w:tabs>
          <w:tab w:val="num" w:pos="709"/>
        </w:tabs>
        <w:ind w:left="709" w:hanging="709"/>
        <w:rPr>
          <w:lang w:val="en-AU"/>
        </w:rPr>
      </w:pPr>
      <w:r w:rsidRPr="00363469">
        <w:rPr>
          <w:lang w:val="en-AU"/>
        </w:rPr>
        <w:t xml:space="preserve">The </w:t>
      </w:r>
      <w:r>
        <w:rPr>
          <w:lang w:val="en-AU"/>
        </w:rPr>
        <w:t>Commission</w:t>
      </w:r>
      <w:r w:rsidRPr="00363469">
        <w:rPr>
          <w:lang w:val="en-AU"/>
        </w:rPr>
        <w:t xml:space="preserve"> considers these adjustments </w:t>
      </w:r>
      <w:r w:rsidR="00164ED4">
        <w:rPr>
          <w:lang w:val="en-AU"/>
        </w:rPr>
        <w:t>are</w:t>
      </w:r>
      <w:r w:rsidRPr="00363469">
        <w:rPr>
          <w:lang w:val="en-AU"/>
        </w:rPr>
        <w:t xml:space="preserve"> necessary to ensure </w:t>
      </w:r>
      <w:r>
        <w:rPr>
          <w:lang w:val="en-AU"/>
        </w:rPr>
        <w:t>PWC Network</w:t>
      </w:r>
      <w:r w:rsidRPr="00363469">
        <w:rPr>
          <w:lang w:val="en-AU"/>
        </w:rPr>
        <w:t>s</w:t>
      </w:r>
      <w:r>
        <w:rPr>
          <w:lang w:val="en-AU"/>
        </w:rPr>
        <w:t>’</w:t>
      </w:r>
      <w:r w:rsidRPr="00363469">
        <w:rPr>
          <w:lang w:val="en-AU"/>
        </w:rPr>
        <w:t xml:space="preserve"> capex forecast reasonably reflects the efficient capital investment required to be undertaken by PWC Networks in the 2014-19 regulatory control period</w:t>
      </w:r>
      <w:r w:rsidR="00164ED4">
        <w:rPr>
          <w:lang w:val="en-AU"/>
        </w:rPr>
        <w:t>, having regard to the capital expenditure criteria set out in the NER and taking into account the capital expenditure factors</w:t>
      </w:r>
      <w:r w:rsidRPr="00363469">
        <w:rPr>
          <w:lang w:val="en-AU"/>
        </w:rPr>
        <w:t xml:space="preserve">. </w:t>
      </w:r>
    </w:p>
    <w:p w14:paraId="0843FFA7" w14:textId="3504D552" w:rsidR="00B242D3" w:rsidRDefault="00363469" w:rsidP="00363469">
      <w:pPr>
        <w:pStyle w:val="NumberLevel2"/>
        <w:numPr>
          <w:ilvl w:val="1"/>
          <w:numId w:val="5"/>
        </w:numPr>
        <w:tabs>
          <w:tab w:val="num" w:pos="709"/>
        </w:tabs>
        <w:ind w:left="709" w:hanging="709"/>
        <w:rPr>
          <w:lang w:val="en-AU"/>
        </w:rPr>
      </w:pPr>
      <w:r w:rsidRPr="00363469">
        <w:rPr>
          <w:lang w:val="en-AU"/>
        </w:rPr>
        <w:t xml:space="preserve">Allowing for the adjustments listed above, the </w:t>
      </w:r>
      <w:r>
        <w:rPr>
          <w:lang w:val="en-AU"/>
        </w:rPr>
        <w:t>Commission</w:t>
      </w:r>
      <w:r w:rsidRPr="00363469">
        <w:rPr>
          <w:lang w:val="en-AU"/>
        </w:rPr>
        <w:t xml:space="preserve">’s estimate of </w:t>
      </w:r>
      <w:r w:rsidR="00164ED4">
        <w:rPr>
          <w:lang w:val="en-AU"/>
        </w:rPr>
        <w:t xml:space="preserve">the total required capex </w:t>
      </w:r>
      <w:r w:rsidRPr="00363469">
        <w:rPr>
          <w:lang w:val="en-AU"/>
        </w:rPr>
        <w:t xml:space="preserve">forecast for </w:t>
      </w:r>
      <w:r>
        <w:rPr>
          <w:lang w:val="en-AU"/>
        </w:rPr>
        <w:t>PWC Networks</w:t>
      </w:r>
      <w:r w:rsidRPr="00363469">
        <w:rPr>
          <w:lang w:val="en-AU"/>
        </w:rPr>
        <w:t xml:space="preserve"> </w:t>
      </w:r>
      <w:r w:rsidR="00164ED4">
        <w:rPr>
          <w:lang w:val="en-AU"/>
        </w:rPr>
        <w:t xml:space="preserve">for the 2014-19 regulatory control period </w:t>
      </w:r>
      <w:r w:rsidRPr="00164ED4">
        <w:rPr>
          <w:lang w:val="en-AU"/>
        </w:rPr>
        <w:t xml:space="preserve">is </w:t>
      </w:r>
      <w:r w:rsidR="00D2687A">
        <w:rPr>
          <w:lang w:val="en-AU"/>
        </w:rPr>
        <w:t>$</w:t>
      </w:r>
      <w:r w:rsidR="004336BD" w:rsidRPr="00164ED4">
        <w:rPr>
          <w:lang w:val="en-AU"/>
        </w:rPr>
        <w:t>274.0</w:t>
      </w:r>
      <w:r>
        <w:rPr>
          <w:lang w:val="en-AU"/>
        </w:rPr>
        <w:t> </w:t>
      </w:r>
      <w:r w:rsidRPr="00363469">
        <w:rPr>
          <w:lang w:val="en-AU"/>
        </w:rPr>
        <w:t xml:space="preserve">million, as set out in </w:t>
      </w:r>
      <w:r w:rsidR="00E22790">
        <w:rPr>
          <w:lang w:val="en-AU"/>
        </w:rPr>
        <w:t>T</w:t>
      </w:r>
      <w:r w:rsidRPr="00363469">
        <w:rPr>
          <w:lang w:val="en-AU"/>
        </w:rPr>
        <w:t xml:space="preserve">able </w:t>
      </w:r>
      <w:r>
        <w:rPr>
          <w:lang w:val="en-AU"/>
        </w:rPr>
        <w:t>9</w:t>
      </w:r>
      <w:r w:rsidRPr="00363469">
        <w:rPr>
          <w:lang w:val="en-AU"/>
        </w:rPr>
        <w:t>.</w:t>
      </w:r>
      <w:r>
        <w:rPr>
          <w:lang w:val="en-AU"/>
        </w:rPr>
        <w:t>7</w:t>
      </w:r>
      <w:r w:rsidRPr="00363469">
        <w:rPr>
          <w:lang w:val="en-AU"/>
        </w:rPr>
        <w:t xml:space="preserve">. </w:t>
      </w:r>
    </w:p>
    <w:p w14:paraId="43E6FB91" w14:textId="6F13D5CA" w:rsidR="00114B1D" w:rsidRDefault="00114B1D">
      <w:pPr>
        <w:spacing w:before="0" w:after="0" w:line="240" w:lineRule="auto"/>
        <w:rPr>
          <w:lang w:val="en-AU"/>
        </w:rPr>
      </w:pPr>
      <w:r>
        <w:rPr>
          <w:lang w:val="en-AU"/>
        </w:rPr>
        <w:br w:type="page"/>
      </w:r>
    </w:p>
    <w:p w14:paraId="66FDA649" w14:textId="77777777" w:rsidR="00F5108F" w:rsidRPr="00F5108F" w:rsidRDefault="00F5108F" w:rsidP="00F5108F">
      <w:pPr>
        <w:rPr>
          <w:lang w:val="en-AU"/>
        </w:rPr>
      </w:pPr>
    </w:p>
    <w:p w14:paraId="33B36D08" w14:textId="794FFEC7" w:rsidR="00B242D3" w:rsidRPr="00A139AD" w:rsidRDefault="00B242D3" w:rsidP="00B242D3">
      <w:pPr>
        <w:pStyle w:val="UtilComTableTitle"/>
        <w:keepNext/>
        <w:spacing w:before="120" w:after="0" w:line="240" w:lineRule="exact"/>
      </w:pPr>
      <w:r>
        <w:t>Table 9.</w:t>
      </w:r>
      <w:r w:rsidR="00363469">
        <w:t>7</w:t>
      </w:r>
      <w:r>
        <w:t xml:space="preserve">: Commission’s </w:t>
      </w:r>
      <w:r w:rsidR="00164ED4">
        <w:t>decision</w:t>
      </w:r>
      <w:r w:rsidR="00164ED4" w:rsidRPr="00B97588">
        <w:t xml:space="preserve"> </w:t>
      </w:r>
      <w:r w:rsidRPr="00B97588">
        <w:t xml:space="preserve">on </w:t>
      </w:r>
      <w:r>
        <w:t>PWC Networks</w:t>
      </w:r>
      <w:r w:rsidR="00164ED4">
        <w:t xml:space="preserve">’ </w:t>
      </w:r>
      <w:r w:rsidR="00D2687A">
        <w:t>forecast capital expenditure</w:t>
      </w:r>
      <w:r w:rsidR="00E22790">
        <w:t xml:space="preserve"> </w:t>
      </w:r>
      <w:r w:rsidRPr="00125E7A">
        <w:t>($</w:t>
      </w:r>
      <w:r>
        <w:t>M</w:t>
      </w:r>
      <w:r w:rsidRPr="00125E7A">
        <w:t xml:space="preserve">, </w:t>
      </w:r>
      <w:r>
        <w:t>2013-14</w:t>
      </w:r>
      <w:r w:rsidRPr="00125E7A">
        <w:t>)</w:t>
      </w:r>
      <w:r w:rsidR="00542378">
        <w:t xml:space="preserve"> </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B242D3" w:rsidRPr="008A4655" w14:paraId="523ADDD5" w14:textId="77777777" w:rsidTr="001A3421">
        <w:trPr>
          <w:trHeight w:val="360"/>
        </w:trPr>
        <w:tc>
          <w:tcPr>
            <w:tcW w:w="1811" w:type="dxa"/>
            <w:tcBorders>
              <w:top w:val="single" w:sz="4" w:space="0" w:color="999999"/>
              <w:bottom w:val="single" w:sz="4" w:space="0" w:color="auto"/>
            </w:tcBorders>
          </w:tcPr>
          <w:p w14:paraId="056A8AB3" w14:textId="77777777" w:rsidR="00B242D3" w:rsidRPr="00EE5A08" w:rsidRDefault="00B242D3" w:rsidP="001A3421">
            <w:pPr>
              <w:pStyle w:val="UtilComTabletext"/>
              <w:jc w:val="center"/>
              <w:rPr>
                <w:b/>
              </w:rPr>
            </w:pPr>
          </w:p>
        </w:tc>
        <w:tc>
          <w:tcPr>
            <w:tcW w:w="1221" w:type="dxa"/>
            <w:tcBorders>
              <w:top w:val="single" w:sz="4" w:space="0" w:color="999999"/>
              <w:bottom w:val="single" w:sz="4" w:space="0" w:color="auto"/>
            </w:tcBorders>
            <w:tcMar>
              <w:left w:w="0" w:type="dxa"/>
            </w:tcMar>
          </w:tcPr>
          <w:p w14:paraId="6357B0BE" w14:textId="77777777" w:rsidR="00B242D3" w:rsidRPr="00EE5A08" w:rsidRDefault="00B242D3" w:rsidP="001A3421">
            <w:pPr>
              <w:pStyle w:val="UtilComTabletext"/>
              <w:jc w:val="center"/>
              <w:rPr>
                <w:b/>
              </w:rPr>
            </w:pPr>
            <w:r>
              <w:rPr>
                <w:b/>
              </w:rPr>
              <w:t>2014-15</w:t>
            </w:r>
          </w:p>
        </w:tc>
        <w:tc>
          <w:tcPr>
            <w:tcW w:w="1221" w:type="dxa"/>
            <w:tcBorders>
              <w:top w:val="single" w:sz="4" w:space="0" w:color="999999"/>
              <w:bottom w:val="single" w:sz="4" w:space="0" w:color="auto"/>
            </w:tcBorders>
            <w:tcMar>
              <w:left w:w="0" w:type="dxa"/>
            </w:tcMar>
          </w:tcPr>
          <w:p w14:paraId="3624604F" w14:textId="77777777" w:rsidR="00B242D3" w:rsidRPr="00EE5A08" w:rsidRDefault="00B242D3" w:rsidP="001A3421">
            <w:pPr>
              <w:pStyle w:val="UtilComTabletext"/>
              <w:jc w:val="center"/>
              <w:rPr>
                <w:b/>
              </w:rPr>
            </w:pPr>
            <w:r>
              <w:rPr>
                <w:b/>
              </w:rPr>
              <w:t>2015-16</w:t>
            </w:r>
          </w:p>
        </w:tc>
        <w:tc>
          <w:tcPr>
            <w:tcW w:w="1221" w:type="dxa"/>
            <w:tcBorders>
              <w:top w:val="single" w:sz="4" w:space="0" w:color="999999"/>
              <w:bottom w:val="single" w:sz="4" w:space="0" w:color="auto"/>
            </w:tcBorders>
          </w:tcPr>
          <w:p w14:paraId="2C8F9722" w14:textId="77777777" w:rsidR="00B242D3" w:rsidRDefault="00B242D3" w:rsidP="001A3421">
            <w:pPr>
              <w:pStyle w:val="UtilComTabletext"/>
              <w:jc w:val="center"/>
              <w:rPr>
                <w:b/>
              </w:rPr>
            </w:pPr>
            <w:r>
              <w:rPr>
                <w:b/>
              </w:rPr>
              <w:t>2016-17</w:t>
            </w:r>
          </w:p>
        </w:tc>
        <w:tc>
          <w:tcPr>
            <w:tcW w:w="1221" w:type="dxa"/>
            <w:tcBorders>
              <w:top w:val="single" w:sz="4" w:space="0" w:color="999999"/>
              <w:bottom w:val="single" w:sz="4" w:space="0" w:color="auto"/>
            </w:tcBorders>
          </w:tcPr>
          <w:p w14:paraId="1BA5C46D" w14:textId="77777777" w:rsidR="00B242D3" w:rsidRDefault="00B242D3" w:rsidP="001A3421">
            <w:pPr>
              <w:pStyle w:val="UtilComTabletext"/>
              <w:jc w:val="center"/>
              <w:rPr>
                <w:b/>
              </w:rPr>
            </w:pPr>
            <w:r>
              <w:rPr>
                <w:b/>
              </w:rPr>
              <w:t>2017-18</w:t>
            </w:r>
          </w:p>
        </w:tc>
        <w:tc>
          <w:tcPr>
            <w:tcW w:w="1221" w:type="dxa"/>
            <w:tcBorders>
              <w:top w:val="single" w:sz="4" w:space="0" w:color="999999"/>
              <w:bottom w:val="single" w:sz="4" w:space="0" w:color="auto"/>
            </w:tcBorders>
          </w:tcPr>
          <w:p w14:paraId="416D519B" w14:textId="77777777" w:rsidR="00B242D3" w:rsidRDefault="00B242D3" w:rsidP="001A3421">
            <w:pPr>
              <w:pStyle w:val="UtilComTabletext"/>
              <w:jc w:val="center"/>
              <w:rPr>
                <w:b/>
              </w:rPr>
            </w:pPr>
            <w:r>
              <w:rPr>
                <w:b/>
              </w:rPr>
              <w:t>2018-19</w:t>
            </w:r>
          </w:p>
        </w:tc>
        <w:tc>
          <w:tcPr>
            <w:tcW w:w="1221" w:type="dxa"/>
            <w:tcBorders>
              <w:top w:val="single" w:sz="4" w:space="0" w:color="999999"/>
              <w:bottom w:val="single" w:sz="4" w:space="0" w:color="auto"/>
            </w:tcBorders>
            <w:tcMar>
              <w:left w:w="0" w:type="dxa"/>
            </w:tcMar>
          </w:tcPr>
          <w:p w14:paraId="19E07024" w14:textId="77777777" w:rsidR="00B242D3" w:rsidRPr="00EE5A08" w:rsidRDefault="00B242D3" w:rsidP="001A3421">
            <w:pPr>
              <w:pStyle w:val="UtilComTabletext"/>
              <w:jc w:val="center"/>
              <w:rPr>
                <w:b/>
              </w:rPr>
            </w:pPr>
            <w:r>
              <w:rPr>
                <w:b/>
              </w:rPr>
              <w:t>Total</w:t>
            </w:r>
          </w:p>
        </w:tc>
      </w:tr>
      <w:tr w:rsidR="00B242D3" w:rsidRPr="008A4655" w14:paraId="223A5E68" w14:textId="77777777" w:rsidTr="001A3421">
        <w:trPr>
          <w:trHeight w:val="360"/>
        </w:trPr>
        <w:tc>
          <w:tcPr>
            <w:tcW w:w="1811" w:type="dxa"/>
            <w:tcBorders>
              <w:top w:val="single" w:sz="4" w:space="0" w:color="auto"/>
              <w:bottom w:val="single" w:sz="4" w:space="0" w:color="999999"/>
            </w:tcBorders>
          </w:tcPr>
          <w:p w14:paraId="375D1C88" w14:textId="77777777" w:rsidR="00B242D3" w:rsidRDefault="00B242D3" w:rsidP="001A3421">
            <w:pPr>
              <w:pStyle w:val="UtilComTabletext"/>
            </w:pPr>
            <w:r>
              <w:t>PWC Networks proposed capex</w:t>
            </w:r>
          </w:p>
        </w:tc>
        <w:tc>
          <w:tcPr>
            <w:tcW w:w="1221" w:type="dxa"/>
            <w:tcBorders>
              <w:top w:val="single" w:sz="4" w:space="0" w:color="auto"/>
              <w:bottom w:val="single" w:sz="4" w:space="0" w:color="999999"/>
            </w:tcBorders>
            <w:shd w:val="clear" w:color="auto" w:fill="auto"/>
          </w:tcPr>
          <w:p w14:paraId="0A1C5351" w14:textId="66292AF1" w:rsidR="00B242D3" w:rsidRPr="00E300D6" w:rsidRDefault="008D23A6" w:rsidP="001A3421">
            <w:pPr>
              <w:pStyle w:val="UtilComTabletext"/>
              <w:jc w:val="right"/>
            </w:pPr>
            <w:r>
              <w:t>79.14</w:t>
            </w:r>
          </w:p>
        </w:tc>
        <w:tc>
          <w:tcPr>
            <w:tcW w:w="1221" w:type="dxa"/>
            <w:tcBorders>
              <w:top w:val="single" w:sz="4" w:space="0" w:color="auto"/>
              <w:bottom w:val="single" w:sz="4" w:space="0" w:color="999999"/>
            </w:tcBorders>
            <w:shd w:val="clear" w:color="auto" w:fill="auto"/>
          </w:tcPr>
          <w:p w14:paraId="7BB50FF5" w14:textId="0FF0D47E" w:rsidR="00B242D3" w:rsidRPr="00E300D6" w:rsidRDefault="008D23A6" w:rsidP="001A3421">
            <w:pPr>
              <w:pStyle w:val="UtilComTabletext"/>
              <w:jc w:val="right"/>
            </w:pPr>
            <w:r>
              <w:t>66.83</w:t>
            </w:r>
            <w:r w:rsidR="00B242D3" w:rsidRPr="00E300D6">
              <w:t xml:space="preserve"> </w:t>
            </w:r>
          </w:p>
        </w:tc>
        <w:tc>
          <w:tcPr>
            <w:tcW w:w="1221" w:type="dxa"/>
            <w:tcBorders>
              <w:top w:val="single" w:sz="4" w:space="0" w:color="auto"/>
              <w:bottom w:val="single" w:sz="4" w:space="0" w:color="999999"/>
            </w:tcBorders>
          </w:tcPr>
          <w:p w14:paraId="6C32196B" w14:textId="77777777" w:rsidR="00B242D3" w:rsidRPr="00E300D6" w:rsidRDefault="008D23A6" w:rsidP="001A3421">
            <w:pPr>
              <w:pStyle w:val="UtilComTabletext"/>
              <w:jc w:val="right"/>
            </w:pPr>
            <w:r>
              <w:t>45.71</w:t>
            </w:r>
          </w:p>
        </w:tc>
        <w:tc>
          <w:tcPr>
            <w:tcW w:w="1221" w:type="dxa"/>
            <w:tcBorders>
              <w:top w:val="single" w:sz="4" w:space="0" w:color="auto"/>
              <w:bottom w:val="single" w:sz="4" w:space="0" w:color="999999"/>
            </w:tcBorders>
          </w:tcPr>
          <w:p w14:paraId="590621F8" w14:textId="3C8F88A3" w:rsidR="00B242D3" w:rsidRPr="00E300D6" w:rsidRDefault="008D23A6" w:rsidP="001A3421">
            <w:pPr>
              <w:pStyle w:val="UtilComTabletext"/>
              <w:jc w:val="right"/>
            </w:pPr>
            <w:r>
              <w:t>42.89</w:t>
            </w:r>
          </w:p>
        </w:tc>
        <w:tc>
          <w:tcPr>
            <w:tcW w:w="1221" w:type="dxa"/>
            <w:tcBorders>
              <w:top w:val="single" w:sz="4" w:space="0" w:color="auto"/>
              <w:bottom w:val="single" w:sz="4" w:space="0" w:color="999999"/>
            </w:tcBorders>
          </w:tcPr>
          <w:p w14:paraId="5B5209EC" w14:textId="77777777" w:rsidR="00B242D3" w:rsidRDefault="008D23A6" w:rsidP="001A3421">
            <w:pPr>
              <w:pStyle w:val="UtilComTabletext"/>
              <w:jc w:val="right"/>
            </w:pPr>
            <w:r>
              <w:t>57.89</w:t>
            </w:r>
          </w:p>
        </w:tc>
        <w:tc>
          <w:tcPr>
            <w:tcW w:w="1221" w:type="dxa"/>
            <w:tcBorders>
              <w:top w:val="single" w:sz="4" w:space="0" w:color="auto"/>
              <w:bottom w:val="single" w:sz="4" w:space="0" w:color="999999"/>
            </w:tcBorders>
            <w:shd w:val="clear" w:color="auto" w:fill="auto"/>
          </w:tcPr>
          <w:p w14:paraId="755392F9" w14:textId="60EF4BF8" w:rsidR="00B242D3" w:rsidRDefault="008D23A6" w:rsidP="00BB4311">
            <w:pPr>
              <w:pStyle w:val="UtilComTabletext"/>
              <w:jc w:val="right"/>
            </w:pPr>
            <w:r>
              <w:t>292.</w:t>
            </w:r>
            <w:r w:rsidR="00D2687A">
              <w:t>46</w:t>
            </w:r>
          </w:p>
        </w:tc>
      </w:tr>
      <w:tr w:rsidR="00B242D3" w:rsidRPr="008A4655" w14:paraId="3A31EF86" w14:textId="77777777" w:rsidTr="001A3421">
        <w:trPr>
          <w:trHeight w:val="360"/>
        </w:trPr>
        <w:tc>
          <w:tcPr>
            <w:tcW w:w="1811" w:type="dxa"/>
            <w:tcBorders>
              <w:top w:val="single" w:sz="4" w:space="0" w:color="999999"/>
              <w:bottom w:val="single" w:sz="4" w:space="0" w:color="999999"/>
              <w:right w:val="single" w:sz="4" w:space="0" w:color="999999"/>
            </w:tcBorders>
          </w:tcPr>
          <w:p w14:paraId="344490AD" w14:textId="77777777" w:rsidR="00B242D3" w:rsidRDefault="00B242D3" w:rsidP="001A3421">
            <w:pPr>
              <w:pStyle w:val="UtilComTabletext"/>
            </w:pPr>
            <w:r>
              <w:t>Adjustment to network user initiated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456F0EF8" w14:textId="77777777" w:rsidR="00B242D3" w:rsidRDefault="00F02FEE" w:rsidP="001A3421">
            <w:pPr>
              <w:pStyle w:val="UtilComTabletext"/>
              <w:jc w:val="right"/>
            </w:pPr>
            <w:r>
              <w:t>-1.18</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509E1CEE" w14:textId="77777777" w:rsidR="00B242D3" w:rsidRDefault="00F02FEE" w:rsidP="001A3421">
            <w:pPr>
              <w:pStyle w:val="UtilComTabletext"/>
              <w:jc w:val="right"/>
            </w:pPr>
            <w:r>
              <w:t>-1.39</w:t>
            </w:r>
          </w:p>
        </w:tc>
        <w:tc>
          <w:tcPr>
            <w:tcW w:w="1221" w:type="dxa"/>
            <w:tcBorders>
              <w:top w:val="single" w:sz="4" w:space="0" w:color="999999"/>
              <w:left w:val="single" w:sz="4" w:space="0" w:color="999999"/>
              <w:bottom w:val="single" w:sz="4" w:space="0" w:color="999999"/>
              <w:right w:val="single" w:sz="4" w:space="0" w:color="999999"/>
            </w:tcBorders>
          </w:tcPr>
          <w:p w14:paraId="5CC8B252" w14:textId="77777777" w:rsidR="00B242D3" w:rsidRDefault="00F02FEE" w:rsidP="001A3421">
            <w:pPr>
              <w:pStyle w:val="UtilComTabletext"/>
              <w:jc w:val="right"/>
            </w:pPr>
            <w:r>
              <w:t>-1.65</w:t>
            </w:r>
          </w:p>
        </w:tc>
        <w:tc>
          <w:tcPr>
            <w:tcW w:w="1221" w:type="dxa"/>
            <w:tcBorders>
              <w:top w:val="single" w:sz="4" w:space="0" w:color="999999"/>
              <w:left w:val="single" w:sz="4" w:space="0" w:color="999999"/>
              <w:bottom w:val="single" w:sz="4" w:space="0" w:color="999999"/>
              <w:right w:val="single" w:sz="4" w:space="0" w:color="999999"/>
            </w:tcBorders>
          </w:tcPr>
          <w:p w14:paraId="1A6DE828" w14:textId="77777777" w:rsidR="00B242D3" w:rsidRDefault="00F02FEE" w:rsidP="001A3421">
            <w:pPr>
              <w:pStyle w:val="UtilComTabletext"/>
              <w:jc w:val="right"/>
            </w:pPr>
            <w:r>
              <w:t>-1.92</w:t>
            </w:r>
          </w:p>
        </w:tc>
        <w:tc>
          <w:tcPr>
            <w:tcW w:w="1221" w:type="dxa"/>
            <w:tcBorders>
              <w:top w:val="single" w:sz="4" w:space="0" w:color="999999"/>
              <w:left w:val="single" w:sz="4" w:space="0" w:color="999999"/>
              <w:bottom w:val="single" w:sz="4" w:space="0" w:color="999999"/>
              <w:right w:val="single" w:sz="4" w:space="0" w:color="999999"/>
            </w:tcBorders>
          </w:tcPr>
          <w:p w14:paraId="056FFD62" w14:textId="77777777" w:rsidR="00B242D3" w:rsidRDefault="00F02FEE" w:rsidP="001A3421">
            <w:pPr>
              <w:pStyle w:val="UtilComTabletext"/>
              <w:jc w:val="right"/>
            </w:pPr>
            <w:r>
              <w:t>-2.20</w:t>
            </w:r>
          </w:p>
        </w:tc>
        <w:tc>
          <w:tcPr>
            <w:tcW w:w="1221" w:type="dxa"/>
            <w:tcBorders>
              <w:top w:val="single" w:sz="4" w:space="0" w:color="999999"/>
              <w:left w:val="single" w:sz="4" w:space="0" w:color="999999"/>
              <w:bottom w:val="single" w:sz="4" w:space="0" w:color="999999"/>
            </w:tcBorders>
            <w:shd w:val="clear" w:color="auto" w:fill="auto"/>
          </w:tcPr>
          <w:p w14:paraId="34584A94" w14:textId="77777777" w:rsidR="00B242D3" w:rsidRDefault="00F02FEE" w:rsidP="001A3421">
            <w:pPr>
              <w:pStyle w:val="UtilComTabletext"/>
              <w:jc w:val="right"/>
            </w:pPr>
            <w:r>
              <w:t>-8.34</w:t>
            </w:r>
          </w:p>
        </w:tc>
      </w:tr>
      <w:tr w:rsidR="00B242D3" w:rsidRPr="008A4655" w14:paraId="251760EF" w14:textId="77777777" w:rsidTr="001A3421">
        <w:trPr>
          <w:trHeight w:val="360"/>
        </w:trPr>
        <w:tc>
          <w:tcPr>
            <w:tcW w:w="1811" w:type="dxa"/>
            <w:tcBorders>
              <w:top w:val="single" w:sz="4" w:space="0" w:color="999999"/>
              <w:bottom w:val="single" w:sz="4" w:space="0" w:color="999999"/>
              <w:right w:val="single" w:sz="4" w:space="0" w:color="999999"/>
            </w:tcBorders>
          </w:tcPr>
          <w:p w14:paraId="28BEC6C4" w14:textId="77777777" w:rsidR="00B242D3" w:rsidRDefault="00B242D3" w:rsidP="001A3421">
            <w:pPr>
              <w:pStyle w:val="UtilComTabletext"/>
            </w:pPr>
            <w:r>
              <w:t>Adjustment to augmentation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39DC13F0" w14:textId="77777777" w:rsidR="00B242D3" w:rsidRDefault="00F02FEE" w:rsidP="001A3421">
            <w:pPr>
              <w:pStyle w:val="UtilComTabletext"/>
              <w:jc w:val="right"/>
            </w:pPr>
            <w:r>
              <w:t>-4.85</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4AF5A3A5" w14:textId="77777777" w:rsidR="00B242D3" w:rsidRDefault="00F02FEE" w:rsidP="001A3421">
            <w:pPr>
              <w:pStyle w:val="UtilComTabletext"/>
              <w:jc w:val="right"/>
            </w:pPr>
            <w:r>
              <w:t>-7.59</w:t>
            </w:r>
          </w:p>
        </w:tc>
        <w:tc>
          <w:tcPr>
            <w:tcW w:w="1221" w:type="dxa"/>
            <w:tcBorders>
              <w:top w:val="single" w:sz="4" w:space="0" w:color="999999"/>
              <w:left w:val="single" w:sz="4" w:space="0" w:color="999999"/>
              <w:bottom w:val="single" w:sz="4" w:space="0" w:color="999999"/>
              <w:right w:val="single" w:sz="4" w:space="0" w:color="999999"/>
            </w:tcBorders>
          </w:tcPr>
          <w:p w14:paraId="4C93D964" w14:textId="77777777" w:rsidR="00B242D3" w:rsidRDefault="00F02FEE" w:rsidP="001A3421">
            <w:pPr>
              <w:pStyle w:val="UtilComTabletext"/>
              <w:jc w:val="right"/>
            </w:pPr>
            <w:r>
              <w:t>1.17</w:t>
            </w:r>
          </w:p>
        </w:tc>
        <w:tc>
          <w:tcPr>
            <w:tcW w:w="1221" w:type="dxa"/>
            <w:tcBorders>
              <w:top w:val="single" w:sz="4" w:space="0" w:color="999999"/>
              <w:left w:val="single" w:sz="4" w:space="0" w:color="999999"/>
              <w:bottom w:val="single" w:sz="4" w:space="0" w:color="999999"/>
              <w:right w:val="single" w:sz="4" w:space="0" w:color="999999"/>
            </w:tcBorders>
          </w:tcPr>
          <w:p w14:paraId="5F07B31C" w14:textId="2F316B92" w:rsidR="00B242D3" w:rsidRDefault="004336BD" w:rsidP="001A3421">
            <w:pPr>
              <w:pStyle w:val="UtilComTabletext"/>
              <w:jc w:val="right"/>
            </w:pPr>
            <w:r>
              <w:t>7.08</w:t>
            </w:r>
          </w:p>
        </w:tc>
        <w:tc>
          <w:tcPr>
            <w:tcW w:w="1221" w:type="dxa"/>
            <w:tcBorders>
              <w:top w:val="single" w:sz="4" w:space="0" w:color="999999"/>
              <w:left w:val="single" w:sz="4" w:space="0" w:color="999999"/>
              <w:bottom w:val="single" w:sz="4" w:space="0" w:color="999999"/>
              <w:right w:val="single" w:sz="4" w:space="0" w:color="999999"/>
            </w:tcBorders>
          </w:tcPr>
          <w:p w14:paraId="456F1496" w14:textId="675834A5" w:rsidR="00B242D3" w:rsidRDefault="00F02FEE" w:rsidP="00E149C6">
            <w:pPr>
              <w:pStyle w:val="UtilComTabletext"/>
              <w:jc w:val="right"/>
            </w:pPr>
            <w:r>
              <w:t>4.5</w:t>
            </w:r>
            <w:r w:rsidR="00E149C6">
              <w:t>2</w:t>
            </w:r>
          </w:p>
        </w:tc>
        <w:tc>
          <w:tcPr>
            <w:tcW w:w="1221" w:type="dxa"/>
            <w:tcBorders>
              <w:top w:val="single" w:sz="4" w:space="0" w:color="999999"/>
              <w:left w:val="single" w:sz="4" w:space="0" w:color="999999"/>
              <w:bottom w:val="single" w:sz="4" w:space="0" w:color="999999"/>
            </w:tcBorders>
            <w:shd w:val="clear" w:color="auto" w:fill="auto"/>
          </w:tcPr>
          <w:p w14:paraId="5175890C" w14:textId="77777777" w:rsidR="00B242D3" w:rsidRDefault="00F02FEE" w:rsidP="001A3421">
            <w:pPr>
              <w:pStyle w:val="UtilComTabletext"/>
              <w:jc w:val="right"/>
            </w:pPr>
            <w:r>
              <w:t>0.33</w:t>
            </w:r>
          </w:p>
        </w:tc>
      </w:tr>
      <w:tr w:rsidR="00F02FEE" w:rsidRPr="008A4655" w14:paraId="6C3C3D32" w14:textId="77777777" w:rsidTr="001A3421">
        <w:trPr>
          <w:trHeight w:val="360"/>
        </w:trPr>
        <w:tc>
          <w:tcPr>
            <w:tcW w:w="1811" w:type="dxa"/>
            <w:tcBorders>
              <w:top w:val="single" w:sz="4" w:space="0" w:color="999999"/>
              <w:bottom w:val="single" w:sz="4" w:space="0" w:color="999999"/>
              <w:right w:val="single" w:sz="4" w:space="0" w:color="999999"/>
            </w:tcBorders>
          </w:tcPr>
          <w:p w14:paraId="0CEE86EC" w14:textId="77777777" w:rsidR="00F02FEE" w:rsidRDefault="00F02FEE" w:rsidP="001A3421">
            <w:pPr>
              <w:pStyle w:val="UtilComTabletext"/>
            </w:pPr>
            <w:r>
              <w:t>Adjustment to replacement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35BAB3E6" w14:textId="77777777" w:rsidR="00F02FEE" w:rsidRDefault="00F02FEE" w:rsidP="001A3421">
            <w:pPr>
              <w:pStyle w:val="UtilComTabletext"/>
              <w:jc w:val="right"/>
            </w:pPr>
            <w:r>
              <w:t>-7.43</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56943FD1" w14:textId="77777777" w:rsidR="00F02FEE" w:rsidRDefault="00F02FEE" w:rsidP="001A3421">
            <w:pPr>
              <w:pStyle w:val="UtilComTabletext"/>
              <w:jc w:val="right"/>
            </w:pPr>
            <w:r>
              <w:t>0.22</w:t>
            </w:r>
          </w:p>
        </w:tc>
        <w:tc>
          <w:tcPr>
            <w:tcW w:w="1221" w:type="dxa"/>
            <w:tcBorders>
              <w:top w:val="single" w:sz="4" w:space="0" w:color="999999"/>
              <w:left w:val="single" w:sz="4" w:space="0" w:color="999999"/>
              <w:bottom w:val="single" w:sz="4" w:space="0" w:color="999999"/>
              <w:right w:val="single" w:sz="4" w:space="0" w:color="999999"/>
            </w:tcBorders>
          </w:tcPr>
          <w:p w14:paraId="106116C9" w14:textId="77777777" w:rsidR="00F02FEE" w:rsidRDefault="00F02FEE" w:rsidP="001A3421">
            <w:pPr>
              <w:pStyle w:val="UtilComTabletext"/>
              <w:jc w:val="right"/>
            </w:pPr>
            <w:r>
              <w:t>1.04</w:t>
            </w:r>
          </w:p>
        </w:tc>
        <w:tc>
          <w:tcPr>
            <w:tcW w:w="1221" w:type="dxa"/>
            <w:tcBorders>
              <w:top w:val="single" w:sz="4" w:space="0" w:color="999999"/>
              <w:left w:val="single" w:sz="4" w:space="0" w:color="999999"/>
              <w:bottom w:val="single" w:sz="4" w:space="0" w:color="999999"/>
              <w:right w:val="single" w:sz="4" w:space="0" w:color="999999"/>
            </w:tcBorders>
          </w:tcPr>
          <w:p w14:paraId="77B3D909" w14:textId="77777777" w:rsidR="00F02FEE" w:rsidRDefault="00F02FEE" w:rsidP="001A3421">
            <w:pPr>
              <w:pStyle w:val="UtilComTabletext"/>
              <w:jc w:val="right"/>
            </w:pPr>
            <w:r>
              <w:t>1.32</w:t>
            </w:r>
          </w:p>
        </w:tc>
        <w:tc>
          <w:tcPr>
            <w:tcW w:w="1221" w:type="dxa"/>
            <w:tcBorders>
              <w:top w:val="single" w:sz="4" w:space="0" w:color="999999"/>
              <w:left w:val="single" w:sz="4" w:space="0" w:color="999999"/>
              <w:bottom w:val="single" w:sz="4" w:space="0" w:color="999999"/>
              <w:right w:val="single" w:sz="4" w:space="0" w:color="999999"/>
            </w:tcBorders>
          </w:tcPr>
          <w:p w14:paraId="499A1B11" w14:textId="77777777" w:rsidR="00F02FEE" w:rsidRDefault="00F02FEE" w:rsidP="001A3421">
            <w:pPr>
              <w:pStyle w:val="UtilComTabletext"/>
              <w:jc w:val="right"/>
            </w:pPr>
            <w:r>
              <w:t>-2.53</w:t>
            </w:r>
          </w:p>
        </w:tc>
        <w:tc>
          <w:tcPr>
            <w:tcW w:w="1221" w:type="dxa"/>
            <w:tcBorders>
              <w:top w:val="single" w:sz="4" w:space="0" w:color="999999"/>
              <w:left w:val="single" w:sz="4" w:space="0" w:color="999999"/>
              <w:bottom w:val="single" w:sz="4" w:space="0" w:color="999999"/>
            </w:tcBorders>
            <w:shd w:val="clear" w:color="auto" w:fill="auto"/>
          </w:tcPr>
          <w:p w14:paraId="380D2B20" w14:textId="77777777" w:rsidR="00F02FEE" w:rsidRDefault="00F02FEE" w:rsidP="001A3421">
            <w:pPr>
              <w:pStyle w:val="UtilComTabletext"/>
              <w:jc w:val="right"/>
            </w:pPr>
            <w:r>
              <w:t>-7.39</w:t>
            </w:r>
          </w:p>
        </w:tc>
      </w:tr>
      <w:tr w:rsidR="00B242D3" w:rsidRPr="008A4655" w14:paraId="4FF6E907" w14:textId="77777777" w:rsidTr="001A3421">
        <w:trPr>
          <w:trHeight w:val="360"/>
        </w:trPr>
        <w:tc>
          <w:tcPr>
            <w:tcW w:w="1811" w:type="dxa"/>
            <w:tcBorders>
              <w:top w:val="single" w:sz="4" w:space="0" w:color="999999"/>
              <w:bottom w:val="single" w:sz="4" w:space="0" w:color="999999"/>
              <w:right w:val="single" w:sz="4" w:space="0" w:color="999999"/>
            </w:tcBorders>
          </w:tcPr>
          <w:p w14:paraId="5E048772" w14:textId="77777777" w:rsidR="00B242D3" w:rsidRDefault="00B242D3" w:rsidP="00F02FEE">
            <w:pPr>
              <w:pStyle w:val="UtilComTabletext"/>
            </w:pPr>
            <w:r>
              <w:t xml:space="preserve">Adjustment to </w:t>
            </w:r>
            <w:r w:rsidR="00F02FEE">
              <w:t>reliability</w:t>
            </w:r>
            <w:r>
              <w:t xml:space="preserve"> capex</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6ECD09FC" w14:textId="77777777" w:rsidR="00B242D3" w:rsidRPr="00164ED4" w:rsidRDefault="00F02FEE" w:rsidP="001A3421">
            <w:pPr>
              <w:pStyle w:val="UtilComTabletext"/>
              <w:tabs>
                <w:tab w:val="num" w:pos="522"/>
                <w:tab w:val="left" w:pos="993"/>
              </w:tabs>
              <w:ind w:left="522" w:hanging="450"/>
              <w:jc w:val="right"/>
            </w:pPr>
            <w:r w:rsidRPr="00164ED4">
              <w:t>9.65</w:t>
            </w:r>
          </w:p>
        </w:tc>
        <w:tc>
          <w:tcPr>
            <w:tcW w:w="1221" w:type="dxa"/>
            <w:tcBorders>
              <w:top w:val="single" w:sz="4" w:space="0" w:color="999999"/>
              <w:left w:val="single" w:sz="4" w:space="0" w:color="999999"/>
              <w:bottom w:val="single" w:sz="4" w:space="0" w:color="999999"/>
              <w:right w:val="single" w:sz="4" w:space="0" w:color="999999"/>
            </w:tcBorders>
            <w:shd w:val="clear" w:color="auto" w:fill="auto"/>
          </w:tcPr>
          <w:p w14:paraId="4B050620" w14:textId="77777777" w:rsidR="00B242D3" w:rsidRPr="00164ED4" w:rsidRDefault="00F02FEE" w:rsidP="001A3421">
            <w:pPr>
              <w:pStyle w:val="UtilComTabletext"/>
              <w:tabs>
                <w:tab w:val="num" w:pos="522"/>
                <w:tab w:val="left" w:pos="993"/>
              </w:tabs>
              <w:ind w:left="522" w:hanging="450"/>
              <w:jc w:val="right"/>
            </w:pPr>
            <w:r w:rsidRPr="00164ED4">
              <w:t>-6.32</w:t>
            </w:r>
          </w:p>
        </w:tc>
        <w:tc>
          <w:tcPr>
            <w:tcW w:w="1221" w:type="dxa"/>
            <w:tcBorders>
              <w:top w:val="single" w:sz="4" w:space="0" w:color="999999"/>
              <w:left w:val="single" w:sz="4" w:space="0" w:color="999999"/>
              <w:bottom w:val="single" w:sz="4" w:space="0" w:color="999999"/>
              <w:right w:val="single" w:sz="4" w:space="0" w:color="999999"/>
            </w:tcBorders>
          </w:tcPr>
          <w:p w14:paraId="1AC8E3F3" w14:textId="77777777" w:rsidR="00B242D3" w:rsidRPr="00164ED4" w:rsidRDefault="00F02FEE" w:rsidP="001A3421">
            <w:pPr>
              <w:pStyle w:val="UtilComTabletext"/>
              <w:tabs>
                <w:tab w:val="num" w:pos="522"/>
                <w:tab w:val="left" w:pos="993"/>
              </w:tabs>
              <w:ind w:left="522" w:hanging="450"/>
              <w:jc w:val="right"/>
            </w:pPr>
            <w:r w:rsidRPr="00164ED4">
              <w:t>-5.35</w:t>
            </w:r>
          </w:p>
        </w:tc>
        <w:tc>
          <w:tcPr>
            <w:tcW w:w="1221" w:type="dxa"/>
            <w:tcBorders>
              <w:top w:val="single" w:sz="4" w:space="0" w:color="999999"/>
              <w:left w:val="single" w:sz="4" w:space="0" w:color="999999"/>
              <w:bottom w:val="single" w:sz="4" w:space="0" w:color="999999"/>
              <w:right w:val="single" w:sz="4" w:space="0" w:color="999999"/>
            </w:tcBorders>
          </w:tcPr>
          <w:p w14:paraId="27DDB174" w14:textId="77777777" w:rsidR="00B242D3" w:rsidRPr="00164ED4" w:rsidRDefault="00F02FEE" w:rsidP="001A3421">
            <w:pPr>
              <w:pStyle w:val="UtilComTabletext"/>
              <w:tabs>
                <w:tab w:val="num" w:pos="522"/>
                <w:tab w:val="left" w:pos="993"/>
              </w:tabs>
              <w:ind w:left="522" w:hanging="450"/>
              <w:jc w:val="right"/>
            </w:pPr>
            <w:r w:rsidRPr="00164ED4">
              <w:t>-0.52</w:t>
            </w:r>
          </w:p>
        </w:tc>
        <w:tc>
          <w:tcPr>
            <w:tcW w:w="1221" w:type="dxa"/>
            <w:tcBorders>
              <w:top w:val="single" w:sz="4" w:space="0" w:color="999999"/>
              <w:left w:val="single" w:sz="4" w:space="0" w:color="999999"/>
              <w:bottom w:val="single" w:sz="4" w:space="0" w:color="999999"/>
              <w:right w:val="single" w:sz="4" w:space="0" w:color="999999"/>
            </w:tcBorders>
          </w:tcPr>
          <w:p w14:paraId="7EED7040" w14:textId="77777777" w:rsidR="00B242D3" w:rsidRPr="00164ED4" w:rsidRDefault="00F02FEE" w:rsidP="001A3421">
            <w:pPr>
              <w:pStyle w:val="UtilComTabletext"/>
              <w:tabs>
                <w:tab w:val="num" w:pos="522"/>
                <w:tab w:val="left" w:pos="993"/>
              </w:tabs>
              <w:ind w:left="522" w:hanging="450"/>
              <w:jc w:val="right"/>
            </w:pPr>
            <w:r w:rsidRPr="00164ED4">
              <w:t>-0.62</w:t>
            </w:r>
          </w:p>
        </w:tc>
        <w:tc>
          <w:tcPr>
            <w:tcW w:w="1221" w:type="dxa"/>
            <w:tcBorders>
              <w:top w:val="single" w:sz="4" w:space="0" w:color="999999"/>
              <w:left w:val="single" w:sz="4" w:space="0" w:color="999999"/>
              <w:bottom w:val="single" w:sz="4" w:space="0" w:color="999999"/>
            </w:tcBorders>
            <w:shd w:val="clear" w:color="auto" w:fill="auto"/>
          </w:tcPr>
          <w:p w14:paraId="75F84188" w14:textId="77777777" w:rsidR="00B242D3" w:rsidRPr="00164ED4" w:rsidRDefault="00F02FEE" w:rsidP="001A3421">
            <w:pPr>
              <w:pStyle w:val="UtilComTabletext"/>
              <w:tabs>
                <w:tab w:val="num" w:pos="522"/>
                <w:tab w:val="left" w:pos="993"/>
              </w:tabs>
              <w:ind w:left="522" w:hanging="450"/>
              <w:jc w:val="right"/>
            </w:pPr>
            <w:r w:rsidRPr="00164ED4">
              <w:t>-3.15</w:t>
            </w:r>
          </w:p>
        </w:tc>
      </w:tr>
      <w:tr w:rsidR="00B242D3" w:rsidRPr="008A4655" w14:paraId="709E830D" w14:textId="77777777" w:rsidTr="001A3421">
        <w:trPr>
          <w:trHeight w:val="360"/>
        </w:trPr>
        <w:tc>
          <w:tcPr>
            <w:tcW w:w="1811" w:type="dxa"/>
            <w:tcBorders>
              <w:top w:val="single" w:sz="4" w:space="0" w:color="999999"/>
              <w:bottom w:val="single" w:sz="4" w:space="0" w:color="000000" w:themeColor="text1"/>
              <w:right w:val="single" w:sz="4" w:space="0" w:color="999999"/>
            </w:tcBorders>
          </w:tcPr>
          <w:p w14:paraId="4E569DAA" w14:textId="77777777" w:rsidR="00B242D3" w:rsidRDefault="00F02FEE" w:rsidP="001A3421">
            <w:pPr>
              <w:pStyle w:val="UtilComTabletext"/>
            </w:pPr>
            <w:r>
              <w:t>Adjustment for real cost escalation changes</w:t>
            </w:r>
          </w:p>
        </w:tc>
        <w:tc>
          <w:tcPr>
            <w:tcW w:w="1221" w:type="dxa"/>
            <w:tcBorders>
              <w:top w:val="single" w:sz="4" w:space="0" w:color="999999"/>
              <w:left w:val="single" w:sz="4" w:space="0" w:color="999999"/>
              <w:bottom w:val="single" w:sz="4" w:space="0" w:color="000000" w:themeColor="text1"/>
              <w:right w:val="single" w:sz="4" w:space="0" w:color="999999"/>
            </w:tcBorders>
            <w:shd w:val="clear" w:color="auto" w:fill="auto"/>
          </w:tcPr>
          <w:p w14:paraId="6BEB60B7" w14:textId="7B06777F" w:rsidR="00B242D3" w:rsidRDefault="00F02FEE" w:rsidP="004336BD">
            <w:pPr>
              <w:pStyle w:val="UtilComTabletext"/>
              <w:jc w:val="right"/>
            </w:pPr>
            <w:r>
              <w:t>0.</w:t>
            </w:r>
            <w:r w:rsidR="004336BD">
              <w:t>03</w:t>
            </w:r>
          </w:p>
        </w:tc>
        <w:tc>
          <w:tcPr>
            <w:tcW w:w="1221" w:type="dxa"/>
            <w:tcBorders>
              <w:top w:val="single" w:sz="4" w:space="0" w:color="999999"/>
              <w:left w:val="single" w:sz="4" w:space="0" w:color="999999"/>
              <w:bottom w:val="single" w:sz="4" w:space="0" w:color="000000" w:themeColor="text1"/>
              <w:right w:val="single" w:sz="4" w:space="0" w:color="999999"/>
            </w:tcBorders>
            <w:shd w:val="clear" w:color="auto" w:fill="auto"/>
          </w:tcPr>
          <w:p w14:paraId="3FEA4424" w14:textId="77777777" w:rsidR="00B242D3" w:rsidRDefault="00F02FEE" w:rsidP="001A3421">
            <w:pPr>
              <w:pStyle w:val="UtilComTabletext"/>
              <w:jc w:val="right"/>
            </w:pPr>
            <w:r>
              <w:t>0.02</w:t>
            </w:r>
          </w:p>
        </w:tc>
        <w:tc>
          <w:tcPr>
            <w:tcW w:w="1221" w:type="dxa"/>
            <w:tcBorders>
              <w:top w:val="single" w:sz="4" w:space="0" w:color="999999"/>
              <w:left w:val="single" w:sz="4" w:space="0" w:color="999999"/>
              <w:bottom w:val="single" w:sz="4" w:space="0" w:color="000000" w:themeColor="text1"/>
              <w:right w:val="single" w:sz="4" w:space="0" w:color="999999"/>
            </w:tcBorders>
          </w:tcPr>
          <w:p w14:paraId="1944F611" w14:textId="42233CBF" w:rsidR="00B242D3" w:rsidRDefault="00F02FEE" w:rsidP="004336BD">
            <w:pPr>
              <w:pStyle w:val="UtilComTabletext"/>
              <w:jc w:val="right"/>
            </w:pPr>
            <w:r>
              <w:t>0.</w:t>
            </w:r>
            <w:r w:rsidR="004336BD">
              <w:t>02</w:t>
            </w:r>
          </w:p>
        </w:tc>
        <w:tc>
          <w:tcPr>
            <w:tcW w:w="1221" w:type="dxa"/>
            <w:tcBorders>
              <w:top w:val="single" w:sz="4" w:space="0" w:color="999999"/>
              <w:left w:val="single" w:sz="4" w:space="0" w:color="999999"/>
              <w:bottom w:val="single" w:sz="4" w:space="0" w:color="000000" w:themeColor="text1"/>
              <w:right w:val="single" w:sz="4" w:space="0" w:color="999999"/>
            </w:tcBorders>
          </w:tcPr>
          <w:p w14:paraId="05A0AD9D" w14:textId="54F320AC" w:rsidR="00B242D3" w:rsidRDefault="00F02FEE" w:rsidP="004336BD">
            <w:pPr>
              <w:pStyle w:val="UtilComTabletext"/>
              <w:jc w:val="right"/>
            </w:pPr>
            <w:r>
              <w:t>0.</w:t>
            </w:r>
            <w:r w:rsidR="004336BD">
              <w:t>03</w:t>
            </w:r>
          </w:p>
        </w:tc>
        <w:tc>
          <w:tcPr>
            <w:tcW w:w="1221" w:type="dxa"/>
            <w:tcBorders>
              <w:top w:val="single" w:sz="4" w:space="0" w:color="999999"/>
              <w:left w:val="single" w:sz="4" w:space="0" w:color="999999"/>
              <w:bottom w:val="single" w:sz="4" w:space="0" w:color="000000" w:themeColor="text1"/>
              <w:right w:val="single" w:sz="4" w:space="0" w:color="999999"/>
            </w:tcBorders>
          </w:tcPr>
          <w:p w14:paraId="003125CC" w14:textId="0E395C5A" w:rsidR="00B242D3" w:rsidRDefault="00F02FEE" w:rsidP="004336BD">
            <w:pPr>
              <w:pStyle w:val="UtilComTabletext"/>
              <w:jc w:val="right"/>
            </w:pPr>
            <w:r>
              <w:t>0.</w:t>
            </w:r>
            <w:r w:rsidR="004336BD">
              <w:t>03</w:t>
            </w:r>
          </w:p>
        </w:tc>
        <w:tc>
          <w:tcPr>
            <w:tcW w:w="1221" w:type="dxa"/>
            <w:tcBorders>
              <w:top w:val="single" w:sz="4" w:space="0" w:color="999999"/>
              <w:left w:val="single" w:sz="4" w:space="0" w:color="999999"/>
              <w:bottom w:val="single" w:sz="4" w:space="0" w:color="000000" w:themeColor="text1"/>
            </w:tcBorders>
            <w:shd w:val="clear" w:color="auto" w:fill="auto"/>
          </w:tcPr>
          <w:p w14:paraId="7883BAB4" w14:textId="49989175" w:rsidR="00B242D3" w:rsidRDefault="00F02FEE" w:rsidP="004336BD">
            <w:pPr>
              <w:pStyle w:val="UtilComTabletext"/>
              <w:jc w:val="right"/>
            </w:pPr>
            <w:r>
              <w:t>-0.</w:t>
            </w:r>
            <w:r w:rsidR="004336BD">
              <w:t>13</w:t>
            </w:r>
          </w:p>
        </w:tc>
      </w:tr>
      <w:tr w:rsidR="00B242D3" w:rsidRPr="008A4655" w14:paraId="19C93E89" w14:textId="77777777" w:rsidTr="001A3421">
        <w:trPr>
          <w:trHeight w:val="360"/>
        </w:trPr>
        <w:tc>
          <w:tcPr>
            <w:tcW w:w="1811" w:type="dxa"/>
            <w:tcBorders>
              <w:top w:val="single" w:sz="4" w:space="0" w:color="000000" w:themeColor="text1"/>
              <w:bottom w:val="single" w:sz="4" w:space="0" w:color="000000"/>
            </w:tcBorders>
          </w:tcPr>
          <w:p w14:paraId="0C1674F3" w14:textId="77777777" w:rsidR="00B242D3" w:rsidRDefault="00B242D3" w:rsidP="001A3421">
            <w:pPr>
              <w:pStyle w:val="UtilComTabletext"/>
            </w:pPr>
            <w:r>
              <w:t>Commission capex allowance</w:t>
            </w:r>
          </w:p>
        </w:tc>
        <w:tc>
          <w:tcPr>
            <w:tcW w:w="1221" w:type="dxa"/>
            <w:tcBorders>
              <w:top w:val="single" w:sz="4" w:space="0" w:color="000000" w:themeColor="text1"/>
              <w:bottom w:val="single" w:sz="4" w:space="0" w:color="000000"/>
            </w:tcBorders>
            <w:shd w:val="clear" w:color="auto" w:fill="auto"/>
          </w:tcPr>
          <w:p w14:paraId="54913F0E" w14:textId="5B75727C" w:rsidR="00B242D3" w:rsidRPr="00164ED4" w:rsidRDefault="004336BD" w:rsidP="00164ED4">
            <w:pPr>
              <w:pStyle w:val="UtilComTabletext"/>
              <w:tabs>
                <w:tab w:val="num" w:pos="522"/>
                <w:tab w:val="left" w:pos="993"/>
              </w:tabs>
              <w:ind w:left="522" w:hanging="450"/>
              <w:jc w:val="right"/>
            </w:pPr>
            <w:r w:rsidRPr="00164ED4">
              <w:t>75.</w:t>
            </w:r>
            <w:r w:rsidR="00164ED4">
              <w:t>36</w:t>
            </w:r>
          </w:p>
        </w:tc>
        <w:tc>
          <w:tcPr>
            <w:tcW w:w="1221" w:type="dxa"/>
            <w:tcBorders>
              <w:top w:val="single" w:sz="4" w:space="0" w:color="000000" w:themeColor="text1"/>
              <w:bottom w:val="single" w:sz="4" w:space="0" w:color="000000"/>
            </w:tcBorders>
            <w:shd w:val="clear" w:color="auto" w:fill="auto"/>
          </w:tcPr>
          <w:p w14:paraId="632CDF70" w14:textId="1172810F" w:rsidR="00B242D3" w:rsidRPr="00164ED4" w:rsidRDefault="004336BD" w:rsidP="001A3421">
            <w:pPr>
              <w:pStyle w:val="UtilComTabletext"/>
              <w:tabs>
                <w:tab w:val="num" w:pos="522"/>
                <w:tab w:val="left" w:pos="993"/>
              </w:tabs>
              <w:ind w:left="522" w:hanging="450"/>
              <w:jc w:val="right"/>
            </w:pPr>
            <w:r w:rsidRPr="00164ED4">
              <w:t>51.77</w:t>
            </w:r>
          </w:p>
        </w:tc>
        <w:tc>
          <w:tcPr>
            <w:tcW w:w="1221" w:type="dxa"/>
            <w:tcBorders>
              <w:top w:val="single" w:sz="4" w:space="0" w:color="000000" w:themeColor="text1"/>
              <w:bottom w:val="single" w:sz="4" w:space="0" w:color="000000"/>
            </w:tcBorders>
          </w:tcPr>
          <w:p w14:paraId="4B84C658" w14:textId="70CDDB76" w:rsidR="00B242D3" w:rsidRPr="00164ED4" w:rsidRDefault="00B242D3" w:rsidP="004336BD">
            <w:pPr>
              <w:pStyle w:val="UtilComTabletext"/>
              <w:tabs>
                <w:tab w:val="num" w:pos="522"/>
                <w:tab w:val="left" w:pos="993"/>
              </w:tabs>
              <w:ind w:left="522" w:hanging="450"/>
              <w:jc w:val="right"/>
            </w:pPr>
            <w:r w:rsidRPr="00164ED4">
              <w:t>40.</w:t>
            </w:r>
            <w:r w:rsidR="004336BD" w:rsidRPr="00164ED4">
              <w:t>94</w:t>
            </w:r>
          </w:p>
        </w:tc>
        <w:tc>
          <w:tcPr>
            <w:tcW w:w="1221" w:type="dxa"/>
            <w:tcBorders>
              <w:top w:val="single" w:sz="4" w:space="0" w:color="000000" w:themeColor="text1"/>
              <w:bottom w:val="single" w:sz="4" w:space="0" w:color="000000"/>
            </w:tcBorders>
          </w:tcPr>
          <w:p w14:paraId="3FBA0512" w14:textId="246934DB" w:rsidR="00B242D3" w:rsidRPr="00164ED4" w:rsidRDefault="004336BD" w:rsidP="001A3421">
            <w:pPr>
              <w:pStyle w:val="UtilComTabletext"/>
              <w:tabs>
                <w:tab w:val="num" w:pos="522"/>
                <w:tab w:val="left" w:pos="993"/>
              </w:tabs>
              <w:ind w:left="522" w:hanging="450"/>
              <w:jc w:val="right"/>
            </w:pPr>
            <w:r w:rsidRPr="00164ED4">
              <w:t>48.87</w:t>
            </w:r>
          </w:p>
        </w:tc>
        <w:tc>
          <w:tcPr>
            <w:tcW w:w="1221" w:type="dxa"/>
            <w:tcBorders>
              <w:top w:val="single" w:sz="4" w:space="0" w:color="000000" w:themeColor="text1"/>
              <w:bottom w:val="single" w:sz="4" w:space="0" w:color="000000"/>
            </w:tcBorders>
          </w:tcPr>
          <w:p w14:paraId="5E615AFB" w14:textId="731D7A1D" w:rsidR="00B242D3" w:rsidRPr="00164ED4" w:rsidRDefault="004336BD" w:rsidP="001A3421">
            <w:pPr>
              <w:pStyle w:val="UtilComTabletext"/>
              <w:tabs>
                <w:tab w:val="num" w:pos="522"/>
                <w:tab w:val="left" w:pos="993"/>
              </w:tabs>
              <w:ind w:left="522" w:hanging="450"/>
              <w:jc w:val="right"/>
            </w:pPr>
            <w:r w:rsidRPr="00164ED4">
              <w:t>57.09</w:t>
            </w:r>
          </w:p>
        </w:tc>
        <w:tc>
          <w:tcPr>
            <w:tcW w:w="1221" w:type="dxa"/>
            <w:tcBorders>
              <w:top w:val="single" w:sz="4" w:space="0" w:color="000000" w:themeColor="text1"/>
              <w:bottom w:val="single" w:sz="4" w:space="0" w:color="000000"/>
            </w:tcBorders>
            <w:shd w:val="clear" w:color="auto" w:fill="auto"/>
          </w:tcPr>
          <w:p w14:paraId="57EC280C" w14:textId="4CE2B274" w:rsidR="00B242D3" w:rsidRPr="00164ED4" w:rsidRDefault="004336BD" w:rsidP="001A3421">
            <w:pPr>
              <w:pStyle w:val="UtilComTabletext"/>
              <w:tabs>
                <w:tab w:val="num" w:pos="522"/>
                <w:tab w:val="left" w:pos="993"/>
              </w:tabs>
              <w:ind w:left="522" w:hanging="450"/>
              <w:jc w:val="right"/>
            </w:pPr>
            <w:r w:rsidRPr="00164ED4">
              <w:t>274.04</w:t>
            </w:r>
          </w:p>
        </w:tc>
      </w:tr>
    </w:tbl>
    <w:p w14:paraId="5870D001" w14:textId="77777777" w:rsidR="00B242D3" w:rsidRPr="00E529C5" w:rsidRDefault="00B242D3" w:rsidP="00B242D3">
      <w:pPr>
        <w:pStyle w:val="UtilComReferenceSource"/>
        <w:rPr>
          <w:lang w:val="en-AU"/>
        </w:rPr>
      </w:pPr>
      <w:r>
        <w:rPr>
          <w:lang w:val="en-AU"/>
        </w:rPr>
        <w:t>Source: Utilities Commission</w:t>
      </w:r>
    </w:p>
    <w:p w14:paraId="7AE8A614" w14:textId="57425C7B" w:rsidR="00A74AFB" w:rsidRDefault="00422CD4" w:rsidP="00422CD4">
      <w:pPr>
        <w:pStyle w:val="UtilComHeading3"/>
        <w:rPr>
          <w:lang w:val="en-AU"/>
        </w:rPr>
      </w:pPr>
      <w:r>
        <w:rPr>
          <w:lang w:val="en-AU"/>
        </w:rPr>
        <w:t xml:space="preserve">Contingent </w:t>
      </w:r>
      <w:r w:rsidR="00607326">
        <w:rPr>
          <w:lang w:val="en-AU"/>
        </w:rPr>
        <w:t>Projects</w:t>
      </w:r>
    </w:p>
    <w:p w14:paraId="4A3846CD" w14:textId="688305F8" w:rsidR="006E09C2" w:rsidRPr="006E09C2" w:rsidRDefault="00F3222D" w:rsidP="006E09C2">
      <w:pPr>
        <w:pStyle w:val="NumberLevel2"/>
        <w:numPr>
          <w:ilvl w:val="1"/>
          <w:numId w:val="5"/>
        </w:numPr>
        <w:tabs>
          <w:tab w:val="num" w:pos="709"/>
        </w:tabs>
        <w:ind w:left="709" w:hanging="709"/>
        <w:rPr>
          <w:lang w:val="en-AU"/>
        </w:rPr>
      </w:pPr>
      <w:r w:rsidRPr="00F2449D">
        <w:rPr>
          <w:lang w:val="en-AU"/>
        </w:rPr>
        <w:t xml:space="preserve">The </w:t>
      </w:r>
      <w:r>
        <w:rPr>
          <w:lang w:val="en-AU"/>
        </w:rPr>
        <w:t>Commission</w:t>
      </w:r>
      <w:r w:rsidR="00164ED4">
        <w:rPr>
          <w:lang w:val="en-AU"/>
        </w:rPr>
        <w:t>’s decision on</w:t>
      </w:r>
      <w:r w:rsidRPr="00F2449D">
        <w:rPr>
          <w:lang w:val="en-AU"/>
        </w:rPr>
        <w:t xml:space="preserve"> </w:t>
      </w:r>
      <w:r w:rsidR="006E09C2" w:rsidRPr="006E09C2">
        <w:rPr>
          <w:lang w:val="en-AU"/>
        </w:rPr>
        <w:t xml:space="preserve">contingent projects for the </w:t>
      </w:r>
      <w:r w:rsidR="00164ED4">
        <w:rPr>
          <w:lang w:val="en-AU"/>
        </w:rPr>
        <w:t>purposes of the 2014</w:t>
      </w:r>
      <w:r w:rsidR="00FD5D58">
        <w:rPr>
          <w:lang w:val="en-AU"/>
        </w:rPr>
        <w:t> </w:t>
      </w:r>
      <w:r w:rsidR="00164ED4">
        <w:rPr>
          <w:lang w:val="en-AU"/>
        </w:rPr>
        <w:t>Network Price Determination is set out in Chapter 13 of this Statement of Reasons.</w:t>
      </w:r>
    </w:p>
    <w:tbl>
      <w:tblPr>
        <w:tblW w:w="0" w:type="auto"/>
        <w:tblLayout w:type="fixed"/>
        <w:tblLook w:val="01E0" w:firstRow="1" w:lastRow="1" w:firstColumn="1" w:lastColumn="1" w:noHBand="0" w:noVBand="0"/>
      </w:tblPr>
      <w:tblGrid>
        <w:gridCol w:w="9288"/>
      </w:tblGrid>
      <w:tr w:rsidR="000C1567" w14:paraId="11FE9562" w14:textId="77777777" w:rsidTr="000C1567">
        <w:tc>
          <w:tcPr>
            <w:tcW w:w="9288" w:type="dxa"/>
          </w:tcPr>
          <w:p w14:paraId="60BEC7A9" w14:textId="77777777" w:rsidR="000C1567" w:rsidRDefault="000C1567" w:rsidP="00EF320F">
            <w:pPr>
              <w:pStyle w:val="NumberLevel1"/>
              <w:pageBreakBefore/>
              <w:numPr>
                <w:ilvl w:val="0"/>
                <w:numId w:val="4"/>
              </w:numPr>
              <w:ind w:left="431" w:hanging="431"/>
            </w:pPr>
            <w:r>
              <w:br w:type="page"/>
            </w:r>
          </w:p>
        </w:tc>
      </w:tr>
      <w:tr w:rsidR="000C1567" w14:paraId="47282773" w14:textId="77777777" w:rsidTr="000C1567">
        <w:tc>
          <w:tcPr>
            <w:tcW w:w="9288" w:type="dxa"/>
          </w:tcPr>
          <w:p w14:paraId="6EB59529" w14:textId="1267176A" w:rsidR="000C1567" w:rsidRDefault="003B28CD">
            <w:pPr>
              <w:pStyle w:val="UtilComChapterHeading"/>
              <w:outlineLvl w:val="0"/>
            </w:pPr>
            <w:bookmarkStart w:id="200" w:name="_Toc385241522"/>
            <w:bookmarkStart w:id="201" w:name="_Toc386013075"/>
            <w:r>
              <w:t xml:space="preserve">Forecast </w:t>
            </w:r>
            <w:r w:rsidR="00BA6E5D">
              <w:t xml:space="preserve">Operating </w:t>
            </w:r>
            <w:r w:rsidR="003C70EC">
              <w:t xml:space="preserve">and </w:t>
            </w:r>
            <w:r w:rsidR="00BA6E5D">
              <w:t xml:space="preserve">Maintenance </w:t>
            </w:r>
            <w:bookmarkEnd w:id="200"/>
            <w:r w:rsidR="00BA6E5D">
              <w:t>Expenditure</w:t>
            </w:r>
            <w:bookmarkEnd w:id="201"/>
          </w:p>
        </w:tc>
      </w:tr>
    </w:tbl>
    <w:p w14:paraId="6A7E53A5" w14:textId="77777777" w:rsidR="000C1567" w:rsidRDefault="00E70748" w:rsidP="000C1567">
      <w:pPr>
        <w:pStyle w:val="UtilComHeading2"/>
      </w:pPr>
      <w:bookmarkStart w:id="202" w:name="_Toc385241523"/>
      <w:bookmarkStart w:id="203" w:name="_Toc386013076"/>
      <w:r>
        <w:t>Introduction</w:t>
      </w:r>
      <w:bookmarkEnd w:id="202"/>
      <w:bookmarkEnd w:id="203"/>
    </w:p>
    <w:p w14:paraId="0B5BDE3A" w14:textId="0F3E7D4F" w:rsidR="00A7381F" w:rsidRPr="00AE64C5" w:rsidRDefault="00A7381F" w:rsidP="00006B84">
      <w:pPr>
        <w:pStyle w:val="NumberLevel2"/>
        <w:numPr>
          <w:ilvl w:val="1"/>
          <w:numId w:val="5"/>
        </w:numPr>
        <w:ind w:left="709" w:hanging="709"/>
        <w:rPr>
          <w:lang w:val="en-AU"/>
        </w:rPr>
      </w:pPr>
      <w:r w:rsidRPr="00AE64C5">
        <w:rPr>
          <w:lang w:val="en-AU"/>
        </w:rPr>
        <w:t xml:space="preserve">This chapter sets out the Commission’s </w:t>
      </w:r>
      <w:r w:rsidR="00254327">
        <w:rPr>
          <w:lang w:val="en-AU"/>
        </w:rPr>
        <w:t>decision</w:t>
      </w:r>
      <w:r w:rsidR="00254327" w:rsidRPr="00AE64C5">
        <w:rPr>
          <w:lang w:val="en-AU"/>
        </w:rPr>
        <w:t xml:space="preserve"> </w:t>
      </w:r>
      <w:r w:rsidRPr="00AE64C5">
        <w:rPr>
          <w:lang w:val="en-AU"/>
        </w:rPr>
        <w:t xml:space="preserve">on </w:t>
      </w:r>
      <w:r w:rsidR="00254327">
        <w:rPr>
          <w:lang w:val="en-AU"/>
        </w:rPr>
        <w:t>total operating and maintenance expenditure</w:t>
      </w:r>
      <w:r w:rsidRPr="00AE64C5">
        <w:rPr>
          <w:lang w:val="en-AU"/>
        </w:rPr>
        <w:t xml:space="preserve"> </w:t>
      </w:r>
      <w:r w:rsidR="00254327">
        <w:rPr>
          <w:lang w:val="en-AU"/>
        </w:rPr>
        <w:t>required by</w:t>
      </w:r>
      <w:r w:rsidR="00254327" w:rsidRPr="00AE64C5">
        <w:rPr>
          <w:lang w:val="en-AU"/>
        </w:rPr>
        <w:t xml:space="preserve"> </w:t>
      </w:r>
      <w:r w:rsidRPr="00AE64C5">
        <w:rPr>
          <w:lang w:val="en-AU"/>
        </w:rPr>
        <w:t xml:space="preserve">PWC Networks for the </w:t>
      </w:r>
      <w:r w:rsidR="0001674B">
        <w:rPr>
          <w:lang w:val="en-AU"/>
        </w:rPr>
        <w:t>2014-19</w:t>
      </w:r>
      <w:r w:rsidR="0001674B" w:rsidRPr="00AE64C5">
        <w:rPr>
          <w:lang w:val="en-AU"/>
        </w:rPr>
        <w:t xml:space="preserve"> </w:t>
      </w:r>
      <w:r w:rsidRPr="00AE64C5">
        <w:rPr>
          <w:lang w:val="en-AU"/>
        </w:rPr>
        <w:t>regulatory control period. It also:</w:t>
      </w:r>
    </w:p>
    <w:p w14:paraId="5E68FF28" w14:textId="6B59EC94" w:rsidR="00A7381F" w:rsidRDefault="00A7381F" w:rsidP="00006B84">
      <w:pPr>
        <w:pStyle w:val="UtilComBulletText"/>
        <w:tabs>
          <w:tab w:val="clear" w:pos="964"/>
        </w:tabs>
        <w:ind w:left="1134" w:hanging="425"/>
      </w:pPr>
      <w:r>
        <w:t xml:space="preserve">discusses the framework the Commission has applied in assessing </w:t>
      </w:r>
      <w:r w:rsidR="00254327">
        <w:t>PWC Networks’ proposed opex forecast</w:t>
      </w:r>
      <w:r>
        <w:t>;</w:t>
      </w:r>
    </w:p>
    <w:p w14:paraId="7D11822F" w14:textId="75536530" w:rsidR="00A7381F" w:rsidRDefault="00A7381F" w:rsidP="00006B84">
      <w:pPr>
        <w:pStyle w:val="UtilComBulletText"/>
        <w:tabs>
          <w:tab w:val="clear" w:pos="964"/>
        </w:tabs>
        <w:ind w:left="1134" w:hanging="425"/>
      </w:pPr>
      <w:r>
        <w:t xml:space="preserve">discusses the outcomes of the </w:t>
      </w:r>
      <w:r w:rsidR="007669D5">
        <w:t xml:space="preserve">2009-14 </w:t>
      </w:r>
      <w:r>
        <w:t>regulatory control period;</w:t>
      </w:r>
    </w:p>
    <w:p w14:paraId="23BC516B" w14:textId="73D5E266" w:rsidR="00A7381F" w:rsidRDefault="00A7381F" w:rsidP="00006B84">
      <w:pPr>
        <w:pStyle w:val="UtilComBulletText"/>
        <w:tabs>
          <w:tab w:val="clear" w:pos="964"/>
        </w:tabs>
        <w:ind w:left="1134" w:hanging="425"/>
      </w:pPr>
      <w:r>
        <w:t xml:space="preserve">provides a general overview of </w:t>
      </w:r>
      <w:r w:rsidR="00254327">
        <w:t>PWC Networks’ proposed opex forecast</w:t>
      </w:r>
      <w:r>
        <w:t>;</w:t>
      </w:r>
    </w:p>
    <w:p w14:paraId="0A8C3198" w14:textId="6F5B4DD3" w:rsidR="00A7381F" w:rsidRDefault="00A7381F" w:rsidP="00006B84">
      <w:pPr>
        <w:pStyle w:val="UtilComBulletText"/>
        <w:tabs>
          <w:tab w:val="clear" w:pos="964"/>
        </w:tabs>
        <w:ind w:left="1134" w:hanging="425"/>
      </w:pPr>
      <w:r>
        <w:t xml:space="preserve">lists comments made by stakeholders on </w:t>
      </w:r>
      <w:r w:rsidR="00254327">
        <w:t>PWC Networks’ proposed opex forecast</w:t>
      </w:r>
      <w:r>
        <w:t xml:space="preserve">; and </w:t>
      </w:r>
    </w:p>
    <w:p w14:paraId="3F573EC7" w14:textId="77777777" w:rsidR="00A7381F" w:rsidRDefault="00A7381F" w:rsidP="00006B84">
      <w:pPr>
        <w:pStyle w:val="UtilComBulletText"/>
        <w:tabs>
          <w:tab w:val="clear" w:pos="964"/>
        </w:tabs>
        <w:ind w:left="1134" w:hanging="425"/>
      </w:pPr>
      <w:r>
        <w:t>sets out the Commission’s considerations and responses to stakeholder comments.</w:t>
      </w:r>
    </w:p>
    <w:p w14:paraId="111038BB" w14:textId="17F9FDA6" w:rsidR="00E70748" w:rsidRDefault="00E70748" w:rsidP="00E70748">
      <w:pPr>
        <w:pStyle w:val="UtilComHeading2"/>
      </w:pPr>
      <w:bookmarkStart w:id="204" w:name="_Toc385241524"/>
      <w:bookmarkStart w:id="205" w:name="_Toc386013077"/>
      <w:r>
        <w:t xml:space="preserve">Regulatory </w:t>
      </w:r>
      <w:bookmarkEnd w:id="204"/>
      <w:r w:rsidR="00BA6E5D">
        <w:t>Requirements</w:t>
      </w:r>
      <w:bookmarkEnd w:id="205"/>
    </w:p>
    <w:p w14:paraId="365D08A5" w14:textId="1B5DE9D6" w:rsidR="00FA7D1F" w:rsidRPr="00FA7D1F" w:rsidRDefault="00FB2EC5" w:rsidP="00FA7D1F">
      <w:pPr>
        <w:pStyle w:val="UtilComHeading3"/>
      </w:pPr>
      <w:r>
        <w:t>Network Access Code</w:t>
      </w:r>
    </w:p>
    <w:p w14:paraId="2A2169F3" w14:textId="251A72B7" w:rsidR="00FA7D1F" w:rsidRDefault="00FA7D1F" w:rsidP="00006B84">
      <w:pPr>
        <w:pStyle w:val="NumberLevel2"/>
        <w:numPr>
          <w:ilvl w:val="1"/>
          <w:numId w:val="5"/>
        </w:numPr>
        <w:tabs>
          <w:tab w:val="num" w:pos="709"/>
        </w:tabs>
        <w:ind w:left="709" w:hanging="709"/>
        <w:rPr>
          <w:lang w:val="en-AU"/>
        </w:rPr>
      </w:pPr>
      <w:r>
        <w:rPr>
          <w:lang w:val="en-AU"/>
        </w:rPr>
        <w:t xml:space="preserve">Clause 68 of the </w:t>
      </w:r>
      <w:r w:rsidR="00FB2EC5">
        <w:rPr>
          <w:lang w:val="en-AU"/>
        </w:rPr>
        <w:t>Network Access Code</w:t>
      </w:r>
      <w:r>
        <w:rPr>
          <w:lang w:val="en-AU"/>
        </w:rPr>
        <w:t xml:space="preserve"> requires the Commission, in setting a revenue </w:t>
      </w:r>
      <w:r w:rsidR="00254327">
        <w:rPr>
          <w:lang w:val="en-AU"/>
        </w:rPr>
        <w:t xml:space="preserve">cap </w:t>
      </w:r>
      <w:r>
        <w:rPr>
          <w:lang w:val="en-AU"/>
        </w:rPr>
        <w:t xml:space="preserve">or price cap, to take into account the revenue requirements of </w:t>
      </w:r>
      <w:r w:rsidR="00254327">
        <w:rPr>
          <w:lang w:val="en-AU"/>
        </w:rPr>
        <w:t>PWC Networks</w:t>
      </w:r>
      <w:r>
        <w:rPr>
          <w:lang w:val="en-AU"/>
        </w:rPr>
        <w:t xml:space="preserve"> during the relevant </w:t>
      </w:r>
      <w:r w:rsidR="00254327">
        <w:rPr>
          <w:lang w:val="en-AU"/>
        </w:rPr>
        <w:t xml:space="preserve">regulatory </w:t>
      </w:r>
      <w:r>
        <w:rPr>
          <w:lang w:val="en-AU"/>
        </w:rPr>
        <w:t xml:space="preserve">year or </w:t>
      </w:r>
      <w:r w:rsidR="00254327">
        <w:rPr>
          <w:lang w:val="en-AU"/>
        </w:rPr>
        <w:t xml:space="preserve">regulatory </w:t>
      </w:r>
      <w:r>
        <w:rPr>
          <w:lang w:val="en-AU"/>
        </w:rPr>
        <w:t>years having regard to a number of factors.</w:t>
      </w:r>
    </w:p>
    <w:p w14:paraId="5EEA581B" w14:textId="77777777" w:rsidR="00FA7D1F" w:rsidRDefault="00FA7D1F" w:rsidP="00006B84">
      <w:pPr>
        <w:pStyle w:val="NumberLevel2"/>
        <w:numPr>
          <w:ilvl w:val="1"/>
          <w:numId w:val="5"/>
        </w:numPr>
        <w:tabs>
          <w:tab w:val="num" w:pos="709"/>
        </w:tabs>
        <w:ind w:left="709" w:hanging="709"/>
        <w:rPr>
          <w:lang w:val="en-AU"/>
        </w:rPr>
      </w:pPr>
      <w:r>
        <w:rPr>
          <w:lang w:val="en-AU"/>
        </w:rPr>
        <w:t>One of these factors is:</w:t>
      </w:r>
    </w:p>
    <w:p w14:paraId="5F42F2ED" w14:textId="77777777" w:rsidR="00FA7D1F" w:rsidRDefault="00FA7D1F" w:rsidP="00BB4311">
      <w:pPr>
        <w:pStyle w:val="UtilComQuotationText"/>
        <w:ind w:left="1134" w:hanging="425"/>
      </w:pPr>
      <w:r>
        <w:t>(f)</w:t>
      </w:r>
      <w:r>
        <w:tab/>
        <w:t>the right of the network provider to recover reasonable costs incurred by the network provider in connection with the operation and maintenance of the network, including those arising from but not limited to:</w:t>
      </w:r>
    </w:p>
    <w:p w14:paraId="266E5640" w14:textId="77777777" w:rsidR="00FA7D1F" w:rsidRDefault="00FA7D1F" w:rsidP="00DA59C9">
      <w:pPr>
        <w:pStyle w:val="UtilComQuotationText"/>
        <w:ind w:left="1560" w:hanging="426"/>
      </w:pPr>
      <w:r>
        <w:t>(i)</w:t>
      </w:r>
      <w:r>
        <w:tab/>
        <w:t>any Territory and Commonwealth taxes or equivalent taxes paid in connection with the operation of its business as a provider of network access services; and</w:t>
      </w:r>
    </w:p>
    <w:p w14:paraId="71EF9B28" w14:textId="6F1E1252" w:rsidR="00FA7D1F" w:rsidRPr="00FD4774" w:rsidRDefault="00FA7D1F" w:rsidP="00DA59C9">
      <w:pPr>
        <w:pStyle w:val="UtilComQuotationText"/>
        <w:ind w:left="1560" w:hanging="426"/>
      </w:pPr>
      <w:r>
        <w:t>(ii)</w:t>
      </w:r>
      <w:r>
        <w:tab/>
        <w:t>the tariffs and charges paid to other network providers irrespective of whether these tariffs and charges are regulated under this Code</w:t>
      </w:r>
      <w:r w:rsidR="00FD5D58">
        <w:t>.</w:t>
      </w:r>
    </w:p>
    <w:p w14:paraId="1020396E" w14:textId="77777777" w:rsidR="00BB3E26" w:rsidRDefault="00BB3E26" w:rsidP="00BB3E26">
      <w:pPr>
        <w:pStyle w:val="UtilComHeading3"/>
      </w:pPr>
      <w:r w:rsidRPr="00321BDA">
        <w:t>National Electricity Rules</w:t>
      </w:r>
    </w:p>
    <w:p w14:paraId="47B4B952" w14:textId="7A27888B" w:rsidR="00CD113C" w:rsidRPr="00CD113C" w:rsidRDefault="00CD113C" w:rsidP="00006B84">
      <w:pPr>
        <w:pStyle w:val="NumberLevel2"/>
        <w:numPr>
          <w:ilvl w:val="1"/>
          <w:numId w:val="5"/>
        </w:numPr>
        <w:tabs>
          <w:tab w:val="num" w:pos="709"/>
        </w:tabs>
        <w:ind w:left="709"/>
        <w:rPr>
          <w:lang w:val="en-AU"/>
        </w:rPr>
      </w:pPr>
      <w:r w:rsidRPr="00CD113C">
        <w:rPr>
          <w:lang w:val="en-AU"/>
        </w:rPr>
        <w:t xml:space="preserve">Clause 6.5.6(a) of the NER provides that a </w:t>
      </w:r>
      <w:r w:rsidR="00254327">
        <w:rPr>
          <w:lang w:val="en-AU"/>
        </w:rPr>
        <w:t>building block proposal</w:t>
      </w:r>
      <w:r w:rsidR="00254327" w:rsidRPr="00CD113C">
        <w:rPr>
          <w:lang w:val="en-AU"/>
        </w:rPr>
        <w:t xml:space="preserve"> </w:t>
      </w:r>
      <w:r w:rsidRPr="00CD113C">
        <w:rPr>
          <w:lang w:val="en-AU"/>
        </w:rPr>
        <w:t xml:space="preserve">must include the total forecast opex for the </w:t>
      </w:r>
      <w:r w:rsidR="00254327">
        <w:rPr>
          <w:lang w:val="en-AU"/>
        </w:rPr>
        <w:t xml:space="preserve">relevant </w:t>
      </w:r>
      <w:r w:rsidRPr="00CD113C">
        <w:rPr>
          <w:lang w:val="en-AU"/>
        </w:rPr>
        <w:t xml:space="preserve">regulatory control period </w:t>
      </w:r>
      <w:r w:rsidR="00254327">
        <w:rPr>
          <w:lang w:val="en-AU"/>
        </w:rPr>
        <w:t xml:space="preserve">which a DNSP considers is required </w:t>
      </w:r>
      <w:r w:rsidRPr="00CD113C">
        <w:rPr>
          <w:lang w:val="en-AU"/>
        </w:rPr>
        <w:t xml:space="preserve">in order to achieve the following </w:t>
      </w:r>
      <w:r w:rsidR="00254327">
        <w:rPr>
          <w:lang w:val="en-AU"/>
        </w:rPr>
        <w:t>operating expenditure</w:t>
      </w:r>
      <w:r w:rsidR="00254327" w:rsidRPr="00CD113C">
        <w:rPr>
          <w:lang w:val="en-AU"/>
        </w:rPr>
        <w:t xml:space="preserve"> </w:t>
      </w:r>
      <w:r w:rsidRPr="00CD113C">
        <w:rPr>
          <w:lang w:val="en-AU"/>
        </w:rPr>
        <w:t>objectives:</w:t>
      </w:r>
    </w:p>
    <w:p w14:paraId="7B366C2E" w14:textId="77777777" w:rsidR="00CD113C" w:rsidRPr="00EB4A39" w:rsidRDefault="00CD113C" w:rsidP="00DA59C9">
      <w:pPr>
        <w:pStyle w:val="UtilComQuotationText"/>
        <w:ind w:left="1134" w:hanging="425"/>
      </w:pPr>
      <w:r w:rsidRPr="00EB4A39">
        <w:t xml:space="preserve">(1) </w:t>
      </w:r>
      <w:r w:rsidR="00B107FD" w:rsidRPr="00EB4A39">
        <w:tab/>
      </w:r>
      <w:r w:rsidRPr="00EB4A39">
        <w:t>meet or manage the expected demand for standard control services over that period;</w:t>
      </w:r>
    </w:p>
    <w:p w14:paraId="71E12867" w14:textId="77777777" w:rsidR="00CD113C" w:rsidRPr="00EB4A39" w:rsidRDefault="00CD113C" w:rsidP="00DA59C9">
      <w:pPr>
        <w:pStyle w:val="UtilComQuotationText"/>
        <w:ind w:left="1134" w:hanging="425"/>
      </w:pPr>
      <w:r w:rsidRPr="00EB4A39">
        <w:t xml:space="preserve">(2) </w:t>
      </w:r>
      <w:r w:rsidR="00B107FD" w:rsidRPr="00EB4A39">
        <w:tab/>
      </w:r>
      <w:r w:rsidRPr="00EB4A39">
        <w:t>comply with all applicable regulatory obligations or requirements associated with the provision of standard control services;</w:t>
      </w:r>
    </w:p>
    <w:p w14:paraId="65D7F5D2" w14:textId="49A52903" w:rsidR="00840B77" w:rsidRDefault="00CD113C" w:rsidP="00DA59C9">
      <w:pPr>
        <w:pStyle w:val="UtilComQuotationText"/>
        <w:ind w:left="1134" w:hanging="425"/>
      </w:pPr>
      <w:r w:rsidRPr="00EB4A39">
        <w:t xml:space="preserve">(3) </w:t>
      </w:r>
      <w:r w:rsidR="00B107FD" w:rsidRPr="00EB4A39">
        <w:tab/>
      </w:r>
      <w:r w:rsidR="00840B77">
        <w:t xml:space="preserve">to the extent that there is no applicable regulatory </w:t>
      </w:r>
      <w:r w:rsidR="001C4A6B">
        <w:t>obligation</w:t>
      </w:r>
      <w:r w:rsidR="00840B77">
        <w:t xml:space="preserve"> or requirement in relation to:</w:t>
      </w:r>
    </w:p>
    <w:p w14:paraId="28FE639D" w14:textId="26A94ABC" w:rsidR="00840B77" w:rsidRDefault="00840B77" w:rsidP="00BB4311">
      <w:pPr>
        <w:pStyle w:val="UtilComQuotationText"/>
        <w:ind w:left="1418" w:hanging="284"/>
      </w:pPr>
      <w:r>
        <w:t xml:space="preserve">(i) </w:t>
      </w:r>
      <w:r w:rsidR="00DA59C9">
        <w:tab/>
      </w:r>
      <w:r>
        <w:t>the quality, reliability or security of supply of standard control services; or</w:t>
      </w:r>
    </w:p>
    <w:p w14:paraId="42404E35" w14:textId="47A4DBD9" w:rsidR="00840B77" w:rsidRDefault="00840B77" w:rsidP="00BB4311">
      <w:pPr>
        <w:pStyle w:val="UtilComQuotationText"/>
        <w:ind w:left="1418" w:hanging="284"/>
      </w:pPr>
      <w:r>
        <w:t xml:space="preserve">(ii) </w:t>
      </w:r>
      <w:r w:rsidR="00DA59C9">
        <w:tab/>
      </w:r>
      <w:r>
        <w:t>the reliability or security of the distribution system through the supply of standard control services;</w:t>
      </w:r>
    </w:p>
    <w:p w14:paraId="38052EBB" w14:textId="77777777" w:rsidR="00840B77" w:rsidRDefault="00840B77" w:rsidP="00BB4311">
      <w:pPr>
        <w:pStyle w:val="UtilComQuotationText"/>
        <w:ind w:left="1570" w:hanging="577"/>
      </w:pPr>
      <w:r>
        <w:t>to the relevant extent:</w:t>
      </w:r>
    </w:p>
    <w:p w14:paraId="39DE8FDB" w14:textId="799263CB" w:rsidR="00CD113C" w:rsidRDefault="00840B77" w:rsidP="00DA59C9">
      <w:pPr>
        <w:pStyle w:val="UtilComQuotationText"/>
        <w:ind w:left="1418" w:hanging="284"/>
      </w:pPr>
      <w:r>
        <w:t xml:space="preserve">(iii) </w:t>
      </w:r>
      <w:r w:rsidR="00CD113C" w:rsidRPr="00EB4A39">
        <w:t>maintain the quality, reliability and security of supply of standard control services;</w:t>
      </w:r>
      <w:r>
        <w:t xml:space="preserve"> and</w:t>
      </w:r>
    </w:p>
    <w:p w14:paraId="2A4188D2" w14:textId="6FB1B678" w:rsidR="00840B77" w:rsidRPr="00EB4A39" w:rsidRDefault="00840B77" w:rsidP="00DA59C9">
      <w:pPr>
        <w:pStyle w:val="UtilComQuotationText"/>
        <w:ind w:left="1418" w:hanging="284"/>
      </w:pPr>
      <w:r>
        <w:t>(iv) maintain the reliability or security of the distribution system through the supply of standard control services</w:t>
      </w:r>
      <w:r w:rsidR="00FD5D58">
        <w:t>;</w:t>
      </w:r>
    </w:p>
    <w:p w14:paraId="2F2AA5F9" w14:textId="77777777" w:rsidR="00E70748" w:rsidRPr="00EB4A39" w:rsidRDefault="00CD113C" w:rsidP="00BB4311">
      <w:pPr>
        <w:pStyle w:val="UtilComQuotationText"/>
        <w:ind w:left="1134" w:hanging="425"/>
      </w:pPr>
      <w:r w:rsidRPr="00EB4A39">
        <w:t xml:space="preserve">(4) </w:t>
      </w:r>
      <w:r w:rsidR="00B107FD" w:rsidRPr="00EB4A39">
        <w:tab/>
      </w:r>
      <w:r w:rsidRPr="00EB4A39">
        <w:t>maintain the safety of the distribution system through the supply of standard control services.</w:t>
      </w:r>
    </w:p>
    <w:p w14:paraId="7F708C9D" w14:textId="27FFEF12" w:rsidR="00254327" w:rsidRPr="00254327" w:rsidRDefault="00254327" w:rsidP="00E22790">
      <w:pPr>
        <w:pStyle w:val="NumberLevel2"/>
        <w:numPr>
          <w:ilvl w:val="1"/>
          <w:numId w:val="5"/>
        </w:numPr>
        <w:tabs>
          <w:tab w:val="num" w:pos="709"/>
        </w:tabs>
        <w:ind w:left="709" w:hanging="709"/>
        <w:rPr>
          <w:lang w:val="en-AU"/>
        </w:rPr>
      </w:pPr>
      <w:r w:rsidRPr="00254327">
        <w:rPr>
          <w:lang w:val="en-AU"/>
        </w:rPr>
        <w:t>The DNSP's proposed operating expenditure forecast must also comply with any relevant regulatory information instrument, for expenditure that is properly allocated to standard control services in accordance with the principles and policies in the DNSP's CAM and include and identify several other matters specified in clause 6.5.6(b) of the NER.</w:t>
      </w:r>
    </w:p>
    <w:p w14:paraId="0D6CC933" w14:textId="0BE59601" w:rsidR="00CD113C" w:rsidRPr="00CD113C" w:rsidRDefault="00CD113C" w:rsidP="00006B84">
      <w:pPr>
        <w:pStyle w:val="NumberLevel2"/>
        <w:numPr>
          <w:ilvl w:val="1"/>
          <w:numId w:val="5"/>
        </w:numPr>
        <w:tabs>
          <w:tab w:val="num" w:pos="709"/>
        </w:tabs>
        <w:ind w:left="709" w:hanging="709"/>
        <w:rPr>
          <w:lang w:val="en-AU"/>
        </w:rPr>
      </w:pPr>
      <w:r w:rsidRPr="00CD113C">
        <w:rPr>
          <w:lang w:val="en-AU"/>
        </w:rPr>
        <w:t xml:space="preserve">Clause 6.5.6(c) of the NER provides that the AER must accept the </w:t>
      </w:r>
      <w:r w:rsidR="00254327">
        <w:rPr>
          <w:lang w:val="en-AU"/>
        </w:rPr>
        <w:t xml:space="preserve">forecast </w:t>
      </w:r>
      <w:r w:rsidRPr="00CD113C">
        <w:rPr>
          <w:lang w:val="en-AU"/>
        </w:rPr>
        <w:t xml:space="preserve">opex included in </w:t>
      </w:r>
      <w:r w:rsidR="00254327">
        <w:rPr>
          <w:lang w:val="en-AU"/>
        </w:rPr>
        <w:t>the DNSP’s</w:t>
      </w:r>
      <w:r w:rsidR="00254327" w:rsidRPr="00CD113C">
        <w:rPr>
          <w:lang w:val="en-AU"/>
        </w:rPr>
        <w:t xml:space="preserve"> </w:t>
      </w:r>
      <w:r w:rsidRPr="00CD113C">
        <w:rPr>
          <w:lang w:val="en-AU"/>
        </w:rPr>
        <w:t>building block proposal if it is satisfied that the total of the forecast opex for the regulatory control period reasonably reflects</w:t>
      </w:r>
      <w:r w:rsidR="00254327">
        <w:rPr>
          <w:lang w:val="en-AU"/>
        </w:rPr>
        <w:t xml:space="preserve"> each of the following operating expenditure criteria</w:t>
      </w:r>
      <w:r w:rsidRPr="00CD113C">
        <w:rPr>
          <w:lang w:val="en-AU"/>
        </w:rPr>
        <w:t>:</w:t>
      </w:r>
    </w:p>
    <w:p w14:paraId="216F5FB4" w14:textId="77777777" w:rsidR="00CD113C" w:rsidRPr="004B63D8" w:rsidRDefault="00CD113C" w:rsidP="00DA59C9">
      <w:pPr>
        <w:pStyle w:val="UtilComQuotationText"/>
        <w:ind w:left="1276" w:hanging="425"/>
      </w:pPr>
      <w:r w:rsidRPr="004B63D8">
        <w:t xml:space="preserve">(1) </w:t>
      </w:r>
      <w:r w:rsidR="009707B7">
        <w:tab/>
      </w:r>
      <w:r w:rsidRPr="004B63D8">
        <w:t>the efficient costs of achieving the opex objectives; and</w:t>
      </w:r>
    </w:p>
    <w:p w14:paraId="48B73C61" w14:textId="77777777" w:rsidR="00CD113C" w:rsidRPr="004B63D8" w:rsidRDefault="00CD113C" w:rsidP="00DA59C9">
      <w:pPr>
        <w:pStyle w:val="UtilComQuotationText"/>
        <w:ind w:left="1276" w:hanging="425"/>
      </w:pPr>
      <w:r w:rsidRPr="004B63D8">
        <w:t xml:space="preserve">(2) </w:t>
      </w:r>
      <w:r w:rsidR="009707B7">
        <w:tab/>
      </w:r>
      <w:r w:rsidRPr="004B63D8">
        <w:t>the costs that a prudent operator in the circumstances of the relevant DNSP would require to achieve the opex objectives; and</w:t>
      </w:r>
    </w:p>
    <w:p w14:paraId="389433B9" w14:textId="77777777" w:rsidR="00CD113C" w:rsidRPr="004B63D8" w:rsidRDefault="00CD113C" w:rsidP="00DA59C9">
      <w:pPr>
        <w:pStyle w:val="UtilComQuotationText"/>
        <w:ind w:left="1276" w:hanging="425"/>
      </w:pPr>
      <w:r w:rsidRPr="004B63D8">
        <w:t xml:space="preserve">(3) </w:t>
      </w:r>
      <w:r w:rsidR="009707B7">
        <w:tab/>
      </w:r>
      <w:r w:rsidRPr="004B63D8">
        <w:t>a realistic expectation of the demand forecast and cost inputs required to achieve the opex objectives.</w:t>
      </w:r>
    </w:p>
    <w:p w14:paraId="28911BEC" w14:textId="0A7EBA32" w:rsidR="00CD113C" w:rsidRDefault="00CD113C" w:rsidP="00F27EE5">
      <w:pPr>
        <w:pStyle w:val="NumberLevel2"/>
        <w:numPr>
          <w:ilvl w:val="1"/>
          <w:numId w:val="5"/>
        </w:numPr>
        <w:tabs>
          <w:tab w:val="num" w:pos="709"/>
        </w:tabs>
        <w:ind w:left="709" w:hanging="709"/>
        <w:rPr>
          <w:lang w:val="en-AU"/>
        </w:rPr>
      </w:pPr>
      <w:r w:rsidRPr="00CD113C">
        <w:rPr>
          <w:lang w:val="en-AU"/>
        </w:rPr>
        <w:t>In making this assessment</w:t>
      </w:r>
      <w:r w:rsidR="00EB4A39">
        <w:rPr>
          <w:lang w:val="en-AU"/>
        </w:rPr>
        <w:t>,</w:t>
      </w:r>
      <w:r w:rsidRPr="00CD113C">
        <w:rPr>
          <w:lang w:val="en-AU"/>
        </w:rPr>
        <w:t xml:space="preserve"> the AER must have regard to the </w:t>
      </w:r>
      <w:r w:rsidR="00254327">
        <w:rPr>
          <w:lang w:val="en-AU"/>
        </w:rPr>
        <w:t>operating expenditure</w:t>
      </w:r>
      <w:r w:rsidR="00254327" w:rsidRPr="00CD113C">
        <w:rPr>
          <w:lang w:val="en-AU"/>
        </w:rPr>
        <w:t xml:space="preserve"> </w:t>
      </w:r>
      <w:r w:rsidRPr="00CD113C">
        <w:rPr>
          <w:lang w:val="en-AU"/>
        </w:rPr>
        <w:t>factors contained in clause 6.5.6(e) of the N</w:t>
      </w:r>
      <w:r>
        <w:rPr>
          <w:lang w:val="en-AU"/>
        </w:rPr>
        <w:t>ER.</w:t>
      </w:r>
      <w:r w:rsidR="00F27EE5" w:rsidRPr="00F27EE5">
        <w:rPr>
          <w:lang w:val="en-AU"/>
        </w:rPr>
        <w:t xml:space="preserve"> These factors were amended </w:t>
      </w:r>
      <w:r w:rsidR="00254327">
        <w:rPr>
          <w:lang w:val="en-AU"/>
        </w:rPr>
        <w:t>in</w:t>
      </w:r>
      <w:r w:rsidR="00F27EE5" w:rsidRPr="00F27EE5">
        <w:rPr>
          <w:lang w:val="en-AU"/>
        </w:rPr>
        <w:t xml:space="preserve"> November 2012, with a stronger emphasis being placed on benchmarking and a new factor </w:t>
      </w:r>
      <w:r w:rsidR="00254327">
        <w:rPr>
          <w:lang w:val="en-AU"/>
        </w:rPr>
        <w:t xml:space="preserve">included </w:t>
      </w:r>
      <w:r w:rsidR="00F27EE5" w:rsidRPr="00F27EE5">
        <w:rPr>
          <w:lang w:val="en-AU"/>
        </w:rPr>
        <w:t xml:space="preserve">to address the concerns identified by consumers. </w:t>
      </w:r>
    </w:p>
    <w:p w14:paraId="61E8ECCC" w14:textId="40D292CA" w:rsidR="00CD113C" w:rsidRPr="00CD113C" w:rsidRDefault="00CD113C" w:rsidP="00006B84">
      <w:pPr>
        <w:pStyle w:val="NumberLevel2"/>
        <w:numPr>
          <w:ilvl w:val="1"/>
          <w:numId w:val="5"/>
        </w:numPr>
        <w:tabs>
          <w:tab w:val="num" w:pos="709"/>
        </w:tabs>
        <w:ind w:left="709" w:hanging="709"/>
        <w:rPr>
          <w:lang w:val="en-AU"/>
        </w:rPr>
      </w:pPr>
      <w:r w:rsidRPr="00CD113C">
        <w:rPr>
          <w:lang w:val="en-AU"/>
        </w:rPr>
        <w:t xml:space="preserve">Clause 6.5.6(d) of the NER states that, if the AER is not satisfied that a DNSP’s forecast opex reasonably reflects the </w:t>
      </w:r>
      <w:r w:rsidR="00A85D46">
        <w:rPr>
          <w:lang w:val="en-AU"/>
        </w:rPr>
        <w:t>operating expenditure</w:t>
      </w:r>
      <w:r w:rsidR="00A85D46" w:rsidRPr="00CD113C">
        <w:rPr>
          <w:lang w:val="en-AU"/>
        </w:rPr>
        <w:t xml:space="preserve"> </w:t>
      </w:r>
      <w:r w:rsidRPr="00CD113C">
        <w:rPr>
          <w:lang w:val="en-AU"/>
        </w:rPr>
        <w:t xml:space="preserve">criteria, then the AER must not accept the </w:t>
      </w:r>
      <w:r w:rsidR="00A85D46">
        <w:rPr>
          <w:lang w:val="en-AU"/>
        </w:rPr>
        <w:t xml:space="preserve">DNSP’s </w:t>
      </w:r>
      <w:r w:rsidRPr="00CD113C">
        <w:rPr>
          <w:lang w:val="en-AU"/>
        </w:rPr>
        <w:t xml:space="preserve">forecast </w:t>
      </w:r>
      <w:r w:rsidR="00A85D46">
        <w:rPr>
          <w:lang w:val="en-AU"/>
        </w:rPr>
        <w:t xml:space="preserve">required </w:t>
      </w:r>
      <w:r w:rsidRPr="00CD113C">
        <w:rPr>
          <w:lang w:val="en-AU"/>
        </w:rPr>
        <w:t>opex</w:t>
      </w:r>
      <w:r w:rsidR="00A85D46">
        <w:rPr>
          <w:lang w:val="en-AU"/>
        </w:rPr>
        <w:t>.</w:t>
      </w:r>
    </w:p>
    <w:p w14:paraId="116635C3" w14:textId="20834C59" w:rsidR="00A85D46" w:rsidRPr="00A85D46" w:rsidRDefault="00A85D46" w:rsidP="00A85D46">
      <w:pPr>
        <w:pStyle w:val="NumberLevel2"/>
        <w:numPr>
          <w:ilvl w:val="1"/>
          <w:numId w:val="5"/>
        </w:numPr>
        <w:tabs>
          <w:tab w:val="num" w:pos="709"/>
        </w:tabs>
        <w:ind w:left="709" w:hanging="709"/>
        <w:rPr>
          <w:lang w:val="en-AU"/>
        </w:rPr>
      </w:pPr>
      <w:r w:rsidRPr="00A85D46">
        <w:rPr>
          <w:lang w:val="en-AU"/>
        </w:rPr>
        <w:t>If the AER does not accept the DNSP's forecast required opex, then it must set out its reasons for that decision and an estimate of the total of the DNSPs required operating expenditure that it is satisfied reasonably reflects the operating expenditure criteria, taking into account the operating expenditure factors outlined in clause 6.5.7 of the NER</w:t>
      </w:r>
      <w:r w:rsidR="00111134">
        <w:rPr>
          <w:lang w:val="en-AU"/>
        </w:rPr>
        <w:t>.</w:t>
      </w:r>
    </w:p>
    <w:p w14:paraId="57B3F2E7" w14:textId="29E87357" w:rsidR="00CD113C" w:rsidRDefault="00CD113C" w:rsidP="00CD113C">
      <w:pPr>
        <w:pStyle w:val="UtilComHeading3"/>
      </w:pPr>
      <w:r>
        <w:t xml:space="preserve">Framework </w:t>
      </w:r>
      <w:r w:rsidR="00A85D46">
        <w:t>Statement</w:t>
      </w:r>
    </w:p>
    <w:p w14:paraId="2D7A6EB9" w14:textId="5B7FED80" w:rsidR="00CD113C" w:rsidRPr="005D1A1E" w:rsidRDefault="00CD113C" w:rsidP="00006B84">
      <w:pPr>
        <w:pStyle w:val="NumberLevel2"/>
        <w:numPr>
          <w:ilvl w:val="1"/>
          <w:numId w:val="5"/>
        </w:numPr>
        <w:tabs>
          <w:tab w:val="num" w:pos="709"/>
        </w:tabs>
        <w:ind w:left="709" w:hanging="709"/>
        <w:rPr>
          <w:lang w:val="en-AU"/>
        </w:rPr>
      </w:pPr>
      <w:r w:rsidRPr="009F1175">
        <w:rPr>
          <w:lang w:val="en-AU"/>
        </w:rPr>
        <w:t xml:space="preserve">In its Framework </w:t>
      </w:r>
      <w:r w:rsidR="00CD69F1">
        <w:rPr>
          <w:lang w:val="en-AU"/>
        </w:rPr>
        <w:t>Statement</w:t>
      </w:r>
      <w:r w:rsidRPr="00CD113C">
        <w:rPr>
          <w:rStyle w:val="FootnoteReference"/>
          <w:vertAlign w:val="baseline"/>
        </w:rPr>
        <w:t>,</w:t>
      </w:r>
      <w:r w:rsidRPr="009F1175">
        <w:rPr>
          <w:lang w:val="en-AU"/>
        </w:rPr>
        <w:t xml:space="preserve"> the Commission </w:t>
      </w:r>
      <w:r w:rsidR="00A85D46">
        <w:rPr>
          <w:lang w:val="en-AU"/>
        </w:rPr>
        <w:t>stated that</w:t>
      </w:r>
      <w:r w:rsidRPr="009F1175">
        <w:rPr>
          <w:lang w:val="en-AU"/>
        </w:rPr>
        <w:t xml:space="preserve"> </w:t>
      </w:r>
      <w:r>
        <w:rPr>
          <w:lang w:val="en-AU"/>
        </w:rPr>
        <w:t>its</w:t>
      </w:r>
      <w:r w:rsidRPr="009F1175">
        <w:rPr>
          <w:lang w:val="en-AU"/>
        </w:rPr>
        <w:t xml:space="preserve"> preferred approach </w:t>
      </w:r>
      <w:r w:rsidR="00A85D46">
        <w:rPr>
          <w:lang w:val="en-AU"/>
        </w:rPr>
        <w:t>was to</w:t>
      </w:r>
      <w:r w:rsidRPr="005D1A1E">
        <w:rPr>
          <w:lang w:val="en-AU"/>
        </w:rPr>
        <w:t xml:space="preserve"> assess </w:t>
      </w:r>
      <w:r w:rsidR="00A85D46">
        <w:rPr>
          <w:lang w:val="en-AU"/>
        </w:rPr>
        <w:t>PWC Networks’ proposed</w:t>
      </w:r>
      <w:r w:rsidR="00A85D46" w:rsidRPr="005D1A1E">
        <w:rPr>
          <w:lang w:val="en-AU"/>
        </w:rPr>
        <w:t xml:space="preserve"> </w:t>
      </w:r>
      <w:r w:rsidRPr="005D1A1E">
        <w:rPr>
          <w:lang w:val="en-AU"/>
        </w:rPr>
        <w:t xml:space="preserve">forecast </w:t>
      </w:r>
      <w:r w:rsidR="00A85D46">
        <w:rPr>
          <w:lang w:val="en-AU"/>
        </w:rPr>
        <w:t>opex</w:t>
      </w:r>
      <w:r w:rsidRPr="005D1A1E">
        <w:rPr>
          <w:lang w:val="en-AU"/>
        </w:rPr>
        <w:t xml:space="preserve"> against the requirements of clause 6.5.</w:t>
      </w:r>
      <w:r>
        <w:rPr>
          <w:lang w:val="en-AU"/>
        </w:rPr>
        <w:t>6</w:t>
      </w:r>
      <w:r w:rsidRPr="005D1A1E">
        <w:rPr>
          <w:lang w:val="en-AU"/>
        </w:rPr>
        <w:t xml:space="preserve"> of the NER</w:t>
      </w:r>
      <w:r>
        <w:rPr>
          <w:lang w:val="en-AU"/>
        </w:rPr>
        <w:t>.</w:t>
      </w:r>
    </w:p>
    <w:p w14:paraId="4CF66AC6" w14:textId="347CB642" w:rsidR="00E70748" w:rsidRDefault="00E70748" w:rsidP="00E70748">
      <w:pPr>
        <w:pStyle w:val="UtilComHeading2"/>
      </w:pPr>
      <w:bookmarkStart w:id="206" w:name="_Toc385241525"/>
      <w:bookmarkStart w:id="207" w:name="_Toc386013078"/>
      <w:r>
        <w:t xml:space="preserve">Current </w:t>
      </w:r>
      <w:r w:rsidR="001C5A9B">
        <w:t>Period O</w:t>
      </w:r>
      <w:r>
        <w:t>utcomes</w:t>
      </w:r>
      <w:bookmarkEnd w:id="206"/>
      <w:bookmarkEnd w:id="207"/>
    </w:p>
    <w:p w14:paraId="246B1748" w14:textId="436153D9" w:rsidR="00C3736D" w:rsidRPr="00C3736D" w:rsidRDefault="00C3736D" w:rsidP="00006B84">
      <w:pPr>
        <w:pStyle w:val="NumberLevel2"/>
        <w:numPr>
          <w:ilvl w:val="1"/>
          <w:numId w:val="5"/>
        </w:numPr>
        <w:tabs>
          <w:tab w:val="num" w:pos="709"/>
        </w:tabs>
        <w:ind w:left="709" w:hanging="709"/>
        <w:rPr>
          <w:lang w:val="en-AU"/>
        </w:rPr>
      </w:pPr>
      <w:r w:rsidRPr="00C3736D">
        <w:rPr>
          <w:lang w:val="en-AU"/>
        </w:rPr>
        <w:t xml:space="preserve">The Commission has been unable to undertake a detailed analysis of operating and maintenance expenditure outcomes with respect to the </w:t>
      </w:r>
      <w:r w:rsidR="002045BF">
        <w:rPr>
          <w:lang w:val="en-AU"/>
        </w:rPr>
        <w:t>total required opex</w:t>
      </w:r>
      <w:r w:rsidR="002045BF" w:rsidRPr="00C3736D">
        <w:rPr>
          <w:lang w:val="en-AU"/>
        </w:rPr>
        <w:t xml:space="preserve"> </w:t>
      </w:r>
      <w:r w:rsidRPr="00C3736D">
        <w:rPr>
          <w:lang w:val="en-AU"/>
        </w:rPr>
        <w:t>set by the Commission</w:t>
      </w:r>
      <w:r w:rsidR="00104762">
        <w:rPr>
          <w:lang w:val="en-AU"/>
        </w:rPr>
        <w:t xml:space="preserve"> for the 2009-14 </w:t>
      </w:r>
      <w:r w:rsidR="00D3346B">
        <w:rPr>
          <w:lang w:val="en-AU"/>
        </w:rPr>
        <w:t xml:space="preserve">regulatory control </w:t>
      </w:r>
      <w:r w:rsidR="00104762">
        <w:rPr>
          <w:lang w:val="en-AU"/>
        </w:rPr>
        <w:t>period</w:t>
      </w:r>
      <w:r w:rsidRPr="00C3736D">
        <w:rPr>
          <w:lang w:val="en-AU"/>
        </w:rPr>
        <w:t xml:space="preserve">, as the </w:t>
      </w:r>
      <w:r w:rsidR="00D83DD0">
        <w:rPr>
          <w:lang w:val="en-AU"/>
        </w:rPr>
        <w:t>2009 Network Price Determination</w:t>
      </w:r>
      <w:r w:rsidRPr="00C3736D">
        <w:rPr>
          <w:lang w:val="en-AU"/>
        </w:rPr>
        <w:t xml:space="preserve"> was not based on a building block approach and </w:t>
      </w:r>
      <w:r w:rsidR="002045BF">
        <w:rPr>
          <w:lang w:val="en-AU"/>
        </w:rPr>
        <w:t xml:space="preserve">did not contain </w:t>
      </w:r>
      <w:r w:rsidRPr="00C3736D">
        <w:rPr>
          <w:lang w:val="en-AU"/>
        </w:rPr>
        <w:t xml:space="preserve">a bottom up assessment of proposed opex. </w:t>
      </w:r>
      <w:r w:rsidR="002045BF">
        <w:rPr>
          <w:lang w:val="en-AU"/>
        </w:rPr>
        <w:t>Instead</w:t>
      </w:r>
      <w:r w:rsidRPr="00C3736D">
        <w:rPr>
          <w:lang w:val="en-AU"/>
        </w:rPr>
        <w:t xml:space="preserve">, the Commission applied a TFP-style approach to escalate the total revenue </w:t>
      </w:r>
      <w:r w:rsidR="002045BF">
        <w:rPr>
          <w:lang w:val="en-AU"/>
        </w:rPr>
        <w:t>requirement</w:t>
      </w:r>
      <w:r w:rsidR="002045BF" w:rsidRPr="00C3736D">
        <w:rPr>
          <w:lang w:val="en-AU"/>
        </w:rPr>
        <w:t xml:space="preserve"> </w:t>
      </w:r>
      <w:r w:rsidRPr="00C3736D">
        <w:rPr>
          <w:lang w:val="en-AU"/>
        </w:rPr>
        <w:t xml:space="preserve">in line with what the Commission would expect an efficient </w:t>
      </w:r>
      <w:r w:rsidR="002045BF">
        <w:rPr>
          <w:lang w:val="en-AU"/>
        </w:rPr>
        <w:t>network service provider</w:t>
      </w:r>
      <w:r w:rsidR="002045BF" w:rsidRPr="00C3736D">
        <w:rPr>
          <w:lang w:val="en-AU"/>
        </w:rPr>
        <w:t xml:space="preserve"> </w:t>
      </w:r>
      <w:r w:rsidRPr="00C3736D">
        <w:rPr>
          <w:lang w:val="en-AU"/>
        </w:rPr>
        <w:t>to require.</w:t>
      </w:r>
    </w:p>
    <w:p w14:paraId="3B68E778" w14:textId="02AFA65C" w:rsidR="00C3736D" w:rsidRPr="00C3736D" w:rsidRDefault="00C3736D" w:rsidP="00006B84">
      <w:pPr>
        <w:pStyle w:val="NumberLevel2"/>
        <w:numPr>
          <w:ilvl w:val="1"/>
          <w:numId w:val="5"/>
        </w:numPr>
        <w:tabs>
          <w:tab w:val="num" w:pos="709"/>
        </w:tabs>
        <w:ind w:left="709" w:hanging="709"/>
        <w:rPr>
          <w:lang w:val="en-AU"/>
        </w:rPr>
      </w:pPr>
      <w:r w:rsidRPr="00C3736D">
        <w:rPr>
          <w:lang w:val="en-AU"/>
        </w:rPr>
        <w:t xml:space="preserve">The Commission has backcast the </w:t>
      </w:r>
      <w:r w:rsidR="00D83DD0">
        <w:rPr>
          <w:lang w:val="en-AU"/>
        </w:rPr>
        <w:t>2009 Network Price Determination</w:t>
      </w:r>
      <w:r w:rsidRPr="00C3736D">
        <w:rPr>
          <w:lang w:val="en-AU"/>
        </w:rPr>
        <w:t xml:space="preserve"> to estimate the </w:t>
      </w:r>
      <w:r w:rsidR="002045BF">
        <w:rPr>
          <w:lang w:val="en-AU"/>
        </w:rPr>
        <w:t xml:space="preserve">total required </w:t>
      </w:r>
      <w:r w:rsidRPr="00C3736D">
        <w:rPr>
          <w:lang w:val="en-AU"/>
        </w:rPr>
        <w:t xml:space="preserve">opex that would have given rise to the same revenue outcomes. The estimated </w:t>
      </w:r>
      <w:r w:rsidR="002045BF">
        <w:rPr>
          <w:lang w:val="en-AU"/>
        </w:rPr>
        <w:t xml:space="preserve">total required </w:t>
      </w:r>
      <w:r w:rsidRPr="00C3736D">
        <w:rPr>
          <w:lang w:val="en-AU"/>
        </w:rPr>
        <w:t xml:space="preserve">opex, the increase attributable to the cost pass through approved by the Commission in </w:t>
      </w:r>
      <w:r w:rsidR="006B769D" w:rsidRPr="00C3736D">
        <w:rPr>
          <w:lang w:val="en-AU"/>
        </w:rPr>
        <w:t>May</w:t>
      </w:r>
      <w:r w:rsidR="006B769D">
        <w:rPr>
          <w:lang w:val="en-AU"/>
        </w:rPr>
        <w:t> </w:t>
      </w:r>
      <w:r w:rsidRPr="00C3736D">
        <w:rPr>
          <w:lang w:val="en-AU"/>
        </w:rPr>
        <w:t xml:space="preserve">2013 and PWC </w:t>
      </w:r>
      <w:r w:rsidR="006B769D">
        <w:rPr>
          <w:lang w:val="en-AU"/>
        </w:rPr>
        <w:t>N</w:t>
      </w:r>
      <w:r w:rsidR="006B769D" w:rsidRPr="00C3736D">
        <w:rPr>
          <w:lang w:val="en-AU"/>
        </w:rPr>
        <w:t>etworks</w:t>
      </w:r>
      <w:r w:rsidR="002045BF">
        <w:rPr>
          <w:lang w:val="en-AU"/>
        </w:rPr>
        <w:t>’</w:t>
      </w:r>
      <w:r w:rsidR="006B769D" w:rsidRPr="00C3736D">
        <w:rPr>
          <w:lang w:val="en-AU"/>
        </w:rPr>
        <w:t xml:space="preserve"> </w:t>
      </w:r>
      <w:r w:rsidRPr="00C3736D">
        <w:rPr>
          <w:lang w:val="en-AU"/>
        </w:rPr>
        <w:t xml:space="preserve">actual and forecast opex for the </w:t>
      </w:r>
      <w:r w:rsidR="007669D5">
        <w:rPr>
          <w:lang w:val="en-AU"/>
        </w:rPr>
        <w:t>2009-14</w:t>
      </w:r>
      <w:r w:rsidR="007669D5" w:rsidRPr="00C3736D">
        <w:rPr>
          <w:lang w:val="en-AU"/>
        </w:rPr>
        <w:t xml:space="preserve"> </w:t>
      </w:r>
      <w:r w:rsidRPr="00C3736D">
        <w:rPr>
          <w:lang w:val="en-AU"/>
        </w:rPr>
        <w:t xml:space="preserve">regulatory control period are shown in </w:t>
      </w:r>
      <w:r w:rsidR="006B769D">
        <w:rPr>
          <w:lang w:val="en-AU"/>
        </w:rPr>
        <w:t>T</w:t>
      </w:r>
      <w:r w:rsidR="006B769D" w:rsidRPr="00C3736D">
        <w:rPr>
          <w:lang w:val="en-AU"/>
        </w:rPr>
        <w:t xml:space="preserve">able </w:t>
      </w:r>
      <w:r w:rsidR="002045BF">
        <w:rPr>
          <w:lang w:val="en-AU"/>
        </w:rPr>
        <w:t>10</w:t>
      </w:r>
      <w:r w:rsidRPr="00C3736D">
        <w:rPr>
          <w:lang w:val="en-AU"/>
        </w:rPr>
        <w:t>.1.</w:t>
      </w:r>
    </w:p>
    <w:p w14:paraId="4284B6EB" w14:textId="405DF844" w:rsidR="00C3736D" w:rsidRPr="00AA0AF1" w:rsidRDefault="00C3736D" w:rsidP="00006B84">
      <w:pPr>
        <w:pStyle w:val="NumberLevel2"/>
        <w:numPr>
          <w:ilvl w:val="1"/>
          <w:numId w:val="5"/>
        </w:numPr>
        <w:tabs>
          <w:tab w:val="num" w:pos="709"/>
        </w:tabs>
        <w:ind w:left="709" w:hanging="709"/>
        <w:rPr>
          <w:lang w:val="en-AU"/>
        </w:rPr>
      </w:pPr>
      <w:r w:rsidRPr="00AA0AF1">
        <w:rPr>
          <w:lang w:val="en-AU"/>
        </w:rPr>
        <w:t xml:space="preserve">PWC Networks is expected to exceed the estimated </w:t>
      </w:r>
      <w:r w:rsidR="002045BF">
        <w:rPr>
          <w:lang w:val="en-AU"/>
        </w:rPr>
        <w:t>opex</w:t>
      </w:r>
      <w:r w:rsidR="00E22790">
        <w:rPr>
          <w:lang w:val="en-AU"/>
        </w:rPr>
        <w:t xml:space="preserve"> for the 2009-14 regulatory control period, </w:t>
      </w:r>
      <w:r w:rsidRPr="00AA0AF1">
        <w:rPr>
          <w:lang w:val="en-AU"/>
        </w:rPr>
        <w:t>including the additional cost pass through allowance, by $</w:t>
      </w:r>
      <w:r w:rsidR="00AA0AF1" w:rsidRPr="00AA0AF1">
        <w:rPr>
          <w:lang w:val="en-AU"/>
        </w:rPr>
        <w:t>148</w:t>
      </w:r>
      <w:r w:rsidRPr="00AA0AF1">
        <w:rPr>
          <w:lang w:val="en-AU"/>
        </w:rPr>
        <w:t>.</w:t>
      </w:r>
      <w:r w:rsidR="002045BF" w:rsidRPr="00AA0AF1">
        <w:rPr>
          <w:lang w:val="en-AU"/>
        </w:rPr>
        <w:t>2</w:t>
      </w:r>
      <w:r w:rsidR="002045BF">
        <w:rPr>
          <w:lang w:val="en-AU"/>
        </w:rPr>
        <w:t> </w:t>
      </w:r>
      <w:r w:rsidRPr="00AA0AF1">
        <w:rPr>
          <w:lang w:val="en-AU"/>
        </w:rPr>
        <w:t>million (</w:t>
      </w:r>
      <w:r w:rsidR="002045BF" w:rsidRPr="00AA0AF1">
        <w:rPr>
          <w:lang w:val="en-AU"/>
        </w:rPr>
        <w:t>46</w:t>
      </w:r>
      <w:r w:rsidR="002045BF">
        <w:rPr>
          <w:lang w:val="en-AU"/>
        </w:rPr>
        <w:t> per </w:t>
      </w:r>
      <w:r w:rsidR="006B769D">
        <w:rPr>
          <w:lang w:val="en-AU"/>
        </w:rPr>
        <w:t>cent</w:t>
      </w:r>
      <w:r w:rsidRPr="00AA0AF1">
        <w:rPr>
          <w:lang w:val="en-AU"/>
        </w:rPr>
        <w:t>).</w:t>
      </w:r>
    </w:p>
    <w:p w14:paraId="786A246B" w14:textId="77777777" w:rsidR="00AA0AF1" w:rsidRPr="00AA0AF1" w:rsidRDefault="00C3736D" w:rsidP="00006B84">
      <w:pPr>
        <w:pStyle w:val="NumberLevel2"/>
        <w:numPr>
          <w:ilvl w:val="1"/>
          <w:numId w:val="5"/>
        </w:numPr>
        <w:tabs>
          <w:tab w:val="num" w:pos="709"/>
        </w:tabs>
        <w:ind w:left="709" w:hanging="709"/>
        <w:rPr>
          <w:lang w:val="en-AU"/>
        </w:rPr>
      </w:pPr>
      <w:r w:rsidRPr="00AA0AF1">
        <w:rPr>
          <w:lang w:val="en-AU"/>
        </w:rPr>
        <w:t>PWC Networks identified the main drivers of the overspend as</w:t>
      </w:r>
      <w:r w:rsidR="00AA0AF1" w:rsidRPr="00AA0AF1">
        <w:rPr>
          <w:lang w:val="en-AU"/>
        </w:rPr>
        <w:t>:</w:t>
      </w:r>
    </w:p>
    <w:p w14:paraId="1B040EEA" w14:textId="77777777" w:rsidR="00AA0AF1" w:rsidRPr="006B769D" w:rsidRDefault="00AA0AF1" w:rsidP="004B63D8">
      <w:pPr>
        <w:pStyle w:val="UtilComQuotationText"/>
        <w:ind w:left="1134"/>
      </w:pPr>
      <w:r w:rsidRPr="006B769D">
        <w:t>the deteriorating state of assets, changes to the asset management approach, and the minimum levels of expenditure required to satisfy core network asset management related principles regarding the safety of the network and the objective maintenance needs of assets. (</w:t>
      </w:r>
      <w:r w:rsidR="006B769D" w:rsidRPr="006B769D">
        <w:t>p</w:t>
      </w:r>
      <w:r w:rsidR="006B769D">
        <w:t>ages</w:t>
      </w:r>
      <w:r w:rsidRPr="006B769D">
        <w:t>.90-91)</w:t>
      </w:r>
    </w:p>
    <w:p w14:paraId="05BCEC05" w14:textId="27FF842B" w:rsidR="004323A1" w:rsidRPr="00AA0AF1" w:rsidRDefault="004323A1" w:rsidP="00006B84">
      <w:pPr>
        <w:pStyle w:val="NumberLevel2"/>
        <w:numPr>
          <w:ilvl w:val="1"/>
          <w:numId w:val="5"/>
        </w:numPr>
        <w:tabs>
          <w:tab w:val="num" w:pos="709"/>
        </w:tabs>
        <w:ind w:left="709" w:hanging="709"/>
        <w:rPr>
          <w:lang w:val="en-AU"/>
        </w:rPr>
      </w:pPr>
      <w:r w:rsidRPr="00AA0AF1">
        <w:rPr>
          <w:lang w:val="en-AU"/>
        </w:rPr>
        <w:t xml:space="preserve">PWC Networks </w:t>
      </w:r>
      <w:r>
        <w:rPr>
          <w:lang w:val="en-AU"/>
        </w:rPr>
        <w:t xml:space="preserve">has </w:t>
      </w:r>
      <w:r w:rsidR="002045BF">
        <w:rPr>
          <w:lang w:val="en-AU"/>
        </w:rPr>
        <w:t xml:space="preserve">submitted </w:t>
      </w:r>
      <w:r>
        <w:rPr>
          <w:lang w:val="en-AU"/>
        </w:rPr>
        <w:t xml:space="preserve">that </w:t>
      </w:r>
      <w:r w:rsidR="00CA1AEC">
        <w:rPr>
          <w:lang w:val="en-AU"/>
        </w:rPr>
        <w:t xml:space="preserve">a significant contributor to the </w:t>
      </w:r>
      <w:r>
        <w:rPr>
          <w:lang w:val="en-AU"/>
        </w:rPr>
        <w:t xml:space="preserve">overspend </w:t>
      </w:r>
      <w:r w:rsidR="00CA1AEC">
        <w:rPr>
          <w:lang w:val="en-AU"/>
        </w:rPr>
        <w:t xml:space="preserve">in the </w:t>
      </w:r>
      <w:r w:rsidR="007669D5">
        <w:rPr>
          <w:lang w:val="en-AU"/>
        </w:rPr>
        <w:t xml:space="preserve">2009-14 </w:t>
      </w:r>
      <w:r w:rsidR="00CA1AEC">
        <w:rPr>
          <w:lang w:val="en-AU"/>
        </w:rPr>
        <w:t xml:space="preserve">regulatory control period </w:t>
      </w:r>
      <w:r>
        <w:rPr>
          <w:lang w:val="en-AU"/>
        </w:rPr>
        <w:t xml:space="preserve">was </w:t>
      </w:r>
      <w:r w:rsidR="00CA1AEC">
        <w:rPr>
          <w:lang w:val="en-AU"/>
        </w:rPr>
        <w:t>that</w:t>
      </w:r>
      <w:r>
        <w:rPr>
          <w:lang w:val="en-AU"/>
        </w:rPr>
        <w:t xml:space="preserve"> the </w:t>
      </w:r>
      <w:r w:rsidR="002045BF">
        <w:rPr>
          <w:lang w:val="en-AU"/>
        </w:rPr>
        <w:t>estimates of required</w:t>
      </w:r>
      <w:r>
        <w:rPr>
          <w:lang w:val="en-AU"/>
        </w:rPr>
        <w:t xml:space="preserve"> opex </w:t>
      </w:r>
      <w:r w:rsidR="002045BF">
        <w:rPr>
          <w:lang w:val="en-AU"/>
        </w:rPr>
        <w:t xml:space="preserve">were </w:t>
      </w:r>
      <w:r>
        <w:rPr>
          <w:lang w:val="en-AU"/>
        </w:rPr>
        <w:t>too low:</w:t>
      </w:r>
    </w:p>
    <w:p w14:paraId="3BB73A75" w14:textId="77777777" w:rsidR="004323A1" w:rsidRPr="006B769D" w:rsidRDefault="004323A1" w:rsidP="004B63D8">
      <w:pPr>
        <w:pStyle w:val="UtilComQuotationText"/>
        <w:ind w:left="1145" w:firstLine="11"/>
      </w:pPr>
      <w:r w:rsidRPr="006B769D">
        <w:t>The shortfall in 2009-14 regulatory funding allowance has resulted in gaps in Power</w:t>
      </w:r>
      <w:r w:rsidR="006B769D">
        <w:t xml:space="preserve"> </w:t>
      </w:r>
      <w:r w:rsidRPr="006B769D">
        <w:t>Networks’ current operational and investment expenditure. This is in turn leading to the rationing of some standard control services and support functions and driving up costs above efficient levels. Examples of regulated funding constraints driving inefficient expenditure include:</w:t>
      </w:r>
    </w:p>
    <w:p w14:paraId="7F4A6EA5" w14:textId="77777777" w:rsidR="004323A1" w:rsidRPr="006B769D" w:rsidRDefault="004323A1" w:rsidP="008E229D">
      <w:pPr>
        <w:pStyle w:val="UtilComQuotationText"/>
        <w:numPr>
          <w:ilvl w:val="2"/>
          <w:numId w:val="12"/>
        </w:numPr>
        <w:ind w:left="1854" w:hanging="284"/>
      </w:pPr>
      <w:r w:rsidRPr="006B769D">
        <w:t xml:space="preserve">Under-expenditure on replacement investment is increasing the cost of planned and unplanned corrective maintenance (fault management); and </w:t>
      </w:r>
    </w:p>
    <w:p w14:paraId="6583AF78" w14:textId="77777777" w:rsidR="004323A1" w:rsidRPr="006B769D" w:rsidRDefault="004323A1" w:rsidP="008E229D">
      <w:pPr>
        <w:pStyle w:val="UtilComQuotationText"/>
        <w:numPr>
          <w:ilvl w:val="2"/>
          <w:numId w:val="12"/>
        </w:numPr>
        <w:ind w:left="1854" w:hanging="284"/>
      </w:pPr>
      <w:r w:rsidRPr="006B769D">
        <w:t>Under-expenditure on planned corrective maintenance is leading to a growing backlog of corrective maintenance, which is in turn driving an increase in unplanned corrective costs above efficient levels.</w:t>
      </w:r>
    </w:p>
    <w:p w14:paraId="07EF6E48" w14:textId="77777777" w:rsidR="004323A1" w:rsidRPr="006B769D" w:rsidRDefault="004323A1" w:rsidP="004B63D8">
      <w:pPr>
        <w:pStyle w:val="UtilComQuotationText"/>
        <w:ind w:left="1145" w:firstLine="11"/>
      </w:pPr>
      <w:r w:rsidRPr="006B769D">
        <w:t>In addition to the degraded level of operational efficiency, underfunding is reducing the scope and quality of standard control services.</w:t>
      </w:r>
      <w:r w:rsidR="006B769D">
        <w:t xml:space="preserve"> (page 92)</w:t>
      </w:r>
    </w:p>
    <w:p w14:paraId="076671EA" w14:textId="7D9C62D7" w:rsidR="004323A1" w:rsidRDefault="000B0D34" w:rsidP="00006B84">
      <w:pPr>
        <w:pStyle w:val="NumberLevel2"/>
        <w:numPr>
          <w:ilvl w:val="1"/>
          <w:numId w:val="5"/>
        </w:numPr>
        <w:tabs>
          <w:tab w:val="num" w:pos="709"/>
        </w:tabs>
        <w:ind w:left="709" w:hanging="709"/>
        <w:rPr>
          <w:lang w:val="en-AU"/>
        </w:rPr>
      </w:pPr>
      <w:r>
        <w:rPr>
          <w:lang w:val="en-AU"/>
        </w:rPr>
        <w:t xml:space="preserve">The Commission considers that the </w:t>
      </w:r>
      <w:r w:rsidR="002045BF">
        <w:rPr>
          <w:lang w:val="en-AU"/>
        </w:rPr>
        <w:t xml:space="preserve">required </w:t>
      </w:r>
      <w:r>
        <w:rPr>
          <w:lang w:val="en-AU"/>
        </w:rPr>
        <w:t xml:space="preserve">opex </w:t>
      </w:r>
      <w:r w:rsidR="002045BF">
        <w:rPr>
          <w:lang w:val="en-AU"/>
        </w:rPr>
        <w:t xml:space="preserve">forecasts </w:t>
      </w:r>
      <w:r>
        <w:rPr>
          <w:lang w:val="en-AU"/>
        </w:rPr>
        <w:t xml:space="preserve">for the </w:t>
      </w:r>
      <w:r w:rsidR="00D3346B">
        <w:rPr>
          <w:lang w:val="en-AU"/>
        </w:rPr>
        <w:t xml:space="preserve">2009-14 </w:t>
      </w:r>
      <w:r>
        <w:rPr>
          <w:lang w:val="en-AU"/>
        </w:rPr>
        <w:t xml:space="preserve">regulatory control period provided sufficient funding for the efficient </w:t>
      </w:r>
      <w:r w:rsidRPr="000B0D34">
        <w:rPr>
          <w:lang w:val="en-AU"/>
        </w:rPr>
        <w:t xml:space="preserve">operation and maintenance of </w:t>
      </w:r>
      <w:r w:rsidR="002045BF">
        <w:rPr>
          <w:lang w:val="en-AU"/>
        </w:rPr>
        <w:t>PWC Networks’ electricity</w:t>
      </w:r>
      <w:r w:rsidR="002045BF" w:rsidRPr="000B0D34">
        <w:rPr>
          <w:lang w:val="en-AU"/>
        </w:rPr>
        <w:t xml:space="preserve"> </w:t>
      </w:r>
      <w:r w:rsidRPr="000B0D34">
        <w:rPr>
          <w:lang w:val="en-AU"/>
        </w:rPr>
        <w:t>network</w:t>
      </w:r>
      <w:r>
        <w:rPr>
          <w:lang w:val="en-AU"/>
        </w:rPr>
        <w:t>, based on PWC Networks</w:t>
      </w:r>
      <w:r w:rsidR="00A515F5">
        <w:rPr>
          <w:lang w:val="en-AU"/>
        </w:rPr>
        <w:t>’</w:t>
      </w:r>
      <w:r>
        <w:rPr>
          <w:lang w:val="en-AU"/>
        </w:rPr>
        <w:t xml:space="preserve"> practices at </w:t>
      </w:r>
      <w:r w:rsidR="00A75B70">
        <w:rPr>
          <w:lang w:val="en-AU"/>
        </w:rPr>
        <w:t xml:space="preserve">that </w:t>
      </w:r>
      <w:r>
        <w:rPr>
          <w:lang w:val="en-AU"/>
        </w:rPr>
        <w:t>time.</w:t>
      </w:r>
    </w:p>
    <w:p w14:paraId="002CC281" w14:textId="4CF0A1CB" w:rsidR="000B0D34" w:rsidRPr="000B0D34" w:rsidRDefault="00A515F5" w:rsidP="00006B84">
      <w:pPr>
        <w:pStyle w:val="NumberLevel2"/>
        <w:numPr>
          <w:ilvl w:val="1"/>
          <w:numId w:val="5"/>
        </w:numPr>
        <w:tabs>
          <w:tab w:val="num" w:pos="709"/>
        </w:tabs>
        <w:ind w:left="709" w:hanging="709"/>
        <w:rPr>
          <w:lang w:val="en-AU"/>
        </w:rPr>
      </w:pPr>
      <w:r>
        <w:rPr>
          <w:lang w:val="en-AU"/>
        </w:rPr>
        <w:t>F</w:t>
      </w:r>
      <w:r w:rsidR="000B0D34">
        <w:rPr>
          <w:lang w:val="en-AU"/>
        </w:rPr>
        <w:t xml:space="preserve">ollowing the Casuarina failure in late 2008, the </w:t>
      </w:r>
      <w:r w:rsidR="000B0D34" w:rsidRPr="000B0D34">
        <w:rPr>
          <w:lang w:val="en-AU"/>
        </w:rPr>
        <w:t xml:space="preserve">Davies Review </w:t>
      </w:r>
      <w:r>
        <w:rPr>
          <w:lang w:val="en-AU"/>
        </w:rPr>
        <w:t xml:space="preserve">subsequently </w:t>
      </w:r>
      <w:r w:rsidR="000B0D34">
        <w:rPr>
          <w:lang w:val="en-AU"/>
        </w:rPr>
        <w:t>identified a number of shortcomings in PWC Networks</w:t>
      </w:r>
      <w:r>
        <w:rPr>
          <w:lang w:val="en-AU"/>
        </w:rPr>
        <w:t>’</w:t>
      </w:r>
      <w:r w:rsidR="000B0D34">
        <w:rPr>
          <w:lang w:val="en-AU"/>
        </w:rPr>
        <w:t xml:space="preserve"> policies, practices and procedures. </w:t>
      </w:r>
      <w:r w:rsidR="000B0D34" w:rsidRPr="000B0D34">
        <w:rPr>
          <w:lang w:val="en-AU"/>
        </w:rPr>
        <w:t xml:space="preserve">The Davies Review found that PWC </w:t>
      </w:r>
      <w:r w:rsidR="000B0D34">
        <w:rPr>
          <w:lang w:val="en-AU"/>
        </w:rPr>
        <w:t xml:space="preserve">Networks </w:t>
      </w:r>
      <w:r w:rsidR="000B0D34" w:rsidRPr="000B0D34">
        <w:rPr>
          <w:lang w:val="en-AU"/>
        </w:rPr>
        <w:t xml:space="preserve">did not have in place the systems and processes to collect and analyse the necessary information </w:t>
      </w:r>
      <w:r>
        <w:rPr>
          <w:lang w:val="en-AU"/>
        </w:rPr>
        <w:t>that would</w:t>
      </w:r>
      <w:r w:rsidRPr="000B0D34">
        <w:rPr>
          <w:lang w:val="en-AU"/>
        </w:rPr>
        <w:t xml:space="preserve"> </w:t>
      </w:r>
      <w:r w:rsidR="00E22790">
        <w:rPr>
          <w:lang w:val="en-AU"/>
        </w:rPr>
        <w:t xml:space="preserve">have </w:t>
      </w:r>
      <w:r w:rsidR="000B0D34" w:rsidRPr="000B0D34">
        <w:rPr>
          <w:lang w:val="en-AU"/>
        </w:rPr>
        <w:t>allow</w:t>
      </w:r>
      <w:r w:rsidR="00E22790">
        <w:rPr>
          <w:lang w:val="en-AU"/>
        </w:rPr>
        <w:t>ed</w:t>
      </w:r>
      <w:r w:rsidR="000B0D34" w:rsidRPr="000B0D34">
        <w:rPr>
          <w:lang w:val="en-AU"/>
        </w:rPr>
        <w:t xml:space="preserve"> it to appropriately manage and maintain its </w:t>
      </w:r>
      <w:r w:rsidR="002045BF">
        <w:rPr>
          <w:lang w:val="en-AU"/>
        </w:rPr>
        <w:t>electricity network</w:t>
      </w:r>
      <w:r w:rsidR="00110E8B">
        <w:rPr>
          <w:lang w:val="en-AU"/>
        </w:rPr>
        <w:t xml:space="preserve">, and thus lacked </w:t>
      </w:r>
      <w:r w:rsidR="000B0D34" w:rsidRPr="000B0D34">
        <w:rPr>
          <w:lang w:val="en-AU"/>
        </w:rPr>
        <w:t xml:space="preserve">the systems and knowhow required to implement alternative better approaches being adopted throughout the </w:t>
      </w:r>
      <w:r w:rsidR="002045BF">
        <w:rPr>
          <w:lang w:val="en-AU"/>
        </w:rPr>
        <w:t xml:space="preserve">Australian electricity </w:t>
      </w:r>
      <w:r w:rsidR="000B0D34" w:rsidRPr="000B0D34">
        <w:rPr>
          <w:lang w:val="en-AU"/>
        </w:rPr>
        <w:t>industry.</w:t>
      </w:r>
    </w:p>
    <w:p w14:paraId="502E6D95" w14:textId="2FD917B3" w:rsidR="00596D70" w:rsidRPr="00596D70" w:rsidRDefault="00596D70" w:rsidP="00006B84">
      <w:pPr>
        <w:pStyle w:val="NumberLevel2"/>
        <w:numPr>
          <w:ilvl w:val="1"/>
          <w:numId w:val="5"/>
        </w:numPr>
        <w:tabs>
          <w:tab w:val="num" w:pos="709"/>
        </w:tabs>
        <w:ind w:left="709" w:hanging="709"/>
        <w:rPr>
          <w:lang w:val="en-AU"/>
        </w:rPr>
      </w:pPr>
      <w:r>
        <w:rPr>
          <w:lang w:val="en-AU"/>
        </w:rPr>
        <w:t xml:space="preserve">The Commission considers that the overspend in the </w:t>
      </w:r>
      <w:r w:rsidR="00D3346B">
        <w:rPr>
          <w:lang w:val="en-AU"/>
        </w:rPr>
        <w:t xml:space="preserve">2009-14 </w:t>
      </w:r>
      <w:r>
        <w:rPr>
          <w:lang w:val="en-AU"/>
        </w:rPr>
        <w:t xml:space="preserve">regulatory </w:t>
      </w:r>
      <w:r w:rsidR="00A75B70">
        <w:rPr>
          <w:lang w:val="en-AU"/>
        </w:rPr>
        <w:t xml:space="preserve">control </w:t>
      </w:r>
      <w:r>
        <w:rPr>
          <w:lang w:val="en-AU"/>
        </w:rPr>
        <w:t xml:space="preserve">period is largely explained by </w:t>
      </w:r>
      <w:r w:rsidR="002045BF">
        <w:rPr>
          <w:lang w:val="en-AU"/>
        </w:rPr>
        <w:t xml:space="preserve">the </w:t>
      </w:r>
      <w:r>
        <w:rPr>
          <w:lang w:val="en-AU"/>
        </w:rPr>
        <w:t xml:space="preserve">implementation of the Davies Review recommendations and resulting changed work practices, and that this has been taken into account by </w:t>
      </w:r>
      <w:r w:rsidR="00A515F5">
        <w:rPr>
          <w:lang w:val="en-AU"/>
        </w:rPr>
        <w:t>PWC </w:t>
      </w:r>
      <w:r>
        <w:rPr>
          <w:lang w:val="en-AU"/>
        </w:rPr>
        <w:t xml:space="preserve">Networks in developing its regulatory proposal. </w:t>
      </w:r>
    </w:p>
    <w:p w14:paraId="404B98DB" w14:textId="6291498F" w:rsidR="00CD69F1" w:rsidRPr="00A139AD" w:rsidRDefault="00CD69F1" w:rsidP="00A515F5">
      <w:pPr>
        <w:pStyle w:val="UtilComTableTitle"/>
        <w:keepNext/>
        <w:spacing w:before="120" w:after="0" w:line="240" w:lineRule="exact"/>
      </w:pPr>
      <w:r>
        <w:t xml:space="preserve">Table </w:t>
      </w:r>
      <w:r w:rsidR="00D3346B">
        <w:t>10</w:t>
      </w:r>
      <w:r>
        <w:t>.1: PWC Networks</w:t>
      </w:r>
      <w:r w:rsidR="001C5A9B">
        <w:t>’</w:t>
      </w:r>
      <w:r w:rsidRPr="00622FA2">
        <w:t xml:space="preserve"> </w:t>
      </w:r>
      <w:r w:rsidR="001C5A9B">
        <w:t>o</w:t>
      </w:r>
      <w:r w:rsidR="001C5A9B" w:rsidRPr="00125E7A">
        <w:t>pex outcomes</w:t>
      </w:r>
      <w:r w:rsidR="001C5A9B">
        <w:t xml:space="preserve"> </w:t>
      </w:r>
      <w:r>
        <w:t xml:space="preserve">for </w:t>
      </w:r>
      <w:r w:rsidR="002045BF">
        <w:t xml:space="preserve">the </w:t>
      </w:r>
      <w:r w:rsidR="007669D5">
        <w:t xml:space="preserve">2009-14 </w:t>
      </w:r>
      <w:r>
        <w:t>regulatory control period</w:t>
      </w:r>
      <w:r w:rsidRPr="00125E7A">
        <w:t xml:space="preserve"> ($</w:t>
      </w:r>
      <w:r w:rsidR="00484786">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CD69F1" w:rsidRPr="008A4655" w14:paraId="5BD8173E" w14:textId="77777777" w:rsidTr="00E07D5C">
        <w:trPr>
          <w:trHeight w:val="360"/>
        </w:trPr>
        <w:tc>
          <w:tcPr>
            <w:tcW w:w="1811" w:type="dxa"/>
            <w:tcBorders>
              <w:top w:val="single" w:sz="4" w:space="0" w:color="999999"/>
              <w:bottom w:val="single" w:sz="4" w:space="0" w:color="auto"/>
            </w:tcBorders>
          </w:tcPr>
          <w:p w14:paraId="2F33DE4E" w14:textId="77777777" w:rsidR="00CD69F1" w:rsidRPr="00EE5A08" w:rsidRDefault="00CD69F1" w:rsidP="00E07D5C">
            <w:pPr>
              <w:pStyle w:val="UtilComTabletext"/>
              <w:jc w:val="center"/>
              <w:rPr>
                <w:b/>
              </w:rPr>
            </w:pPr>
          </w:p>
        </w:tc>
        <w:tc>
          <w:tcPr>
            <w:tcW w:w="1221" w:type="dxa"/>
            <w:tcBorders>
              <w:top w:val="single" w:sz="4" w:space="0" w:color="999999"/>
              <w:bottom w:val="single" w:sz="4" w:space="0" w:color="auto"/>
            </w:tcBorders>
            <w:tcMar>
              <w:left w:w="0" w:type="dxa"/>
            </w:tcMar>
          </w:tcPr>
          <w:p w14:paraId="73E41A85" w14:textId="77777777" w:rsidR="00CD69F1" w:rsidRPr="00EE5A08" w:rsidRDefault="00CD69F1" w:rsidP="00E07D5C">
            <w:pPr>
              <w:pStyle w:val="UtilComTabletext"/>
              <w:jc w:val="center"/>
              <w:rPr>
                <w:b/>
              </w:rPr>
            </w:pPr>
            <w:r>
              <w:rPr>
                <w:b/>
              </w:rPr>
              <w:t>2009-10</w:t>
            </w:r>
          </w:p>
        </w:tc>
        <w:tc>
          <w:tcPr>
            <w:tcW w:w="1221" w:type="dxa"/>
            <w:tcBorders>
              <w:top w:val="single" w:sz="4" w:space="0" w:color="999999"/>
              <w:bottom w:val="single" w:sz="4" w:space="0" w:color="auto"/>
            </w:tcBorders>
            <w:tcMar>
              <w:left w:w="0" w:type="dxa"/>
            </w:tcMar>
          </w:tcPr>
          <w:p w14:paraId="10DA4566" w14:textId="77777777" w:rsidR="00CD69F1" w:rsidRPr="00EE5A08" w:rsidRDefault="00CD69F1" w:rsidP="00E07D5C">
            <w:pPr>
              <w:pStyle w:val="UtilComTabletext"/>
              <w:jc w:val="center"/>
              <w:rPr>
                <w:b/>
              </w:rPr>
            </w:pPr>
            <w:r>
              <w:rPr>
                <w:b/>
              </w:rPr>
              <w:t>2010-11</w:t>
            </w:r>
          </w:p>
        </w:tc>
        <w:tc>
          <w:tcPr>
            <w:tcW w:w="1221" w:type="dxa"/>
            <w:tcBorders>
              <w:top w:val="single" w:sz="4" w:space="0" w:color="999999"/>
              <w:bottom w:val="single" w:sz="4" w:space="0" w:color="auto"/>
            </w:tcBorders>
          </w:tcPr>
          <w:p w14:paraId="20A50EE2" w14:textId="77777777" w:rsidR="00CD69F1" w:rsidRDefault="00CD69F1" w:rsidP="00E07D5C">
            <w:pPr>
              <w:pStyle w:val="UtilComTabletext"/>
              <w:jc w:val="center"/>
              <w:rPr>
                <w:b/>
              </w:rPr>
            </w:pPr>
            <w:r>
              <w:rPr>
                <w:b/>
              </w:rPr>
              <w:t>2011-12</w:t>
            </w:r>
          </w:p>
        </w:tc>
        <w:tc>
          <w:tcPr>
            <w:tcW w:w="1221" w:type="dxa"/>
            <w:tcBorders>
              <w:top w:val="single" w:sz="4" w:space="0" w:color="999999"/>
              <w:bottom w:val="single" w:sz="4" w:space="0" w:color="auto"/>
            </w:tcBorders>
          </w:tcPr>
          <w:p w14:paraId="7738A9BF" w14:textId="77777777" w:rsidR="00CD69F1" w:rsidRDefault="00CD69F1" w:rsidP="00E07D5C">
            <w:pPr>
              <w:pStyle w:val="UtilComTabletext"/>
              <w:jc w:val="center"/>
              <w:rPr>
                <w:b/>
              </w:rPr>
            </w:pPr>
            <w:r>
              <w:rPr>
                <w:b/>
              </w:rPr>
              <w:t>2012-13 (f)</w:t>
            </w:r>
          </w:p>
        </w:tc>
        <w:tc>
          <w:tcPr>
            <w:tcW w:w="1221" w:type="dxa"/>
            <w:tcBorders>
              <w:top w:val="single" w:sz="4" w:space="0" w:color="999999"/>
              <w:bottom w:val="single" w:sz="4" w:space="0" w:color="auto"/>
            </w:tcBorders>
          </w:tcPr>
          <w:p w14:paraId="53D506B0" w14:textId="77777777" w:rsidR="00CD69F1" w:rsidRDefault="00CD69F1" w:rsidP="00E07D5C">
            <w:pPr>
              <w:pStyle w:val="UtilComTabletext"/>
              <w:jc w:val="center"/>
              <w:rPr>
                <w:b/>
              </w:rPr>
            </w:pPr>
            <w:r>
              <w:rPr>
                <w:b/>
              </w:rPr>
              <w:t>2013-14 (f)</w:t>
            </w:r>
          </w:p>
        </w:tc>
        <w:tc>
          <w:tcPr>
            <w:tcW w:w="1221" w:type="dxa"/>
            <w:tcBorders>
              <w:top w:val="single" w:sz="4" w:space="0" w:color="999999"/>
              <w:bottom w:val="single" w:sz="4" w:space="0" w:color="auto"/>
            </w:tcBorders>
            <w:tcMar>
              <w:left w:w="0" w:type="dxa"/>
            </w:tcMar>
          </w:tcPr>
          <w:p w14:paraId="2E6E62FC" w14:textId="77777777" w:rsidR="00CD69F1" w:rsidRPr="00EE5A08" w:rsidRDefault="00CD69F1" w:rsidP="00E07D5C">
            <w:pPr>
              <w:pStyle w:val="UtilComTabletext"/>
              <w:jc w:val="center"/>
              <w:rPr>
                <w:b/>
              </w:rPr>
            </w:pPr>
            <w:r>
              <w:rPr>
                <w:b/>
              </w:rPr>
              <w:t>Total</w:t>
            </w:r>
          </w:p>
        </w:tc>
      </w:tr>
      <w:tr w:rsidR="00B760D7" w:rsidRPr="008A4655" w14:paraId="0A7F0A6C" w14:textId="77777777" w:rsidTr="00E07D5C">
        <w:trPr>
          <w:trHeight w:val="360"/>
        </w:trPr>
        <w:tc>
          <w:tcPr>
            <w:tcW w:w="1811" w:type="dxa"/>
            <w:tcBorders>
              <w:top w:val="single" w:sz="4" w:space="0" w:color="auto"/>
              <w:bottom w:val="single" w:sz="4" w:space="0" w:color="999999"/>
            </w:tcBorders>
          </w:tcPr>
          <w:p w14:paraId="0C007A1F" w14:textId="77777777" w:rsidR="00B760D7" w:rsidRDefault="00B760D7" w:rsidP="00A515F5">
            <w:pPr>
              <w:pStyle w:val="UtilComTabletext"/>
            </w:pPr>
            <w:r>
              <w:t>(</w:t>
            </w:r>
            <w:r w:rsidR="00D250C2">
              <w:t>est</w:t>
            </w:r>
            <w:r>
              <w:t xml:space="preserve">) </w:t>
            </w:r>
            <w:r w:rsidR="00A515F5">
              <w:t xml:space="preserve">Regulatory </w:t>
            </w:r>
            <w:r>
              <w:t>allowance</w:t>
            </w:r>
          </w:p>
        </w:tc>
        <w:tc>
          <w:tcPr>
            <w:tcW w:w="1221" w:type="dxa"/>
            <w:tcBorders>
              <w:top w:val="single" w:sz="4" w:space="0" w:color="auto"/>
              <w:bottom w:val="single" w:sz="4" w:space="0" w:color="999999"/>
            </w:tcBorders>
            <w:shd w:val="clear" w:color="auto" w:fill="auto"/>
            <w:tcMar>
              <w:left w:w="0" w:type="dxa"/>
            </w:tcMar>
          </w:tcPr>
          <w:p w14:paraId="0959AD83" w14:textId="77777777" w:rsidR="00B760D7" w:rsidRPr="00A97405" w:rsidRDefault="00B760D7" w:rsidP="00A515F5">
            <w:pPr>
              <w:pStyle w:val="UtilComTabletext"/>
              <w:jc w:val="right"/>
            </w:pPr>
            <w:r w:rsidRPr="00A97405">
              <w:t>54</w:t>
            </w:r>
            <w:r w:rsidR="00363F9C">
              <w:t>.</w:t>
            </w:r>
            <w:r w:rsidR="00A515F5" w:rsidRPr="00A97405">
              <w:t>2</w:t>
            </w:r>
            <w:r w:rsidR="00A515F5">
              <w:t>6</w:t>
            </w:r>
          </w:p>
        </w:tc>
        <w:tc>
          <w:tcPr>
            <w:tcW w:w="1221" w:type="dxa"/>
            <w:tcBorders>
              <w:top w:val="single" w:sz="4" w:space="0" w:color="auto"/>
              <w:bottom w:val="single" w:sz="4" w:space="0" w:color="999999"/>
            </w:tcBorders>
            <w:shd w:val="clear" w:color="auto" w:fill="auto"/>
            <w:tcMar>
              <w:left w:w="0" w:type="dxa"/>
            </w:tcMar>
          </w:tcPr>
          <w:p w14:paraId="5062418C" w14:textId="77777777" w:rsidR="00B760D7" w:rsidRPr="00A97405" w:rsidRDefault="00B760D7" w:rsidP="00B760D7">
            <w:pPr>
              <w:pStyle w:val="UtilComTabletext"/>
              <w:jc w:val="right"/>
            </w:pPr>
            <w:r w:rsidRPr="00A97405">
              <w:t>55</w:t>
            </w:r>
            <w:r w:rsidR="00363F9C">
              <w:t>.</w:t>
            </w:r>
            <w:r w:rsidRPr="00A97405">
              <w:t>97</w:t>
            </w:r>
          </w:p>
        </w:tc>
        <w:tc>
          <w:tcPr>
            <w:tcW w:w="1221" w:type="dxa"/>
            <w:tcBorders>
              <w:top w:val="single" w:sz="4" w:space="0" w:color="auto"/>
              <w:bottom w:val="single" w:sz="4" w:space="0" w:color="999999"/>
            </w:tcBorders>
          </w:tcPr>
          <w:p w14:paraId="64797239" w14:textId="77777777" w:rsidR="00B760D7" w:rsidRPr="00A97405" w:rsidRDefault="00B760D7" w:rsidP="00B760D7">
            <w:pPr>
              <w:pStyle w:val="UtilComTabletext"/>
              <w:jc w:val="right"/>
            </w:pPr>
            <w:r w:rsidRPr="00A97405">
              <w:t>58</w:t>
            </w:r>
            <w:r w:rsidR="00363F9C">
              <w:t>.</w:t>
            </w:r>
            <w:r w:rsidRPr="00A97405">
              <w:t>11</w:t>
            </w:r>
          </w:p>
        </w:tc>
        <w:tc>
          <w:tcPr>
            <w:tcW w:w="1221" w:type="dxa"/>
            <w:tcBorders>
              <w:top w:val="single" w:sz="4" w:space="0" w:color="auto"/>
              <w:bottom w:val="single" w:sz="4" w:space="0" w:color="999999"/>
            </w:tcBorders>
          </w:tcPr>
          <w:p w14:paraId="221FD0CC" w14:textId="77777777" w:rsidR="00B760D7" w:rsidRPr="00A97405" w:rsidRDefault="00B760D7" w:rsidP="00A515F5">
            <w:pPr>
              <w:pStyle w:val="UtilComTabletext"/>
              <w:jc w:val="right"/>
            </w:pPr>
            <w:r w:rsidRPr="00A97405">
              <w:t>60</w:t>
            </w:r>
            <w:r w:rsidR="00363F9C">
              <w:t>.</w:t>
            </w:r>
            <w:r w:rsidR="00A515F5">
              <w:t>58</w:t>
            </w:r>
          </w:p>
        </w:tc>
        <w:tc>
          <w:tcPr>
            <w:tcW w:w="1221" w:type="dxa"/>
            <w:tcBorders>
              <w:top w:val="single" w:sz="4" w:space="0" w:color="auto"/>
              <w:bottom w:val="single" w:sz="4" w:space="0" w:color="999999"/>
            </w:tcBorders>
          </w:tcPr>
          <w:p w14:paraId="3999DEA7" w14:textId="77777777" w:rsidR="00B760D7" w:rsidRPr="00A97405" w:rsidRDefault="00B760D7" w:rsidP="00A515F5">
            <w:pPr>
              <w:pStyle w:val="UtilComTabletext"/>
              <w:jc w:val="right"/>
            </w:pPr>
            <w:r w:rsidRPr="00A97405">
              <w:t>62</w:t>
            </w:r>
            <w:r w:rsidR="00363F9C">
              <w:t>.</w:t>
            </w:r>
            <w:r w:rsidRPr="00A97405">
              <w:t>85</w:t>
            </w:r>
          </w:p>
        </w:tc>
        <w:tc>
          <w:tcPr>
            <w:tcW w:w="1221" w:type="dxa"/>
            <w:tcBorders>
              <w:top w:val="single" w:sz="4" w:space="0" w:color="auto"/>
              <w:bottom w:val="single" w:sz="4" w:space="0" w:color="999999"/>
            </w:tcBorders>
            <w:shd w:val="clear" w:color="auto" w:fill="auto"/>
            <w:tcMar>
              <w:left w:w="0" w:type="dxa"/>
            </w:tcMar>
          </w:tcPr>
          <w:p w14:paraId="5EFF7D84" w14:textId="77777777" w:rsidR="00B760D7" w:rsidRDefault="00B760D7" w:rsidP="00A515F5">
            <w:pPr>
              <w:pStyle w:val="UtilComTabletext"/>
              <w:jc w:val="right"/>
            </w:pPr>
            <w:r w:rsidRPr="00A97405">
              <w:t>291</w:t>
            </w:r>
            <w:r w:rsidR="00363F9C">
              <w:t>.</w:t>
            </w:r>
            <w:r w:rsidR="00A515F5">
              <w:t>77</w:t>
            </w:r>
          </w:p>
        </w:tc>
      </w:tr>
      <w:tr w:rsidR="00B92A00" w:rsidRPr="008A4655" w14:paraId="0314C2FF" w14:textId="77777777" w:rsidTr="00E07D5C">
        <w:trPr>
          <w:trHeight w:val="360"/>
        </w:trPr>
        <w:tc>
          <w:tcPr>
            <w:tcW w:w="1811" w:type="dxa"/>
            <w:tcBorders>
              <w:bottom w:val="single" w:sz="4" w:space="0" w:color="auto"/>
            </w:tcBorders>
          </w:tcPr>
          <w:p w14:paraId="46BF8011" w14:textId="77777777" w:rsidR="00B92A00" w:rsidRDefault="00B92A00" w:rsidP="00E07D5C">
            <w:pPr>
              <w:pStyle w:val="UtilComTabletext"/>
            </w:pPr>
            <w:r>
              <w:t>Additional cost pass through allowance</w:t>
            </w:r>
            <w:r w:rsidR="00D250C2" w:rsidRPr="00D250C2">
              <w:rPr>
                <w:vertAlign w:val="superscript"/>
              </w:rPr>
              <w:t>(a)</w:t>
            </w:r>
          </w:p>
        </w:tc>
        <w:tc>
          <w:tcPr>
            <w:tcW w:w="1221" w:type="dxa"/>
            <w:tcBorders>
              <w:bottom w:val="single" w:sz="4" w:space="0" w:color="auto"/>
            </w:tcBorders>
            <w:shd w:val="clear" w:color="auto" w:fill="auto"/>
            <w:tcMar>
              <w:left w:w="0" w:type="dxa"/>
            </w:tcMar>
          </w:tcPr>
          <w:p w14:paraId="3BA0D3CF" w14:textId="77777777" w:rsidR="00B92A00" w:rsidRPr="003A4E93" w:rsidRDefault="00B92A00" w:rsidP="00A515F5">
            <w:pPr>
              <w:pStyle w:val="UtilComTabletext"/>
              <w:jc w:val="right"/>
            </w:pPr>
            <w:r w:rsidRPr="003A4E93">
              <w:t xml:space="preserve"> 5</w:t>
            </w:r>
            <w:r w:rsidR="00363F9C">
              <w:t>.</w:t>
            </w:r>
            <w:r w:rsidR="00A515F5">
              <w:t>06</w:t>
            </w:r>
            <w:r w:rsidR="00A515F5" w:rsidRPr="003A4E93">
              <w:t xml:space="preserve"> </w:t>
            </w:r>
          </w:p>
        </w:tc>
        <w:tc>
          <w:tcPr>
            <w:tcW w:w="1221" w:type="dxa"/>
            <w:tcBorders>
              <w:bottom w:val="single" w:sz="4" w:space="0" w:color="auto"/>
            </w:tcBorders>
            <w:shd w:val="clear" w:color="auto" w:fill="auto"/>
            <w:tcMar>
              <w:left w:w="0" w:type="dxa"/>
            </w:tcMar>
          </w:tcPr>
          <w:p w14:paraId="23EA788E" w14:textId="77777777" w:rsidR="00B92A00" w:rsidRPr="003A4E93" w:rsidRDefault="00B92A00" w:rsidP="00A515F5">
            <w:pPr>
              <w:pStyle w:val="UtilComTabletext"/>
              <w:jc w:val="right"/>
            </w:pPr>
            <w:r w:rsidRPr="003A4E93">
              <w:t xml:space="preserve"> 6</w:t>
            </w:r>
            <w:r w:rsidR="00363F9C">
              <w:t>.</w:t>
            </w:r>
            <w:r w:rsidRPr="003A4E93">
              <w:t xml:space="preserve">90 </w:t>
            </w:r>
          </w:p>
        </w:tc>
        <w:tc>
          <w:tcPr>
            <w:tcW w:w="1221" w:type="dxa"/>
            <w:tcBorders>
              <w:bottom w:val="single" w:sz="4" w:space="0" w:color="auto"/>
            </w:tcBorders>
          </w:tcPr>
          <w:p w14:paraId="751F9695" w14:textId="77777777" w:rsidR="00B92A00" w:rsidRPr="003A4E93" w:rsidRDefault="00B92A00" w:rsidP="00A515F5">
            <w:pPr>
              <w:pStyle w:val="UtilComTabletext"/>
              <w:jc w:val="right"/>
            </w:pPr>
            <w:r w:rsidRPr="003A4E93">
              <w:t xml:space="preserve"> 3</w:t>
            </w:r>
            <w:r w:rsidR="00363F9C">
              <w:t>.</w:t>
            </w:r>
            <w:r w:rsidR="00A515F5">
              <w:t>85</w:t>
            </w:r>
            <w:r w:rsidR="00A515F5" w:rsidRPr="003A4E93">
              <w:t xml:space="preserve"> </w:t>
            </w:r>
          </w:p>
        </w:tc>
        <w:tc>
          <w:tcPr>
            <w:tcW w:w="1221" w:type="dxa"/>
            <w:tcBorders>
              <w:bottom w:val="single" w:sz="4" w:space="0" w:color="auto"/>
            </w:tcBorders>
          </w:tcPr>
          <w:p w14:paraId="57E0B868" w14:textId="77777777" w:rsidR="00B92A00" w:rsidRPr="003A4E93" w:rsidRDefault="00B92A00" w:rsidP="00A515F5">
            <w:pPr>
              <w:pStyle w:val="UtilComTabletext"/>
              <w:jc w:val="right"/>
            </w:pPr>
            <w:r w:rsidRPr="003A4E93">
              <w:t xml:space="preserve"> 8</w:t>
            </w:r>
            <w:r w:rsidR="00363F9C">
              <w:t>.</w:t>
            </w:r>
            <w:r w:rsidR="00A515F5">
              <w:t>37</w:t>
            </w:r>
            <w:r w:rsidR="00A515F5" w:rsidRPr="003A4E93">
              <w:t xml:space="preserve"> </w:t>
            </w:r>
          </w:p>
        </w:tc>
        <w:tc>
          <w:tcPr>
            <w:tcW w:w="1221" w:type="dxa"/>
            <w:tcBorders>
              <w:bottom w:val="single" w:sz="4" w:space="0" w:color="auto"/>
            </w:tcBorders>
          </w:tcPr>
          <w:p w14:paraId="630F455F" w14:textId="77777777" w:rsidR="00B92A00" w:rsidRPr="003A4E93" w:rsidRDefault="00B92A00" w:rsidP="00A515F5">
            <w:pPr>
              <w:pStyle w:val="UtilComTabletext"/>
              <w:jc w:val="right"/>
            </w:pPr>
            <w:r w:rsidRPr="003A4E93">
              <w:t xml:space="preserve"> 6</w:t>
            </w:r>
            <w:r w:rsidR="00363F9C">
              <w:t>.</w:t>
            </w:r>
            <w:r w:rsidR="00A515F5">
              <w:t>28</w:t>
            </w:r>
            <w:r w:rsidR="00A515F5" w:rsidRPr="003A4E93">
              <w:t xml:space="preserve"> </w:t>
            </w:r>
          </w:p>
        </w:tc>
        <w:tc>
          <w:tcPr>
            <w:tcW w:w="1221" w:type="dxa"/>
            <w:tcBorders>
              <w:bottom w:val="single" w:sz="4" w:space="0" w:color="auto"/>
            </w:tcBorders>
            <w:shd w:val="clear" w:color="auto" w:fill="auto"/>
            <w:tcMar>
              <w:left w:w="0" w:type="dxa"/>
            </w:tcMar>
          </w:tcPr>
          <w:p w14:paraId="5BE53450" w14:textId="77777777" w:rsidR="00B92A00" w:rsidRDefault="00B92A00" w:rsidP="00A515F5">
            <w:pPr>
              <w:pStyle w:val="UtilComTabletext"/>
              <w:jc w:val="right"/>
            </w:pPr>
            <w:r w:rsidRPr="003A4E93">
              <w:t xml:space="preserve"> 30</w:t>
            </w:r>
            <w:r w:rsidR="00363F9C">
              <w:t>.</w:t>
            </w:r>
            <w:r w:rsidRPr="003A4E93">
              <w:t xml:space="preserve">45 </w:t>
            </w:r>
          </w:p>
        </w:tc>
      </w:tr>
      <w:tr w:rsidR="00B92A00" w:rsidRPr="008A4655" w14:paraId="68E96624" w14:textId="77777777" w:rsidTr="00E07D5C">
        <w:trPr>
          <w:trHeight w:val="360"/>
        </w:trPr>
        <w:tc>
          <w:tcPr>
            <w:tcW w:w="1811" w:type="dxa"/>
            <w:tcBorders>
              <w:top w:val="single" w:sz="4" w:space="0" w:color="auto"/>
              <w:bottom w:val="single" w:sz="4" w:space="0" w:color="999999"/>
            </w:tcBorders>
          </w:tcPr>
          <w:p w14:paraId="4E89739F" w14:textId="77777777" w:rsidR="00B92A00" w:rsidRDefault="00B92A00" w:rsidP="00E07D5C">
            <w:pPr>
              <w:pStyle w:val="UtilComTabletext"/>
            </w:pPr>
          </w:p>
        </w:tc>
        <w:tc>
          <w:tcPr>
            <w:tcW w:w="1221" w:type="dxa"/>
            <w:tcBorders>
              <w:top w:val="single" w:sz="4" w:space="0" w:color="auto"/>
              <w:bottom w:val="single" w:sz="4" w:space="0" w:color="999999"/>
            </w:tcBorders>
            <w:shd w:val="clear" w:color="auto" w:fill="auto"/>
            <w:tcMar>
              <w:left w:w="0" w:type="dxa"/>
            </w:tcMar>
          </w:tcPr>
          <w:p w14:paraId="0A258371" w14:textId="77777777" w:rsidR="00B92A00" w:rsidRPr="00C54158" w:rsidRDefault="00B92A00" w:rsidP="00A515F5">
            <w:pPr>
              <w:pStyle w:val="UtilComTabletext"/>
              <w:jc w:val="right"/>
            </w:pPr>
            <w:r w:rsidRPr="00C54158">
              <w:t xml:space="preserve"> 59</w:t>
            </w:r>
            <w:r w:rsidR="00363F9C">
              <w:t>.</w:t>
            </w:r>
            <w:r w:rsidR="00A515F5">
              <w:t>32</w:t>
            </w:r>
            <w:r w:rsidR="00A515F5" w:rsidRPr="00C54158">
              <w:t xml:space="preserve"> </w:t>
            </w:r>
          </w:p>
        </w:tc>
        <w:tc>
          <w:tcPr>
            <w:tcW w:w="1221" w:type="dxa"/>
            <w:tcBorders>
              <w:top w:val="single" w:sz="4" w:space="0" w:color="auto"/>
              <w:bottom w:val="single" w:sz="4" w:space="0" w:color="999999"/>
            </w:tcBorders>
            <w:shd w:val="clear" w:color="auto" w:fill="auto"/>
            <w:tcMar>
              <w:left w:w="0" w:type="dxa"/>
            </w:tcMar>
          </w:tcPr>
          <w:p w14:paraId="5C304703" w14:textId="77777777" w:rsidR="00B92A00" w:rsidRPr="00C54158" w:rsidRDefault="00B92A00" w:rsidP="00A515F5">
            <w:pPr>
              <w:pStyle w:val="UtilComTabletext"/>
              <w:jc w:val="right"/>
            </w:pPr>
            <w:r w:rsidRPr="00C54158">
              <w:t xml:space="preserve"> 62</w:t>
            </w:r>
            <w:r w:rsidR="00363F9C">
              <w:t>.</w:t>
            </w:r>
            <w:r w:rsidR="00A515F5">
              <w:t>88</w:t>
            </w:r>
            <w:r w:rsidR="00A515F5" w:rsidRPr="00C54158">
              <w:t xml:space="preserve"> </w:t>
            </w:r>
          </w:p>
        </w:tc>
        <w:tc>
          <w:tcPr>
            <w:tcW w:w="1221" w:type="dxa"/>
            <w:tcBorders>
              <w:top w:val="single" w:sz="4" w:space="0" w:color="auto"/>
              <w:bottom w:val="single" w:sz="4" w:space="0" w:color="999999"/>
            </w:tcBorders>
          </w:tcPr>
          <w:p w14:paraId="43212A70" w14:textId="77777777" w:rsidR="00B92A00" w:rsidRPr="00C54158" w:rsidRDefault="00B92A00" w:rsidP="00A515F5">
            <w:pPr>
              <w:pStyle w:val="UtilComTabletext"/>
              <w:jc w:val="right"/>
            </w:pPr>
            <w:r w:rsidRPr="00C54158">
              <w:t xml:space="preserve"> 61</w:t>
            </w:r>
            <w:r w:rsidR="00363F9C">
              <w:t>.</w:t>
            </w:r>
            <w:r w:rsidR="00A515F5">
              <w:t>96</w:t>
            </w:r>
            <w:r w:rsidR="00A515F5" w:rsidRPr="00C54158">
              <w:t xml:space="preserve"> </w:t>
            </w:r>
          </w:p>
        </w:tc>
        <w:tc>
          <w:tcPr>
            <w:tcW w:w="1221" w:type="dxa"/>
            <w:tcBorders>
              <w:top w:val="single" w:sz="4" w:space="0" w:color="auto"/>
              <w:bottom w:val="single" w:sz="4" w:space="0" w:color="999999"/>
            </w:tcBorders>
          </w:tcPr>
          <w:p w14:paraId="6A65D730" w14:textId="77777777" w:rsidR="00B92A00" w:rsidRPr="00C54158" w:rsidRDefault="00B92A00" w:rsidP="00A515F5">
            <w:pPr>
              <w:pStyle w:val="UtilComTabletext"/>
              <w:jc w:val="right"/>
            </w:pPr>
            <w:r w:rsidRPr="00C54158">
              <w:t xml:space="preserve"> 68</w:t>
            </w:r>
            <w:r w:rsidR="00363F9C">
              <w:t>.</w:t>
            </w:r>
            <w:r w:rsidRPr="00C54158">
              <w:t xml:space="preserve">94 </w:t>
            </w:r>
          </w:p>
        </w:tc>
        <w:tc>
          <w:tcPr>
            <w:tcW w:w="1221" w:type="dxa"/>
            <w:tcBorders>
              <w:top w:val="single" w:sz="4" w:space="0" w:color="auto"/>
              <w:bottom w:val="single" w:sz="4" w:space="0" w:color="999999"/>
            </w:tcBorders>
          </w:tcPr>
          <w:p w14:paraId="5FFD37BC" w14:textId="77777777" w:rsidR="00B92A00" w:rsidRPr="00C54158" w:rsidRDefault="00B92A00" w:rsidP="00A515F5">
            <w:pPr>
              <w:pStyle w:val="UtilComTabletext"/>
              <w:jc w:val="right"/>
            </w:pPr>
            <w:r w:rsidRPr="00C54158">
              <w:t xml:space="preserve"> 69</w:t>
            </w:r>
            <w:r w:rsidR="00363F9C">
              <w:t>.</w:t>
            </w:r>
            <w:r w:rsidR="00A515F5">
              <w:t>13</w:t>
            </w:r>
            <w:r w:rsidR="00A515F5" w:rsidRPr="00C54158">
              <w:t xml:space="preserve"> </w:t>
            </w:r>
          </w:p>
        </w:tc>
        <w:tc>
          <w:tcPr>
            <w:tcW w:w="1221" w:type="dxa"/>
            <w:tcBorders>
              <w:top w:val="single" w:sz="4" w:space="0" w:color="auto"/>
              <w:bottom w:val="single" w:sz="4" w:space="0" w:color="999999"/>
            </w:tcBorders>
            <w:shd w:val="clear" w:color="auto" w:fill="auto"/>
            <w:tcMar>
              <w:left w:w="0" w:type="dxa"/>
            </w:tcMar>
          </w:tcPr>
          <w:p w14:paraId="10500556" w14:textId="77777777" w:rsidR="00B92A00" w:rsidRDefault="00B92A00" w:rsidP="00A515F5">
            <w:pPr>
              <w:pStyle w:val="UtilComTabletext"/>
              <w:jc w:val="right"/>
            </w:pPr>
            <w:r w:rsidRPr="00C54158">
              <w:t xml:space="preserve"> 322</w:t>
            </w:r>
            <w:r w:rsidR="00363F9C">
              <w:t>.</w:t>
            </w:r>
            <w:r w:rsidRPr="00C54158">
              <w:t xml:space="preserve">22 </w:t>
            </w:r>
          </w:p>
        </w:tc>
      </w:tr>
      <w:tr w:rsidR="00B760D7" w:rsidRPr="008A4655" w14:paraId="36523CC2" w14:textId="77777777" w:rsidTr="00E07D5C">
        <w:trPr>
          <w:trHeight w:val="360"/>
        </w:trPr>
        <w:tc>
          <w:tcPr>
            <w:tcW w:w="1811" w:type="dxa"/>
            <w:tcBorders>
              <w:bottom w:val="single" w:sz="4" w:space="0" w:color="auto"/>
            </w:tcBorders>
          </w:tcPr>
          <w:p w14:paraId="5D00723B" w14:textId="77777777" w:rsidR="00B760D7" w:rsidRDefault="00B760D7" w:rsidP="00CD69F1">
            <w:pPr>
              <w:pStyle w:val="UtilComTabletext"/>
            </w:pPr>
            <w:r>
              <w:t>Actual net opex</w:t>
            </w:r>
          </w:p>
        </w:tc>
        <w:tc>
          <w:tcPr>
            <w:tcW w:w="1221" w:type="dxa"/>
            <w:tcBorders>
              <w:bottom w:val="single" w:sz="4" w:space="0" w:color="auto"/>
            </w:tcBorders>
            <w:shd w:val="clear" w:color="auto" w:fill="auto"/>
            <w:tcMar>
              <w:left w:w="0" w:type="dxa"/>
            </w:tcMar>
          </w:tcPr>
          <w:p w14:paraId="752B24A3" w14:textId="77777777" w:rsidR="00B760D7" w:rsidRPr="00C76B6B" w:rsidRDefault="00B760D7" w:rsidP="00A515F5">
            <w:pPr>
              <w:pStyle w:val="UtilComTabletext"/>
              <w:jc w:val="right"/>
            </w:pPr>
            <w:r w:rsidRPr="00C76B6B">
              <w:t xml:space="preserve"> 77</w:t>
            </w:r>
            <w:r w:rsidR="00363F9C">
              <w:t>.</w:t>
            </w:r>
            <w:r w:rsidRPr="00C76B6B">
              <w:t xml:space="preserve">11 </w:t>
            </w:r>
          </w:p>
        </w:tc>
        <w:tc>
          <w:tcPr>
            <w:tcW w:w="1221" w:type="dxa"/>
            <w:tcBorders>
              <w:bottom w:val="single" w:sz="4" w:space="0" w:color="auto"/>
            </w:tcBorders>
            <w:shd w:val="clear" w:color="auto" w:fill="auto"/>
            <w:tcMar>
              <w:left w:w="0" w:type="dxa"/>
            </w:tcMar>
          </w:tcPr>
          <w:p w14:paraId="13296DF0" w14:textId="77777777" w:rsidR="00B760D7" w:rsidRPr="00C76B6B" w:rsidRDefault="00B760D7" w:rsidP="00A515F5">
            <w:pPr>
              <w:pStyle w:val="UtilComTabletext"/>
              <w:jc w:val="right"/>
            </w:pPr>
            <w:r w:rsidRPr="00C76B6B">
              <w:t xml:space="preserve"> 89</w:t>
            </w:r>
            <w:r w:rsidR="00363F9C">
              <w:t>.</w:t>
            </w:r>
            <w:r w:rsidR="00A515F5">
              <w:t>32</w:t>
            </w:r>
            <w:r w:rsidR="00A515F5" w:rsidRPr="00C76B6B">
              <w:t xml:space="preserve"> </w:t>
            </w:r>
          </w:p>
        </w:tc>
        <w:tc>
          <w:tcPr>
            <w:tcW w:w="1221" w:type="dxa"/>
            <w:tcBorders>
              <w:bottom w:val="single" w:sz="4" w:space="0" w:color="auto"/>
            </w:tcBorders>
          </w:tcPr>
          <w:p w14:paraId="376B593E" w14:textId="77777777" w:rsidR="00B760D7" w:rsidRPr="00C76B6B" w:rsidRDefault="00B760D7" w:rsidP="00A515F5">
            <w:pPr>
              <w:pStyle w:val="UtilComTabletext"/>
              <w:jc w:val="right"/>
            </w:pPr>
            <w:r w:rsidRPr="00C76B6B">
              <w:t xml:space="preserve"> 101</w:t>
            </w:r>
            <w:r w:rsidR="00363F9C">
              <w:t>.</w:t>
            </w:r>
            <w:r w:rsidR="00A515F5">
              <w:t>08</w:t>
            </w:r>
            <w:r w:rsidR="00A515F5" w:rsidRPr="00C76B6B">
              <w:t xml:space="preserve"> </w:t>
            </w:r>
          </w:p>
        </w:tc>
        <w:tc>
          <w:tcPr>
            <w:tcW w:w="1221" w:type="dxa"/>
            <w:tcBorders>
              <w:bottom w:val="single" w:sz="4" w:space="0" w:color="auto"/>
            </w:tcBorders>
          </w:tcPr>
          <w:p w14:paraId="2C4B7D2F" w14:textId="77777777" w:rsidR="00B760D7" w:rsidRPr="00C76B6B" w:rsidRDefault="00B760D7" w:rsidP="00A515F5">
            <w:pPr>
              <w:pStyle w:val="UtilComTabletext"/>
              <w:jc w:val="right"/>
            </w:pPr>
            <w:r w:rsidRPr="00C76B6B">
              <w:t xml:space="preserve"> 103</w:t>
            </w:r>
            <w:r w:rsidR="00363F9C">
              <w:t>.</w:t>
            </w:r>
            <w:r w:rsidRPr="00C76B6B">
              <w:t xml:space="preserve">84 </w:t>
            </w:r>
          </w:p>
        </w:tc>
        <w:tc>
          <w:tcPr>
            <w:tcW w:w="1221" w:type="dxa"/>
            <w:tcBorders>
              <w:bottom w:val="single" w:sz="4" w:space="0" w:color="auto"/>
            </w:tcBorders>
          </w:tcPr>
          <w:p w14:paraId="670E4FDC" w14:textId="77777777" w:rsidR="00B760D7" w:rsidRDefault="00B760D7" w:rsidP="00A515F5">
            <w:pPr>
              <w:pStyle w:val="UtilComTabletext"/>
              <w:jc w:val="right"/>
            </w:pPr>
            <w:r w:rsidRPr="00C76B6B">
              <w:t xml:space="preserve"> 99</w:t>
            </w:r>
            <w:r w:rsidR="00363F9C">
              <w:t>.</w:t>
            </w:r>
            <w:r w:rsidRPr="00C76B6B">
              <w:t xml:space="preserve">02 </w:t>
            </w:r>
          </w:p>
        </w:tc>
        <w:tc>
          <w:tcPr>
            <w:tcW w:w="1221" w:type="dxa"/>
            <w:tcBorders>
              <w:bottom w:val="single" w:sz="4" w:space="0" w:color="auto"/>
            </w:tcBorders>
            <w:shd w:val="clear" w:color="auto" w:fill="auto"/>
            <w:tcMar>
              <w:left w:w="0" w:type="dxa"/>
            </w:tcMar>
          </w:tcPr>
          <w:p w14:paraId="2B1A9852" w14:textId="77777777" w:rsidR="00B760D7" w:rsidRDefault="00B760D7" w:rsidP="00A515F5">
            <w:pPr>
              <w:pStyle w:val="UtilComTabletext"/>
              <w:jc w:val="right"/>
            </w:pPr>
            <w:r>
              <w:t>470.37</w:t>
            </w:r>
          </w:p>
        </w:tc>
      </w:tr>
      <w:tr w:rsidR="00B92A00" w:rsidRPr="008A4655" w14:paraId="6E6CD2FA" w14:textId="77777777" w:rsidTr="00E07D5C">
        <w:trPr>
          <w:trHeight w:val="360"/>
        </w:trPr>
        <w:tc>
          <w:tcPr>
            <w:tcW w:w="1811" w:type="dxa"/>
            <w:tcBorders>
              <w:top w:val="single" w:sz="4" w:space="0" w:color="auto"/>
              <w:bottom w:val="single" w:sz="4" w:space="0" w:color="000000"/>
            </w:tcBorders>
          </w:tcPr>
          <w:p w14:paraId="0BF1B672" w14:textId="77777777" w:rsidR="00B92A00" w:rsidRDefault="00B92A00" w:rsidP="00E07D5C">
            <w:pPr>
              <w:pStyle w:val="UtilComTabletext"/>
            </w:pPr>
            <w:r>
              <w:t>Overspend</w:t>
            </w:r>
          </w:p>
        </w:tc>
        <w:tc>
          <w:tcPr>
            <w:tcW w:w="1221" w:type="dxa"/>
            <w:tcBorders>
              <w:top w:val="single" w:sz="4" w:space="0" w:color="auto"/>
              <w:bottom w:val="single" w:sz="4" w:space="0" w:color="000000"/>
            </w:tcBorders>
            <w:shd w:val="clear" w:color="auto" w:fill="auto"/>
          </w:tcPr>
          <w:p w14:paraId="52F0F054" w14:textId="77777777" w:rsidR="00B92A00" w:rsidRPr="007F73CD" w:rsidRDefault="00B92A00" w:rsidP="00A515F5">
            <w:pPr>
              <w:pStyle w:val="UtilComTabletext"/>
              <w:jc w:val="right"/>
            </w:pPr>
            <w:r w:rsidRPr="007F73CD">
              <w:t>17</w:t>
            </w:r>
            <w:r w:rsidR="00363F9C">
              <w:t>.</w:t>
            </w:r>
            <w:r w:rsidR="00A515F5">
              <w:t>80</w:t>
            </w:r>
          </w:p>
        </w:tc>
        <w:tc>
          <w:tcPr>
            <w:tcW w:w="1221" w:type="dxa"/>
            <w:tcBorders>
              <w:top w:val="single" w:sz="4" w:space="0" w:color="auto"/>
              <w:bottom w:val="single" w:sz="4" w:space="0" w:color="000000"/>
            </w:tcBorders>
            <w:shd w:val="clear" w:color="auto" w:fill="auto"/>
          </w:tcPr>
          <w:p w14:paraId="0040BA36" w14:textId="77777777" w:rsidR="00B92A00" w:rsidRPr="007F73CD" w:rsidRDefault="00B92A00" w:rsidP="00A515F5">
            <w:pPr>
              <w:pStyle w:val="UtilComTabletext"/>
              <w:jc w:val="right"/>
            </w:pPr>
            <w:r w:rsidRPr="007F73CD">
              <w:t>26</w:t>
            </w:r>
            <w:r w:rsidR="00363F9C">
              <w:t>.</w:t>
            </w:r>
            <w:r w:rsidRPr="007F73CD">
              <w:t>44</w:t>
            </w:r>
          </w:p>
        </w:tc>
        <w:tc>
          <w:tcPr>
            <w:tcW w:w="1221" w:type="dxa"/>
            <w:tcBorders>
              <w:top w:val="single" w:sz="4" w:space="0" w:color="auto"/>
              <w:bottom w:val="single" w:sz="4" w:space="0" w:color="000000"/>
            </w:tcBorders>
          </w:tcPr>
          <w:p w14:paraId="4E34481D" w14:textId="77777777" w:rsidR="00B92A00" w:rsidRPr="007F73CD" w:rsidRDefault="00B92A00" w:rsidP="00A515F5">
            <w:pPr>
              <w:pStyle w:val="UtilComTabletext"/>
              <w:jc w:val="right"/>
            </w:pPr>
            <w:r w:rsidRPr="007F73CD">
              <w:t>39</w:t>
            </w:r>
            <w:r w:rsidR="00363F9C">
              <w:t>.</w:t>
            </w:r>
            <w:r w:rsidR="00A515F5">
              <w:t>12</w:t>
            </w:r>
          </w:p>
        </w:tc>
        <w:tc>
          <w:tcPr>
            <w:tcW w:w="1221" w:type="dxa"/>
            <w:tcBorders>
              <w:top w:val="single" w:sz="4" w:space="0" w:color="auto"/>
              <w:bottom w:val="single" w:sz="4" w:space="0" w:color="000000"/>
            </w:tcBorders>
          </w:tcPr>
          <w:p w14:paraId="46BF579A" w14:textId="77777777" w:rsidR="00B92A00" w:rsidRPr="007F73CD" w:rsidRDefault="00B92A00" w:rsidP="00A515F5">
            <w:pPr>
              <w:pStyle w:val="UtilComTabletext"/>
              <w:jc w:val="right"/>
            </w:pPr>
            <w:r w:rsidRPr="007F73CD">
              <w:t>34</w:t>
            </w:r>
            <w:r w:rsidR="00363F9C">
              <w:t>.</w:t>
            </w:r>
            <w:r w:rsidR="00A515F5">
              <w:t>90</w:t>
            </w:r>
          </w:p>
        </w:tc>
        <w:tc>
          <w:tcPr>
            <w:tcW w:w="1221" w:type="dxa"/>
            <w:tcBorders>
              <w:top w:val="single" w:sz="4" w:space="0" w:color="auto"/>
              <w:bottom w:val="single" w:sz="4" w:space="0" w:color="000000"/>
            </w:tcBorders>
          </w:tcPr>
          <w:p w14:paraId="359099B8" w14:textId="77777777" w:rsidR="00B92A00" w:rsidRPr="007F73CD" w:rsidRDefault="00B92A00" w:rsidP="00A515F5">
            <w:pPr>
              <w:pStyle w:val="UtilComTabletext"/>
              <w:jc w:val="right"/>
            </w:pPr>
            <w:r w:rsidRPr="007F73CD">
              <w:t>29</w:t>
            </w:r>
            <w:r w:rsidR="00363F9C">
              <w:t>.</w:t>
            </w:r>
            <w:r w:rsidR="00A515F5">
              <w:t>90</w:t>
            </w:r>
          </w:p>
        </w:tc>
        <w:tc>
          <w:tcPr>
            <w:tcW w:w="1221" w:type="dxa"/>
            <w:tcBorders>
              <w:top w:val="single" w:sz="4" w:space="0" w:color="auto"/>
              <w:bottom w:val="single" w:sz="4" w:space="0" w:color="000000"/>
            </w:tcBorders>
            <w:shd w:val="clear" w:color="auto" w:fill="auto"/>
          </w:tcPr>
          <w:p w14:paraId="0765FB78" w14:textId="77777777" w:rsidR="00B92A00" w:rsidRDefault="00B92A00" w:rsidP="00A515F5">
            <w:pPr>
              <w:pStyle w:val="UtilComTabletext"/>
              <w:jc w:val="right"/>
            </w:pPr>
            <w:r w:rsidRPr="007F73CD">
              <w:t>148</w:t>
            </w:r>
            <w:r w:rsidR="00363F9C">
              <w:t>.</w:t>
            </w:r>
            <w:r w:rsidRPr="007F73CD">
              <w:t>15</w:t>
            </w:r>
          </w:p>
        </w:tc>
      </w:tr>
    </w:tbl>
    <w:p w14:paraId="5FE6BD59" w14:textId="1C6896FF" w:rsidR="00CD69F1" w:rsidRPr="00E529C5" w:rsidRDefault="00CD69F1" w:rsidP="00CD69F1">
      <w:pPr>
        <w:pStyle w:val="UtilComReferenceSource"/>
        <w:rPr>
          <w:lang w:val="en-AU"/>
        </w:rPr>
      </w:pPr>
      <w:r>
        <w:rPr>
          <w:lang w:val="en-AU"/>
        </w:rPr>
        <w:t>Source: Utilities Commission; PWC</w:t>
      </w:r>
      <w:r w:rsidR="002045BF">
        <w:rPr>
          <w:lang w:val="en-AU"/>
        </w:rPr>
        <w:t> Networks</w:t>
      </w:r>
      <w:r w:rsidR="00D624BF">
        <w:rPr>
          <w:lang w:val="en-AU"/>
        </w:rPr>
        <w:t>’</w:t>
      </w:r>
      <w:r>
        <w:rPr>
          <w:lang w:val="en-AU"/>
        </w:rPr>
        <w:t xml:space="preserve"> </w:t>
      </w:r>
      <w:r w:rsidR="002045BF">
        <w:rPr>
          <w:lang w:val="en-AU"/>
        </w:rPr>
        <w:t>initial regulatory proposal</w:t>
      </w:r>
      <w:r>
        <w:rPr>
          <w:lang w:val="en-AU"/>
        </w:rPr>
        <w:t>, c</w:t>
      </w:r>
      <w:r w:rsidRPr="00F2410D">
        <w:rPr>
          <w:lang w:val="en-AU"/>
        </w:rPr>
        <w:t>onverted to real terms using ABS inflation data</w:t>
      </w:r>
      <w:r w:rsidR="00D250C2">
        <w:rPr>
          <w:lang w:val="en-AU"/>
        </w:rPr>
        <w:br/>
      </w:r>
      <w:r w:rsidR="00D250C2" w:rsidRPr="00BB4311">
        <w:rPr>
          <w:vertAlign w:val="superscript"/>
          <w:lang w:val="en-AU"/>
        </w:rPr>
        <w:t>(a)</w:t>
      </w:r>
      <w:r w:rsidR="00D250C2">
        <w:rPr>
          <w:lang w:val="en-AU"/>
        </w:rPr>
        <w:t xml:space="preserve"> Cost pass through associated with implementation of recommendations from the Davies Review, approved by the Commission in May 2013</w:t>
      </w:r>
    </w:p>
    <w:p w14:paraId="048343F2" w14:textId="0BE1B441" w:rsidR="009B6F6B" w:rsidRDefault="009B6F6B" w:rsidP="00BB4311">
      <w:pPr>
        <w:spacing w:before="0" w:after="0" w:line="240" w:lineRule="auto"/>
        <w:rPr>
          <w:rFonts w:cs="Arial"/>
          <w:spacing w:val="-14"/>
          <w:szCs w:val="22"/>
          <w:lang w:val="en-AU"/>
        </w:rPr>
      </w:pPr>
      <w:r w:rsidRPr="00FD5E9B">
        <w:rPr>
          <w:rFonts w:cs="Arial"/>
          <w:spacing w:val="-14"/>
          <w:szCs w:val="22"/>
          <w:lang w:val="en-AU"/>
        </w:rPr>
        <w:t xml:space="preserve">Figure </w:t>
      </w:r>
      <w:r w:rsidR="00D3346B" w:rsidRPr="00FD5E9B">
        <w:rPr>
          <w:rFonts w:cs="Arial"/>
          <w:spacing w:val="-14"/>
          <w:szCs w:val="22"/>
          <w:lang w:val="en-AU"/>
        </w:rPr>
        <w:t>1</w:t>
      </w:r>
      <w:r w:rsidR="00D3346B">
        <w:rPr>
          <w:rFonts w:cs="Arial"/>
          <w:spacing w:val="-14"/>
          <w:szCs w:val="22"/>
          <w:lang w:val="en-AU"/>
        </w:rPr>
        <w:t>0</w:t>
      </w:r>
      <w:r w:rsidRPr="00FD5E9B">
        <w:rPr>
          <w:rFonts w:cs="Arial"/>
          <w:spacing w:val="-14"/>
          <w:szCs w:val="22"/>
          <w:lang w:val="en-AU"/>
        </w:rPr>
        <w:t>.1</w:t>
      </w:r>
      <w:r w:rsidR="00FA3CF1">
        <w:rPr>
          <w:rFonts w:cs="Arial"/>
          <w:spacing w:val="-14"/>
          <w:szCs w:val="22"/>
          <w:lang w:val="en-AU"/>
        </w:rPr>
        <w:t>:</w:t>
      </w:r>
      <w:r w:rsidRPr="00FD5E9B">
        <w:rPr>
          <w:rFonts w:cs="Arial"/>
          <w:spacing w:val="-14"/>
          <w:szCs w:val="22"/>
          <w:lang w:val="en-AU"/>
        </w:rPr>
        <w:t xml:space="preserve"> </w:t>
      </w:r>
      <w:r w:rsidR="00FA3CF1">
        <w:rPr>
          <w:rFonts w:cs="Arial"/>
          <w:spacing w:val="-14"/>
          <w:szCs w:val="22"/>
          <w:lang w:val="en-AU"/>
        </w:rPr>
        <w:t>O</w:t>
      </w:r>
      <w:r w:rsidR="00FA3CF1" w:rsidRPr="00FD5E9B">
        <w:rPr>
          <w:rFonts w:cs="Arial"/>
          <w:spacing w:val="-14"/>
          <w:szCs w:val="22"/>
          <w:lang w:val="en-AU"/>
        </w:rPr>
        <w:t xml:space="preserve">pex </w:t>
      </w:r>
      <w:r w:rsidRPr="00FD5E9B">
        <w:rPr>
          <w:rFonts w:cs="Arial"/>
          <w:spacing w:val="-14"/>
          <w:szCs w:val="22"/>
          <w:lang w:val="en-AU"/>
        </w:rPr>
        <w:t xml:space="preserve">allowance (including cost pass through) and actual </w:t>
      </w:r>
      <w:r w:rsidR="00FA3CF1">
        <w:rPr>
          <w:rFonts w:cs="Arial"/>
          <w:spacing w:val="-14"/>
          <w:szCs w:val="22"/>
          <w:lang w:val="en-AU"/>
        </w:rPr>
        <w:t>o</w:t>
      </w:r>
      <w:r w:rsidR="00FA3CF1" w:rsidRPr="00FD5E9B">
        <w:rPr>
          <w:rFonts w:cs="Arial"/>
          <w:spacing w:val="-14"/>
          <w:szCs w:val="22"/>
          <w:lang w:val="en-AU"/>
        </w:rPr>
        <w:t xml:space="preserve">pex </w:t>
      </w:r>
      <w:r w:rsidRPr="00FD5E9B">
        <w:rPr>
          <w:rFonts w:cs="Arial"/>
          <w:spacing w:val="-14"/>
          <w:szCs w:val="22"/>
          <w:lang w:val="en-AU"/>
        </w:rPr>
        <w:t xml:space="preserve">for 2009-14 </w:t>
      </w:r>
      <w:r w:rsidR="002045BF">
        <w:rPr>
          <w:rFonts w:cs="Arial"/>
          <w:spacing w:val="-14"/>
          <w:szCs w:val="22"/>
          <w:lang w:val="en-AU"/>
        </w:rPr>
        <w:t xml:space="preserve">regulatory control period </w:t>
      </w:r>
      <w:r w:rsidRPr="00FD5E9B">
        <w:rPr>
          <w:rFonts w:cs="Arial"/>
          <w:spacing w:val="-14"/>
          <w:szCs w:val="22"/>
          <w:lang w:val="en-AU"/>
        </w:rPr>
        <w:t xml:space="preserve">and proposed </w:t>
      </w:r>
      <w:r>
        <w:rPr>
          <w:rFonts w:cs="Arial"/>
          <w:spacing w:val="-14"/>
          <w:szCs w:val="22"/>
          <w:lang w:val="en-AU"/>
        </w:rPr>
        <w:t>o</w:t>
      </w:r>
      <w:r w:rsidRPr="00FD5E9B">
        <w:rPr>
          <w:rFonts w:cs="Arial"/>
          <w:spacing w:val="-14"/>
          <w:szCs w:val="22"/>
          <w:lang w:val="en-AU"/>
        </w:rPr>
        <w:t>pex for 2014-19</w:t>
      </w:r>
      <w:r w:rsidR="002045BF">
        <w:rPr>
          <w:rFonts w:cs="Arial"/>
          <w:spacing w:val="-14"/>
          <w:szCs w:val="22"/>
          <w:lang w:val="en-AU"/>
        </w:rPr>
        <w:t xml:space="preserve"> regulatory control period</w:t>
      </w:r>
      <w:r w:rsidR="001673A2">
        <w:rPr>
          <w:rFonts w:cs="Arial"/>
          <w:spacing w:val="-14"/>
          <w:szCs w:val="22"/>
          <w:lang w:val="en-AU"/>
        </w:rPr>
        <w:t xml:space="preserve"> </w:t>
      </w:r>
    </w:p>
    <w:p w14:paraId="3AD256C8" w14:textId="6CCCEAF7" w:rsidR="00F074EE" w:rsidRPr="009B6F6B" w:rsidRDefault="00697A8F" w:rsidP="009B6F6B">
      <w:pPr>
        <w:rPr>
          <w:color w:val="000000" w:themeColor="text1"/>
          <w:lang w:val="en-AU"/>
        </w:rPr>
      </w:pPr>
      <w:r w:rsidRPr="00697A8F">
        <w:rPr>
          <w:noProof/>
          <w:lang w:val="en-AU" w:eastAsia="en-AU"/>
        </w:rPr>
        <w:drawing>
          <wp:anchor distT="0" distB="0" distL="114300" distR="114300" simplePos="0" relativeHeight="251692032" behindDoc="0" locked="0" layoutInCell="1" allowOverlap="1" wp14:anchorId="79480188" wp14:editId="75AD97FF">
            <wp:simplePos x="0" y="0"/>
            <wp:positionH relativeFrom="column">
              <wp:posOffset>-57785</wp:posOffset>
            </wp:positionH>
            <wp:positionV relativeFrom="paragraph">
              <wp:posOffset>69215</wp:posOffset>
            </wp:positionV>
            <wp:extent cx="5760720" cy="2760345"/>
            <wp:effectExtent l="0" t="0" r="0" b="190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2760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581584" w14:textId="77777777" w:rsidR="00F074EE" w:rsidRDefault="00F074EE" w:rsidP="00651B43">
      <w:pPr>
        <w:rPr>
          <w:color w:val="000000" w:themeColor="text1"/>
          <w:lang w:val="en-AU"/>
        </w:rPr>
      </w:pPr>
    </w:p>
    <w:p w14:paraId="783E4124" w14:textId="77777777" w:rsidR="000943D3" w:rsidRDefault="000943D3" w:rsidP="00651B43">
      <w:pPr>
        <w:rPr>
          <w:color w:val="000000" w:themeColor="text1"/>
          <w:lang w:val="en-AU"/>
        </w:rPr>
      </w:pPr>
    </w:p>
    <w:p w14:paraId="0755FA44" w14:textId="77777777" w:rsidR="000943D3" w:rsidRDefault="000943D3" w:rsidP="00651B43">
      <w:pPr>
        <w:rPr>
          <w:color w:val="000000" w:themeColor="text1"/>
          <w:lang w:val="en-AU"/>
        </w:rPr>
      </w:pPr>
    </w:p>
    <w:p w14:paraId="086EC3AB" w14:textId="77777777" w:rsidR="000943D3" w:rsidRDefault="000943D3" w:rsidP="00651B43">
      <w:pPr>
        <w:rPr>
          <w:color w:val="000000" w:themeColor="text1"/>
          <w:lang w:val="en-AU"/>
        </w:rPr>
      </w:pPr>
    </w:p>
    <w:p w14:paraId="1C553D1B" w14:textId="77777777" w:rsidR="000943D3" w:rsidRDefault="000943D3" w:rsidP="00651B43">
      <w:pPr>
        <w:rPr>
          <w:color w:val="000000" w:themeColor="text1"/>
          <w:lang w:val="en-AU"/>
        </w:rPr>
      </w:pPr>
    </w:p>
    <w:p w14:paraId="0D160150" w14:textId="77777777" w:rsidR="000943D3" w:rsidRDefault="000943D3" w:rsidP="00651B43">
      <w:pPr>
        <w:rPr>
          <w:color w:val="000000" w:themeColor="text1"/>
          <w:lang w:val="en-AU"/>
        </w:rPr>
      </w:pPr>
    </w:p>
    <w:p w14:paraId="203D1F00" w14:textId="77777777" w:rsidR="000943D3" w:rsidRDefault="000943D3" w:rsidP="00651B43">
      <w:pPr>
        <w:rPr>
          <w:color w:val="000000" w:themeColor="text1"/>
          <w:lang w:val="en-AU"/>
        </w:rPr>
      </w:pPr>
    </w:p>
    <w:p w14:paraId="63DAFAAB" w14:textId="77777777" w:rsidR="000943D3" w:rsidRDefault="000943D3" w:rsidP="00651B43">
      <w:pPr>
        <w:rPr>
          <w:color w:val="000000" w:themeColor="text1"/>
          <w:lang w:val="en-AU"/>
        </w:rPr>
      </w:pPr>
    </w:p>
    <w:p w14:paraId="62CF70C0" w14:textId="77777777" w:rsidR="000943D3" w:rsidRDefault="000943D3" w:rsidP="00651B43">
      <w:pPr>
        <w:rPr>
          <w:color w:val="000000" w:themeColor="text1"/>
          <w:lang w:val="en-AU"/>
        </w:rPr>
      </w:pPr>
    </w:p>
    <w:p w14:paraId="3C4AA421" w14:textId="77777777" w:rsidR="00697A8F" w:rsidRDefault="00697A8F" w:rsidP="00651B43">
      <w:pPr>
        <w:rPr>
          <w:color w:val="000000" w:themeColor="text1"/>
          <w:lang w:val="en-AU"/>
        </w:rPr>
      </w:pPr>
    </w:p>
    <w:p w14:paraId="16875D6F" w14:textId="77777777" w:rsidR="00697A8F" w:rsidRDefault="00697A8F" w:rsidP="00651B43">
      <w:pPr>
        <w:rPr>
          <w:color w:val="000000" w:themeColor="text1"/>
          <w:lang w:val="en-AU"/>
        </w:rPr>
      </w:pPr>
    </w:p>
    <w:p w14:paraId="421A700B" w14:textId="77777777" w:rsidR="00111134" w:rsidRDefault="00111134" w:rsidP="00111134">
      <w:pPr>
        <w:rPr>
          <w:sz w:val="16"/>
          <w:szCs w:val="16"/>
          <w:lang w:val="en-AU"/>
        </w:rPr>
      </w:pPr>
      <w:r w:rsidRPr="00111134">
        <w:rPr>
          <w:sz w:val="16"/>
          <w:szCs w:val="16"/>
          <w:lang w:val="en-AU"/>
        </w:rPr>
        <w:t>Source: Utilities Commission</w:t>
      </w:r>
    </w:p>
    <w:p w14:paraId="2EB1BAF7" w14:textId="574C2C8E" w:rsidR="00E70748" w:rsidRDefault="00E70748" w:rsidP="00E70748">
      <w:pPr>
        <w:pStyle w:val="UtilComHeading2"/>
      </w:pPr>
      <w:bookmarkStart w:id="208" w:name="_Toc385241526"/>
      <w:bookmarkStart w:id="209" w:name="_Toc386013079"/>
      <w:r>
        <w:t>PWC Networks</w:t>
      </w:r>
      <w:r w:rsidR="00D624BF">
        <w:t>’</w:t>
      </w:r>
      <w:r>
        <w:t xml:space="preserve"> </w:t>
      </w:r>
      <w:r w:rsidR="001C5A9B">
        <w:t>Initial Regulatory P</w:t>
      </w:r>
      <w:r>
        <w:t>roposal</w:t>
      </w:r>
      <w:bookmarkEnd w:id="208"/>
      <w:bookmarkEnd w:id="209"/>
    </w:p>
    <w:p w14:paraId="735E5EC8" w14:textId="32D97A7A" w:rsidR="00F64D48" w:rsidRDefault="00F64D48" w:rsidP="00006B84">
      <w:pPr>
        <w:pStyle w:val="NumberLevel2"/>
        <w:numPr>
          <w:ilvl w:val="1"/>
          <w:numId w:val="5"/>
        </w:numPr>
        <w:tabs>
          <w:tab w:val="num" w:pos="709"/>
        </w:tabs>
        <w:ind w:left="709" w:hanging="709"/>
        <w:rPr>
          <w:lang w:val="en-AU"/>
        </w:rPr>
      </w:pPr>
      <w:r>
        <w:rPr>
          <w:lang w:val="en-AU"/>
        </w:rPr>
        <w:t xml:space="preserve">PWC Networks </w:t>
      </w:r>
      <w:r w:rsidR="00D3346B">
        <w:rPr>
          <w:lang w:val="en-AU"/>
        </w:rPr>
        <w:t xml:space="preserve">submitted </w:t>
      </w:r>
      <w:r w:rsidR="001673A2">
        <w:rPr>
          <w:lang w:val="en-AU"/>
        </w:rPr>
        <w:t xml:space="preserve">an </w:t>
      </w:r>
      <w:r w:rsidR="00D3346B">
        <w:rPr>
          <w:lang w:val="en-AU"/>
        </w:rPr>
        <w:t>initial</w:t>
      </w:r>
      <w:r w:rsidR="00D3346B" w:rsidRPr="00470E10">
        <w:rPr>
          <w:lang w:val="en-AU"/>
        </w:rPr>
        <w:t xml:space="preserve"> </w:t>
      </w:r>
      <w:r>
        <w:rPr>
          <w:lang w:val="en-AU"/>
        </w:rPr>
        <w:t>o</w:t>
      </w:r>
      <w:r w:rsidRPr="00470E10">
        <w:rPr>
          <w:lang w:val="en-AU"/>
        </w:rPr>
        <w:t xml:space="preserve">pex </w:t>
      </w:r>
      <w:r w:rsidR="00A84BC0">
        <w:rPr>
          <w:lang w:val="en-AU"/>
        </w:rPr>
        <w:t xml:space="preserve">forecast requiring a total </w:t>
      </w:r>
      <w:r w:rsidRPr="00470E10">
        <w:rPr>
          <w:lang w:val="en-AU"/>
        </w:rPr>
        <w:t>of $</w:t>
      </w:r>
      <w:r w:rsidR="00805916">
        <w:rPr>
          <w:lang w:val="en-AU"/>
        </w:rPr>
        <w:t>539.</w:t>
      </w:r>
      <w:r w:rsidR="00A84BC0">
        <w:rPr>
          <w:lang w:val="en-AU"/>
        </w:rPr>
        <w:t>3 </w:t>
      </w:r>
      <w:r w:rsidRPr="00470E10">
        <w:rPr>
          <w:lang w:val="en-AU"/>
        </w:rPr>
        <w:t>million ($20</w:t>
      </w:r>
      <w:r>
        <w:rPr>
          <w:lang w:val="en-AU"/>
        </w:rPr>
        <w:t>13</w:t>
      </w:r>
      <w:r w:rsidR="00FA3CF1">
        <w:rPr>
          <w:lang w:val="en-AU"/>
        </w:rPr>
        <w:t>-</w:t>
      </w:r>
      <w:r w:rsidRPr="00470E10">
        <w:rPr>
          <w:lang w:val="en-AU"/>
        </w:rPr>
        <w:t>1</w:t>
      </w:r>
      <w:r>
        <w:rPr>
          <w:lang w:val="en-AU"/>
        </w:rPr>
        <w:t>4</w:t>
      </w:r>
      <w:r w:rsidRPr="00470E10">
        <w:rPr>
          <w:lang w:val="en-AU"/>
        </w:rPr>
        <w:t xml:space="preserve">) for the </w:t>
      </w:r>
      <w:r w:rsidR="00D3346B">
        <w:rPr>
          <w:lang w:val="en-AU"/>
        </w:rPr>
        <w:t>2014-19</w:t>
      </w:r>
      <w:r w:rsidR="00D3346B" w:rsidRPr="00470E10">
        <w:rPr>
          <w:lang w:val="en-AU"/>
        </w:rPr>
        <w:t xml:space="preserve"> </w:t>
      </w:r>
      <w:r w:rsidRPr="00470E10">
        <w:rPr>
          <w:lang w:val="en-AU"/>
        </w:rPr>
        <w:t xml:space="preserve">regulatory control period. The amounts proposed by </w:t>
      </w:r>
      <w:r>
        <w:rPr>
          <w:lang w:val="en-AU"/>
        </w:rPr>
        <w:t>PWC</w:t>
      </w:r>
      <w:r w:rsidR="00111134">
        <w:rPr>
          <w:lang w:val="en-AU"/>
        </w:rPr>
        <w:t> </w:t>
      </w:r>
      <w:r>
        <w:rPr>
          <w:lang w:val="en-AU"/>
        </w:rPr>
        <w:t>Networks</w:t>
      </w:r>
      <w:r w:rsidRPr="00470E10">
        <w:rPr>
          <w:lang w:val="en-AU"/>
        </w:rPr>
        <w:t xml:space="preserve"> are set out in </w:t>
      </w:r>
      <w:r w:rsidR="00FA3CF1">
        <w:rPr>
          <w:lang w:val="en-AU"/>
        </w:rPr>
        <w:t>T</w:t>
      </w:r>
      <w:r w:rsidR="00FA3CF1" w:rsidRPr="00470E10">
        <w:rPr>
          <w:lang w:val="en-AU"/>
        </w:rPr>
        <w:t xml:space="preserve">able </w:t>
      </w:r>
      <w:r w:rsidR="00D3346B">
        <w:rPr>
          <w:lang w:val="en-AU"/>
        </w:rPr>
        <w:t>10</w:t>
      </w:r>
      <w:r>
        <w:rPr>
          <w:lang w:val="en-AU"/>
        </w:rPr>
        <w:t>.2.</w:t>
      </w:r>
      <w:r w:rsidRPr="00622FA2">
        <w:t xml:space="preserve"> </w:t>
      </w:r>
    </w:p>
    <w:p w14:paraId="066722AF" w14:textId="222C9F39" w:rsidR="008E79F5" w:rsidRDefault="008E79F5" w:rsidP="00006B84">
      <w:pPr>
        <w:pStyle w:val="NumberLevel2"/>
        <w:numPr>
          <w:ilvl w:val="1"/>
          <w:numId w:val="5"/>
        </w:numPr>
        <w:tabs>
          <w:tab w:val="num" w:pos="709"/>
        </w:tabs>
        <w:ind w:left="709" w:hanging="709"/>
        <w:rPr>
          <w:lang w:val="en-AU"/>
        </w:rPr>
      </w:pPr>
      <w:r>
        <w:rPr>
          <w:lang w:val="en-AU"/>
        </w:rPr>
        <w:t xml:space="preserve">PWC Networks’ </w:t>
      </w:r>
      <w:r w:rsidR="00D3346B">
        <w:rPr>
          <w:lang w:val="en-AU"/>
        </w:rPr>
        <w:t xml:space="preserve">initial </w:t>
      </w:r>
      <w:r>
        <w:rPr>
          <w:lang w:val="en-AU"/>
        </w:rPr>
        <w:t>o</w:t>
      </w:r>
      <w:r w:rsidRPr="00622FA2">
        <w:rPr>
          <w:lang w:val="en-AU"/>
        </w:rPr>
        <w:t xml:space="preserve">pex </w:t>
      </w:r>
      <w:r w:rsidR="008F01C4">
        <w:rPr>
          <w:lang w:val="en-AU"/>
        </w:rPr>
        <w:t xml:space="preserve">forecast </w:t>
      </w:r>
      <w:r w:rsidRPr="00622FA2">
        <w:rPr>
          <w:lang w:val="en-AU"/>
        </w:rPr>
        <w:t xml:space="preserve">for the </w:t>
      </w:r>
      <w:r w:rsidR="00D3346B">
        <w:rPr>
          <w:lang w:val="en-AU"/>
        </w:rPr>
        <w:t xml:space="preserve">2014-19 </w:t>
      </w:r>
      <w:r>
        <w:rPr>
          <w:lang w:val="en-AU"/>
        </w:rPr>
        <w:t>regulatory</w:t>
      </w:r>
      <w:r w:rsidRPr="00622FA2">
        <w:rPr>
          <w:lang w:val="en-AU"/>
        </w:rPr>
        <w:t xml:space="preserve"> </w:t>
      </w:r>
      <w:r w:rsidR="00A75B70">
        <w:rPr>
          <w:lang w:val="en-AU"/>
        </w:rPr>
        <w:t xml:space="preserve">control </w:t>
      </w:r>
      <w:r w:rsidRPr="00622FA2">
        <w:rPr>
          <w:lang w:val="en-AU"/>
        </w:rPr>
        <w:t xml:space="preserve">period </w:t>
      </w:r>
      <w:r w:rsidR="00D3346B">
        <w:rPr>
          <w:lang w:val="en-AU"/>
        </w:rPr>
        <w:t>wa</w:t>
      </w:r>
      <w:r w:rsidR="00D3346B" w:rsidRPr="00622FA2">
        <w:rPr>
          <w:lang w:val="en-AU"/>
        </w:rPr>
        <w:t xml:space="preserve">s </w:t>
      </w:r>
      <w:r w:rsidRPr="00622FA2">
        <w:rPr>
          <w:lang w:val="en-AU"/>
        </w:rPr>
        <w:t xml:space="preserve">approximately </w:t>
      </w:r>
      <w:r w:rsidR="008F01C4">
        <w:rPr>
          <w:lang w:val="en-AU"/>
        </w:rPr>
        <w:t>67 </w:t>
      </w:r>
      <w:r w:rsidR="008F01C4" w:rsidRPr="00622FA2">
        <w:rPr>
          <w:lang w:val="en-AU"/>
        </w:rPr>
        <w:t>per</w:t>
      </w:r>
      <w:r w:rsidR="008F01C4">
        <w:rPr>
          <w:lang w:val="en-AU"/>
        </w:rPr>
        <w:t> </w:t>
      </w:r>
      <w:r w:rsidRPr="00622FA2">
        <w:rPr>
          <w:lang w:val="en-AU"/>
        </w:rPr>
        <w:t xml:space="preserve">cent (in real terms) </w:t>
      </w:r>
      <w:r>
        <w:rPr>
          <w:lang w:val="en-AU"/>
        </w:rPr>
        <w:t>higher</w:t>
      </w:r>
      <w:r w:rsidRPr="00622FA2">
        <w:rPr>
          <w:lang w:val="en-AU"/>
        </w:rPr>
        <w:t xml:space="preserve"> than the </w:t>
      </w:r>
      <w:r w:rsidR="008F01C4">
        <w:rPr>
          <w:lang w:val="en-AU"/>
        </w:rPr>
        <w:t xml:space="preserve">estimated total required </w:t>
      </w:r>
      <w:r>
        <w:rPr>
          <w:lang w:val="en-AU"/>
        </w:rPr>
        <w:t xml:space="preserve">opex for the </w:t>
      </w:r>
      <w:r w:rsidR="007669D5">
        <w:rPr>
          <w:lang w:val="en-AU"/>
        </w:rPr>
        <w:t xml:space="preserve">2009-14 </w:t>
      </w:r>
      <w:r>
        <w:rPr>
          <w:lang w:val="en-AU"/>
        </w:rPr>
        <w:t xml:space="preserve">regulatory control period and </w:t>
      </w:r>
      <w:r w:rsidR="008F01C4">
        <w:rPr>
          <w:lang w:val="en-AU"/>
        </w:rPr>
        <w:t>14 </w:t>
      </w:r>
      <w:r w:rsidR="008F01C4" w:rsidRPr="00622FA2">
        <w:rPr>
          <w:lang w:val="en-AU"/>
        </w:rPr>
        <w:t>per</w:t>
      </w:r>
      <w:r w:rsidR="008F01C4">
        <w:rPr>
          <w:lang w:val="en-AU"/>
        </w:rPr>
        <w:t> </w:t>
      </w:r>
      <w:r w:rsidRPr="00622FA2">
        <w:rPr>
          <w:lang w:val="en-AU"/>
        </w:rPr>
        <w:t xml:space="preserve">cent (in real terms) </w:t>
      </w:r>
      <w:r>
        <w:rPr>
          <w:lang w:val="en-AU"/>
        </w:rPr>
        <w:t>higher</w:t>
      </w:r>
      <w:r w:rsidRPr="00622FA2">
        <w:rPr>
          <w:lang w:val="en-AU"/>
        </w:rPr>
        <w:t xml:space="preserve"> than expected </w:t>
      </w:r>
      <w:r>
        <w:rPr>
          <w:lang w:val="en-AU"/>
        </w:rPr>
        <w:t>actual o</w:t>
      </w:r>
      <w:r w:rsidRPr="00622FA2">
        <w:rPr>
          <w:lang w:val="en-AU"/>
        </w:rPr>
        <w:t xml:space="preserve">pex. </w:t>
      </w:r>
      <w:r w:rsidR="008F01C4">
        <w:rPr>
          <w:lang w:val="en-AU"/>
        </w:rPr>
        <w:t xml:space="preserve">The estimated total required </w:t>
      </w:r>
      <w:r>
        <w:rPr>
          <w:lang w:val="en-AU"/>
        </w:rPr>
        <w:t xml:space="preserve">opex </w:t>
      </w:r>
      <w:r w:rsidR="008F01C4">
        <w:rPr>
          <w:lang w:val="en-AU"/>
        </w:rPr>
        <w:t xml:space="preserve">included </w:t>
      </w:r>
      <w:r>
        <w:rPr>
          <w:lang w:val="en-AU"/>
        </w:rPr>
        <w:t xml:space="preserve">the additional amounts approved by the Commission for the cost pass through </w:t>
      </w:r>
      <w:r w:rsidR="008F01C4">
        <w:rPr>
          <w:lang w:val="en-AU"/>
        </w:rPr>
        <w:t>relating</w:t>
      </w:r>
      <w:r>
        <w:rPr>
          <w:lang w:val="en-AU"/>
        </w:rPr>
        <w:t xml:space="preserve"> to the Davies Review</w:t>
      </w:r>
      <w:r>
        <w:rPr>
          <w:rStyle w:val="FootnoteReference"/>
          <w:lang w:val="en-AU"/>
        </w:rPr>
        <w:footnoteReference w:id="56"/>
      </w:r>
      <w:r>
        <w:rPr>
          <w:lang w:val="en-AU"/>
        </w:rPr>
        <w:t xml:space="preserve"> and actual opex in the </w:t>
      </w:r>
      <w:r w:rsidR="007669D5">
        <w:rPr>
          <w:lang w:val="en-AU"/>
        </w:rPr>
        <w:t xml:space="preserve">2009-14 </w:t>
      </w:r>
      <w:r>
        <w:rPr>
          <w:lang w:val="en-AU"/>
        </w:rPr>
        <w:t xml:space="preserve">regulatory control period includes significant expenditure </w:t>
      </w:r>
      <w:r w:rsidR="008F01C4">
        <w:rPr>
          <w:lang w:val="en-AU"/>
        </w:rPr>
        <w:t xml:space="preserve">relating </w:t>
      </w:r>
      <w:r>
        <w:rPr>
          <w:lang w:val="en-AU"/>
        </w:rPr>
        <w:t xml:space="preserve">to </w:t>
      </w:r>
      <w:r w:rsidR="008F01C4">
        <w:rPr>
          <w:lang w:val="en-AU"/>
        </w:rPr>
        <w:t>increased resources associated with the implementation of a condition-based maintenance regime</w:t>
      </w:r>
      <w:r w:rsidR="008F01C4" w:rsidDel="008F01C4">
        <w:rPr>
          <w:lang w:val="en-AU"/>
        </w:rPr>
        <w:t xml:space="preserve"> </w:t>
      </w:r>
      <w:r>
        <w:rPr>
          <w:lang w:val="en-AU"/>
        </w:rPr>
        <w:t>following the Casuarina Zone Substation failure in late 2008.</w:t>
      </w:r>
    </w:p>
    <w:p w14:paraId="3DAA4900" w14:textId="7ABFCB70" w:rsidR="00F64D48" w:rsidRPr="00A139AD" w:rsidRDefault="00F64D48" w:rsidP="00FA3CF1">
      <w:pPr>
        <w:pStyle w:val="UtilComTableTitle"/>
        <w:keepNext/>
        <w:spacing w:before="120" w:after="0" w:line="240" w:lineRule="exact"/>
      </w:pPr>
      <w:r>
        <w:t xml:space="preserve">Table </w:t>
      </w:r>
      <w:r w:rsidR="00D3346B">
        <w:t>10</w:t>
      </w:r>
      <w:r>
        <w:t xml:space="preserve">.2: PWC Networks </w:t>
      </w:r>
      <w:r w:rsidRPr="002D2B54">
        <w:t xml:space="preserve">proposed </w:t>
      </w:r>
      <w:r w:rsidR="009A3B67">
        <w:t>o</w:t>
      </w:r>
      <w:r w:rsidRPr="002D2B54">
        <w:t>pex</w:t>
      </w:r>
      <w:r w:rsidR="008F01C4">
        <w:t xml:space="preserve"> for the 2014-19 regulatory control period</w:t>
      </w:r>
      <w:r w:rsidRPr="00125E7A">
        <w:t xml:space="preserve"> ($</w:t>
      </w:r>
      <w:r w:rsidR="00484786">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F64D48" w:rsidRPr="008A4655" w14:paraId="220BA237" w14:textId="77777777" w:rsidTr="00FA3CF1">
        <w:trPr>
          <w:cantSplit/>
          <w:trHeight w:val="360"/>
        </w:trPr>
        <w:tc>
          <w:tcPr>
            <w:tcW w:w="1811" w:type="dxa"/>
            <w:tcBorders>
              <w:top w:val="single" w:sz="4" w:space="0" w:color="999999"/>
              <w:bottom w:val="single" w:sz="4" w:space="0" w:color="auto"/>
            </w:tcBorders>
            <w:vAlign w:val="bottom"/>
          </w:tcPr>
          <w:p w14:paraId="48BF4C08" w14:textId="77777777" w:rsidR="00F64D48" w:rsidRPr="00EE5A08" w:rsidRDefault="00F64D48" w:rsidP="00FA3CF1">
            <w:pPr>
              <w:pStyle w:val="UtilComTabletext"/>
              <w:rPr>
                <w:b/>
              </w:rPr>
            </w:pPr>
          </w:p>
        </w:tc>
        <w:tc>
          <w:tcPr>
            <w:tcW w:w="1221" w:type="dxa"/>
            <w:tcBorders>
              <w:top w:val="single" w:sz="4" w:space="0" w:color="999999"/>
              <w:bottom w:val="single" w:sz="4" w:space="0" w:color="auto"/>
            </w:tcBorders>
            <w:tcMar>
              <w:left w:w="0" w:type="dxa"/>
            </w:tcMar>
            <w:vAlign w:val="bottom"/>
          </w:tcPr>
          <w:p w14:paraId="6DD4B03C" w14:textId="77777777" w:rsidR="00F64D48" w:rsidRPr="00EE5A08" w:rsidRDefault="00F64D48" w:rsidP="00FA3CF1">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1379EC21" w14:textId="77777777" w:rsidR="00F64D48" w:rsidRPr="00EE5A08" w:rsidRDefault="00F64D48" w:rsidP="00FA3CF1">
            <w:pPr>
              <w:pStyle w:val="UtilComTabletext"/>
              <w:jc w:val="right"/>
              <w:rPr>
                <w:b/>
              </w:rPr>
            </w:pPr>
            <w:r>
              <w:rPr>
                <w:b/>
              </w:rPr>
              <w:t>2015-16</w:t>
            </w:r>
          </w:p>
        </w:tc>
        <w:tc>
          <w:tcPr>
            <w:tcW w:w="1221" w:type="dxa"/>
            <w:tcBorders>
              <w:top w:val="single" w:sz="4" w:space="0" w:color="999999"/>
              <w:bottom w:val="single" w:sz="4" w:space="0" w:color="auto"/>
            </w:tcBorders>
            <w:vAlign w:val="bottom"/>
          </w:tcPr>
          <w:p w14:paraId="47646AE8" w14:textId="77777777" w:rsidR="00F64D48" w:rsidRDefault="00F64D48" w:rsidP="00FA3CF1">
            <w:pPr>
              <w:pStyle w:val="UtilComTabletext"/>
              <w:jc w:val="right"/>
              <w:rPr>
                <w:b/>
              </w:rPr>
            </w:pPr>
            <w:r>
              <w:rPr>
                <w:b/>
              </w:rPr>
              <w:t>2016-17</w:t>
            </w:r>
          </w:p>
        </w:tc>
        <w:tc>
          <w:tcPr>
            <w:tcW w:w="1221" w:type="dxa"/>
            <w:tcBorders>
              <w:top w:val="single" w:sz="4" w:space="0" w:color="999999"/>
              <w:bottom w:val="single" w:sz="4" w:space="0" w:color="auto"/>
            </w:tcBorders>
            <w:vAlign w:val="bottom"/>
          </w:tcPr>
          <w:p w14:paraId="7266139B" w14:textId="77777777" w:rsidR="00F64D48" w:rsidRDefault="00F64D48" w:rsidP="00FA3CF1">
            <w:pPr>
              <w:pStyle w:val="UtilComTabletext"/>
              <w:jc w:val="right"/>
              <w:rPr>
                <w:b/>
              </w:rPr>
            </w:pPr>
            <w:r>
              <w:rPr>
                <w:b/>
              </w:rPr>
              <w:t>2017-18</w:t>
            </w:r>
          </w:p>
        </w:tc>
        <w:tc>
          <w:tcPr>
            <w:tcW w:w="1221" w:type="dxa"/>
            <w:tcBorders>
              <w:top w:val="single" w:sz="4" w:space="0" w:color="999999"/>
              <w:bottom w:val="single" w:sz="4" w:space="0" w:color="auto"/>
            </w:tcBorders>
            <w:vAlign w:val="bottom"/>
          </w:tcPr>
          <w:p w14:paraId="510B0C88" w14:textId="77777777" w:rsidR="00F64D48" w:rsidRDefault="00F64D48" w:rsidP="00FA3CF1">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2FEC948D" w14:textId="77777777" w:rsidR="00F64D48" w:rsidRPr="00EE5A08" w:rsidRDefault="00F64D48" w:rsidP="00FA3CF1">
            <w:pPr>
              <w:pStyle w:val="UtilComTabletext"/>
              <w:jc w:val="right"/>
              <w:rPr>
                <w:b/>
              </w:rPr>
            </w:pPr>
            <w:r>
              <w:rPr>
                <w:b/>
              </w:rPr>
              <w:t>Total</w:t>
            </w:r>
          </w:p>
        </w:tc>
      </w:tr>
      <w:tr w:rsidR="00E8402C" w:rsidRPr="008A4655" w14:paraId="42272088" w14:textId="77777777" w:rsidTr="00FA3CF1">
        <w:trPr>
          <w:cantSplit/>
          <w:trHeight w:val="360"/>
        </w:trPr>
        <w:tc>
          <w:tcPr>
            <w:tcW w:w="9137" w:type="dxa"/>
            <w:gridSpan w:val="7"/>
            <w:tcBorders>
              <w:top w:val="single" w:sz="4" w:space="0" w:color="999999"/>
              <w:bottom w:val="single" w:sz="4" w:space="0" w:color="999999"/>
            </w:tcBorders>
            <w:vAlign w:val="bottom"/>
          </w:tcPr>
          <w:p w14:paraId="335AEC47" w14:textId="77777777" w:rsidR="00E8402C" w:rsidRPr="00E8402C" w:rsidRDefault="00E8402C" w:rsidP="00C57BB0">
            <w:pPr>
              <w:pStyle w:val="UtilComTabletext"/>
              <w:rPr>
                <w:b/>
              </w:rPr>
            </w:pPr>
            <w:r>
              <w:rPr>
                <w:b/>
              </w:rPr>
              <w:t>Operating</w:t>
            </w:r>
            <w:r w:rsidRPr="00E8402C">
              <w:rPr>
                <w:b/>
              </w:rPr>
              <w:t xml:space="preserve"> expenditure</w:t>
            </w:r>
          </w:p>
        </w:tc>
      </w:tr>
      <w:tr w:rsidR="00E8402C" w:rsidRPr="008A4655" w14:paraId="556146DF" w14:textId="77777777" w:rsidTr="00FA3CF1">
        <w:trPr>
          <w:cantSplit/>
          <w:trHeight w:val="360"/>
        </w:trPr>
        <w:tc>
          <w:tcPr>
            <w:tcW w:w="1811" w:type="dxa"/>
            <w:tcBorders>
              <w:top w:val="single" w:sz="4" w:space="0" w:color="auto"/>
              <w:bottom w:val="single" w:sz="4" w:space="0" w:color="auto"/>
            </w:tcBorders>
          </w:tcPr>
          <w:p w14:paraId="7217D8D8" w14:textId="77777777" w:rsidR="00E8402C" w:rsidRPr="00260FB7" w:rsidRDefault="00E8402C" w:rsidP="00E8402C">
            <w:pPr>
              <w:pStyle w:val="UtilComTabletext"/>
            </w:pPr>
            <w:r w:rsidRPr="00260FB7">
              <w:t xml:space="preserve">Operating </w:t>
            </w:r>
          </w:p>
        </w:tc>
        <w:tc>
          <w:tcPr>
            <w:tcW w:w="1221" w:type="dxa"/>
            <w:tcBorders>
              <w:top w:val="single" w:sz="4" w:space="0" w:color="auto"/>
              <w:bottom w:val="single" w:sz="4" w:space="0" w:color="auto"/>
            </w:tcBorders>
            <w:shd w:val="clear" w:color="auto" w:fill="auto"/>
          </w:tcPr>
          <w:p w14:paraId="17E6D5B3" w14:textId="77777777" w:rsidR="00E8402C" w:rsidRPr="00C77437" w:rsidRDefault="00E8402C" w:rsidP="00FA3CF1">
            <w:pPr>
              <w:pStyle w:val="UtilComTabletext"/>
              <w:jc w:val="right"/>
            </w:pPr>
            <w:r w:rsidRPr="00C77437">
              <w:t xml:space="preserve"> 68.</w:t>
            </w:r>
            <w:r w:rsidR="00FA3CF1">
              <w:t>71</w:t>
            </w:r>
            <w:r w:rsidR="00FA3CF1" w:rsidRPr="00C77437">
              <w:t xml:space="preserve"> </w:t>
            </w:r>
          </w:p>
        </w:tc>
        <w:tc>
          <w:tcPr>
            <w:tcW w:w="1221" w:type="dxa"/>
            <w:tcBorders>
              <w:top w:val="single" w:sz="4" w:space="0" w:color="auto"/>
              <w:bottom w:val="single" w:sz="4" w:space="0" w:color="auto"/>
            </w:tcBorders>
            <w:shd w:val="clear" w:color="auto" w:fill="auto"/>
          </w:tcPr>
          <w:p w14:paraId="0DA0F7D7" w14:textId="77777777" w:rsidR="00E8402C" w:rsidRPr="00C77437" w:rsidRDefault="00E8402C" w:rsidP="00FA3CF1">
            <w:pPr>
              <w:pStyle w:val="UtilComTabletext"/>
              <w:jc w:val="right"/>
            </w:pPr>
            <w:r w:rsidRPr="00C77437">
              <w:t xml:space="preserve"> 67.75 </w:t>
            </w:r>
          </w:p>
        </w:tc>
        <w:tc>
          <w:tcPr>
            <w:tcW w:w="1221" w:type="dxa"/>
            <w:tcBorders>
              <w:top w:val="single" w:sz="4" w:space="0" w:color="auto"/>
              <w:bottom w:val="single" w:sz="4" w:space="0" w:color="auto"/>
            </w:tcBorders>
          </w:tcPr>
          <w:p w14:paraId="7350B557" w14:textId="77777777" w:rsidR="00E8402C" w:rsidRPr="00C77437" w:rsidRDefault="00E8402C" w:rsidP="00FA3CF1">
            <w:pPr>
              <w:pStyle w:val="UtilComTabletext"/>
              <w:jc w:val="right"/>
            </w:pPr>
            <w:r w:rsidRPr="00C77437">
              <w:t xml:space="preserve"> 66.</w:t>
            </w:r>
            <w:r w:rsidR="00FA3CF1">
              <w:t>03</w:t>
            </w:r>
            <w:r w:rsidR="00FA3CF1" w:rsidRPr="00C77437">
              <w:t xml:space="preserve"> </w:t>
            </w:r>
          </w:p>
        </w:tc>
        <w:tc>
          <w:tcPr>
            <w:tcW w:w="1221" w:type="dxa"/>
            <w:tcBorders>
              <w:top w:val="single" w:sz="4" w:space="0" w:color="auto"/>
              <w:bottom w:val="single" w:sz="4" w:space="0" w:color="auto"/>
            </w:tcBorders>
          </w:tcPr>
          <w:p w14:paraId="7A49BA52" w14:textId="77777777" w:rsidR="00E8402C" w:rsidRPr="00C77437" w:rsidRDefault="00E8402C" w:rsidP="00FA3CF1">
            <w:pPr>
              <w:pStyle w:val="UtilComTabletext"/>
              <w:jc w:val="right"/>
            </w:pPr>
            <w:r w:rsidRPr="00C77437">
              <w:t xml:space="preserve"> 67.22 </w:t>
            </w:r>
          </w:p>
        </w:tc>
        <w:tc>
          <w:tcPr>
            <w:tcW w:w="1221" w:type="dxa"/>
            <w:tcBorders>
              <w:top w:val="single" w:sz="4" w:space="0" w:color="auto"/>
              <w:bottom w:val="single" w:sz="4" w:space="0" w:color="auto"/>
            </w:tcBorders>
          </w:tcPr>
          <w:p w14:paraId="797DD565" w14:textId="77777777" w:rsidR="00E8402C" w:rsidRDefault="00E8402C" w:rsidP="00FA3CF1">
            <w:pPr>
              <w:pStyle w:val="UtilComTabletext"/>
              <w:jc w:val="right"/>
            </w:pPr>
            <w:r w:rsidRPr="00C77437">
              <w:t xml:space="preserve"> 66.68 </w:t>
            </w:r>
          </w:p>
        </w:tc>
        <w:tc>
          <w:tcPr>
            <w:tcW w:w="1221" w:type="dxa"/>
            <w:tcBorders>
              <w:top w:val="single" w:sz="4" w:space="0" w:color="auto"/>
              <w:bottom w:val="single" w:sz="4" w:space="0" w:color="auto"/>
            </w:tcBorders>
            <w:shd w:val="clear" w:color="auto" w:fill="auto"/>
          </w:tcPr>
          <w:p w14:paraId="6B707C66" w14:textId="77777777" w:rsidR="00E8402C" w:rsidRPr="00C77437" w:rsidRDefault="00805916" w:rsidP="00FA3CF1">
            <w:pPr>
              <w:pStyle w:val="UtilComTabletext"/>
              <w:jc w:val="right"/>
            </w:pPr>
            <w:r w:rsidRPr="00805916">
              <w:t>336.39</w:t>
            </w:r>
          </w:p>
        </w:tc>
      </w:tr>
      <w:tr w:rsidR="00E8402C" w:rsidRPr="008A4655" w14:paraId="6CA3AC8E" w14:textId="77777777" w:rsidTr="00FA3CF1">
        <w:trPr>
          <w:cantSplit/>
          <w:trHeight w:val="360"/>
        </w:trPr>
        <w:tc>
          <w:tcPr>
            <w:tcW w:w="9137" w:type="dxa"/>
            <w:gridSpan w:val="7"/>
            <w:tcBorders>
              <w:top w:val="single" w:sz="4" w:space="0" w:color="auto"/>
              <w:bottom w:val="single" w:sz="4" w:space="0" w:color="auto"/>
            </w:tcBorders>
            <w:vAlign w:val="bottom"/>
          </w:tcPr>
          <w:p w14:paraId="0FE8AF8F" w14:textId="77777777" w:rsidR="00E8402C" w:rsidRPr="00E8402C" w:rsidRDefault="00E8402C" w:rsidP="00E8402C">
            <w:pPr>
              <w:pStyle w:val="UtilComTabletext"/>
              <w:rPr>
                <w:b/>
              </w:rPr>
            </w:pPr>
            <w:r w:rsidRPr="00E8402C">
              <w:rPr>
                <w:b/>
              </w:rPr>
              <w:t>Maintenance expenditure</w:t>
            </w:r>
          </w:p>
        </w:tc>
      </w:tr>
      <w:tr w:rsidR="00805916" w:rsidRPr="008A4655" w14:paraId="3F9EE2AF" w14:textId="77777777" w:rsidTr="00FA3CF1">
        <w:trPr>
          <w:cantSplit/>
          <w:trHeight w:val="360"/>
        </w:trPr>
        <w:tc>
          <w:tcPr>
            <w:tcW w:w="1811" w:type="dxa"/>
            <w:tcBorders>
              <w:top w:val="single" w:sz="4" w:space="0" w:color="auto"/>
              <w:bottom w:val="single" w:sz="4" w:space="0" w:color="999999"/>
            </w:tcBorders>
          </w:tcPr>
          <w:p w14:paraId="5E1FB8D9" w14:textId="77777777" w:rsidR="00805916" w:rsidRPr="00260FB7" w:rsidRDefault="00805916" w:rsidP="00E8402C">
            <w:pPr>
              <w:pStyle w:val="UtilComTabletext"/>
            </w:pPr>
            <w:r>
              <w:t>Preventative</w:t>
            </w:r>
          </w:p>
        </w:tc>
        <w:tc>
          <w:tcPr>
            <w:tcW w:w="1221" w:type="dxa"/>
            <w:tcBorders>
              <w:top w:val="single" w:sz="4" w:space="0" w:color="auto"/>
              <w:bottom w:val="single" w:sz="4" w:space="0" w:color="999999"/>
            </w:tcBorders>
            <w:shd w:val="clear" w:color="auto" w:fill="auto"/>
          </w:tcPr>
          <w:p w14:paraId="02034104" w14:textId="77777777" w:rsidR="00805916" w:rsidRPr="00FA44B7" w:rsidRDefault="00805916" w:rsidP="00FA3CF1">
            <w:pPr>
              <w:pStyle w:val="UtilComTabletext"/>
              <w:jc w:val="right"/>
            </w:pPr>
            <w:r w:rsidRPr="00FA44B7">
              <w:t xml:space="preserve"> 8.</w:t>
            </w:r>
            <w:r w:rsidR="00FA3CF1">
              <w:t>19</w:t>
            </w:r>
            <w:r w:rsidR="00FA3CF1" w:rsidRPr="00FA44B7">
              <w:t xml:space="preserve"> </w:t>
            </w:r>
          </w:p>
        </w:tc>
        <w:tc>
          <w:tcPr>
            <w:tcW w:w="1221" w:type="dxa"/>
            <w:tcBorders>
              <w:top w:val="single" w:sz="4" w:space="0" w:color="auto"/>
              <w:bottom w:val="single" w:sz="4" w:space="0" w:color="999999"/>
            </w:tcBorders>
            <w:shd w:val="clear" w:color="auto" w:fill="auto"/>
          </w:tcPr>
          <w:p w14:paraId="51E1E44F" w14:textId="77777777" w:rsidR="00805916" w:rsidRPr="00FA44B7" w:rsidRDefault="00805916" w:rsidP="00FA3CF1">
            <w:pPr>
              <w:pStyle w:val="UtilComTabletext"/>
              <w:jc w:val="right"/>
            </w:pPr>
            <w:r w:rsidRPr="00FA44B7">
              <w:t xml:space="preserve"> 7.97 </w:t>
            </w:r>
          </w:p>
        </w:tc>
        <w:tc>
          <w:tcPr>
            <w:tcW w:w="1221" w:type="dxa"/>
            <w:tcBorders>
              <w:top w:val="single" w:sz="4" w:space="0" w:color="auto"/>
              <w:bottom w:val="single" w:sz="4" w:space="0" w:color="999999"/>
            </w:tcBorders>
          </w:tcPr>
          <w:p w14:paraId="62008AD5" w14:textId="77777777" w:rsidR="00805916" w:rsidRPr="00FA44B7" w:rsidRDefault="00805916" w:rsidP="00FA3CF1">
            <w:pPr>
              <w:pStyle w:val="UtilComTabletext"/>
              <w:jc w:val="right"/>
            </w:pPr>
            <w:r w:rsidRPr="00FA44B7">
              <w:t xml:space="preserve"> 8.</w:t>
            </w:r>
            <w:r w:rsidR="00FA3CF1">
              <w:t>60</w:t>
            </w:r>
            <w:r w:rsidR="00FA3CF1" w:rsidRPr="00FA44B7">
              <w:t xml:space="preserve"> </w:t>
            </w:r>
          </w:p>
        </w:tc>
        <w:tc>
          <w:tcPr>
            <w:tcW w:w="1221" w:type="dxa"/>
            <w:tcBorders>
              <w:top w:val="single" w:sz="4" w:space="0" w:color="auto"/>
              <w:bottom w:val="single" w:sz="4" w:space="0" w:color="999999"/>
            </w:tcBorders>
          </w:tcPr>
          <w:p w14:paraId="49DAFFF2" w14:textId="77777777" w:rsidR="00805916" w:rsidRPr="00FA44B7" w:rsidRDefault="00805916" w:rsidP="00FA3CF1">
            <w:pPr>
              <w:pStyle w:val="UtilComTabletext"/>
              <w:jc w:val="right"/>
            </w:pPr>
            <w:r w:rsidRPr="00FA44B7">
              <w:t xml:space="preserve"> 8.45 </w:t>
            </w:r>
          </w:p>
        </w:tc>
        <w:tc>
          <w:tcPr>
            <w:tcW w:w="1221" w:type="dxa"/>
            <w:tcBorders>
              <w:top w:val="single" w:sz="4" w:space="0" w:color="auto"/>
              <w:bottom w:val="single" w:sz="4" w:space="0" w:color="999999"/>
            </w:tcBorders>
          </w:tcPr>
          <w:p w14:paraId="7199B656" w14:textId="77777777" w:rsidR="00805916" w:rsidRPr="00FA44B7" w:rsidRDefault="00805916" w:rsidP="00FA3CF1">
            <w:pPr>
              <w:pStyle w:val="UtilComTabletext"/>
              <w:jc w:val="right"/>
            </w:pPr>
            <w:r w:rsidRPr="00FA44B7">
              <w:t xml:space="preserve"> 8.</w:t>
            </w:r>
            <w:r w:rsidR="00FA3CF1">
              <w:t>81</w:t>
            </w:r>
            <w:r w:rsidR="00FA3CF1" w:rsidRPr="00FA44B7">
              <w:t xml:space="preserve"> </w:t>
            </w:r>
          </w:p>
        </w:tc>
        <w:tc>
          <w:tcPr>
            <w:tcW w:w="1221" w:type="dxa"/>
            <w:tcBorders>
              <w:top w:val="single" w:sz="4" w:space="0" w:color="auto"/>
              <w:bottom w:val="single" w:sz="4" w:space="0" w:color="999999"/>
            </w:tcBorders>
            <w:shd w:val="clear" w:color="auto" w:fill="auto"/>
          </w:tcPr>
          <w:p w14:paraId="30F4EFC3" w14:textId="77777777" w:rsidR="00805916" w:rsidRPr="004E25F9" w:rsidRDefault="00805916" w:rsidP="00FA3CF1">
            <w:pPr>
              <w:pStyle w:val="UtilComTabletext"/>
              <w:jc w:val="right"/>
            </w:pPr>
            <w:r w:rsidRPr="004E25F9">
              <w:t xml:space="preserve"> 42.</w:t>
            </w:r>
            <w:r w:rsidR="00FA3CF1">
              <w:t>02</w:t>
            </w:r>
            <w:r w:rsidR="00FA3CF1" w:rsidRPr="004E25F9">
              <w:t xml:space="preserve"> </w:t>
            </w:r>
          </w:p>
        </w:tc>
      </w:tr>
      <w:tr w:rsidR="00805916" w:rsidRPr="008A4655" w14:paraId="1FC0FED0" w14:textId="77777777" w:rsidTr="00FA3CF1">
        <w:trPr>
          <w:cantSplit/>
          <w:trHeight w:val="360"/>
        </w:trPr>
        <w:tc>
          <w:tcPr>
            <w:tcW w:w="1811" w:type="dxa"/>
            <w:tcBorders>
              <w:top w:val="single" w:sz="4" w:space="0" w:color="999999"/>
              <w:bottom w:val="single" w:sz="4" w:space="0" w:color="999999"/>
            </w:tcBorders>
          </w:tcPr>
          <w:p w14:paraId="4D6B1B0E" w14:textId="77777777" w:rsidR="00805916" w:rsidRPr="00260FB7" w:rsidRDefault="00805916" w:rsidP="00E8402C">
            <w:pPr>
              <w:pStyle w:val="UtilComTabletext"/>
            </w:pPr>
            <w:r w:rsidRPr="00260FB7">
              <w:t xml:space="preserve">Vegetation </w:t>
            </w:r>
            <w:r>
              <w:t>mgmt.</w:t>
            </w:r>
          </w:p>
        </w:tc>
        <w:tc>
          <w:tcPr>
            <w:tcW w:w="1221" w:type="dxa"/>
            <w:tcBorders>
              <w:top w:val="single" w:sz="4" w:space="0" w:color="999999"/>
              <w:bottom w:val="single" w:sz="4" w:space="0" w:color="999999"/>
            </w:tcBorders>
            <w:shd w:val="clear" w:color="auto" w:fill="auto"/>
          </w:tcPr>
          <w:p w14:paraId="20F9CCDE" w14:textId="77777777" w:rsidR="00805916" w:rsidRPr="00FA44B7" w:rsidRDefault="00805916" w:rsidP="00FA3CF1">
            <w:pPr>
              <w:pStyle w:val="UtilComTabletext"/>
              <w:jc w:val="right"/>
            </w:pPr>
            <w:r w:rsidRPr="00FA44B7">
              <w:t xml:space="preserve"> 7.97 </w:t>
            </w:r>
          </w:p>
        </w:tc>
        <w:tc>
          <w:tcPr>
            <w:tcW w:w="1221" w:type="dxa"/>
            <w:tcBorders>
              <w:top w:val="single" w:sz="4" w:space="0" w:color="999999"/>
              <w:bottom w:val="single" w:sz="4" w:space="0" w:color="999999"/>
            </w:tcBorders>
            <w:shd w:val="clear" w:color="auto" w:fill="auto"/>
          </w:tcPr>
          <w:p w14:paraId="2A351FE4" w14:textId="77777777" w:rsidR="00805916" w:rsidRPr="00FA44B7" w:rsidRDefault="00805916" w:rsidP="00FA3CF1">
            <w:pPr>
              <w:pStyle w:val="UtilComTabletext"/>
              <w:jc w:val="right"/>
            </w:pPr>
            <w:r w:rsidRPr="00FA44B7">
              <w:t xml:space="preserve"> 6.</w:t>
            </w:r>
            <w:r w:rsidR="00FA3CF1">
              <w:t>97</w:t>
            </w:r>
            <w:r w:rsidR="00FA3CF1" w:rsidRPr="00FA44B7">
              <w:t xml:space="preserve"> </w:t>
            </w:r>
          </w:p>
        </w:tc>
        <w:tc>
          <w:tcPr>
            <w:tcW w:w="1221" w:type="dxa"/>
            <w:tcBorders>
              <w:top w:val="single" w:sz="4" w:space="0" w:color="999999"/>
              <w:bottom w:val="single" w:sz="4" w:space="0" w:color="999999"/>
            </w:tcBorders>
          </w:tcPr>
          <w:p w14:paraId="53152CFE" w14:textId="77777777" w:rsidR="00805916" w:rsidRPr="00FA44B7" w:rsidRDefault="00805916" w:rsidP="00FA3CF1">
            <w:pPr>
              <w:pStyle w:val="UtilComTabletext"/>
              <w:jc w:val="right"/>
            </w:pPr>
            <w:r w:rsidRPr="00FA44B7">
              <w:t xml:space="preserve"> 7.</w:t>
            </w:r>
            <w:r w:rsidR="00FA3CF1">
              <w:t>03</w:t>
            </w:r>
            <w:r w:rsidR="00FA3CF1" w:rsidRPr="00FA44B7">
              <w:t xml:space="preserve"> </w:t>
            </w:r>
          </w:p>
        </w:tc>
        <w:tc>
          <w:tcPr>
            <w:tcW w:w="1221" w:type="dxa"/>
            <w:tcBorders>
              <w:top w:val="single" w:sz="4" w:space="0" w:color="999999"/>
              <w:bottom w:val="single" w:sz="4" w:space="0" w:color="999999"/>
            </w:tcBorders>
          </w:tcPr>
          <w:p w14:paraId="6E6BEAD5" w14:textId="77777777" w:rsidR="00805916" w:rsidRPr="00FA44B7" w:rsidRDefault="00805916" w:rsidP="00FA3CF1">
            <w:pPr>
              <w:pStyle w:val="UtilComTabletext"/>
              <w:jc w:val="right"/>
            </w:pPr>
            <w:r w:rsidRPr="00FA44B7">
              <w:t xml:space="preserve"> 7.10 </w:t>
            </w:r>
          </w:p>
        </w:tc>
        <w:tc>
          <w:tcPr>
            <w:tcW w:w="1221" w:type="dxa"/>
            <w:tcBorders>
              <w:top w:val="single" w:sz="4" w:space="0" w:color="999999"/>
              <w:bottom w:val="single" w:sz="4" w:space="0" w:color="999999"/>
            </w:tcBorders>
          </w:tcPr>
          <w:p w14:paraId="3D1CD00F" w14:textId="77777777" w:rsidR="00805916" w:rsidRPr="00FA44B7" w:rsidRDefault="00805916" w:rsidP="00FA3CF1">
            <w:pPr>
              <w:pStyle w:val="UtilComTabletext"/>
              <w:jc w:val="right"/>
            </w:pPr>
            <w:r w:rsidRPr="00FA44B7">
              <w:t xml:space="preserve"> 7.18 </w:t>
            </w:r>
          </w:p>
        </w:tc>
        <w:tc>
          <w:tcPr>
            <w:tcW w:w="1221" w:type="dxa"/>
            <w:tcBorders>
              <w:top w:val="single" w:sz="4" w:space="0" w:color="999999"/>
              <w:bottom w:val="single" w:sz="4" w:space="0" w:color="999999"/>
            </w:tcBorders>
            <w:shd w:val="clear" w:color="auto" w:fill="auto"/>
          </w:tcPr>
          <w:p w14:paraId="1566B1D5" w14:textId="77777777" w:rsidR="00805916" w:rsidRPr="004E25F9" w:rsidRDefault="00805916" w:rsidP="00FA3CF1">
            <w:pPr>
              <w:pStyle w:val="UtilComTabletext"/>
              <w:jc w:val="right"/>
            </w:pPr>
            <w:r w:rsidRPr="004E25F9">
              <w:t xml:space="preserve"> 36.</w:t>
            </w:r>
            <w:r w:rsidR="00FA3CF1">
              <w:t>25</w:t>
            </w:r>
            <w:r w:rsidR="00FA3CF1" w:rsidRPr="004E25F9">
              <w:t xml:space="preserve"> </w:t>
            </w:r>
          </w:p>
        </w:tc>
      </w:tr>
      <w:tr w:rsidR="00805916" w:rsidRPr="008A4655" w14:paraId="4BF2D360" w14:textId="77777777" w:rsidTr="00FA3CF1">
        <w:trPr>
          <w:cantSplit/>
          <w:trHeight w:val="360"/>
        </w:trPr>
        <w:tc>
          <w:tcPr>
            <w:tcW w:w="1811" w:type="dxa"/>
            <w:tcBorders>
              <w:top w:val="single" w:sz="4" w:space="0" w:color="999999"/>
              <w:bottom w:val="single" w:sz="4" w:space="0" w:color="999999"/>
            </w:tcBorders>
          </w:tcPr>
          <w:p w14:paraId="49FC4183" w14:textId="77777777" w:rsidR="00805916" w:rsidRPr="00260FB7" w:rsidRDefault="00805916" w:rsidP="00E8402C">
            <w:pPr>
              <w:pStyle w:val="UtilComTabletext"/>
            </w:pPr>
            <w:r>
              <w:t>Planned corrective</w:t>
            </w:r>
          </w:p>
        </w:tc>
        <w:tc>
          <w:tcPr>
            <w:tcW w:w="1221" w:type="dxa"/>
            <w:tcBorders>
              <w:top w:val="single" w:sz="4" w:space="0" w:color="999999"/>
              <w:bottom w:val="single" w:sz="4" w:space="0" w:color="999999"/>
            </w:tcBorders>
            <w:shd w:val="clear" w:color="auto" w:fill="auto"/>
          </w:tcPr>
          <w:p w14:paraId="6D6A1129" w14:textId="77777777" w:rsidR="00805916" w:rsidRPr="00FA44B7" w:rsidRDefault="00805916" w:rsidP="00FA3CF1">
            <w:pPr>
              <w:pStyle w:val="UtilComTabletext"/>
              <w:jc w:val="right"/>
            </w:pPr>
            <w:r w:rsidRPr="00FA44B7">
              <w:t xml:space="preserve"> 13.32 </w:t>
            </w:r>
          </w:p>
        </w:tc>
        <w:tc>
          <w:tcPr>
            <w:tcW w:w="1221" w:type="dxa"/>
            <w:tcBorders>
              <w:top w:val="single" w:sz="4" w:space="0" w:color="999999"/>
              <w:bottom w:val="single" w:sz="4" w:space="0" w:color="999999"/>
            </w:tcBorders>
            <w:shd w:val="clear" w:color="auto" w:fill="auto"/>
          </w:tcPr>
          <w:p w14:paraId="1921322E" w14:textId="77777777" w:rsidR="00805916" w:rsidRPr="00FA44B7" w:rsidRDefault="00805916" w:rsidP="00805916">
            <w:pPr>
              <w:pStyle w:val="UtilComTabletext"/>
              <w:jc w:val="right"/>
            </w:pPr>
            <w:r w:rsidRPr="00FA44B7">
              <w:t xml:space="preserve"> 13.49 </w:t>
            </w:r>
          </w:p>
        </w:tc>
        <w:tc>
          <w:tcPr>
            <w:tcW w:w="1221" w:type="dxa"/>
            <w:tcBorders>
              <w:top w:val="single" w:sz="4" w:space="0" w:color="999999"/>
              <w:bottom w:val="single" w:sz="4" w:space="0" w:color="999999"/>
            </w:tcBorders>
          </w:tcPr>
          <w:p w14:paraId="298ED1EC" w14:textId="77777777" w:rsidR="00805916" w:rsidRPr="00FA44B7" w:rsidRDefault="00805916" w:rsidP="00FA3CF1">
            <w:pPr>
              <w:pStyle w:val="UtilComTabletext"/>
              <w:jc w:val="right"/>
            </w:pPr>
            <w:r w:rsidRPr="00FA44B7">
              <w:t xml:space="preserve"> 13.</w:t>
            </w:r>
            <w:r w:rsidR="00FA3CF1">
              <w:t>25</w:t>
            </w:r>
            <w:r w:rsidR="00FA3CF1" w:rsidRPr="00FA44B7">
              <w:t xml:space="preserve"> </w:t>
            </w:r>
          </w:p>
        </w:tc>
        <w:tc>
          <w:tcPr>
            <w:tcW w:w="1221" w:type="dxa"/>
            <w:tcBorders>
              <w:top w:val="single" w:sz="4" w:space="0" w:color="999999"/>
              <w:bottom w:val="single" w:sz="4" w:space="0" w:color="999999"/>
            </w:tcBorders>
          </w:tcPr>
          <w:p w14:paraId="671821F3" w14:textId="77777777" w:rsidR="00805916" w:rsidRPr="00FA44B7" w:rsidRDefault="00805916" w:rsidP="00FA3CF1">
            <w:pPr>
              <w:pStyle w:val="UtilComTabletext"/>
              <w:jc w:val="right"/>
            </w:pPr>
            <w:r w:rsidRPr="00FA44B7">
              <w:t xml:space="preserve"> 13.</w:t>
            </w:r>
            <w:r w:rsidR="00FA3CF1">
              <w:t>20</w:t>
            </w:r>
            <w:r w:rsidR="00FA3CF1" w:rsidRPr="00FA44B7">
              <w:t xml:space="preserve"> </w:t>
            </w:r>
          </w:p>
        </w:tc>
        <w:tc>
          <w:tcPr>
            <w:tcW w:w="1221" w:type="dxa"/>
            <w:tcBorders>
              <w:top w:val="single" w:sz="4" w:space="0" w:color="999999"/>
              <w:bottom w:val="single" w:sz="4" w:space="0" w:color="999999"/>
            </w:tcBorders>
          </w:tcPr>
          <w:p w14:paraId="23DB519A" w14:textId="77777777" w:rsidR="00805916" w:rsidRPr="00FA44B7" w:rsidRDefault="00805916" w:rsidP="00FA3CF1">
            <w:pPr>
              <w:pStyle w:val="UtilComTabletext"/>
              <w:jc w:val="right"/>
            </w:pPr>
            <w:r w:rsidRPr="00FA44B7">
              <w:t xml:space="preserve"> 12.97 </w:t>
            </w:r>
          </w:p>
        </w:tc>
        <w:tc>
          <w:tcPr>
            <w:tcW w:w="1221" w:type="dxa"/>
            <w:tcBorders>
              <w:top w:val="single" w:sz="4" w:space="0" w:color="999999"/>
              <w:bottom w:val="single" w:sz="4" w:space="0" w:color="999999"/>
            </w:tcBorders>
            <w:shd w:val="clear" w:color="auto" w:fill="auto"/>
          </w:tcPr>
          <w:p w14:paraId="2FD6511F" w14:textId="77777777" w:rsidR="00805916" w:rsidRPr="004E25F9" w:rsidRDefault="00805916" w:rsidP="00FA3CF1">
            <w:pPr>
              <w:pStyle w:val="UtilComTabletext"/>
              <w:jc w:val="right"/>
            </w:pPr>
            <w:r w:rsidRPr="004E25F9">
              <w:t xml:space="preserve"> 66.23 </w:t>
            </w:r>
          </w:p>
        </w:tc>
      </w:tr>
      <w:tr w:rsidR="00805916" w:rsidRPr="008A4655" w14:paraId="7C50F77D" w14:textId="77777777" w:rsidTr="00FA3CF1">
        <w:trPr>
          <w:cantSplit/>
          <w:trHeight w:val="360"/>
        </w:trPr>
        <w:tc>
          <w:tcPr>
            <w:tcW w:w="1811" w:type="dxa"/>
            <w:tcBorders>
              <w:top w:val="single" w:sz="4" w:space="0" w:color="999999"/>
              <w:bottom w:val="single" w:sz="4" w:space="0" w:color="999999"/>
            </w:tcBorders>
          </w:tcPr>
          <w:p w14:paraId="3DA3DDCC" w14:textId="77777777" w:rsidR="00805916" w:rsidRPr="00260FB7" w:rsidRDefault="00805916" w:rsidP="00E8402C">
            <w:pPr>
              <w:pStyle w:val="UtilComTabletext"/>
            </w:pPr>
            <w:r>
              <w:t>Unplanned corrective</w:t>
            </w:r>
          </w:p>
        </w:tc>
        <w:tc>
          <w:tcPr>
            <w:tcW w:w="1221" w:type="dxa"/>
            <w:tcBorders>
              <w:top w:val="single" w:sz="4" w:space="0" w:color="999999"/>
              <w:bottom w:val="single" w:sz="4" w:space="0" w:color="999999"/>
            </w:tcBorders>
            <w:shd w:val="clear" w:color="auto" w:fill="auto"/>
          </w:tcPr>
          <w:p w14:paraId="52809F5E" w14:textId="77777777" w:rsidR="00805916" w:rsidRPr="00FA44B7" w:rsidRDefault="00805916" w:rsidP="00FA3CF1">
            <w:pPr>
              <w:pStyle w:val="UtilComTabletext"/>
              <w:jc w:val="right"/>
            </w:pPr>
            <w:r w:rsidRPr="00FA44B7">
              <w:t xml:space="preserve"> 10.</w:t>
            </w:r>
            <w:r w:rsidR="00FA3CF1">
              <w:t>31</w:t>
            </w:r>
            <w:r w:rsidR="00FA3CF1" w:rsidRPr="00FA44B7">
              <w:t xml:space="preserve"> </w:t>
            </w:r>
          </w:p>
        </w:tc>
        <w:tc>
          <w:tcPr>
            <w:tcW w:w="1221" w:type="dxa"/>
            <w:tcBorders>
              <w:top w:val="single" w:sz="4" w:space="0" w:color="999999"/>
              <w:bottom w:val="single" w:sz="4" w:space="0" w:color="999999"/>
            </w:tcBorders>
            <w:shd w:val="clear" w:color="auto" w:fill="auto"/>
          </w:tcPr>
          <w:p w14:paraId="2B6EC532" w14:textId="77777777" w:rsidR="00805916" w:rsidRPr="00FA44B7" w:rsidRDefault="00805916" w:rsidP="00805916">
            <w:pPr>
              <w:pStyle w:val="UtilComTabletext"/>
              <w:jc w:val="right"/>
            </w:pPr>
            <w:r w:rsidRPr="00FA44B7">
              <w:t xml:space="preserve"> 10.42 </w:t>
            </w:r>
          </w:p>
        </w:tc>
        <w:tc>
          <w:tcPr>
            <w:tcW w:w="1221" w:type="dxa"/>
            <w:tcBorders>
              <w:top w:val="single" w:sz="4" w:space="0" w:color="999999"/>
              <w:bottom w:val="single" w:sz="4" w:space="0" w:color="999999"/>
            </w:tcBorders>
          </w:tcPr>
          <w:p w14:paraId="538FE628" w14:textId="77777777" w:rsidR="00805916" w:rsidRPr="00FA44B7" w:rsidRDefault="00805916" w:rsidP="00FA3CF1">
            <w:pPr>
              <w:pStyle w:val="UtilComTabletext"/>
              <w:jc w:val="right"/>
            </w:pPr>
            <w:r w:rsidRPr="00FA44B7">
              <w:t xml:space="preserve"> 10.56 </w:t>
            </w:r>
          </w:p>
        </w:tc>
        <w:tc>
          <w:tcPr>
            <w:tcW w:w="1221" w:type="dxa"/>
            <w:tcBorders>
              <w:top w:val="single" w:sz="4" w:space="0" w:color="999999"/>
              <w:bottom w:val="single" w:sz="4" w:space="0" w:color="999999"/>
            </w:tcBorders>
          </w:tcPr>
          <w:p w14:paraId="527D61F3" w14:textId="77777777" w:rsidR="00805916" w:rsidRPr="00FA44B7" w:rsidRDefault="00805916" w:rsidP="00FA3CF1">
            <w:pPr>
              <w:pStyle w:val="UtilComTabletext"/>
              <w:jc w:val="right"/>
            </w:pPr>
            <w:r w:rsidRPr="00FA44B7">
              <w:t xml:space="preserve"> 10.</w:t>
            </w:r>
            <w:r w:rsidR="00FA3CF1">
              <w:t>46</w:t>
            </w:r>
            <w:r w:rsidR="00FA3CF1" w:rsidRPr="00FA44B7">
              <w:t xml:space="preserve"> </w:t>
            </w:r>
          </w:p>
        </w:tc>
        <w:tc>
          <w:tcPr>
            <w:tcW w:w="1221" w:type="dxa"/>
            <w:tcBorders>
              <w:top w:val="single" w:sz="4" w:space="0" w:color="999999"/>
              <w:bottom w:val="single" w:sz="4" w:space="0" w:color="999999"/>
            </w:tcBorders>
          </w:tcPr>
          <w:p w14:paraId="2F2383D1" w14:textId="77777777" w:rsidR="00805916" w:rsidRPr="00FA44B7" w:rsidRDefault="00805916" w:rsidP="00FA3CF1">
            <w:pPr>
              <w:pStyle w:val="UtilComTabletext"/>
              <w:jc w:val="right"/>
            </w:pPr>
            <w:r w:rsidRPr="00FA44B7">
              <w:t xml:space="preserve"> 10.</w:t>
            </w:r>
            <w:r w:rsidR="00FA3CF1">
              <w:t>27</w:t>
            </w:r>
            <w:r w:rsidR="00FA3CF1" w:rsidRPr="00FA44B7">
              <w:t xml:space="preserve"> </w:t>
            </w:r>
          </w:p>
        </w:tc>
        <w:tc>
          <w:tcPr>
            <w:tcW w:w="1221" w:type="dxa"/>
            <w:tcBorders>
              <w:top w:val="single" w:sz="4" w:space="0" w:color="999999"/>
              <w:bottom w:val="single" w:sz="4" w:space="0" w:color="999999"/>
            </w:tcBorders>
            <w:shd w:val="clear" w:color="auto" w:fill="auto"/>
          </w:tcPr>
          <w:p w14:paraId="0084A8EB" w14:textId="77777777" w:rsidR="00805916" w:rsidRPr="004E25F9" w:rsidRDefault="00805916" w:rsidP="00FA3CF1">
            <w:pPr>
              <w:pStyle w:val="UtilComTabletext"/>
              <w:jc w:val="right"/>
            </w:pPr>
            <w:r w:rsidRPr="004E25F9">
              <w:t xml:space="preserve"> 52.01 </w:t>
            </w:r>
          </w:p>
        </w:tc>
      </w:tr>
      <w:tr w:rsidR="00805916" w:rsidRPr="008A4655" w14:paraId="0F46D627" w14:textId="77777777" w:rsidTr="00FA3CF1">
        <w:trPr>
          <w:cantSplit/>
          <w:trHeight w:val="360"/>
        </w:trPr>
        <w:tc>
          <w:tcPr>
            <w:tcW w:w="1811" w:type="dxa"/>
            <w:tcBorders>
              <w:top w:val="single" w:sz="4" w:space="0" w:color="999999"/>
              <w:bottom w:val="single" w:sz="4" w:space="0" w:color="auto"/>
            </w:tcBorders>
          </w:tcPr>
          <w:p w14:paraId="4933787D" w14:textId="77777777" w:rsidR="00805916" w:rsidRDefault="00805916" w:rsidP="00E8402C">
            <w:pPr>
              <w:pStyle w:val="UtilComTabletext"/>
            </w:pPr>
            <w:r>
              <w:t>Specific</w:t>
            </w:r>
          </w:p>
        </w:tc>
        <w:tc>
          <w:tcPr>
            <w:tcW w:w="1221" w:type="dxa"/>
            <w:tcBorders>
              <w:top w:val="single" w:sz="4" w:space="0" w:color="999999"/>
              <w:bottom w:val="single" w:sz="4" w:space="0" w:color="auto"/>
            </w:tcBorders>
            <w:shd w:val="clear" w:color="auto" w:fill="auto"/>
          </w:tcPr>
          <w:p w14:paraId="56A21F03" w14:textId="77777777" w:rsidR="00805916" w:rsidRPr="00FA44B7" w:rsidRDefault="00805916" w:rsidP="00FA3CF1">
            <w:pPr>
              <w:pStyle w:val="UtilComTabletext"/>
              <w:jc w:val="right"/>
            </w:pPr>
            <w:r w:rsidRPr="00FA44B7">
              <w:t xml:space="preserve"> 0.</w:t>
            </w:r>
            <w:r w:rsidR="00FA3CF1">
              <w:t>81</w:t>
            </w:r>
            <w:r w:rsidR="00FA3CF1" w:rsidRPr="00FA44B7">
              <w:t xml:space="preserve"> </w:t>
            </w:r>
          </w:p>
        </w:tc>
        <w:tc>
          <w:tcPr>
            <w:tcW w:w="1221" w:type="dxa"/>
            <w:tcBorders>
              <w:top w:val="single" w:sz="4" w:space="0" w:color="999999"/>
              <w:bottom w:val="single" w:sz="4" w:space="0" w:color="auto"/>
            </w:tcBorders>
            <w:shd w:val="clear" w:color="auto" w:fill="auto"/>
          </w:tcPr>
          <w:p w14:paraId="248C9A7F" w14:textId="77777777" w:rsidR="00805916" w:rsidRPr="00FA44B7" w:rsidRDefault="00805916" w:rsidP="00FA3CF1">
            <w:pPr>
              <w:pStyle w:val="UtilComTabletext"/>
              <w:jc w:val="right"/>
            </w:pPr>
            <w:r w:rsidRPr="00FA44B7">
              <w:t xml:space="preserve"> 0.56 </w:t>
            </w:r>
          </w:p>
        </w:tc>
        <w:tc>
          <w:tcPr>
            <w:tcW w:w="1221" w:type="dxa"/>
            <w:tcBorders>
              <w:top w:val="single" w:sz="4" w:space="0" w:color="999999"/>
              <w:bottom w:val="single" w:sz="4" w:space="0" w:color="auto"/>
            </w:tcBorders>
          </w:tcPr>
          <w:p w14:paraId="410FBCE6" w14:textId="77777777" w:rsidR="00805916" w:rsidRPr="00FA44B7" w:rsidRDefault="00805916" w:rsidP="00FA3CF1">
            <w:pPr>
              <w:pStyle w:val="UtilComTabletext"/>
              <w:jc w:val="right"/>
            </w:pPr>
            <w:r w:rsidRPr="00FA44B7">
              <w:t xml:space="preserve"> 3.</w:t>
            </w:r>
            <w:r w:rsidR="00FA3CF1">
              <w:t>12</w:t>
            </w:r>
            <w:r w:rsidR="00FA3CF1" w:rsidRPr="00FA44B7">
              <w:t xml:space="preserve"> </w:t>
            </w:r>
          </w:p>
        </w:tc>
        <w:tc>
          <w:tcPr>
            <w:tcW w:w="1221" w:type="dxa"/>
            <w:tcBorders>
              <w:top w:val="single" w:sz="4" w:space="0" w:color="999999"/>
              <w:bottom w:val="single" w:sz="4" w:space="0" w:color="auto"/>
            </w:tcBorders>
          </w:tcPr>
          <w:p w14:paraId="13CE9754" w14:textId="77777777" w:rsidR="00805916" w:rsidRPr="00FA44B7" w:rsidRDefault="00805916" w:rsidP="00FA3CF1">
            <w:pPr>
              <w:pStyle w:val="UtilComTabletext"/>
              <w:jc w:val="right"/>
            </w:pPr>
            <w:r w:rsidRPr="00FA44B7">
              <w:t xml:space="preserve"> 0.</w:t>
            </w:r>
            <w:r w:rsidR="00FA3CF1">
              <w:t>95</w:t>
            </w:r>
            <w:r w:rsidR="00FA3CF1" w:rsidRPr="00FA44B7">
              <w:t xml:space="preserve"> </w:t>
            </w:r>
          </w:p>
        </w:tc>
        <w:tc>
          <w:tcPr>
            <w:tcW w:w="1221" w:type="dxa"/>
            <w:tcBorders>
              <w:top w:val="single" w:sz="4" w:space="0" w:color="999999"/>
              <w:bottom w:val="single" w:sz="4" w:space="0" w:color="auto"/>
            </w:tcBorders>
          </w:tcPr>
          <w:p w14:paraId="779027D6" w14:textId="77777777" w:rsidR="00805916" w:rsidRPr="00FA44B7" w:rsidRDefault="00805916" w:rsidP="00FA3CF1">
            <w:pPr>
              <w:pStyle w:val="UtilComTabletext"/>
              <w:jc w:val="right"/>
            </w:pPr>
            <w:r w:rsidRPr="00FA44B7">
              <w:t xml:space="preserve"> 0.</w:t>
            </w:r>
            <w:r w:rsidR="00FA3CF1">
              <w:t>96</w:t>
            </w:r>
            <w:r w:rsidR="00FA3CF1" w:rsidRPr="00FA44B7">
              <w:t xml:space="preserve"> </w:t>
            </w:r>
          </w:p>
        </w:tc>
        <w:tc>
          <w:tcPr>
            <w:tcW w:w="1221" w:type="dxa"/>
            <w:tcBorders>
              <w:top w:val="single" w:sz="4" w:space="0" w:color="999999"/>
              <w:bottom w:val="single" w:sz="4" w:space="0" w:color="auto"/>
            </w:tcBorders>
            <w:shd w:val="clear" w:color="auto" w:fill="auto"/>
          </w:tcPr>
          <w:p w14:paraId="70553107" w14:textId="77777777" w:rsidR="00805916" w:rsidRDefault="00805916" w:rsidP="00FA3CF1">
            <w:pPr>
              <w:pStyle w:val="UtilComTabletext"/>
              <w:jc w:val="right"/>
            </w:pPr>
            <w:r w:rsidRPr="004E25F9">
              <w:t xml:space="preserve"> 6.</w:t>
            </w:r>
            <w:r w:rsidR="00FA3CF1">
              <w:t>39</w:t>
            </w:r>
            <w:r w:rsidR="00FA3CF1" w:rsidRPr="004E25F9">
              <w:t xml:space="preserve"> </w:t>
            </w:r>
          </w:p>
        </w:tc>
      </w:tr>
      <w:tr w:rsidR="00805916" w:rsidRPr="005A0B65" w14:paraId="5F5E742C" w14:textId="77777777" w:rsidTr="00FA3CF1">
        <w:trPr>
          <w:cantSplit/>
          <w:trHeight w:val="360"/>
        </w:trPr>
        <w:tc>
          <w:tcPr>
            <w:tcW w:w="1811" w:type="dxa"/>
            <w:tcBorders>
              <w:top w:val="single" w:sz="4" w:space="0" w:color="auto"/>
              <w:bottom w:val="single" w:sz="4" w:space="0" w:color="000000"/>
            </w:tcBorders>
          </w:tcPr>
          <w:p w14:paraId="2B924C58" w14:textId="77777777" w:rsidR="00805916" w:rsidRPr="005A0B65" w:rsidRDefault="00805916" w:rsidP="00E8402C">
            <w:pPr>
              <w:pStyle w:val="UtilComTabletext"/>
              <w:rPr>
                <w:b/>
              </w:rPr>
            </w:pPr>
            <w:r>
              <w:rPr>
                <w:b/>
              </w:rPr>
              <w:t>Total maintenance</w:t>
            </w:r>
          </w:p>
        </w:tc>
        <w:tc>
          <w:tcPr>
            <w:tcW w:w="1221" w:type="dxa"/>
            <w:tcBorders>
              <w:top w:val="single" w:sz="4" w:space="0" w:color="auto"/>
              <w:bottom w:val="single" w:sz="4" w:space="0" w:color="000000"/>
            </w:tcBorders>
            <w:shd w:val="clear" w:color="auto" w:fill="auto"/>
          </w:tcPr>
          <w:p w14:paraId="26878BF6" w14:textId="77777777" w:rsidR="00805916" w:rsidRPr="00FA44B7" w:rsidRDefault="00805916" w:rsidP="00FA3CF1">
            <w:pPr>
              <w:pStyle w:val="UtilComTabletext"/>
              <w:jc w:val="right"/>
            </w:pPr>
            <w:r w:rsidRPr="00FA44B7">
              <w:t xml:space="preserve"> 40.</w:t>
            </w:r>
            <w:r w:rsidR="00FA3CF1">
              <w:t>60</w:t>
            </w:r>
            <w:r w:rsidR="00FA3CF1" w:rsidRPr="00FA44B7">
              <w:t xml:space="preserve"> </w:t>
            </w:r>
          </w:p>
        </w:tc>
        <w:tc>
          <w:tcPr>
            <w:tcW w:w="1221" w:type="dxa"/>
            <w:tcBorders>
              <w:top w:val="single" w:sz="4" w:space="0" w:color="auto"/>
              <w:bottom w:val="single" w:sz="4" w:space="0" w:color="000000"/>
            </w:tcBorders>
            <w:shd w:val="clear" w:color="auto" w:fill="auto"/>
          </w:tcPr>
          <w:p w14:paraId="3911147D" w14:textId="77777777" w:rsidR="00805916" w:rsidRPr="00FA44B7" w:rsidRDefault="00805916" w:rsidP="00FA3CF1">
            <w:pPr>
              <w:pStyle w:val="UtilComTabletext"/>
              <w:jc w:val="right"/>
            </w:pPr>
            <w:r w:rsidRPr="00FA44B7">
              <w:t xml:space="preserve"> 39.41 </w:t>
            </w:r>
          </w:p>
        </w:tc>
        <w:tc>
          <w:tcPr>
            <w:tcW w:w="1221" w:type="dxa"/>
            <w:tcBorders>
              <w:top w:val="single" w:sz="4" w:space="0" w:color="auto"/>
              <w:bottom w:val="single" w:sz="4" w:space="0" w:color="000000"/>
            </w:tcBorders>
          </w:tcPr>
          <w:p w14:paraId="5F4BDB1F" w14:textId="77777777" w:rsidR="00805916" w:rsidRPr="00FA44B7" w:rsidRDefault="00805916" w:rsidP="00FA3CF1">
            <w:pPr>
              <w:pStyle w:val="UtilComTabletext"/>
              <w:jc w:val="right"/>
            </w:pPr>
            <w:r w:rsidRPr="00FA44B7">
              <w:t xml:space="preserve"> 42.</w:t>
            </w:r>
            <w:r w:rsidR="00FA3CF1">
              <w:t>55</w:t>
            </w:r>
            <w:r w:rsidR="00FA3CF1" w:rsidRPr="00FA44B7">
              <w:t xml:space="preserve"> </w:t>
            </w:r>
          </w:p>
        </w:tc>
        <w:tc>
          <w:tcPr>
            <w:tcW w:w="1221" w:type="dxa"/>
            <w:tcBorders>
              <w:top w:val="single" w:sz="4" w:space="0" w:color="auto"/>
              <w:bottom w:val="single" w:sz="4" w:space="0" w:color="000000"/>
            </w:tcBorders>
          </w:tcPr>
          <w:p w14:paraId="7C221AAF" w14:textId="77777777" w:rsidR="00805916" w:rsidRPr="00FA44B7" w:rsidRDefault="00805916" w:rsidP="00FA3CF1">
            <w:pPr>
              <w:pStyle w:val="UtilComTabletext"/>
              <w:jc w:val="right"/>
            </w:pPr>
            <w:r w:rsidRPr="00FA44B7">
              <w:t xml:space="preserve"> 40.15 </w:t>
            </w:r>
          </w:p>
        </w:tc>
        <w:tc>
          <w:tcPr>
            <w:tcW w:w="1221" w:type="dxa"/>
            <w:tcBorders>
              <w:top w:val="single" w:sz="4" w:space="0" w:color="auto"/>
              <w:bottom w:val="single" w:sz="4" w:space="0" w:color="000000"/>
            </w:tcBorders>
          </w:tcPr>
          <w:p w14:paraId="4366B764" w14:textId="77777777" w:rsidR="00805916" w:rsidRDefault="00805916" w:rsidP="00FA3CF1">
            <w:pPr>
              <w:pStyle w:val="UtilComTabletext"/>
              <w:jc w:val="right"/>
            </w:pPr>
            <w:r w:rsidRPr="00FA44B7">
              <w:t xml:space="preserve"> 40.</w:t>
            </w:r>
            <w:r w:rsidR="00FA3CF1">
              <w:t>19</w:t>
            </w:r>
            <w:r w:rsidR="00FA3CF1" w:rsidRPr="00FA44B7">
              <w:t xml:space="preserve"> </w:t>
            </w:r>
          </w:p>
        </w:tc>
        <w:tc>
          <w:tcPr>
            <w:tcW w:w="1221" w:type="dxa"/>
            <w:tcBorders>
              <w:top w:val="single" w:sz="4" w:space="0" w:color="auto"/>
              <w:bottom w:val="single" w:sz="4" w:space="0" w:color="000000"/>
            </w:tcBorders>
            <w:shd w:val="clear" w:color="auto" w:fill="auto"/>
          </w:tcPr>
          <w:p w14:paraId="56964EEB" w14:textId="77777777" w:rsidR="00805916" w:rsidRPr="00805916" w:rsidRDefault="00805916" w:rsidP="00FA3CF1">
            <w:pPr>
              <w:pStyle w:val="UtilComTabletext"/>
              <w:jc w:val="right"/>
            </w:pPr>
            <w:r w:rsidRPr="00805916">
              <w:t>202.</w:t>
            </w:r>
            <w:r w:rsidR="00FA3CF1">
              <w:t>990</w:t>
            </w:r>
          </w:p>
        </w:tc>
      </w:tr>
      <w:tr w:rsidR="00805916" w:rsidRPr="00805916" w14:paraId="78AD5FC7" w14:textId="77777777" w:rsidTr="00FA3CF1">
        <w:trPr>
          <w:cantSplit/>
          <w:trHeight w:val="360"/>
        </w:trPr>
        <w:tc>
          <w:tcPr>
            <w:tcW w:w="1811" w:type="dxa"/>
            <w:tcBorders>
              <w:top w:val="single" w:sz="4" w:space="0" w:color="auto"/>
              <w:bottom w:val="single" w:sz="4" w:space="0" w:color="000000"/>
            </w:tcBorders>
          </w:tcPr>
          <w:p w14:paraId="459B9DEA" w14:textId="77777777" w:rsidR="00805916" w:rsidRPr="00805916" w:rsidRDefault="00805916" w:rsidP="00E8402C">
            <w:pPr>
              <w:pStyle w:val="UtilComTabletext"/>
              <w:rPr>
                <w:b/>
              </w:rPr>
            </w:pPr>
            <w:r w:rsidRPr="00805916">
              <w:rPr>
                <w:b/>
              </w:rPr>
              <w:t>Total proposed opex</w:t>
            </w:r>
          </w:p>
        </w:tc>
        <w:tc>
          <w:tcPr>
            <w:tcW w:w="1221" w:type="dxa"/>
            <w:tcBorders>
              <w:top w:val="single" w:sz="4" w:space="0" w:color="auto"/>
              <w:bottom w:val="single" w:sz="4" w:space="0" w:color="000000"/>
            </w:tcBorders>
            <w:shd w:val="clear" w:color="auto" w:fill="auto"/>
          </w:tcPr>
          <w:p w14:paraId="7E06035B" w14:textId="77777777" w:rsidR="00805916" w:rsidRPr="00805916" w:rsidRDefault="00805916" w:rsidP="00FA3CF1">
            <w:pPr>
              <w:pStyle w:val="UtilComTabletext"/>
              <w:jc w:val="right"/>
              <w:rPr>
                <w:b/>
              </w:rPr>
            </w:pPr>
            <w:r w:rsidRPr="00805916">
              <w:rPr>
                <w:b/>
              </w:rPr>
              <w:t xml:space="preserve"> 109.30 </w:t>
            </w:r>
          </w:p>
        </w:tc>
        <w:tc>
          <w:tcPr>
            <w:tcW w:w="1221" w:type="dxa"/>
            <w:tcBorders>
              <w:top w:val="single" w:sz="4" w:space="0" w:color="auto"/>
              <w:bottom w:val="single" w:sz="4" w:space="0" w:color="000000"/>
            </w:tcBorders>
            <w:shd w:val="clear" w:color="auto" w:fill="auto"/>
          </w:tcPr>
          <w:p w14:paraId="47BBA2BC" w14:textId="77777777" w:rsidR="00805916" w:rsidRPr="00805916" w:rsidRDefault="00805916" w:rsidP="00FA3CF1">
            <w:pPr>
              <w:pStyle w:val="UtilComTabletext"/>
              <w:jc w:val="right"/>
              <w:rPr>
                <w:b/>
              </w:rPr>
            </w:pPr>
            <w:r w:rsidRPr="00805916">
              <w:rPr>
                <w:b/>
              </w:rPr>
              <w:t xml:space="preserve"> 107.</w:t>
            </w:r>
            <w:r w:rsidR="00FA3CF1">
              <w:rPr>
                <w:b/>
              </w:rPr>
              <w:t>17</w:t>
            </w:r>
            <w:r w:rsidR="00FA3CF1" w:rsidRPr="00805916">
              <w:rPr>
                <w:b/>
              </w:rPr>
              <w:t xml:space="preserve"> </w:t>
            </w:r>
          </w:p>
        </w:tc>
        <w:tc>
          <w:tcPr>
            <w:tcW w:w="1221" w:type="dxa"/>
            <w:tcBorders>
              <w:top w:val="single" w:sz="4" w:space="0" w:color="auto"/>
              <w:bottom w:val="single" w:sz="4" w:space="0" w:color="000000"/>
            </w:tcBorders>
          </w:tcPr>
          <w:p w14:paraId="045ED6B3" w14:textId="77777777" w:rsidR="00805916" w:rsidRPr="00805916" w:rsidRDefault="00805916" w:rsidP="00FA3CF1">
            <w:pPr>
              <w:pStyle w:val="UtilComTabletext"/>
              <w:jc w:val="right"/>
              <w:rPr>
                <w:b/>
              </w:rPr>
            </w:pPr>
            <w:r w:rsidRPr="00805916">
              <w:rPr>
                <w:b/>
              </w:rPr>
              <w:t xml:space="preserve"> 108.</w:t>
            </w:r>
            <w:r w:rsidR="00FA3CF1">
              <w:rPr>
                <w:b/>
              </w:rPr>
              <w:t>58</w:t>
            </w:r>
            <w:r w:rsidR="00FA3CF1" w:rsidRPr="00805916">
              <w:rPr>
                <w:b/>
              </w:rPr>
              <w:t xml:space="preserve"> </w:t>
            </w:r>
          </w:p>
        </w:tc>
        <w:tc>
          <w:tcPr>
            <w:tcW w:w="1221" w:type="dxa"/>
            <w:tcBorders>
              <w:top w:val="single" w:sz="4" w:space="0" w:color="auto"/>
              <w:bottom w:val="single" w:sz="4" w:space="0" w:color="000000"/>
            </w:tcBorders>
          </w:tcPr>
          <w:p w14:paraId="455F40AF" w14:textId="77777777" w:rsidR="00805916" w:rsidRPr="00805916" w:rsidRDefault="00805916" w:rsidP="00FA3CF1">
            <w:pPr>
              <w:pStyle w:val="UtilComTabletext"/>
              <w:jc w:val="right"/>
              <w:rPr>
                <w:b/>
              </w:rPr>
            </w:pPr>
            <w:r w:rsidRPr="00805916">
              <w:rPr>
                <w:b/>
              </w:rPr>
              <w:t xml:space="preserve"> 107.37 </w:t>
            </w:r>
          </w:p>
        </w:tc>
        <w:tc>
          <w:tcPr>
            <w:tcW w:w="1221" w:type="dxa"/>
            <w:tcBorders>
              <w:top w:val="single" w:sz="4" w:space="0" w:color="auto"/>
              <w:bottom w:val="single" w:sz="4" w:space="0" w:color="000000"/>
            </w:tcBorders>
          </w:tcPr>
          <w:p w14:paraId="72414121" w14:textId="77777777" w:rsidR="00805916" w:rsidRPr="00805916" w:rsidRDefault="00805916" w:rsidP="00FA3CF1">
            <w:pPr>
              <w:pStyle w:val="UtilComTabletext"/>
              <w:jc w:val="right"/>
              <w:rPr>
                <w:b/>
              </w:rPr>
            </w:pPr>
            <w:r w:rsidRPr="00805916">
              <w:rPr>
                <w:b/>
              </w:rPr>
              <w:t xml:space="preserve"> 106.87 </w:t>
            </w:r>
          </w:p>
        </w:tc>
        <w:tc>
          <w:tcPr>
            <w:tcW w:w="1221" w:type="dxa"/>
            <w:tcBorders>
              <w:top w:val="single" w:sz="4" w:space="0" w:color="auto"/>
              <w:bottom w:val="single" w:sz="4" w:space="0" w:color="000000"/>
            </w:tcBorders>
            <w:shd w:val="clear" w:color="auto" w:fill="auto"/>
          </w:tcPr>
          <w:p w14:paraId="4C6C7ABC" w14:textId="77777777" w:rsidR="00805916" w:rsidRPr="00805916" w:rsidRDefault="00805916" w:rsidP="00FA3CF1">
            <w:pPr>
              <w:pStyle w:val="UtilComTabletext"/>
              <w:jc w:val="right"/>
              <w:rPr>
                <w:b/>
              </w:rPr>
            </w:pPr>
            <w:r>
              <w:rPr>
                <w:b/>
              </w:rPr>
              <w:t>539.29</w:t>
            </w:r>
          </w:p>
        </w:tc>
      </w:tr>
    </w:tbl>
    <w:p w14:paraId="2E403B32" w14:textId="24E51185" w:rsidR="00F64D48" w:rsidRPr="00E529C5" w:rsidRDefault="00F64D48" w:rsidP="00F64D48">
      <w:pPr>
        <w:pStyle w:val="UtilComReferenceSource"/>
        <w:rPr>
          <w:lang w:val="en-AU"/>
        </w:rPr>
      </w:pPr>
      <w:r>
        <w:rPr>
          <w:lang w:val="en-AU"/>
        </w:rPr>
        <w:t xml:space="preserve">Source: </w:t>
      </w:r>
      <w:r w:rsidR="00D250C2" w:rsidRPr="00D250C2">
        <w:rPr>
          <w:lang w:val="en-AU"/>
        </w:rPr>
        <w:t xml:space="preserve">Derived from PWC Networks, </w:t>
      </w:r>
      <w:r w:rsidR="008F01C4">
        <w:rPr>
          <w:lang w:val="en-AU"/>
        </w:rPr>
        <w:t>initial r</w:t>
      </w:r>
      <w:r w:rsidR="008F01C4" w:rsidRPr="00D250C2">
        <w:rPr>
          <w:lang w:val="en-AU"/>
        </w:rPr>
        <w:t xml:space="preserve">egulatory </w:t>
      </w:r>
      <w:r w:rsidR="00D250C2" w:rsidRPr="00D250C2">
        <w:rPr>
          <w:lang w:val="en-AU"/>
        </w:rPr>
        <w:t xml:space="preserve">proposal, September 2013, RIN templates 2.1 </w:t>
      </w:r>
      <w:r w:rsidR="00FA3CF1">
        <w:rPr>
          <w:lang w:val="en-AU"/>
        </w:rPr>
        <w:t>and</w:t>
      </w:r>
      <w:r w:rsidR="00FA3CF1" w:rsidRPr="00D250C2">
        <w:rPr>
          <w:lang w:val="en-AU"/>
        </w:rPr>
        <w:t xml:space="preserve"> </w:t>
      </w:r>
      <w:r w:rsidR="00D250C2" w:rsidRPr="00D250C2">
        <w:rPr>
          <w:lang w:val="en-AU"/>
        </w:rPr>
        <w:t>2.2 (confidential)</w:t>
      </w:r>
    </w:p>
    <w:p w14:paraId="2AEC7562" w14:textId="77777777" w:rsidR="00321ED1" w:rsidRDefault="00321ED1" w:rsidP="00FA3CF1">
      <w:pPr>
        <w:pStyle w:val="UtilComTableTitle"/>
        <w:keepNext/>
        <w:spacing w:before="120" w:after="0" w:line="240" w:lineRule="exact"/>
      </w:pPr>
    </w:p>
    <w:p w14:paraId="37AC40F7" w14:textId="2D6F4D44" w:rsidR="009B6F6B" w:rsidRPr="00FD5E9B" w:rsidRDefault="009B6F6B" w:rsidP="00FA3CF1">
      <w:pPr>
        <w:pStyle w:val="UtilComTableTitle"/>
        <w:keepNext/>
        <w:spacing w:before="120" w:after="0" w:line="240" w:lineRule="exact"/>
      </w:pPr>
      <w:r w:rsidRPr="00FD5E9B">
        <w:t xml:space="preserve">Figure </w:t>
      </w:r>
      <w:r w:rsidR="00D3346B" w:rsidRPr="00FD5E9B">
        <w:t>1</w:t>
      </w:r>
      <w:r w:rsidR="00D3346B">
        <w:t>0</w:t>
      </w:r>
      <w:r w:rsidRPr="00FD5E9B">
        <w:t>.2</w:t>
      </w:r>
      <w:r w:rsidR="00FA3CF1">
        <w:t>:</w:t>
      </w:r>
      <w:r w:rsidRPr="00FD5E9B">
        <w:t xml:space="preserve"> </w:t>
      </w:r>
      <w:r w:rsidR="00FA3CF1">
        <w:t>A</w:t>
      </w:r>
      <w:r w:rsidR="00FA3CF1" w:rsidRPr="00FD5E9B">
        <w:t xml:space="preserve">ctual </w:t>
      </w:r>
      <w:r>
        <w:t>o</w:t>
      </w:r>
      <w:r w:rsidRPr="00FD5E9B">
        <w:t xml:space="preserve">pex for </w:t>
      </w:r>
      <w:r w:rsidR="008F01C4">
        <w:t xml:space="preserve">the </w:t>
      </w:r>
      <w:r w:rsidRPr="00FD5E9B">
        <w:t xml:space="preserve">2009-14 </w:t>
      </w:r>
      <w:r w:rsidR="008F01C4">
        <w:t xml:space="preserve">regulatory control period </w:t>
      </w:r>
      <w:r w:rsidRPr="00FD5E9B">
        <w:t xml:space="preserve">and proposed </w:t>
      </w:r>
      <w:r>
        <w:t>o</w:t>
      </w:r>
      <w:r w:rsidRPr="00FD5E9B">
        <w:t xml:space="preserve">pex for </w:t>
      </w:r>
      <w:r w:rsidR="008F01C4">
        <w:t xml:space="preserve">the </w:t>
      </w:r>
      <w:r w:rsidRPr="00FD5E9B">
        <w:t xml:space="preserve">2014-19 </w:t>
      </w:r>
      <w:r w:rsidR="008F01C4">
        <w:t xml:space="preserve">regulatory control period </w:t>
      </w:r>
      <w:r w:rsidRPr="00FD5E9B">
        <w:t xml:space="preserve">by </w:t>
      </w:r>
      <w:r>
        <w:t>o</w:t>
      </w:r>
      <w:r w:rsidRPr="00FD5E9B">
        <w:t>pex driver</w:t>
      </w:r>
    </w:p>
    <w:p w14:paraId="664527E8" w14:textId="5C2860FE" w:rsidR="009B6F6B" w:rsidRDefault="00BC5AF3" w:rsidP="004323A1">
      <w:pPr>
        <w:rPr>
          <w:lang w:val="en-AU"/>
        </w:rPr>
      </w:pPr>
      <w:r w:rsidRPr="0087523A">
        <w:rPr>
          <w:noProof/>
          <w:lang w:val="en-AU" w:eastAsia="en-AU"/>
        </w:rPr>
        <w:drawing>
          <wp:anchor distT="0" distB="0" distL="114300" distR="114300" simplePos="0" relativeHeight="251693056" behindDoc="0" locked="0" layoutInCell="1" allowOverlap="1" wp14:anchorId="6D6F8BC8" wp14:editId="141DE9F6">
            <wp:simplePos x="0" y="0"/>
            <wp:positionH relativeFrom="column">
              <wp:posOffset>-19685</wp:posOffset>
            </wp:positionH>
            <wp:positionV relativeFrom="paragraph">
              <wp:posOffset>56515</wp:posOffset>
            </wp:positionV>
            <wp:extent cx="5760720" cy="3429000"/>
            <wp:effectExtent l="19050" t="19050" r="11430" b="1905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3429000"/>
                    </a:xfrm>
                    <a:prstGeom prst="rect">
                      <a:avLst/>
                    </a:prstGeom>
                    <a:noFill/>
                    <a:ln>
                      <a:solidFill>
                        <a:schemeClr val="tx1">
                          <a:lumMod val="95000"/>
                          <a:lumOff val="5000"/>
                        </a:schemeClr>
                      </a:solidFill>
                    </a:ln>
                  </pic:spPr>
                </pic:pic>
              </a:graphicData>
            </a:graphic>
            <wp14:sizeRelH relativeFrom="page">
              <wp14:pctWidth>0</wp14:pctWidth>
            </wp14:sizeRelH>
            <wp14:sizeRelV relativeFrom="page">
              <wp14:pctHeight>0</wp14:pctHeight>
            </wp14:sizeRelV>
          </wp:anchor>
        </w:drawing>
      </w:r>
    </w:p>
    <w:p w14:paraId="0618E9DE" w14:textId="77777777" w:rsidR="009B6F6B" w:rsidRDefault="009B6F6B" w:rsidP="004323A1">
      <w:pPr>
        <w:rPr>
          <w:lang w:val="en-AU"/>
        </w:rPr>
      </w:pPr>
    </w:p>
    <w:p w14:paraId="04D0A36C" w14:textId="5AC895D1" w:rsidR="009B6F6B" w:rsidRDefault="009B6F6B" w:rsidP="004323A1">
      <w:pPr>
        <w:rPr>
          <w:lang w:val="en-AU"/>
        </w:rPr>
      </w:pPr>
    </w:p>
    <w:p w14:paraId="531A1B6F" w14:textId="77777777" w:rsidR="009B6F6B" w:rsidRDefault="009B6F6B" w:rsidP="004323A1">
      <w:pPr>
        <w:rPr>
          <w:lang w:val="en-AU"/>
        </w:rPr>
      </w:pPr>
    </w:p>
    <w:p w14:paraId="2B9B49D1" w14:textId="77777777" w:rsidR="009B6F6B" w:rsidRDefault="009B6F6B" w:rsidP="004323A1">
      <w:pPr>
        <w:rPr>
          <w:lang w:val="en-AU"/>
        </w:rPr>
      </w:pPr>
    </w:p>
    <w:p w14:paraId="7F6B9E41" w14:textId="77777777" w:rsidR="009B6F6B" w:rsidRDefault="009B6F6B" w:rsidP="004323A1">
      <w:pPr>
        <w:rPr>
          <w:lang w:val="en-AU"/>
        </w:rPr>
      </w:pPr>
    </w:p>
    <w:p w14:paraId="5EA320D1" w14:textId="77777777" w:rsidR="009B6F6B" w:rsidRDefault="009B6F6B" w:rsidP="004323A1">
      <w:pPr>
        <w:rPr>
          <w:lang w:val="en-AU"/>
        </w:rPr>
      </w:pPr>
    </w:p>
    <w:p w14:paraId="332EDFD9" w14:textId="77777777" w:rsidR="009B6F6B" w:rsidRDefault="009B6F6B" w:rsidP="004323A1">
      <w:pPr>
        <w:rPr>
          <w:lang w:val="en-AU"/>
        </w:rPr>
      </w:pPr>
    </w:p>
    <w:p w14:paraId="284E4D38" w14:textId="77777777" w:rsidR="00F51D2B" w:rsidRDefault="00F51D2B" w:rsidP="004323A1">
      <w:pPr>
        <w:rPr>
          <w:lang w:val="en-AU"/>
        </w:rPr>
      </w:pPr>
    </w:p>
    <w:p w14:paraId="5EF51876" w14:textId="77777777" w:rsidR="00F51D2B" w:rsidRDefault="00F51D2B" w:rsidP="004323A1">
      <w:pPr>
        <w:rPr>
          <w:lang w:val="en-AU"/>
        </w:rPr>
      </w:pPr>
    </w:p>
    <w:p w14:paraId="7BB84CC4" w14:textId="77777777" w:rsidR="00F51D2B" w:rsidRDefault="00F51D2B" w:rsidP="004323A1">
      <w:pPr>
        <w:rPr>
          <w:lang w:val="en-AU"/>
        </w:rPr>
      </w:pPr>
    </w:p>
    <w:p w14:paraId="6865FC9A" w14:textId="77777777" w:rsidR="00F51D2B" w:rsidRDefault="00F51D2B" w:rsidP="004323A1">
      <w:pPr>
        <w:rPr>
          <w:lang w:val="en-AU"/>
        </w:rPr>
      </w:pPr>
    </w:p>
    <w:p w14:paraId="107E1BA6" w14:textId="77777777" w:rsidR="00111134" w:rsidRDefault="00111134" w:rsidP="004323A1">
      <w:pPr>
        <w:rPr>
          <w:lang w:val="en-AU"/>
        </w:rPr>
      </w:pPr>
    </w:p>
    <w:p w14:paraId="2B989476" w14:textId="77777777" w:rsidR="009B6F6B" w:rsidRDefault="009B6F6B" w:rsidP="004323A1">
      <w:pPr>
        <w:rPr>
          <w:lang w:val="en-AU"/>
        </w:rPr>
      </w:pPr>
    </w:p>
    <w:p w14:paraId="178437A7" w14:textId="77777777" w:rsidR="009B6F6B" w:rsidRDefault="009B6F6B" w:rsidP="004323A1">
      <w:pPr>
        <w:rPr>
          <w:lang w:val="en-AU"/>
        </w:rPr>
      </w:pPr>
    </w:p>
    <w:p w14:paraId="3E1B1A29" w14:textId="50F7615B" w:rsidR="009B6F6B" w:rsidRDefault="00111134" w:rsidP="004323A1">
      <w:pPr>
        <w:rPr>
          <w:sz w:val="16"/>
          <w:szCs w:val="16"/>
          <w:lang w:val="en-AU"/>
        </w:rPr>
      </w:pPr>
      <w:r w:rsidRPr="00111134">
        <w:rPr>
          <w:sz w:val="16"/>
          <w:szCs w:val="16"/>
          <w:lang w:val="en-AU"/>
        </w:rPr>
        <w:t>Source: Utilities Commission</w:t>
      </w:r>
    </w:p>
    <w:p w14:paraId="3D5EC6C9" w14:textId="77777777" w:rsidR="00111134" w:rsidRDefault="00111134" w:rsidP="004323A1">
      <w:pPr>
        <w:rPr>
          <w:sz w:val="16"/>
          <w:szCs w:val="16"/>
          <w:lang w:val="en-AU"/>
        </w:rPr>
      </w:pPr>
    </w:p>
    <w:p w14:paraId="4C600771" w14:textId="77777777" w:rsidR="00321ED1" w:rsidRPr="00111134" w:rsidRDefault="00321ED1" w:rsidP="004323A1">
      <w:pPr>
        <w:rPr>
          <w:sz w:val="16"/>
          <w:szCs w:val="16"/>
          <w:lang w:val="en-AU"/>
        </w:rPr>
      </w:pPr>
    </w:p>
    <w:p w14:paraId="6AF273DC" w14:textId="238DBAB2" w:rsidR="00DE6BCA" w:rsidRDefault="00DE6BCA" w:rsidP="00006B84">
      <w:pPr>
        <w:pStyle w:val="NumberLevel2"/>
        <w:numPr>
          <w:ilvl w:val="1"/>
          <w:numId w:val="5"/>
        </w:numPr>
        <w:tabs>
          <w:tab w:val="num" w:pos="709"/>
        </w:tabs>
        <w:ind w:left="709" w:hanging="709"/>
        <w:rPr>
          <w:lang w:val="en-AU"/>
        </w:rPr>
      </w:pPr>
      <w:r>
        <w:rPr>
          <w:lang w:val="en-AU"/>
        </w:rPr>
        <w:t xml:space="preserve">PWC </w:t>
      </w:r>
      <w:r w:rsidR="00FA3CF1">
        <w:rPr>
          <w:lang w:val="en-AU"/>
        </w:rPr>
        <w:t xml:space="preserve">Networks </w:t>
      </w:r>
      <w:r>
        <w:rPr>
          <w:lang w:val="en-AU"/>
        </w:rPr>
        <w:t xml:space="preserve">identified the following key drivers for its proposed </w:t>
      </w:r>
      <w:r w:rsidR="008F01C4">
        <w:rPr>
          <w:lang w:val="en-AU"/>
        </w:rPr>
        <w:t xml:space="preserve">initial </w:t>
      </w:r>
      <w:r w:rsidR="00EE5B17">
        <w:rPr>
          <w:lang w:val="en-AU"/>
        </w:rPr>
        <w:t xml:space="preserve">opex </w:t>
      </w:r>
      <w:r>
        <w:rPr>
          <w:lang w:val="en-AU"/>
        </w:rPr>
        <w:t xml:space="preserve">forecast: </w:t>
      </w:r>
    </w:p>
    <w:p w14:paraId="7253AA84" w14:textId="77777777" w:rsidR="004F199C" w:rsidRDefault="004F199C" w:rsidP="008E229D">
      <w:pPr>
        <w:pStyle w:val="UtilComBulletText"/>
        <w:numPr>
          <w:ilvl w:val="0"/>
          <w:numId w:val="14"/>
        </w:numPr>
        <w:ind w:left="1134" w:hanging="425"/>
      </w:pPr>
      <w:r w:rsidRPr="004F199C">
        <w:t>acquiring new expertise, skills and resources to improve the asset management function; and</w:t>
      </w:r>
    </w:p>
    <w:p w14:paraId="0EC183DD" w14:textId="77777777" w:rsidR="004F199C" w:rsidRPr="004F199C" w:rsidRDefault="004F199C" w:rsidP="008E229D">
      <w:pPr>
        <w:pStyle w:val="UtilComBulletText"/>
        <w:numPr>
          <w:ilvl w:val="0"/>
          <w:numId w:val="14"/>
        </w:numPr>
        <w:ind w:left="1134" w:hanging="425"/>
      </w:pPr>
      <w:r>
        <w:t>increasing knowledge about network assets leading to rising maintenance expenditure.</w:t>
      </w:r>
    </w:p>
    <w:p w14:paraId="30EC7D25" w14:textId="5AA455FC" w:rsidR="00E70748" w:rsidRDefault="00E70748" w:rsidP="00E70748">
      <w:pPr>
        <w:pStyle w:val="UtilComHeading2"/>
      </w:pPr>
      <w:bookmarkStart w:id="210" w:name="_Toc385241527"/>
      <w:bookmarkStart w:id="211" w:name="_Toc386013080"/>
      <w:r>
        <w:t>Submissions</w:t>
      </w:r>
      <w:r w:rsidR="00D3346B">
        <w:t xml:space="preserve"> on </w:t>
      </w:r>
      <w:r w:rsidR="001C5A9B">
        <w:t xml:space="preserve">Initial Regulatory </w:t>
      </w:r>
      <w:bookmarkEnd w:id="210"/>
      <w:r w:rsidR="001C5A9B">
        <w:t>Proposal</w:t>
      </w:r>
      <w:bookmarkEnd w:id="211"/>
    </w:p>
    <w:p w14:paraId="7B89AF55" w14:textId="1B0A67E6" w:rsidR="004D174D" w:rsidRDefault="004D174D" w:rsidP="00006B84">
      <w:pPr>
        <w:pStyle w:val="NumberLevel2"/>
        <w:numPr>
          <w:ilvl w:val="1"/>
          <w:numId w:val="5"/>
        </w:numPr>
        <w:tabs>
          <w:tab w:val="num" w:pos="709"/>
        </w:tabs>
        <w:ind w:left="709" w:hanging="709"/>
        <w:rPr>
          <w:lang w:val="en-AU"/>
        </w:rPr>
      </w:pPr>
      <w:r w:rsidRPr="00B01884">
        <w:rPr>
          <w:lang w:val="en-AU"/>
        </w:rPr>
        <w:t xml:space="preserve">The NTMEU </w:t>
      </w:r>
      <w:r w:rsidR="0000681E">
        <w:rPr>
          <w:lang w:val="en-AU"/>
        </w:rPr>
        <w:t xml:space="preserve">expressed </w:t>
      </w:r>
      <w:r w:rsidR="008F01C4">
        <w:rPr>
          <w:lang w:val="en-AU"/>
        </w:rPr>
        <w:t xml:space="preserve">the following </w:t>
      </w:r>
      <w:r w:rsidR="0000681E">
        <w:rPr>
          <w:lang w:val="en-AU"/>
        </w:rPr>
        <w:t xml:space="preserve">concern </w:t>
      </w:r>
      <w:r w:rsidR="008F01C4">
        <w:rPr>
          <w:lang w:val="en-AU"/>
        </w:rPr>
        <w:t>in relation to</w:t>
      </w:r>
      <w:r w:rsidR="0000681E">
        <w:rPr>
          <w:lang w:val="en-AU"/>
        </w:rPr>
        <w:t xml:space="preserve"> massive increase in opex over the </w:t>
      </w:r>
      <w:r w:rsidR="00D3346B">
        <w:rPr>
          <w:lang w:val="en-AU"/>
        </w:rPr>
        <w:t xml:space="preserve">2009-14 </w:t>
      </w:r>
      <w:r w:rsidR="0000681E">
        <w:rPr>
          <w:lang w:val="en-AU"/>
        </w:rPr>
        <w:t xml:space="preserve">regulatory control period and </w:t>
      </w:r>
      <w:r w:rsidR="00321ED1">
        <w:rPr>
          <w:lang w:val="en-AU"/>
        </w:rPr>
        <w:t xml:space="preserve">the required opex forecast </w:t>
      </w:r>
      <w:r w:rsidR="0000681E">
        <w:rPr>
          <w:lang w:val="en-AU"/>
        </w:rPr>
        <w:t>proposed by</w:t>
      </w:r>
      <w:r w:rsidRPr="00B01884">
        <w:rPr>
          <w:lang w:val="en-AU"/>
        </w:rPr>
        <w:t xml:space="preserve"> PWC Networks for the </w:t>
      </w:r>
      <w:r w:rsidR="00D3346B">
        <w:rPr>
          <w:lang w:val="en-AU"/>
        </w:rPr>
        <w:t>2014-19</w:t>
      </w:r>
      <w:r w:rsidR="00D3346B" w:rsidRPr="00B01884">
        <w:rPr>
          <w:lang w:val="en-AU"/>
        </w:rPr>
        <w:t xml:space="preserve"> </w:t>
      </w:r>
      <w:r w:rsidRPr="00B01884">
        <w:rPr>
          <w:lang w:val="en-AU"/>
        </w:rPr>
        <w:t>regulatory control period</w:t>
      </w:r>
      <w:r w:rsidR="0000681E">
        <w:rPr>
          <w:lang w:val="en-AU"/>
        </w:rPr>
        <w:t>:</w:t>
      </w:r>
    </w:p>
    <w:p w14:paraId="6C18473D" w14:textId="1735159B" w:rsidR="008E7ABC" w:rsidRPr="00FA3CF1" w:rsidRDefault="0000681E" w:rsidP="004B63D8">
      <w:pPr>
        <w:pStyle w:val="UtilComQuotationText"/>
        <w:ind w:left="1134"/>
      </w:pPr>
      <w:r w:rsidRPr="00FA3CF1">
        <w:t xml:space="preserve">What is more concerning is the massive increase in opex - basically over a period of 5 years, opex has doubled, yet the size of the networks has not increased significantly. This implies that PWC is not in control of its operations and is trending towards operating on a </w:t>
      </w:r>
      <w:r w:rsidR="00045AA3">
        <w:t>‘</w:t>
      </w:r>
      <w:r w:rsidRPr="00FA3CF1">
        <w:t>cost plus</w:t>
      </w:r>
      <w:r w:rsidR="00045AA3">
        <w:t>’</w:t>
      </w:r>
      <w:r w:rsidR="00045AA3" w:rsidRPr="00FA3CF1">
        <w:t xml:space="preserve"> </w:t>
      </w:r>
      <w:r w:rsidRPr="00FA3CF1">
        <w:t>approach and is not trending towards the efficient cost base for its networks.</w:t>
      </w:r>
      <w:r w:rsidR="00FA3CF1">
        <w:t xml:space="preserve"> (page.12)</w:t>
      </w:r>
    </w:p>
    <w:p w14:paraId="7A71D6A2" w14:textId="744C45B8" w:rsidR="004D174D" w:rsidRDefault="004D174D" w:rsidP="00006B84">
      <w:pPr>
        <w:pStyle w:val="NumberLevel2"/>
        <w:numPr>
          <w:ilvl w:val="1"/>
          <w:numId w:val="5"/>
        </w:numPr>
        <w:tabs>
          <w:tab w:val="num" w:pos="709"/>
        </w:tabs>
        <w:ind w:left="709" w:hanging="709"/>
        <w:rPr>
          <w:lang w:val="en-AU"/>
        </w:rPr>
      </w:pPr>
      <w:r>
        <w:rPr>
          <w:lang w:val="en-AU"/>
        </w:rPr>
        <w:t xml:space="preserve">The NTMEU </w:t>
      </w:r>
      <w:r w:rsidR="0026202E">
        <w:rPr>
          <w:lang w:val="en-AU"/>
        </w:rPr>
        <w:t xml:space="preserve">submitted </w:t>
      </w:r>
      <w:r w:rsidR="0000681E">
        <w:rPr>
          <w:lang w:val="en-AU"/>
        </w:rPr>
        <w:t>that</w:t>
      </w:r>
      <w:r>
        <w:rPr>
          <w:lang w:val="en-AU"/>
        </w:rPr>
        <w:t>:</w:t>
      </w:r>
    </w:p>
    <w:p w14:paraId="7C43FF35" w14:textId="6A8A86C4" w:rsidR="004D174D" w:rsidRPr="002E130D" w:rsidRDefault="0000681E" w:rsidP="00321ED1">
      <w:pPr>
        <w:pStyle w:val="UtilComBulletText"/>
        <w:tabs>
          <w:tab w:val="clear" w:pos="964"/>
          <w:tab w:val="num" w:pos="1134"/>
        </w:tabs>
        <w:ind w:left="1134" w:hanging="425"/>
      </w:pPr>
      <w:r>
        <w:t xml:space="preserve">there has been considerable replacement of assets during the </w:t>
      </w:r>
      <w:r w:rsidR="007669D5">
        <w:t xml:space="preserve">2009-14 </w:t>
      </w:r>
      <w:r>
        <w:t>regulatory control period which should have resulted in a reduction of opex</w:t>
      </w:r>
      <w:r w:rsidR="004D174D">
        <w:t xml:space="preserve">; </w:t>
      </w:r>
      <w:r w:rsidR="009A3B67">
        <w:t xml:space="preserve">and </w:t>
      </w:r>
    </w:p>
    <w:p w14:paraId="57A285EB" w14:textId="77777777" w:rsidR="004D174D" w:rsidRPr="002E130D" w:rsidRDefault="0000681E" w:rsidP="00321ED1">
      <w:pPr>
        <w:pStyle w:val="UtilComBulletText"/>
        <w:tabs>
          <w:tab w:val="clear" w:pos="964"/>
          <w:tab w:val="num" w:pos="1134"/>
        </w:tabs>
        <w:ind w:left="1134" w:hanging="425"/>
      </w:pPr>
      <w:r>
        <w:t>it is not demonstrated that the base year opex is efficient (with this premise</w:t>
      </w:r>
      <w:r w:rsidR="00554AEF">
        <w:t xml:space="preserve"> </w:t>
      </w:r>
      <w:r>
        <w:t>being the basis of the ‘</w:t>
      </w:r>
      <w:r w:rsidRPr="0000681E">
        <w:t>base, step, trend</w:t>
      </w:r>
      <w:r>
        <w:t>’ approach used by PWC Networks), with the NTMEU assessing benchmark efficient opex in the range of $60-</w:t>
      </w:r>
      <w:r w:rsidR="00FA3CF1">
        <w:t xml:space="preserve">70 million </w:t>
      </w:r>
      <w:r>
        <w:t>per annum</w:t>
      </w:r>
      <w:r w:rsidR="009A3B67">
        <w:t>.</w:t>
      </w:r>
    </w:p>
    <w:p w14:paraId="10F87758" w14:textId="346EA531" w:rsidR="007908A7" w:rsidRDefault="007908A7" w:rsidP="00006B84">
      <w:pPr>
        <w:pStyle w:val="NumberLevel2"/>
        <w:numPr>
          <w:ilvl w:val="1"/>
          <w:numId w:val="5"/>
        </w:numPr>
        <w:tabs>
          <w:tab w:val="num" w:pos="709"/>
        </w:tabs>
        <w:ind w:left="709" w:hanging="709"/>
        <w:rPr>
          <w:lang w:val="en-AU"/>
        </w:rPr>
      </w:pPr>
      <w:r>
        <w:rPr>
          <w:lang w:val="en-AU"/>
        </w:rPr>
        <w:t xml:space="preserve">The NTMEU also noted that PWC Networks has cited step changes resulting in increased staffing for a variety of additional activities. The NTMEU expressed concern that </w:t>
      </w:r>
      <w:r w:rsidR="007C48E5">
        <w:rPr>
          <w:lang w:val="en-AU"/>
        </w:rPr>
        <w:t xml:space="preserve">a bottom up assessment of staffing needs would lead to an increase that </w:t>
      </w:r>
      <w:r w:rsidR="00321ED1">
        <w:rPr>
          <w:lang w:val="en-AU"/>
        </w:rPr>
        <w:t>was</w:t>
      </w:r>
      <w:r w:rsidR="007C48E5">
        <w:rPr>
          <w:lang w:val="en-AU"/>
        </w:rPr>
        <w:t xml:space="preserve"> not efficient when considered from a top down perspective.</w:t>
      </w:r>
    </w:p>
    <w:p w14:paraId="27071ED2" w14:textId="77777777" w:rsidR="004D174D" w:rsidRPr="001911C2" w:rsidRDefault="004D174D" w:rsidP="00006B84">
      <w:pPr>
        <w:pStyle w:val="NumberLevel2"/>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 xml:space="preserve">submissions were received on the </w:t>
      </w:r>
      <w:r>
        <w:rPr>
          <w:lang w:val="en-AU"/>
        </w:rPr>
        <w:t xml:space="preserve">PWC Networks’ forecast </w:t>
      </w:r>
      <w:r w:rsidR="00D3346B">
        <w:rPr>
          <w:lang w:val="en-AU"/>
        </w:rPr>
        <w:t>opex</w:t>
      </w:r>
      <w:r w:rsidR="00554AEF">
        <w:rPr>
          <w:lang w:val="en-AU"/>
        </w:rPr>
        <w:t>.</w:t>
      </w:r>
    </w:p>
    <w:p w14:paraId="57362C70" w14:textId="6BCD6885" w:rsidR="00E70748" w:rsidRDefault="00E70748" w:rsidP="00E70748">
      <w:pPr>
        <w:pStyle w:val="UtilComHeading2"/>
      </w:pPr>
      <w:bookmarkStart w:id="212" w:name="_Toc385241528"/>
      <w:bookmarkStart w:id="213" w:name="_Toc386013081"/>
      <w:r>
        <w:t xml:space="preserve">Issues and Commission’s </w:t>
      </w:r>
      <w:r w:rsidR="008E170F">
        <w:t xml:space="preserve">Initial </w:t>
      </w:r>
      <w:bookmarkEnd w:id="212"/>
      <w:r w:rsidR="008E170F">
        <w:t>Considerations</w:t>
      </w:r>
      <w:bookmarkEnd w:id="213"/>
    </w:p>
    <w:p w14:paraId="5453AFD6" w14:textId="19B6036C" w:rsidR="006B17D3" w:rsidRDefault="006B17D3" w:rsidP="00006B84">
      <w:pPr>
        <w:pStyle w:val="NumberLevel2"/>
        <w:numPr>
          <w:ilvl w:val="1"/>
          <w:numId w:val="5"/>
        </w:numPr>
        <w:tabs>
          <w:tab w:val="num" w:pos="709"/>
        </w:tabs>
        <w:ind w:left="709" w:hanging="709"/>
      </w:pPr>
      <w:r w:rsidRPr="007E4BB4">
        <w:rPr>
          <w:lang w:val="en-AU"/>
        </w:rPr>
        <w:t xml:space="preserve">The </w:t>
      </w:r>
      <w:r>
        <w:rPr>
          <w:lang w:val="en-AU"/>
        </w:rPr>
        <w:t>Commission</w:t>
      </w:r>
      <w:r w:rsidRPr="007E4BB4">
        <w:rPr>
          <w:lang w:val="en-AU"/>
        </w:rPr>
        <w:t xml:space="preserve"> engaged PB to provide independent reviews of the </w:t>
      </w:r>
      <w:r w:rsidR="00AA2618" w:rsidRPr="007E4BB4">
        <w:rPr>
          <w:lang w:val="en-AU"/>
        </w:rPr>
        <w:t>prudenc</w:t>
      </w:r>
      <w:r w:rsidR="00AA2618">
        <w:rPr>
          <w:lang w:val="en-AU"/>
        </w:rPr>
        <w:t>y</w:t>
      </w:r>
      <w:r w:rsidR="00AA2618" w:rsidRPr="007E4BB4">
        <w:rPr>
          <w:lang w:val="en-AU"/>
        </w:rPr>
        <w:t xml:space="preserve"> </w:t>
      </w:r>
      <w:r w:rsidRPr="007E4BB4">
        <w:rPr>
          <w:lang w:val="en-AU"/>
        </w:rPr>
        <w:t xml:space="preserve">and efficiency of </w:t>
      </w:r>
      <w:r>
        <w:rPr>
          <w:lang w:val="en-AU"/>
        </w:rPr>
        <w:t>PWC Networks</w:t>
      </w:r>
      <w:r w:rsidRPr="007E4BB4">
        <w:rPr>
          <w:lang w:val="en-AU"/>
        </w:rPr>
        <w:t xml:space="preserve">’ </w:t>
      </w:r>
      <w:r w:rsidR="00D3346B">
        <w:rPr>
          <w:lang w:val="en-AU"/>
        </w:rPr>
        <w:t xml:space="preserve">initial </w:t>
      </w:r>
      <w:r w:rsidR="00AA2618">
        <w:rPr>
          <w:lang w:val="en-AU"/>
        </w:rPr>
        <w:t xml:space="preserve">proposed </w:t>
      </w:r>
      <w:r w:rsidR="00023102">
        <w:rPr>
          <w:lang w:val="en-AU"/>
        </w:rPr>
        <w:t>o</w:t>
      </w:r>
      <w:r w:rsidRPr="007E4BB4">
        <w:rPr>
          <w:lang w:val="en-AU"/>
        </w:rPr>
        <w:t xml:space="preserve">pex </w:t>
      </w:r>
      <w:r w:rsidR="00AA2618">
        <w:rPr>
          <w:lang w:val="en-AU"/>
        </w:rPr>
        <w:t>forecast</w:t>
      </w:r>
      <w:r w:rsidRPr="007E4BB4">
        <w:rPr>
          <w:lang w:val="en-AU"/>
        </w:rPr>
        <w:t xml:space="preserve">. </w:t>
      </w:r>
      <w:r>
        <w:rPr>
          <w:lang w:val="en-AU"/>
        </w:rPr>
        <w:t xml:space="preserve">PB’s report </w:t>
      </w:r>
      <w:r w:rsidR="00D3346B">
        <w:rPr>
          <w:lang w:val="en-AU"/>
        </w:rPr>
        <w:t>was</w:t>
      </w:r>
      <w:r>
        <w:rPr>
          <w:lang w:val="en-AU"/>
        </w:rPr>
        <w:t xml:space="preserve"> released with </w:t>
      </w:r>
      <w:r w:rsidR="00D3346B">
        <w:rPr>
          <w:lang w:val="en-AU"/>
        </w:rPr>
        <w:t xml:space="preserve">the </w:t>
      </w:r>
      <w:r>
        <w:rPr>
          <w:lang w:val="en-AU"/>
        </w:rPr>
        <w:t>Draft Determination.</w:t>
      </w:r>
    </w:p>
    <w:p w14:paraId="298D74D8" w14:textId="557992D6" w:rsidR="006B17D3" w:rsidRDefault="006B17D3" w:rsidP="00006B84">
      <w:pPr>
        <w:pStyle w:val="NumberLevel2"/>
        <w:numPr>
          <w:ilvl w:val="1"/>
          <w:numId w:val="5"/>
        </w:numPr>
        <w:tabs>
          <w:tab w:val="num" w:pos="709"/>
        </w:tabs>
        <w:ind w:left="709" w:hanging="709"/>
        <w:rPr>
          <w:lang w:val="en-AU"/>
        </w:rPr>
      </w:pPr>
      <w:r>
        <w:rPr>
          <w:lang w:val="en-AU"/>
        </w:rPr>
        <w:t>T</w:t>
      </w:r>
      <w:r w:rsidRPr="007E4BB4">
        <w:rPr>
          <w:lang w:val="en-AU"/>
        </w:rPr>
        <w:t xml:space="preserve">he </w:t>
      </w:r>
      <w:r w:rsidR="00FB2EC5">
        <w:rPr>
          <w:lang w:val="en-AU"/>
        </w:rPr>
        <w:t>Network Access Code</w:t>
      </w:r>
      <w:r w:rsidRPr="007E4BB4">
        <w:rPr>
          <w:lang w:val="en-AU"/>
        </w:rPr>
        <w:t xml:space="preserve"> provides the Commission with </w:t>
      </w:r>
      <w:r>
        <w:rPr>
          <w:lang w:val="en-AU"/>
        </w:rPr>
        <w:t xml:space="preserve">more </w:t>
      </w:r>
      <w:r w:rsidRPr="007E4BB4">
        <w:rPr>
          <w:lang w:val="en-AU"/>
        </w:rPr>
        <w:t>flexibility in its approach</w:t>
      </w:r>
      <w:r>
        <w:rPr>
          <w:lang w:val="en-AU"/>
        </w:rPr>
        <w:t xml:space="preserve"> than </w:t>
      </w:r>
      <w:r w:rsidRPr="007E4BB4">
        <w:rPr>
          <w:lang w:val="en-AU"/>
        </w:rPr>
        <w:t>the NER</w:t>
      </w:r>
      <w:r>
        <w:rPr>
          <w:lang w:val="en-AU"/>
        </w:rPr>
        <w:t>, which</w:t>
      </w:r>
      <w:r w:rsidRPr="007E4BB4">
        <w:rPr>
          <w:lang w:val="en-AU"/>
        </w:rPr>
        <w:t xml:space="preserve"> is prescriptive in its treatment of any expenditure that is not fully justified by</w:t>
      </w:r>
      <w:r w:rsidR="00321ED1">
        <w:rPr>
          <w:lang w:val="en-AU"/>
        </w:rPr>
        <w:t xml:space="preserve"> a</w:t>
      </w:r>
      <w:r w:rsidRPr="007E4BB4">
        <w:rPr>
          <w:lang w:val="en-AU"/>
        </w:rPr>
        <w:t xml:space="preserve"> </w:t>
      </w:r>
      <w:r>
        <w:rPr>
          <w:lang w:val="en-AU"/>
        </w:rPr>
        <w:t>DNSP. While</w:t>
      </w:r>
      <w:r w:rsidRPr="007E4BB4">
        <w:rPr>
          <w:lang w:val="en-AU"/>
        </w:rPr>
        <w:t xml:space="preserve"> </w:t>
      </w:r>
      <w:r>
        <w:rPr>
          <w:lang w:val="en-AU"/>
        </w:rPr>
        <w:t>PB’s</w:t>
      </w:r>
      <w:r w:rsidRPr="007E4BB4">
        <w:rPr>
          <w:lang w:val="en-AU"/>
        </w:rPr>
        <w:t xml:space="preserve"> review approach </w:t>
      </w:r>
      <w:r w:rsidR="00AA2618" w:rsidRPr="007E4BB4">
        <w:rPr>
          <w:lang w:val="en-AU"/>
        </w:rPr>
        <w:t>consider</w:t>
      </w:r>
      <w:r w:rsidR="00AA2618">
        <w:rPr>
          <w:lang w:val="en-AU"/>
        </w:rPr>
        <w:t>ed</w:t>
      </w:r>
      <w:r w:rsidR="00AA2618" w:rsidRPr="007E4BB4">
        <w:rPr>
          <w:lang w:val="en-AU"/>
        </w:rPr>
        <w:t xml:space="preserve"> </w:t>
      </w:r>
      <w:r w:rsidRPr="007E4BB4">
        <w:rPr>
          <w:lang w:val="en-AU"/>
        </w:rPr>
        <w:t xml:space="preserve">the NER and </w:t>
      </w:r>
      <w:r w:rsidR="00AA2618">
        <w:rPr>
          <w:lang w:val="en-AU"/>
        </w:rPr>
        <w:t>was</w:t>
      </w:r>
      <w:r w:rsidR="00AA2618" w:rsidRPr="007E4BB4">
        <w:rPr>
          <w:lang w:val="en-AU"/>
        </w:rPr>
        <w:t xml:space="preserve"> </w:t>
      </w:r>
      <w:r w:rsidRPr="007E4BB4">
        <w:rPr>
          <w:lang w:val="en-AU"/>
        </w:rPr>
        <w:t xml:space="preserve">based upon the principles and practices that the AER has applied in its </w:t>
      </w:r>
      <w:r w:rsidR="00321ED1">
        <w:rPr>
          <w:lang w:val="en-AU"/>
        </w:rPr>
        <w:t xml:space="preserve">recent </w:t>
      </w:r>
      <w:r w:rsidR="00AA2618">
        <w:rPr>
          <w:lang w:val="en-AU"/>
        </w:rPr>
        <w:t>distribution determinations</w:t>
      </w:r>
      <w:r>
        <w:rPr>
          <w:lang w:val="en-AU"/>
        </w:rPr>
        <w:t>, the Commission directed PB to</w:t>
      </w:r>
      <w:r w:rsidRPr="007E4BB4">
        <w:rPr>
          <w:lang w:val="en-AU"/>
        </w:rPr>
        <w:t xml:space="preserve"> take into consideration the context in which P</w:t>
      </w:r>
      <w:r>
        <w:rPr>
          <w:lang w:val="en-AU"/>
        </w:rPr>
        <w:t>WC</w:t>
      </w:r>
      <w:r w:rsidRPr="007E4BB4">
        <w:rPr>
          <w:lang w:val="en-AU"/>
        </w:rPr>
        <w:t xml:space="preserve"> Networks </w:t>
      </w:r>
      <w:r w:rsidR="00AA2618" w:rsidRPr="007E4BB4">
        <w:rPr>
          <w:lang w:val="en-AU"/>
        </w:rPr>
        <w:t>operat</w:t>
      </w:r>
      <w:r w:rsidR="00AA2618">
        <w:rPr>
          <w:lang w:val="en-AU"/>
        </w:rPr>
        <w:t>es and</w:t>
      </w:r>
      <w:r w:rsidR="00AA2618" w:rsidRPr="007E4BB4">
        <w:rPr>
          <w:lang w:val="en-AU"/>
        </w:rPr>
        <w:t xml:space="preserve"> </w:t>
      </w:r>
      <w:r w:rsidRPr="007E4BB4">
        <w:rPr>
          <w:lang w:val="en-AU"/>
        </w:rPr>
        <w:t xml:space="preserve">specifically the recent development of appropriate processes and procedures and limited availability of documentation and data. </w:t>
      </w:r>
    </w:p>
    <w:p w14:paraId="32C83C9D" w14:textId="29F529B2" w:rsidR="006B17D3" w:rsidRPr="006B17D3" w:rsidRDefault="006B17D3" w:rsidP="00006B84">
      <w:pPr>
        <w:pStyle w:val="NumberLevel2"/>
        <w:numPr>
          <w:ilvl w:val="1"/>
          <w:numId w:val="5"/>
        </w:numPr>
        <w:tabs>
          <w:tab w:val="num" w:pos="709"/>
        </w:tabs>
        <w:ind w:left="709" w:hanging="709"/>
        <w:rPr>
          <w:lang w:val="en-AU"/>
        </w:rPr>
      </w:pPr>
      <w:r w:rsidRPr="006B17D3">
        <w:rPr>
          <w:lang w:val="en-AU"/>
        </w:rPr>
        <w:t>P</w:t>
      </w:r>
      <w:r>
        <w:rPr>
          <w:lang w:val="en-AU"/>
        </w:rPr>
        <w:t>B</w:t>
      </w:r>
      <w:r w:rsidRPr="006B17D3">
        <w:rPr>
          <w:lang w:val="en-AU"/>
        </w:rPr>
        <w:t xml:space="preserve">’s review of PWC’s proposed opex </w:t>
      </w:r>
      <w:r w:rsidR="00AA2618">
        <w:rPr>
          <w:lang w:val="en-AU"/>
        </w:rPr>
        <w:t xml:space="preserve">forecast </w:t>
      </w:r>
      <w:r w:rsidRPr="006B17D3">
        <w:rPr>
          <w:lang w:val="en-AU"/>
        </w:rPr>
        <w:t>included an assessment of:</w:t>
      </w:r>
    </w:p>
    <w:p w14:paraId="46CA2B13" w14:textId="6A3A7D0D" w:rsidR="006B17D3" w:rsidRPr="006B17D3" w:rsidRDefault="006B17D3" w:rsidP="00006B84">
      <w:pPr>
        <w:pStyle w:val="UtilComBulletText"/>
        <w:tabs>
          <w:tab w:val="clear" w:pos="964"/>
          <w:tab w:val="num" w:pos="1134"/>
        </w:tabs>
        <w:ind w:left="1134" w:hanging="425"/>
      </w:pPr>
      <w:r w:rsidRPr="006B17D3">
        <w:t xml:space="preserve">the efficiency of the forecast opex for each </w:t>
      </w:r>
      <w:r w:rsidR="00AA2618">
        <w:t xml:space="preserve">regulatory </w:t>
      </w:r>
      <w:r w:rsidRPr="006B17D3">
        <w:t xml:space="preserve">year of the </w:t>
      </w:r>
      <w:r w:rsidR="007669D5">
        <w:t>2014-19</w:t>
      </w:r>
      <w:r w:rsidR="007669D5" w:rsidRPr="006B17D3">
        <w:t xml:space="preserve"> </w:t>
      </w:r>
      <w:r w:rsidRPr="006B17D3">
        <w:t xml:space="preserve">regulatory </w:t>
      </w:r>
      <w:r w:rsidR="004F2757">
        <w:t xml:space="preserve">control </w:t>
      </w:r>
      <w:r w:rsidRPr="006B17D3">
        <w:t xml:space="preserve">period, and whether there </w:t>
      </w:r>
      <w:r w:rsidR="00AA2618">
        <w:t xml:space="preserve">was </w:t>
      </w:r>
      <w:r w:rsidRPr="006B17D3">
        <w:t>any further scope for efficiencies</w:t>
      </w:r>
      <w:r>
        <w:t>;</w:t>
      </w:r>
    </w:p>
    <w:p w14:paraId="54E36226" w14:textId="60DC51CF" w:rsidR="006B17D3" w:rsidRPr="006B17D3" w:rsidRDefault="006B17D3" w:rsidP="00006B84">
      <w:pPr>
        <w:pStyle w:val="UtilComBulletText"/>
        <w:tabs>
          <w:tab w:val="clear" w:pos="964"/>
          <w:tab w:val="num" w:pos="1134"/>
        </w:tabs>
        <w:ind w:left="1134" w:hanging="425"/>
      </w:pPr>
      <w:r w:rsidRPr="006B17D3">
        <w:t>the appropriateness of the allocation of opex to specific activities</w:t>
      </w:r>
      <w:r>
        <w:t>;</w:t>
      </w:r>
    </w:p>
    <w:p w14:paraId="32393B60" w14:textId="7F3B563A" w:rsidR="006B17D3" w:rsidRPr="006B17D3" w:rsidRDefault="006B17D3" w:rsidP="00006B84">
      <w:pPr>
        <w:pStyle w:val="UtilComBulletText"/>
        <w:tabs>
          <w:tab w:val="clear" w:pos="964"/>
          <w:tab w:val="num" w:pos="1134"/>
        </w:tabs>
        <w:ind w:left="1134" w:hanging="425"/>
      </w:pPr>
      <w:r w:rsidRPr="006B17D3">
        <w:t>the effectiveness of operating practices, procedures, and asset management systems at ensuring only</w:t>
      </w:r>
      <w:r>
        <w:t xml:space="preserve"> </w:t>
      </w:r>
      <w:r w:rsidRPr="006B17D3">
        <w:t xml:space="preserve">necessary and efficient opex </w:t>
      </w:r>
      <w:r w:rsidR="00AA2618">
        <w:t>is incurred</w:t>
      </w:r>
      <w:r>
        <w:t>;</w:t>
      </w:r>
    </w:p>
    <w:p w14:paraId="58A7971C" w14:textId="101EF95A" w:rsidR="006B17D3" w:rsidRPr="006B17D3" w:rsidRDefault="006B17D3" w:rsidP="00006B84">
      <w:pPr>
        <w:pStyle w:val="UtilComBulletText"/>
        <w:tabs>
          <w:tab w:val="clear" w:pos="964"/>
          <w:tab w:val="num" w:pos="1134"/>
        </w:tabs>
        <w:ind w:left="1134" w:hanging="425"/>
      </w:pPr>
      <w:r w:rsidRPr="006B17D3">
        <w:t xml:space="preserve">the major factors (drivers) that may affect the level of efficient opex required over the </w:t>
      </w:r>
      <w:r w:rsidR="007669D5">
        <w:t xml:space="preserve">2014-19 </w:t>
      </w:r>
      <w:r w:rsidRPr="006B17D3">
        <w:t xml:space="preserve">regulatory </w:t>
      </w:r>
      <w:r w:rsidR="004F2757">
        <w:t xml:space="preserve">control </w:t>
      </w:r>
      <w:r w:rsidRPr="006B17D3">
        <w:t>period</w:t>
      </w:r>
      <w:r>
        <w:t>; and</w:t>
      </w:r>
    </w:p>
    <w:p w14:paraId="305CE0B8" w14:textId="5C3C6D6A" w:rsidR="00E70748" w:rsidRPr="006B17D3" w:rsidRDefault="006B17D3" w:rsidP="00006B84">
      <w:pPr>
        <w:pStyle w:val="UtilComBulletText"/>
        <w:tabs>
          <w:tab w:val="clear" w:pos="964"/>
          <w:tab w:val="num" w:pos="1134"/>
        </w:tabs>
        <w:ind w:left="1134" w:hanging="425"/>
      </w:pPr>
      <w:r w:rsidRPr="006B17D3">
        <w:t xml:space="preserve">the appropriateness of </w:t>
      </w:r>
      <w:r w:rsidR="00AA2618">
        <w:t xml:space="preserve">PWC Networks’ </w:t>
      </w:r>
      <w:r w:rsidRPr="006B17D3">
        <w:t>opex for</w:t>
      </w:r>
      <w:r>
        <w:t>ecasting methodology.</w:t>
      </w:r>
    </w:p>
    <w:p w14:paraId="7625BA9F" w14:textId="153E6635" w:rsidR="006B17D3" w:rsidRPr="00222331" w:rsidRDefault="006B17D3" w:rsidP="00006B84">
      <w:pPr>
        <w:pStyle w:val="NumberLevel2"/>
        <w:numPr>
          <w:ilvl w:val="1"/>
          <w:numId w:val="5"/>
        </w:numPr>
        <w:tabs>
          <w:tab w:val="num" w:pos="709"/>
        </w:tabs>
        <w:ind w:left="709" w:hanging="709"/>
        <w:rPr>
          <w:lang w:val="en-AU"/>
        </w:rPr>
      </w:pPr>
      <w:r w:rsidRPr="00222331">
        <w:rPr>
          <w:lang w:val="en-AU"/>
        </w:rPr>
        <w:t xml:space="preserve">The Commission subsequently requested that </w:t>
      </w:r>
      <w:r w:rsidR="00554AEF">
        <w:rPr>
          <w:lang w:val="en-AU"/>
        </w:rPr>
        <w:t>PB</w:t>
      </w:r>
      <w:r w:rsidRPr="00222331">
        <w:rPr>
          <w:lang w:val="en-AU"/>
        </w:rPr>
        <w:t xml:space="preserve"> undertake further analysis of the benchmarking of PWC Networks</w:t>
      </w:r>
      <w:r w:rsidR="00104762">
        <w:rPr>
          <w:lang w:val="en-AU"/>
        </w:rPr>
        <w:t>’</w:t>
      </w:r>
      <w:r w:rsidRPr="00222331">
        <w:rPr>
          <w:lang w:val="en-AU"/>
        </w:rPr>
        <w:t xml:space="preserve"> </w:t>
      </w:r>
      <w:r w:rsidR="00AA2618">
        <w:rPr>
          <w:lang w:val="en-AU"/>
        </w:rPr>
        <w:t>opex</w:t>
      </w:r>
      <w:r w:rsidRPr="00222331">
        <w:rPr>
          <w:lang w:val="en-AU"/>
        </w:rPr>
        <w:t xml:space="preserve"> to </w:t>
      </w:r>
      <w:r w:rsidR="00222331" w:rsidRPr="00222331">
        <w:rPr>
          <w:lang w:val="en-AU"/>
        </w:rPr>
        <w:t>provide a reasonable indication of the relative</w:t>
      </w:r>
      <w:r w:rsidR="00222331">
        <w:rPr>
          <w:lang w:val="en-AU"/>
        </w:rPr>
        <w:t xml:space="preserve"> </w:t>
      </w:r>
      <w:r w:rsidR="00222331" w:rsidRPr="00222331">
        <w:rPr>
          <w:lang w:val="en-AU"/>
        </w:rPr>
        <w:t>efficiency of P</w:t>
      </w:r>
      <w:r w:rsidR="00222331">
        <w:rPr>
          <w:lang w:val="en-AU"/>
        </w:rPr>
        <w:t>WC</w:t>
      </w:r>
      <w:r w:rsidR="00222331" w:rsidRPr="00222331">
        <w:rPr>
          <w:lang w:val="en-AU"/>
        </w:rPr>
        <w:t xml:space="preserve"> Network</w:t>
      </w:r>
      <w:r w:rsidR="00111134">
        <w:rPr>
          <w:lang w:val="en-AU"/>
        </w:rPr>
        <w:t>s</w:t>
      </w:r>
      <w:r w:rsidR="00222331" w:rsidRPr="00222331">
        <w:rPr>
          <w:lang w:val="en-AU"/>
        </w:rPr>
        <w:t xml:space="preserve"> against its peers</w:t>
      </w:r>
      <w:r w:rsidR="00222331">
        <w:rPr>
          <w:lang w:val="en-AU"/>
        </w:rPr>
        <w:t>.</w:t>
      </w:r>
      <w:r w:rsidR="00023102">
        <w:rPr>
          <w:lang w:val="en-AU"/>
        </w:rPr>
        <w:t xml:space="preserve"> The supplementary advice from PB </w:t>
      </w:r>
      <w:r w:rsidR="00D3346B">
        <w:rPr>
          <w:lang w:val="en-AU"/>
        </w:rPr>
        <w:t>was</w:t>
      </w:r>
      <w:r w:rsidR="00023102">
        <w:rPr>
          <w:lang w:val="en-AU"/>
        </w:rPr>
        <w:t xml:space="preserve"> released with </w:t>
      </w:r>
      <w:r w:rsidR="00D3346B">
        <w:rPr>
          <w:lang w:val="en-AU"/>
        </w:rPr>
        <w:t xml:space="preserve">the </w:t>
      </w:r>
      <w:r w:rsidR="00023102">
        <w:rPr>
          <w:lang w:val="en-AU"/>
        </w:rPr>
        <w:t>Draft Determination</w:t>
      </w:r>
      <w:r w:rsidR="004F2757">
        <w:rPr>
          <w:lang w:val="en-AU"/>
        </w:rPr>
        <w:t>.</w:t>
      </w:r>
    </w:p>
    <w:p w14:paraId="2075666A" w14:textId="77777777" w:rsidR="002B1938" w:rsidRPr="00222331" w:rsidRDefault="002B1938" w:rsidP="002B1938">
      <w:pPr>
        <w:pStyle w:val="UtilComHeading3"/>
        <w:rPr>
          <w:lang w:val="en-AU"/>
        </w:rPr>
      </w:pPr>
      <w:r>
        <w:rPr>
          <w:lang w:val="en-AU"/>
        </w:rPr>
        <w:t>Operating costs</w:t>
      </w:r>
    </w:p>
    <w:p w14:paraId="52E6C5B3" w14:textId="1E4B6909" w:rsidR="007F0FA1" w:rsidRDefault="002B1938" w:rsidP="00006B84">
      <w:pPr>
        <w:pStyle w:val="NumberLevel2"/>
        <w:numPr>
          <w:ilvl w:val="1"/>
          <w:numId w:val="5"/>
        </w:numPr>
        <w:tabs>
          <w:tab w:val="num" w:pos="709"/>
        </w:tabs>
        <w:ind w:left="709" w:hanging="709"/>
        <w:rPr>
          <w:lang w:val="en-AU"/>
        </w:rPr>
      </w:pPr>
      <w:r>
        <w:rPr>
          <w:lang w:val="en-AU"/>
        </w:rPr>
        <w:t xml:space="preserve">PWC Networks developed its </w:t>
      </w:r>
      <w:r w:rsidR="00D3346B">
        <w:rPr>
          <w:lang w:val="en-AU"/>
        </w:rPr>
        <w:t xml:space="preserve">initial </w:t>
      </w:r>
      <w:r w:rsidR="00B16948">
        <w:rPr>
          <w:lang w:val="en-AU"/>
        </w:rPr>
        <w:t xml:space="preserve">opex </w:t>
      </w:r>
      <w:r>
        <w:rPr>
          <w:lang w:val="en-AU"/>
        </w:rPr>
        <w:t xml:space="preserve">forecast for operating costs </w:t>
      </w:r>
      <w:r w:rsidR="004F7474">
        <w:rPr>
          <w:lang w:val="en-AU"/>
        </w:rPr>
        <w:t xml:space="preserve">by considering individual opex categories and applying </w:t>
      </w:r>
      <w:r>
        <w:rPr>
          <w:lang w:val="en-AU"/>
        </w:rPr>
        <w:t>a top-down, base, step and trend modelling ap</w:t>
      </w:r>
      <w:r w:rsidR="007F0FA1">
        <w:rPr>
          <w:lang w:val="en-AU"/>
        </w:rPr>
        <w:t xml:space="preserve">proach. </w:t>
      </w:r>
    </w:p>
    <w:p w14:paraId="7A3B5205" w14:textId="5707D30B" w:rsidR="002B1938" w:rsidRPr="007F0FA1" w:rsidRDefault="007F0FA1" w:rsidP="00006B84">
      <w:pPr>
        <w:pStyle w:val="NumberLevel2"/>
        <w:numPr>
          <w:ilvl w:val="1"/>
          <w:numId w:val="5"/>
        </w:numPr>
        <w:tabs>
          <w:tab w:val="num" w:pos="709"/>
        </w:tabs>
        <w:ind w:left="709" w:hanging="709"/>
        <w:rPr>
          <w:lang w:val="en-AU"/>
        </w:rPr>
      </w:pPr>
      <w:r w:rsidRPr="007F0FA1">
        <w:rPr>
          <w:lang w:val="en-AU"/>
        </w:rPr>
        <w:t>PWC Networks used</w:t>
      </w:r>
      <w:r w:rsidR="002B1938" w:rsidRPr="007F0FA1">
        <w:rPr>
          <w:lang w:val="en-AU"/>
        </w:rPr>
        <w:t xml:space="preserve"> </w:t>
      </w:r>
      <w:r w:rsidR="00B16948">
        <w:rPr>
          <w:lang w:val="en-AU"/>
        </w:rPr>
        <w:t xml:space="preserve">the </w:t>
      </w:r>
      <w:r w:rsidR="002B1938" w:rsidRPr="007F0FA1">
        <w:rPr>
          <w:lang w:val="en-AU"/>
        </w:rPr>
        <w:t xml:space="preserve">2013-14 </w:t>
      </w:r>
      <w:r w:rsidR="00B16948">
        <w:rPr>
          <w:lang w:val="en-AU"/>
        </w:rPr>
        <w:t xml:space="preserve">regulatory year </w:t>
      </w:r>
      <w:r w:rsidRPr="007F0FA1">
        <w:rPr>
          <w:lang w:val="en-AU"/>
        </w:rPr>
        <w:t xml:space="preserve">as </w:t>
      </w:r>
      <w:r w:rsidR="002B1938" w:rsidRPr="007F0FA1">
        <w:rPr>
          <w:lang w:val="en-AU"/>
        </w:rPr>
        <w:t>the base year</w:t>
      </w:r>
      <w:r w:rsidRPr="007F0FA1">
        <w:rPr>
          <w:lang w:val="en-AU"/>
        </w:rPr>
        <w:t xml:space="preserve">, as it </w:t>
      </w:r>
      <w:r w:rsidR="00D3346B" w:rsidRPr="007F0FA1">
        <w:rPr>
          <w:lang w:val="en-AU"/>
        </w:rPr>
        <w:t>consider</w:t>
      </w:r>
      <w:r w:rsidR="00D3346B">
        <w:rPr>
          <w:lang w:val="en-AU"/>
        </w:rPr>
        <w:t>ed</w:t>
      </w:r>
      <w:r w:rsidR="00D3346B" w:rsidRPr="007F0FA1">
        <w:rPr>
          <w:lang w:val="en-AU"/>
        </w:rPr>
        <w:t xml:space="preserve"> </w:t>
      </w:r>
      <w:r w:rsidRPr="007F0FA1">
        <w:rPr>
          <w:lang w:val="en-AU"/>
        </w:rPr>
        <w:t xml:space="preserve">that the </w:t>
      </w:r>
      <w:r w:rsidR="004F2757">
        <w:rPr>
          <w:lang w:val="en-AU"/>
        </w:rPr>
        <w:t>2013-14</w:t>
      </w:r>
      <w:r w:rsidRPr="007F0FA1">
        <w:rPr>
          <w:lang w:val="en-AU"/>
        </w:rPr>
        <w:t xml:space="preserve"> </w:t>
      </w:r>
      <w:r w:rsidR="00B16948">
        <w:rPr>
          <w:lang w:val="en-AU"/>
        </w:rPr>
        <w:t xml:space="preserve">regulatory year </w:t>
      </w:r>
      <w:r w:rsidR="004F2757">
        <w:rPr>
          <w:lang w:val="en-AU"/>
        </w:rPr>
        <w:t>opex</w:t>
      </w:r>
      <w:r w:rsidRPr="007F0FA1">
        <w:rPr>
          <w:lang w:val="en-AU"/>
        </w:rPr>
        <w:t xml:space="preserve"> </w:t>
      </w:r>
      <w:r w:rsidR="00B16948" w:rsidRPr="007F0FA1">
        <w:rPr>
          <w:lang w:val="en-AU"/>
        </w:rPr>
        <w:t>reflect</w:t>
      </w:r>
      <w:r w:rsidR="00B16948">
        <w:rPr>
          <w:lang w:val="en-AU"/>
        </w:rPr>
        <w:t xml:space="preserve">ed </w:t>
      </w:r>
      <w:r w:rsidRPr="007F0FA1">
        <w:rPr>
          <w:lang w:val="en-AU"/>
        </w:rPr>
        <w:t>a reasonable and improving degree of efficiency</w:t>
      </w:r>
      <w:r w:rsidR="004F2757">
        <w:rPr>
          <w:lang w:val="en-AU"/>
        </w:rPr>
        <w:t>,</w:t>
      </w:r>
      <w:r w:rsidRPr="007F0FA1">
        <w:rPr>
          <w:lang w:val="en-AU"/>
        </w:rPr>
        <w:t xml:space="preserve"> given the level of regulated funding and need to ensure equipment operates safely</w:t>
      </w:r>
      <w:r w:rsidR="004F2757">
        <w:rPr>
          <w:lang w:val="en-AU"/>
        </w:rPr>
        <w:t>,</w:t>
      </w:r>
      <w:r w:rsidRPr="007F0FA1">
        <w:rPr>
          <w:lang w:val="en-AU"/>
        </w:rPr>
        <w:t xml:space="preserve"> and </w:t>
      </w:r>
      <w:r w:rsidR="004F2757">
        <w:rPr>
          <w:lang w:val="en-AU"/>
        </w:rPr>
        <w:t xml:space="preserve">that </w:t>
      </w:r>
      <w:r w:rsidRPr="007F0FA1">
        <w:rPr>
          <w:lang w:val="en-AU"/>
        </w:rPr>
        <w:t xml:space="preserve">the maintenance of assets </w:t>
      </w:r>
      <w:r w:rsidR="00D3346B">
        <w:rPr>
          <w:lang w:val="en-AU"/>
        </w:rPr>
        <w:t>wa</w:t>
      </w:r>
      <w:r w:rsidR="00D3346B" w:rsidRPr="007F0FA1">
        <w:rPr>
          <w:lang w:val="en-AU"/>
        </w:rPr>
        <w:t>s</w:t>
      </w:r>
      <w:r w:rsidR="00D3346B">
        <w:rPr>
          <w:lang w:val="en-AU"/>
        </w:rPr>
        <w:t xml:space="preserve"> </w:t>
      </w:r>
      <w:r w:rsidRPr="007F0FA1">
        <w:rPr>
          <w:lang w:val="en-AU"/>
        </w:rPr>
        <w:t>based on objective need.</w:t>
      </w:r>
    </w:p>
    <w:p w14:paraId="50C67C88" w14:textId="77777777" w:rsidR="00222331" w:rsidRPr="004F2757" w:rsidRDefault="00222331" w:rsidP="004F2757">
      <w:pPr>
        <w:pStyle w:val="UtilComHeading4"/>
        <w:spacing w:before="120"/>
        <w:rPr>
          <w:b/>
          <w:i w:val="0"/>
          <w:lang w:val="en-AU"/>
        </w:rPr>
      </w:pPr>
      <w:r w:rsidRPr="004F2757">
        <w:rPr>
          <w:b/>
          <w:i w:val="0"/>
          <w:lang w:val="en-AU"/>
        </w:rPr>
        <w:t>Network management</w:t>
      </w:r>
    </w:p>
    <w:p w14:paraId="69A44AD7" w14:textId="6F6EFF74" w:rsidR="00EC1AB1" w:rsidRDefault="00ED73AD" w:rsidP="00006B84">
      <w:pPr>
        <w:pStyle w:val="NumberLevel2"/>
        <w:numPr>
          <w:ilvl w:val="1"/>
          <w:numId w:val="5"/>
        </w:numPr>
        <w:tabs>
          <w:tab w:val="num" w:pos="709"/>
        </w:tabs>
        <w:ind w:left="709" w:hanging="709"/>
        <w:rPr>
          <w:lang w:val="en-AU"/>
        </w:rPr>
      </w:pPr>
      <w:r>
        <w:rPr>
          <w:lang w:val="en-AU"/>
        </w:rPr>
        <w:t xml:space="preserve">Network management covers the general management of PWC Networks and management of </w:t>
      </w:r>
      <w:r w:rsidR="00B16948">
        <w:rPr>
          <w:lang w:val="en-AU"/>
        </w:rPr>
        <w:t xml:space="preserve">relevant regulatory obligations or </w:t>
      </w:r>
      <w:r>
        <w:rPr>
          <w:lang w:val="en-AU"/>
        </w:rPr>
        <w:t xml:space="preserve">requirements. </w:t>
      </w:r>
      <w:r w:rsidR="00EC1AB1">
        <w:rPr>
          <w:lang w:val="en-AU"/>
        </w:rPr>
        <w:t>Network management account</w:t>
      </w:r>
      <w:r w:rsidR="00321ED1">
        <w:rPr>
          <w:lang w:val="en-AU"/>
        </w:rPr>
        <w:t>ed</w:t>
      </w:r>
      <w:r w:rsidR="00EC1AB1">
        <w:rPr>
          <w:lang w:val="en-AU"/>
        </w:rPr>
        <w:t xml:space="preserve"> for </w:t>
      </w:r>
      <w:r w:rsidR="00B16948">
        <w:rPr>
          <w:lang w:val="en-AU"/>
        </w:rPr>
        <w:t>2 per </w:t>
      </w:r>
      <w:r w:rsidR="004F2757">
        <w:rPr>
          <w:lang w:val="en-AU"/>
        </w:rPr>
        <w:t>cent</w:t>
      </w:r>
      <w:r w:rsidR="00EC1AB1">
        <w:rPr>
          <w:lang w:val="en-AU"/>
        </w:rPr>
        <w:t xml:space="preserve"> of </w:t>
      </w:r>
      <w:r w:rsidR="00B16948">
        <w:rPr>
          <w:lang w:val="en-AU"/>
        </w:rPr>
        <w:t xml:space="preserve">PWC Networks’ </w:t>
      </w:r>
      <w:r w:rsidR="00EC1AB1">
        <w:rPr>
          <w:lang w:val="en-AU"/>
        </w:rPr>
        <w:t>forecast opex.</w:t>
      </w:r>
    </w:p>
    <w:p w14:paraId="5ED80759" w14:textId="19CB5C78" w:rsidR="00ED73AD" w:rsidRPr="00ED73AD" w:rsidRDefault="007C48E5" w:rsidP="00006B84">
      <w:pPr>
        <w:pStyle w:val="NumberLevel2"/>
        <w:numPr>
          <w:ilvl w:val="1"/>
          <w:numId w:val="5"/>
        </w:numPr>
        <w:tabs>
          <w:tab w:val="num" w:pos="709"/>
        </w:tabs>
        <w:ind w:left="709" w:hanging="709"/>
        <w:rPr>
          <w:lang w:val="en-AU"/>
        </w:rPr>
      </w:pPr>
      <w:r>
        <w:rPr>
          <w:lang w:val="en-AU"/>
        </w:rPr>
        <w:t xml:space="preserve">A small step increase, driven by internal labour costs, </w:t>
      </w:r>
      <w:r w:rsidR="00B16948">
        <w:rPr>
          <w:lang w:val="en-AU"/>
        </w:rPr>
        <w:t xml:space="preserve">was </w:t>
      </w:r>
      <w:r>
        <w:rPr>
          <w:lang w:val="en-AU"/>
        </w:rPr>
        <w:t xml:space="preserve">forecast for </w:t>
      </w:r>
      <w:r w:rsidR="00B16948">
        <w:rPr>
          <w:lang w:val="en-AU"/>
        </w:rPr>
        <w:t xml:space="preserve">the </w:t>
      </w:r>
      <w:r>
        <w:rPr>
          <w:lang w:val="en-AU"/>
        </w:rPr>
        <w:t>2013-14</w:t>
      </w:r>
      <w:r w:rsidR="00B16948">
        <w:rPr>
          <w:lang w:val="en-AU"/>
        </w:rPr>
        <w:t xml:space="preserve"> regulatory year</w:t>
      </w:r>
      <w:r>
        <w:rPr>
          <w:lang w:val="en-AU"/>
        </w:rPr>
        <w:t>, with costs then</w:t>
      </w:r>
      <w:r w:rsidR="00ED73AD">
        <w:rPr>
          <w:lang w:val="en-AU"/>
        </w:rPr>
        <w:t xml:space="preserve"> forecast to remain at </w:t>
      </w:r>
      <w:r>
        <w:rPr>
          <w:lang w:val="en-AU"/>
        </w:rPr>
        <w:t xml:space="preserve">that </w:t>
      </w:r>
      <w:r w:rsidR="00ED73AD">
        <w:rPr>
          <w:lang w:val="en-AU"/>
        </w:rPr>
        <w:t>level</w:t>
      </w:r>
      <w:r>
        <w:rPr>
          <w:lang w:val="en-AU"/>
        </w:rPr>
        <w:t xml:space="preserve"> </w:t>
      </w:r>
      <w:r w:rsidR="00B16948">
        <w:rPr>
          <w:lang w:val="en-AU"/>
        </w:rPr>
        <w:t xml:space="preserve">throughout </w:t>
      </w:r>
      <w:r>
        <w:rPr>
          <w:lang w:val="en-AU"/>
        </w:rPr>
        <w:t xml:space="preserve">the </w:t>
      </w:r>
      <w:r w:rsidR="00321ED1">
        <w:rPr>
          <w:lang w:val="en-AU"/>
        </w:rPr>
        <w:br/>
      </w:r>
      <w:r w:rsidR="007669D5">
        <w:rPr>
          <w:lang w:val="en-AU"/>
        </w:rPr>
        <w:t xml:space="preserve">2014-19 </w:t>
      </w:r>
      <w:r>
        <w:rPr>
          <w:lang w:val="en-AU"/>
        </w:rPr>
        <w:t>regulatory control period</w:t>
      </w:r>
      <w:r w:rsidR="00ED73AD">
        <w:rPr>
          <w:lang w:val="en-AU"/>
        </w:rPr>
        <w:t>.</w:t>
      </w:r>
      <w:r w:rsidR="00ED73AD" w:rsidRPr="00ED73AD">
        <w:rPr>
          <w:lang w:val="en-AU"/>
        </w:rPr>
        <w:t xml:space="preserve"> </w:t>
      </w:r>
      <w:r w:rsidR="00321ED1">
        <w:rPr>
          <w:lang w:val="en-AU"/>
        </w:rPr>
        <w:t>The step change wa</w:t>
      </w:r>
      <w:r>
        <w:rPr>
          <w:lang w:val="en-AU"/>
        </w:rPr>
        <w:t>s not considered material.</w:t>
      </w:r>
    </w:p>
    <w:p w14:paraId="209EDB18" w14:textId="24563210" w:rsidR="00222331" w:rsidRPr="00222331" w:rsidRDefault="008C57CF" w:rsidP="00006B84">
      <w:pPr>
        <w:pStyle w:val="NumberLevel2"/>
        <w:numPr>
          <w:ilvl w:val="1"/>
          <w:numId w:val="5"/>
        </w:numPr>
        <w:tabs>
          <w:tab w:val="num" w:pos="709"/>
        </w:tabs>
        <w:ind w:left="709" w:hanging="709"/>
        <w:rPr>
          <w:lang w:val="en-AU"/>
        </w:rPr>
      </w:pPr>
      <w:r>
        <w:rPr>
          <w:lang w:val="en-AU"/>
        </w:rPr>
        <w:t>The</w:t>
      </w:r>
      <w:r w:rsidR="00ED73AD" w:rsidRPr="00ED73AD">
        <w:rPr>
          <w:lang w:val="en-AU"/>
        </w:rPr>
        <w:t xml:space="preserve"> Commission </w:t>
      </w:r>
      <w:r w:rsidR="00D3346B" w:rsidRPr="00ED73AD">
        <w:rPr>
          <w:lang w:val="en-AU"/>
        </w:rPr>
        <w:t>consider</w:t>
      </w:r>
      <w:r w:rsidR="00D3346B">
        <w:rPr>
          <w:lang w:val="en-AU"/>
        </w:rPr>
        <w:t>ed</w:t>
      </w:r>
      <w:r w:rsidR="00D3346B" w:rsidRPr="00ED73AD">
        <w:rPr>
          <w:lang w:val="en-AU"/>
        </w:rPr>
        <w:t xml:space="preserve"> </w:t>
      </w:r>
      <w:r w:rsidR="00C0166D">
        <w:rPr>
          <w:lang w:val="en-AU"/>
        </w:rPr>
        <w:t xml:space="preserve">that </w:t>
      </w:r>
      <w:r w:rsidR="00FC287F">
        <w:rPr>
          <w:lang w:val="en-AU"/>
        </w:rPr>
        <w:t>the</w:t>
      </w:r>
      <w:r w:rsidR="00C0166D">
        <w:rPr>
          <w:lang w:val="en-AU"/>
        </w:rPr>
        <w:t xml:space="preserve"> forecast network management opex</w:t>
      </w:r>
      <w:r w:rsidR="00321ED1">
        <w:rPr>
          <w:lang w:val="en-AU"/>
        </w:rPr>
        <w:t xml:space="preserve"> was </w:t>
      </w:r>
      <w:r>
        <w:rPr>
          <w:lang w:val="en-AU"/>
        </w:rPr>
        <w:t>efficient</w:t>
      </w:r>
      <w:r w:rsidR="00C0166D">
        <w:rPr>
          <w:lang w:val="en-AU"/>
        </w:rPr>
        <w:t>.</w:t>
      </w:r>
    </w:p>
    <w:p w14:paraId="0947E191" w14:textId="77777777" w:rsidR="00222331" w:rsidRPr="008C57CF" w:rsidRDefault="00222331" w:rsidP="008C57CF">
      <w:pPr>
        <w:pStyle w:val="UtilComHeading4"/>
        <w:spacing w:before="120"/>
        <w:rPr>
          <w:b/>
          <w:i w:val="0"/>
          <w:lang w:val="en-AU"/>
        </w:rPr>
      </w:pPr>
      <w:r w:rsidRPr="008C57CF">
        <w:rPr>
          <w:b/>
          <w:i w:val="0"/>
          <w:lang w:val="en-AU"/>
        </w:rPr>
        <w:t>Service delivery</w:t>
      </w:r>
    </w:p>
    <w:p w14:paraId="25A533D8" w14:textId="09BAFF3E" w:rsidR="00EC1AB1" w:rsidRDefault="00925766" w:rsidP="00006B84">
      <w:pPr>
        <w:pStyle w:val="NumberLevel2"/>
        <w:numPr>
          <w:ilvl w:val="1"/>
          <w:numId w:val="5"/>
        </w:numPr>
        <w:tabs>
          <w:tab w:val="num" w:pos="709"/>
        </w:tabs>
        <w:ind w:left="709" w:hanging="709"/>
        <w:rPr>
          <w:lang w:val="en-AU"/>
        </w:rPr>
      </w:pPr>
      <w:r>
        <w:rPr>
          <w:lang w:val="en-AU"/>
        </w:rPr>
        <w:t xml:space="preserve">Service delivery </w:t>
      </w:r>
      <w:r w:rsidR="00EC1AB1">
        <w:rPr>
          <w:lang w:val="en-AU"/>
        </w:rPr>
        <w:t>covers the delivery of PWC Networks</w:t>
      </w:r>
      <w:r w:rsidR="00E42FA9">
        <w:rPr>
          <w:lang w:val="en-AU"/>
        </w:rPr>
        <w:t>’</w:t>
      </w:r>
      <w:r w:rsidR="00EC1AB1">
        <w:rPr>
          <w:lang w:val="en-AU"/>
        </w:rPr>
        <w:t xml:space="preserve"> maintenance and capital works programs.</w:t>
      </w:r>
      <w:r w:rsidR="00FC287F">
        <w:rPr>
          <w:lang w:val="en-AU"/>
        </w:rPr>
        <w:t xml:space="preserve"> Service delivery account</w:t>
      </w:r>
      <w:r w:rsidR="00321ED1">
        <w:rPr>
          <w:lang w:val="en-AU"/>
        </w:rPr>
        <w:t>ed</w:t>
      </w:r>
      <w:r w:rsidR="00FC287F">
        <w:rPr>
          <w:lang w:val="en-AU"/>
        </w:rPr>
        <w:t xml:space="preserve"> for </w:t>
      </w:r>
      <w:r w:rsidR="00B16948">
        <w:rPr>
          <w:lang w:val="en-AU"/>
        </w:rPr>
        <w:t>16 per </w:t>
      </w:r>
      <w:r w:rsidR="008C57CF">
        <w:rPr>
          <w:lang w:val="en-AU"/>
        </w:rPr>
        <w:t>cent</w:t>
      </w:r>
      <w:r w:rsidR="00FC287F">
        <w:rPr>
          <w:lang w:val="en-AU"/>
        </w:rPr>
        <w:t xml:space="preserve"> of </w:t>
      </w:r>
      <w:r w:rsidR="00B16948">
        <w:rPr>
          <w:lang w:val="en-AU"/>
        </w:rPr>
        <w:t xml:space="preserve">PWC Networks’ </w:t>
      </w:r>
      <w:r w:rsidR="00FC287F">
        <w:rPr>
          <w:lang w:val="en-AU"/>
        </w:rPr>
        <w:t>forecast opex.</w:t>
      </w:r>
      <w:r w:rsidR="00F22737">
        <w:rPr>
          <w:lang w:val="en-AU"/>
        </w:rPr>
        <w:t xml:space="preserve"> </w:t>
      </w:r>
    </w:p>
    <w:p w14:paraId="4DC2B9D6" w14:textId="615EB378" w:rsidR="007908A7" w:rsidRDefault="00CE63BF" w:rsidP="00006B84">
      <w:pPr>
        <w:pStyle w:val="NumberLevel2"/>
        <w:numPr>
          <w:ilvl w:val="1"/>
          <w:numId w:val="5"/>
        </w:numPr>
        <w:tabs>
          <w:tab w:val="num" w:pos="709"/>
        </w:tabs>
        <w:ind w:left="709" w:hanging="709"/>
        <w:rPr>
          <w:lang w:val="en-AU"/>
        </w:rPr>
      </w:pPr>
      <w:r>
        <w:rPr>
          <w:lang w:val="en-AU"/>
        </w:rPr>
        <w:t xml:space="preserve">Peak expenditure for service delivery opex occurred in </w:t>
      </w:r>
      <w:r w:rsidR="00B16948">
        <w:rPr>
          <w:lang w:val="en-AU"/>
        </w:rPr>
        <w:t xml:space="preserve">the </w:t>
      </w:r>
      <w:r>
        <w:rPr>
          <w:lang w:val="en-AU"/>
        </w:rPr>
        <w:t>2010-11</w:t>
      </w:r>
      <w:r w:rsidR="00B16948">
        <w:rPr>
          <w:lang w:val="en-AU"/>
        </w:rPr>
        <w:t xml:space="preserve"> regulatory year</w:t>
      </w:r>
      <w:r w:rsidR="008C57CF">
        <w:rPr>
          <w:lang w:val="en-AU"/>
        </w:rPr>
        <w:t xml:space="preserve"> </w:t>
      </w:r>
      <w:r w:rsidR="00FC287F">
        <w:rPr>
          <w:lang w:val="en-AU"/>
        </w:rPr>
        <w:t xml:space="preserve">as a result of the </w:t>
      </w:r>
      <w:r w:rsidR="0098261D">
        <w:rPr>
          <w:lang w:val="en-AU"/>
        </w:rPr>
        <w:t>remedial asset management p</w:t>
      </w:r>
      <w:r w:rsidR="00FC287F">
        <w:rPr>
          <w:lang w:val="en-AU"/>
        </w:rPr>
        <w:t xml:space="preserve">rogram. </w:t>
      </w:r>
      <w:r w:rsidR="00E5795E">
        <w:rPr>
          <w:lang w:val="en-AU"/>
        </w:rPr>
        <w:t xml:space="preserve">With the completion of this program, </w:t>
      </w:r>
      <w:r>
        <w:rPr>
          <w:lang w:val="en-AU"/>
        </w:rPr>
        <w:t xml:space="preserve">opex declined over the last three </w:t>
      </w:r>
      <w:r w:rsidR="00B16948">
        <w:rPr>
          <w:lang w:val="en-AU"/>
        </w:rPr>
        <w:t xml:space="preserve">regulatory </w:t>
      </w:r>
      <w:r>
        <w:rPr>
          <w:lang w:val="en-AU"/>
        </w:rPr>
        <w:t xml:space="preserve">years of the </w:t>
      </w:r>
      <w:r w:rsidR="007669D5">
        <w:rPr>
          <w:lang w:val="en-AU"/>
        </w:rPr>
        <w:t xml:space="preserve">2009-14 </w:t>
      </w:r>
      <w:r>
        <w:rPr>
          <w:lang w:val="en-AU"/>
        </w:rPr>
        <w:t xml:space="preserve">regulatory control period and </w:t>
      </w:r>
      <w:r w:rsidR="00E5795E">
        <w:rPr>
          <w:lang w:val="en-AU"/>
        </w:rPr>
        <w:t>c</w:t>
      </w:r>
      <w:r w:rsidR="00FC287F">
        <w:rPr>
          <w:lang w:val="en-AU"/>
        </w:rPr>
        <w:t xml:space="preserve">osts </w:t>
      </w:r>
      <w:r w:rsidR="00B16948">
        <w:rPr>
          <w:lang w:val="en-AU"/>
        </w:rPr>
        <w:t xml:space="preserve">were </w:t>
      </w:r>
      <w:r w:rsidR="00FC287F">
        <w:rPr>
          <w:lang w:val="en-AU"/>
        </w:rPr>
        <w:t xml:space="preserve">forecast to remain at </w:t>
      </w:r>
      <w:r w:rsidR="007C48E5">
        <w:rPr>
          <w:lang w:val="en-AU"/>
        </w:rPr>
        <w:t xml:space="preserve">this lower level during the </w:t>
      </w:r>
      <w:r w:rsidR="007669D5">
        <w:rPr>
          <w:lang w:val="en-AU"/>
        </w:rPr>
        <w:t xml:space="preserve">2014-19 </w:t>
      </w:r>
      <w:r w:rsidR="007C48E5">
        <w:rPr>
          <w:lang w:val="en-AU"/>
        </w:rPr>
        <w:t>regulatory control period</w:t>
      </w:r>
      <w:r w:rsidR="00FC287F">
        <w:rPr>
          <w:lang w:val="en-AU"/>
        </w:rPr>
        <w:t xml:space="preserve">. </w:t>
      </w:r>
      <w:r w:rsidR="00B16948">
        <w:rPr>
          <w:lang w:val="en-AU"/>
        </w:rPr>
        <w:t xml:space="preserve">It was noted that more </w:t>
      </w:r>
      <w:r w:rsidR="007908A7">
        <w:rPr>
          <w:lang w:val="en-AU"/>
        </w:rPr>
        <w:t>accurate time sheeting has also resulted in some costs previously allocated to this category being allocated to maintenance.</w:t>
      </w:r>
    </w:p>
    <w:p w14:paraId="426034D0" w14:textId="0917F16B" w:rsidR="00EC1AB1" w:rsidRPr="00EC1AB1" w:rsidRDefault="00FC287F" w:rsidP="00006B84">
      <w:pPr>
        <w:pStyle w:val="NumberLevel2"/>
        <w:numPr>
          <w:ilvl w:val="1"/>
          <w:numId w:val="5"/>
        </w:numPr>
        <w:tabs>
          <w:tab w:val="num" w:pos="709"/>
        </w:tabs>
        <w:ind w:left="709" w:hanging="709"/>
        <w:rPr>
          <w:lang w:val="en-AU"/>
        </w:rPr>
      </w:pPr>
      <w:r>
        <w:rPr>
          <w:lang w:val="en-AU"/>
        </w:rPr>
        <w:t xml:space="preserve">However, PB noted the inclusion of an ‘Other – Remainder’ amount </w:t>
      </w:r>
      <w:r w:rsidR="00B16948">
        <w:rPr>
          <w:lang w:val="en-AU"/>
        </w:rPr>
        <w:t>did</w:t>
      </w:r>
      <w:r>
        <w:rPr>
          <w:lang w:val="en-AU"/>
        </w:rPr>
        <w:t xml:space="preserve"> not have a clear justification.</w:t>
      </w:r>
    </w:p>
    <w:p w14:paraId="7FD6E2E1" w14:textId="76953BC8" w:rsidR="00222331" w:rsidRPr="00222331" w:rsidRDefault="00EC1AB1" w:rsidP="00006B84">
      <w:pPr>
        <w:pStyle w:val="NumberLevel2"/>
        <w:numPr>
          <w:ilvl w:val="1"/>
          <w:numId w:val="5"/>
        </w:numPr>
        <w:tabs>
          <w:tab w:val="num" w:pos="709"/>
        </w:tabs>
        <w:ind w:left="709" w:hanging="709"/>
        <w:rPr>
          <w:lang w:val="en-AU"/>
        </w:rPr>
      </w:pPr>
      <w:r>
        <w:rPr>
          <w:lang w:val="en-AU"/>
        </w:rPr>
        <w:t xml:space="preserve"> </w:t>
      </w:r>
      <w:r w:rsidR="008C57CF">
        <w:rPr>
          <w:lang w:val="en-AU"/>
        </w:rPr>
        <w:t>The</w:t>
      </w:r>
      <w:r w:rsidRPr="00EC1AB1">
        <w:rPr>
          <w:lang w:val="en-AU"/>
        </w:rPr>
        <w:t xml:space="preserve"> Commission </w:t>
      </w:r>
      <w:r w:rsidR="00D3346B" w:rsidRPr="00EC1AB1">
        <w:rPr>
          <w:lang w:val="en-AU"/>
        </w:rPr>
        <w:t>consider</w:t>
      </w:r>
      <w:r w:rsidR="00D3346B">
        <w:rPr>
          <w:lang w:val="en-AU"/>
        </w:rPr>
        <w:t>ed</w:t>
      </w:r>
      <w:r w:rsidR="00D3346B" w:rsidRPr="00EC1AB1">
        <w:rPr>
          <w:lang w:val="en-AU"/>
        </w:rPr>
        <w:t xml:space="preserve"> </w:t>
      </w:r>
      <w:r w:rsidRPr="00EC1AB1">
        <w:rPr>
          <w:lang w:val="en-AU"/>
        </w:rPr>
        <w:t xml:space="preserve">that </w:t>
      </w:r>
      <w:r w:rsidR="00B16948">
        <w:rPr>
          <w:lang w:val="en-AU"/>
        </w:rPr>
        <w:t xml:space="preserve">PWC Networks’ </w:t>
      </w:r>
      <w:r w:rsidR="00FC287F">
        <w:rPr>
          <w:lang w:val="en-AU"/>
        </w:rPr>
        <w:t>forecast service delivery opex</w:t>
      </w:r>
      <w:r w:rsidRPr="00EC1AB1">
        <w:rPr>
          <w:lang w:val="en-AU"/>
        </w:rPr>
        <w:t xml:space="preserve"> should be reduced </w:t>
      </w:r>
      <w:r w:rsidR="00FC287F">
        <w:rPr>
          <w:lang w:val="en-AU"/>
        </w:rPr>
        <w:t xml:space="preserve">to remove the </w:t>
      </w:r>
      <w:r w:rsidR="00E42FA9">
        <w:rPr>
          <w:lang w:val="en-AU"/>
        </w:rPr>
        <w:t>‘</w:t>
      </w:r>
      <w:r w:rsidR="00FC287F">
        <w:rPr>
          <w:lang w:val="en-AU"/>
        </w:rPr>
        <w:t>Other – Remainder’ amount.</w:t>
      </w:r>
    </w:p>
    <w:p w14:paraId="71CAD157" w14:textId="77777777" w:rsidR="00222331" w:rsidRPr="008C57CF" w:rsidRDefault="00222331" w:rsidP="008C57CF">
      <w:pPr>
        <w:pStyle w:val="UtilComHeading4"/>
        <w:spacing w:before="120"/>
        <w:rPr>
          <w:b/>
          <w:i w:val="0"/>
          <w:lang w:val="en-AU"/>
        </w:rPr>
      </w:pPr>
      <w:r w:rsidRPr="008C57CF">
        <w:rPr>
          <w:b/>
          <w:i w:val="0"/>
          <w:lang w:val="en-AU"/>
        </w:rPr>
        <w:t>Strategy and planning</w:t>
      </w:r>
    </w:p>
    <w:p w14:paraId="0CCDDD56" w14:textId="28B3B019" w:rsidR="00222331" w:rsidRDefault="00F20AC4" w:rsidP="00006B84">
      <w:pPr>
        <w:pStyle w:val="NumberLevel2"/>
        <w:numPr>
          <w:ilvl w:val="1"/>
          <w:numId w:val="5"/>
        </w:numPr>
        <w:tabs>
          <w:tab w:val="num" w:pos="709"/>
        </w:tabs>
        <w:ind w:left="709" w:hanging="709"/>
        <w:rPr>
          <w:lang w:val="en-AU"/>
        </w:rPr>
      </w:pPr>
      <w:r w:rsidRPr="00F20AC4">
        <w:rPr>
          <w:lang w:val="en-AU"/>
        </w:rPr>
        <w:t>Strategy and planning covers PWC Networks’ strategy and planning functions, including asset management, network planning development, and investment</w:t>
      </w:r>
      <w:r>
        <w:rPr>
          <w:lang w:val="en-AU"/>
        </w:rPr>
        <w:t xml:space="preserve"> </w:t>
      </w:r>
      <w:r w:rsidRPr="00F20AC4">
        <w:rPr>
          <w:lang w:val="en-AU"/>
        </w:rPr>
        <w:t>analysis.</w:t>
      </w:r>
      <w:r>
        <w:rPr>
          <w:lang w:val="en-AU"/>
        </w:rPr>
        <w:t xml:space="preserve"> Strategy and planning account</w:t>
      </w:r>
      <w:r w:rsidR="00321ED1">
        <w:rPr>
          <w:lang w:val="en-AU"/>
        </w:rPr>
        <w:t>ed</w:t>
      </w:r>
      <w:r>
        <w:rPr>
          <w:lang w:val="en-AU"/>
        </w:rPr>
        <w:t xml:space="preserve"> for </w:t>
      </w:r>
      <w:r w:rsidR="00B16948">
        <w:rPr>
          <w:lang w:val="en-AU"/>
        </w:rPr>
        <w:t>12 per </w:t>
      </w:r>
      <w:r w:rsidR="008C57CF">
        <w:rPr>
          <w:lang w:val="en-AU"/>
        </w:rPr>
        <w:t>cent</w:t>
      </w:r>
      <w:r>
        <w:rPr>
          <w:lang w:val="en-AU"/>
        </w:rPr>
        <w:t xml:space="preserve"> of </w:t>
      </w:r>
      <w:r w:rsidR="00B16948">
        <w:rPr>
          <w:lang w:val="en-AU"/>
        </w:rPr>
        <w:t xml:space="preserve">PWC Networks’ </w:t>
      </w:r>
      <w:r>
        <w:rPr>
          <w:lang w:val="en-AU"/>
        </w:rPr>
        <w:t>forecast opex</w:t>
      </w:r>
      <w:r w:rsidR="008E170F">
        <w:rPr>
          <w:lang w:val="en-AU"/>
        </w:rPr>
        <w:t>.</w:t>
      </w:r>
    </w:p>
    <w:p w14:paraId="69A3D0A7" w14:textId="26CFFA9F" w:rsidR="00860539" w:rsidRDefault="00693F03" w:rsidP="00006B84">
      <w:pPr>
        <w:pStyle w:val="NumberLevel2"/>
        <w:numPr>
          <w:ilvl w:val="1"/>
          <w:numId w:val="5"/>
        </w:numPr>
        <w:tabs>
          <w:tab w:val="num" w:pos="709"/>
        </w:tabs>
        <w:ind w:left="709" w:hanging="709"/>
        <w:rPr>
          <w:lang w:val="en-AU"/>
        </w:rPr>
      </w:pPr>
      <w:r>
        <w:rPr>
          <w:lang w:val="en-AU"/>
        </w:rPr>
        <w:t xml:space="preserve">There was a gradual increase in expenditure on strategy and planning in the </w:t>
      </w:r>
      <w:r w:rsidR="007669D5">
        <w:rPr>
          <w:lang w:val="en-AU"/>
        </w:rPr>
        <w:t xml:space="preserve">2009-14 </w:t>
      </w:r>
      <w:r>
        <w:rPr>
          <w:lang w:val="en-AU"/>
        </w:rPr>
        <w:t xml:space="preserve">regulatory control period, with expenditure in </w:t>
      </w:r>
      <w:r w:rsidR="00860539">
        <w:rPr>
          <w:lang w:val="en-AU"/>
        </w:rPr>
        <w:t xml:space="preserve">the forecast of the </w:t>
      </w:r>
      <w:r>
        <w:rPr>
          <w:lang w:val="en-AU"/>
        </w:rPr>
        <w:t xml:space="preserve">2013-14 </w:t>
      </w:r>
      <w:r w:rsidR="00860539">
        <w:rPr>
          <w:lang w:val="en-AU"/>
        </w:rPr>
        <w:t xml:space="preserve">regulatory year </w:t>
      </w:r>
      <w:r>
        <w:rPr>
          <w:lang w:val="en-AU"/>
        </w:rPr>
        <w:t xml:space="preserve">to be $3 million higher than in </w:t>
      </w:r>
      <w:r w:rsidR="00860539">
        <w:rPr>
          <w:lang w:val="en-AU"/>
        </w:rPr>
        <w:t xml:space="preserve">the </w:t>
      </w:r>
      <w:r>
        <w:rPr>
          <w:lang w:val="en-AU"/>
        </w:rPr>
        <w:t>2009-10</w:t>
      </w:r>
      <w:r w:rsidR="00860539">
        <w:rPr>
          <w:lang w:val="en-AU"/>
        </w:rPr>
        <w:t xml:space="preserve"> regulatory year</w:t>
      </w:r>
      <w:r>
        <w:rPr>
          <w:lang w:val="en-AU"/>
        </w:rPr>
        <w:t xml:space="preserve">. </w:t>
      </w:r>
      <w:r w:rsidR="00E5795E">
        <w:rPr>
          <w:lang w:val="en-AU"/>
        </w:rPr>
        <w:t xml:space="preserve">Expenditure </w:t>
      </w:r>
      <w:r w:rsidR="00860539">
        <w:rPr>
          <w:lang w:val="en-AU"/>
        </w:rPr>
        <w:t xml:space="preserve">was </w:t>
      </w:r>
      <w:r w:rsidR="00E5795E">
        <w:rPr>
          <w:lang w:val="en-AU"/>
        </w:rPr>
        <w:t xml:space="preserve">forecast to increase slightly </w:t>
      </w:r>
      <w:r>
        <w:rPr>
          <w:lang w:val="en-AU"/>
        </w:rPr>
        <w:t xml:space="preserve">in the </w:t>
      </w:r>
      <w:r w:rsidR="007669D5">
        <w:rPr>
          <w:lang w:val="en-AU"/>
        </w:rPr>
        <w:t xml:space="preserve">2014-19 </w:t>
      </w:r>
      <w:r>
        <w:rPr>
          <w:lang w:val="en-AU"/>
        </w:rPr>
        <w:t>regulatory control period</w:t>
      </w:r>
      <w:r w:rsidR="00E5795E">
        <w:rPr>
          <w:lang w:val="en-AU"/>
        </w:rPr>
        <w:t xml:space="preserve">. </w:t>
      </w:r>
    </w:p>
    <w:p w14:paraId="50B0E0EB" w14:textId="15E3CBE9" w:rsidR="00F20AC4" w:rsidRDefault="00860539" w:rsidP="00006B84">
      <w:pPr>
        <w:pStyle w:val="NumberLevel2"/>
        <w:numPr>
          <w:ilvl w:val="1"/>
          <w:numId w:val="5"/>
        </w:numPr>
        <w:tabs>
          <w:tab w:val="num" w:pos="709"/>
        </w:tabs>
        <w:ind w:left="709" w:hanging="709"/>
        <w:rPr>
          <w:lang w:val="en-AU"/>
        </w:rPr>
      </w:pPr>
      <w:r>
        <w:rPr>
          <w:lang w:val="en-AU"/>
        </w:rPr>
        <w:t xml:space="preserve">However, </w:t>
      </w:r>
      <w:r w:rsidR="00E5795E">
        <w:rPr>
          <w:lang w:val="en-AU"/>
        </w:rPr>
        <w:t>PB again noted the inclusion of an ‘Other – Remainder’ amount</w:t>
      </w:r>
      <w:r w:rsidR="00111134">
        <w:rPr>
          <w:lang w:val="en-AU"/>
        </w:rPr>
        <w:t xml:space="preserve"> which</w:t>
      </w:r>
      <w:r w:rsidR="00E5795E">
        <w:rPr>
          <w:lang w:val="en-AU"/>
        </w:rPr>
        <w:t xml:space="preserve"> </w:t>
      </w:r>
      <w:r>
        <w:rPr>
          <w:lang w:val="en-AU"/>
        </w:rPr>
        <w:t>did</w:t>
      </w:r>
      <w:r w:rsidR="00E5795E">
        <w:rPr>
          <w:lang w:val="en-AU"/>
        </w:rPr>
        <w:t xml:space="preserve"> not have a clear justification.</w:t>
      </w:r>
    </w:p>
    <w:p w14:paraId="2CB16573" w14:textId="77777777" w:rsidR="00F22737" w:rsidRDefault="00F22737" w:rsidP="00006B84">
      <w:pPr>
        <w:pStyle w:val="NumberLevel2"/>
        <w:numPr>
          <w:ilvl w:val="1"/>
          <w:numId w:val="5"/>
        </w:numPr>
        <w:tabs>
          <w:tab w:val="num" w:pos="709"/>
        </w:tabs>
        <w:ind w:left="709" w:hanging="709"/>
        <w:rPr>
          <w:lang w:val="en-AU"/>
        </w:rPr>
      </w:pPr>
      <w:r>
        <w:rPr>
          <w:lang w:val="en-AU"/>
        </w:rPr>
        <w:t xml:space="preserve">The NTMEU expressed the view that while costs associated with the strategy and planning function may have risen as PWC Networks </w:t>
      </w:r>
      <w:r w:rsidR="00693F03">
        <w:rPr>
          <w:lang w:val="en-AU"/>
        </w:rPr>
        <w:t>implemented its survey of assets and rectification program following the Davies Review, costs should have reverted to historic levels once this was completed.</w:t>
      </w:r>
    </w:p>
    <w:p w14:paraId="2C8DAA98" w14:textId="4164D307" w:rsidR="00693F03" w:rsidRPr="00693F03" w:rsidRDefault="00F9138D" w:rsidP="00006B84">
      <w:pPr>
        <w:pStyle w:val="NumberLevel2"/>
        <w:numPr>
          <w:ilvl w:val="1"/>
          <w:numId w:val="5"/>
        </w:numPr>
        <w:tabs>
          <w:tab w:val="num" w:pos="709"/>
        </w:tabs>
        <w:ind w:left="709" w:hanging="709"/>
        <w:rPr>
          <w:lang w:val="en-AU"/>
        </w:rPr>
      </w:pPr>
      <w:r>
        <w:rPr>
          <w:lang w:val="en-AU"/>
        </w:rPr>
        <w:t xml:space="preserve">The Commission </w:t>
      </w:r>
      <w:r w:rsidR="00996865">
        <w:rPr>
          <w:lang w:val="en-AU"/>
        </w:rPr>
        <w:t xml:space="preserve">considered </w:t>
      </w:r>
      <w:r>
        <w:rPr>
          <w:lang w:val="en-AU"/>
        </w:rPr>
        <w:t xml:space="preserve">that the </w:t>
      </w:r>
      <w:r w:rsidRPr="00F9138D">
        <w:rPr>
          <w:lang w:val="en-AU"/>
        </w:rPr>
        <w:t>development of appropriate processes and procedures</w:t>
      </w:r>
      <w:r>
        <w:rPr>
          <w:lang w:val="en-AU"/>
        </w:rPr>
        <w:t xml:space="preserve"> for management of PWC Networks’ </w:t>
      </w:r>
      <w:r w:rsidR="00860539">
        <w:rPr>
          <w:lang w:val="en-AU"/>
        </w:rPr>
        <w:t xml:space="preserve">electricity network was </w:t>
      </w:r>
      <w:r>
        <w:rPr>
          <w:lang w:val="en-AU"/>
        </w:rPr>
        <w:t xml:space="preserve">still relatively recent. While documentation </w:t>
      </w:r>
      <w:r w:rsidR="00860539">
        <w:rPr>
          <w:lang w:val="en-AU"/>
        </w:rPr>
        <w:t>had</w:t>
      </w:r>
      <w:r>
        <w:rPr>
          <w:lang w:val="en-AU"/>
        </w:rPr>
        <w:t xml:space="preserve"> substantially </w:t>
      </w:r>
      <w:r w:rsidR="00860539">
        <w:rPr>
          <w:lang w:val="en-AU"/>
        </w:rPr>
        <w:t xml:space="preserve">been </w:t>
      </w:r>
      <w:r>
        <w:rPr>
          <w:lang w:val="en-AU"/>
        </w:rPr>
        <w:t>complete</w:t>
      </w:r>
      <w:r w:rsidR="00860539">
        <w:rPr>
          <w:lang w:val="en-AU"/>
        </w:rPr>
        <w:t>d</w:t>
      </w:r>
      <w:r>
        <w:rPr>
          <w:lang w:val="en-AU"/>
        </w:rPr>
        <w:t xml:space="preserve">, </w:t>
      </w:r>
      <w:r w:rsidR="00B8786F">
        <w:rPr>
          <w:lang w:val="en-AU"/>
        </w:rPr>
        <w:t xml:space="preserve">the strategy and planning function </w:t>
      </w:r>
      <w:r w:rsidR="00860539">
        <w:rPr>
          <w:lang w:val="en-AU"/>
        </w:rPr>
        <w:t>would then turn</w:t>
      </w:r>
      <w:r w:rsidR="00B8786F">
        <w:rPr>
          <w:lang w:val="en-AU"/>
        </w:rPr>
        <w:t xml:space="preserve"> to assessment and review to ensure continuous improvement, rather than reverting to previous </w:t>
      </w:r>
      <w:r w:rsidR="008C57CF">
        <w:rPr>
          <w:lang w:val="en-AU"/>
        </w:rPr>
        <w:t>practices</w:t>
      </w:r>
      <w:r w:rsidR="00B8786F">
        <w:rPr>
          <w:lang w:val="en-AU"/>
        </w:rPr>
        <w:t xml:space="preserve">. That said, the Commission </w:t>
      </w:r>
      <w:r w:rsidR="00860539">
        <w:rPr>
          <w:lang w:val="en-AU"/>
        </w:rPr>
        <w:t xml:space="preserve">expected </w:t>
      </w:r>
      <w:r w:rsidR="00B8786F">
        <w:rPr>
          <w:lang w:val="en-AU"/>
        </w:rPr>
        <w:t xml:space="preserve">PWC Networks to find scope for future efficiency dividends as the new asset management processes </w:t>
      </w:r>
      <w:r w:rsidR="00860539">
        <w:rPr>
          <w:lang w:val="en-AU"/>
        </w:rPr>
        <w:t xml:space="preserve">were </w:t>
      </w:r>
      <w:r w:rsidR="00B8786F">
        <w:rPr>
          <w:lang w:val="en-AU"/>
        </w:rPr>
        <w:t>bedded down.</w:t>
      </w:r>
    </w:p>
    <w:p w14:paraId="51D65D70" w14:textId="35538DBB" w:rsidR="00E5795E" w:rsidRPr="00222331" w:rsidRDefault="008C57CF" w:rsidP="00006B84">
      <w:pPr>
        <w:pStyle w:val="NumberLevel2"/>
        <w:numPr>
          <w:ilvl w:val="1"/>
          <w:numId w:val="5"/>
        </w:numPr>
        <w:tabs>
          <w:tab w:val="num" w:pos="709"/>
        </w:tabs>
        <w:ind w:left="709" w:hanging="709"/>
        <w:rPr>
          <w:lang w:val="en-AU"/>
        </w:rPr>
      </w:pPr>
      <w:r>
        <w:rPr>
          <w:lang w:val="en-AU"/>
        </w:rPr>
        <w:t>The</w:t>
      </w:r>
      <w:r w:rsidR="00E5795E" w:rsidRPr="00EC1AB1">
        <w:rPr>
          <w:lang w:val="en-AU"/>
        </w:rPr>
        <w:t xml:space="preserve"> Commission </w:t>
      </w:r>
      <w:r w:rsidR="00996865" w:rsidRPr="00EC1AB1">
        <w:rPr>
          <w:lang w:val="en-AU"/>
        </w:rPr>
        <w:t>consider</w:t>
      </w:r>
      <w:r w:rsidR="00996865">
        <w:rPr>
          <w:lang w:val="en-AU"/>
        </w:rPr>
        <w:t>ed</w:t>
      </w:r>
      <w:r w:rsidR="00996865" w:rsidRPr="00EC1AB1">
        <w:rPr>
          <w:lang w:val="en-AU"/>
        </w:rPr>
        <w:t xml:space="preserve"> </w:t>
      </w:r>
      <w:r w:rsidR="00E5795E" w:rsidRPr="00EC1AB1">
        <w:rPr>
          <w:lang w:val="en-AU"/>
        </w:rPr>
        <w:t xml:space="preserve">that </w:t>
      </w:r>
      <w:r w:rsidR="00860539">
        <w:rPr>
          <w:lang w:val="en-AU"/>
        </w:rPr>
        <w:t xml:space="preserve">PWC Networks’ </w:t>
      </w:r>
      <w:r w:rsidR="00E5795E">
        <w:rPr>
          <w:lang w:val="en-AU"/>
        </w:rPr>
        <w:t>forecast strategy and planning opex</w:t>
      </w:r>
      <w:r w:rsidR="00E5795E" w:rsidRPr="00EC1AB1">
        <w:rPr>
          <w:lang w:val="en-AU"/>
        </w:rPr>
        <w:t xml:space="preserve"> should be reduced </w:t>
      </w:r>
      <w:r w:rsidR="00E5795E">
        <w:rPr>
          <w:lang w:val="en-AU"/>
        </w:rPr>
        <w:t xml:space="preserve">to remove the </w:t>
      </w:r>
      <w:r w:rsidR="00E42FA9">
        <w:rPr>
          <w:lang w:val="en-AU"/>
        </w:rPr>
        <w:t>‘</w:t>
      </w:r>
      <w:r w:rsidR="00E5795E">
        <w:rPr>
          <w:lang w:val="en-AU"/>
        </w:rPr>
        <w:t>Other – Remainder’ amount.</w:t>
      </w:r>
      <w:r w:rsidR="00693F03">
        <w:rPr>
          <w:lang w:val="en-AU"/>
        </w:rPr>
        <w:t xml:space="preserve"> This </w:t>
      </w:r>
      <w:r w:rsidR="00860539">
        <w:rPr>
          <w:lang w:val="en-AU"/>
        </w:rPr>
        <w:t xml:space="preserve">reduced </w:t>
      </w:r>
      <w:r w:rsidR="00693F03">
        <w:rPr>
          <w:lang w:val="en-AU"/>
        </w:rPr>
        <w:t xml:space="preserve">strategy and planning opex to the average annual expenditure level incurred in the </w:t>
      </w:r>
      <w:r w:rsidR="00996865">
        <w:rPr>
          <w:lang w:val="en-AU"/>
        </w:rPr>
        <w:t xml:space="preserve">2009-14 </w:t>
      </w:r>
      <w:r w:rsidR="00693F03">
        <w:rPr>
          <w:lang w:val="en-AU"/>
        </w:rPr>
        <w:t>regulatory control period.</w:t>
      </w:r>
    </w:p>
    <w:p w14:paraId="27CB71D3" w14:textId="77777777" w:rsidR="00222331" w:rsidRPr="008C57CF" w:rsidRDefault="00222331" w:rsidP="008C57CF">
      <w:pPr>
        <w:pStyle w:val="UtilComHeading4"/>
        <w:spacing w:before="120"/>
        <w:rPr>
          <w:b/>
          <w:i w:val="0"/>
          <w:lang w:val="en-AU"/>
        </w:rPr>
      </w:pPr>
      <w:r w:rsidRPr="008C57CF">
        <w:rPr>
          <w:b/>
          <w:i w:val="0"/>
          <w:lang w:val="en-AU"/>
        </w:rPr>
        <w:t>Metering</w:t>
      </w:r>
    </w:p>
    <w:p w14:paraId="42DA60DA" w14:textId="5006EE5E" w:rsidR="00D90F40" w:rsidRDefault="00D90F40" w:rsidP="00006B84">
      <w:pPr>
        <w:pStyle w:val="NumberLevel2"/>
        <w:numPr>
          <w:ilvl w:val="1"/>
          <w:numId w:val="5"/>
        </w:numPr>
        <w:tabs>
          <w:tab w:val="num" w:pos="709"/>
        </w:tabs>
        <w:ind w:left="709" w:hanging="709"/>
        <w:rPr>
          <w:lang w:val="en-AU"/>
        </w:rPr>
      </w:pPr>
      <w:r>
        <w:rPr>
          <w:lang w:val="en-AU"/>
        </w:rPr>
        <w:t>Metering</w:t>
      </w:r>
      <w:r w:rsidRPr="00F20AC4">
        <w:rPr>
          <w:lang w:val="en-AU"/>
        </w:rPr>
        <w:t xml:space="preserve"> covers </w:t>
      </w:r>
      <w:r w:rsidRPr="00D90F40">
        <w:rPr>
          <w:lang w:val="en-AU"/>
        </w:rPr>
        <w:t>electricity metering provision and electricity meter data service</w:t>
      </w:r>
      <w:r>
        <w:rPr>
          <w:lang w:val="en-AU"/>
        </w:rPr>
        <w:t>s</w:t>
      </w:r>
      <w:r w:rsidRPr="00F20AC4">
        <w:rPr>
          <w:lang w:val="en-AU"/>
        </w:rPr>
        <w:t>.</w:t>
      </w:r>
      <w:r>
        <w:rPr>
          <w:lang w:val="en-AU"/>
        </w:rPr>
        <w:t xml:space="preserve"> </w:t>
      </w:r>
      <w:r w:rsidR="007E58EE">
        <w:rPr>
          <w:lang w:val="en-AU"/>
        </w:rPr>
        <w:t xml:space="preserve">Meter reading is undertaken for both electricity and water meters as a common process, with costs allocated based on the respective proportion of total meters. </w:t>
      </w:r>
      <w:r>
        <w:rPr>
          <w:lang w:val="en-AU"/>
        </w:rPr>
        <w:t>Metering account</w:t>
      </w:r>
      <w:r w:rsidR="00321ED1">
        <w:rPr>
          <w:lang w:val="en-AU"/>
        </w:rPr>
        <w:t>ed</w:t>
      </w:r>
      <w:r>
        <w:rPr>
          <w:lang w:val="en-AU"/>
        </w:rPr>
        <w:t xml:space="preserve"> for </w:t>
      </w:r>
      <w:r w:rsidR="00A33AC3">
        <w:rPr>
          <w:lang w:val="en-AU"/>
        </w:rPr>
        <w:t>4 per </w:t>
      </w:r>
      <w:r w:rsidR="008C57CF">
        <w:rPr>
          <w:lang w:val="en-AU"/>
        </w:rPr>
        <w:t>cent</w:t>
      </w:r>
      <w:r>
        <w:rPr>
          <w:lang w:val="en-AU"/>
        </w:rPr>
        <w:t xml:space="preserve"> of </w:t>
      </w:r>
      <w:r w:rsidR="00A33AC3">
        <w:rPr>
          <w:lang w:val="en-AU"/>
        </w:rPr>
        <w:t xml:space="preserve">PWC Networks’ </w:t>
      </w:r>
      <w:r>
        <w:rPr>
          <w:lang w:val="en-AU"/>
        </w:rPr>
        <w:t>forecast opex</w:t>
      </w:r>
      <w:r w:rsidR="00BA4364">
        <w:rPr>
          <w:lang w:val="en-AU"/>
        </w:rPr>
        <w:t>.</w:t>
      </w:r>
    </w:p>
    <w:p w14:paraId="4EC263AF" w14:textId="3D9069EF" w:rsidR="00B8786F" w:rsidRPr="00B8786F" w:rsidRDefault="00B8786F" w:rsidP="00006B84">
      <w:pPr>
        <w:pStyle w:val="NumberLevel2"/>
        <w:numPr>
          <w:ilvl w:val="1"/>
          <w:numId w:val="5"/>
        </w:numPr>
        <w:tabs>
          <w:tab w:val="num" w:pos="709"/>
        </w:tabs>
        <w:ind w:left="709" w:hanging="709"/>
        <w:rPr>
          <w:lang w:val="en-AU"/>
        </w:rPr>
      </w:pPr>
      <w:r>
        <w:rPr>
          <w:lang w:val="en-AU"/>
        </w:rPr>
        <w:t xml:space="preserve">PWC Networks identified </w:t>
      </w:r>
      <w:r w:rsidR="007E58EE">
        <w:rPr>
          <w:lang w:val="en-AU"/>
        </w:rPr>
        <w:t xml:space="preserve">a range of process gaps in its existing </w:t>
      </w:r>
      <w:r w:rsidR="008C57CF">
        <w:rPr>
          <w:lang w:val="en-AU"/>
        </w:rPr>
        <w:t xml:space="preserve">information technology </w:t>
      </w:r>
      <w:r w:rsidR="007E58EE">
        <w:rPr>
          <w:lang w:val="en-AU"/>
        </w:rPr>
        <w:t xml:space="preserve">systems. In addition, PWC Networks </w:t>
      </w:r>
      <w:r w:rsidR="00A33AC3">
        <w:rPr>
          <w:lang w:val="en-AU"/>
        </w:rPr>
        <w:t xml:space="preserve">proposed </w:t>
      </w:r>
      <w:r w:rsidR="007E58EE">
        <w:rPr>
          <w:lang w:val="en-AU"/>
        </w:rPr>
        <w:t xml:space="preserve">to implement a new structure that </w:t>
      </w:r>
      <w:r w:rsidR="00A33AC3">
        <w:rPr>
          <w:lang w:val="en-AU"/>
        </w:rPr>
        <w:t xml:space="preserve">would </w:t>
      </w:r>
      <w:r w:rsidR="007E58EE">
        <w:rPr>
          <w:lang w:val="en-AU"/>
        </w:rPr>
        <w:t>result in an increase in staff</w:t>
      </w:r>
      <w:r w:rsidR="00A33AC3">
        <w:rPr>
          <w:lang w:val="en-AU"/>
        </w:rPr>
        <w:t xml:space="preserve"> and</w:t>
      </w:r>
      <w:r w:rsidR="007E58EE">
        <w:rPr>
          <w:lang w:val="en-AU"/>
        </w:rPr>
        <w:t xml:space="preserve"> an </w:t>
      </w:r>
      <w:r w:rsidR="00A33AC3">
        <w:rPr>
          <w:lang w:val="en-AU"/>
        </w:rPr>
        <w:t xml:space="preserve">incidental </w:t>
      </w:r>
      <w:r w:rsidR="007E58EE">
        <w:rPr>
          <w:lang w:val="en-AU"/>
        </w:rPr>
        <w:t xml:space="preserve">increase in forecast </w:t>
      </w:r>
      <w:r w:rsidR="00A33AC3">
        <w:rPr>
          <w:lang w:val="en-AU"/>
        </w:rPr>
        <w:t xml:space="preserve">opex </w:t>
      </w:r>
      <w:r w:rsidR="007E58EE">
        <w:rPr>
          <w:lang w:val="en-AU"/>
        </w:rPr>
        <w:t xml:space="preserve">for the </w:t>
      </w:r>
      <w:r w:rsidR="00C97BEC">
        <w:rPr>
          <w:lang w:val="en-AU"/>
        </w:rPr>
        <w:t xml:space="preserve">2014-19 </w:t>
      </w:r>
      <w:r w:rsidR="007E58EE">
        <w:rPr>
          <w:lang w:val="en-AU"/>
        </w:rPr>
        <w:t xml:space="preserve">regulatory control period of </w:t>
      </w:r>
      <w:r w:rsidR="00A33AC3">
        <w:rPr>
          <w:lang w:val="en-AU"/>
        </w:rPr>
        <w:t>39 per </w:t>
      </w:r>
      <w:r w:rsidR="008C57CF">
        <w:rPr>
          <w:lang w:val="en-AU"/>
        </w:rPr>
        <w:t xml:space="preserve">cent </w:t>
      </w:r>
      <w:r w:rsidR="007E58EE">
        <w:rPr>
          <w:lang w:val="en-AU"/>
        </w:rPr>
        <w:t>compared with current levels.</w:t>
      </w:r>
    </w:p>
    <w:p w14:paraId="12771E46" w14:textId="21363092" w:rsidR="00D90F40" w:rsidRDefault="007E58EE" w:rsidP="00006B84">
      <w:pPr>
        <w:pStyle w:val="NumberLevel2"/>
        <w:numPr>
          <w:ilvl w:val="1"/>
          <w:numId w:val="5"/>
        </w:numPr>
        <w:tabs>
          <w:tab w:val="num" w:pos="1134"/>
        </w:tabs>
        <w:ind w:left="709" w:hanging="709"/>
        <w:rPr>
          <w:lang w:val="en-AU"/>
        </w:rPr>
      </w:pPr>
      <w:r>
        <w:rPr>
          <w:lang w:val="en-AU"/>
        </w:rPr>
        <w:t xml:space="preserve">The Commission </w:t>
      </w:r>
      <w:r w:rsidR="00C97BEC">
        <w:rPr>
          <w:lang w:val="en-AU"/>
        </w:rPr>
        <w:t xml:space="preserve">considered </w:t>
      </w:r>
      <w:r>
        <w:rPr>
          <w:lang w:val="en-AU"/>
        </w:rPr>
        <w:t>that</w:t>
      </w:r>
      <w:r w:rsidR="00321ED1">
        <w:rPr>
          <w:lang w:val="en-AU"/>
        </w:rPr>
        <w:t xml:space="preserve"> the </w:t>
      </w:r>
      <w:r>
        <w:rPr>
          <w:lang w:val="en-AU"/>
        </w:rPr>
        <w:t>increase in opex relat</w:t>
      </w:r>
      <w:r w:rsidR="00321ED1">
        <w:rPr>
          <w:lang w:val="en-AU"/>
        </w:rPr>
        <w:t xml:space="preserve">ing </w:t>
      </w:r>
      <w:r>
        <w:rPr>
          <w:lang w:val="en-AU"/>
        </w:rPr>
        <w:t xml:space="preserve">to upgrading </w:t>
      </w:r>
      <w:r w:rsidR="00321ED1">
        <w:rPr>
          <w:lang w:val="en-AU"/>
        </w:rPr>
        <w:t xml:space="preserve">PWC Networks’ </w:t>
      </w:r>
      <w:r>
        <w:rPr>
          <w:lang w:val="en-AU"/>
        </w:rPr>
        <w:t>IT system</w:t>
      </w:r>
      <w:r w:rsidR="00321ED1">
        <w:rPr>
          <w:lang w:val="en-AU"/>
        </w:rPr>
        <w:t>s</w:t>
      </w:r>
      <w:r>
        <w:rPr>
          <w:lang w:val="en-AU"/>
        </w:rPr>
        <w:t xml:space="preserve"> </w:t>
      </w:r>
      <w:r w:rsidR="00321ED1">
        <w:rPr>
          <w:lang w:val="en-AU"/>
        </w:rPr>
        <w:t xml:space="preserve">were </w:t>
      </w:r>
      <w:r>
        <w:rPr>
          <w:lang w:val="en-AU"/>
        </w:rPr>
        <w:t xml:space="preserve">justified as it </w:t>
      </w:r>
      <w:r w:rsidR="00A33AC3">
        <w:rPr>
          <w:lang w:val="en-AU"/>
        </w:rPr>
        <w:t xml:space="preserve">was </w:t>
      </w:r>
      <w:r>
        <w:rPr>
          <w:lang w:val="en-AU"/>
        </w:rPr>
        <w:t xml:space="preserve">closely linked to increased licence and system support costs. </w:t>
      </w:r>
      <w:r w:rsidR="00A33AC3">
        <w:rPr>
          <w:lang w:val="en-AU"/>
        </w:rPr>
        <w:t xml:space="preserve">However, while </w:t>
      </w:r>
      <w:r w:rsidR="000F3B5C">
        <w:rPr>
          <w:lang w:val="en-AU"/>
        </w:rPr>
        <w:t xml:space="preserve">some increase in staffing was justified, </w:t>
      </w:r>
      <w:r>
        <w:rPr>
          <w:lang w:val="en-AU"/>
        </w:rPr>
        <w:t xml:space="preserve">the Commission </w:t>
      </w:r>
      <w:r w:rsidR="00C97BEC">
        <w:rPr>
          <w:lang w:val="en-AU"/>
        </w:rPr>
        <w:t xml:space="preserve">considered </w:t>
      </w:r>
      <w:r>
        <w:rPr>
          <w:lang w:val="en-AU"/>
        </w:rPr>
        <w:t xml:space="preserve">that </w:t>
      </w:r>
      <w:r w:rsidR="000F3B5C">
        <w:rPr>
          <w:lang w:val="en-AU"/>
        </w:rPr>
        <w:t xml:space="preserve">the increase proposed by PWC Networks </w:t>
      </w:r>
      <w:r w:rsidR="00C97BEC">
        <w:rPr>
          <w:lang w:val="en-AU"/>
        </w:rPr>
        <w:t xml:space="preserve">was </w:t>
      </w:r>
      <w:r w:rsidR="000F3B5C">
        <w:rPr>
          <w:lang w:val="en-AU"/>
        </w:rPr>
        <w:t>above efficient level</w:t>
      </w:r>
      <w:r w:rsidR="00A33AC3">
        <w:rPr>
          <w:lang w:val="en-AU"/>
        </w:rPr>
        <w:t>s</w:t>
      </w:r>
      <w:r w:rsidR="00B8786F">
        <w:rPr>
          <w:lang w:val="en-AU"/>
        </w:rPr>
        <w:t xml:space="preserve">, </w:t>
      </w:r>
      <w:r>
        <w:rPr>
          <w:lang w:val="en-AU"/>
        </w:rPr>
        <w:t>as it appear</w:t>
      </w:r>
      <w:r w:rsidR="00321ED1">
        <w:rPr>
          <w:lang w:val="en-AU"/>
        </w:rPr>
        <w:t xml:space="preserve">ed </w:t>
      </w:r>
      <w:r>
        <w:rPr>
          <w:lang w:val="en-AU"/>
        </w:rPr>
        <w:t xml:space="preserve">to be based on the creation of new roles rather than any likely </w:t>
      </w:r>
      <w:r w:rsidR="00B8786F">
        <w:rPr>
          <w:lang w:val="en-AU"/>
        </w:rPr>
        <w:t>increase in the volume of work</w:t>
      </w:r>
      <w:r w:rsidR="000F3B5C">
        <w:rPr>
          <w:lang w:val="en-AU"/>
        </w:rPr>
        <w:t>.</w:t>
      </w:r>
    </w:p>
    <w:p w14:paraId="7ED113E8" w14:textId="2518D292" w:rsidR="00D90F40" w:rsidRPr="00222331" w:rsidRDefault="008C57CF" w:rsidP="00006B84">
      <w:pPr>
        <w:pStyle w:val="NumberLevel2"/>
        <w:numPr>
          <w:ilvl w:val="1"/>
          <w:numId w:val="5"/>
        </w:numPr>
        <w:tabs>
          <w:tab w:val="num" w:pos="1134"/>
        </w:tabs>
        <w:ind w:left="709" w:hanging="709"/>
        <w:rPr>
          <w:lang w:val="en-AU"/>
        </w:rPr>
      </w:pPr>
      <w:r>
        <w:rPr>
          <w:lang w:val="en-AU"/>
        </w:rPr>
        <w:t>The</w:t>
      </w:r>
      <w:r w:rsidR="00D90F40" w:rsidRPr="00EC1AB1">
        <w:rPr>
          <w:lang w:val="en-AU"/>
        </w:rPr>
        <w:t xml:space="preserve"> Commission </w:t>
      </w:r>
      <w:r w:rsidR="00C97BEC" w:rsidRPr="00EC1AB1">
        <w:rPr>
          <w:lang w:val="en-AU"/>
        </w:rPr>
        <w:t>consider</w:t>
      </w:r>
      <w:r w:rsidR="00C97BEC">
        <w:rPr>
          <w:lang w:val="en-AU"/>
        </w:rPr>
        <w:t>ed</w:t>
      </w:r>
      <w:r w:rsidR="00C97BEC" w:rsidRPr="00EC1AB1">
        <w:rPr>
          <w:lang w:val="en-AU"/>
        </w:rPr>
        <w:t xml:space="preserve"> </w:t>
      </w:r>
      <w:r w:rsidR="00D90F40" w:rsidRPr="00EC1AB1">
        <w:rPr>
          <w:lang w:val="en-AU"/>
        </w:rPr>
        <w:t xml:space="preserve">that </w:t>
      </w:r>
      <w:r w:rsidR="00A33AC3">
        <w:rPr>
          <w:lang w:val="en-AU"/>
        </w:rPr>
        <w:t xml:space="preserve">PWC Networks’ </w:t>
      </w:r>
      <w:r w:rsidR="00D90F40">
        <w:rPr>
          <w:lang w:val="en-AU"/>
        </w:rPr>
        <w:t xml:space="preserve">forecast </w:t>
      </w:r>
      <w:r w:rsidR="000F3B5C">
        <w:rPr>
          <w:lang w:val="en-AU"/>
        </w:rPr>
        <w:t>metering</w:t>
      </w:r>
      <w:r w:rsidR="00D90F40">
        <w:rPr>
          <w:lang w:val="en-AU"/>
        </w:rPr>
        <w:t xml:space="preserve"> opex</w:t>
      </w:r>
      <w:r w:rsidR="00D90F40" w:rsidRPr="00EC1AB1">
        <w:rPr>
          <w:lang w:val="en-AU"/>
        </w:rPr>
        <w:t xml:space="preserve"> should be reduced </w:t>
      </w:r>
      <w:r w:rsidR="000F3B5C">
        <w:rPr>
          <w:lang w:val="en-AU"/>
        </w:rPr>
        <w:t xml:space="preserve">as </w:t>
      </w:r>
      <w:r w:rsidR="00A33AC3">
        <w:rPr>
          <w:lang w:val="en-AU"/>
        </w:rPr>
        <w:t xml:space="preserve">its </w:t>
      </w:r>
      <w:r w:rsidR="000F3B5C">
        <w:rPr>
          <w:lang w:val="en-AU"/>
        </w:rPr>
        <w:t xml:space="preserve">proposed staffing levels </w:t>
      </w:r>
      <w:r w:rsidR="00A33AC3">
        <w:rPr>
          <w:lang w:val="en-AU"/>
        </w:rPr>
        <w:t xml:space="preserve">were </w:t>
      </w:r>
      <w:r w:rsidR="000F3B5C">
        <w:rPr>
          <w:lang w:val="en-AU"/>
        </w:rPr>
        <w:t>not efficient</w:t>
      </w:r>
      <w:r w:rsidR="00D90F40">
        <w:rPr>
          <w:lang w:val="en-AU"/>
        </w:rPr>
        <w:t>.</w:t>
      </w:r>
    </w:p>
    <w:p w14:paraId="35F59921" w14:textId="77777777" w:rsidR="00222331" w:rsidRPr="008C57CF" w:rsidRDefault="00222331" w:rsidP="008C57CF">
      <w:pPr>
        <w:pStyle w:val="UtilComHeading4"/>
        <w:spacing w:before="120"/>
        <w:rPr>
          <w:b/>
          <w:i w:val="0"/>
          <w:lang w:val="en-AU"/>
        </w:rPr>
      </w:pPr>
      <w:r w:rsidRPr="008C57CF">
        <w:rPr>
          <w:b/>
          <w:i w:val="0"/>
          <w:lang w:val="en-AU"/>
        </w:rPr>
        <w:t>Regulatory costs</w:t>
      </w:r>
    </w:p>
    <w:p w14:paraId="2A004568" w14:textId="5C96C5C8" w:rsidR="00222331" w:rsidRDefault="00BA4364" w:rsidP="00006B84">
      <w:pPr>
        <w:pStyle w:val="NumberLevel2"/>
        <w:numPr>
          <w:ilvl w:val="1"/>
          <w:numId w:val="5"/>
        </w:numPr>
        <w:tabs>
          <w:tab w:val="left" w:pos="709"/>
          <w:tab w:val="num" w:pos="1276"/>
        </w:tabs>
        <w:ind w:left="709" w:hanging="709"/>
        <w:rPr>
          <w:lang w:val="en-AU"/>
        </w:rPr>
      </w:pPr>
      <w:r w:rsidRPr="00BA4364">
        <w:rPr>
          <w:lang w:val="en-AU"/>
        </w:rPr>
        <w:t>Regulatory cost</w:t>
      </w:r>
      <w:r w:rsidR="00554AEF">
        <w:rPr>
          <w:lang w:val="en-AU"/>
        </w:rPr>
        <w:t>s</w:t>
      </w:r>
      <w:r w:rsidRPr="00BA4364">
        <w:rPr>
          <w:lang w:val="en-AU"/>
        </w:rPr>
        <w:t xml:space="preserve"> cover the expenditure required for PWC Networks to meet new </w:t>
      </w:r>
      <w:r w:rsidR="00321ED1">
        <w:rPr>
          <w:lang w:val="en-AU"/>
        </w:rPr>
        <w:t xml:space="preserve">regulatory </w:t>
      </w:r>
      <w:r w:rsidRPr="00BA4364">
        <w:rPr>
          <w:lang w:val="en-AU"/>
        </w:rPr>
        <w:t>obligations</w:t>
      </w:r>
      <w:r w:rsidR="00321ED1">
        <w:rPr>
          <w:lang w:val="en-AU"/>
        </w:rPr>
        <w:t xml:space="preserve"> and requirements</w:t>
      </w:r>
      <w:r w:rsidRPr="00BA4364">
        <w:rPr>
          <w:lang w:val="en-AU"/>
        </w:rPr>
        <w:t xml:space="preserve"> </w:t>
      </w:r>
      <w:r w:rsidR="00B80A0B">
        <w:rPr>
          <w:lang w:val="en-AU"/>
        </w:rPr>
        <w:t xml:space="preserve">to </w:t>
      </w:r>
      <w:r w:rsidRPr="00BA4364">
        <w:rPr>
          <w:lang w:val="en-AU"/>
        </w:rPr>
        <w:t xml:space="preserve">be established as the </w:t>
      </w:r>
      <w:r w:rsidR="00111134">
        <w:rPr>
          <w:lang w:val="en-AU"/>
        </w:rPr>
        <w:t>Territory p</w:t>
      </w:r>
      <w:r w:rsidRPr="00BA4364">
        <w:rPr>
          <w:lang w:val="en-AU"/>
        </w:rPr>
        <w:t>rogressively moves towards a regulatory framework similar</w:t>
      </w:r>
      <w:r>
        <w:rPr>
          <w:lang w:val="en-AU"/>
        </w:rPr>
        <w:t xml:space="preserve"> </w:t>
      </w:r>
      <w:r w:rsidRPr="00BA4364">
        <w:rPr>
          <w:lang w:val="en-AU"/>
        </w:rPr>
        <w:t xml:space="preserve">to the </w:t>
      </w:r>
      <w:r>
        <w:rPr>
          <w:lang w:val="en-AU"/>
        </w:rPr>
        <w:t>NER</w:t>
      </w:r>
      <w:r w:rsidRPr="00BA4364">
        <w:rPr>
          <w:lang w:val="en-AU"/>
        </w:rPr>
        <w:t xml:space="preserve"> </w:t>
      </w:r>
      <w:r w:rsidR="00B80A0B">
        <w:rPr>
          <w:lang w:val="en-AU"/>
        </w:rPr>
        <w:t xml:space="preserve">and </w:t>
      </w:r>
      <w:r w:rsidRPr="00BA4364">
        <w:rPr>
          <w:lang w:val="en-AU"/>
        </w:rPr>
        <w:t>applied by the AER.</w:t>
      </w:r>
      <w:r>
        <w:rPr>
          <w:lang w:val="en-AU"/>
        </w:rPr>
        <w:t xml:space="preserve"> Regulatory costs account</w:t>
      </w:r>
      <w:r w:rsidR="00321ED1">
        <w:rPr>
          <w:lang w:val="en-AU"/>
        </w:rPr>
        <w:t xml:space="preserve">ed </w:t>
      </w:r>
      <w:r>
        <w:rPr>
          <w:lang w:val="en-AU"/>
        </w:rPr>
        <w:t xml:space="preserve">for </w:t>
      </w:r>
      <w:r w:rsidR="00B80A0B">
        <w:rPr>
          <w:lang w:val="en-AU"/>
        </w:rPr>
        <w:t>1 per </w:t>
      </w:r>
      <w:r w:rsidR="008C57CF">
        <w:rPr>
          <w:lang w:val="en-AU"/>
        </w:rPr>
        <w:t>cent</w:t>
      </w:r>
      <w:r>
        <w:rPr>
          <w:lang w:val="en-AU"/>
        </w:rPr>
        <w:t xml:space="preserve"> of </w:t>
      </w:r>
      <w:r w:rsidR="00B80A0B">
        <w:rPr>
          <w:lang w:val="en-AU"/>
        </w:rPr>
        <w:t xml:space="preserve">PWC Networks’ </w:t>
      </w:r>
      <w:r>
        <w:rPr>
          <w:lang w:val="en-AU"/>
        </w:rPr>
        <w:t>forecast opex</w:t>
      </w:r>
      <w:r w:rsidR="00F2471C">
        <w:rPr>
          <w:lang w:val="en-AU"/>
        </w:rPr>
        <w:t>.</w:t>
      </w:r>
    </w:p>
    <w:p w14:paraId="67736605" w14:textId="64ACF50B" w:rsidR="00BA4364" w:rsidRDefault="00BA4364" w:rsidP="00006B84">
      <w:pPr>
        <w:pStyle w:val="NumberLevel2"/>
        <w:numPr>
          <w:ilvl w:val="1"/>
          <w:numId w:val="5"/>
        </w:numPr>
        <w:tabs>
          <w:tab w:val="left" w:pos="709"/>
          <w:tab w:val="num" w:pos="1276"/>
        </w:tabs>
        <w:ind w:left="709" w:hanging="709"/>
        <w:rPr>
          <w:lang w:val="en-AU"/>
        </w:rPr>
      </w:pPr>
      <w:r>
        <w:rPr>
          <w:lang w:val="en-AU"/>
        </w:rPr>
        <w:t xml:space="preserve">Regulatory costs were not separately identified in the </w:t>
      </w:r>
      <w:r w:rsidR="00C97BEC">
        <w:rPr>
          <w:lang w:val="en-AU"/>
        </w:rPr>
        <w:t xml:space="preserve">2009-14 </w:t>
      </w:r>
      <w:r>
        <w:rPr>
          <w:lang w:val="en-AU"/>
        </w:rPr>
        <w:t xml:space="preserve">regulatory control period. Regulatory compliance costs were captured under network management as part of </w:t>
      </w:r>
      <w:r w:rsidR="00B80A0B">
        <w:rPr>
          <w:lang w:val="en-AU"/>
        </w:rPr>
        <w:t xml:space="preserve">PWC Networks’ </w:t>
      </w:r>
      <w:r>
        <w:rPr>
          <w:lang w:val="en-AU"/>
        </w:rPr>
        <w:t xml:space="preserve">responsibility for managing legislative requirements. Funding for </w:t>
      </w:r>
      <w:r w:rsidR="00B63A20">
        <w:rPr>
          <w:lang w:val="en-AU"/>
        </w:rPr>
        <w:t xml:space="preserve">preparation of </w:t>
      </w:r>
      <w:r w:rsidR="00B80A0B">
        <w:rPr>
          <w:lang w:val="en-AU"/>
        </w:rPr>
        <w:t>PWC Networks’</w:t>
      </w:r>
      <w:r>
        <w:rPr>
          <w:lang w:val="en-AU"/>
        </w:rPr>
        <w:t xml:space="preserve"> regulatory proposal </w:t>
      </w:r>
      <w:r w:rsidR="00B80A0B">
        <w:rPr>
          <w:lang w:val="en-AU"/>
        </w:rPr>
        <w:t>for the 2014</w:t>
      </w:r>
      <w:r w:rsidR="00B80A0B">
        <w:rPr>
          <w:lang w:val="en-AU"/>
        </w:rPr>
        <w:noBreakHyphen/>
        <w:t>19 regulatory control period was</w:t>
      </w:r>
      <w:r>
        <w:rPr>
          <w:lang w:val="en-AU"/>
        </w:rPr>
        <w:t xml:space="preserve"> capitalised.</w:t>
      </w:r>
    </w:p>
    <w:p w14:paraId="511DB358" w14:textId="50E579BB" w:rsidR="00BA4364" w:rsidRPr="00ED73AD" w:rsidRDefault="00BA4364" w:rsidP="00006B84">
      <w:pPr>
        <w:pStyle w:val="NumberLevel2"/>
        <w:numPr>
          <w:ilvl w:val="1"/>
          <w:numId w:val="5"/>
        </w:numPr>
        <w:tabs>
          <w:tab w:val="left" w:pos="709"/>
          <w:tab w:val="num" w:pos="1276"/>
        </w:tabs>
        <w:ind w:left="709" w:hanging="709"/>
        <w:rPr>
          <w:lang w:val="en-AU"/>
        </w:rPr>
      </w:pPr>
      <w:r>
        <w:rPr>
          <w:lang w:val="en-AU"/>
        </w:rPr>
        <w:t>PWC Networks</w:t>
      </w:r>
      <w:r w:rsidR="008C57CF">
        <w:rPr>
          <w:lang w:val="en-AU"/>
        </w:rPr>
        <w:t>’</w:t>
      </w:r>
      <w:r>
        <w:rPr>
          <w:lang w:val="en-AU"/>
        </w:rPr>
        <w:t xml:space="preserve"> forecast </w:t>
      </w:r>
      <w:r w:rsidR="00B80A0B">
        <w:rPr>
          <w:lang w:val="en-AU"/>
        </w:rPr>
        <w:t xml:space="preserve">opex </w:t>
      </w:r>
      <w:r w:rsidR="00ED3DE8">
        <w:rPr>
          <w:lang w:val="en-AU"/>
        </w:rPr>
        <w:t xml:space="preserve">for regulatory costs </w:t>
      </w:r>
      <w:r w:rsidR="00B80A0B">
        <w:rPr>
          <w:lang w:val="en-AU"/>
        </w:rPr>
        <w:t xml:space="preserve">was </w:t>
      </w:r>
      <w:r w:rsidR="00ED3DE8">
        <w:rPr>
          <w:lang w:val="en-AU"/>
        </w:rPr>
        <w:t>based on estimated staffing requirements and costs for</w:t>
      </w:r>
      <w:r w:rsidR="00321ED1">
        <w:rPr>
          <w:lang w:val="en-AU"/>
        </w:rPr>
        <w:t xml:space="preserve"> the </w:t>
      </w:r>
      <w:r w:rsidR="00ED3DE8">
        <w:rPr>
          <w:lang w:val="en-AU"/>
        </w:rPr>
        <w:t xml:space="preserve">preparation of </w:t>
      </w:r>
      <w:r w:rsidR="00B80A0B">
        <w:rPr>
          <w:lang w:val="en-AU"/>
        </w:rPr>
        <w:t>PWC Networks’</w:t>
      </w:r>
      <w:r w:rsidR="00ED3DE8">
        <w:rPr>
          <w:lang w:val="en-AU"/>
        </w:rPr>
        <w:t xml:space="preserve"> regulatory proposal </w:t>
      </w:r>
      <w:r w:rsidR="004B5D32">
        <w:rPr>
          <w:lang w:val="en-AU"/>
        </w:rPr>
        <w:t xml:space="preserve">for the Post 2019 regulatory control period (which will be incurred </w:t>
      </w:r>
      <w:r w:rsidR="00111134">
        <w:rPr>
          <w:lang w:val="en-AU"/>
        </w:rPr>
        <w:t>in</w:t>
      </w:r>
      <w:r w:rsidR="004B5D32">
        <w:rPr>
          <w:lang w:val="en-AU"/>
        </w:rPr>
        <w:t xml:space="preserve"> the 2014-19 regulatory control period) </w:t>
      </w:r>
      <w:r w:rsidR="00E42FA9">
        <w:rPr>
          <w:lang w:val="en-AU"/>
        </w:rPr>
        <w:t xml:space="preserve">as </w:t>
      </w:r>
      <w:r w:rsidR="00ED3DE8">
        <w:rPr>
          <w:lang w:val="en-AU"/>
        </w:rPr>
        <w:t>being similar to those for the regulatory proposal</w:t>
      </w:r>
      <w:r w:rsidR="004B5D32">
        <w:rPr>
          <w:lang w:val="en-AU"/>
        </w:rPr>
        <w:t xml:space="preserve"> for the 2014-19</w:t>
      </w:r>
      <w:r w:rsidR="00111134">
        <w:rPr>
          <w:lang w:val="en-AU"/>
        </w:rPr>
        <w:t xml:space="preserve"> </w:t>
      </w:r>
      <w:r w:rsidR="004B5D32">
        <w:rPr>
          <w:lang w:val="en-AU"/>
        </w:rPr>
        <w:t>regulatory control period</w:t>
      </w:r>
      <w:r w:rsidR="00ED3DE8">
        <w:rPr>
          <w:lang w:val="en-AU"/>
        </w:rPr>
        <w:t>.</w:t>
      </w:r>
    </w:p>
    <w:p w14:paraId="7B761586" w14:textId="1331CF7D" w:rsidR="005614AB" w:rsidRDefault="005614AB" w:rsidP="00006B84">
      <w:pPr>
        <w:pStyle w:val="NumberLevel2"/>
        <w:numPr>
          <w:ilvl w:val="1"/>
          <w:numId w:val="5"/>
        </w:numPr>
        <w:tabs>
          <w:tab w:val="left" w:pos="709"/>
          <w:tab w:val="num" w:pos="1276"/>
        </w:tabs>
        <w:ind w:left="709" w:hanging="709"/>
        <w:rPr>
          <w:lang w:val="en-AU"/>
        </w:rPr>
      </w:pPr>
      <w:r>
        <w:rPr>
          <w:lang w:val="en-AU"/>
        </w:rPr>
        <w:t xml:space="preserve">The NTMEU did not consider an increase in regulatory costs </w:t>
      </w:r>
      <w:r w:rsidR="004B5D32">
        <w:rPr>
          <w:lang w:val="en-AU"/>
        </w:rPr>
        <w:t xml:space="preserve">was </w:t>
      </w:r>
      <w:r>
        <w:rPr>
          <w:lang w:val="en-AU"/>
        </w:rPr>
        <w:t xml:space="preserve">justified, as PWC Networks </w:t>
      </w:r>
      <w:r w:rsidR="004B5D32">
        <w:rPr>
          <w:lang w:val="en-AU"/>
        </w:rPr>
        <w:t xml:space="preserve">had </w:t>
      </w:r>
      <w:r>
        <w:rPr>
          <w:lang w:val="en-AU"/>
        </w:rPr>
        <w:t xml:space="preserve">been subject to regulatory reviews in the past. </w:t>
      </w:r>
    </w:p>
    <w:p w14:paraId="7C24BEB8" w14:textId="0D4195ED" w:rsidR="00FA609E" w:rsidRPr="00FA609E" w:rsidRDefault="00FA609E" w:rsidP="00006B84">
      <w:pPr>
        <w:pStyle w:val="NumberLevel2"/>
        <w:numPr>
          <w:ilvl w:val="1"/>
          <w:numId w:val="5"/>
        </w:numPr>
        <w:tabs>
          <w:tab w:val="left" w:pos="709"/>
          <w:tab w:val="num" w:pos="1276"/>
        </w:tabs>
        <w:ind w:left="709" w:hanging="709"/>
        <w:rPr>
          <w:lang w:val="en-AU"/>
        </w:rPr>
      </w:pPr>
      <w:r>
        <w:rPr>
          <w:lang w:val="en-AU"/>
        </w:rPr>
        <w:t xml:space="preserve">The Commission </w:t>
      </w:r>
      <w:r w:rsidR="004B5D32">
        <w:rPr>
          <w:lang w:val="en-AU"/>
        </w:rPr>
        <w:t>did not accept the NTMEU’s</w:t>
      </w:r>
      <w:r>
        <w:rPr>
          <w:lang w:val="en-AU"/>
        </w:rPr>
        <w:t xml:space="preserve"> contention. Due to t</w:t>
      </w:r>
      <w:r w:rsidRPr="007E4BB4">
        <w:rPr>
          <w:lang w:val="en-AU"/>
        </w:rPr>
        <w:t>he limited availability of documentation and data</w:t>
      </w:r>
      <w:r>
        <w:rPr>
          <w:lang w:val="en-AU"/>
        </w:rPr>
        <w:t xml:space="preserve"> from PWC Networks, previous reviews </w:t>
      </w:r>
      <w:r w:rsidR="004B5D32">
        <w:rPr>
          <w:lang w:val="en-AU"/>
        </w:rPr>
        <w:t xml:space="preserve">had </w:t>
      </w:r>
      <w:r>
        <w:rPr>
          <w:lang w:val="en-AU"/>
        </w:rPr>
        <w:t xml:space="preserve">been undertaken with minimal reliance on input from PWC Networks. </w:t>
      </w:r>
      <w:r w:rsidRPr="00FA609E">
        <w:rPr>
          <w:lang w:val="en-AU"/>
        </w:rPr>
        <w:t xml:space="preserve">Resourcing constraints for PWC Networks and economies of scale meant that full adoption of an approach consistent with the NER requirements </w:t>
      </w:r>
      <w:r w:rsidR="004B5D32">
        <w:rPr>
          <w:lang w:val="en-AU"/>
        </w:rPr>
        <w:t>was</w:t>
      </w:r>
      <w:r w:rsidR="004B5D32" w:rsidRPr="00FA609E">
        <w:rPr>
          <w:lang w:val="en-AU"/>
        </w:rPr>
        <w:t xml:space="preserve"> </w:t>
      </w:r>
      <w:r>
        <w:rPr>
          <w:lang w:val="en-AU"/>
        </w:rPr>
        <w:t xml:space="preserve">also </w:t>
      </w:r>
      <w:r w:rsidRPr="00FA609E">
        <w:rPr>
          <w:lang w:val="en-AU"/>
        </w:rPr>
        <w:t xml:space="preserve">not practicable for the </w:t>
      </w:r>
      <w:r w:rsidR="007669D5">
        <w:rPr>
          <w:lang w:val="en-AU"/>
        </w:rPr>
        <w:t>2014-19</w:t>
      </w:r>
      <w:r w:rsidR="007669D5" w:rsidRPr="00FA609E">
        <w:rPr>
          <w:lang w:val="en-AU"/>
        </w:rPr>
        <w:t xml:space="preserve"> </w:t>
      </w:r>
      <w:r w:rsidRPr="00FA609E">
        <w:rPr>
          <w:lang w:val="en-AU"/>
        </w:rPr>
        <w:t xml:space="preserve">regulatory </w:t>
      </w:r>
      <w:r w:rsidR="008C57CF">
        <w:rPr>
          <w:lang w:val="en-AU"/>
        </w:rPr>
        <w:t xml:space="preserve">control </w:t>
      </w:r>
      <w:r w:rsidRPr="00FA609E">
        <w:rPr>
          <w:lang w:val="en-AU"/>
        </w:rPr>
        <w:t xml:space="preserve">period. However, the Commission </w:t>
      </w:r>
      <w:r w:rsidR="004B5D32" w:rsidRPr="00FA609E">
        <w:rPr>
          <w:lang w:val="en-AU"/>
        </w:rPr>
        <w:t>believe</w:t>
      </w:r>
      <w:r w:rsidR="004B5D32">
        <w:rPr>
          <w:lang w:val="en-AU"/>
        </w:rPr>
        <w:t>d</w:t>
      </w:r>
      <w:r w:rsidR="004B5D32" w:rsidRPr="00FA609E">
        <w:rPr>
          <w:lang w:val="en-AU"/>
        </w:rPr>
        <w:t xml:space="preserve"> </w:t>
      </w:r>
      <w:r w:rsidRPr="00FA609E">
        <w:rPr>
          <w:lang w:val="en-AU"/>
        </w:rPr>
        <w:t xml:space="preserve">that full compliance with these requirements </w:t>
      </w:r>
      <w:r w:rsidR="00321ED1">
        <w:rPr>
          <w:lang w:val="en-AU"/>
        </w:rPr>
        <w:t>was</w:t>
      </w:r>
      <w:r w:rsidRPr="00FA609E">
        <w:rPr>
          <w:lang w:val="en-AU"/>
        </w:rPr>
        <w:t xml:space="preserve"> an appropriate objective for future regulatory control periods.</w:t>
      </w:r>
    </w:p>
    <w:p w14:paraId="28B5A197" w14:textId="60C4E208" w:rsidR="00ED3DE8" w:rsidRDefault="005614AB" w:rsidP="00006B84">
      <w:pPr>
        <w:pStyle w:val="NumberLevel2"/>
        <w:numPr>
          <w:ilvl w:val="1"/>
          <w:numId w:val="5"/>
        </w:numPr>
        <w:tabs>
          <w:tab w:val="left" w:pos="709"/>
          <w:tab w:val="num" w:pos="1276"/>
        </w:tabs>
        <w:ind w:left="709" w:hanging="709"/>
        <w:rPr>
          <w:lang w:val="en-AU"/>
        </w:rPr>
      </w:pPr>
      <w:r>
        <w:rPr>
          <w:lang w:val="en-AU"/>
        </w:rPr>
        <w:t xml:space="preserve">That said, however, the Commission </w:t>
      </w:r>
      <w:r w:rsidR="00C97BEC">
        <w:rPr>
          <w:lang w:val="en-AU"/>
        </w:rPr>
        <w:t xml:space="preserve">considered </w:t>
      </w:r>
      <w:r w:rsidR="00ED3DE8">
        <w:rPr>
          <w:lang w:val="en-AU"/>
        </w:rPr>
        <w:t xml:space="preserve">that the staffing requirements proposed by PWC Networks </w:t>
      </w:r>
      <w:r w:rsidR="00C97BEC">
        <w:rPr>
          <w:lang w:val="en-AU"/>
        </w:rPr>
        <w:t xml:space="preserve">were </w:t>
      </w:r>
      <w:r w:rsidR="00ED3DE8">
        <w:rPr>
          <w:lang w:val="en-AU"/>
        </w:rPr>
        <w:t>above efficient level</w:t>
      </w:r>
      <w:r w:rsidR="004B5D32">
        <w:rPr>
          <w:lang w:val="en-AU"/>
        </w:rPr>
        <w:t>s</w:t>
      </w:r>
      <w:r w:rsidR="008C57CF">
        <w:rPr>
          <w:lang w:val="en-AU"/>
        </w:rPr>
        <w:t>.</w:t>
      </w:r>
      <w:r w:rsidR="00ED3DE8" w:rsidRPr="00ED73AD">
        <w:rPr>
          <w:lang w:val="en-AU"/>
        </w:rPr>
        <w:t xml:space="preserve"> </w:t>
      </w:r>
    </w:p>
    <w:p w14:paraId="5B04E45D" w14:textId="782AC2AD" w:rsidR="00ED3DE8" w:rsidRPr="00222331" w:rsidRDefault="008C57CF" w:rsidP="00006B84">
      <w:pPr>
        <w:pStyle w:val="NumberLevel2"/>
        <w:numPr>
          <w:ilvl w:val="1"/>
          <w:numId w:val="5"/>
        </w:numPr>
        <w:tabs>
          <w:tab w:val="num" w:pos="709"/>
        </w:tabs>
        <w:ind w:left="709" w:hanging="709"/>
        <w:rPr>
          <w:lang w:val="en-AU"/>
        </w:rPr>
      </w:pPr>
      <w:r>
        <w:rPr>
          <w:lang w:val="en-AU"/>
        </w:rPr>
        <w:t>The</w:t>
      </w:r>
      <w:r w:rsidR="00ED3DE8" w:rsidRPr="00EC1AB1">
        <w:rPr>
          <w:lang w:val="en-AU"/>
        </w:rPr>
        <w:t xml:space="preserve"> Commission </w:t>
      </w:r>
      <w:r w:rsidR="00C97BEC" w:rsidRPr="00EC1AB1">
        <w:rPr>
          <w:lang w:val="en-AU"/>
        </w:rPr>
        <w:t>consider</w:t>
      </w:r>
      <w:r w:rsidR="00C97BEC">
        <w:rPr>
          <w:lang w:val="en-AU"/>
        </w:rPr>
        <w:t>ed</w:t>
      </w:r>
      <w:r w:rsidR="00C97BEC" w:rsidRPr="00EC1AB1">
        <w:rPr>
          <w:lang w:val="en-AU"/>
        </w:rPr>
        <w:t xml:space="preserve"> </w:t>
      </w:r>
      <w:r w:rsidR="00ED3DE8" w:rsidRPr="00EC1AB1">
        <w:rPr>
          <w:lang w:val="en-AU"/>
        </w:rPr>
        <w:t xml:space="preserve">that </w:t>
      </w:r>
      <w:r w:rsidR="004B5D32">
        <w:rPr>
          <w:lang w:val="en-AU"/>
        </w:rPr>
        <w:t xml:space="preserve">PWC Networks’ </w:t>
      </w:r>
      <w:r w:rsidR="00ED3DE8">
        <w:rPr>
          <w:lang w:val="en-AU"/>
        </w:rPr>
        <w:t>forecast regulatory costs opex</w:t>
      </w:r>
      <w:r w:rsidR="00ED3DE8" w:rsidRPr="00EC1AB1">
        <w:rPr>
          <w:lang w:val="en-AU"/>
        </w:rPr>
        <w:t xml:space="preserve"> should be reduced </w:t>
      </w:r>
      <w:r w:rsidR="00ED3DE8">
        <w:rPr>
          <w:lang w:val="en-AU"/>
        </w:rPr>
        <w:t xml:space="preserve">as </w:t>
      </w:r>
      <w:r w:rsidR="004B5D32">
        <w:rPr>
          <w:lang w:val="en-AU"/>
        </w:rPr>
        <w:t xml:space="preserve">the </w:t>
      </w:r>
      <w:r w:rsidR="00ED3DE8">
        <w:rPr>
          <w:lang w:val="en-AU"/>
        </w:rPr>
        <w:t xml:space="preserve">proposed staffing levels </w:t>
      </w:r>
      <w:r w:rsidR="004B5D32">
        <w:rPr>
          <w:lang w:val="en-AU"/>
        </w:rPr>
        <w:t xml:space="preserve">were </w:t>
      </w:r>
      <w:r w:rsidR="00ED3DE8">
        <w:rPr>
          <w:lang w:val="en-AU"/>
        </w:rPr>
        <w:t>not efficient.</w:t>
      </w:r>
    </w:p>
    <w:p w14:paraId="65B99AB3" w14:textId="77777777" w:rsidR="00222331" w:rsidRPr="008C57CF" w:rsidRDefault="00222331" w:rsidP="008C57CF">
      <w:pPr>
        <w:pStyle w:val="UtilComHeading4"/>
        <w:spacing w:before="120"/>
        <w:rPr>
          <w:b/>
          <w:i w:val="0"/>
          <w:lang w:val="en-AU"/>
        </w:rPr>
      </w:pPr>
      <w:r w:rsidRPr="008C57CF">
        <w:rPr>
          <w:b/>
          <w:i w:val="0"/>
          <w:lang w:val="en-AU"/>
        </w:rPr>
        <w:t>System operations</w:t>
      </w:r>
    </w:p>
    <w:p w14:paraId="1C70B9D8" w14:textId="28214D09" w:rsidR="00222331" w:rsidRDefault="00BA13C8" w:rsidP="00006B84">
      <w:pPr>
        <w:pStyle w:val="NumberLevel2"/>
        <w:numPr>
          <w:ilvl w:val="1"/>
          <w:numId w:val="5"/>
        </w:numPr>
        <w:ind w:left="709" w:hanging="709"/>
        <w:rPr>
          <w:lang w:val="en-AU"/>
        </w:rPr>
      </w:pPr>
      <w:r>
        <w:rPr>
          <w:lang w:val="en-AU"/>
        </w:rPr>
        <w:t xml:space="preserve">System operations are the services provided </w:t>
      </w:r>
      <w:r w:rsidR="008C57CF">
        <w:rPr>
          <w:lang w:val="en-AU"/>
        </w:rPr>
        <w:t xml:space="preserve">by PWC </w:t>
      </w:r>
      <w:r w:rsidR="00F2471C">
        <w:rPr>
          <w:lang w:val="en-AU"/>
        </w:rPr>
        <w:t xml:space="preserve">System Control to </w:t>
      </w:r>
      <w:r w:rsidR="00B63A20">
        <w:rPr>
          <w:lang w:val="en-AU"/>
        </w:rPr>
        <w:t>PWC </w:t>
      </w:r>
      <w:r w:rsidR="00F2471C">
        <w:rPr>
          <w:lang w:val="en-AU"/>
        </w:rPr>
        <w:t>N</w:t>
      </w:r>
      <w:r>
        <w:rPr>
          <w:lang w:val="en-AU"/>
        </w:rPr>
        <w:t xml:space="preserve">etworks </w:t>
      </w:r>
      <w:r w:rsidR="00F2471C">
        <w:rPr>
          <w:lang w:val="en-AU"/>
        </w:rPr>
        <w:t xml:space="preserve">under a </w:t>
      </w:r>
      <w:r w:rsidR="008C57CF">
        <w:rPr>
          <w:lang w:val="en-AU"/>
        </w:rPr>
        <w:t>SLA</w:t>
      </w:r>
      <w:r w:rsidR="00F2471C">
        <w:rPr>
          <w:lang w:val="en-AU"/>
        </w:rPr>
        <w:t>. Services provided include network operations, under frequency load shedding, organising access to infrastructure and operation of a fault call centre service. System operation cost</w:t>
      </w:r>
      <w:r w:rsidR="00111134">
        <w:rPr>
          <w:lang w:val="en-AU"/>
        </w:rPr>
        <w:t>s</w:t>
      </w:r>
      <w:r w:rsidR="00F2471C">
        <w:rPr>
          <w:lang w:val="en-AU"/>
        </w:rPr>
        <w:t xml:space="preserve"> account</w:t>
      </w:r>
      <w:r w:rsidR="00321ED1">
        <w:rPr>
          <w:lang w:val="en-AU"/>
        </w:rPr>
        <w:t>ed</w:t>
      </w:r>
      <w:r w:rsidR="00F2471C">
        <w:rPr>
          <w:lang w:val="en-AU"/>
        </w:rPr>
        <w:t xml:space="preserve"> for </w:t>
      </w:r>
      <w:r w:rsidR="007977AC">
        <w:rPr>
          <w:lang w:val="en-AU"/>
        </w:rPr>
        <w:t>4 per </w:t>
      </w:r>
      <w:r w:rsidR="008C57CF">
        <w:rPr>
          <w:lang w:val="en-AU"/>
        </w:rPr>
        <w:t>cent</w:t>
      </w:r>
      <w:r w:rsidR="00F2471C">
        <w:rPr>
          <w:lang w:val="en-AU"/>
        </w:rPr>
        <w:t xml:space="preserve"> of </w:t>
      </w:r>
      <w:r w:rsidR="007977AC">
        <w:rPr>
          <w:lang w:val="en-AU"/>
        </w:rPr>
        <w:t xml:space="preserve">PWC Networks’ </w:t>
      </w:r>
      <w:r w:rsidR="00F2471C">
        <w:rPr>
          <w:lang w:val="en-AU"/>
        </w:rPr>
        <w:t>forecast opex.</w:t>
      </w:r>
    </w:p>
    <w:p w14:paraId="2B964DC4" w14:textId="68276FBA" w:rsidR="00F2471C" w:rsidRDefault="00F2471C" w:rsidP="00006B84">
      <w:pPr>
        <w:pStyle w:val="NumberLevel2"/>
        <w:numPr>
          <w:ilvl w:val="1"/>
          <w:numId w:val="5"/>
        </w:numPr>
        <w:ind w:left="709" w:hanging="709"/>
        <w:rPr>
          <w:lang w:val="en-AU"/>
        </w:rPr>
      </w:pPr>
      <w:r>
        <w:rPr>
          <w:lang w:val="en-AU"/>
        </w:rPr>
        <w:t xml:space="preserve">Costs increased in the </w:t>
      </w:r>
      <w:r w:rsidR="00C97BEC">
        <w:rPr>
          <w:lang w:val="en-AU"/>
        </w:rPr>
        <w:t xml:space="preserve">2009-14 </w:t>
      </w:r>
      <w:r>
        <w:rPr>
          <w:lang w:val="en-AU"/>
        </w:rPr>
        <w:t xml:space="preserve">regulatory control period following a review of actual costs involved in provision of these services and the finalisation of a formal </w:t>
      </w:r>
      <w:r w:rsidR="007977AC">
        <w:rPr>
          <w:lang w:val="en-AU"/>
        </w:rPr>
        <w:t>SLA</w:t>
      </w:r>
      <w:r>
        <w:rPr>
          <w:lang w:val="en-AU"/>
        </w:rPr>
        <w:t xml:space="preserve">. Costs </w:t>
      </w:r>
      <w:r w:rsidR="007977AC">
        <w:rPr>
          <w:lang w:val="en-AU"/>
        </w:rPr>
        <w:t xml:space="preserve">were </w:t>
      </w:r>
      <w:r>
        <w:rPr>
          <w:lang w:val="en-AU"/>
        </w:rPr>
        <w:t>forecast to remain at current levels.</w:t>
      </w:r>
    </w:p>
    <w:p w14:paraId="403217D1" w14:textId="209524FE" w:rsidR="00F2471C" w:rsidRDefault="00F2471C" w:rsidP="00006B84">
      <w:pPr>
        <w:pStyle w:val="NumberLevel2"/>
        <w:numPr>
          <w:ilvl w:val="1"/>
          <w:numId w:val="5"/>
        </w:numPr>
        <w:ind w:left="709" w:hanging="709"/>
        <w:rPr>
          <w:lang w:val="en-AU"/>
        </w:rPr>
      </w:pPr>
      <w:r>
        <w:rPr>
          <w:lang w:val="en-AU"/>
        </w:rPr>
        <w:t xml:space="preserve">PB found that some costs had been included relating to </w:t>
      </w:r>
      <w:r w:rsidR="00321ED1">
        <w:rPr>
          <w:lang w:val="en-AU"/>
        </w:rPr>
        <w:t xml:space="preserve">the </w:t>
      </w:r>
      <w:r>
        <w:rPr>
          <w:lang w:val="en-AU"/>
        </w:rPr>
        <w:t xml:space="preserve">operation of zone substations on </w:t>
      </w:r>
      <w:r w:rsidR="007977AC">
        <w:rPr>
          <w:lang w:val="en-AU"/>
        </w:rPr>
        <w:t xml:space="preserve">non-regulated electricity </w:t>
      </w:r>
      <w:r>
        <w:rPr>
          <w:lang w:val="en-AU"/>
        </w:rPr>
        <w:t>networks.</w:t>
      </w:r>
    </w:p>
    <w:p w14:paraId="5CC88EEE" w14:textId="4CB44CC7" w:rsidR="00F2471C" w:rsidRPr="00222331" w:rsidRDefault="008C57CF" w:rsidP="00006B84">
      <w:pPr>
        <w:pStyle w:val="NumberLevel2"/>
        <w:numPr>
          <w:ilvl w:val="1"/>
          <w:numId w:val="5"/>
        </w:numPr>
        <w:ind w:left="709" w:hanging="709"/>
        <w:rPr>
          <w:lang w:val="en-AU"/>
        </w:rPr>
      </w:pPr>
      <w:r>
        <w:rPr>
          <w:lang w:val="en-AU"/>
        </w:rPr>
        <w:t>The</w:t>
      </w:r>
      <w:r w:rsidR="00F2471C" w:rsidRPr="00EC1AB1">
        <w:rPr>
          <w:lang w:val="en-AU"/>
        </w:rPr>
        <w:t xml:space="preserve"> Commission </w:t>
      </w:r>
      <w:r w:rsidR="00C97BEC" w:rsidRPr="00EC1AB1">
        <w:rPr>
          <w:lang w:val="en-AU"/>
        </w:rPr>
        <w:t>consider</w:t>
      </w:r>
      <w:r w:rsidR="00C97BEC">
        <w:rPr>
          <w:lang w:val="en-AU"/>
        </w:rPr>
        <w:t>ed</w:t>
      </w:r>
      <w:r w:rsidR="00C97BEC" w:rsidRPr="00EC1AB1">
        <w:rPr>
          <w:lang w:val="en-AU"/>
        </w:rPr>
        <w:t xml:space="preserve"> </w:t>
      </w:r>
      <w:r w:rsidR="00F2471C" w:rsidRPr="00EC1AB1">
        <w:rPr>
          <w:lang w:val="en-AU"/>
        </w:rPr>
        <w:t xml:space="preserve">that </w:t>
      </w:r>
      <w:r w:rsidR="007977AC">
        <w:rPr>
          <w:lang w:val="en-AU"/>
        </w:rPr>
        <w:t xml:space="preserve">PWC Networks’ </w:t>
      </w:r>
      <w:r w:rsidR="00F2471C">
        <w:rPr>
          <w:lang w:val="en-AU"/>
        </w:rPr>
        <w:t>forecast system operation opex</w:t>
      </w:r>
      <w:r w:rsidR="00F2471C" w:rsidRPr="00EC1AB1">
        <w:rPr>
          <w:lang w:val="en-AU"/>
        </w:rPr>
        <w:t xml:space="preserve"> should be reduced </w:t>
      </w:r>
      <w:r w:rsidR="00F2471C">
        <w:rPr>
          <w:lang w:val="en-AU"/>
        </w:rPr>
        <w:t xml:space="preserve">to remove the costs associated with non-regulated </w:t>
      </w:r>
      <w:r w:rsidR="007977AC">
        <w:rPr>
          <w:lang w:val="en-AU"/>
        </w:rPr>
        <w:t xml:space="preserve">electricity </w:t>
      </w:r>
      <w:r w:rsidR="00F2471C">
        <w:rPr>
          <w:lang w:val="en-AU"/>
        </w:rPr>
        <w:t>networks.</w:t>
      </w:r>
    </w:p>
    <w:p w14:paraId="152030C8" w14:textId="77777777" w:rsidR="004E350C" w:rsidRPr="008C57CF" w:rsidRDefault="004E350C" w:rsidP="008C57CF">
      <w:pPr>
        <w:pStyle w:val="UtilComHeading4"/>
        <w:spacing w:before="120"/>
        <w:rPr>
          <w:b/>
          <w:i w:val="0"/>
          <w:lang w:val="en-AU"/>
        </w:rPr>
      </w:pPr>
      <w:r w:rsidRPr="008C57CF">
        <w:rPr>
          <w:b/>
          <w:i w:val="0"/>
          <w:lang w:val="en-AU"/>
        </w:rPr>
        <w:t>GSL costs</w:t>
      </w:r>
    </w:p>
    <w:p w14:paraId="0EFC26DA" w14:textId="14B8EC22" w:rsidR="004E350C" w:rsidRPr="004E350C" w:rsidRDefault="004E350C" w:rsidP="004B63D8">
      <w:pPr>
        <w:pStyle w:val="NumberLevel2"/>
        <w:numPr>
          <w:ilvl w:val="1"/>
          <w:numId w:val="5"/>
        </w:numPr>
        <w:ind w:left="709" w:hanging="709"/>
        <w:rPr>
          <w:lang w:val="en-AU"/>
        </w:rPr>
      </w:pPr>
      <w:r w:rsidRPr="004E350C">
        <w:rPr>
          <w:lang w:val="en-AU"/>
        </w:rPr>
        <w:t xml:space="preserve">GSL costs cover the implementation and administration of the GSL scheme established under the GSL Code and includes forecast GSL payments to </w:t>
      </w:r>
      <w:r w:rsidR="006D1642">
        <w:rPr>
          <w:lang w:val="en-AU"/>
        </w:rPr>
        <w:t xml:space="preserve">retail </w:t>
      </w:r>
      <w:r w:rsidRPr="004E350C">
        <w:rPr>
          <w:lang w:val="en-AU"/>
        </w:rPr>
        <w:t xml:space="preserve">customers </w:t>
      </w:r>
      <w:r>
        <w:rPr>
          <w:lang w:val="en-AU"/>
        </w:rPr>
        <w:t xml:space="preserve">and </w:t>
      </w:r>
      <w:r w:rsidRPr="004E350C">
        <w:rPr>
          <w:lang w:val="en-AU"/>
        </w:rPr>
        <w:t xml:space="preserve">operating costs relating to the ongoing administration, reporting and </w:t>
      </w:r>
      <w:r w:rsidR="006D1642">
        <w:rPr>
          <w:lang w:val="en-AU"/>
        </w:rPr>
        <w:t xml:space="preserve">retail </w:t>
      </w:r>
      <w:r w:rsidRPr="004E350C">
        <w:rPr>
          <w:lang w:val="en-AU"/>
        </w:rPr>
        <w:t>customer interaction associated with the GSL scheme</w:t>
      </w:r>
      <w:r>
        <w:rPr>
          <w:lang w:val="en-AU"/>
        </w:rPr>
        <w:t>.</w:t>
      </w:r>
      <w:r w:rsidR="00C52D39">
        <w:rPr>
          <w:lang w:val="en-AU"/>
        </w:rPr>
        <w:t xml:space="preserve"> GSL costs account</w:t>
      </w:r>
      <w:r w:rsidR="00321ED1">
        <w:rPr>
          <w:lang w:val="en-AU"/>
        </w:rPr>
        <w:t>ed</w:t>
      </w:r>
      <w:r w:rsidR="00C52D39">
        <w:rPr>
          <w:lang w:val="en-AU"/>
        </w:rPr>
        <w:t xml:space="preserve"> for </w:t>
      </w:r>
      <w:r w:rsidR="006D1642">
        <w:rPr>
          <w:lang w:val="en-AU"/>
        </w:rPr>
        <w:t>1 per </w:t>
      </w:r>
      <w:r w:rsidR="008C57CF">
        <w:rPr>
          <w:lang w:val="en-AU"/>
        </w:rPr>
        <w:t>cent</w:t>
      </w:r>
      <w:r w:rsidR="00C52D39">
        <w:rPr>
          <w:lang w:val="en-AU"/>
        </w:rPr>
        <w:t xml:space="preserve"> of </w:t>
      </w:r>
      <w:r w:rsidR="006D1642">
        <w:rPr>
          <w:lang w:val="en-AU"/>
        </w:rPr>
        <w:t xml:space="preserve">PWC Networks’ </w:t>
      </w:r>
      <w:r w:rsidR="00C52D39">
        <w:rPr>
          <w:lang w:val="en-AU"/>
        </w:rPr>
        <w:t>forecast opex.</w:t>
      </w:r>
    </w:p>
    <w:p w14:paraId="7A6B2387" w14:textId="754F34E2" w:rsidR="004E350C" w:rsidRPr="007B1EBC" w:rsidRDefault="004E350C" w:rsidP="004B63D8">
      <w:pPr>
        <w:pStyle w:val="NumberLevel2"/>
        <w:numPr>
          <w:ilvl w:val="1"/>
          <w:numId w:val="5"/>
        </w:numPr>
        <w:ind w:left="709" w:hanging="709"/>
        <w:rPr>
          <w:lang w:val="en-AU"/>
        </w:rPr>
      </w:pPr>
      <w:r w:rsidRPr="007B1EBC">
        <w:rPr>
          <w:lang w:val="en-AU"/>
        </w:rPr>
        <w:t>PWC</w:t>
      </w:r>
      <w:r>
        <w:rPr>
          <w:lang w:val="en-AU"/>
        </w:rPr>
        <w:t xml:space="preserve"> Network</w:t>
      </w:r>
      <w:r w:rsidRPr="007B1EBC">
        <w:rPr>
          <w:lang w:val="en-AU"/>
        </w:rPr>
        <w:t>s</w:t>
      </w:r>
      <w:r w:rsidR="008C57CF">
        <w:rPr>
          <w:lang w:val="en-AU"/>
        </w:rPr>
        <w:t>’</w:t>
      </w:r>
      <w:r w:rsidRPr="007B1EBC">
        <w:rPr>
          <w:lang w:val="en-AU"/>
        </w:rPr>
        <w:t xml:space="preserve"> base year </w:t>
      </w:r>
      <w:r w:rsidR="006D1642">
        <w:rPr>
          <w:lang w:val="en-AU"/>
        </w:rPr>
        <w:t xml:space="preserve">GSL </w:t>
      </w:r>
      <w:r w:rsidRPr="007B1EBC">
        <w:rPr>
          <w:lang w:val="en-AU"/>
        </w:rPr>
        <w:t>payment estimate was sourced from a report prepared by PricewaterhouseCoopers and based on best case compliance assumptions. The proposal note</w:t>
      </w:r>
      <w:r w:rsidR="00321ED1">
        <w:rPr>
          <w:lang w:val="en-AU"/>
        </w:rPr>
        <w:t>d</w:t>
      </w:r>
      <w:r w:rsidRPr="007B1EBC">
        <w:rPr>
          <w:lang w:val="en-AU"/>
        </w:rPr>
        <w:t xml:space="preserve"> that GSL payments are assumed to decline in line with capital expenditure on the GSL program (part of PWC </w:t>
      </w:r>
      <w:r w:rsidR="006D1642">
        <w:rPr>
          <w:lang w:val="en-AU"/>
        </w:rPr>
        <w:t>N</w:t>
      </w:r>
      <w:r w:rsidR="006D1642" w:rsidRPr="007B1EBC">
        <w:rPr>
          <w:lang w:val="en-AU"/>
        </w:rPr>
        <w:t>etworks</w:t>
      </w:r>
      <w:r w:rsidR="006D1642">
        <w:rPr>
          <w:lang w:val="en-AU"/>
        </w:rPr>
        <w:t>’</w:t>
      </w:r>
      <w:r w:rsidR="006D1642" w:rsidRPr="007B1EBC">
        <w:rPr>
          <w:lang w:val="en-AU"/>
        </w:rPr>
        <w:t xml:space="preserve"> </w:t>
      </w:r>
      <w:r w:rsidR="008C57CF">
        <w:rPr>
          <w:lang w:val="en-AU"/>
        </w:rPr>
        <w:t>f</w:t>
      </w:r>
      <w:r w:rsidR="008C57CF" w:rsidRPr="007B1EBC">
        <w:rPr>
          <w:lang w:val="en-AU"/>
        </w:rPr>
        <w:t xml:space="preserve">eeder </w:t>
      </w:r>
      <w:r w:rsidR="008C57CF">
        <w:rPr>
          <w:lang w:val="en-AU"/>
        </w:rPr>
        <w:t>u</w:t>
      </w:r>
      <w:r w:rsidR="008C57CF" w:rsidRPr="007B1EBC">
        <w:rPr>
          <w:lang w:val="en-AU"/>
        </w:rPr>
        <w:t xml:space="preserve">pgrade </w:t>
      </w:r>
      <w:r w:rsidR="008C57CF">
        <w:rPr>
          <w:lang w:val="en-AU"/>
        </w:rPr>
        <w:t>p</w:t>
      </w:r>
      <w:r w:rsidR="008C57CF" w:rsidRPr="007B1EBC">
        <w:rPr>
          <w:lang w:val="en-AU"/>
        </w:rPr>
        <w:t>rogram</w:t>
      </w:r>
      <w:r w:rsidRPr="007B1EBC">
        <w:rPr>
          <w:lang w:val="en-AU"/>
        </w:rPr>
        <w:t xml:space="preserve">). </w:t>
      </w:r>
    </w:p>
    <w:p w14:paraId="7B3EE3EE" w14:textId="7AACA980" w:rsidR="004E350C" w:rsidRPr="007B1EBC" w:rsidRDefault="004E350C" w:rsidP="004B63D8">
      <w:pPr>
        <w:pStyle w:val="NumberLevel2"/>
        <w:numPr>
          <w:ilvl w:val="1"/>
          <w:numId w:val="5"/>
        </w:numPr>
        <w:ind w:left="709" w:hanging="709"/>
        <w:rPr>
          <w:lang w:val="en-AU"/>
        </w:rPr>
      </w:pPr>
      <w:r w:rsidRPr="007B1EBC">
        <w:rPr>
          <w:lang w:val="en-AU"/>
        </w:rPr>
        <w:t xml:space="preserve">GSL operating costs related to the ongoing administration, reporting and </w:t>
      </w:r>
      <w:r w:rsidR="006D1642">
        <w:rPr>
          <w:lang w:val="en-AU"/>
        </w:rPr>
        <w:t xml:space="preserve">retail </w:t>
      </w:r>
      <w:r w:rsidRPr="007B1EBC">
        <w:rPr>
          <w:lang w:val="en-AU"/>
        </w:rPr>
        <w:t xml:space="preserve">customer interactions associated with the GSL </w:t>
      </w:r>
      <w:r w:rsidR="006D1642">
        <w:rPr>
          <w:lang w:val="en-AU"/>
        </w:rPr>
        <w:t>Code</w:t>
      </w:r>
      <w:r w:rsidRPr="007B1EBC">
        <w:rPr>
          <w:lang w:val="en-AU"/>
        </w:rPr>
        <w:t>, including</w:t>
      </w:r>
      <w:r w:rsidR="00321ED1">
        <w:rPr>
          <w:lang w:val="en-AU"/>
        </w:rPr>
        <w:t xml:space="preserve"> the</w:t>
      </w:r>
      <w:r w:rsidRPr="007B1EBC">
        <w:rPr>
          <w:lang w:val="en-AU"/>
        </w:rPr>
        <w:t xml:space="preserve"> assessment of </w:t>
      </w:r>
      <w:r w:rsidR="006D1642">
        <w:rPr>
          <w:lang w:val="en-AU"/>
        </w:rPr>
        <w:t xml:space="preserve">retail </w:t>
      </w:r>
      <w:r w:rsidRPr="007B1EBC">
        <w:rPr>
          <w:lang w:val="en-AU"/>
        </w:rPr>
        <w:t xml:space="preserve">customer eligibility, processing of applications, organising payments, recording of </w:t>
      </w:r>
      <w:r w:rsidR="006D1642">
        <w:rPr>
          <w:lang w:val="en-AU"/>
        </w:rPr>
        <w:t xml:space="preserve">GSL </w:t>
      </w:r>
      <w:r w:rsidRPr="007B1EBC">
        <w:rPr>
          <w:lang w:val="en-AU"/>
        </w:rPr>
        <w:t>payments and annual updates of the GSL feeder maps.</w:t>
      </w:r>
    </w:p>
    <w:p w14:paraId="4491424C" w14:textId="1022C0AC" w:rsidR="00C52D39" w:rsidRPr="00C52D39" w:rsidRDefault="004E350C" w:rsidP="000939E6">
      <w:pPr>
        <w:pStyle w:val="NumberLevel2"/>
        <w:numPr>
          <w:ilvl w:val="1"/>
          <w:numId w:val="5"/>
        </w:numPr>
        <w:tabs>
          <w:tab w:val="num" w:pos="709"/>
        </w:tabs>
        <w:ind w:left="709" w:hanging="709"/>
        <w:rPr>
          <w:lang w:val="en-AU"/>
        </w:rPr>
      </w:pPr>
      <w:r w:rsidRPr="00C52D39">
        <w:rPr>
          <w:lang w:val="en-AU"/>
        </w:rPr>
        <w:t xml:space="preserve">PB found that </w:t>
      </w:r>
      <w:r w:rsidR="00C52D39" w:rsidRPr="00C52D39">
        <w:rPr>
          <w:lang w:val="en-AU"/>
        </w:rPr>
        <w:t>PWC Networks</w:t>
      </w:r>
      <w:r w:rsidR="00416AD7">
        <w:rPr>
          <w:lang w:val="en-AU"/>
        </w:rPr>
        <w:t>’</w:t>
      </w:r>
      <w:r w:rsidR="00C52D39" w:rsidRPr="00C52D39">
        <w:rPr>
          <w:lang w:val="en-AU"/>
        </w:rPr>
        <w:t xml:space="preserve"> forecast for </w:t>
      </w:r>
      <w:r w:rsidR="006D1642">
        <w:rPr>
          <w:lang w:val="en-AU"/>
        </w:rPr>
        <w:t xml:space="preserve">GSL </w:t>
      </w:r>
      <w:r w:rsidR="00C52D39" w:rsidRPr="00C52D39">
        <w:rPr>
          <w:lang w:val="en-AU"/>
        </w:rPr>
        <w:t xml:space="preserve">payments to be made to </w:t>
      </w:r>
      <w:r w:rsidR="006D1642">
        <w:rPr>
          <w:lang w:val="en-AU"/>
        </w:rPr>
        <w:t xml:space="preserve">retail </w:t>
      </w:r>
      <w:r w:rsidR="00C52D39" w:rsidRPr="00C52D39">
        <w:rPr>
          <w:lang w:val="en-AU"/>
        </w:rPr>
        <w:t>customers were over-estimated because:</w:t>
      </w:r>
    </w:p>
    <w:p w14:paraId="13A937FA" w14:textId="6BC797A1" w:rsidR="004E350C" w:rsidRPr="00C52D39" w:rsidRDefault="00C52D39" w:rsidP="000939E6">
      <w:pPr>
        <w:pStyle w:val="UtilComBulletText"/>
        <w:tabs>
          <w:tab w:val="clear" w:pos="964"/>
          <w:tab w:val="num" w:pos="1701"/>
        </w:tabs>
        <w:ind w:hanging="255"/>
      </w:pPr>
      <w:r w:rsidRPr="00C52D39">
        <w:t xml:space="preserve">estimated outages were based on actual performance in </w:t>
      </w:r>
      <w:r w:rsidR="006D1642">
        <w:t xml:space="preserve">the </w:t>
      </w:r>
      <w:r w:rsidRPr="00C52D39">
        <w:t>2010-11</w:t>
      </w:r>
      <w:r w:rsidR="006D1642">
        <w:t xml:space="preserve"> regulatory year</w:t>
      </w:r>
      <w:r w:rsidRPr="00C52D39">
        <w:t xml:space="preserve">, a </w:t>
      </w:r>
      <w:r w:rsidR="006D1642">
        <w:t xml:space="preserve">regulatory </w:t>
      </w:r>
      <w:r w:rsidRPr="00C52D39">
        <w:t xml:space="preserve">year of relatively poor reliability performance; and </w:t>
      </w:r>
    </w:p>
    <w:p w14:paraId="5DD5278B" w14:textId="669C4521" w:rsidR="00C52D39" w:rsidRPr="00C52D39" w:rsidRDefault="00C52D39" w:rsidP="000939E6">
      <w:pPr>
        <w:pStyle w:val="UtilComBulletText"/>
        <w:tabs>
          <w:tab w:val="clear" w:pos="964"/>
          <w:tab w:val="num" w:pos="1701"/>
        </w:tabs>
        <w:ind w:hanging="255"/>
      </w:pPr>
      <w:r w:rsidRPr="00C52D39">
        <w:t xml:space="preserve">estimates of the number of </w:t>
      </w:r>
      <w:r w:rsidR="009A046B">
        <w:t xml:space="preserve">retail </w:t>
      </w:r>
      <w:r w:rsidRPr="00C52D39">
        <w:t xml:space="preserve">customers affected by an outage </w:t>
      </w:r>
      <w:r w:rsidR="009A046B">
        <w:t>were</w:t>
      </w:r>
      <w:r w:rsidR="009A046B" w:rsidRPr="00C52D39">
        <w:t xml:space="preserve"> </w:t>
      </w:r>
      <w:r w:rsidRPr="00C52D39">
        <w:t>over</w:t>
      </w:r>
      <w:r w:rsidR="009A046B">
        <w:noBreakHyphen/>
      </w:r>
      <w:r w:rsidRPr="00C52D39">
        <w:t>stated as PWC Networks assume</w:t>
      </w:r>
      <w:r w:rsidR="00E42FA9">
        <w:t>d</w:t>
      </w:r>
      <w:r w:rsidRPr="00C52D39">
        <w:t xml:space="preserve"> that all </w:t>
      </w:r>
      <w:r w:rsidR="009A046B">
        <w:t xml:space="preserve">retail </w:t>
      </w:r>
      <w:r w:rsidRPr="00C52D39">
        <w:t xml:space="preserve">customers on </w:t>
      </w:r>
      <w:r w:rsidR="009A046B">
        <w:t>a</w:t>
      </w:r>
      <w:r w:rsidR="009A046B" w:rsidRPr="00C52D39">
        <w:t xml:space="preserve"> </w:t>
      </w:r>
      <w:r w:rsidRPr="00C52D39">
        <w:t>feeder experience interruption</w:t>
      </w:r>
      <w:r w:rsidR="00321ED1">
        <w:t>s</w:t>
      </w:r>
      <w:r w:rsidRPr="00C52D39">
        <w:t>.</w:t>
      </w:r>
    </w:p>
    <w:p w14:paraId="1AAC5A45" w14:textId="01E3C61C" w:rsidR="002E5C3F" w:rsidRDefault="002E5C3F" w:rsidP="000939E6">
      <w:pPr>
        <w:pStyle w:val="NumberLevel2"/>
        <w:numPr>
          <w:ilvl w:val="1"/>
          <w:numId w:val="5"/>
        </w:numPr>
        <w:tabs>
          <w:tab w:val="num" w:pos="709"/>
        </w:tabs>
        <w:ind w:left="709" w:hanging="709"/>
        <w:rPr>
          <w:lang w:val="en-AU"/>
        </w:rPr>
      </w:pPr>
      <w:r w:rsidRPr="002E5C3F">
        <w:rPr>
          <w:lang w:val="en-AU"/>
        </w:rPr>
        <w:t xml:space="preserve">The </w:t>
      </w:r>
      <w:r w:rsidR="00CB38EF">
        <w:rPr>
          <w:lang w:val="en-AU"/>
        </w:rPr>
        <w:t>Commission</w:t>
      </w:r>
      <w:r w:rsidR="00CB38EF" w:rsidRPr="002E5C3F">
        <w:rPr>
          <w:lang w:val="en-AU"/>
        </w:rPr>
        <w:t xml:space="preserve"> </w:t>
      </w:r>
      <w:r w:rsidRPr="002E5C3F">
        <w:rPr>
          <w:lang w:val="en-AU"/>
        </w:rPr>
        <w:t>accepts that a prudent and efficient network service provider may incur GSL payments in order to meet efficient planning goals</w:t>
      </w:r>
      <w:r w:rsidR="00A84EF7">
        <w:rPr>
          <w:lang w:val="en-AU"/>
        </w:rPr>
        <w:t>.</w:t>
      </w:r>
      <w:r>
        <w:rPr>
          <w:lang w:val="en-AU"/>
        </w:rPr>
        <w:t xml:space="preserve"> </w:t>
      </w:r>
      <w:r w:rsidR="00CB38EF">
        <w:rPr>
          <w:lang w:val="en-AU"/>
        </w:rPr>
        <w:t xml:space="preserve">Planning goals are set to achieve average levels of reliability for all </w:t>
      </w:r>
      <w:r w:rsidR="009A046B">
        <w:rPr>
          <w:lang w:val="en-AU"/>
        </w:rPr>
        <w:t xml:space="preserve">retail </w:t>
      </w:r>
      <w:r w:rsidR="00CB38EF">
        <w:rPr>
          <w:lang w:val="en-AU"/>
        </w:rPr>
        <w:t xml:space="preserve">customers on the </w:t>
      </w:r>
      <w:r w:rsidR="009A046B">
        <w:rPr>
          <w:lang w:val="en-AU"/>
        </w:rPr>
        <w:t xml:space="preserve">electricity </w:t>
      </w:r>
      <w:r w:rsidR="00CB38EF">
        <w:rPr>
          <w:lang w:val="en-AU"/>
        </w:rPr>
        <w:t xml:space="preserve">network. </w:t>
      </w:r>
      <w:r w:rsidR="00EE5B17">
        <w:rPr>
          <w:lang w:val="en-AU"/>
        </w:rPr>
        <w:t xml:space="preserve">It is inevitable that there will always be some </w:t>
      </w:r>
      <w:r w:rsidR="009A046B">
        <w:rPr>
          <w:lang w:val="en-AU"/>
        </w:rPr>
        <w:t xml:space="preserve">retail </w:t>
      </w:r>
      <w:r w:rsidR="00EE5B17">
        <w:rPr>
          <w:lang w:val="en-AU"/>
        </w:rPr>
        <w:t xml:space="preserve">customers who, for whatever reason, will experience bad service, even if the network service provider is meeting the average reliability standards. </w:t>
      </w:r>
      <w:r w:rsidR="00CB38EF">
        <w:rPr>
          <w:lang w:val="en-AU"/>
        </w:rPr>
        <w:t xml:space="preserve">A level of average reliability that result in no GSL payments would </w:t>
      </w:r>
      <w:r w:rsidR="00EE5B17">
        <w:rPr>
          <w:lang w:val="en-AU"/>
        </w:rPr>
        <w:t>indicate</w:t>
      </w:r>
      <w:r w:rsidR="00CB38EF">
        <w:rPr>
          <w:lang w:val="en-AU"/>
        </w:rPr>
        <w:t xml:space="preserve"> over-investment and ‘gold-plating’ of the </w:t>
      </w:r>
      <w:r w:rsidR="009A046B">
        <w:rPr>
          <w:lang w:val="en-AU"/>
        </w:rPr>
        <w:t xml:space="preserve">electricity </w:t>
      </w:r>
      <w:r w:rsidR="00CB38EF">
        <w:rPr>
          <w:lang w:val="en-AU"/>
        </w:rPr>
        <w:t xml:space="preserve">network. </w:t>
      </w:r>
    </w:p>
    <w:p w14:paraId="610FBC2A" w14:textId="4892B056" w:rsidR="00C45093" w:rsidRPr="00222331" w:rsidRDefault="009C1FE3" w:rsidP="000939E6">
      <w:pPr>
        <w:pStyle w:val="NumberLevel2"/>
        <w:numPr>
          <w:ilvl w:val="1"/>
          <w:numId w:val="5"/>
        </w:numPr>
        <w:tabs>
          <w:tab w:val="num" w:pos="709"/>
        </w:tabs>
        <w:ind w:left="709" w:hanging="709"/>
        <w:rPr>
          <w:lang w:val="en-AU"/>
        </w:rPr>
      </w:pPr>
      <w:r>
        <w:rPr>
          <w:lang w:val="en-AU"/>
        </w:rPr>
        <w:t>The</w:t>
      </w:r>
      <w:r w:rsidR="00C45093" w:rsidRPr="00EC1AB1">
        <w:rPr>
          <w:lang w:val="en-AU"/>
        </w:rPr>
        <w:t xml:space="preserve"> Commission </w:t>
      </w:r>
      <w:r w:rsidR="007E07E6" w:rsidRPr="00EC1AB1">
        <w:rPr>
          <w:lang w:val="en-AU"/>
        </w:rPr>
        <w:t>consider</w:t>
      </w:r>
      <w:r w:rsidR="007E07E6">
        <w:rPr>
          <w:lang w:val="en-AU"/>
        </w:rPr>
        <w:t>ed</w:t>
      </w:r>
      <w:r w:rsidR="007E07E6" w:rsidRPr="00EC1AB1">
        <w:rPr>
          <w:lang w:val="en-AU"/>
        </w:rPr>
        <w:t xml:space="preserve"> </w:t>
      </w:r>
      <w:r w:rsidR="00C45093" w:rsidRPr="00EC1AB1">
        <w:rPr>
          <w:lang w:val="en-AU"/>
        </w:rPr>
        <w:t xml:space="preserve">that </w:t>
      </w:r>
      <w:r w:rsidR="009A046B">
        <w:rPr>
          <w:lang w:val="en-AU"/>
        </w:rPr>
        <w:t xml:space="preserve">PWC Networks’ </w:t>
      </w:r>
      <w:r w:rsidR="00C45093">
        <w:rPr>
          <w:lang w:val="en-AU"/>
        </w:rPr>
        <w:t>forecast GSL costs opex</w:t>
      </w:r>
      <w:r w:rsidR="00C45093" w:rsidRPr="00EC1AB1">
        <w:rPr>
          <w:lang w:val="en-AU"/>
        </w:rPr>
        <w:t xml:space="preserve"> should be reduced </w:t>
      </w:r>
      <w:r w:rsidR="00C45093">
        <w:rPr>
          <w:lang w:val="en-AU"/>
        </w:rPr>
        <w:t xml:space="preserve">to levels commensurate with </w:t>
      </w:r>
      <w:r w:rsidR="00EB3245">
        <w:rPr>
          <w:lang w:val="en-AU"/>
        </w:rPr>
        <w:t xml:space="preserve">average </w:t>
      </w:r>
      <w:r w:rsidR="00C45093">
        <w:rPr>
          <w:lang w:val="en-AU"/>
        </w:rPr>
        <w:t>reliability performance</w:t>
      </w:r>
      <w:r w:rsidR="00633CC9">
        <w:rPr>
          <w:lang w:val="en-AU"/>
        </w:rPr>
        <w:t xml:space="preserve"> that meets the standards set by the Commission under the ESS Code</w:t>
      </w:r>
      <w:r w:rsidR="00C45093">
        <w:rPr>
          <w:lang w:val="en-AU"/>
        </w:rPr>
        <w:t>.</w:t>
      </w:r>
    </w:p>
    <w:p w14:paraId="33B292D1" w14:textId="01E55F92" w:rsidR="00B96EAA" w:rsidRPr="00B96EAA" w:rsidRDefault="00E77315" w:rsidP="000939E6">
      <w:pPr>
        <w:pStyle w:val="NumberLevel2"/>
        <w:numPr>
          <w:ilvl w:val="1"/>
          <w:numId w:val="5"/>
        </w:numPr>
        <w:tabs>
          <w:tab w:val="num" w:pos="709"/>
        </w:tabs>
        <w:ind w:left="709" w:hanging="709"/>
        <w:rPr>
          <w:lang w:val="en-AU"/>
        </w:rPr>
      </w:pPr>
      <w:r>
        <w:rPr>
          <w:lang w:val="en-AU"/>
        </w:rPr>
        <w:t xml:space="preserve">No retrospective allowance </w:t>
      </w:r>
      <w:r w:rsidR="00416AD7">
        <w:rPr>
          <w:lang w:val="en-AU"/>
        </w:rPr>
        <w:t xml:space="preserve">was </w:t>
      </w:r>
      <w:r>
        <w:rPr>
          <w:lang w:val="en-AU"/>
        </w:rPr>
        <w:t xml:space="preserve">made for GSL </w:t>
      </w:r>
      <w:r w:rsidR="009A046B">
        <w:rPr>
          <w:lang w:val="en-AU"/>
        </w:rPr>
        <w:t xml:space="preserve">Code </w:t>
      </w:r>
      <w:r>
        <w:rPr>
          <w:lang w:val="en-AU"/>
        </w:rPr>
        <w:t xml:space="preserve">obligations incurred in the </w:t>
      </w:r>
      <w:r w:rsidR="00321ED1">
        <w:rPr>
          <w:lang w:val="en-AU"/>
        </w:rPr>
        <w:br/>
      </w:r>
      <w:r w:rsidR="007E07E6">
        <w:rPr>
          <w:lang w:val="en-AU"/>
        </w:rPr>
        <w:t xml:space="preserve">2009-14 </w:t>
      </w:r>
      <w:r>
        <w:rPr>
          <w:lang w:val="en-AU"/>
        </w:rPr>
        <w:t>regulatory control period. In its recommendation to the Minister for the establishment of a GSL scheme,</w:t>
      </w:r>
      <w:r>
        <w:rPr>
          <w:rStyle w:val="FootnoteReference"/>
          <w:lang w:val="en-AU"/>
        </w:rPr>
        <w:footnoteReference w:id="57"/>
      </w:r>
      <w:r>
        <w:rPr>
          <w:lang w:val="en-AU"/>
        </w:rPr>
        <w:t xml:space="preserve"> the Commission recommended, and PWC</w:t>
      </w:r>
      <w:r w:rsidR="009A046B">
        <w:rPr>
          <w:lang w:val="en-AU"/>
        </w:rPr>
        <w:t> Networks</w:t>
      </w:r>
      <w:r>
        <w:rPr>
          <w:lang w:val="en-AU"/>
        </w:rPr>
        <w:t xml:space="preserve"> agreed, </w:t>
      </w:r>
      <w:r w:rsidR="00B96EAA" w:rsidRPr="00B96EAA">
        <w:rPr>
          <w:lang w:val="en-AU"/>
        </w:rPr>
        <w:t xml:space="preserve">that any GSL payments made </w:t>
      </w:r>
      <w:r w:rsidR="009A046B">
        <w:rPr>
          <w:lang w:val="en-AU"/>
        </w:rPr>
        <w:t>up to and including</w:t>
      </w:r>
      <w:r w:rsidR="009A046B" w:rsidRPr="00B96EAA">
        <w:rPr>
          <w:lang w:val="en-AU"/>
        </w:rPr>
        <w:t xml:space="preserve"> </w:t>
      </w:r>
      <w:r w:rsidR="009A046B">
        <w:rPr>
          <w:lang w:val="en-AU"/>
        </w:rPr>
        <w:t>30 June </w:t>
      </w:r>
      <w:r w:rsidR="00B96EAA" w:rsidRPr="00B96EAA">
        <w:rPr>
          <w:lang w:val="en-AU"/>
        </w:rPr>
        <w:t xml:space="preserve">2014 would come out of PWC Networks profits and that the Commission </w:t>
      </w:r>
      <w:r w:rsidR="00321ED1">
        <w:rPr>
          <w:lang w:val="en-AU"/>
        </w:rPr>
        <w:t>w</w:t>
      </w:r>
      <w:r w:rsidR="00B96EAA" w:rsidRPr="00B96EAA">
        <w:rPr>
          <w:lang w:val="en-AU"/>
        </w:rPr>
        <w:t xml:space="preserve">ould consider if an allowance for GSL payments should be made when assessing the </w:t>
      </w:r>
      <w:r w:rsidR="009A046B">
        <w:rPr>
          <w:lang w:val="en-AU"/>
        </w:rPr>
        <w:t>total</w:t>
      </w:r>
      <w:r w:rsidR="009A046B" w:rsidRPr="00B96EAA">
        <w:rPr>
          <w:lang w:val="en-AU"/>
        </w:rPr>
        <w:t xml:space="preserve"> </w:t>
      </w:r>
      <w:r w:rsidR="00B96EAA" w:rsidRPr="00B96EAA">
        <w:rPr>
          <w:lang w:val="en-AU"/>
        </w:rPr>
        <w:t xml:space="preserve">revenue requirement of </w:t>
      </w:r>
      <w:r w:rsidR="00B63A20" w:rsidRPr="00B96EAA">
        <w:rPr>
          <w:lang w:val="en-AU"/>
        </w:rPr>
        <w:t>PWC</w:t>
      </w:r>
      <w:r w:rsidR="00B63A20">
        <w:rPr>
          <w:lang w:val="en-AU"/>
        </w:rPr>
        <w:t> </w:t>
      </w:r>
      <w:r w:rsidR="00B96EAA" w:rsidRPr="00B96EAA">
        <w:rPr>
          <w:lang w:val="en-AU"/>
        </w:rPr>
        <w:t xml:space="preserve">Networks for the </w:t>
      </w:r>
      <w:r w:rsidR="007E07E6">
        <w:rPr>
          <w:lang w:val="en-AU"/>
        </w:rPr>
        <w:t>2014-19</w:t>
      </w:r>
      <w:r w:rsidR="007E07E6" w:rsidRPr="00B96EAA">
        <w:rPr>
          <w:lang w:val="en-AU"/>
        </w:rPr>
        <w:t xml:space="preserve"> </w:t>
      </w:r>
      <w:r w:rsidR="00B96EAA" w:rsidRPr="00B96EAA">
        <w:rPr>
          <w:lang w:val="en-AU"/>
        </w:rPr>
        <w:t xml:space="preserve">regulatory </w:t>
      </w:r>
      <w:r w:rsidR="009C1FE3">
        <w:rPr>
          <w:lang w:val="en-AU"/>
        </w:rPr>
        <w:t xml:space="preserve">control </w:t>
      </w:r>
      <w:r w:rsidR="00B96EAA" w:rsidRPr="00B96EAA">
        <w:rPr>
          <w:lang w:val="en-AU"/>
        </w:rPr>
        <w:t>period.</w:t>
      </w:r>
    </w:p>
    <w:p w14:paraId="64B7238E" w14:textId="77777777" w:rsidR="00222331" w:rsidRPr="009C1FE3" w:rsidRDefault="00222331" w:rsidP="009C1FE3">
      <w:pPr>
        <w:pStyle w:val="UtilComHeading4"/>
        <w:spacing w:before="120"/>
        <w:rPr>
          <w:b/>
          <w:i w:val="0"/>
          <w:lang w:val="en-AU"/>
        </w:rPr>
      </w:pPr>
      <w:r w:rsidRPr="009C1FE3">
        <w:rPr>
          <w:b/>
          <w:i w:val="0"/>
          <w:lang w:val="en-AU"/>
        </w:rPr>
        <w:t>Corporate and shared services</w:t>
      </w:r>
    </w:p>
    <w:p w14:paraId="60DBF14D" w14:textId="164622AC" w:rsidR="001A7915" w:rsidRDefault="005276EC" w:rsidP="000939E6">
      <w:pPr>
        <w:pStyle w:val="NumberLevel2"/>
        <w:numPr>
          <w:ilvl w:val="1"/>
          <w:numId w:val="5"/>
        </w:numPr>
        <w:tabs>
          <w:tab w:val="num" w:pos="709"/>
        </w:tabs>
        <w:ind w:left="709" w:hanging="709"/>
        <w:rPr>
          <w:lang w:val="en-AU"/>
        </w:rPr>
      </w:pPr>
      <w:r>
        <w:rPr>
          <w:lang w:val="en-AU"/>
        </w:rPr>
        <w:t>Corporate and shared services cover</w:t>
      </w:r>
      <w:r w:rsidR="005E4FF6">
        <w:rPr>
          <w:lang w:val="en-AU"/>
        </w:rPr>
        <w:t xml:space="preserve"> the portion of corporate overheads allocated to PWC Networks. This is PWC Networks</w:t>
      </w:r>
      <w:r w:rsidR="00A84EF7">
        <w:rPr>
          <w:lang w:val="en-AU"/>
        </w:rPr>
        <w:t>’</w:t>
      </w:r>
      <w:r w:rsidR="005E4FF6">
        <w:rPr>
          <w:lang w:val="en-AU"/>
        </w:rPr>
        <w:t xml:space="preserve"> share of the </w:t>
      </w:r>
      <w:r w:rsidR="001A7915">
        <w:rPr>
          <w:lang w:val="en-AU"/>
        </w:rPr>
        <w:t xml:space="preserve">functions undertaken </w:t>
      </w:r>
      <w:r w:rsidR="004B5A6B">
        <w:rPr>
          <w:lang w:val="en-AU"/>
        </w:rPr>
        <w:t>by PWC at the corporate</w:t>
      </w:r>
      <w:r w:rsidR="001A7915">
        <w:rPr>
          <w:lang w:val="en-AU"/>
        </w:rPr>
        <w:t xml:space="preserve"> level such as human resources and recruitment, finance, economics and legal services. Corporate and shared services costs account</w:t>
      </w:r>
      <w:r w:rsidR="00321ED1">
        <w:rPr>
          <w:lang w:val="en-AU"/>
        </w:rPr>
        <w:t>ed</w:t>
      </w:r>
      <w:r w:rsidR="001A7915">
        <w:rPr>
          <w:lang w:val="en-AU"/>
        </w:rPr>
        <w:t xml:space="preserve"> for </w:t>
      </w:r>
      <w:r w:rsidR="004B5A6B">
        <w:rPr>
          <w:lang w:val="en-AU"/>
        </w:rPr>
        <w:t>21 per </w:t>
      </w:r>
      <w:r w:rsidR="004F47FE">
        <w:rPr>
          <w:lang w:val="en-AU"/>
        </w:rPr>
        <w:t>cent</w:t>
      </w:r>
      <w:r w:rsidR="001A7915">
        <w:rPr>
          <w:lang w:val="en-AU"/>
        </w:rPr>
        <w:t xml:space="preserve"> of </w:t>
      </w:r>
      <w:r w:rsidR="004B5A6B">
        <w:rPr>
          <w:lang w:val="en-AU"/>
        </w:rPr>
        <w:t xml:space="preserve">PWC Networks’ </w:t>
      </w:r>
      <w:r w:rsidR="001A7915">
        <w:rPr>
          <w:lang w:val="en-AU"/>
        </w:rPr>
        <w:t>forecast opex.</w:t>
      </w:r>
    </w:p>
    <w:p w14:paraId="70C4F455" w14:textId="29D476E8" w:rsidR="00E336B1" w:rsidRDefault="00CD3005" w:rsidP="000939E6">
      <w:pPr>
        <w:pStyle w:val="NumberLevel2"/>
        <w:numPr>
          <w:ilvl w:val="1"/>
          <w:numId w:val="5"/>
        </w:numPr>
        <w:tabs>
          <w:tab w:val="num" w:pos="709"/>
        </w:tabs>
        <w:ind w:left="709" w:hanging="709"/>
        <w:rPr>
          <w:lang w:val="en-AU"/>
        </w:rPr>
      </w:pPr>
      <w:r>
        <w:rPr>
          <w:lang w:val="en-AU"/>
        </w:rPr>
        <w:t xml:space="preserve">There were two step changes in </w:t>
      </w:r>
      <w:r w:rsidR="004B5A6B">
        <w:rPr>
          <w:lang w:val="en-AU"/>
        </w:rPr>
        <w:t xml:space="preserve">PWC Networks’ </w:t>
      </w:r>
      <w:r>
        <w:rPr>
          <w:lang w:val="en-AU"/>
        </w:rPr>
        <w:t xml:space="preserve">corporate and shared service opex in the </w:t>
      </w:r>
      <w:r w:rsidR="007E07E6">
        <w:rPr>
          <w:lang w:val="en-AU"/>
        </w:rPr>
        <w:t xml:space="preserve">2009-14 </w:t>
      </w:r>
      <w:r>
        <w:rPr>
          <w:lang w:val="en-AU"/>
        </w:rPr>
        <w:t>regulatory control period. The first occurred from</w:t>
      </w:r>
      <w:r w:rsidR="00321ED1">
        <w:rPr>
          <w:lang w:val="en-AU"/>
        </w:rPr>
        <w:t xml:space="preserve"> the</w:t>
      </w:r>
      <w:r>
        <w:rPr>
          <w:lang w:val="en-AU"/>
        </w:rPr>
        <w:t xml:space="preserve"> 2009-10 to </w:t>
      </w:r>
      <w:r w:rsidR="00321ED1">
        <w:rPr>
          <w:lang w:val="en-AU"/>
        </w:rPr>
        <w:br/>
      </w:r>
      <w:r>
        <w:rPr>
          <w:lang w:val="en-AU"/>
        </w:rPr>
        <w:t xml:space="preserve">2010-11 </w:t>
      </w:r>
      <w:r w:rsidR="00321ED1">
        <w:rPr>
          <w:lang w:val="en-AU"/>
        </w:rPr>
        <w:t xml:space="preserve">regulatory years </w:t>
      </w:r>
      <w:r>
        <w:rPr>
          <w:lang w:val="en-AU"/>
        </w:rPr>
        <w:t xml:space="preserve">and was the result of PWC </w:t>
      </w:r>
      <w:r w:rsidR="00A44F35">
        <w:rPr>
          <w:lang w:val="en-AU"/>
        </w:rPr>
        <w:t xml:space="preserve">Networks’ </w:t>
      </w:r>
      <w:r>
        <w:rPr>
          <w:lang w:val="en-AU"/>
        </w:rPr>
        <w:t>share of an increase in the total cost of the Employee and Organisational Services corporate support unit plus an increase in PWC Networks’ relative share of this allocation due to an increase in personnel related to the RAMP program.</w:t>
      </w:r>
      <w:r w:rsidR="00E336B1">
        <w:rPr>
          <w:lang w:val="en-AU"/>
        </w:rPr>
        <w:t xml:space="preserve"> The second step change from </w:t>
      </w:r>
      <w:r w:rsidR="00321ED1">
        <w:rPr>
          <w:lang w:val="en-AU"/>
        </w:rPr>
        <w:t xml:space="preserve">the </w:t>
      </w:r>
      <w:r w:rsidR="00321ED1">
        <w:rPr>
          <w:lang w:val="en-AU"/>
        </w:rPr>
        <w:br/>
      </w:r>
      <w:r w:rsidR="00E336B1">
        <w:rPr>
          <w:lang w:val="en-AU"/>
        </w:rPr>
        <w:t>2011-12 to 2012</w:t>
      </w:r>
      <w:r w:rsidR="004F47FE">
        <w:rPr>
          <w:lang w:val="en-AU"/>
        </w:rPr>
        <w:t>-2</w:t>
      </w:r>
      <w:r w:rsidR="00E336B1">
        <w:rPr>
          <w:lang w:val="en-AU"/>
        </w:rPr>
        <w:t>013</w:t>
      </w:r>
      <w:r w:rsidR="00321ED1">
        <w:rPr>
          <w:lang w:val="en-AU"/>
        </w:rPr>
        <w:t xml:space="preserve"> regulatory years</w:t>
      </w:r>
      <w:r w:rsidR="00E336B1">
        <w:rPr>
          <w:lang w:val="en-AU"/>
        </w:rPr>
        <w:t xml:space="preserve"> was a result of the share of the new </w:t>
      </w:r>
      <w:r w:rsidR="004F47FE">
        <w:rPr>
          <w:lang w:val="en-AU"/>
        </w:rPr>
        <w:t xml:space="preserve">asset management system </w:t>
      </w:r>
      <w:r w:rsidR="00E336B1">
        <w:rPr>
          <w:lang w:val="en-AU"/>
        </w:rPr>
        <w:t xml:space="preserve">and its software depreciation expense allocated to PWC Networks. </w:t>
      </w:r>
      <w:r w:rsidR="001A7915">
        <w:rPr>
          <w:lang w:val="en-AU"/>
        </w:rPr>
        <w:t xml:space="preserve">Costs </w:t>
      </w:r>
      <w:r w:rsidR="004B5A6B">
        <w:rPr>
          <w:lang w:val="en-AU"/>
        </w:rPr>
        <w:t xml:space="preserve">were </w:t>
      </w:r>
      <w:r w:rsidR="001A7915">
        <w:rPr>
          <w:lang w:val="en-AU"/>
        </w:rPr>
        <w:t xml:space="preserve">forecast to decrease </w:t>
      </w:r>
      <w:r w:rsidR="00E336B1">
        <w:rPr>
          <w:lang w:val="en-AU"/>
        </w:rPr>
        <w:t xml:space="preserve">over the early part of the </w:t>
      </w:r>
      <w:r w:rsidR="007669D5">
        <w:rPr>
          <w:lang w:val="en-AU"/>
        </w:rPr>
        <w:t xml:space="preserve">2014-19 </w:t>
      </w:r>
      <w:r w:rsidR="00E336B1">
        <w:rPr>
          <w:lang w:val="en-AU"/>
        </w:rPr>
        <w:t xml:space="preserve">regulatory control period, </w:t>
      </w:r>
      <w:r w:rsidR="001A7915">
        <w:rPr>
          <w:lang w:val="en-AU"/>
        </w:rPr>
        <w:t xml:space="preserve">back to </w:t>
      </w:r>
      <w:r w:rsidR="00321ED1">
        <w:rPr>
          <w:lang w:val="en-AU"/>
        </w:rPr>
        <w:t xml:space="preserve">the </w:t>
      </w:r>
      <w:r w:rsidR="00C41C13">
        <w:rPr>
          <w:lang w:val="en-AU"/>
        </w:rPr>
        <w:t>2010</w:t>
      </w:r>
      <w:r w:rsidR="004B5A6B">
        <w:rPr>
          <w:lang w:val="en-AU"/>
        </w:rPr>
        <w:noBreakHyphen/>
      </w:r>
      <w:r w:rsidR="00C41C13">
        <w:rPr>
          <w:lang w:val="en-AU"/>
        </w:rPr>
        <w:t>11</w:t>
      </w:r>
      <w:r w:rsidR="00321ED1">
        <w:rPr>
          <w:lang w:val="en-AU"/>
        </w:rPr>
        <w:t xml:space="preserve"> regulatory year </w:t>
      </w:r>
      <w:r w:rsidR="001A7915">
        <w:rPr>
          <w:lang w:val="en-AU"/>
        </w:rPr>
        <w:t xml:space="preserve">levels </w:t>
      </w:r>
      <w:r w:rsidR="00E336B1">
        <w:rPr>
          <w:lang w:val="en-AU"/>
        </w:rPr>
        <w:t>by 2016-17</w:t>
      </w:r>
      <w:r w:rsidR="00321ED1">
        <w:rPr>
          <w:lang w:val="en-AU"/>
        </w:rPr>
        <w:t xml:space="preserve"> regulatory year</w:t>
      </w:r>
      <w:r w:rsidR="00E336B1">
        <w:rPr>
          <w:lang w:val="en-AU"/>
        </w:rPr>
        <w:t>.</w:t>
      </w:r>
    </w:p>
    <w:p w14:paraId="4EDE4728" w14:textId="32A2C46A" w:rsidR="00222331" w:rsidRDefault="00E336B1" w:rsidP="000939E6">
      <w:pPr>
        <w:pStyle w:val="NumberLevel2"/>
        <w:numPr>
          <w:ilvl w:val="1"/>
          <w:numId w:val="5"/>
        </w:numPr>
        <w:tabs>
          <w:tab w:val="num" w:pos="709"/>
        </w:tabs>
        <w:ind w:left="709" w:hanging="709"/>
        <w:rPr>
          <w:lang w:val="en-AU"/>
        </w:rPr>
      </w:pPr>
      <w:r>
        <w:rPr>
          <w:lang w:val="en-AU"/>
        </w:rPr>
        <w:t xml:space="preserve">The NTMEU argued that it did not accept </w:t>
      </w:r>
      <w:r w:rsidR="004B5A6B">
        <w:rPr>
          <w:lang w:val="en-AU"/>
        </w:rPr>
        <w:t>(</w:t>
      </w:r>
      <w:r>
        <w:rPr>
          <w:lang w:val="en-AU"/>
        </w:rPr>
        <w:t>as a matter of principle</w:t>
      </w:r>
      <w:r w:rsidR="004B5A6B">
        <w:rPr>
          <w:lang w:val="en-AU"/>
        </w:rPr>
        <w:t xml:space="preserve">) </w:t>
      </w:r>
      <w:r>
        <w:rPr>
          <w:lang w:val="en-AU"/>
        </w:rPr>
        <w:t xml:space="preserve">that the demand made on corporate services by PWC Networks </w:t>
      </w:r>
      <w:r w:rsidR="004B5A6B">
        <w:rPr>
          <w:lang w:val="en-AU"/>
        </w:rPr>
        <w:t xml:space="preserve">had </w:t>
      </w:r>
      <w:r>
        <w:rPr>
          <w:lang w:val="en-AU"/>
        </w:rPr>
        <w:t>increased as a result of the gr</w:t>
      </w:r>
      <w:r w:rsidR="00C41C13">
        <w:rPr>
          <w:lang w:val="en-AU"/>
        </w:rPr>
        <w:t>ow</w:t>
      </w:r>
      <w:r>
        <w:rPr>
          <w:lang w:val="en-AU"/>
        </w:rPr>
        <w:t xml:space="preserve">th of </w:t>
      </w:r>
      <w:r w:rsidR="004B5A6B">
        <w:rPr>
          <w:lang w:val="en-AU"/>
        </w:rPr>
        <w:t xml:space="preserve">PWC Networks’ electricity </w:t>
      </w:r>
      <w:r>
        <w:rPr>
          <w:lang w:val="en-AU"/>
        </w:rPr>
        <w:t xml:space="preserve">network. The NTMEU expressed concern that PWC might maximise the allocation of overhead costs to </w:t>
      </w:r>
      <w:r w:rsidR="004B5A6B">
        <w:rPr>
          <w:lang w:val="en-AU"/>
        </w:rPr>
        <w:t>PWC Networks</w:t>
      </w:r>
      <w:r>
        <w:rPr>
          <w:lang w:val="en-AU"/>
        </w:rPr>
        <w:t xml:space="preserve"> so as to minim</w:t>
      </w:r>
      <w:r w:rsidR="00C41C13">
        <w:rPr>
          <w:lang w:val="en-AU"/>
        </w:rPr>
        <w:t>i</w:t>
      </w:r>
      <w:r>
        <w:rPr>
          <w:lang w:val="en-AU"/>
        </w:rPr>
        <w:t>se the overhead share carried by its unregulated businesses</w:t>
      </w:r>
      <w:r w:rsidR="001A7915">
        <w:rPr>
          <w:lang w:val="en-AU"/>
        </w:rPr>
        <w:t>.</w:t>
      </w:r>
    </w:p>
    <w:p w14:paraId="405CA11F" w14:textId="613754E6" w:rsidR="00E336B1" w:rsidRPr="00E336B1" w:rsidRDefault="00E336B1" w:rsidP="000939E6">
      <w:pPr>
        <w:pStyle w:val="NumberLevel2"/>
        <w:numPr>
          <w:ilvl w:val="1"/>
          <w:numId w:val="5"/>
        </w:numPr>
        <w:tabs>
          <w:tab w:val="num" w:pos="709"/>
        </w:tabs>
        <w:ind w:left="709" w:hanging="709"/>
        <w:rPr>
          <w:lang w:val="en-AU"/>
        </w:rPr>
      </w:pPr>
      <w:r>
        <w:rPr>
          <w:lang w:val="en-AU"/>
        </w:rPr>
        <w:t xml:space="preserve">The Commission discussed the CAM provided by PWC in Chapter </w:t>
      </w:r>
      <w:r w:rsidR="004B5A6B">
        <w:rPr>
          <w:lang w:val="en-AU"/>
        </w:rPr>
        <w:t xml:space="preserve">5 </w:t>
      </w:r>
      <w:r>
        <w:rPr>
          <w:lang w:val="en-AU"/>
        </w:rPr>
        <w:t xml:space="preserve">of this </w:t>
      </w:r>
      <w:r w:rsidR="004B5A6B">
        <w:rPr>
          <w:lang w:val="en-AU"/>
        </w:rPr>
        <w:t>Statement of Reasons</w:t>
      </w:r>
      <w:r>
        <w:rPr>
          <w:lang w:val="en-AU"/>
        </w:rPr>
        <w:t xml:space="preserve">. The Commission </w:t>
      </w:r>
      <w:r w:rsidR="007E07E6">
        <w:rPr>
          <w:lang w:val="en-AU"/>
        </w:rPr>
        <w:t xml:space="preserve">was </w:t>
      </w:r>
      <w:r>
        <w:rPr>
          <w:lang w:val="en-AU"/>
        </w:rPr>
        <w:t xml:space="preserve">satisfied that </w:t>
      </w:r>
      <w:r w:rsidRPr="00891D4A">
        <w:rPr>
          <w:lang w:val="en-AU"/>
        </w:rPr>
        <w:t>the</w:t>
      </w:r>
      <w:r w:rsidRPr="00F667CE">
        <w:rPr>
          <w:lang w:val="en-AU"/>
        </w:rPr>
        <w:t xml:space="preserve"> </w:t>
      </w:r>
      <w:r w:rsidR="004B5A6B">
        <w:rPr>
          <w:lang w:val="en-AU"/>
        </w:rPr>
        <w:t xml:space="preserve">cost </w:t>
      </w:r>
      <w:r w:rsidRPr="00F667CE">
        <w:rPr>
          <w:lang w:val="en-AU"/>
        </w:rPr>
        <w:t xml:space="preserve">allocation method and rationale </w:t>
      </w:r>
      <w:r w:rsidR="004B5A6B">
        <w:rPr>
          <w:lang w:val="en-AU"/>
        </w:rPr>
        <w:t xml:space="preserve">applied by PWC Networks </w:t>
      </w:r>
      <w:r>
        <w:rPr>
          <w:lang w:val="en-AU"/>
        </w:rPr>
        <w:t>are</w:t>
      </w:r>
      <w:r w:rsidRPr="0088050B">
        <w:rPr>
          <w:lang w:val="en-AU"/>
        </w:rPr>
        <w:t xml:space="preserve"> based on a suitable driver for each allocation</w:t>
      </w:r>
      <w:r>
        <w:rPr>
          <w:lang w:val="en-AU"/>
        </w:rPr>
        <w:t>.</w:t>
      </w:r>
    </w:p>
    <w:p w14:paraId="3C9E0910" w14:textId="22C0E521" w:rsidR="001A7915" w:rsidRPr="00222331" w:rsidRDefault="004F47FE" w:rsidP="000939E6">
      <w:pPr>
        <w:pStyle w:val="NumberLevel2"/>
        <w:numPr>
          <w:ilvl w:val="1"/>
          <w:numId w:val="5"/>
        </w:numPr>
        <w:tabs>
          <w:tab w:val="num" w:pos="709"/>
        </w:tabs>
        <w:ind w:left="709" w:hanging="709"/>
        <w:rPr>
          <w:lang w:val="en-AU"/>
        </w:rPr>
      </w:pPr>
      <w:r>
        <w:rPr>
          <w:lang w:val="en-AU"/>
        </w:rPr>
        <w:t>The</w:t>
      </w:r>
      <w:r w:rsidR="001A7915" w:rsidRPr="00ED73AD">
        <w:rPr>
          <w:lang w:val="en-AU"/>
        </w:rPr>
        <w:t xml:space="preserve"> Commission </w:t>
      </w:r>
      <w:r w:rsidR="007E07E6" w:rsidRPr="00ED73AD">
        <w:rPr>
          <w:lang w:val="en-AU"/>
        </w:rPr>
        <w:t>consider</w:t>
      </w:r>
      <w:r w:rsidR="007E07E6">
        <w:rPr>
          <w:lang w:val="en-AU"/>
        </w:rPr>
        <w:t>ed</w:t>
      </w:r>
      <w:r w:rsidR="007E07E6" w:rsidRPr="00ED73AD">
        <w:rPr>
          <w:lang w:val="en-AU"/>
        </w:rPr>
        <w:t xml:space="preserve"> </w:t>
      </w:r>
      <w:r w:rsidR="001A7915">
        <w:rPr>
          <w:lang w:val="en-AU"/>
        </w:rPr>
        <w:t xml:space="preserve">that </w:t>
      </w:r>
      <w:r w:rsidR="004B5A6B">
        <w:rPr>
          <w:lang w:val="en-AU"/>
        </w:rPr>
        <w:t xml:space="preserve">PWC Networks’ </w:t>
      </w:r>
      <w:r w:rsidR="001A7915">
        <w:rPr>
          <w:lang w:val="en-AU"/>
        </w:rPr>
        <w:t xml:space="preserve">forecast corporate and shared services opex </w:t>
      </w:r>
      <w:r w:rsidR="007E07E6">
        <w:rPr>
          <w:lang w:val="en-AU"/>
        </w:rPr>
        <w:t xml:space="preserve">was </w:t>
      </w:r>
      <w:r>
        <w:rPr>
          <w:lang w:val="en-AU"/>
        </w:rPr>
        <w:t>efficient</w:t>
      </w:r>
      <w:r w:rsidR="001A7915">
        <w:rPr>
          <w:lang w:val="en-AU"/>
        </w:rPr>
        <w:t>.</w:t>
      </w:r>
    </w:p>
    <w:p w14:paraId="15CE8CBF" w14:textId="77777777" w:rsidR="00222331" w:rsidRPr="004F47FE" w:rsidRDefault="00222331" w:rsidP="004F47FE">
      <w:pPr>
        <w:pStyle w:val="UtilComHeading4"/>
        <w:spacing w:before="120"/>
        <w:rPr>
          <w:b/>
          <w:i w:val="0"/>
          <w:lang w:val="en-AU"/>
        </w:rPr>
      </w:pPr>
      <w:r w:rsidRPr="004F47FE">
        <w:rPr>
          <w:b/>
          <w:i w:val="0"/>
          <w:lang w:val="en-AU"/>
        </w:rPr>
        <w:t>Other</w:t>
      </w:r>
    </w:p>
    <w:p w14:paraId="2FFA3E60" w14:textId="56E26B43" w:rsidR="001D23B4" w:rsidRDefault="001D23B4" w:rsidP="000939E6">
      <w:pPr>
        <w:pStyle w:val="NumberLevel2"/>
        <w:numPr>
          <w:ilvl w:val="1"/>
          <w:numId w:val="5"/>
        </w:numPr>
        <w:ind w:left="709" w:hanging="709"/>
        <w:rPr>
          <w:lang w:val="en-AU"/>
        </w:rPr>
      </w:pPr>
      <w:r>
        <w:rPr>
          <w:lang w:val="en-AU"/>
        </w:rPr>
        <w:t>Other costs account</w:t>
      </w:r>
      <w:r w:rsidR="00321ED1">
        <w:rPr>
          <w:lang w:val="en-AU"/>
        </w:rPr>
        <w:t>ed</w:t>
      </w:r>
      <w:r>
        <w:rPr>
          <w:lang w:val="en-AU"/>
        </w:rPr>
        <w:t xml:space="preserve"> for 0.</w:t>
      </w:r>
      <w:r w:rsidR="004B5A6B">
        <w:rPr>
          <w:lang w:val="en-AU"/>
        </w:rPr>
        <w:t>2 per </w:t>
      </w:r>
      <w:r w:rsidR="004F47FE">
        <w:rPr>
          <w:lang w:val="en-AU"/>
        </w:rPr>
        <w:t xml:space="preserve">cent </w:t>
      </w:r>
      <w:r>
        <w:rPr>
          <w:lang w:val="en-AU"/>
        </w:rPr>
        <w:t xml:space="preserve">of </w:t>
      </w:r>
      <w:r w:rsidR="004B5A6B">
        <w:rPr>
          <w:lang w:val="en-AU"/>
        </w:rPr>
        <w:t xml:space="preserve">PWC Networks’ </w:t>
      </w:r>
      <w:r>
        <w:rPr>
          <w:lang w:val="en-AU"/>
        </w:rPr>
        <w:t>forecast opex.</w:t>
      </w:r>
    </w:p>
    <w:p w14:paraId="2E37AB30" w14:textId="5D22FA34" w:rsidR="001D23B4" w:rsidRPr="00222331" w:rsidRDefault="004F47FE" w:rsidP="000939E6">
      <w:pPr>
        <w:pStyle w:val="NumberLevel2"/>
        <w:numPr>
          <w:ilvl w:val="1"/>
          <w:numId w:val="5"/>
        </w:numPr>
        <w:ind w:left="709" w:hanging="709"/>
        <w:rPr>
          <w:lang w:val="en-AU"/>
        </w:rPr>
      </w:pPr>
      <w:r>
        <w:rPr>
          <w:lang w:val="en-AU"/>
        </w:rPr>
        <w:t>The</w:t>
      </w:r>
      <w:r w:rsidR="001D23B4" w:rsidRPr="00ED73AD">
        <w:rPr>
          <w:lang w:val="en-AU"/>
        </w:rPr>
        <w:t xml:space="preserve"> Commission </w:t>
      </w:r>
      <w:r w:rsidR="007E07E6" w:rsidRPr="00ED73AD">
        <w:rPr>
          <w:lang w:val="en-AU"/>
        </w:rPr>
        <w:t>consider</w:t>
      </w:r>
      <w:r w:rsidR="007E07E6">
        <w:rPr>
          <w:lang w:val="en-AU"/>
        </w:rPr>
        <w:t>ed</w:t>
      </w:r>
      <w:r w:rsidR="007E07E6" w:rsidRPr="00ED73AD">
        <w:rPr>
          <w:lang w:val="en-AU"/>
        </w:rPr>
        <w:t xml:space="preserve"> </w:t>
      </w:r>
      <w:r w:rsidR="001D23B4">
        <w:rPr>
          <w:lang w:val="en-AU"/>
        </w:rPr>
        <w:t xml:space="preserve">that </w:t>
      </w:r>
      <w:r w:rsidR="004B5A6B">
        <w:rPr>
          <w:lang w:val="en-AU"/>
        </w:rPr>
        <w:t xml:space="preserve">PWC Networks’ </w:t>
      </w:r>
      <w:r w:rsidR="001D23B4">
        <w:rPr>
          <w:lang w:val="en-AU"/>
        </w:rPr>
        <w:t xml:space="preserve">forecast other opex </w:t>
      </w:r>
      <w:r w:rsidR="007E07E6">
        <w:rPr>
          <w:lang w:val="en-AU"/>
        </w:rPr>
        <w:t xml:space="preserve">was </w:t>
      </w:r>
      <w:r>
        <w:rPr>
          <w:lang w:val="en-AU"/>
        </w:rPr>
        <w:t>efficient</w:t>
      </w:r>
      <w:r w:rsidR="001D23B4">
        <w:rPr>
          <w:lang w:val="en-AU"/>
        </w:rPr>
        <w:t>.</w:t>
      </w:r>
    </w:p>
    <w:p w14:paraId="28AF20C3" w14:textId="77777777" w:rsidR="006C76B6" w:rsidRPr="00222331" w:rsidRDefault="006C76B6" w:rsidP="006C76B6">
      <w:pPr>
        <w:pStyle w:val="UtilComHeading3"/>
        <w:rPr>
          <w:lang w:val="en-AU"/>
        </w:rPr>
      </w:pPr>
      <w:r>
        <w:rPr>
          <w:lang w:val="en-AU"/>
        </w:rPr>
        <w:t>Maintenance costs</w:t>
      </w:r>
    </w:p>
    <w:p w14:paraId="6188A7E3" w14:textId="2854F726" w:rsidR="00D81CC2" w:rsidRDefault="00D81CC2" w:rsidP="000939E6">
      <w:pPr>
        <w:pStyle w:val="NumberLevel2"/>
        <w:numPr>
          <w:ilvl w:val="1"/>
          <w:numId w:val="5"/>
        </w:numPr>
        <w:tabs>
          <w:tab w:val="num" w:pos="709"/>
        </w:tabs>
        <w:ind w:left="709" w:hanging="709"/>
        <w:rPr>
          <w:lang w:val="en-AU"/>
        </w:rPr>
      </w:pPr>
      <w:r w:rsidRPr="00D81CC2">
        <w:rPr>
          <w:lang w:val="en-AU"/>
        </w:rPr>
        <w:t xml:space="preserve">PWC Networks developed its forecast for maintenance costs </w:t>
      </w:r>
      <w:r w:rsidR="00F67344" w:rsidRPr="00D81CC2">
        <w:rPr>
          <w:lang w:val="en-AU"/>
        </w:rPr>
        <w:t xml:space="preserve">using a </w:t>
      </w:r>
      <w:r w:rsidR="00A15280">
        <w:rPr>
          <w:lang w:val="en-AU"/>
        </w:rPr>
        <w:t>’</w:t>
      </w:r>
      <w:r w:rsidR="00F67344" w:rsidRPr="00D81CC2">
        <w:rPr>
          <w:lang w:val="en-AU"/>
        </w:rPr>
        <w:t>bottom up</w:t>
      </w:r>
      <w:r w:rsidR="005276EC">
        <w:rPr>
          <w:lang w:val="en-AU"/>
        </w:rPr>
        <w:t>’</w:t>
      </w:r>
      <w:r w:rsidR="00A15280" w:rsidRPr="00D81CC2">
        <w:rPr>
          <w:lang w:val="en-AU"/>
        </w:rPr>
        <w:t xml:space="preserve"> </w:t>
      </w:r>
      <w:r w:rsidR="00F67344" w:rsidRPr="00D81CC2">
        <w:rPr>
          <w:lang w:val="en-AU"/>
        </w:rPr>
        <w:t xml:space="preserve">approach. </w:t>
      </w:r>
    </w:p>
    <w:p w14:paraId="529DA181" w14:textId="7D811926" w:rsidR="00F67344" w:rsidRPr="00D81CC2" w:rsidRDefault="00D81CC2" w:rsidP="000939E6">
      <w:pPr>
        <w:pStyle w:val="NumberLevel2"/>
        <w:numPr>
          <w:ilvl w:val="1"/>
          <w:numId w:val="5"/>
        </w:numPr>
        <w:tabs>
          <w:tab w:val="num" w:pos="709"/>
        </w:tabs>
        <w:ind w:left="709" w:hanging="709"/>
        <w:rPr>
          <w:lang w:val="en-AU"/>
        </w:rPr>
      </w:pPr>
      <w:r>
        <w:rPr>
          <w:lang w:val="en-AU"/>
        </w:rPr>
        <w:t xml:space="preserve">PWC Networks </w:t>
      </w:r>
      <w:r w:rsidR="00A15280">
        <w:rPr>
          <w:lang w:val="en-AU"/>
        </w:rPr>
        <w:t xml:space="preserve">submitted </w:t>
      </w:r>
      <w:r>
        <w:rPr>
          <w:lang w:val="en-AU"/>
        </w:rPr>
        <w:t>that t</w:t>
      </w:r>
      <w:r w:rsidR="00F67344" w:rsidRPr="00D81CC2">
        <w:rPr>
          <w:lang w:val="en-AU"/>
        </w:rPr>
        <w:t xml:space="preserve">he use of historical trends in overall expenditure </w:t>
      </w:r>
      <w:r w:rsidR="007E07E6">
        <w:rPr>
          <w:lang w:val="en-AU"/>
        </w:rPr>
        <w:t xml:space="preserve">was </w:t>
      </w:r>
      <w:r>
        <w:rPr>
          <w:lang w:val="en-AU"/>
        </w:rPr>
        <w:t>not</w:t>
      </w:r>
      <w:r w:rsidR="00F67344" w:rsidRPr="00D81CC2">
        <w:rPr>
          <w:lang w:val="en-AU"/>
        </w:rPr>
        <w:t xml:space="preserve"> appropriate, due to significant changes in cost recording methodologies during the </w:t>
      </w:r>
      <w:r w:rsidR="007E07E6">
        <w:rPr>
          <w:lang w:val="en-AU"/>
        </w:rPr>
        <w:t>2009-14</w:t>
      </w:r>
      <w:r w:rsidR="007E07E6" w:rsidRPr="00D81CC2">
        <w:rPr>
          <w:lang w:val="en-AU"/>
        </w:rPr>
        <w:t xml:space="preserve"> </w:t>
      </w:r>
      <w:r w:rsidR="00F67344" w:rsidRPr="00D81CC2">
        <w:rPr>
          <w:lang w:val="en-AU"/>
        </w:rPr>
        <w:t xml:space="preserve">regulatory control period. In addition, historical expenditure trends </w:t>
      </w:r>
      <w:r w:rsidR="00D534BC">
        <w:rPr>
          <w:lang w:val="en-AU"/>
        </w:rPr>
        <w:t>were</w:t>
      </w:r>
      <w:r w:rsidR="00D534BC" w:rsidRPr="00D81CC2">
        <w:rPr>
          <w:lang w:val="en-AU"/>
        </w:rPr>
        <w:t xml:space="preserve"> </w:t>
      </w:r>
      <w:r w:rsidR="00F67344" w:rsidRPr="00D81CC2">
        <w:rPr>
          <w:lang w:val="en-AU"/>
        </w:rPr>
        <w:t>not necessarily a good indication of future maintenance requirements.</w:t>
      </w:r>
    </w:p>
    <w:p w14:paraId="0449BD3D" w14:textId="77777777" w:rsidR="00222331" w:rsidRPr="00A15280" w:rsidRDefault="00222331" w:rsidP="000939E6">
      <w:pPr>
        <w:pStyle w:val="UtilComHeading4"/>
        <w:spacing w:before="120"/>
        <w:rPr>
          <w:b/>
          <w:i w:val="0"/>
          <w:lang w:val="en-AU"/>
        </w:rPr>
      </w:pPr>
      <w:r w:rsidRPr="00A15280">
        <w:rPr>
          <w:b/>
          <w:i w:val="0"/>
          <w:lang w:val="en-AU"/>
        </w:rPr>
        <w:t>Preventative maintenance</w:t>
      </w:r>
    </w:p>
    <w:p w14:paraId="1BED8BCE" w14:textId="0D88D2D1" w:rsidR="00D81CC2" w:rsidRDefault="00D81CC2" w:rsidP="000939E6">
      <w:pPr>
        <w:pStyle w:val="ListParagraph"/>
        <w:numPr>
          <w:ilvl w:val="1"/>
          <w:numId w:val="5"/>
        </w:numPr>
        <w:tabs>
          <w:tab w:val="num" w:pos="709"/>
        </w:tabs>
        <w:ind w:left="709" w:hanging="709"/>
        <w:rPr>
          <w:lang w:val="en-AU"/>
        </w:rPr>
      </w:pPr>
      <w:r w:rsidRPr="00D81CC2">
        <w:rPr>
          <w:lang w:val="en-AU"/>
        </w:rPr>
        <w:t xml:space="preserve">Preventative maintenance is maintenance which is carried out to prevent an </w:t>
      </w:r>
      <w:r>
        <w:rPr>
          <w:lang w:val="en-AU"/>
        </w:rPr>
        <w:t>asset</w:t>
      </w:r>
      <w:r w:rsidRPr="00D81CC2">
        <w:rPr>
          <w:lang w:val="en-AU"/>
        </w:rPr>
        <w:t xml:space="preserve"> failing or wearing out by providing </w:t>
      </w:r>
      <w:r>
        <w:rPr>
          <w:lang w:val="en-AU"/>
        </w:rPr>
        <w:t xml:space="preserve">continuous condition monitoring and </w:t>
      </w:r>
      <w:r w:rsidRPr="00D81CC2">
        <w:rPr>
          <w:lang w:val="en-AU"/>
        </w:rPr>
        <w:t>systematic inspection</w:t>
      </w:r>
      <w:r>
        <w:rPr>
          <w:lang w:val="en-AU"/>
        </w:rPr>
        <w:t>. Preventative maintenance account</w:t>
      </w:r>
      <w:r w:rsidR="00321ED1">
        <w:rPr>
          <w:lang w:val="en-AU"/>
        </w:rPr>
        <w:t>ed</w:t>
      </w:r>
      <w:r>
        <w:rPr>
          <w:lang w:val="en-AU"/>
        </w:rPr>
        <w:t xml:space="preserve"> for </w:t>
      </w:r>
      <w:r w:rsidR="00D534BC">
        <w:rPr>
          <w:lang w:val="en-AU"/>
        </w:rPr>
        <w:t>8 per </w:t>
      </w:r>
      <w:r w:rsidR="00A15280">
        <w:rPr>
          <w:lang w:val="en-AU"/>
        </w:rPr>
        <w:t>cent</w:t>
      </w:r>
      <w:r>
        <w:rPr>
          <w:lang w:val="en-AU"/>
        </w:rPr>
        <w:t xml:space="preserve"> of </w:t>
      </w:r>
      <w:r w:rsidR="00D534BC">
        <w:rPr>
          <w:lang w:val="en-AU"/>
        </w:rPr>
        <w:t xml:space="preserve">PWC Networks’ </w:t>
      </w:r>
      <w:r>
        <w:rPr>
          <w:lang w:val="en-AU"/>
        </w:rPr>
        <w:t>forecast opex.</w:t>
      </w:r>
    </w:p>
    <w:p w14:paraId="03190B9F" w14:textId="5CAED4A4" w:rsidR="00442571" w:rsidRDefault="00D81CC2" w:rsidP="000939E6">
      <w:pPr>
        <w:pStyle w:val="ListParagraph"/>
        <w:numPr>
          <w:ilvl w:val="1"/>
          <w:numId w:val="5"/>
        </w:numPr>
        <w:tabs>
          <w:tab w:val="num" w:pos="709"/>
        </w:tabs>
        <w:ind w:left="709" w:hanging="709"/>
        <w:rPr>
          <w:lang w:val="en-AU"/>
        </w:rPr>
      </w:pPr>
      <w:r>
        <w:rPr>
          <w:lang w:val="en-AU"/>
        </w:rPr>
        <w:t xml:space="preserve">PWC Networks based its forecast on a complete task breakdown </w:t>
      </w:r>
      <w:r w:rsidR="00C41C13">
        <w:rPr>
          <w:lang w:val="en-AU"/>
        </w:rPr>
        <w:t>derived from</w:t>
      </w:r>
      <w:r w:rsidR="00442571">
        <w:rPr>
          <w:lang w:val="en-AU"/>
        </w:rPr>
        <w:t xml:space="preserve"> maintenance schedules </w:t>
      </w:r>
      <w:r>
        <w:rPr>
          <w:lang w:val="en-AU"/>
        </w:rPr>
        <w:t xml:space="preserve">extracted from its asset management system. </w:t>
      </w:r>
      <w:r w:rsidR="00C22794">
        <w:rPr>
          <w:lang w:val="en-AU"/>
        </w:rPr>
        <w:t>The resul</w:t>
      </w:r>
      <w:r w:rsidR="00442571">
        <w:rPr>
          <w:lang w:val="en-AU"/>
        </w:rPr>
        <w:t xml:space="preserve">tant forecast </w:t>
      </w:r>
      <w:r w:rsidR="008D288E">
        <w:rPr>
          <w:lang w:val="en-AU"/>
        </w:rPr>
        <w:t xml:space="preserve">was </w:t>
      </w:r>
      <w:r w:rsidR="00442571">
        <w:rPr>
          <w:lang w:val="en-AU"/>
        </w:rPr>
        <w:t xml:space="preserve">adjusted to account for step changes to the </w:t>
      </w:r>
      <w:r w:rsidR="00D534BC">
        <w:rPr>
          <w:lang w:val="en-AU"/>
        </w:rPr>
        <w:t>RAB</w:t>
      </w:r>
      <w:r w:rsidR="00442571">
        <w:rPr>
          <w:lang w:val="en-AU"/>
        </w:rPr>
        <w:t>, estimated costs of new preventative maintenance activities, an allowance for travel time and associated expenses incurred in relation to remote locations and an estimate of non</w:t>
      </w:r>
      <w:r w:rsidR="00A15280">
        <w:rPr>
          <w:lang w:val="en-AU"/>
        </w:rPr>
        <w:noBreakHyphen/>
      </w:r>
      <w:r w:rsidR="00442571">
        <w:rPr>
          <w:lang w:val="en-AU"/>
        </w:rPr>
        <w:t>trades labour related to planning, supervision and administration of maintenance programs.</w:t>
      </w:r>
    </w:p>
    <w:p w14:paraId="72DF858F" w14:textId="3A2091F0" w:rsidR="00D81CC2" w:rsidRDefault="00D534BC" w:rsidP="000939E6">
      <w:pPr>
        <w:pStyle w:val="ListParagraph"/>
        <w:numPr>
          <w:ilvl w:val="1"/>
          <w:numId w:val="5"/>
        </w:numPr>
        <w:tabs>
          <w:tab w:val="num" w:pos="709"/>
        </w:tabs>
        <w:ind w:left="709" w:hanging="709"/>
        <w:rPr>
          <w:lang w:val="en-AU"/>
        </w:rPr>
      </w:pPr>
      <w:r>
        <w:rPr>
          <w:lang w:val="en-AU"/>
        </w:rPr>
        <w:t xml:space="preserve">Preventative maintenance expenditure </w:t>
      </w:r>
      <w:r w:rsidR="008D288E">
        <w:rPr>
          <w:lang w:val="en-AU"/>
        </w:rPr>
        <w:t xml:space="preserve">was </w:t>
      </w:r>
      <w:r w:rsidR="00D81CC2">
        <w:rPr>
          <w:lang w:val="en-AU"/>
        </w:rPr>
        <w:t xml:space="preserve">forecast to </w:t>
      </w:r>
      <w:r w:rsidR="00DF62C0">
        <w:rPr>
          <w:lang w:val="en-AU"/>
        </w:rPr>
        <w:t xml:space="preserve">increase by </w:t>
      </w:r>
      <w:r w:rsidR="00237AF3">
        <w:rPr>
          <w:lang w:val="en-AU"/>
        </w:rPr>
        <w:t>32 per </w:t>
      </w:r>
      <w:r w:rsidR="00A15280">
        <w:rPr>
          <w:lang w:val="en-AU"/>
        </w:rPr>
        <w:t xml:space="preserve">cent </w:t>
      </w:r>
      <w:r w:rsidR="00DF62C0">
        <w:rPr>
          <w:lang w:val="en-AU"/>
        </w:rPr>
        <w:t xml:space="preserve">over the </w:t>
      </w:r>
      <w:r w:rsidR="008D288E">
        <w:rPr>
          <w:lang w:val="en-AU"/>
        </w:rPr>
        <w:t xml:space="preserve">2009-14 </w:t>
      </w:r>
      <w:r w:rsidR="00DF62C0">
        <w:rPr>
          <w:lang w:val="en-AU"/>
        </w:rPr>
        <w:t>regulatory control period due to a greater focus on condition based management of assets.</w:t>
      </w:r>
      <w:r w:rsidR="00D81CC2">
        <w:rPr>
          <w:lang w:val="en-AU"/>
        </w:rPr>
        <w:t xml:space="preserve"> </w:t>
      </w:r>
    </w:p>
    <w:p w14:paraId="0413C501" w14:textId="77777777" w:rsidR="00442571" w:rsidRDefault="00D95FA4" w:rsidP="000939E6">
      <w:pPr>
        <w:pStyle w:val="ListParagraph"/>
        <w:numPr>
          <w:ilvl w:val="1"/>
          <w:numId w:val="5"/>
        </w:numPr>
        <w:tabs>
          <w:tab w:val="num" w:pos="709"/>
        </w:tabs>
        <w:ind w:left="709" w:hanging="709"/>
        <w:rPr>
          <w:lang w:val="en-AU"/>
        </w:rPr>
      </w:pPr>
      <w:r>
        <w:rPr>
          <w:lang w:val="en-AU"/>
        </w:rPr>
        <w:t>The NTMEU agreed that replacement of assets should lead to lower maintenance costs, but did not accept what it characterised as PWC Networks’ comment that new assets require more maintenance.</w:t>
      </w:r>
    </w:p>
    <w:p w14:paraId="057959C2" w14:textId="0E8B6F6B" w:rsidR="00D95FA4" w:rsidRPr="00D81CC2" w:rsidRDefault="00D95FA4" w:rsidP="000939E6">
      <w:pPr>
        <w:pStyle w:val="ListParagraph"/>
        <w:numPr>
          <w:ilvl w:val="1"/>
          <w:numId w:val="5"/>
        </w:numPr>
        <w:tabs>
          <w:tab w:val="num" w:pos="709"/>
        </w:tabs>
        <w:ind w:left="709" w:hanging="709"/>
        <w:rPr>
          <w:lang w:val="en-AU"/>
        </w:rPr>
      </w:pPr>
      <w:r>
        <w:rPr>
          <w:lang w:val="en-AU"/>
        </w:rPr>
        <w:t xml:space="preserve">The Commission </w:t>
      </w:r>
      <w:r w:rsidR="00A4638B">
        <w:rPr>
          <w:lang w:val="en-AU"/>
        </w:rPr>
        <w:t xml:space="preserve">did </w:t>
      </w:r>
      <w:r>
        <w:rPr>
          <w:lang w:val="en-AU"/>
        </w:rPr>
        <w:t>not agree with this interpretation of PWC Networks’ explanation of increased maintenance costs. Rather</w:t>
      </w:r>
      <w:r w:rsidR="00DD1213">
        <w:rPr>
          <w:lang w:val="en-AU"/>
        </w:rPr>
        <w:t xml:space="preserve">, the Commission </w:t>
      </w:r>
      <w:r w:rsidR="00A4638B">
        <w:rPr>
          <w:lang w:val="en-AU"/>
        </w:rPr>
        <w:t xml:space="preserve">interpreted </w:t>
      </w:r>
      <w:r w:rsidR="00DD1213">
        <w:rPr>
          <w:lang w:val="en-AU"/>
        </w:rPr>
        <w:t xml:space="preserve">this as recognition by PWC Networks that increasing levels of preventative maintenance will mean that new assets will have a greater economic life than the assets </w:t>
      </w:r>
      <w:r w:rsidR="00237AF3">
        <w:rPr>
          <w:lang w:val="en-AU"/>
        </w:rPr>
        <w:t>being replaced</w:t>
      </w:r>
      <w:r w:rsidR="00DD1213">
        <w:rPr>
          <w:lang w:val="en-AU"/>
        </w:rPr>
        <w:t>, those assets having had a shorter life due to maintenance not being appropriately undertaken.</w:t>
      </w:r>
      <w:r>
        <w:rPr>
          <w:lang w:val="en-AU"/>
        </w:rPr>
        <w:t xml:space="preserve"> </w:t>
      </w:r>
    </w:p>
    <w:p w14:paraId="1B752944" w14:textId="4A001232" w:rsidR="00222331" w:rsidRDefault="00DD1213" w:rsidP="000939E6">
      <w:pPr>
        <w:pStyle w:val="NumberLevel2"/>
        <w:numPr>
          <w:ilvl w:val="1"/>
          <w:numId w:val="5"/>
        </w:numPr>
        <w:tabs>
          <w:tab w:val="num" w:pos="709"/>
        </w:tabs>
        <w:ind w:left="709" w:hanging="709"/>
        <w:rPr>
          <w:lang w:val="en-AU"/>
        </w:rPr>
      </w:pPr>
      <w:r>
        <w:rPr>
          <w:lang w:val="en-AU"/>
        </w:rPr>
        <w:t xml:space="preserve">The Commission </w:t>
      </w:r>
      <w:r w:rsidR="00A4638B">
        <w:rPr>
          <w:lang w:val="en-AU"/>
        </w:rPr>
        <w:t xml:space="preserve">considered </w:t>
      </w:r>
      <w:r>
        <w:rPr>
          <w:lang w:val="en-AU"/>
        </w:rPr>
        <w:t>that</w:t>
      </w:r>
      <w:r w:rsidR="00DF62C0" w:rsidRPr="00DF62C0">
        <w:rPr>
          <w:lang w:val="en-AU"/>
        </w:rPr>
        <w:t xml:space="preserve">, while the justification for the cost estimates could be significantly improved, the costs </w:t>
      </w:r>
      <w:r w:rsidR="00A4638B">
        <w:rPr>
          <w:lang w:val="en-AU"/>
        </w:rPr>
        <w:t>we</w:t>
      </w:r>
      <w:r w:rsidR="00A4638B" w:rsidRPr="00DF62C0">
        <w:rPr>
          <w:lang w:val="en-AU"/>
        </w:rPr>
        <w:t xml:space="preserve">re </w:t>
      </w:r>
      <w:r w:rsidR="00DF62C0" w:rsidRPr="00DF62C0">
        <w:rPr>
          <w:lang w:val="en-AU"/>
        </w:rPr>
        <w:t>prudent and efficient.</w:t>
      </w:r>
    </w:p>
    <w:p w14:paraId="78BCDB9C" w14:textId="7FC6F674" w:rsidR="00DF62C0" w:rsidRPr="00222331" w:rsidRDefault="00A15280" w:rsidP="000939E6">
      <w:pPr>
        <w:pStyle w:val="NumberLevel2"/>
        <w:numPr>
          <w:ilvl w:val="1"/>
          <w:numId w:val="5"/>
        </w:numPr>
        <w:tabs>
          <w:tab w:val="num" w:pos="709"/>
        </w:tabs>
        <w:ind w:left="709" w:hanging="709"/>
        <w:rPr>
          <w:lang w:val="en-AU"/>
        </w:rPr>
      </w:pPr>
      <w:r>
        <w:rPr>
          <w:lang w:val="en-AU"/>
        </w:rPr>
        <w:t>The</w:t>
      </w:r>
      <w:r w:rsidR="00DF62C0" w:rsidRPr="00EC1AB1">
        <w:rPr>
          <w:lang w:val="en-AU"/>
        </w:rPr>
        <w:t xml:space="preserve"> Commission </w:t>
      </w:r>
      <w:r w:rsidR="00A4638B" w:rsidRPr="00EC1AB1">
        <w:rPr>
          <w:lang w:val="en-AU"/>
        </w:rPr>
        <w:t>consider</w:t>
      </w:r>
      <w:r w:rsidR="00A4638B">
        <w:rPr>
          <w:lang w:val="en-AU"/>
        </w:rPr>
        <w:t>ed</w:t>
      </w:r>
      <w:r w:rsidR="00A4638B" w:rsidRPr="00EC1AB1">
        <w:rPr>
          <w:lang w:val="en-AU"/>
        </w:rPr>
        <w:t xml:space="preserve"> </w:t>
      </w:r>
      <w:r w:rsidR="00DF62C0" w:rsidRPr="00EC1AB1">
        <w:rPr>
          <w:lang w:val="en-AU"/>
        </w:rPr>
        <w:t xml:space="preserve">that </w:t>
      </w:r>
      <w:r w:rsidR="00237AF3">
        <w:rPr>
          <w:lang w:val="en-AU"/>
        </w:rPr>
        <w:t xml:space="preserve">PWC Networks’ </w:t>
      </w:r>
      <w:r w:rsidR="00DF62C0">
        <w:rPr>
          <w:lang w:val="en-AU"/>
        </w:rPr>
        <w:t>forecast preventative maintenance opex</w:t>
      </w:r>
      <w:r w:rsidR="00DF62C0" w:rsidRPr="00EC1AB1">
        <w:rPr>
          <w:lang w:val="en-AU"/>
        </w:rPr>
        <w:t xml:space="preserve"> should be </w:t>
      </w:r>
      <w:r w:rsidR="00DF62C0">
        <w:rPr>
          <w:lang w:val="en-AU"/>
        </w:rPr>
        <w:t>increased</w:t>
      </w:r>
      <w:r w:rsidR="00DF62C0" w:rsidRPr="00EC1AB1">
        <w:rPr>
          <w:lang w:val="en-AU"/>
        </w:rPr>
        <w:t xml:space="preserve"> </w:t>
      </w:r>
      <w:r w:rsidR="00DF62C0">
        <w:rPr>
          <w:lang w:val="en-AU"/>
        </w:rPr>
        <w:t>to allow for additional costs arising from deferral of replacement capex</w:t>
      </w:r>
      <w:r w:rsidR="00A84EF7">
        <w:rPr>
          <w:lang w:val="en-AU"/>
        </w:rPr>
        <w:t>.</w:t>
      </w:r>
    </w:p>
    <w:p w14:paraId="0041DB93" w14:textId="77777777" w:rsidR="00222331" w:rsidRPr="00A15280" w:rsidRDefault="00222331" w:rsidP="00A15280">
      <w:pPr>
        <w:pStyle w:val="UtilComHeading4"/>
        <w:spacing w:before="120"/>
        <w:rPr>
          <w:b/>
          <w:i w:val="0"/>
          <w:lang w:val="en-AU"/>
        </w:rPr>
      </w:pPr>
      <w:r w:rsidRPr="00A15280">
        <w:rPr>
          <w:b/>
          <w:i w:val="0"/>
          <w:lang w:val="en-AU"/>
        </w:rPr>
        <w:t>Vegetation management</w:t>
      </w:r>
    </w:p>
    <w:p w14:paraId="79913917" w14:textId="5811A792" w:rsidR="00222331" w:rsidRDefault="00DF62C0" w:rsidP="000939E6">
      <w:pPr>
        <w:pStyle w:val="NumberLevel2"/>
        <w:numPr>
          <w:ilvl w:val="1"/>
          <w:numId w:val="5"/>
        </w:numPr>
        <w:tabs>
          <w:tab w:val="num" w:pos="709"/>
        </w:tabs>
        <w:ind w:left="709" w:hanging="709"/>
        <w:rPr>
          <w:lang w:val="en-AU"/>
        </w:rPr>
      </w:pPr>
      <w:r w:rsidRPr="00DF62C0">
        <w:rPr>
          <w:lang w:val="en-AU"/>
        </w:rPr>
        <w:t xml:space="preserve">Vegetation </w:t>
      </w:r>
      <w:r>
        <w:rPr>
          <w:lang w:val="en-AU"/>
        </w:rPr>
        <w:t xml:space="preserve">management is the clearance of vegetation near </w:t>
      </w:r>
      <w:r w:rsidRPr="00DF62C0">
        <w:rPr>
          <w:lang w:val="en-AU"/>
        </w:rPr>
        <w:t xml:space="preserve">powerlines to maintain </w:t>
      </w:r>
      <w:r>
        <w:rPr>
          <w:lang w:val="en-AU"/>
        </w:rPr>
        <w:t xml:space="preserve">reliability and </w:t>
      </w:r>
      <w:r w:rsidRPr="00DF62C0">
        <w:rPr>
          <w:lang w:val="en-AU"/>
        </w:rPr>
        <w:t>public safety</w:t>
      </w:r>
      <w:r>
        <w:rPr>
          <w:lang w:val="en-AU"/>
        </w:rPr>
        <w:t xml:space="preserve">. Vegetation management accounts for </w:t>
      </w:r>
      <w:r w:rsidR="00237AF3">
        <w:rPr>
          <w:lang w:val="en-AU"/>
        </w:rPr>
        <w:t>7 per </w:t>
      </w:r>
      <w:r w:rsidR="00A15280">
        <w:rPr>
          <w:lang w:val="en-AU"/>
        </w:rPr>
        <w:t>cent</w:t>
      </w:r>
      <w:r>
        <w:rPr>
          <w:lang w:val="en-AU"/>
        </w:rPr>
        <w:t xml:space="preserve"> of </w:t>
      </w:r>
      <w:r w:rsidR="00237AF3">
        <w:rPr>
          <w:lang w:val="en-AU"/>
        </w:rPr>
        <w:t xml:space="preserve">PWC Networks’ </w:t>
      </w:r>
      <w:r>
        <w:rPr>
          <w:lang w:val="en-AU"/>
        </w:rPr>
        <w:t>forecast opex.</w:t>
      </w:r>
    </w:p>
    <w:p w14:paraId="53482B61" w14:textId="0EE9CEBC" w:rsidR="005E6888" w:rsidRDefault="00237AF3" w:rsidP="000939E6">
      <w:pPr>
        <w:pStyle w:val="NumberLevel2"/>
        <w:numPr>
          <w:ilvl w:val="1"/>
          <w:numId w:val="5"/>
        </w:numPr>
        <w:tabs>
          <w:tab w:val="num" w:pos="709"/>
        </w:tabs>
        <w:ind w:left="709" w:hanging="709"/>
        <w:rPr>
          <w:lang w:val="en-AU"/>
        </w:rPr>
      </w:pPr>
      <w:r>
        <w:rPr>
          <w:lang w:val="en-AU"/>
        </w:rPr>
        <w:t xml:space="preserve">Vegetation management expenditure </w:t>
      </w:r>
      <w:r w:rsidR="00A4638B">
        <w:rPr>
          <w:lang w:val="en-AU"/>
        </w:rPr>
        <w:t xml:space="preserve">was </w:t>
      </w:r>
      <w:r w:rsidR="005E6888">
        <w:rPr>
          <w:lang w:val="en-AU"/>
        </w:rPr>
        <w:t xml:space="preserve">forecast to increase </w:t>
      </w:r>
      <w:r>
        <w:rPr>
          <w:lang w:val="en-AU"/>
        </w:rPr>
        <w:t>33 per </w:t>
      </w:r>
      <w:r w:rsidR="00A15280">
        <w:rPr>
          <w:lang w:val="en-AU"/>
        </w:rPr>
        <w:t xml:space="preserve">cent </w:t>
      </w:r>
      <w:r w:rsidR="005E6888">
        <w:rPr>
          <w:lang w:val="en-AU"/>
        </w:rPr>
        <w:t xml:space="preserve">over the </w:t>
      </w:r>
      <w:r w:rsidR="00A4638B">
        <w:rPr>
          <w:lang w:val="en-AU"/>
        </w:rPr>
        <w:t xml:space="preserve">2009-14 </w:t>
      </w:r>
      <w:r w:rsidR="005E6888">
        <w:rPr>
          <w:lang w:val="en-AU"/>
        </w:rPr>
        <w:t xml:space="preserve">regulatory control period to increase the vegetation cutting profile and to target </w:t>
      </w:r>
      <w:r w:rsidR="005E6888" w:rsidRPr="005E6888">
        <w:rPr>
          <w:lang w:val="en-AU"/>
        </w:rPr>
        <w:t>vegetation</w:t>
      </w:r>
      <w:r w:rsidR="005E6888">
        <w:rPr>
          <w:lang w:val="en-AU"/>
        </w:rPr>
        <w:t xml:space="preserve"> </w:t>
      </w:r>
      <w:r w:rsidR="005E6888" w:rsidRPr="005E6888">
        <w:rPr>
          <w:lang w:val="en-AU"/>
        </w:rPr>
        <w:t xml:space="preserve">management programs in the </w:t>
      </w:r>
      <w:r w:rsidR="005E6888">
        <w:rPr>
          <w:lang w:val="en-AU"/>
        </w:rPr>
        <w:t xml:space="preserve">poorly performing </w:t>
      </w:r>
      <w:r w:rsidR="005E6888" w:rsidRPr="005E6888">
        <w:rPr>
          <w:lang w:val="en-AU"/>
        </w:rPr>
        <w:t>areas</w:t>
      </w:r>
      <w:r w:rsidR="005E6888">
        <w:rPr>
          <w:lang w:val="en-AU"/>
        </w:rPr>
        <w:t>.</w:t>
      </w:r>
    </w:p>
    <w:p w14:paraId="12B5126A" w14:textId="77777777" w:rsidR="00DF62C0" w:rsidRDefault="00DD1213" w:rsidP="000939E6">
      <w:pPr>
        <w:pStyle w:val="NumberLevel2"/>
        <w:numPr>
          <w:ilvl w:val="1"/>
          <w:numId w:val="5"/>
        </w:numPr>
        <w:tabs>
          <w:tab w:val="num" w:pos="709"/>
        </w:tabs>
        <w:ind w:left="709" w:hanging="709"/>
        <w:rPr>
          <w:lang w:val="en-AU"/>
        </w:rPr>
      </w:pPr>
      <w:r>
        <w:rPr>
          <w:lang w:val="en-AU"/>
        </w:rPr>
        <w:t xml:space="preserve">The Commission </w:t>
      </w:r>
      <w:r w:rsidR="00A4638B">
        <w:rPr>
          <w:lang w:val="en-AU"/>
        </w:rPr>
        <w:t>considered</w:t>
      </w:r>
      <w:r w:rsidR="00A4638B" w:rsidRPr="00DF62C0">
        <w:rPr>
          <w:lang w:val="en-AU"/>
        </w:rPr>
        <w:t xml:space="preserve"> </w:t>
      </w:r>
      <w:r w:rsidR="00DF62C0" w:rsidRPr="00DF62C0">
        <w:rPr>
          <w:lang w:val="en-AU"/>
        </w:rPr>
        <w:t>that</w:t>
      </w:r>
      <w:r w:rsidR="00DF62C0">
        <w:rPr>
          <w:lang w:val="en-AU"/>
        </w:rPr>
        <w:t xml:space="preserve"> the need for reliability improvement through vegetation management had not been established</w:t>
      </w:r>
      <w:r w:rsidR="00A84EF7">
        <w:rPr>
          <w:lang w:val="en-AU"/>
        </w:rPr>
        <w:t xml:space="preserve"> by </w:t>
      </w:r>
      <w:r w:rsidR="00CF252A">
        <w:rPr>
          <w:lang w:val="en-AU"/>
        </w:rPr>
        <w:t>P</w:t>
      </w:r>
      <w:r w:rsidR="00A84EF7">
        <w:rPr>
          <w:lang w:val="en-AU"/>
        </w:rPr>
        <w:t>WC Networks</w:t>
      </w:r>
      <w:r w:rsidR="00DF62C0">
        <w:rPr>
          <w:lang w:val="en-AU"/>
        </w:rPr>
        <w:t xml:space="preserve">. </w:t>
      </w:r>
    </w:p>
    <w:p w14:paraId="47902EBF" w14:textId="2D21AA06" w:rsidR="005E6888" w:rsidRPr="00222331" w:rsidRDefault="00A15280" w:rsidP="000939E6">
      <w:pPr>
        <w:pStyle w:val="NumberLevel2"/>
        <w:numPr>
          <w:ilvl w:val="1"/>
          <w:numId w:val="5"/>
        </w:numPr>
        <w:tabs>
          <w:tab w:val="num" w:pos="709"/>
        </w:tabs>
        <w:ind w:left="709" w:hanging="709"/>
        <w:rPr>
          <w:lang w:val="en-AU"/>
        </w:rPr>
      </w:pPr>
      <w:r>
        <w:rPr>
          <w:lang w:val="en-AU"/>
        </w:rPr>
        <w:t>The</w:t>
      </w:r>
      <w:r w:rsidR="005E6888" w:rsidRPr="00EC1AB1">
        <w:rPr>
          <w:lang w:val="en-AU"/>
        </w:rPr>
        <w:t xml:space="preserve"> Commission </w:t>
      </w:r>
      <w:r w:rsidR="00A4638B" w:rsidRPr="00EC1AB1">
        <w:rPr>
          <w:lang w:val="en-AU"/>
        </w:rPr>
        <w:t>consider</w:t>
      </w:r>
      <w:r w:rsidR="00A4638B">
        <w:rPr>
          <w:lang w:val="en-AU"/>
        </w:rPr>
        <w:t>ed</w:t>
      </w:r>
      <w:r w:rsidR="00A4638B" w:rsidRPr="00EC1AB1">
        <w:rPr>
          <w:lang w:val="en-AU"/>
        </w:rPr>
        <w:t xml:space="preserve"> </w:t>
      </w:r>
      <w:r w:rsidR="005E6888" w:rsidRPr="00EC1AB1">
        <w:rPr>
          <w:lang w:val="en-AU"/>
        </w:rPr>
        <w:t xml:space="preserve">that </w:t>
      </w:r>
      <w:r w:rsidR="00EE5B17">
        <w:rPr>
          <w:lang w:val="en-AU"/>
        </w:rPr>
        <w:t xml:space="preserve">an increase </w:t>
      </w:r>
      <w:r w:rsidR="00A4638B">
        <w:rPr>
          <w:lang w:val="en-AU"/>
        </w:rPr>
        <w:t xml:space="preserve">was </w:t>
      </w:r>
      <w:r w:rsidR="00EE5B17">
        <w:rPr>
          <w:lang w:val="en-AU"/>
        </w:rPr>
        <w:t xml:space="preserve">not justified and that </w:t>
      </w:r>
      <w:r w:rsidR="00237AF3">
        <w:rPr>
          <w:lang w:val="en-AU"/>
        </w:rPr>
        <w:t xml:space="preserve">PWC Networks’ </w:t>
      </w:r>
      <w:r w:rsidR="005E6888">
        <w:rPr>
          <w:lang w:val="en-AU"/>
        </w:rPr>
        <w:t>vegetation management opex</w:t>
      </w:r>
      <w:r w:rsidR="005E6888" w:rsidRPr="00EC1AB1">
        <w:rPr>
          <w:lang w:val="en-AU"/>
        </w:rPr>
        <w:t xml:space="preserve"> should be reduced </w:t>
      </w:r>
      <w:r w:rsidR="005E6888">
        <w:rPr>
          <w:lang w:val="en-AU"/>
        </w:rPr>
        <w:t xml:space="preserve">to current levels. </w:t>
      </w:r>
    </w:p>
    <w:p w14:paraId="015E1EBF" w14:textId="77777777" w:rsidR="00222331" w:rsidRPr="00A15280" w:rsidRDefault="00222331" w:rsidP="00A15280">
      <w:pPr>
        <w:pStyle w:val="UtilComHeading4"/>
        <w:spacing w:before="120"/>
        <w:rPr>
          <w:b/>
          <w:i w:val="0"/>
          <w:lang w:val="en-AU"/>
        </w:rPr>
      </w:pPr>
      <w:r w:rsidRPr="00A15280">
        <w:rPr>
          <w:b/>
          <w:i w:val="0"/>
          <w:lang w:val="en-AU"/>
        </w:rPr>
        <w:t>Planned corrective maintenance</w:t>
      </w:r>
    </w:p>
    <w:p w14:paraId="12CE3232" w14:textId="572ED2FB" w:rsidR="00222331" w:rsidRDefault="003B0268" w:rsidP="000939E6">
      <w:pPr>
        <w:pStyle w:val="NumberLevel2"/>
        <w:numPr>
          <w:ilvl w:val="1"/>
          <w:numId w:val="5"/>
        </w:numPr>
        <w:tabs>
          <w:tab w:val="num" w:pos="0"/>
          <w:tab w:val="left" w:pos="284"/>
          <w:tab w:val="left" w:pos="2835"/>
        </w:tabs>
        <w:ind w:left="709" w:hanging="709"/>
        <w:rPr>
          <w:lang w:val="en-AU"/>
        </w:rPr>
      </w:pPr>
      <w:r w:rsidRPr="003B0268">
        <w:rPr>
          <w:lang w:val="en-AU"/>
        </w:rPr>
        <w:t>Planned corrective maintenance covers maintenance on assets that are identified to be defective during the</w:t>
      </w:r>
      <w:r>
        <w:rPr>
          <w:lang w:val="en-AU"/>
        </w:rPr>
        <w:t xml:space="preserve"> </w:t>
      </w:r>
      <w:r w:rsidR="00237AF3">
        <w:rPr>
          <w:lang w:val="en-AU"/>
        </w:rPr>
        <w:t>p</w:t>
      </w:r>
      <w:r w:rsidR="00237AF3" w:rsidRPr="003B0268">
        <w:rPr>
          <w:lang w:val="en-AU"/>
        </w:rPr>
        <w:t xml:space="preserve">reventative </w:t>
      </w:r>
      <w:r w:rsidR="00237AF3">
        <w:rPr>
          <w:lang w:val="en-AU"/>
        </w:rPr>
        <w:t>m</w:t>
      </w:r>
      <w:r w:rsidR="00237AF3" w:rsidRPr="003B0268">
        <w:rPr>
          <w:lang w:val="en-AU"/>
        </w:rPr>
        <w:t xml:space="preserve">aintenance </w:t>
      </w:r>
      <w:r w:rsidRPr="003B0268">
        <w:rPr>
          <w:lang w:val="en-AU"/>
        </w:rPr>
        <w:t>or other inspection programs.</w:t>
      </w:r>
      <w:r>
        <w:rPr>
          <w:lang w:val="en-AU"/>
        </w:rPr>
        <w:t xml:space="preserve"> Planned corrective maintenance account</w:t>
      </w:r>
      <w:r w:rsidR="00321ED1">
        <w:rPr>
          <w:lang w:val="en-AU"/>
        </w:rPr>
        <w:t>ed</w:t>
      </w:r>
      <w:r>
        <w:rPr>
          <w:lang w:val="en-AU"/>
        </w:rPr>
        <w:t xml:space="preserve"> for </w:t>
      </w:r>
      <w:r w:rsidR="00F72EFA">
        <w:rPr>
          <w:lang w:val="en-AU"/>
        </w:rPr>
        <w:t>12 per </w:t>
      </w:r>
      <w:r w:rsidR="00A15280">
        <w:rPr>
          <w:lang w:val="en-AU"/>
        </w:rPr>
        <w:t>cent</w:t>
      </w:r>
      <w:r>
        <w:rPr>
          <w:lang w:val="en-AU"/>
        </w:rPr>
        <w:t xml:space="preserve"> of </w:t>
      </w:r>
      <w:r w:rsidR="00F72EFA">
        <w:rPr>
          <w:lang w:val="en-AU"/>
        </w:rPr>
        <w:t>PWC Networks’</w:t>
      </w:r>
      <w:r w:rsidR="00111134">
        <w:rPr>
          <w:lang w:val="en-AU"/>
        </w:rPr>
        <w:t xml:space="preserve"> </w:t>
      </w:r>
      <w:r>
        <w:rPr>
          <w:lang w:val="en-AU"/>
        </w:rPr>
        <w:t>forecast opex.</w:t>
      </w:r>
    </w:p>
    <w:p w14:paraId="0B687379" w14:textId="6C8AF140" w:rsidR="00CB4711" w:rsidRDefault="00C22794" w:rsidP="000939E6">
      <w:pPr>
        <w:pStyle w:val="NumberLevel2"/>
        <w:numPr>
          <w:ilvl w:val="1"/>
          <w:numId w:val="5"/>
        </w:numPr>
        <w:tabs>
          <w:tab w:val="num" w:pos="709"/>
        </w:tabs>
        <w:ind w:left="709" w:hanging="709"/>
        <w:rPr>
          <w:lang w:val="en-AU"/>
        </w:rPr>
      </w:pPr>
      <w:r>
        <w:rPr>
          <w:lang w:val="en-AU"/>
        </w:rPr>
        <w:t xml:space="preserve">Forecast expenditure </w:t>
      </w:r>
      <w:r w:rsidR="00A4638B">
        <w:rPr>
          <w:lang w:val="en-AU"/>
        </w:rPr>
        <w:t xml:space="preserve">was </w:t>
      </w:r>
      <w:r>
        <w:rPr>
          <w:lang w:val="en-AU"/>
        </w:rPr>
        <w:t xml:space="preserve">based on actual expenditure in </w:t>
      </w:r>
      <w:r w:rsidR="00321ED1">
        <w:rPr>
          <w:lang w:val="en-AU"/>
        </w:rPr>
        <w:t xml:space="preserve">the </w:t>
      </w:r>
      <w:r>
        <w:rPr>
          <w:lang w:val="en-AU"/>
        </w:rPr>
        <w:t xml:space="preserve">2012-13 </w:t>
      </w:r>
      <w:r w:rsidR="00321ED1">
        <w:rPr>
          <w:lang w:val="en-AU"/>
        </w:rPr>
        <w:t>regulatory year a</w:t>
      </w:r>
      <w:r>
        <w:rPr>
          <w:lang w:val="en-AU"/>
        </w:rPr>
        <w:t xml:space="preserve">djusted for the projected </w:t>
      </w:r>
      <w:r w:rsidR="00CB4711">
        <w:rPr>
          <w:lang w:val="en-AU"/>
        </w:rPr>
        <w:t>growth rate of asset defects.</w:t>
      </w:r>
    </w:p>
    <w:p w14:paraId="412296A0" w14:textId="329CB167" w:rsidR="003B0268" w:rsidRDefault="00CB4711" w:rsidP="000939E6">
      <w:pPr>
        <w:pStyle w:val="NumberLevel2"/>
        <w:numPr>
          <w:ilvl w:val="1"/>
          <w:numId w:val="5"/>
        </w:numPr>
        <w:tabs>
          <w:tab w:val="num" w:pos="709"/>
        </w:tabs>
        <w:ind w:left="709" w:hanging="709"/>
        <w:rPr>
          <w:lang w:val="en-AU"/>
        </w:rPr>
      </w:pPr>
      <w:r>
        <w:rPr>
          <w:lang w:val="en-AU"/>
        </w:rPr>
        <w:t xml:space="preserve">There was a step increase in expenditure from </w:t>
      </w:r>
      <w:r w:rsidR="00F72EFA">
        <w:rPr>
          <w:lang w:val="en-AU"/>
        </w:rPr>
        <w:t xml:space="preserve">the </w:t>
      </w:r>
      <w:r>
        <w:rPr>
          <w:lang w:val="en-AU"/>
        </w:rPr>
        <w:t xml:space="preserve">2011-12 </w:t>
      </w:r>
      <w:r w:rsidR="00F72EFA">
        <w:rPr>
          <w:lang w:val="en-AU"/>
        </w:rPr>
        <w:t xml:space="preserve">regulatory year </w:t>
      </w:r>
      <w:r>
        <w:rPr>
          <w:lang w:val="en-AU"/>
        </w:rPr>
        <w:t xml:space="preserve">to </w:t>
      </w:r>
      <w:r w:rsidR="00F72EFA">
        <w:rPr>
          <w:lang w:val="en-AU"/>
        </w:rPr>
        <w:t xml:space="preserve">the </w:t>
      </w:r>
      <w:r>
        <w:rPr>
          <w:lang w:val="en-AU"/>
        </w:rPr>
        <w:t xml:space="preserve">2012-13 </w:t>
      </w:r>
      <w:r w:rsidR="00F72EFA">
        <w:rPr>
          <w:lang w:val="en-AU"/>
        </w:rPr>
        <w:t xml:space="preserve">regulatory year </w:t>
      </w:r>
      <w:r>
        <w:rPr>
          <w:lang w:val="en-AU"/>
        </w:rPr>
        <w:t xml:space="preserve">due to a stronger focus on accurately capturing the time spent on maintenance activities. </w:t>
      </w:r>
      <w:r w:rsidR="009236C7">
        <w:rPr>
          <w:lang w:val="en-AU"/>
        </w:rPr>
        <w:t xml:space="preserve">Expenditure in the </w:t>
      </w:r>
      <w:r w:rsidR="00A4638B">
        <w:rPr>
          <w:lang w:val="en-AU"/>
        </w:rPr>
        <w:t xml:space="preserve">2014-19 </w:t>
      </w:r>
      <w:r w:rsidR="009236C7">
        <w:rPr>
          <w:lang w:val="en-AU"/>
        </w:rPr>
        <w:t xml:space="preserve">regulatory control period </w:t>
      </w:r>
      <w:r w:rsidR="00F72EFA">
        <w:rPr>
          <w:lang w:val="en-AU"/>
        </w:rPr>
        <w:t xml:space="preserve">was </w:t>
      </w:r>
      <w:r>
        <w:rPr>
          <w:lang w:val="en-AU"/>
        </w:rPr>
        <w:t>expected to remain at this higher level as i</w:t>
      </w:r>
      <w:r w:rsidR="009236C7">
        <w:rPr>
          <w:lang w:val="en-AU"/>
        </w:rPr>
        <w:t xml:space="preserve">ncreased focus on the condition of assets </w:t>
      </w:r>
      <w:r w:rsidR="00F72EFA">
        <w:rPr>
          <w:lang w:val="en-AU"/>
        </w:rPr>
        <w:t xml:space="preserve">had </w:t>
      </w:r>
      <w:r w:rsidR="009236C7">
        <w:rPr>
          <w:lang w:val="en-AU"/>
        </w:rPr>
        <w:t xml:space="preserve">increased identification of assets where corrective maintenance </w:t>
      </w:r>
      <w:r w:rsidR="00F72EFA">
        <w:rPr>
          <w:lang w:val="en-AU"/>
        </w:rPr>
        <w:t xml:space="preserve">was </w:t>
      </w:r>
      <w:r w:rsidR="009236C7">
        <w:rPr>
          <w:lang w:val="en-AU"/>
        </w:rPr>
        <w:t>required. While p</w:t>
      </w:r>
      <w:r w:rsidR="009236C7" w:rsidRPr="009236C7">
        <w:rPr>
          <w:lang w:val="en-AU"/>
        </w:rPr>
        <w:t>lanned asset replacement programs target</w:t>
      </w:r>
      <w:r w:rsidR="00F72EFA">
        <w:rPr>
          <w:lang w:val="en-AU"/>
        </w:rPr>
        <w:t>ed</w:t>
      </w:r>
      <w:r w:rsidR="009236C7">
        <w:rPr>
          <w:lang w:val="en-AU"/>
        </w:rPr>
        <w:t xml:space="preserve"> </w:t>
      </w:r>
      <w:r w:rsidR="009236C7" w:rsidRPr="009236C7">
        <w:rPr>
          <w:lang w:val="en-AU"/>
        </w:rPr>
        <w:t>the assets in poorest condition</w:t>
      </w:r>
      <w:r w:rsidR="00A15280">
        <w:rPr>
          <w:lang w:val="en-AU"/>
        </w:rPr>
        <w:t>,</w:t>
      </w:r>
      <w:r w:rsidR="009236C7" w:rsidRPr="009236C7">
        <w:rPr>
          <w:lang w:val="en-AU"/>
        </w:rPr>
        <w:t xml:space="preserve"> </w:t>
      </w:r>
      <w:r w:rsidR="009236C7">
        <w:rPr>
          <w:lang w:val="en-AU"/>
        </w:rPr>
        <w:t xml:space="preserve">an increase in planned corrective maintenance </w:t>
      </w:r>
      <w:r w:rsidR="00F72EFA">
        <w:rPr>
          <w:lang w:val="en-AU"/>
        </w:rPr>
        <w:t xml:space="preserve">was </w:t>
      </w:r>
      <w:r w:rsidR="009236C7">
        <w:rPr>
          <w:lang w:val="en-AU"/>
        </w:rPr>
        <w:t>required to address</w:t>
      </w:r>
      <w:r w:rsidR="009236C7" w:rsidRPr="009236C7">
        <w:rPr>
          <w:lang w:val="en-AU"/>
        </w:rPr>
        <w:t xml:space="preserve"> the backlog of defects </w:t>
      </w:r>
      <w:r w:rsidR="009236C7">
        <w:rPr>
          <w:lang w:val="en-AU"/>
        </w:rPr>
        <w:t xml:space="preserve">in the wider </w:t>
      </w:r>
      <w:r w:rsidR="00F72EFA">
        <w:rPr>
          <w:lang w:val="en-AU"/>
        </w:rPr>
        <w:t xml:space="preserve">electricity </w:t>
      </w:r>
      <w:r w:rsidR="009236C7">
        <w:rPr>
          <w:lang w:val="en-AU"/>
        </w:rPr>
        <w:t>network.</w:t>
      </w:r>
    </w:p>
    <w:p w14:paraId="66F95A04" w14:textId="77777777" w:rsidR="003B0268" w:rsidRDefault="00CB4711" w:rsidP="000939E6">
      <w:pPr>
        <w:pStyle w:val="NumberLevel2"/>
        <w:numPr>
          <w:ilvl w:val="1"/>
          <w:numId w:val="5"/>
        </w:numPr>
        <w:tabs>
          <w:tab w:val="num" w:pos="709"/>
        </w:tabs>
        <w:ind w:left="709" w:hanging="709"/>
        <w:rPr>
          <w:lang w:val="en-AU"/>
        </w:rPr>
      </w:pPr>
      <w:r>
        <w:rPr>
          <w:lang w:val="en-AU"/>
        </w:rPr>
        <w:t xml:space="preserve">The Commission </w:t>
      </w:r>
      <w:r w:rsidR="00A4638B">
        <w:rPr>
          <w:lang w:val="en-AU"/>
        </w:rPr>
        <w:t xml:space="preserve">considered </w:t>
      </w:r>
      <w:r w:rsidR="00865471">
        <w:rPr>
          <w:lang w:val="en-AU"/>
        </w:rPr>
        <w:t>that PWC Networks’ approach to forecast</w:t>
      </w:r>
      <w:r w:rsidR="00A4638B">
        <w:rPr>
          <w:lang w:val="en-AU"/>
        </w:rPr>
        <w:t>ing</w:t>
      </w:r>
      <w:r w:rsidR="00865471">
        <w:rPr>
          <w:lang w:val="en-AU"/>
        </w:rPr>
        <w:t xml:space="preserve"> planned corrective maintenance </w:t>
      </w:r>
      <w:r w:rsidR="00A4638B">
        <w:rPr>
          <w:lang w:val="en-AU"/>
        </w:rPr>
        <w:t xml:space="preserve">was </w:t>
      </w:r>
      <w:r w:rsidR="00865471">
        <w:rPr>
          <w:lang w:val="en-AU"/>
        </w:rPr>
        <w:t>reasonable</w:t>
      </w:r>
      <w:r w:rsidR="00C41C13">
        <w:rPr>
          <w:lang w:val="en-AU"/>
        </w:rPr>
        <w:t>;</w:t>
      </w:r>
      <w:r>
        <w:rPr>
          <w:lang w:val="en-AU"/>
        </w:rPr>
        <w:t xml:space="preserve"> however</w:t>
      </w:r>
      <w:r w:rsidR="00C41C13">
        <w:rPr>
          <w:lang w:val="en-AU"/>
        </w:rPr>
        <w:t>,</w:t>
      </w:r>
      <w:r w:rsidR="00865471">
        <w:rPr>
          <w:lang w:val="en-AU"/>
        </w:rPr>
        <w:t xml:space="preserve"> PWC Networks did not clearly justify the change in defect growth rates.</w:t>
      </w:r>
    </w:p>
    <w:p w14:paraId="06FF448B" w14:textId="404E8E04" w:rsidR="00865471" w:rsidRDefault="00A15280" w:rsidP="000939E6">
      <w:pPr>
        <w:pStyle w:val="NumberLevel2"/>
        <w:numPr>
          <w:ilvl w:val="1"/>
          <w:numId w:val="5"/>
        </w:numPr>
        <w:tabs>
          <w:tab w:val="num" w:pos="709"/>
        </w:tabs>
        <w:ind w:left="709" w:hanging="709"/>
        <w:rPr>
          <w:lang w:val="en-AU"/>
        </w:rPr>
      </w:pPr>
      <w:r>
        <w:rPr>
          <w:lang w:val="en-AU"/>
        </w:rPr>
        <w:t>The</w:t>
      </w:r>
      <w:r w:rsidR="00865471" w:rsidRPr="00EC1AB1">
        <w:rPr>
          <w:lang w:val="en-AU"/>
        </w:rPr>
        <w:t xml:space="preserve"> Commission </w:t>
      </w:r>
      <w:r w:rsidR="00A4638B" w:rsidRPr="00EC1AB1">
        <w:rPr>
          <w:lang w:val="en-AU"/>
        </w:rPr>
        <w:t>consider</w:t>
      </w:r>
      <w:r w:rsidR="00A4638B">
        <w:rPr>
          <w:lang w:val="en-AU"/>
        </w:rPr>
        <w:t>ed</w:t>
      </w:r>
      <w:r w:rsidR="00A4638B" w:rsidRPr="00EC1AB1">
        <w:rPr>
          <w:lang w:val="en-AU"/>
        </w:rPr>
        <w:t xml:space="preserve"> </w:t>
      </w:r>
      <w:r w:rsidR="00865471" w:rsidRPr="00EC1AB1">
        <w:rPr>
          <w:lang w:val="en-AU"/>
        </w:rPr>
        <w:t xml:space="preserve">that </w:t>
      </w:r>
      <w:r w:rsidR="00F72EFA">
        <w:rPr>
          <w:lang w:val="en-AU"/>
        </w:rPr>
        <w:t xml:space="preserve">PWC Networks’ </w:t>
      </w:r>
      <w:r w:rsidR="00865471">
        <w:rPr>
          <w:lang w:val="en-AU"/>
        </w:rPr>
        <w:t>forecast planned corrective maintenance opex</w:t>
      </w:r>
      <w:r w:rsidR="00865471" w:rsidRPr="00EC1AB1">
        <w:rPr>
          <w:lang w:val="en-AU"/>
        </w:rPr>
        <w:t xml:space="preserve"> should be </w:t>
      </w:r>
      <w:r w:rsidR="00865471">
        <w:rPr>
          <w:lang w:val="en-AU"/>
        </w:rPr>
        <w:t>adjusted</w:t>
      </w:r>
      <w:r w:rsidR="00865471" w:rsidRPr="00EC1AB1">
        <w:rPr>
          <w:lang w:val="en-AU"/>
        </w:rPr>
        <w:t xml:space="preserve"> </w:t>
      </w:r>
      <w:r w:rsidR="00865471">
        <w:rPr>
          <w:lang w:val="en-AU"/>
        </w:rPr>
        <w:t>to remove expenditure associated with the revised defect growth, and to allow for additional costs arising from deferral of replacement capex.</w:t>
      </w:r>
    </w:p>
    <w:p w14:paraId="29560369" w14:textId="77777777" w:rsidR="00321ED1" w:rsidRPr="00321ED1" w:rsidRDefault="00321ED1" w:rsidP="00321ED1">
      <w:pPr>
        <w:rPr>
          <w:lang w:val="en-AU"/>
        </w:rPr>
      </w:pPr>
    </w:p>
    <w:p w14:paraId="09F529FE" w14:textId="77777777" w:rsidR="00222331" w:rsidRPr="00A15280" w:rsidRDefault="00222331" w:rsidP="00A15280">
      <w:pPr>
        <w:pStyle w:val="UtilComHeading4"/>
        <w:spacing w:before="120"/>
        <w:rPr>
          <w:b/>
          <w:i w:val="0"/>
          <w:lang w:val="en-AU"/>
        </w:rPr>
      </w:pPr>
      <w:r w:rsidRPr="00A15280">
        <w:rPr>
          <w:b/>
          <w:i w:val="0"/>
          <w:lang w:val="en-AU"/>
        </w:rPr>
        <w:t>Unplanned corrective maintenance</w:t>
      </w:r>
    </w:p>
    <w:p w14:paraId="1D58B02B" w14:textId="62A0662B" w:rsidR="00222331" w:rsidRDefault="00961152" w:rsidP="000B7B49">
      <w:pPr>
        <w:pStyle w:val="NumberLevel2"/>
        <w:numPr>
          <w:ilvl w:val="1"/>
          <w:numId w:val="5"/>
        </w:numPr>
        <w:tabs>
          <w:tab w:val="num" w:pos="709"/>
        </w:tabs>
        <w:ind w:left="709" w:hanging="709"/>
        <w:rPr>
          <w:lang w:val="en-AU"/>
        </w:rPr>
      </w:pPr>
      <w:r w:rsidRPr="00961152">
        <w:rPr>
          <w:lang w:val="en-AU"/>
        </w:rPr>
        <w:t>Unplanned corrective maintenance covers maintenance on assets that fail in service in order to restore them</w:t>
      </w:r>
      <w:r>
        <w:rPr>
          <w:lang w:val="en-AU"/>
        </w:rPr>
        <w:t xml:space="preserve"> </w:t>
      </w:r>
      <w:r w:rsidRPr="00961152">
        <w:rPr>
          <w:lang w:val="en-AU"/>
        </w:rPr>
        <w:t>to an acceptable condition so they can be operated safely at the required level of reliability and capacity.</w:t>
      </w:r>
      <w:r>
        <w:rPr>
          <w:lang w:val="en-AU"/>
        </w:rPr>
        <w:t xml:space="preserve"> Unplanned corrective maintenance account</w:t>
      </w:r>
      <w:r w:rsidR="00321ED1">
        <w:rPr>
          <w:lang w:val="en-AU"/>
        </w:rPr>
        <w:t>ed</w:t>
      </w:r>
      <w:r>
        <w:rPr>
          <w:lang w:val="en-AU"/>
        </w:rPr>
        <w:t xml:space="preserve"> for </w:t>
      </w:r>
      <w:r w:rsidR="00F72EFA">
        <w:rPr>
          <w:lang w:val="en-AU"/>
        </w:rPr>
        <w:t>10 per </w:t>
      </w:r>
      <w:r w:rsidR="00A15280">
        <w:rPr>
          <w:lang w:val="en-AU"/>
        </w:rPr>
        <w:t>cent</w:t>
      </w:r>
      <w:r>
        <w:rPr>
          <w:lang w:val="en-AU"/>
        </w:rPr>
        <w:t xml:space="preserve"> of </w:t>
      </w:r>
      <w:r w:rsidR="00F72EFA">
        <w:rPr>
          <w:lang w:val="en-AU"/>
        </w:rPr>
        <w:t xml:space="preserve">PWC Networks’ </w:t>
      </w:r>
      <w:r>
        <w:rPr>
          <w:lang w:val="en-AU"/>
        </w:rPr>
        <w:t>forecast opex.</w:t>
      </w:r>
    </w:p>
    <w:p w14:paraId="6E6B329E" w14:textId="5B73C0B8" w:rsidR="00123C01" w:rsidRDefault="00123C01" w:rsidP="000B7B49">
      <w:pPr>
        <w:pStyle w:val="NumberLevel2"/>
        <w:numPr>
          <w:ilvl w:val="1"/>
          <w:numId w:val="5"/>
        </w:numPr>
        <w:tabs>
          <w:tab w:val="num" w:pos="709"/>
        </w:tabs>
        <w:ind w:left="709" w:hanging="709"/>
        <w:rPr>
          <w:lang w:val="en-AU"/>
        </w:rPr>
      </w:pPr>
      <w:r>
        <w:rPr>
          <w:lang w:val="en-AU"/>
        </w:rPr>
        <w:t xml:space="preserve">Forecast expenditure </w:t>
      </w:r>
      <w:r w:rsidR="001133A1">
        <w:rPr>
          <w:lang w:val="en-AU"/>
        </w:rPr>
        <w:t xml:space="preserve">was </w:t>
      </w:r>
      <w:r>
        <w:rPr>
          <w:lang w:val="en-AU"/>
        </w:rPr>
        <w:t xml:space="preserve">based on actual expenditure in </w:t>
      </w:r>
      <w:r w:rsidR="00F72EFA">
        <w:rPr>
          <w:lang w:val="en-AU"/>
        </w:rPr>
        <w:t xml:space="preserve">the </w:t>
      </w:r>
      <w:r>
        <w:rPr>
          <w:lang w:val="en-AU"/>
        </w:rPr>
        <w:t xml:space="preserve">2012-13 </w:t>
      </w:r>
      <w:r w:rsidR="00F72EFA">
        <w:rPr>
          <w:lang w:val="en-AU"/>
        </w:rPr>
        <w:t xml:space="preserve">regulatory year </w:t>
      </w:r>
      <w:r>
        <w:rPr>
          <w:lang w:val="en-AU"/>
        </w:rPr>
        <w:t xml:space="preserve">adjusted for the projected growth rate of asset defects. The annual forecast expenditure </w:t>
      </w:r>
      <w:r w:rsidR="0098261D">
        <w:rPr>
          <w:lang w:val="en-AU"/>
        </w:rPr>
        <w:t xml:space="preserve">was </w:t>
      </w:r>
      <w:r>
        <w:rPr>
          <w:lang w:val="en-AU"/>
        </w:rPr>
        <w:t xml:space="preserve">then adjusted for step changes due to </w:t>
      </w:r>
      <w:r w:rsidR="0098261D">
        <w:rPr>
          <w:lang w:val="en-AU"/>
        </w:rPr>
        <w:t xml:space="preserve">a </w:t>
      </w:r>
      <w:r>
        <w:rPr>
          <w:lang w:val="en-AU"/>
        </w:rPr>
        <w:t>capital works program, backlog reduction programs, administration and travel.</w:t>
      </w:r>
    </w:p>
    <w:p w14:paraId="2181BECD" w14:textId="56C939D9" w:rsidR="00961152" w:rsidRDefault="00123C01" w:rsidP="000B7B49">
      <w:pPr>
        <w:pStyle w:val="NumberLevel2"/>
        <w:numPr>
          <w:ilvl w:val="1"/>
          <w:numId w:val="5"/>
        </w:numPr>
        <w:tabs>
          <w:tab w:val="num" w:pos="709"/>
        </w:tabs>
        <w:ind w:left="709" w:hanging="709"/>
        <w:rPr>
          <w:lang w:val="en-AU"/>
        </w:rPr>
      </w:pPr>
      <w:r>
        <w:rPr>
          <w:lang w:val="en-AU"/>
        </w:rPr>
        <w:t xml:space="preserve">A significant step change of </w:t>
      </w:r>
      <w:r w:rsidR="0098261D">
        <w:rPr>
          <w:lang w:val="en-AU"/>
        </w:rPr>
        <w:t>217 per </w:t>
      </w:r>
      <w:r w:rsidR="00A15280">
        <w:rPr>
          <w:lang w:val="en-AU"/>
        </w:rPr>
        <w:t xml:space="preserve">cent </w:t>
      </w:r>
      <w:r>
        <w:rPr>
          <w:lang w:val="en-AU"/>
        </w:rPr>
        <w:t xml:space="preserve">occurred from </w:t>
      </w:r>
      <w:r w:rsidR="0098261D">
        <w:rPr>
          <w:lang w:val="en-AU"/>
        </w:rPr>
        <w:t xml:space="preserve">the </w:t>
      </w:r>
      <w:r>
        <w:rPr>
          <w:lang w:val="en-AU"/>
        </w:rPr>
        <w:t xml:space="preserve">2010-11 </w:t>
      </w:r>
      <w:r w:rsidR="0098261D">
        <w:rPr>
          <w:lang w:val="en-AU"/>
        </w:rPr>
        <w:t xml:space="preserve">regulatory year </w:t>
      </w:r>
      <w:r>
        <w:rPr>
          <w:lang w:val="en-AU"/>
        </w:rPr>
        <w:t xml:space="preserve">to </w:t>
      </w:r>
      <w:r w:rsidR="0098261D">
        <w:rPr>
          <w:lang w:val="en-AU"/>
        </w:rPr>
        <w:t xml:space="preserve">the </w:t>
      </w:r>
      <w:r>
        <w:rPr>
          <w:lang w:val="en-AU"/>
        </w:rPr>
        <w:t xml:space="preserve">2011-12 </w:t>
      </w:r>
      <w:r w:rsidR="0098261D">
        <w:rPr>
          <w:lang w:val="en-AU"/>
        </w:rPr>
        <w:t xml:space="preserve">regulatory year </w:t>
      </w:r>
      <w:r>
        <w:rPr>
          <w:lang w:val="en-AU"/>
        </w:rPr>
        <w:t xml:space="preserve">due to a stronger focus on accurately capturing the time spent on maintenance activities. A subsequent decrease in </w:t>
      </w:r>
      <w:r w:rsidR="0098261D">
        <w:rPr>
          <w:lang w:val="en-AU"/>
        </w:rPr>
        <w:t xml:space="preserve">the </w:t>
      </w:r>
      <w:r>
        <w:rPr>
          <w:lang w:val="en-AU"/>
        </w:rPr>
        <w:t xml:space="preserve">2012-13 </w:t>
      </w:r>
      <w:r w:rsidR="0098261D">
        <w:rPr>
          <w:lang w:val="en-AU"/>
        </w:rPr>
        <w:t xml:space="preserve">regulatory year </w:t>
      </w:r>
      <w:r w:rsidR="001133A1">
        <w:rPr>
          <w:lang w:val="en-AU"/>
        </w:rPr>
        <w:t xml:space="preserve">was </w:t>
      </w:r>
      <w:r>
        <w:rPr>
          <w:lang w:val="en-AU"/>
        </w:rPr>
        <w:t xml:space="preserve">attributed to improved definition between planned and unplanned maintenance categories. </w:t>
      </w:r>
      <w:r w:rsidR="008479AF">
        <w:rPr>
          <w:lang w:val="en-AU"/>
        </w:rPr>
        <w:t>Overall</w:t>
      </w:r>
      <w:r w:rsidRPr="00961152">
        <w:rPr>
          <w:lang w:val="en-AU"/>
        </w:rPr>
        <w:t xml:space="preserve"> </w:t>
      </w:r>
      <w:r w:rsidR="008479AF">
        <w:rPr>
          <w:lang w:val="en-AU"/>
        </w:rPr>
        <w:t>e</w:t>
      </w:r>
      <w:r w:rsidR="008479AF" w:rsidRPr="00961152">
        <w:rPr>
          <w:lang w:val="en-AU"/>
        </w:rPr>
        <w:t xml:space="preserve">xpenditure </w:t>
      </w:r>
      <w:r w:rsidR="008479AF">
        <w:rPr>
          <w:lang w:val="en-AU"/>
        </w:rPr>
        <w:t xml:space="preserve">in the </w:t>
      </w:r>
      <w:r w:rsidR="001133A1">
        <w:rPr>
          <w:lang w:val="en-AU"/>
        </w:rPr>
        <w:t xml:space="preserve">2014-19 </w:t>
      </w:r>
      <w:r w:rsidR="008479AF">
        <w:rPr>
          <w:lang w:val="en-AU"/>
        </w:rPr>
        <w:t xml:space="preserve">regulatory control period </w:t>
      </w:r>
      <w:r w:rsidR="001133A1">
        <w:rPr>
          <w:lang w:val="en-AU"/>
        </w:rPr>
        <w:t>wa</w:t>
      </w:r>
      <w:r w:rsidR="001133A1" w:rsidRPr="00961152">
        <w:rPr>
          <w:lang w:val="en-AU"/>
        </w:rPr>
        <w:t xml:space="preserve">s </w:t>
      </w:r>
      <w:r w:rsidR="00961152" w:rsidRPr="00961152">
        <w:rPr>
          <w:lang w:val="en-AU"/>
        </w:rPr>
        <w:t xml:space="preserve">forecast to </w:t>
      </w:r>
      <w:r w:rsidR="002A49BF">
        <w:rPr>
          <w:lang w:val="en-AU"/>
        </w:rPr>
        <w:t>be</w:t>
      </w:r>
      <w:r w:rsidR="00961152" w:rsidRPr="00961152">
        <w:rPr>
          <w:lang w:val="en-AU"/>
        </w:rPr>
        <w:t xml:space="preserve"> slightly </w:t>
      </w:r>
      <w:r w:rsidR="002A49BF">
        <w:rPr>
          <w:lang w:val="en-AU"/>
        </w:rPr>
        <w:t xml:space="preserve">higher </w:t>
      </w:r>
      <w:r w:rsidR="00961152">
        <w:rPr>
          <w:lang w:val="en-AU"/>
        </w:rPr>
        <w:t>(by 3.</w:t>
      </w:r>
      <w:r w:rsidR="0098261D">
        <w:rPr>
          <w:lang w:val="en-AU"/>
        </w:rPr>
        <w:t>4 per </w:t>
      </w:r>
      <w:r w:rsidR="00A15280">
        <w:rPr>
          <w:lang w:val="en-AU"/>
        </w:rPr>
        <w:t xml:space="preserve">cent) </w:t>
      </w:r>
      <w:r w:rsidR="002A49BF">
        <w:rPr>
          <w:lang w:val="en-AU"/>
        </w:rPr>
        <w:t xml:space="preserve">than for the </w:t>
      </w:r>
      <w:r w:rsidR="001133A1">
        <w:rPr>
          <w:lang w:val="en-AU"/>
        </w:rPr>
        <w:t xml:space="preserve">2009-14 </w:t>
      </w:r>
      <w:r w:rsidR="002A49BF">
        <w:rPr>
          <w:lang w:val="en-AU"/>
        </w:rPr>
        <w:t xml:space="preserve">regulatory control period.  </w:t>
      </w:r>
    </w:p>
    <w:p w14:paraId="09818B6D" w14:textId="77777777" w:rsidR="002A49BF" w:rsidRDefault="00123C01" w:rsidP="000B7B49">
      <w:pPr>
        <w:pStyle w:val="NumberLevel2"/>
        <w:numPr>
          <w:ilvl w:val="1"/>
          <w:numId w:val="5"/>
        </w:numPr>
        <w:tabs>
          <w:tab w:val="num" w:pos="709"/>
        </w:tabs>
        <w:ind w:left="709" w:hanging="709"/>
        <w:rPr>
          <w:lang w:val="en-AU"/>
        </w:rPr>
      </w:pPr>
      <w:r>
        <w:rPr>
          <w:lang w:val="en-AU"/>
        </w:rPr>
        <w:t xml:space="preserve">The Commission </w:t>
      </w:r>
      <w:r w:rsidR="001133A1">
        <w:rPr>
          <w:lang w:val="en-AU"/>
        </w:rPr>
        <w:t xml:space="preserve">considered </w:t>
      </w:r>
      <w:r w:rsidR="002A49BF">
        <w:rPr>
          <w:lang w:val="en-AU"/>
        </w:rPr>
        <w:t xml:space="preserve">that PWC Networks’ approach to forecast unplanned corrective maintenance was reasonable. </w:t>
      </w:r>
    </w:p>
    <w:p w14:paraId="49CE9CFA" w14:textId="02B54497" w:rsidR="002A49BF" w:rsidRPr="00222331" w:rsidRDefault="00A15280" w:rsidP="000B7B49">
      <w:pPr>
        <w:pStyle w:val="NumberLevel2"/>
        <w:numPr>
          <w:ilvl w:val="1"/>
          <w:numId w:val="5"/>
        </w:numPr>
        <w:tabs>
          <w:tab w:val="num" w:pos="709"/>
        </w:tabs>
        <w:ind w:left="709" w:hanging="709"/>
        <w:rPr>
          <w:lang w:val="en-AU"/>
        </w:rPr>
      </w:pPr>
      <w:r>
        <w:rPr>
          <w:lang w:val="en-AU"/>
        </w:rPr>
        <w:t>The</w:t>
      </w:r>
      <w:r w:rsidR="002A49BF" w:rsidRPr="00EC1AB1">
        <w:rPr>
          <w:lang w:val="en-AU"/>
        </w:rPr>
        <w:t xml:space="preserve"> Commission </w:t>
      </w:r>
      <w:r w:rsidR="001133A1" w:rsidRPr="00EC1AB1">
        <w:rPr>
          <w:lang w:val="en-AU"/>
        </w:rPr>
        <w:t>consider</w:t>
      </w:r>
      <w:r w:rsidR="001133A1">
        <w:rPr>
          <w:lang w:val="en-AU"/>
        </w:rPr>
        <w:t>ed</w:t>
      </w:r>
      <w:r w:rsidR="001133A1" w:rsidRPr="00EC1AB1">
        <w:rPr>
          <w:lang w:val="en-AU"/>
        </w:rPr>
        <w:t xml:space="preserve"> </w:t>
      </w:r>
      <w:r w:rsidR="002A49BF" w:rsidRPr="00EC1AB1">
        <w:rPr>
          <w:lang w:val="en-AU"/>
        </w:rPr>
        <w:t xml:space="preserve">that </w:t>
      </w:r>
      <w:r w:rsidR="0098261D">
        <w:rPr>
          <w:lang w:val="en-AU"/>
        </w:rPr>
        <w:t xml:space="preserve">PWC Networks’ </w:t>
      </w:r>
      <w:r w:rsidR="002A49BF">
        <w:rPr>
          <w:lang w:val="en-AU"/>
        </w:rPr>
        <w:t>forecast unplanned corrective maintenance opex</w:t>
      </w:r>
      <w:r w:rsidR="002A49BF" w:rsidRPr="00EC1AB1">
        <w:rPr>
          <w:lang w:val="en-AU"/>
        </w:rPr>
        <w:t xml:space="preserve"> should be </w:t>
      </w:r>
      <w:r w:rsidR="002A49BF">
        <w:rPr>
          <w:lang w:val="en-AU"/>
        </w:rPr>
        <w:t>adjusted</w:t>
      </w:r>
      <w:r w:rsidR="002A49BF" w:rsidRPr="00EC1AB1">
        <w:rPr>
          <w:lang w:val="en-AU"/>
        </w:rPr>
        <w:t xml:space="preserve"> </w:t>
      </w:r>
      <w:r w:rsidR="002A49BF">
        <w:rPr>
          <w:lang w:val="en-AU"/>
        </w:rPr>
        <w:t>to allow for additional costs arising from deferral of replacement capex.</w:t>
      </w:r>
    </w:p>
    <w:p w14:paraId="16690E7F" w14:textId="77777777" w:rsidR="00222331" w:rsidRPr="00A15280" w:rsidRDefault="00222331" w:rsidP="00A15280">
      <w:pPr>
        <w:pStyle w:val="UtilComHeading4"/>
        <w:spacing w:before="120"/>
        <w:rPr>
          <w:b/>
          <w:i w:val="0"/>
          <w:lang w:val="en-AU"/>
        </w:rPr>
      </w:pPr>
      <w:r w:rsidRPr="00A15280">
        <w:rPr>
          <w:b/>
          <w:i w:val="0"/>
          <w:lang w:val="en-AU"/>
        </w:rPr>
        <w:t>Specific maintenance</w:t>
      </w:r>
    </w:p>
    <w:p w14:paraId="575DD249" w14:textId="45BFBBAD" w:rsidR="00222331" w:rsidRDefault="00C238E7" w:rsidP="000B7B49">
      <w:pPr>
        <w:pStyle w:val="NumberLevel2"/>
        <w:numPr>
          <w:ilvl w:val="1"/>
          <w:numId w:val="5"/>
        </w:numPr>
        <w:tabs>
          <w:tab w:val="num" w:pos="709"/>
        </w:tabs>
        <w:ind w:left="709" w:hanging="709"/>
        <w:rPr>
          <w:lang w:val="en-AU"/>
        </w:rPr>
      </w:pPr>
      <w:r w:rsidRPr="00C238E7">
        <w:rPr>
          <w:lang w:val="en-AU"/>
        </w:rPr>
        <w:t>Specific maintenance activities address systemic or common issues across an asset</w:t>
      </w:r>
      <w:r>
        <w:rPr>
          <w:lang w:val="en-AU"/>
        </w:rPr>
        <w:t xml:space="preserve"> </w:t>
      </w:r>
      <w:r w:rsidRPr="00C238E7">
        <w:rPr>
          <w:lang w:val="en-AU"/>
        </w:rPr>
        <w:t>class.</w:t>
      </w:r>
      <w:r>
        <w:rPr>
          <w:lang w:val="en-AU"/>
        </w:rPr>
        <w:t xml:space="preserve"> Specific maintenance account</w:t>
      </w:r>
      <w:r w:rsidR="00321ED1">
        <w:rPr>
          <w:lang w:val="en-AU"/>
        </w:rPr>
        <w:t>ed</w:t>
      </w:r>
      <w:r>
        <w:rPr>
          <w:lang w:val="en-AU"/>
        </w:rPr>
        <w:t xml:space="preserve"> for </w:t>
      </w:r>
      <w:r w:rsidR="0098261D">
        <w:rPr>
          <w:lang w:val="en-AU"/>
        </w:rPr>
        <w:t>1 per </w:t>
      </w:r>
      <w:r w:rsidR="00A15280">
        <w:rPr>
          <w:lang w:val="en-AU"/>
        </w:rPr>
        <w:t>cent</w:t>
      </w:r>
      <w:r>
        <w:rPr>
          <w:lang w:val="en-AU"/>
        </w:rPr>
        <w:t xml:space="preserve"> of </w:t>
      </w:r>
      <w:r w:rsidR="0098261D">
        <w:rPr>
          <w:lang w:val="en-AU"/>
        </w:rPr>
        <w:t xml:space="preserve">PWC Networks’ </w:t>
      </w:r>
      <w:r>
        <w:rPr>
          <w:lang w:val="en-AU"/>
        </w:rPr>
        <w:t>forecast opex.</w:t>
      </w:r>
    </w:p>
    <w:p w14:paraId="4559248B" w14:textId="7F14FDFD" w:rsidR="00C238E7" w:rsidRDefault="00C238E7" w:rsidP="000B7B49">
      <w:pPr>
        <w:pStyle w:val="NumberLevel2"/>
        <w:numPr>
          <w:ilvl w:val="1"/>
          <w:numId w:val="5"/>
        </w:numPr>
        <w:tabs>
          <w:tab w:val="num" w:pos="709"/>
        </w:tabs>
        <w:ind w:left="709" w:hanging="709"/>
        <w:rPr>
          <w:lang w:val="en-AU"/>
        </w:rPr>
      </w:pPr>
      <w:r>
        <w:rPr>
          <w:lang w:val="en-AU"/>
        </w:rPr>
        <w:t xml:space="preserve">Specific maintenance </w:t>
      </w:r>
      <w:r w:rsidR="001133A1">
        <w:rPr>
          <w:lang w:val="en-AU"/>
        </w:rPr>
        <w:t xml:space="preserve">was </w:t>
      </w:r>
      <w:r>
        <w:rPr>
          <w:lang w:val="en-AU"/>
        </w:rPr>
        <w:t xml:space="preserve">forecast to decrease significantly from the </w:t>
      </w:r>
      <w:r w:rsidR="001133A1">
        <w:rPr>
          <w:lang w:val="en-AU"/>
        </w:rPr>
        <w:t xml:space="preserve">2009-14 </w:t>
      </w:r>
      <w:r>
        <w:rPr>
          <w:lang w:val="en-AU"/>
        </w:rPr>
        <w:t xml:space="preserve">regulatory control period, following completion of the </w:t>
      </w:r>
      <w:r w:rsidR="0098261D">
        <w:rPr>
          <w:lang w:val="en-AU"/>
        </w:rPr>
        <w:t xml:space="preserve">remedial asset maintenance </w:t>
      </w:r>
      <w:r>
        <w:rPr>
          <w:lang w:val="en-AU"/>
        </w:rPr>
        <w:t>program and implementation of the Davies Review recommendations, to a small allowance for unforeseen contingencies.</w:t>
      </w:r>
    </w:p>
    <w:p w14:paraId="07DBC32A" w14:textId="6360C866" w:rsidR="00E93D25" w:rsidRPr="00222331" w:rsidRDefault="00A15280" w:rsidP="000B7B49">
      <w:pPr>
        <w:pStyle w:val="NumberLevel2"/>
        <w:numPr>
          <w:ilvl w:val="1"/>
          <w:numId w:val="5"/>
        </w:numPr>
        <w:tabs>
          <w:tab w:val="num" w:pos="709"/>
        </w:tabs>
        <w:ind w:left="709" w:hanging="709"/>
        <w:rPr>
          <w:lang w:val="en-AU"/>
        </w:rPr>
      </w:pPr>
      <w:r>
        <w:rPr>
          <w:lang w:val="en-AU"/>
        </w:rPr>
        <w:t>The</w:t>
      </w:r>
      <w:r w:rsidR="00E93D25" w:rsidRPr="00EC1AB1">
        <w:rPr>
          <w:lang w:val="en-AU"/>
        </w:rPr>
        <w:t xml:space="preserve"> Commission </w:t>
      </w:r>
      <w:r w:rsidR="001133A1" w:rsidRPr="00EC1AB1">
        <w:rPr>
          <w:lang w:val="en-AU"/>
        </w:rPr>
        <w:t>consider</w:t>
      </w:r>
      <w:r w:rsidR="001133A1">
        <w:rPr>
          <w:lang w:val="en-AU"/>
        </w:rPr>
        <w:t>ed</w:t>
      </w:r>
      <w:r w:rsidR="001133A1" w:rsidRPr="00EC1AB1">
        <w:rPr>
          <w:lang w:val="en-AU"/>
        </w:rPr>
        <w:t xml:space="preserve"> </w:t>
      </w:r>
      <w:r w:rsidR="00E93D25" w:rsidRPr="00EC1AB1">
        <w:rPr>
          <w:lang w:val="en-AU"/>
        </w:rPr>
        <w:t xml:space="preserve">that </w:t>
      </w:r>
      <w:r w:rsidR="0098261D">
        <w:rPr>
          <w:lang w:val="en-AU"/>
        </w:rPr>
        <w:t xml:space="preserve">PWC Networks’ </w:t>
      </w:r>
      <w:r w:rsidR="00E93D25">
        <w:rPr>
          <w:lang w:val="en-AU"/>
        </w:rPr>
        <w:t xml:space="preserve">forecast specific </w:t>
      </w:r>
      <w:r w:rsidR="00554AEF">
        <w:rPr>
          <w:lang w:val="en-AU"/>
        </w:rPr>
        <w:t>maintenance</w:t>
      </w:r>
      <w:r w:rsidR="00E93D25">
        <w:rPr>
          <w:lang w:val="en-AU"/>
        </w:rPr>
        <w:t xml:space="preserve"> opex</w:t>
      </w:r>
      <w:r w:rsidR="00E93D25" w:rsidRPr="00EC1AB1">
        <w:rPr>
          <w:lang w:val="en-AU"/>
        </w:rPr>
        <w:t xml:space="preserve"> should be </w:t>
      </w:r>
      <w:r w:rsidR="00554AEF">
        <w:rPr>
          <w:lang w:val="en-AU"/>
        </w:rPr>
        <w:t>decreased</w:t>
      </w:r>
      <w:r w:rsidR="00E93D25" w:rsidRPr="00EC1AB1">
        <w:rPr>
          <w:lang w:val="en-AU"/>
        </w:rPr>
        <w:t xml:space="preserve"> </w:t>
      </w:r>
      <w:r w:rsidR="00E93D25">
        <w:rPr>
          <w:lang w:val="en-AU"/>
        </w:rPr>
        <w:t xml:space="preserve">to </w:t>
      </w:r>
      <w:r w:rsidR="00554AEF">
        <w:rPr>
          <w:lang w:val="en-AU"/>
        </w:rPr>
        <w:t>remove the</w:t>
      </w:r>
      <w:r w:rsidR="00E93D25">
        <w:rPr>
          <w:lang w:val="en-AU"/>
        </w:rPr>
        <w:t xml:space="preserve"> costs </w:t>
      </w:r>
      <w:r w:rsidR="00554AEF">
        <w:rPr>
          <w:lang w:val="en-AU"/>
        </w:rPr>
        <w:t xml:space="preserve">of decommissioning of assets where the associated </w:t>
      </w:r>
      <w:r w:rsidR="00E93D25">
        <w:rPr>
          <w:lang w:val="en-AU"/>
        </w:rPr>
        <w:t>replacement capex</w:t>
      </w:r>
      <w:r w:rsidR="00554AEF">
        <w:rPr>
          <w:lang w:val="en-AU"/>
        </w:rPr>
        <w:t xml:space="preserve"> has been deferred.</w:t>
      </w:r>
    </w:p>
    <w:p w14:paraId="14DACD7F" w14:textId="77777777" w:rsidR="00222331" w:rsidRPr="00222331" w:rsidRDefault="00222331" w:rsidP="00222331">
      <w:pPr>
        <w:pStyle w:val="UtilComHeading3"/>
        <w:rPr>
          <w:lang w:val="en-AU"/>
        </w:rPr>
      </w:pPr>
      <w:r>
        <w:rPr>
          <w:lang w:val="en-AU"/>
        </w:rPr>
        <w:t>Real input cost escalation</w:t>
      </w:r>
    </w:p>
    <w:p w14:paraId="290A2D32" w14:textId="4170C8B7" w:rsidR="00336498" w:rsidRDefault="00336498" w:rsidP="000B7B49">
      <w:pPr>
        <w:pStyle w:val="NumberLevel2"/>
        <w:numPr>
          <w:ilvl w:val="1"/>
          <w:numId w:val="5"/>
        </w:numPr>
        <w:tabs>
          <w:tab w:val="num" w:pos="709"/>
        </w:tabs>
        <w:ind w:left="709" w:hanging="709"/>
        <w:rPr>
          <w:lang w:val="en-AU"/>
        </w:rPr>
      </w:pPr>
      <w:r w:rsidRPr="001D5122">
        <w:rPr>
          <w:lang w:val="en-AU"/>
        </w:rPr>
        <w:t>PB was not required to assess forecast rates of growth in input costs</w:t>
      </w:r>
      <w:r w:rsidR="00710953">
        <w:rPr>
          <w:lang w:val="en-AU"/>
        </w:rPr>
        <w:t xml:space="preserve"> but</w:t>
      </w:r>
      <w:r w:rsidRPr="001D5122">
        <w:rPr>
          <w:lang w:val="en-AU"/>
        </w:rPr>
        <w:t xml:space="preserve"> was required to ensure that forecast changes in input costs </w:t>
      </w:r>
      <w:r w:rsidR="00710953">
        <w:rPr>
          <w:lang w:val="en-AU"/>
        </w:rPr>
        <w:t>had</w:t>
      </w:r>
      <w:r w:rsidR="00710953" w:rsidRPr="001D5122">
        <w:rPr>
          <w:lang w:val="en-AU"/>
        </w:rPr>
        <w:t xml:space="preserve"> </w:t>
      </w:r>
      <w:r w:rsidRPr="001D5122">
        <w:rPr>
          <w:lang w:val="en-AU"/>
        </w:rPr>
        <w:t xml:space="preserve">been appropriately reflected in the cost escalation calculations performed by </w:t>
      </w:r>
      <w:r>
        <w:rPr>
          <w:lang w:val="en-AU"/>
        </w:rPr>
        <w:t>PWC Networks</w:t>
      </w:r>
      <w:r w:rsidRPr="001D5122">
        <w:rPr>
          <w:lang w:val="en-AU"/>
        </w:rPr>
        <w:t xml:space="preserve"> in forecasting </w:t>
      </w:r>
      <w:r>
        <w:rPr>
          <w:lang w:val="en-AU"/>
        </w:rPr>
        <w:t>o</w:t>
      </w:r>
      <w:r w:rsidRPr="001D5122">
        <w:rPr>
          <w:lang w:val="en-AU"/>
        </w:rPr>
        <w:t>pex.</w:t>
      </w:r>
    </w:p>
    <w:p w14:paraId="0674A984" w14:textId="4693890B" w:rsidR="00336498" w:rsidRDefault="00336498" w:rsidP="000B7B49">
      <w:pPr>
        <w:pStyle w:val="NumberLevel2"/>
        <w:numPr>
          <w:ilvl w:val="1"/>
          <w:numId w:val="5"/>
        </w:numPr>
        <w:tabs>
          <w:tab w:val="num" w:pos="709"/>
        </w:tabs>
        <w:ind w:left="709" w:hanging="709"/>
        <w:rPr>
          <w:lang w:val="en-AU"/>
        </w:rPr>
      </w:pPr>
      <w:r w:rsidRPr="001D5122">
        <w:rPr>
          <w:lang w:val="en-AU"/>
        </w:rPr>
        <w:t>P</w:t>
      </w:r>
      <w:r>
        <w:rPr>
          <w:lang w:val="en-AU"/>
        </w:rPr>
        <w:t>B</w:t>
      </w:r>
      <w:r w:rsidRPr="001D5122">
        <w:rPr>
          <w:lang w:val="en-AU"/>
        </w:rPr>
        <w:t xml:space="preserve"> reviewed the application of escalation in </w:t>
      </w:r>
      <w:r w:rsidR="009A7E29">
        <w:rPr>
          <w:lang w:val="en-AU"/>
        </w:rPr>
        <w:t>PWC</w:t>
      </w:r>
      <w:r w:rsidR="009A7E29" w:rsidRPr="001D5122">
        <w:rPr>
          <w:lang w:val="en-AU"/>
        </w:rPr>
        <w:t xml:space="preserve"> </w:t>
      </w:r>
      <w:r w:rsidRPr="001D5122">
        <w:rPr>
          <w:lang w:val="en-AU"/>
        </w:rPr>
        <w:t xml:space="preserve">Networks’ forecast </w:t>
      </w:r>
      <w:r>
        <w:rPr>
          <w:lang w:val="en-AU"/>
        </w:rPr>
        <w:t>o</w:t>
      </w:r>
      <w:r w:rsidRPr="001D5122">
        <w:rPr>
          <w:lang w:val="en-AU"/>
        </w:rPr>
        <w:t xml:space="preserve">pex </w:t>
      </w:r>
      <w:r w:rsidR="002754D1" w:rsidRPr="001D5122">
        <w:rPr>
          <w:lang w:val="en-AU"/>
        </w:rPr>
        <w:t>mode</w:t>
      </w:r>
      <w:r w:rsidR="00710953">
        <w:rPr>
          <w:lang w:val="en-AU"/>
        </w:rPr>
        <w:t>l</w:t>
      </w:r>
      <w:r w:rsidR="002754D1">
        <w:rPr>
          <w:lang w:val="en-AU"/>
        </w:rPr>
        <w:t xml:space="preserve"> (refer Table </w:t>
      </w:r>
      <w:r w:rsidR="00160B60">
        <w:rPr>
          <w:lang w:val="en-AU"/>
        </w:rPr>
        <w:t>10</w:t>
      </w:r>
      <w:r w:rsidR="002754D1">
        <w:rPr>
          <w:lang w:val="en-AU"/>
        </w:rPr>
        <w:t xml:space="preserve">.3) </w:t>
      </w:r>
      <w:r w:rsidRPr="001D5122">
        <w:rPr>
          <w:lang w:val="en-AU"/>
        </w:rPr>
        <w:t xml:space="preserve">and confirmed that the rates applied </w:t>
      </w:r>
      <w:r w:rsidR="00710953">
        <w:rPr>
          <w:lang w:val="en-AU"/>
        </w:rPr>
        <w:t>were</w:t>
      </w:r>
      <w:r w:rsidR="00710953" w:rsidRPr="001D5122">
        <w:rPr>
          <w:lang w:val="en-AU"/>
        </w:rPr>
        <w:t xml:space="preserve"> </w:t>
      </w:r>
      <w:r w:rsidRPr="001D5122">
        <w:rPr>
          <w:lang w:val="en-AU"/>
        </w:rPr>
        <w:t xml:space="preserve">those relevant to the forecast </w:t>
      </w:r>
      <w:r w:rsidR="00710953">
        <w:rPr>
          <w:lang w:val="en-AU"/>
        </w:rPr>
        <w:t xml:space="preserve">opex </w:t>
      </w:r>
      <w:r w:rsidRPr="001D5122">
        <w:rPr>
          <w:lang w:val="en-AU"/>
        </w:rPr>
        <w:t xml:space="preserve">for the </w:t>
      </w:r>
      <w:r w:rsidR="007669D5">
        <w:rPr>
          <w:lang w:val="en-AU"/>
        </w:rPr>
        <w:t>2014-19</w:t>
      </w:r>
      <w:r w:rsidR="007669D5" w:rsidRPr="001D5122">
        <w:rPr>
          <w:lang w:val="en-AU"/>
        </w:rPr>
        <w:t xml:space="preserve"> </w:t>
      </w:r>
      <w:r w:rsidRPr="001D5122">
        <w:rPr>
          <w:lang w:val="en-AU"/>
        </w:rPr>
        <w:t>regulatory</w:t>
      </w:r>
      <w:r>
        <w:rPr>
          <w:lang w:val="en-AU"/>
        </w:rPr>
        <w:t xml:space="preserve"> </w:t>
      </w:r>
      <w:r w:rsidR="001F0FFB">
        <w:rPr>
          <w:lang w:val="en-AU"/>
        </w:rPr>
        <w:t xml:space="preserve">control </w:t>
      </w:r>
      <w:r w:rsidRPr="001D5122">
        <w:rPr>
          <w:lang w:val="en-AU"/>
        </w:rPr>
        <w:t xml:space="preserve">period as recommended </w:t>
      </w:r>
      <w:r>
        <w:rPr>
          <w:lang w:val="en-AU"/>
        </w:rPr>
        <w:t>by consultants engaged by PWC Networks</w:t>
      </w:r>
      <w:r w:rsidRPr="001D5122">
        <w:rPr>
          <w:lang w:val="en-AU"/>
        </w:rPr>
        <w:t>. P</w:t>
      </w:r>
      <w:r>
        <w:rPr>
          <w:lang w:val="en-AU"/>
        </w:rPr>
        <w:t xml:space="preserve">B found </w:t>
      </w:r>
      <w:r w:rsidRPr="001D5122">
        <w:rPr>
          <w:lang w:val="en-AU"/>
        </w:rPr>
        <w:t xml:space="preserve">that </w:t>
      </w:r>
      <w:r w:rsidR="009A7E29">
        <w:rPr>
          <w:lang w:val="en-AU"/>
        </w:rPr>
        <w:t>PWC</w:t>
      </w:r>
      <w:r w:rsidR="009A7E29" w:rsidRPr="001D5122">
        <w:rPr>
          <w:lang w:val="en-AU"/>
        </w:rPr>
        <w:t xml:space="preserve"> </w:t>
      </w:r>
      <w:r w:rsidRPr="001D5122">
        <w:rPr>
          <w:lang w:val="en-AU"/>
        </w:rPr>
        <w:t xml:space="preserve">Networks’ overall </w:t>
      </w:r>
      <w:r>
        <w:rPr>
          <w:lang w:val="en-AU"/>
        </w:rPr>
        <w:t>o</w:t>
      </w:r>
      <w:r w:rsidRPr="001D5122">
        <w:rPr>
          <w:lang w:val="en-AU"/>
        </w:rPr>
        <w:t>pex e</w:t>
      </w:r>
      <w:r w:rsidR="00554AEF">
        <w:rPr>
          <w:lang w:val="en-AU"/>
        </w:rPr>
        <w:t xml:space="preserve">scalation process </w:t>
      </w:r>
      <w:r w:rsidR="00710953">
        <w:rPr>
          <w:lang w:val="en-AU"/>
        </w:rPr>
        <w:t xml:space="preserve">was </w:t>
      </w:r>
      <w:r w:rsidR="00554AEF">
        <w:rPr>
          <w:lang w:val="en-AU"/>
        </w:rPr>
        <w:t>reasonable, however PB did not offer a view about the reasonableness of the escalators themselves.</w:t>
      </w:r>
    </w:p>
    <w:p w14:paraId="75CC4EF4" w14:textId="77777777" w:rsidR="00114B1D" w:rsidRDefault="00114B1D">
      <w:pPr>
        <w:spacing w:before="0" w:after="0" w:line="240" w:lineRule="auto"/>
        <w:rPr>
          <w:rFonts w:cs="Arial"/>
          <w:spacing w:val="-14"/>
          <w:szCs w:val="22"/>
          <w:lang w:val="en-AU"/>
        </w:rPr>
      </w:pPr>
      <w:r>
        <w:br w:type="page"/>
      </w:r>
    </w:p>
    <w:p w14:paraId="4497D1F8" w14:textId="2BE11AC2" w:rsidR="00A94714" w:rsidRPr="00A139AD" w:rsidRDefault="00A94714" w:rsidP="009537D2">
      <w:pPr>
        <w:pStyle w:val="UtilComTableTitle"/>
        <w:keepNext/>
        <w:spacing w:before="120" w:after="0" w:line="240" w:lineRule="exact"/>
      </w:pPr>
      <w:r>
        <w:t xml:space="preserve">Table </w:t>
      </w:r>
      <w:r w:rsidR="00160B60">
        <w:t>10</w:t>
      </w:r>
      <w:r>
        <w:t xml:space="preserve">.3: Impact of PWC Networks real cost escalators on forecast </w:t>
      </w:r>
      <w:r w:rsidR="008873E2">
        <w:t>opex</w:t>
      </w:r>
      <w:r w:rsidRPr="00125E7A">
        <w:t xml:space="preserve"> ($</w:t>
      </w:r>
      <w:r w:rsidR="00484786">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A94714" w:rsidRPr="008A4655" w14:paraId="31207AA0" w14:textId="77777777" w:rsidTr="009537D2">
        <w:trPr>
          <w:cantSplit/>
          <w:trHeight w:val="360"/>
        </w:trPr>
        <w:tc>
          <w:tcPr>
            <w:tcW w:w="1811" w:type="dxa"/>
            <w:tcBorders>
              <w:top w:val="single" w:sz="4" w:space="0" w:color="999999"/>
              <w:bottom w:val="single" w:sz="4" w:space="0" w:color="auto"/>
            </w:tcBorders>
            <w:vAlign w:val="bottom"/>
          </w:tcPr>
          <w:p w14:paraId="0F5EE699" w14:textId="77777777" w:rsidR="00A94714" w:rsidRPr="00EE5A08" w:rsidRDefault="00A94714" w:rsidP="009537D2">
            <w:pPr>
              <w:pStyle w:val="UtilComTabletext"/>
              <w:rPr>
                <w:b/>
              </w:rPr>
            </w:pPr>
          </w:p>
        </w:tc>
        <w:tc>
          <w:tcPr>
            <w:tcW w:w="1221" w:type="dxa"/>
            <w:tcBorders>
              <w:top w:val="single" w:sz="4" w:space="0" w:color="999999"/>
              <w:bottom w:val="single" w:sz="4" w:space="0" w:color="auto"/>
            </w:tcBorders>
            <w:tcMar>
              <w:left w:w="0" w:type="dxa"/>
            </w:tcMar>
            <w:vAlign w:val="bottom"/>
          </w:tcPr>
          <w:p w14:paraId="46C12458" w14:textId="77777777" w:rsidR="00A94714" w:rsidRPr="00EE5A08" w:rsidRDefault="00A94714" w:rsidP="009537D2">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7A9C169D" w14:textId="77777777" w:rsidR="00A94714" w:rsidRPr="00EE5A08" w:rsidRDefault="00A94714" w:rsidP="009537D2">
            <w:pPr>
              <w:pStyle w:val="UtilComTabletext"/>
              <w:jc w:val="right"/>
              <w:rPr>
                <w:b/>
              </w:rPr>
            </w:pPr>
            <w:r>
              <w:rPr>
                <w:b/>
              </w:rPr>
              <w:t>2015-16</w:t>
            </w:r>
          </w:p>
        </w:tc>
        <w:tc>
          <w:tcPr>
            <w:tcW w:w="1221" w:type="dxa"/>
            <w:tcBorders>
              <w:top w:val="single" w:sz="4" w:space="0" w:color="999999"/>
              <w:bottom w:val="single" w:sz="4" w:space="0" w:color="auto"/>
            </w:tcBorders>
            <w:vAlign w:val="bottom"/>
          </w:tcPr>
          <w:p w14:paraId="511C6C49" w14:textId="77777777" w:rsidR="00A94714" w:rsidRDefault="00A94714" w:rsidP="009537D2">
            <w:pPr>
              <w:pStyle w:val="UtilComTabletext"/>
              <w:jc w:val="right"/>
              <w:rPr>
                <w:b/>
              </w:rPr>
            </w:pPr>
            <w:r>
              <w:rPr>
                <w:b/>
              </w:rPr>
              <w:t>2016-17</w:t>
            </w:r>
          </w:p>
        </w:tc>
        <w:tc>
          <w:tcPr>
            <w:tcW w:w="1221" w:type="dxa"/>
            <w:tcBorders>
              <w:top w:val="single" w:sz="4" w:space="0" w:color="999999"/>
              <w:bottom w:val="single" w:sz="4" w:space="0" w:color="auto"/>
            </w:tcBorders>
            <w:vAlign w:val="bottom"/>
          </w:tcPr>
          <w:p w14:paraId="4A7311E6" w14:textId="77777777" w:rsidR="00A94714" w:rsidRDefault="00A94714" w:rsidP="009537D2">
            <w:pPr>
              <w:pStyle w:val="UtilComTabletext"/>
              <w:jc w:val="right"/>
              <w:rPr>
                <w:b/>
              </w:rPr>
            </w:pPr>
            <w:r>
              <w:rPr>
                <w:b/>
              </w:rPr>
              <w:t>2017-18</w:t>
            </w:r>
          </w:p>
        </w:tc>
        <w:tc>
          <w:tcPr>
            <w:tcW w:w="1221" w:type="dxa"/>
            <w:tcBorders>
              <w:top w:val="single" w:sz="4" w:space="0" w:color="999999"/>
              <w:bottom w:val="single" w:sz="4" w:space="0" w:color="auto"/>
            </w:tcBorders>
            <w:vAlign w:val="bottom"/>
          </w:tcPr>
          <w:p w14:paraId="3B82752E" w14:textId="77777777" w:rsidR="00A94714" w:rsidRDefault="00A94714" w:rsidP="009537D2">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16D62A46" w14:textId="77777777" w:rsidR="00A94714" w:rsidRPr="00EE5A08" w:rsidRDefault="00A94714" w:rsidP="009537D2">
            <w:pPr>
              <w:pStyle w:val="UtilComTabletext"/>
              <w:jc w:val="right"/>
              <w:rPr>
                <w:b/>
              </w:rPr>
            </w:pPr>
            <w:r>
              <w:rPr>
                <w:b/>
              </w:rPr>
              <w:t>Total</w:t>
            </w:r>
          </w:p>
        </w:tc>
      </w:tr>
      <w:tr w:rsidR="00336498" w:rsidRPr="008A4655" w14:paraId="131014E1" w14:textId="77777777" w:rsidTr="009537D2">
        <w:trPr>
          <w:cantSplit/>
          <w:trHeight w:val="360"/>
        </w:trPr>
        <w:tc>
          <w:tcPr>
            <w:tcW w:w="1811" w:type="dxa"/>
            <w:tcBorders>
              <w:top w:val="single" w:sz="4" w:space="0" w:color="auto"/>
              <w:bottom w:val="single" w:sz="4" w:space="0" w:color="999999"/>
            </w:tcBorders>
          </w:tcPr>
          <w:p w14:paraId="460D12A2" w14:textId="77777777" w:rsidR="00336498" w:rsidRDefault="00336498" w:rsidP="009537D2">
            <w:pPr>
              <w:pStyle w:val="UtilComTabletext"/>
            </w:pPr>
            <w:r>
              <w:t>Base opex</w:t>
            </w:r>
          </w:p>
        </w:tc>
        <w:tc>
          <w:tcPr>
            <w:tcW w:w="1221" w:type="dxa"/>
            <w:tcBorders>
              <w:top w:val="single" w:sz="4" w:space="0" w:color="auto"/>
              <w:bottom w:val="single" w:sz="4" w:space="0" w:color="999999"/>
            </w:tcBorders>
            <w:shd w:val="clear" w:color="auto" w:fill="auto"/>
          </w:tcPr>
          <w:p w14:paraId="7E90A7C4" w14:textId="77777777" w:rsidR="00336498" w:rsidRPr="00052C2C" w:rsidRDefault="00336498" w:rsidP="009537D2">
            <w:pPr>
              <w:pStyle w:val="UtilComTabletext"/>
              <w:jc w:val="right"/>
            </w:pPr>
            <w:r w:rsidRPr="00052C2C">
              <w:t xml:space="preserve"> 107</w:t>
            </w:r>
            <w:r w:rsidR="009537D2">
              <w:t>.12</w:t>
            </w:r>
            <w:r w:rsidRPr="00052C2C">
              <w:t xml:space="preserve"> </w:t>
            </w:r>
          </w:p>
        </w:tc>
        <w:tc>
          <w:tcPr>
            <w:tcW w:w="1221" w:type="dxa"/>
            <w:tcBorders>
              <w:top w:val="single" w:sz="4" w:space="0" w:color="auto"/>
              <w:bottom w:val="single" w:sz="4" w:space="0" w:color="999999"/>
            </w:tcBorders>
            <w:shd w:val="clear" w:color="auto" w:fill="auto"/>
          </w:tcPr>
          <w:p w14:paraId="0E80FF05" w14:textId="77777777" w:rsidR="00336498" w:rsidRPr="00052C2C" w:rsidRDefault="00336498" w:rsidP="009537D2">
            <w:pPr>
              <w:pStyle w:val="UtilComTabletext"/>
              <w:jc w:val="right"/>
            </w:pPr>
            <w:r w:rsidRPr="00052C2C">
              <w:t xml:space="preserve"> 104</w:t>
            </w:r>
            <w:r w:rsidR="009537D2">
              <w:t>.46</w:t>
            </w:r>
            <w:r w:rsidRPr="00052C2C">
              <w:t xml:space="preserve"> </w:t>
            </w:r>
          </w:p>
        </w:tc>
        <w:tc>
          <w:tcPr>
            <w:tcW w:w="1221" w:type="dxa"/>
            <w:tcBorders>
              <w:top w:val="single" w:sz="4" w:space="0" w:color="auto"/>
              <w:bottom w:val="single" w:sz="4" w:space="0" w:color="999999"/>
            </w:tcBorders>
          </w:tcPr>
          <w:p w14:paraId="05C41D30" w14:textId="77777777" w:rsidR="00336498" w:rsidRPr="00052C2C" w:rsidRDefault="00336498" w:rsidP="009537D2">
            <w:pPr>
              <w:pStyle w:val="UtilComTabletext"/>
              <w:jc w:val="right"/>
            </w:pPr>
            <w:r w:rsidRPr="00052C2C">
              <w:t xml:space="preserve"> 105</w:t>
            </w:r>
            <w:r w:rsidR="009537D2">
              <w:t>.26</w:t>
            </w:r>
            <w:r w:rsidRPr="00052C2C">
              <w:t xml:space="preserve"> </w:t>
            </w:r>
          </w:p>
        </w:tc>
        <w:tc>
          <w:tcPr>
            <w:tcW w:w="1221" w:type="dxa"/>
            <w:tcBorders>
              <w:top w:val="single" w:sz="4" w:space="0" w:color="auto"/>
              <w:bottom w:val="single" w:sz="4" w:space="0" w:color="999999"/>
            </w:tcBorders>
          </w:tcPr>
          <w:p w14:paraId="4FA08105" w14:textId="77777777" w:rsidR="00336498" w:rsidRPr="00052C2C" w:rsidRDefault="00336498" w:rsidP="009537D2">
            <w:pPr>
              <w:pStyle w:val="UtilComTabletext"/>
              <w:jc w:val="right"/>
            </w:pPr>
            <w:r w:rsidRPr="00052C2C">
              <w:t xml:space="preserve"> 103</w:t>
            </w:r>
            <w:r w:rsidR="009537D2">
              <w:t>.39</w:t>
            </w:r>
            <w:r w:rsidRPr="00052C2C">
              <w:t xml:space="preserve"> </w:t>
            </w:r>
          </w:p>
        </w:tc>
        <w:tc>
          <w:tcPr>
            <w:tcW w:w="1221" w:type="dxa"/>
            <w:tcBorders>
              <w:top w:val="single" w:sz="4" w:space="0" w:color="auto"/>
              <w:bottom w:val="single" w:sz="4" w:space="0" w:color="999999"/>
            </w:tcBorders>
          </w:tcPr>
          <w:p w14:paraId="5B827AB3" w14:textId="77777777" w:rsidR="00336498" w:rsidRPr="00052C2C" w:rsidRDefault="00336498" w:rsidP="009537D2">
            <w:pPr>
              <w:pStyle w:val="UtilComTabletext"/>
              <w:jc w:val="right"/>
            </w:pPr>
            <w:r w:rsidRPr="00052C2C">
              <w:t xml:space="preserve"> 102</w:t>
            </w:r>
            <w:r w:rsidR="009537D2">
              <w:t>.16</w:t>
            </w:r>
            <w:r w:rsidRPr="00052C2C">
              <w:t xml:space="preserve"> </w:t>
            </w:r>
          </w:p>
        </w:tc>
        <w:tc>
          <w:tcPr>
            <w:tcW w:w="1221" w:type="dxa"/>
            <w:tcBorders>
              <w:top w:val="single" w:sz="4" w:space="0" w:color="auto"/>
              <w:bottom w:val="single" w:sz="4" w:space="0" w:color="999999"/>
            </w:tcBorders>
            <w:shd w:val="clear" w:color="auto" w:fill="auto"/>
          </w:tcPr>
          <w:p w14:paraId="37AA15B8" w14:textId="77777777" w:rsidR="00336498" w:rsidRDefault="00336498" w:rsidP="009537D2">
            <w:pPr>
              <w:pStyle w:val="UtilComTabletext"/>
              <w:jc w:val="right"/>
            </w:pPr>
            <w:r w:rsidRPr="00052C2C">
              <w:t xml:space="preserve"> 522</w:t>
            </w:r>
            <w:r w:rsidR="009537D2">
              <w:t>.38</w:t>
            </w:r>
            <w:r w:rsidRPr="00052C2C">
              <w:t xml:space="preserve"> </w:t>
            </w:r>
          </w:p>
        </w:tc>
      </w:tr>
      <w:tr w:rsidR="00336498" w:rsidRPr="008A4655" w14:paraId="54C276FB" w14:textId="77777777" w:rsidTr="009537D2">
        <w:trPr>
          <w:cantSplit/>
          <w:trHeight w:val="360"/>
        </w:trPr>
        <w:tc>
          <w:tcPr>
            <w:tcW w:w="1811" w:type="dxa"/>
            <w:tcBorders>
              <w:top w:val="single" w:sz="4" w:space="0" w:color="999999"/>
              <w:bottom w:val="single" w:sz="4" w:space="0" w:color="999999"/>
            </w:tcBorders>
          </w:tcPr>
          <w:p w14:paraId="6AFDB7D4" w14:textId="77777777" w:rsidR="00336498" w:rsidRDefault="00336498" w:rsidP="009537D2">
            <w:pPr>
              <w:pStyle w:val="UtilComTabletext"/>
            </w:pPr>
            <w:r>
              <w:t>Real cost escalation adjustment</w:t>
            </w:r>
          </w:p>
        </w:tc>
        <w:tc>
          <w:tcPr>
            <w:tcW w:w="1221" w:type="dxa"/>
            <w:tcBorders>
              <w:top w:val="single" w:sz="4" w:space="0" w:color="999999"/>
              <w:bottom w:val="single" w:sz="4" w:space="0" w:color="999999"/>
            </w:tcBorders>
            <w:shd w:val="clear" w:color="auto" w:fill="auto"/>
          </w:tcPr>
          <w:p w14:paraId="228233C8" w14:textId="77777777" w:rsidR="00336498" w:rsidRPr="00D43198" w:rsidRDefault="00336498" w:rsidP="009537D2">
            <w:pPr>
              <w:pStyle w:val="UtilComTabletext"/>
              <w:jc w:val="right"/>
            </w:pPr>
            <w:r w:rsidRPr="00D43198">
              <w:t xml:space="preserve"> 2</w:t>
            </w:r>
            <w:r w:rsidR="009537D2">
              <w:t>.18</w:t>
            </w:r>
            <w:r w:rsidRPr="00D43198">
              <w:t xml:space="preserve"> </w:t>
            </w:r>
          </w:p>
        </w:tc>
        <w:tc>
          <w:tcPr>
            <w:tcW w:w="1221" w:type="dxa"/>
            <w:tcBorders>
              <w:top w:val="single" w:sz="4" w:space="0" w:color="999999"/>
              <w:bottom w:val="single" w:sz="4" w:space="0" w:color="999999"/>
            </w:tcBorders>
            <w:shd w:val="clear" w:color="auto" w:fill="auto"/>
          </w:tcPr>
          <w:p w14:paraId="78094B8E" w14:textId="77777777" w:rsidR="00336498" w:rsidRPr="00D43198" w:rsidRDefault="00336498" w:rsidP="009537D2">
            <w:pPr>
              <w:pStyle w:val="UtilComTabletext"/>
              <w:jc w:val="right"/>
            </w:pPr>
            <w:r w:rsidRPr="00D43198">
              <w:t xml:space="preserve"> 2</w:t>
            </w:r>
            <w:r w:rsidR="009537D2">
              <w:t>.71</w:t>
            </w:r>
            <w:r w:rsidRPr="00D43198">
              <w:t xml:space="preserve"> </w:t>
            </w:r>
          </w:p>
        </w:tc>
        <w:tc>
          <w:tcPr>
            <w:tcW w:w="1221" w:type="dxa"/>
            <w:tcBorders>
              <w:top w:val="single" w:sz="4" w:space="0" w:color="999999"/>
              <w:bottom w:val="single" w:sz="4" w:space="0" w:color="999999"/>
            </w:tcBorders>
          </w:tcPr>
          <w:p w14:paraId="17A486DE" w14:textId="77777777" w:rsidR="00336498" w:rsidRPr="00D43198" w:rsidRDefault="00336498" w:rsidP="009537D2">
            <w:pPr>
              <w:pStyle w:val="UtilComTabletext"/>
              <w:jc w:val="right"/>
            </w:pPr>
            <w:r w:rsidRPr="00D43198">
              <w:t xml:space="preserve"> 3</w:t>
            </w:r>
            <w:r w:rsidR="009537D2">
              <w:t>.32</w:t>
            </w:r>
            <w:r w:rsidRPr="00D43198">
              <w:t xml:space="preserve"> </w:t>
            </w:r>
          </w:p>
        </w:tc>
        <w:tc>
          <w:tcPr>
            <w:tcW w:w="1221" w:type="dxa"/>
            <w:tcBorders>
              <w:top w:val="single" w:sz="4" w:space="0" w:color="999999"/>
              <w:bottom w:val="single" w:sz="4" w:space="0" w:color="999999"/>
            </w:tcBorders>
          </w:tcPr>
          <w:p w14:paraId="1DD6A4EE" w14:textId="77777777" w:rsidR="00336498" w:rsidRPr="00D43198" w:rsidRDefault="00336498" w:rsidP="009537D2">
            <w:pPr>
              <w:pStyle w:val="UtilComTabletext"/>
              <w:jc w:val="right"/>
            </w:pPr>
            <w:r w:rsidRPr="00D43198">
              <w:t xml:space="preserve"> 3</w:t>
            </w:r>
            <w:r w:rsidR="009537D2">
              <w:t>.99</w:t>
            </w:r>
            <w:r w:rsidRPr="00D43198">
              <w:t xml:space="preserve"> </w:t>
            </w:r>
          </w:p>
        </w:tc>
        <w:tc>
          <w:tcPr>
            <w:tcW w:w="1221" w:type="dxa"/>
            <w:tcBorders>
              <w:top w:val="single" w:sz="4" w:space="0" w:color="999999"/>
              <w:bottom w:val="single" w:sz="4" w:space="0" w:color="999999"/>
            </w:tcBorders>
          </w:tcPr>
          <w:p w14:paraId="4E81ED5E" w14:textId="77777777" w:rsidR="00336498" w:rsidRPr="00D43198" w:rsidRDefault="00336498" w:rsidP="009537D2">
            <w:pPr>
              <w:pStyle w:val="UtilComTabletext"/>
              <w:jc w:val="right"/>
            </w:pPr>
            <w:r w:rsidRPr="00D43198">
              <w:t xml:space="preserve"> 4</w:t>
            </w:r>
            <w:r w:rsidR="009537D2">
              <w:t>.71</w:t>
            </w:r>
            <w:r w:rsidRPr="00D43198">
              <w:t xml:space="preserve"> </w:t>
            </w:r>
          </w:p>
        </w:tc>
        <w:tc>
          <w:tcPr>
            <w:tcW w:w="1221" w:type="dxa"/>
            <w:tcBorders>
              <w:top w:val="single" w:sz="4" w:space="0" w:color="999999"/>
              <w:bottom w:val="single" w:sz="4" w:space="0" w:color="999999"/>
            </w:tcBorders>
            <w:shd w:val="clear" w:color="auto" w:fill="auto"/>
          </w:tcPr>
          <w:p w14:paraId="697BFDBF" w14:textId="77777777" w:rsidR="00336498" w:rsidRDefault="00336498" w:rsidP="009537D2">
            <w:pPr>
              <w:pStyle w:val="UtilComTabletext"/>
              <w:jc w:val="right"/>
            </w:pPr>
            <w:r w:rsidRPr="00D43198">
              <w:t xml:space="preserve"> 16</w:t>
            </w:r>
            <w:r w:rsidR="009537D2">
              <w:t>.91</w:t>
            </w:r>
            <w:r w:rsidRPr="00D43198">
              <w:t xml:space="preserve"> </w:t>
            </w:r>
          </w:p>
        </w:tc>
      </w:tr>
      <w:tr w:rsidR="00336498" w:rsidRPr="005A0B65" w14:paraId="47DA20E6" w14:textId="77777777" w:rsidTr="009537D2">
        <w:trPr>
          <w:cantSplit/>
          <w:trHeight w:val="360"/>
        </w:trPr>
        <w:tc>
          <w:tcPr>
            <w:tcW w:w="1811" w:type="dxa"/>
            <w:tcBorders>
              <w:top w:val="single" w:sz="4" w:space="0" w:color="auto"/>
              <w:bottom w:val="single" w:sz="4" w:space="0" w:color="000000"/>
            </w:tcBorders>
          </w:tcPr>
          <w:p w14:paraId="435B58EB" w14:textId="77777777" w:rsidR="00336498" w:rsidRPr="005A0B65" w:rsidRDefault="00336498" w:rsidP="009537D2">
            <w:pPr>
              <w:pStyle w:val="UtilComTabletext"/>
              <w:rPr>
                <w:b/>
              </w:rPr>
            </w:pPr>
            <w:r w:rsidRPr="005A0B65">
              <w:rPr>
                <w:b/>
              </w:rPr>
              <w:t xml:space="preserve">Total proposed </w:t>
            </w:r>
            <w:r>
              <w:rPr>
                <w:b/>
              </w:rPr>
              <w:t>o</w:t>
            </w:r>
            <w:r w:rsidRPr="005A0B65">
              <w:rPr>
                <w:b/>
              </w:rPr>
              <w:t>pex</w:t>
            </w:r>
          </w:p>
        </w:tc>
        <w:tc>
          <w:tcPr>
            <w:tcW w:w="1221" w:type="dxa"/>
            <w:tcBorders>
              <w:top w:val="single" w:sz="4" w:space="0" w:color="auto"/>
              <w:bottom w:val="single" w:sz="4" w:space="0" w:color="000000"/>
            </w:tcBorders>
            <w:shd w:val="clear" w:color="auto" w:fill="auto"/>
          </w:tcPr>
          <w:p w14:paraId="226F1221" w14:textId="77777777" w:rsidR="00336498" w:rsidRPr="00D065A7" w:rsidRDefault="00336498" w:rsidP="009537D2">
            <w:pPr>
              <w:pStyle w:val="UtilComTabletext"/>
              <w:jc w:val="right"/>
            </w:pPr>
            <w:r w:rsidRPr="00D065A7">
              <w:t xml:space="preserve"> 109</w:t>
            </w:r>
            <w:r w:rsidR="009537D2">
              <w:t>.30</w:t>
            </w:r>
            <w:r w:rsidRPr="00D065A7">
              <w:t xml:space="preserve"> </w:t>
            </w:r>
          </w:p>
        </w:tc>
        <w:tc>
          <w:tcPr>
            <w:tcW w:w="1221" w:type="dxa"/>
            <w:tcBorders>
              <w:top w:val="single" w:sz="4" w:space="0" w:color="auto"/>
              <w:bottom w:val="single" w:sz="4" w:space="0" w:color="000000"/>
            </w:tcBorders>
            <w:shd w:val="clear" w:color="auto" w:fill="auto"/>
          </w:tcPr>
          <w:p w14:paraId="1A173EE7" w14:textId="77777777" w:rsidR="00336498" w:rsidRPr="00D065A7" w:rsidRDefault="00336498" w:rsidP="009537D2">
            <w:pPr>
              <w:pStyle w:val="UtilComTabletext"/>
              <w:jc w:val="right"/>
            </w:pPr>
            <w:r w:rsidRPr="00D065A7">
              <w:t xml:space="preserve"> 107</w:t>
            </w:r>
            <w:r w:rsidR="009537D2">
              <w:t>.17</w:t>
            </w:r>
            <w:r w:rsidRPr="00D065A7">
              <w:t xml:space="preserve"> </w:t>
            </w:r>
          </w:p>
        </w:tc>
        <w:tc>
          <w:tcPr>
            <w:tcW w:w="1221" w:type="dxa"/>
            <w:tcBorders>
              <w:top w:val="single" w:sz="4" w:space="0" w:color="auto"/>
              <w:bottom w:val="single" w:sz="4" w:space="0" w:color="000000"/>
            </w:tcBorders>
          </w:tcPr>
          <w:p w14:paraId="08D4DF44" w14:textId="77777777" w:rsidR="00336498" w:rsidRPr="00D065A7" w:rsidRDefault="00336498" w:rsidP="009537D2">
            <w:pPr>
              <w:pStyle w:val="UtilComTabletext"/>
              <w:jc w:val="right"/>
            </w:pPr>
            <w:r w:rsidRPr="00D065A7">
              <w:t xml:space="preserve"> 108</w:t>
            </w:r>
            <w:r w:rsidR="009537D2">
              <w:t>.58</w:t>
            </w:r>
            <w:r w:rsidRPr="00D065A7">
              <w:t xml:space="preserve"> </w:t>
            </w:r>
          </w:p>
        </w:tc>
        <w:tc>
          <w:tcPr>
            <w:tcW w:w="1221" w:type="dxa"/>
            <w:tcBorders>
              <w:top w:val="single" w:sz="4" w:space="0" w:color="auto"/>
              <w:bottom w:val="single" w:sz="4" w:space="0" w:color="000000"/>
            </w:tcBorders>
          </w:tcPr>
          <w:p w14:paraId="6985E1C8" w14:textId="77777777" w:rsidR="00336498" w:rsidRPr="00D065A7" w:rsidRDefault="00336498" w:rsidP="009537D2">
            <w:pPr>
              <w:pStyle w:val="UtilComTabletext"/>
              <w:jc w:val="right"/>
            </w:pPr>
            <w:r w:rsidRPr="00D065A7">
              <w:t xml:space="preserve"> 107</w:t>
            </w:r>
            <w:r w:rsidR="009537D2">
              <w:t>.37</w:t>
            </w:r>
            <w:r w:rsidRPr="00D065A7">
              <w:t xml:space="preserve"> </w:t>
            </w:r>
          </w:p>
        </w:tc>
        <w:tc>
          <w:tcPr>
            <w:tcW w:w="1221" w:type="dxa"/>
            <w:tcBorders>
              <w:top w:val="single" w:sz="4" w:space="0" w:color="auto"/>
              <w:bottom w:val="single" w:sz="4" w:space="0" w:color="000000"/>
            </w:tcBorders>
          </w:tcPr>
          <w:p w14:paraId="5033AAB2" w14:textId="77777777" w:rsidR="00336498" w:rsidRPr="00D065A7" w:rsidRDefault="00336498" w:rsidP="009537D2">
            <w:pPr>
              <w:pStyle w:val="UtilComTabletext"/>
              <w:jc w:val="right"/>
            </w:pPr>
            <w:r w:rsidRPr="00D065A7">
              <w:t xml:space="preserve"> 106</w:t>
            </w:r>
            <w:r w:rsidR="009537D2">
              <w:t>.87</w:t>
            </w:r>
            <w:r w:rsidRPr="00D065A7">
              <w:t xml:space="preserve"> </w:t>
            </w:r>
          </w:p>
        </w:tc>
        <w:tc>
          <w:tcPr>
            <w:tcW w:w="1221" w:type="dxa"/>
            <w:tcBorders>
              <w:top w:val="single" w:sz="4" w:space="0" w:color="auto"/>
              <w:bottom w:val="single" w:sz="4" w:space="0" w:color="000000"/>
            </w:tcBorders>
            <w:shd w:val="clear" w:color="auto" w:fill="auto"/>
          </w:tcPr>
          <w:p w14:paraId="69283DDC" w14:textId="77777777" w:rsidR="00336498" w:rsidRDefault="00336498" w:rsidP="009537D2">
            <w:pPr>
              <w:pStyle w:val="UtilComTabletext"/>
              <w:jc w:val="right"/>
            </w:pPr>
            <w:r w:rsidRPr="00D065A7">
              <w:t xml:space="preserve"> 539</w:t>
            </w:r>
            <w:r w:rsidR="009537D2">
              <w:t>.29</w:t>
            </w:r>
            <w:r w:rsidRPr="00D065A7">
              <w:t xml:space="preserve"> </w:t>
            </w:r>
          </w:p>
        </w:tc>
      </w:tr>
    </w:tbl>
    <w:p w14:paraId="162CFAB0" w14:textId="24FD570B" w:rsidR="00A94714" w:rsidRPr="00E529C5" w:rsidRDefault="00A94714" w:rsidP="0049377B">
      <w:pPr>
        <w:pStyle w:val="UtilComReferenceSource"/>
        <w:rPr>
          <w:lang w:val="en-AU"/>
        </w:rPr>
      </w:pPr>
      <w:r>
        <w:rPr>
          <w:lang w:val="en-AU"/>
        </w:rPr>
        <w:t xml:space="preserve">Source: </w:t>
      </w:r>
      <w:r w:rsidR="001751F6" w:rsidRPr="001751F6">
        <w:rPr>
          <w:lang w:val="en-AU"/>
        </w:rPr>
        <w:t xml:space="preserve">Derived from PWC Networks, </w:t>
      </w:r>
      <w:r w:rsidR="00710953">
        <w:rPr>
          <w:lang w:val="en-AU"/>
        </w:rPr>
        <w:t>initial r</w:t>
      </w:r>
      <w:r w:rsidR="00710953" w:rsidRPr="001751F6">
        <w:rPr>
          <w:lang w:val="en-AU"/>
        </w:rPr>
        <w:t xml:space="preserve">egulatory </w:t>
      </w:r>
      <w:r w:rsidR="001751F6" w:rsidRPr="001751F6">
        <w:rPr>
          <w:lang w:val="en-AU"/>
        </w:rPr>
        <w:t>proposal, September 2013, RIN template</w:t>
      </w:r>
      <w:r w:rsidR="001751F6">
        <w:rPr>
          <w:lang w:val="en-AU"/>
        </w:rPr>
        <w:t>s</w:t>
      </w:r>
      <w:r w:rsidR="001751F6" w:rsidRPr="001751F6">
        <w:rPr>
          <w:lang w:val="en-AU"/>
        </w:rPr>
        <w:t xml:space="preserve"> </w:t>
      </w:r>
      <w:r w:rsidR="001751F6">
        <w:rPr>
          <w:lang w:val="en-AU"/>
        </w:rPr>
        <w:t>2</w:t>
      </w:r>
      <w:r w:rsidR="001751F6" w:rsidRPr="001751F6">
        <w:rPr>
          <w:lang w:val="en-AU"/>
        </w:rPr>
        <w:t xml:space="preserve">.1 </w:t>
      </w:r>
      <w:r w:rsidR="009537D2">
        <w:rPr>
          <w:lang w:val="en-AU"/>
        </w:rPr>
        <w:t xml:space="preserve">and </w:t>
      </w:r>
      <w:r w:rsidR="001751F6">
        <w:rPr>
          <w:lang w:val="en-AU"/>
        </w:rPr>
        <w:t xml:space="preserve">2.2 </w:t>
      </w:r>
      <w:r w:rsidR="001751F6" w:rsidRPr="001751F6">
        <w:rPr>
          <w:lang w:val="en-AU"/>
        </w:rPr>
        <w:t>(confidential)</w:t>
      </w:r>
    </w:p>
    <w:p w14:paraId="5699F153" w14:textId="260117FD" w:rsidR="00CA7899" w:rsidRDefault="00CA7899" w:rsidP="000410E9">
      <w:pPr>
        <w:pStyle w:val="NumberLevel2"/>
        <w:numPr>
          <w:ilvl w:val="1"/>
          <w:numId w:val="5"/>
        </w:numPr>
        <w:tabs>
          <w:tab w:val="left" w:pos="709"/>
        </w:tabs>
        <w:ind w:left="709" w:hanging="709"/>
        <w:rPr>
          <w:lang w:val="en-AU"/>
        </w:rPr>
      </w:pPr>
      <w:r>
        <w:rPr>
          <w:lang w:val="en-AU"/>
        </w:rPr>
        <w:t xml:space="preserve">PWC Networks applied the same real cost escalators for opex as were used for capex. </w:t>
      </w:r>
    </w:p>
    <w:p w14:paraId="6ACBF09D" w14:textId="145CDE8B" w:rsidR="00554AEF" w:rsidRPr="00136EF9" w:rsidRDefault="00CA7899" w:rsidP="000410E9">
      <w:pPr>
        <w:pStyle w:val="NumberLevel2"/>
        <w:numPr>
          <w:ilvl w:val="1"/>
          <w:numId w:val="5"/>
        </w:numPr>
        <w:tabs>
          <w:tab w:val="left" w:pos="709"/>
        </w:tabs>
        <w:ind w:left="709" w:hanging="709"/>
        <w:rPr>
          <w:lang w:val="en-AU"/>
        </w:rPr>
      </w:pPr>
      <w:r>
        <w:rPr>
          <w:lang w:val="en-AU"/>
        </w:rPr>
        <w:t xml:space="preserve">As discussed in </w:t>
      </w:r>
      <w:r w:rsidR="009537D2">
        <w:rPr>
          <w:lang w:val="en-AU"/>
        </w:rPr>
        <w:t xml:space="preserve">Chapter </w:t>
      </w:r>
      <w:r w:rsidR="00160B60">
        <w:rPr>
          <w:lang w:val="en-AU"/>
        </w:rPr>
        <w:t>9</w:t>
      </w:r>
      <w:r w:rsidR="00321ED1">
        <w:rPr>
          <w:lang w:val="en-AU"/>
        </w:rPr>
        <w:t xml:space="preserve"> of this Statement of Reasons</w:t>
      </w:r>
      <w:r>
        <w:rPr>
          <w:lang w:val="en-AU"/>
        </w:rPr>
        <w:t xml:space="preserve">, the Commission </w:t>
      </w:r>
      <w:r w:rsidR="00160B60">
        <w:rPr>
          <w:lang w:val="en-AU"/>
        </w:rPr>
        <w:t xml:space="preserve">considered </w:t>
      </w:r>
      <w:r w:rsidR="007D6CDC">
        <w:rPr>
          <w:lang w:val="en-AU"/>
        </w:rPr>
        <w:t xml:space="preserve">that </w:t>
      </w:r>
      <w:r w:rsidR="00554AEF" w:rsidRPr="00136EF9">
        <w:rPr>
          <w:lang w:val="en-AU"/>
        </w:rPr>
        <w:t xml:space="preserve">the real input cost escalators proposed by PWC Networks </w:t>
      </w:r>
      <w:r w:rsidR="00160B60">
        <w:rPr>
          <w:lang w:val="en-AU"/>
        </w:rPr>
        <w:t xml:space="preserve">were </w:t>
      </w:r>
      <w:r w:rsidR="00554AEF">
        <w:rPr>
          <w:lang w:val="en-AU"/>
        </w:rPr>
        <w:t>reasonable</w:t>
      </w:r>
      <w:r w:rsidR="00554AEF" w:rsidRPr="00136EF9">
        <w:rPr>
          <w:lang w:val="en-AU"/>
        </w:rPr>
        <w:t>, taking into account the higher costs generally incurred in the Territory due to its remoteness and lack of economies of scale</w:t>
      </w:r>
      <w:r w:rsidR="00A84EF7">
        <w:rPr>
          <w:lang w:val="en-AU"/>
        </w:rPr>
        <w:t xml:space="preserve">, and in view of expected cost pressures arising from projects </w:t>
      </w:r>
      <w:r w:rsidR="00321ED1">
        <w:rPr>
          <w:lang w:val="en-AU"/>
        </w:rPr>
        <w:t xml:space="preserve">such </w:t>
      </w:r>
      <w:r w:rsidR="00A84EF7">
        <w:rPr>
          <w:lang w:val="en-AU"/>
        </w:rPr>
        <w:t>as Ichthys</w:t>
      </w:r>
      <w:r w:rsidR="00321ED1">
        <w:rPr>
          <w:lang w:val="en-AU"/>
        </w:rPr>
        <w:t xml:space="preserve"> Total</w:t>
      </w:r>
      <w:r w:rsidR="00554AEF" w:rsidRPr="00136EF9">
        <w:rPr>
          <w:lang w:val="en-AU"/>
        </w:rPr>
        <w:t>.</w:t>
      </w:r>
    </w:p>
    <w:p w14:paraId="2CDAB3B8" w14:textId="13030F30" w:rsidR="00920C21" w:rsidRDefault="00920C21" w:rsidP="00920C21">
      <w:pPr>
        <w:pStyle w:val="UtilComHeading3"/>
        <w:rPr>
          <w:lang w:val="en-AU"/>
        </w:rPr>
      </w:pPr>
      <w:r>
        <w:rPr>
          <w:lang w:val="en-AU"/>
        </w:rPr>
        <w:t xml:space="preserve">Efficiency of </w:t>
      </w:r>
      <w:r w:rsidR="00416AD7">
        <w:rPr>
          <w:lang w:val="en-AU"/>
        </w:rPr>
        <w:t>Forecast Opex</w:t>
      </w:r>
    </w:p>
    <w:p w14:paraId="5D2D56E9" w14:textId="52B8E50D" w:rsidR="00E34D79" w:rsidRDefault="00E34D79" w:rsidP="000410E9">
      <w:pPr>
        <w:pStyle w:val="NumberLevel2"/>
        <w:numPr>
          <w:ilvl w:val="1"/>
          <w:numId w:val="5"/>
        </w:numPr>
        <w:tabs>
          <w:tab w:val="num" w:pos="709"/>
        </w:tabs>
        <w:ind w:left="709" w:hanging="709"/>
        <w:rPr>
          <w:lang w:val="en-AU"/>
        </w:rPr>
      </w:pPr>
      <w:r>
        <w:rPr>
          <w:lang w:val="en-AU"/>
        </w:rPr>
        <w:t xml:space="preserve">Underlying the base, step and trend modelling approach adopted by PWC Networks to develop its operating cost forecasts </w:t>
      </w:r>
      <w:r w:rsidR="00781F39">
        <w:rPr>
          <w:lang w:val="en-AU"/>
        </w:rPr>
        <w:t xml:space="preserve">was </w:t>
      </w:r>
      <w:r>
        <w:rPr>
          <w:lang w:val="en-AU"/>
        </w:rPr>
        <w:t xml:space="preserve">the assumption that the base year </w:t>
      </w:r>
      <w:r w:rsidR="00781F39">
        <w:rPr>
          <w:lang w:val="en-AU"/>
        </w:rPr>
        <w:t xml:space="preserve">represented </w:t>
      </w:r>
      <w:r>
        <w:rPr>
          <w:lang w:val="en-AU"/>
        </w:rPr>
        <w:t>efficient opex.</w:t>
      </w:r>
    </w:p>
    <w:p w14:paraId="2F6C03E9" w14:textId="1A380A14" w:rsidR="00E34D79" w:rsidRDefault="00E34D79" w:rsidP="000410E9">
      <w:pPr>
        <w:pStyle w:val="NumberLevel2"/>
        <w:numPr>
          <w:ilvl w:val="1"/>
          <w:numId w:val="5"/>
        </w:numPr>
        <w:tabs>
          <w:tab w:val="num" w:pos="709"/>
        </w:tabs>
        <w:ind w:left="709" w:hanging="709"/>
        <w:rPr>
          <w:lang w:val="en-AU"/>
        </w:rPr>
      </w:pPr>
      <w:r>
        <w:rPr>
          <w:lang w:val="en-AU"/>
        </w:rPr>
        <w:t>The NTMEU expressed concern as to whether opex in the base year (</w:t>
      </w:r>
      <w:r w:rsidR="00781F39">
        <w:rPr>
          <w:lang w:val="en-AU"/>
        </w:rPr>
        <w:t xml:space="preserve">the </w:t>
      </w:r>
      <w:r>
        <w:rPr>
          <w:lang w:val="en-AU"/>
        </w:rPr>
        <w:t>2013-14</w:t>
      </w:r>
      <w:r w:rsidR="00781F39">
        <w:rPr>
          <w:lang w:val="en-AU"/>
        </w:rPr>
        <w:t xml:space="preserve"> regulatory year</w:t>
      </w:r>
      <w:r>
        <w:rPr>
          <w:lang w:val="en-AU"/>
        </w:rPr>
        <w:t xml:space="preserve">) </w:t>
      </w:r>
      <w:r w:rsidR="00781F39">
        <w:rPr>
          <w:lang w:val="en-AU"/>
        </w:rPr>
        <w:t xml:space="preserve">was </w:t>
      </w:r>
      <w:r>
        <w:rPr>
          <w:lang w:val="en-AU"/>
        </w:rPr>
        <w:t>efficient.</w:t>
      </w:r>
      <w:r w:rsidR="00F2447D">
        <w:rPr>
          <w:lang w:val="en-AU"/>
        </w:rPr>
        <w:t xml:space="preserve"> </w:t>
      </w:r>
    </w:p>
    <w:p w14:paraId="5DDEBE43" w14:textId="72E75962" w:rsidR="00920C21" w:rsidRDefault="00920C21" w:rsidP="000410E9">
      <w:pPr>
        <w:pStyle w:val="NumberLevel2"/>
        <w:numPr>
          <w:ilvl w:val="1"/>
          <w:numId w:val="5"/>
        </w:numPr>
        <w:tabs>
          <w:tab w:val="num" w:pos="709"/>
        </w:tabs>
        <w:ind w:left="709" w:hanging="709"/>
        <w:rPr>
          <w:lang w:val="en-AU"/>
        </w:rPr>
      </w:pPr>
      <w:r w:rsidRPr="007F0FA1">
        <w:rPr>
          <w:lang w:val="en-AU"/>
        </w:rPr>
        <w:t>PB</w:t>
      </w:r>
      <w:r>
        <w:rPr>
          <w:lang w:val="en-AU"/>
        </w:rPr>
        <w:t>’s</w:t>
      </w:r>
      <w:r w:rsidRPr="007F0FA1">
        <w:rPr>
          <w:lang w:val="en-AU"/>
        </w:rPr>
        <w:t xml:space="preserve"> </w:t>
      </w:r>
      <w:r>
        <w:rPr>
          <w:lang w:val="en-AU"/>
        </w:rPr>
        <w:t>initial</w:t>
      </w:r>
      <w:r w:rsidRPr="007F0FA1">
        <w:rPr>
          <w:lang w:val="en-AU"/>
        </w:rPr>
        <w:t xml:space="preserve"> analysis of total opex found that P</w:t>
      </w:r>
      <w:r>
        <w:rPr>
          <w:lang w:val="en-AU"/>
        </w:rPr>
        <w:t>WC</w:t>
      </w:r>
      <w:r w:rsidRPr="007F0FA1">
        <w:rPr>
          <w:lang w:val="en-AU"/>
        </w:rPr>
        <w:t xml:space="preserve"> Networks </w:t>
      </w:r>
      <w:r w:rsidR="00781F39" w:rsidRPr="007F0FA1">
        <w:rPr>
          <w:lang w:val="en-AU"/>
        </w:rPr>
        <w:t>appear</w:t>
      </w:r>
      <w:r w:rsidR="00781F39">
        <w:rPr>
          <w:lang w:val="en-AU"/>
        </w:rPr>
        <w:t>ed</w:t>
      </w:r>
      <w:r w:rsidR="00781F39" w:rsidRPr="007F0FA1">
        <w:rPr>
          <w:lang w:val="en-AU"/>
        </w:rPr>
        <w:t xml:space="preserve"> </w:t>
      </w:r>
      <w:r w:rsidRPr="007F0FA1">
        <w:rPr>
          <w:lang w:val="en-AU"/>
        </w:rPr>
        <w:t>to require a high level of opex compared to its peers on a per unit basis, approximately three times the cost of DNSPs with similar customer</w:t>
      </w:r>
      <w:r>
        <w:rPr>
          <w:lang w:val="en-AU"/>
        </w:rPr>
        <w:t xml:space="preserve"> densities.</w:t>
      </w:r>
      <w:r w:rsidRPr="007F0FA1">
        <w:rPr>
          <w:lang w:val="en-AU"/>
        </w:rPr>
        <w:t xml:space="preserve"> </w:t>
      </w:r>
    </w:p>
    <w:p w14:paraId="4535E828" w14:textId="7F02D944" w:rsidR="00284E14" w:rsidRDefault="00284E14" w:rsidP="000410E9">
      <w:pPr>
        <w:pStyle w:val="NumberLevel2"/>
        <w:numPr>
          <w:ilvl w:val="1"/>
          <w:numId w:val="5"/>
        </w:numPr>
        <w:tabs>
          <w:tab w:val="num" w:pos="709"/>
        </w:tabs>
        <w:ind w:left="709" w:hanging="709"/>
        <w:rPr>
          <w:lang w:val="en-AU"/>
        </w:rPr>
      </w:pPr>
      <w:r>
        <w:rPr>
          <w:lang w:val="en-AU"/>
        </w:rPr>
        <w:t xml:space="preserve">Figure </w:t>
      </w:r>
      <w:r w:rsidR="00781F39">
        <w:rPr>
          <w:lang w:val="en-AU"/>
        </w:rPr>
        <w:t>10</w:t>
      </w:r>
      <w:r>
        <w:rPr>
          <w:lang w:val="en-AU"/>
        </w:rPr>
        <w:t xml:space="preserve">.3 shows </w:t>
      </w:r>
      <w:r w:rsidRPr="00F2447D">
        <w:rPr>
          <w:lang w:val="en-AU"/>
        </w:rPr>
        <w:t xml:space="preserve">the benchmarking chart for </w:t>
      </w:r>
      <w:r w:rsidR="00781F39">
        <w:rPr>
          <w:lang w:val="en-AU"/>
        </w:rPr>
        <w:t>o</w:t>
      </w:r>
      <w:r w:rsidR="00781F39" w:rsidRPr="00F2447D">
        <w:rPr>
          <w:lang w:val="en-AU"/>
        </w:rPr>
        <w:t xml:space="preserve">pex </w:t>
      </w:r>
      <w:r w:rsidRPr="00F2447D">
        <w:rPr>
          <w:lang w:val="en-AU"/>
        </w:rPr>
        <w:t xml:space="preserve">per km of line versus </w:t>
      </w:r>
      <w:r w:rsidR="00111134">
        <w:rPr>
          <w:lang w:val="en-AU"/>
        </w:rPr>
        <w:t>c</w:t>
      </w:r>
      <w:r w:rsidRPr="00F2447D">
        <w:rPr>
          <w:lang w:val="en-AU"/>
        </w:rPr>
        <w:t>ustomer density</w:t>
      </w:r>
      <w:r w:rsidR="00321ED1">
        <w:rPr>
          <w:lang w:val="en-AU"/>
        </w:rPr>
        <w:t xml:space="preserve">, with </w:t>
      </w:r>
      <w:r w:rsidRPr="00F2447D">
        <w:rPr>
          <w:lang w:val="en-AU"/>
        </w:rPr>
        <w:t>P</w:t>
      </w:r>
      <w:r>
        <w:rPr>
          <w:lang w:val="en-AU"/>
        </w:rPr>
        <w:t>WC</w:t>
      </w:r>
      <w:r w:rsidRPr="00F2447D">
        <w:rPr>
          <w:lang w:val="en-AU"/>
        </w:rPr>
        <w:t xml:space="preserve"> Networks</w:t>
      </w:r>
      <w:r w:rsidR="00781F39">
        <w:rPr>
          <w:lang w:val="en-AU"/>
        </w:rPr>
        <w:t>’</w:t>
      </w:r>
      <w:r w:rsidRPr="00F2447D">
        <w:rPr>
          <w:lang w:val="en-AU"/>
        </w:rPr>
        <w:t xml:space="preserve"> </w:t>
      </w:r>
      <w:r w:rsidR="00781F39">
        <w:rPr>
          <w:lang w:val="en-AU"/>
        </w:rPr>
        <w:t xml:space="preserve">proposed </w:t>
      </w:r>
      <w:r w:rsidRPr="00F2447D">
        <w:rPr>
          <w:lang w:val="en-AU"/>
        </w:rPr>
        <w:t xml:space="preserve">opex </w:t>
      </w:r>
      <w:r w:rsidR="00781F39">
        <w:rPr>
          <w:lang w:val="en-AU"/>
        </w:rPr>
        <w:t xml:space="preserve">forecast </w:t>
      </w:r>
      <w:r w:rsidRPr="00F2447D">
        <w:rPr>
          <w:lang w:val="en-AU"/>
        </w:rPr>
        <w:t>adjusted for regional uplift by applying a 30</w:t>
      </w:r>
      <w:r w:rsidR="00781F39">
        <w:rPr>
          <w:lang w:val="en-AU"/>
        </w:rPr>
        <w:t> per cent</w:t>
      </w:r>
      <w:r w:rsidR="00781F39" w:rsidRPr="00F2447D">
        <w:rPr>
          <w:lang w:val="en-AU"/>
        </w:rPr>
        <w:t xml:space="preserve"> </w:t>
      </w:r>
      <w:r w:rsidRPr="00F2447D">
        <w:rPr>
          <w:lang w:val="en-AU"/>
        </w:rPr>
        <w:t>adjustment to the assumed variable cost, which was</w:t>
      </w:r>
      <w:r>
        <w:rPr>
          <w:lang w:val="en-AU"/>
        </w:rPr>
        <w:t xml:space="preserve"> </w:t>
      </w:r>
      <w:r w:rsidRPr="00F2447D">
        <w:rPr>
          <w:lang w:val="en-AU"/>
        </w:rPr>
        <w:t>determined as the total opex less $10</w:t>
      </w:r>
      <w:r w:rsidR="00AF25B5">
        <w:rPr>
          <w:lang w:val="en-AU"/>
        </w:rPr>
        <w:t xml:space="preserve"> </w:t>
      </w:r>
      <w:r w:rsidRPr="00F2447D">
        <w:rPr>
          <w:lang w:val="en-AU"/>
        </w:rPr>
        <w:t>m</w:t>
      </w:r>
      <w:r w:rsidR="00AF25B5">
        <w:rPr>
          <w:lang w:val="en-AU"/>
        </w:rPr>
        <w:t>illion</w:t>
      </w:r>
      <w:r w:rsidRPr="00F2447D">
        <w:rPr>
          <w:lang w:val="en-AU"/>
        </w:rPr>
        <w:t xml:space="preserve">. </w:t>
      </w:r>
    </w:p>
    <w:p w14:paraId="40181BE0" w14:textId="4B8E6730" w:rsidR="00E34D79" w:rsidRDefault="00F51D2B" w:rsidP="009537D2">
      <w:pPr>
        <w:pStyle w:val="UtilComTableTitle"/>
        <w:keepNext/>
        <w:spacing w:before="120" w:after="0" w:line="240" w:lineRule="exact"/>
      </w:pPr>
      <w:r w:rsidRPr="00FD5E9B">
        <w:t xml:space="preserve">Figure </w:t>
      </w:r>
      <w:r w:rsidR="00781F39" w:rsidRPr="00FD5E9B">
        <w:t>1</w:t>
      </w:r>
      <w:r w:rsidR="00781F39">
        <w:t>0</w:t>
      </w:r>
      <w:r w:rsidRPr="00FD5E9B">
        <w:t>.</w:t>
      </w:r>
      <w:r>
        <w:t>3</w:t>
      </w:r>
      <w:r w:rsidR="009537D2">
        <w:t>:</w:t>
      </w:r>
      <w:r w:rsidRPr="00FD5E9B">
        <w:t xml:space="preserve"> </w:t>
      </w:r>
      <w:r>
        <w:t>Benchmarking of PWC Networks against peer</w:t>
      </w:r>
      <w:r w:rsidR="009537D2">
        <w:t>s</w:t>
      </w:r>
      <w:r>
        <w:t xml:space="preserve">: </w:t>
      </w:r>
      <w:r w:rsidRPr="00F51D2B">
        <w:t>Normalised total opex vs. customer density</w:t>
      </w:r>
    </w:p>
    <w:p w14:paraId="77F235F1" w14:textId="636D205C" w:rsidR="00F51D2B" w:rsidRDefault="00BA6E5D" w:rsidP="00E34D79">
      <w:pPr>
        <w:rPr>
          <w:lang w:val="en-AU"/>
        </w:rPr>
      </w:pPr>
      <w:r>
        <w:rPr>
          <w:noProof/>
          <w:lang w:val="en-AU" w:eastAsia="en-AU"/>
        </w:rPr>
        <w:drawing>
          <wp:anchor distT="0" distB="0" distL="114300" distR="114300" simplePos="0" relativeHeight="251678720" behindDoc="0" locked="0" layoutInCell="1" allowOverlap="1" wp14:anchorId="115287E6" wp14:editId="211525C9">
            <wp:simplePos x="0" y="0"/>
            <wp:positionH relativeFrom="column">
              <wp:posOffset>-63500</wp:posOffset>
            </wp:positionH>
            <wp:positionV relativeFrom="paragraph">
              <wp:posOffset>5715</wp:posOffset>
            </wp:positionV>
            <wp:extent cx="5232400" cy="2668270"/>
            <wp:effectExtent l="19050" t="19050" r="25400" b="1778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32400" cy="2668270"/>
                    </a:xfrm>
                    <a:prstGeom prst="rect">
                      <a:avLst/>
                    </a:prstGeom>
                    <a:noFill/>
                    <a:ln>
                      <a:solidFill>
                        <a:schemeClr val="tx1">
                          <a:lumMod val="95000"/>
                          <a:lumOff val="5000"/>
                        </a:schemeClr>
                      </a:solidFill>
                    </a:ln>
                  </pic:spPr>
                </pic:pic>
              </a:graphicData>
            </a:graphic>
            <wp14:sizeRelH relativeFrom="margin">
              <wp14:pctWidth>0</wp14:pctWidth>
            </wp14:sizeRelH>
            <wp14:sizeRelV relativeFrom="margin">
              <wp14:pctHeight>0</wp14:pctHeight>
            </wp14:sizeRelV>
          </wp:anchor>
        </w:drawing>
      </w:r>
    </w:p>
    <w:p w14:paraId="220C4907" w14:textId="77777777" w:rsidR="00F51D2B" w:rsidRDefault="00F51D2B" w:rsidP="00E34D79">
      <w:pPr>
        <w:rPr>
          <w:lang w:val="en-AU"/>
        </w:rPr>
      </w:pPr>
    </w:p>
    <w:p w14:paraId="4C5A495D" w14:textId="77777777" w:rsidR="00F51D2B" w:rsidRDefault="00F51D2B" w:rsidP="00E34D79">
      <w:pPr>
        <w:rPr>
          <w:lang w:val="en-AU"/>
        </w:rPr>
      </w:pPr>
    </w:p>
    <w:p w14:paraId="3EBD5AFD" w14:textId="77777777" w:rsidR="00F51D2B" w:rsidRDefault="00F51D2B" w:rsidP="00E34D79">
      <w:pPr>
        <w:rPr>
          <w:lang w:val="en-AU"/>
        </w:rPr>
      </w:pPr>
    </w:p>
    <w:p w14:paraId="01586C76" w14:textId="77777777" w:rsidR="00F51D2B" w:rsidRDefault="00F51D2B" w:rsidP="00E34D79">
      <w:pPr>
        <w:rPr>
          <w:lang w:val="en-AU"/>
        </w:rPr>
      </w:pPr>
    </w:p>
    <w:p w14:paraId="3845A876" w14:textId="77777777" w:rsidR="002C341B" w:rsidRDefault="002C341B" w:rsidP="00E34D79">
      <w:pPr>
        <w:rPr>
          <w:lang w:val="en-AU"/>
        </w:rPr>
      </w:pPr>
    </w:p>
    <w:p w14:paraId="635C762E" w14:textId="77777777" w:rsidR="00F51D2B" w:rsidRDefault="00F51D2B" w:rsidP="00E34D79">
      <w:pPr>
        <w:rPr>
          <w:lang w:val="en-AU"/>
        </w:rPr>
      </w:pPr>
    </w:p>
    <w:p w14:paraId="6D2EBAAB" w14:textId="77777777" w:rsidR="00F51D2B" w:rsidRDefault="00F51D2B" w:rsidP="00E34D79">
      <w:pPr>
        <w:rPr>
          <w:lang w:val="en-AU"/>
        </w:rPr>
      </w:pPr>
    </w:p>
    <w:p w14:paraId="34BC2AE8" w14:textId="77777777" w:rsidR="00F51D2B" w:rsidRDefault="00F51D2B" w:rsidP="00E34D79">
      <w:pPr>
        <w:rPr>
          <w:lang w:val="en-AU"/>
        </w:rPr>
      </w:pPr>
    </w:p>
    <w:p w14:paraId="31C6D8A1" w14:textId="77777777" w:rsidR="00F51D2B" w:rsidRDefault="00F51D2B" w:rsidP="00E34D79">
      <w:pPr>
        <w:rPr>
          <w:lang w:val="en-AU"/>
        </w:rPr>
      </w:pPr>
    </w:p>
    <w:p w14:paraId="347163DE" w14:textId="77777777" w:rsidR="00F51D2B" w:rsidRDefault="00F51D2B" w:rsidP="00E34D79">
      <w:pPr>
        <w:rPr>
          <w:lang w:val="en-AU"/>
        </w:rPr>
      </w:pPr>
    </w:p>
    <w:p w14:paraId="0F0ABB3A" w14:textId="77777777" w:rsidR="00AF25B5" w:rsidRDefault="00AF25B5" w:rsidP="00284E14">
      <w:pPr>
        <w:pStyle w:val="UtilComReferenceSource"/>
        <w:rPr>
          <w:lang w:val="en-AU"/>
        </w:rPr>
      </w:pPr>
    </w:p>
    <w:p w14:paraId="2C69A01C" w14:textId="77777777" w:rsidR="00284E14" w:rsidRDefault="00284E14" w:rsidP="00284E14">
      <w:pPr>
        <w:pStyle w:val="UtilComReferenceSource"/>
        <w:rPr>
          <w:lang w:val="en-AU"/>
        </w:rPr>
      </w:pPr>
      <w:r>
        <w:rPr>
          <w:lang w:val="en-AU"/>
        </w:rPr>
        <w:t>Source: Parsons Brinckerhoff, Supplementary advice</w:t>
      </w:r>
    </w:p>
    <w:p w14:paraId="29BD60A9" w14:textId="77777777" w:rsidR="00AF25B5" w:rsidRPr="00E529C5" w:rsidRDefault="00AF25B5" w:rsidP="00284E14">
      <w:pPr>
        <w:pStyle w:val="UtilComReferenceSource"/>
        <w:rPr>
          <w:lang w:val="en-AU"/>
        </w:rPr>
      </w:pPr>
    </w:p>
    <w:p w14:paraId="6B30130F" w14:textId="776A66E5" w:rsidR="00920C21" w:rsidRDefault="00920C21" w:rsidP="000410E9">
      <w:pPr>
        <w:pStyle w:val="NumberLevel2"/>
        <w:numPr>
          <w:ilvl w:val="1"/>
          <w:numId w:val="5"/>
        </w:numPr>
        <w:tabs>
          <w:tab w:val="num" w:pos="709"/>
        </w:tabs>
        <w:ind w:left="709" w:hanging="709"/>
        <w:rPr>
          <w:lang w:val="en-AU"/>
        </w:rPr>
      </w:pPr>
      <w:r w:rsidRPr="00570C18">
        <w:rPr>
          <w:lang w:val="en-AU"/>
        </w:rPr>
        <w:t xml:space="preserve">Following further analysis and after adjusting for economies of scale and regional uplift, PB found that a </w:t>
      </w:r>
      <w:r w:rsidR="008E6A7C" w:rsidRPr="00570C18">
        <w:rPr>
          <w:lang w:val="en-AU"/>
        </w:rPr>
        <w:t>27</w:t>
      </w:r>
      <w:r w:rsidR="008E6A7C">
        <w:rPr>
          <w:lang w:val="en-AU"/>
        </w:rPr>
        <w:t> per </w:t>
      </w:r>
      <w:r w:rsidR="009537D2">
        <w:rPr>
          <w:lang w:val="en-AU"/>
        </w:rPr>
        <w:t>cent</w:t>
      </w:r>
      <w:r w:rsidR="009537D2" w:rsidRPr="00570C18">
        <w:rPr>
          <w:lang w:val="en-AU"/>
        </w:rPr>
        <w:t xml:space="preserve"> </w:t>
      </w:r>
      <w:r w:rsidRPr="00570C18">
        <w:rPr>
          <w:lang w:val="en-AU"/>
        </w:rPr>
        <w:t xml:space="preserve">reduction </w:t>
      </w:r>
      <w:r w:rsidR="008E6A7C">
        <w:rPr>
          <w:lang w:val="en-AU"/>
        </w:rPr>
        <w:t xml:space="preserve">in </w:t>
      </w:r>
      <w:r w:rsidR="00A82486">
        <w:rPr>
          <w:lang w:val="en-AU"/>
        </w:rPr>
        <w:t>opex</w:t>
      </w:r>
      <w:r w:rsidR="008E6A7C">
        <w:rPr>
          <w:lang w:val="en-AU"/>
        </w:rPr>
        <w:t xml:space="preserve"> </w:t>
      </w:r>
      <w:r w:rsidRPr="00570C18">
        <w:rPr>
          <w:lang w:val="en-AU"/>
        </w:rPr>
        <w:t xml:space="preserve">would be required for </w:t>
      </w:r>
      <w:r w:rsidR="009537D2">
        <w:rPr>
          <w:lang w:val="en-AU"/>
        </w:rPr>
        <w:t>PWC</w:t>
      </w:r>
      <w:r w:rsidR="009537D2" w:rsidRPr="00570C18">
        <w:rPr>
          <w:lang w:val="en-AU"/>
        </w:rPr>
        <w:t xml:space="preserve"> </w:t>
      </w:r>
      <w:r w:rsidRPr="00570C18">
        <w:rPr>
          <w:lang w:val="en-AU"/>
        </w:rPr>
        <w:t>Network</w:t>
      </w:r>
      <w:r w:rsidR="009537D2">
        <w:rPr>
          <w:lang w:val="en-AU"/>
        </w:rPr>
        <w:t>s</w:t>
      </w:r>
      <w:r w:rsidRPr="00570C18">
        <w:rPr>
          <w:lang w:val="en-AU"/>
        </w:rPr>
        <w:t xml:space="preserve"> to achieve the average of its peers.</w:t>
      </w:r>
    </w:p>
    <w:p w14:paraId="2E580BD4" w14:textId="7A602836" w:rsidR="00920C21" w:rsidRDefault="00920C21" w:rsidP="000410E9">
      <w:pPr>
        <w:pStyle w:val="NumberLevel2"/>
        <w:numPr>
          <w:ilvl w:val="1"/>
          <w:numId w:val="5"/>
        </w:numPr>
        <w:tabs>
          <w:tab w:val="num" w:pos="709"/>
        </w:tabs>
        <w:ind w:left="709" w:hanging="709"/>
        <w:rPr>
          <w:lang w:val="en-AU"/>
        </w:rPr>
      </w:pPr>
      <w:r>
        <w:rPr>
          <w:lang w:val="en-AU"/>
        </w:rPr>
        <w:t xml:space="preserve">PWC Networks has based its contention </w:t>
      </w:r>
      <w:r w:rsidR="008E6A7C">
        <w:rPr>
          <w:lang w:val="en-AU"/>
        </w:rPr>
        <w:t xml:space="preserve">on the assumption that the </w:t>
      </w:r>
      <w:r>
        <w:rPr>
          <w:lang w:val="en-AU"/>
        </w:rPr>
        <w:t xml:space="preserve">2013-14 </w:t>
      </w:r>
      <w:r w:rsidR="008E6A7C">
        <w:rPr>
          <w:lang w:val="en-AU"/>
        </w:rPr>
        <w:t xml:space="preserve">regulatory year </w:t>
      </w:r>
      <w:r>
        <w:rPr>
          <w:lang w:val="en-AU"/>
        </w:rPr>
        <w:t xml:space="preserve">represents an efficient level of operating expenditure based on benchmarking analysis undertaken by Huegin Consulting </w:t>
      </w:r>
      <w:r w:rsidR="002754D1">
        <w:rPr>
          <w:lang w:val="en-AU"/>
        </w:rPr>
        <w:t xml:space="preserve">of </w:t>
      </w:r>
      <w:r>
        <w:rPr>
          <w:lang w:val="en-AU"/>
        </w:rPr>
        <w:t>PWC Networks</w:t>
      </w:r>
      <w:r w:rsidR="002754D1">
        <w:rPr>
          <w:lang w:val="en-AU"/>
        </w:rPr>
        <w:t>’</w:t>
      </w:r>
      <w:r>
        <w:rPr>
          <w:lang w:val="en-AU"/>
        </w:rPr>
        <w:t xml:space="preserve"> </w:t>
      </w:r>
      <w:r w:rsidR="004E09D0">
        <w:rPr>
          <w:lang w:val="en-AU"/>
        </w:rPr>
        <w:t xml:space="preserve">opex for the </w:t>
      </w:r>
      <w:r>
        <w:rPr>
          <w:lang w:val="en-AU"/>
        </w:rPr>
        <w:t xml:space="preserve">2010-11 </w:t>
      </w:r>
      <w:r w:rsidR="004E09D0">
        <w:rPr>
          <w:lang w:val="en-AU"/>
        </w:rPr>
        <w:t>regulatory year</w:t>
      </w:r>
      <w:r>
        <w:rPr>
          <w:lang w:val="en-AU"/>
        </w:rPr>
        <w:t xml:space="preserve">. </w:t>
      </w:r>
      <w:r w:rsidR="009A7E29">
        <w:rPr>
          <w:lang w:val="en-AU"/>
        </w:rPr>
        <w:t>PWC </w:t>
      </w:r>
      <w:r>
        <w:rPr>
          <w:lang w:val="en-AU"/>
        </w:rPr>
        <w:t xml:space="preserve">Networks </w:t>
      </w:r>
      <w:r w:rsidR="008E6A7C">
        <w:rPr>
          <w:lang w:val="en-AU"/>
        </w:rPr>
        <w:t xml:space="preserve">advised </w:t>
      </w:r>
      <w:r>
        <w:rPr>
          <w:lang w:val="en-AU"/>
        </w:rPr>
        <w:t>that:</w:t>
      </w:r>
    </w:p>
    <w:p w14:paraId="02CA94B8" w14:textId="77777777" w:rsidR="00920C21" w:rsidRPr="009537D2" w:rsidRDefault="00920C21" w:rsidP="004B63D8">
      <w:pPr>
        <w:pStyle w:val="UtilComQuotationText"/>
        <w:ind w:left="1134"/>
      </w:pPr>
      <w:r w:rsidRPr="009537D2">
        <w:t>…Power Networks’ 2010/11 operating and maintenance expenditure was benchmarked by Huegin as being in the middle of Australian distribution networks</w:t>
      </w:r>
      <w:r w:rsidR="009537D2">
        <w:t xml:space="preserve"> (page.92)</w:t>
      </w:r>
    </w:p>
    <w:p w14:paraId="30B7FC02" w14:textId="6636962A" w:rsidR="00920C21" w:rsidRDefault="00920C21" w:rsidP="000410E9">
      <w:pPr>
        <w:pStyle w:val="NumberLevel2"/>
        <w:numPr>
          <w:ilvl w:val="1"/>
          <w:numId w:val="5"/>
        </w:numPr>
        <w:tabs>
          <w:tab w:val="num" w:pos="709"/>
        </w:tabs>
        <w:ind w:left="709" w:hanging="709"/>
        <w:rPr>
          <w:lang w:val="en-AU"/>
        </w:rPr>
      </w:pPr>
      <w:r>
        <w:rPr>
          <w:lang w:val="en-AU"/>
        </w:rPr>
        <w:t xml:space="preserve">The Commission </w:t>
      </w:r>
      <w:r w:rsidR="00160B60">
        <w:rPr>
          <w:lang w:val="en-AU"/>
        </w:rPr>
        <w:t xml:space="preserve">noted </w:t>
      </w:r>
      <w:r>
        <w:rPr>
          <w:lang w:val="en-AU"/>
        </w:rPr>
        <w:t xml:space="preserve">that </w:t>
      </w:r>
      <w:r w:rsidR="00BF0329">
        <w:rPr>
          <w:lang w:val="en-AU"/>
        </w:rPr>
        <w:t xml:space="preserve">the average annual opex forecast by PWC Networks for the </w:t>
      </w:r>
      <w:r w:rsidR="00160B60">
        <w:rPr>
          <w:lang w:val="en-AU"/>
        </w:rPr>
        <w:t xml:space="preserve">2009-14 </w:t>
      </w:r>
      <w:r w:rsidR="00BF0329">
        <w:rPr>
          <w:lang w:val="en-AU"/>
        </w:rPr>
        <w:t xml:space="preserve">regulatory control period </w:t>
      </w:r>
      <w:r w:rsidR="00160B60">
        <w:rPr>
          <w:lang w:val="en-AU"/>
        </w:rPr>
        <w:t xml:space="preserve">was </w:t>
      </w:r>
      <w:r w:rsidR="00BF0329">
        <w:rPr>
          <w:lang w:val="en-AU"/>
        </w:rPr>
        <w:t>$107.</w:t>
      </w:r>
      <w:r w:rsidR="008E6A7C">
        <w:rPr>
          <w:lang w:val="en-AU"/>
        </w:rPr>
        <w:t>9 </w:t>
      </w:r>
      <w:r w:rsidR="00BF0329">
        <w:rPr>
          <w:lang w:val="en-AU"/>
        </w:rPr>
        <w:t xml:space="preserve">million, </w:t>
      </w:r>
      <w:r w:rsidR="008E6A7C">
        <w:rPr>
          <w:lang w:val="en-AU"/>
        </w:rPr>
        <w:t>21 per </w:t>
      </w:r>
      <w:r w:rsidR="009537D2">
        <w:rPr>
          <w:lang w:val="en-AU"/>
        </w:rPr>
        <w:t xml:space="preserve">cent </w:t>
      </w:r>
      <w:r w:rsidR="00BF0329">
        <w:rPr>
          <w:lang w:val="en-AU"/>
        </w:rPr>
        <w:t>above the 2010</w:t>
      </w:r>
      <w:r w:rsidR="00A82486">
        <w:rPr>
          <w:lang w:val="en-AU"/>
        </w:rPr>
        <w:noBreakHyphen/>
      </w:r>
      <w:r w:rsidR="00BF0329">
        <w:rPr>
          <w:lang w:val="en-AU"/>
        </w:rPr>
        <w:t xml:space="preserve">11 </w:t>
      </w:r>
      <w:r w:rsidR="00A82486">
        <w:rPr>
          <w:lang w:val="en-AU"/>
        </w:rPr>
        <w:t xml:space="preserve">regulatory year </w:t>
      </w:r>
      <w:r w:rsidR="00C0166D">
        <w:rPr>
          <w:lang w:val="en-AU"/>
        </w:rPr>
        <w:t xml:space="preserve">(in real $2013-14) </w:t>
      </w:r>
      <w:r w:rsidR="00BF0329">
        <w:rPr>
          <w:lang w:val="en-AU"/>
        </w:rPr>
        <w:t>actual opex that PWC Networks identified as efficient.</w:t>
      </w:r>
      <w:r w:rsidR="00C0166D">
        <w:rPr>
          <w:lang w:val="en-AU"/>
        </w:rPr>
        <w:t xml:space="preserve"> </w:t>
      </w:r>
    </w:p>
    <w:p w14:paraId="1D4BB62B" w14:textId="3C2D280F" w:rsidR="00BF0329" w:rsidRDefault="00BF0329" w:rsidP="000410E9">
      <w:pPr>
        <w:pStyle w:val="NumberLevel2"/>
        <w:numPr>
          <w:ilvl w:val="1"/>
          <w:numId w:val="5"/>
        </w:numPr>
        <w:tabs>
          <w:tab w:val="num" w:pos="709"/>
        </w:tabs>
        <w:ind w:left="709" w:hanging="709"/>
        <w:rPr>
          <w:lang w:val="en-AU"/>
        </w:rPr>
      </w:pPr>
      <w:r>
        <w:rPr>
          <w:lang w:val="en-AU"/>
        </w:rPr>
        <w:t xml:space="preserve">The Commission </w:t>
      </w:r>
      <w:r w:rsidR="00160B60">
        <w:rPr>
          <w:lang w:val="en-AU"/>
        </w:rPr>
        <w:t xml:space="preserve">was </w:t>
      </w:r>
      <w:r>
        <w:rPr>
          <w:lang w:val="en-AU"/>
        </w:rPr>
        <w:t>not satisfied that PWC Networks</w:t>
      </w:r>
      <w:r w:rsidR="00A84EF7">
        <w:rPr>
          <w:lang w:val="en-AU"/>
        </w:rPr>
        <w:t>’</w:t>
      </w:r>
      <w:r>
        <w:rPr>
          <w:lang w:val="en-AU"/>
        </w:rPr>
        <w:t xml:space="preserve"> current opex </w:t>
      </w:r>
      <w:r w:rsidR="008E6A7C">
        <w:rPr>
          <w:lang w:val="en-AU"/>
        </w:rPr>
        <w:t xml:space="preserve">was </w:t>
      </w:r>
      <w:r>
        <w:rPr>
          <w:lang w:val="en-AU"/>
        </w:rPr>
        <w:t xml:space="preserve">efficient, which in turn </w:t>
      </w:r>
      <w:r w:rsidR="008E6A7C">
        <w:rPr>
          <w:lang w:val="en-AU"/>
        </w:rPr>
        <w:t xml:space="preserve">meant </w:t>
      </w:r>
      <w:r>
        <w:rPr>
          <w:lang w:val="en-AU"/>
        </w:rPr>
        <w:t xml:space="preserve">that </w:t>
      </w:r>
      <w:r w:rsidR="004E09D0">
        <w:rPr>
          <w:lang w:val="en-AU"/>
        </w:rPr>
        <w:t xml:space="preserve">the proposed </w:t>
      </w:r>
      <w:r>
        <w:rPr>
          <w:lang w:val="en-AU"/>
        </w:rPr>
        <w:t xml:space="preserve">forecast opex </w:t>
      </w:r>
      <w:r w:rsidR="008E6A7C">
        <w:rPr>
          <w:lang w:val="en-AU"/>
        </w:rPr>
        <w:t xml:space="preserve">incorporated </w:t>
      </w:r>
      <w:r>
        <w:rPr>
          <w:lang w:val="en-AU"/>
        </w:rPr>
        <w:t>a level of inefficiency.</w:t>
      </w:r>
    </w:p>
    <w:p w14:paraId="7C984724" w14:textId="2B6696BA" w:rsidR="00F2447D" w:rsidRPr="00E34D79" w:rsidRDefault="009537D2" w:rsidP="000410E9">
      <w:pPr>
        <w:pStyle w:val="NumberLevel2"/>
        <w:numPr>
          <w:ilvl w:val="1"/>
          <w:numId w:val="5"/>
        </w:numPr>
        <w:tabs>
          <w:tab w:val="num" w:pos="709"/>
        </w:tabs>
        <w:ind w:left="709" w:hanging="709"/>
        <w:rPr>
          <w:lang w:val="en-AU"/>
        </w:rPr>
      </w:pPr>
      <w:r>
        <w:rPr>
          <w:lang w:val="en-AU"/>
        </w:rPr>
        <w:t xml:space="preserve">The specific opex </w:t>
      </w:r>
      <w:r w:rsidR="00F2447D">
        <w:rPr>
          <w:lang w:val="en-AU"/>
        </w:rPr>
        <w:t xml:space="preserve">adjustments </w:t>
      </w:r>
      <w:r>
        <w:rPr>
          <w:lang w:val="en-AU"/>
        </w:rPr>
        <w:t xml:space="preserve">identified by the Commission </w:t>
      </w:r>
      <w:r w:rsidR="00F2447D">
        <w:rPr>
          <w:lang w:val="en-AU"/>
        </w:rPr>
        <w:t>from the bottom up analysis set out above result</w:t>
      </w:r>
      <w:r w:rsidR="008E6A7C">
        <w:rPr>
          <w:lang w:val="en-AU"/>
        </w:rPr>
        <w:t>ed</w:t>
      </w:r>
      <w:r w:rsidR="00F2447D">
        <w:rPr>
          <w:lang w:val="en-AU"/>
        </w:rPr>
        <w:t xml:space="preserve"> in reduction in </w:t>
      </w:r>
      <w:r w:rsidR="004E09D0">
        <w:rPr>
          <w:lang w:val="en-AU"/>
        </w:rPr>
        <w:t xml:space="preserve">forecast </w:t>
      </w:r>
      <w:r w:rsidR="00F2447D">
        <w:rPr>
          <w:lang w:val="en-AU"/>
        </w:rPr>
        <w:t xml:space="preserve">opex of </w:t>
      </w:r>
      <w:r w:rsidR="008E6A7C">
        <w:rPr>
          <w:lang w:val="en-AU"/>
        </w:rPr>
        <w:t>6 per </w:t>
      </w:r>
      <w:r w:rsidR="00F2447D">
        <w:rPr>
          <w:lang w:val="en-AU"/>
        </w:rPr>
        <w:t xml:space="preserve">cent. Based on the analysis by PB, a further reduction of </w:t>
      </w:r>
      <w:r w:rsidR="008E6A7C">
        <w:rPr>
          <w:lang w:val="en-AU"/>
        </w:rPr>
        <w:t>21 per </w:t>
      </w:r>
      <w:r w:rsidR="00F2447D">
        <w:rPr>
          <w:lang w:val="en-AU"/>
        </w:rPr>
        <w:t xml:space="preserve">cent would be required to eliminate the </w:t>
      </w:r>
      <w:r w:rsidR="00F2447D" w:rsidRPr="00E1695C">
        <w:rPr>
          <w:lang w:val="en-AU"/>
        </w:rPr>
        <w:t>difference between PWC Networks and the average of its peers</w:t>
      </w:r>
      <w:r w:rsidR="00F2447D">
        <w:rPr>
          <w:lang w:val="en-AU"/>
        </w:rPr>
        <w:t xml:space="preserve">. </w:t>
      </w:r>
    </w:p>
    <w:p w14:paraId="78EE20C4" w14:textId="5B7E81A0" w:rsidR="00C5396E" w:rsidRPr="00C5396E" w:rsidRDefault="00C5396E" w:rsidP="000410E9">
      <w:pPr>
        <w:pStyle w:val="NumberLevel2"/>
        <w:numPr>
          <w:ilvl w:val="1"/>
          <w:numId w:val="5"/>
        </w:numPr>
        <w:tabs>
          <w:tab w:val="num" w:pos="709"/>
        </w:tabs>
        <w:ind w:left="709" w:hanging="709"/>
        <w:rPr>
          <w:lang w:val="en-AU"/>
        </w:rPr>
      </w:pPr>
      <w:r>
        <w:rPr>
          <w:lang w:val="en-AU"/>
        </w:rPr>
        <w:t>A</w:t>
      </w:r>
      <w:r w:rsidRPr="00C5396E">
        <w:rPr>
          <w:lang w:val="en-AU"/>
        </w:rPr>
        <w:t xml:space="preserve"> key question for the </w:t>
      </w:r>
      <w:r>
        <w:rPr>
          <w:lang w:val="en-AU"/>
        </w:rPr>
        <w:t>Commission</w:t>
      </w:r>
      <w:r w:rsidRPr="00C5396E">
        <w:rPr>
          <w:lang w:val="en-AU"/>
        </w:rPr>
        <w:t xml:space="preserve"> </w:t>
      </w:r>
      <w:r w:rsidR="008E6A7C">
        <w:rPr>
          <w:lang w:val="en-AU"/>
        </w:rPr>
        <w:t>was</w:t>
      </w:r>
      <w:r w:rsidR="008E6A7C" w:rsidRPr="00C5396E">
        <w:rPr>
          <w:lang w:val="en-AU"/>
        </w:rPr>
        <w:t xml:space="preserve"> </w:t>
      </w:r>
      <w:r w:rsidRPr="00C5396E">
        <w:rPr>
          <w:lang w:val="en-AU"/>
        </w:rPr>
        <w:t xml:space="preserve">the timeframe required for </w:t>
      </w:r>
      <w:r w:rsidR="002754D1">
        <w:rPr>
          <w:lang w:val="en-AU"/>
        </w:rPr>
        <w:t>such a</w:t>
      </w:r>
      <w:r w:rsidRPr="00C5396E">
        <w:rPr>
          <w:lang w:val="en-AU"/>
        </w:rPr>
        <w:t xml:space="preserve"> performance gap to be removed. The </w:t>
      </w:r>
      <w:r w:rsidR="00160B60">
        <w:rPr>
          <w:lang w:val="en-AU"/>
        </w:rPr>
        <w:t xml:space="preserve">Commission’s view </w:t>
      </w:r>
      <w:r w:rsidR="008E6A7C">
        <w:rPr>
          <w:lang w:val="en-AU"/>
        </w:rPr>
        <w:t xml:space="preserve">in the Draft Determination </w:t>
      </w:r>
      <w:r w:rsidR="00160B60">
        <w:rPr>
          <w:lang w:val="en-AU"/>
        </w:rPr>
        <w:t xml:space="preserve">was that the </w:t>
      </w:r>
      <w:r w:rsidRPr="00C5396E">
        <w:rPr>
          <w:lang w:val="en-AU"/>
        </w:rPr>
        <w:t>answer w</w:t>
      </w:r>
      <w:r w:rsidR="00111134">
        <w:rPr>
          <w:lang w:val="en-AU"/>
        </w:rPr>
        <w:t>ould</w:t>
      </w:r>
      <w:r w:rsidRPr="00C5396E">
        <w:rPr>
          <w:lang w:val="en-AU"/>
        </w:rPr>
        <w:t xml:space="preserve"> depend on </w:t>
      </w:r>
      <w:r w:rsidR="002754D1">
        <w:rPr>
          <w:lang w:val="en-AU"/>
        </w:rPr>
        <w:t xml:space="preserve">several </w:t>
      </w:r>
      <w:r w:rsidRPr="00C5396E">
        <w:rPr>
          <w:lang w:val="en-AU"/>
        </w:rPr>
        <w:t xml:space="preserve">factors, including the size of the efficiency gap, its possible causes and the degree of cost flexibility that </w:t>
      </w:r>
      <w:r w:rsidR="004E09D0">
        <w:rPr>
          <w:lang w:val="en-AU"/>
        </w:rPr>
        <w:t xml:space="preserve">PWC Networks </w:t>
      </w:r>
      <w:r w:rsidRPr="00C5396E">
        <w:rPr>
          <w:lang w:val="en-AU"/>
        </w:rPr>
        <w:t xml:space="preserve">could reasonably be expected to achieve. </w:t>
      </w:r>
    </w:p>
    <w:p w14:paraId="626C0699" w14:textId="37F9D2C4" w:rsidR="00BF0329" w:rsidRPr="00C5396E" w:rsidRDefault="00BF0329" w:rsidP="000410E9">
      <w:pPr>
        <w:pStyle w:val="NumberLevel2"/>
        <w:numPr>
          <w:ilvl w:val="1"/>
          <w:numId w:val="5"/>
        </w:numPr>
        <w:ind w:left="709" w:hanging="709"/>
        <w:rPr>
          <w:lang w:val="en-AU"/>
        </w:rPr>
      </w:pPr>
      <w:r w:rsidRPr="00C5396E">
        <w:rPr>
          <w:lang w:val="en-AU"/>
        </w:rPr>
        <w:t xml:space="preserve">If the timeframe </w:t>
      </w:r>
      <w:r w:rsidR="008E6A7C">
        <w:rPr>
          <w:lang w:val="en-AU"/>
        </w:rPr>
        <w:t>was</w:t>
      </w:r>
      <w:r w:rsidR="008E6A7C" w:rsidRPr="00C5396E">
        <w:rPr>
          <w:lang w:val="en-AU"/>
        </w:rPr>
        <w:t xml:space="preserve"> </w:t>
      </w:r>
      <w:r w:rsidRPr="00C5396E">
        <w:rPr>
          <w:lang w:val="en-AU"/>
        </w:rPr>
        <w:t xml:space="preserve">set </w:t>
      </w:r>
      <w:r w:rsidR="008E6A7C">
        <w:rPr>
          <w:lang w:val="en-AU"/>
        </w:rPr>
        <w:t xml:space="preserve">for a period which was </w:t>
      </w:r>
      <w:r w:rsidRPr="00C5396E">
        <w:rPr>
          <w:lang w:val="en-AU"/>
        </w:rPr>
        <w:t>too short</w:t>
      </w:r>
      <w:r w:rsidR="009537D2">
        <w:rPr>
          <w:lang w:val="en-AU"/>
        </w:rPr>
        <w:t>,</w:t>
      </w:r>
      <w:r w:rsidRPr="00C5396E">
        <w:rPr>
          <w:lang w:val="en-AU"/>
        </w:rPr>
        <w:t xml:space="preserve"> there </w:t>
      </w:r>
      <w:r w:rsidR="008E6A7C">
        <w:rPr>
          <w:lang w:val="en-AU"/>
        </w:rPr>
        <w:t>would be</w:t>
      </w:r>
      <w:r w:rsidR="008E6A7C" w:rsidRPr="00C5396E">
        <w:rPr>
          <w:lang w:val="en-AU"/>
        </w:rPr>
        <w:t xml:space="preserve"> </w:t>
      </w:r>
      <w:r w:rsidRPr="00C5396E">
        <w:rPr>
          <w:lang w:val="en-AU"/>
        </w:rPr>
        <w:t xml:space="preserve">scope for </w:t>
      </w:r>
      <w:r w:rsidR="008E6A7C">
        <w:rPr>
          <w:lang w:val="en-AU"/>
        </w:rPr>
        <w:t>PWC Networks</w:t>
      </w:r>
      <w:r w:rsidRPr="00C5396E">
        <w:rPr>
          <w:lang w:val="en-AU"/>
        </w:rPr>
        <w:t xml:space="preserve"> to be placed under excessive financial stress and for service quality to drop substantially as maintenance programs </w:t>
      </w:r>
      <w:r w:rsidR="008E6A7C">
        <w:rPr>
          <w:lang w:val="en-AU"/>
        </w:rPr>
        <w:t>could be</w:t>
      </w:r>
      <w:r w:rsidR="008E6A7C" w:rsidRPr="00C5396E">
        <w:rPr>
          <w:lang w:val="en-AU"/>
        </w:rPr>
        <w:t xml:space="preserve"> </w:t>
      </w:r>
      <w:r w:rsidRPr="00C5396E">
        <w:rPr>
          <w:lang w:val="en-AU"/>
        </w:rPr>
        <w:t xml:space="preserve">terminated to meet overly onerous annual cost reduction targets. </w:t>
      </w:r>
      <w:r w:rsidR="008E6A7C">
        <w:rPr>
          <w:lang w:val="en-AU"/>
        </w:rPr>
        <w:t>T</w:t>
      </w:r>
      <w:r w:rsidR="00C5396E">
        <w:rPr>
          <w:lang w:val="en-AU"/>
        </w:rPr>
        <w:t>his could impact on the significant improvement program currently underway</w:t>
      </w:r>
      <w:r w:rsidR="008E6A7C">
        <w:rPr>
          <w:lang w:val="en-AU"/>
        </w:rPr>
        <w:t xml:space="preserve"> and</w:t>
      </w:r>
      <w:r w:rsidRPr="00C5396E">
        <w:rPr>
          <w:lang w:val="en-AU"/>
        </w:rPr>
        <w:t xml:space="preserve"> run the risk of </w:t>
      </w:r>
      <w:r w:rsidR="008E6A7C">
        <w:rPr>
          <w:lang w:val="en-AU"/>
        </w:rPr>
        <w:t>retail customers</w:t>
      </w:r>
      <w:r w:rsidR="008E6A7C" w:rsidRPr="00C5396E">
        <w:rPr>
          <w:lang w:val="en-AU"/>
        </w:rPr>
        <w:t xml:space="preserve"> </w:t>
      </w:r>
      <w:r w:rsidRPr="00C5396E">
        <w:rPr>
          <w:lang w:val="en-AU"/>
        </w:rPr>
        <w:t xml:space="preserve">seeing </w:t>
      </w:r>
      <w:r w:rsidR="008E6A7C">
        <w:rPr>
          <w:lang w:val="en-AU"/>
        </w:rPr>
        <w:t>short term</w:t>
      </w:r>
      <w:r w:rsidR="008E6A7C" w:rsidRPr="00C5396E">
        <w:rPr>
          <w:lang w:val="en-AU"/>
        </w:rPr>
        <w:t xml:space="preserve"> </w:t>
      </w:r>
      <w:r w:rsidRPr="00C5396E">
        <w:rPr>
          <w:lang w:val="en-AU"/>
        </w:rPr>
        <w:t xml:space="preserve">price reductions at the expense of receiving </w:t>
      </w:r>
      <w:r w:rsidR="008E6A7C">
        <w:rPr>
          <w:lang w:val="en-AU"/>
        </w:rPr>
        <w:t>lower quality services</w:t>
      </w:r>
      <w:r w:rsidRPr="00C5396E">
        <w:rPr>
          <w:lang w:val="en-AU"/>
        </w:rPr>
        <w:t xml:space="preserve"> in the future.</w:t>
      </w:r>
    </w:p>
    <w:p w14:paraId="6545FE1C" w14:textId="2226FE65" w:rsidR="00BF0329" w:rsidRPr="00C5396E" w:rsidRDefault="00BF0329" w:rsidP="000410E9">
      <w:pPr>
        <w:pStyle w:val="NumberLevel2"/>
        <w:numPr>
          <w:ilvl w:val="1"/>
          <w:numId w:val="5"/>
        </w:numPr>
        <w:tabs>
          <w:tab w:val="clear" w:pos="3270"/>
          <w:tab w:val="num" w:pos="709"/>
        </w:tabs>
        <w:ind w:left="709" w:hanging="709"/>
        <w:rPr>
          <w:lang w:val="en-AU"/>
        </w:rPr>
      </w:pPr>
      <w:r w:rsidRPr="00C5396E">
        <w:rPr>
          <w:lang w:val="en-AU"/>
        </w:rPr>
        <w:t xml:space="preserve">Conversely, setting the timeframe </w:t>
      </w:r>
      <w:r w:rsidR="008E6A7C">
        <w:rPr>
          <w:lang w:val="en-AU"/>
        </w:rPr>
        <w:t xml:space="preserve">for a period which was </w:t>
      </w:r>
      <w:r w:rsidRPr="00C5396E">
        <w:rPr>
          <w:lang w:val="en-AU"/>
        </w:rPr>
        <w:t xml:space="preserve">too long </w:t>
      </w:r>
      <w:r w:rsidR="008E6A7C">
        <w:rPr>
          <w:lang w:val="en-AU"/>
        </w:rPr>
        <w:t>would</w:t>
      </w:r>
      <w:r w:rsidR="008E6A7C" w:rsidRPr="00C5396E">
        <w:rPr>
          <w:lang w:val="en-AU"/>
        </w:rPr>
        <w:t xml:space="preserve"> </w:t>
      </w:r>
      <w:r w:rsidRPr="00C5396E">
        <w:rPr>
          <w:lang w:val="en-AU"/>
        </w:rPr>
        <w:t xml:space="preserve">place little pressure on </w:t>
      </w:r>
      <w:r w:rsidR="009A7E29">
        <w:rPr>
          <w:lang w:val="en-AU"/>
        </w:rPr>
        <w:t>PWC </w:t>
      </w:r>
      <w:r w:rsidR="00C5396E">
        <w:rPr>
          <w:lang w:val="en-AU"/>
        </w:rPr>
        <w:t>Networks</w:t>
      </w:r>
      <w:r w:rsidRPr="00C5396E">
        <w:rPr>
          <w:lang w:val="en-AU"/>
        </w:rPr>
        <w:t xml:space="preserve"> to reduce costs and see </w:t>
      </w:r>
      <w:r w:rsidR="008E6A7C">
        <w:rPr>
          <w:lang w:val="en-AU"/>
        </w:rPr>
        <w:t>retail customers</w:t>
      </w:r>
      <w:r w:rsidR="008E6A7C" w:rsidRPr="00C5396E">
        <w:rPr>
          <w:lang w:val="en-AU"/>
        </w:rPr>
        <w:t xml:space="preserve"> </w:t>
      </w:r>
      <w:r w:rsidRPr="00C5396E">
        <w:rPr>
          <w:lang w:val="en-AU"/>
        </w:rPr>
        <w:t>paying more than they should be for</w:t>
      </w:r>
      <w:r w:rsidR="0001335C">
        <w:rPr>
          <w:lang w:val="en-AU"/>
        </w:rPr>
        <w:t xml:space="preserve"> </w:t>
      </w:r>
      <w:r w:rsidR="002754D1">
        <w:rPr>
          <w:lang w:val="en-AU"/>
        </w:rPr>
        <w:t>a longer period of time</w:t>
      </w:r>
      <w:r w:rsidRPr="00C5396E">
        <w:rPr>
          <w:lang w:val="en-AU"/>
        </w:rPr>
        <w:t xml:space="preserve">. </w:t>
      </w:r>
    </w:p>
    <w:p w14:paraId="493272E7" w14:textId="16628AA3" w:rsidR="00E1695C" w:rsidRPr="00E1695C" w:rsidRDefault="00C5396E" w:rsidP="000410E9">
      <w:pPr>
        <w:pStyle w:val="NumberLevel2"/>
        <w:numPr>
          <w:ilvl w:val="1"/>
          <w:numId w:val="5"/>
        </w:numPr>
        <w:tabs>
          <w:tab w:val="clear" w:pos="3270"/>
          <w:tab w:val="num" w:pos="709"/>
        </w:tabs>
        <w:ind w:left="709" w:hanging="709"/>
        <w:rPr>
          <w:lang w:val="en-AU"/>
        </w:rPr>
      </w:pPr>
      <w:r w:rsidRPr="00E1695C">
        <w:rPr>
          <w:lang w:val="en-AU"/>
        </w:rPr>
        <w:t>The C</w:t>
      </w:r>
      <w:r w:rsidR="00BF0329" w:rsidRPr="00E1695C">
        <w:rPr>
          <w:lang w:val="en-AU"/>
        </w:rPr>
        <w:t xml:space="preserve">ommission </w:t>
      </w:r>
      <w:r w:rsidR="00160B60" w:rsidRPr="00E1695C">
        <w:rPr>
          <w:lang w:val="en-AU"/>
        </w:rPr>
        <w:t>consider</w:t>
      </w:r>
      <w:r w:rsidR="00160B60">
        <w:rPr>
          <w:lang w:val="en-AU"/>
        </w:rPr>
        <w:t>ed</w:t>
      </w:r>
      <w:r w:rsidR="00160B60" w:rsidRPr="00E1695C">
        <w:rPr>
          <w:lang w:val="en-AU"/>
        </w:rPr>
        <w:t xml:space="preserve"> </w:t>
      </w:r>
      <w:r w:rsidR="00BF0329" w:rsidRPr="00E1695C">
        <w:rPr>
          <w:lang w:val="en-AU"/>
        </w:rPr>
        <w:t xml:space="preserve">that </w:t>
      </w:r>
      <w:r w:rsidRPr="00E1695C">
        <w:rPr>
          <w:lang w:val="en-AU"/>
        </w:rPr>
        <w:t xml:space="preserve">a glidepath approach to </w:t>
      </w:r>
      <w:r w:rsidR="00BF0329" w:rsidRPr="00E1695C">
        <w:rPr>
          <w:lang w:val="en-AU"/>
        </w:rPr>
        <w:t>remov</w:t>
      </w:r>
      <w:r w:rsidRPr="00E1695C">
        <w:rPr>
          <w:lang w:val="en-AU"/>
        </w:rPr>
        <w:t>e</w:t>
      </w:r>
      <w:r w:rsidR="00BF0329" w:rsidRPr="00E1695C">
        <w:rPr>
          <w:lang w:val="en-AU"/>
        </w:rPr>
        <w:t xml:space="preserve"> </w:t>
      </w:r>
      <w:r w:rsidR="008E6A7C" w:rsidRPr="00E1695C">
        <w:rPr>
          <w:lang w:val="en-AU"/>
        </w:rPr>
        <w:t>10</w:t>
      </w:r>
      <w:r w:rsidR="008E6A7C">
        <w:rPr>
          <w:lang w:val="en-AU"/>
        </w:rPr>
        <w:t> per </w:t>
      </w:r>
      <w:r w:rsidR="009537D2">
        <w:rPr>
          <w:lang w:val="en-AU"/>
        </w:rPr>
        <w:t>cent</w:t>
      </w:r>
      <w:r w:rsidR="009537D2" w:rsidRPr="00E1695C">
        <w:rPr>
          <w:lang w:val="en-AU"/>
        </w:rPr>
        <w:t xml:space="preserve"> </w:t>
      </w:r>
      <w:r w:rsidR="00BF0329" w:rsidRPr="00E1695C">
        <w:rPr>
          <w:lang w:val="en-AU"/>
        </w:rPr>
        <w:t xml:space="preserve">of </w:t>
      </w:r>
      <w:r w:rsidRPr="00E1695C">
        <w:rPr>
          <w:lang w:val="en-AU"/>
        </w:rPr>
        <w:t xml:space="preserve">the difference between PWC Networks and the average of its peers </w:t>
      </w:r>
      <w:r w:rsidR="002754D1">
        <w:rPr>
          <w:lang w:val="en-AU"/>
        </w:rPr>
        <w:t xml:space="preserve">across the </w:t>
      </w:r>
      <w:r w:rsidR="007669D5">
        <w:rPr>
          <w:lang w:val="en-AU"/>
        </w:rPr>
        <w:t xml:space="preserve">2014-19 </w:t>
      </w:r>
      <w:r w:rsidR="002754D1">
        <w:rPr>
          <w:lang w:val="en-AU"/>
        </w:rPr>
        <w:t xml:space="preserve">regulatory control period </w:t>
      </w:r>
      <w:r w:rsidR="008E6A7C">
        <w:rPr>
          <w:lang w:val="en-AU"/>
        </w:rPr>
        <w:t xml:space="preserve">would </w:t>
      </w:r>
      <w:r w:rsidRPr="00E1695C">
        <w:rPr>
          <w:lang w:val="en-AU"/>
        </w:rPr>
        <w:t>provide an appropriate balance</w:t>
      </w:r>
      <w:r w:rsidR="008E6A7C">
        <w:rPr>
          <w:lang w:val="en-AU"/>
        </w:rPr>
        <w:t xml:space="preserve"> between these considerations</w:t>
      </w:r>
      <w:r w:rsidR="002754D1">
        <w:rPr>
          <w:lang w:val="en-AU"/>
        </w:rPr>
        <w:t xml:space="preserve">. </w:t>
      </w:r>
      <w:r w:rsidRPr="00E1695C">
        <w:rPr>
          <w:lang w:val="en-AU"/>
        </w:rPr>
        <w:t xml:space="preserve">Accordingly, in addition to the specific </w:t>
      </w:r>
      <w:r w:rsidR="002754D1">
        <w:rPr>
          <w:lang w:val="en-AU"/>
        </w:rPr>
        <w:t xml:space="preserve">opex </w:t>
      </w:r>
      <w:r w:rsidRPr="00E1695C">
        <w:rPr>
          <w:lang w:val="en-AU"/>
        </w:rPr>
        <w:t xml:space="preserve">adjustments detailed </w:t>
      </w:r>
      <w:r w:rsidR="008E6A7C">
        <w:rPr>
          <w:lang w:val="en-AU"/>
        </w:rPr>
        <w:t>above</w:t>
      </w:r>
      <w:r w:rsidRPr="00E1695C">
        <w:rPr>
          <w:lang w:val="en-AU"/>
        </w:rPr>
        <w:t xml:space="preserve">, the Commission further reduced </w:t>
      </w:r>
      <w:r w:rsidR="008E6A7C">
        <w:rPr>
          <w:lang w:val="en-AU"/>
        </w:rPr>
        <w:t>PWC Networks’</w:t>
      </w:r>
      <w:r w:rsidR="008E6A7C" w:rsidRPr="00E1695C">
        <w:rPr>
          <w:lang w:val="en-AU"/>
        </w:rPr>
        <w:t xml:space="preserve"> </w:t>
      </w:r>
      <w:r w:rsidRPr="00E1695C">
        <w:rPr>
          <w:lang w:val="en-AU"/>
        </w:rPr>
        <w:t>opex forecast</w:t>
      </w:r>
      <w:r w:rsidR="00E1695C" w:rsidRPr="00E1695C">
        <w:rPr>
          <w:lang w:val="en-AU"/>
        </w:rPr>
        <w:t xml:space="preserve"> by</w:t>
      </w:r>
      <w:r w:rsidR="00BF0329" w:rsidRPr="00E1695C">
        <w:rPr>
          <w:lang w:val="en-AU"/>
        </w:rPr>
        <w:t xml:space="preserve"> 2.</w:t>
      </w:r>
      <w:r w:rsidR="008E6A7C" w:rsidRPr="00E1695C">
        <w:rPr>
          <w:lang w:val="en-AU"/>
        </w:rPr>
        <w:t>5</w:t>
      </w:r>
      <w:r w:rsidR="008E6A7C">
        <w:rPr>
          <w:lang w:val="en-AU"/>
        </w:rPr>
        <w:t> per </w:t>
      </w:r>
      <w:r w:rsidR="009537D2">
        <w:rPr>
          <w:lang w:val="en-AU"/>
        </w:rPr>
        <w:t>cent</w:t>
      </w:r>
      <w:r w:rsidR="009537D2" w:rsidRPr="00E1695C">
        <w:rPr>
          <w:lang w:val="en-AU"/>
        </w:rPr>
        <w:t xml:space="preserve"> </w:t>
      </w:r>
      <w:r w:rsidR="00BF0329" w:rsidRPr="00E1695C">
        <w:rPr>
          <w:lang w:val="en-AU"/>
        </w:rPr>
        <w:t>in</w:t>
      </w:r>
      <w:r w:rsidR="004E09D0">
        <w:rPr>
          <w:lang w:val="en-AU"/>
        </w:rPr>
        <w:t xml:space="preserve"> the</w:t>
      </w:r>
      <w:r w:rsidR="00BF0329" w:rsidRPr="00E1695C">
        <w:rPr>
          <w:lang w:val="en-AU"/>
        </w:rPr>
        <w:t xml:space="preserve"> </w:t>
      </w:r>
      <w:r w:rsidR="00E1695C" w:rsidRPr="00E1695C">
        <w:rPr>
          <w:lang w:val="en-AU"/>
        </w:rPr>
        <w:t>2015-16</w:t>
      </w:r>
      <w:r w:rsidR="004E09D0">
        <w:rPr>
          <w:lang w:val="en-AU"/>
        </w:rPr>
        <w:t xml:space="preserve"> regulatory year</w:t>
      </w:r>
      <w:r w:rsidR="00BF0329" w:rsidRPr="00E1695C">
        <w:rPr>
          <w:lang w:val="en-AU"/>
        </w:rPr>
        <w:t xml:space="preserve">, </w:t>
      </w:r>
      <w:r w:rsidR="008E6A7C" w:rsidRPr="00E1695C">
        <w:rPr>
          <w:lang w:val="en-AU"/>
        </w:rPr>
        <w:t>5</w:t>
      </w:r>
      <w:r w:rsidR="008E6A7C">
        <w:rPr>
          <w:lang w:val="en-AU"/>
        </w:rPr>
        <w:t> per </w:t>
      </w:r>
      <w:r w:rsidR="009537D2">
        <w:rPr>
          <w:lang w:val="en-AU"/>
        </w:rPr>
        <w:t>cent</w:t>
      </w:r>
      <w:r w:rsidR="009537D2" w:rsidRPr="00E1695C">
        <w:rPr>
          <w:lang w:val="en-AU"/>
        </w:rPr>
        <w:t xml:space="preserve"> </w:t>
      </w:r>
      <w:r w:rsidR="00BF0329" w:rsidRPr="00E1695C">
        <w:rPr>
          <w:lang w:val="en-AU"/>
        </w:rPr>
        <w:t xml:space="preserve">in </w:t>
      </w:r>
      <w:r w:rsidR="004E09D0">
        <w:rPr>
          <w:lang w:val="en-AU"/>
        </w:rPr>
        <w:t xml:space="preserve">the </w:t>
      </w:r>
      <w:r w:rsidR="00E1695C" w:rsidRPr="00E1695C">
        <w:rPr>
          <w:lang w:val="en-AU"/>
        </w:rPr>
        <w:t>2016-17</w:t>
      </w:r>
      <w:r w:rsidR="004E09D0">
        <w:rPr>
          <w:lang w:val="en-AU"/>
        </w:rPr>
        <w:t>regulatory year</w:t>
      </w:r>
      <w:r w:rsidR="00BF0329" w:rsidRPr="00E1695C">
        <w:rPr>
          <w:lang w:val="en-AU"/>
        </w:rPr>
        <w:t>, 7.</w:t>
      </w:r>
      <w:r w:rsidR="008E6A7C" w:rsidRPr="00E1695C">
        <w:rPr>
          <w:lang w:val="en-AU"/>
        </w:rPr>
        <w:t>5</w:t>
      </w:r>
      <w:r w:rsidR="008E6A7C">
        <w:rPr>
          <w:lang w:val="en-AU"/>
        </w:rPr>
        <w:t> per </w:t>
      </w:r>
      <w:r w:rsidR="009537D2">
        <w:rPr>
          <w:lang w:val="en-AU"/>
        </w:rPr>
        <w:t>cent</w:t>
      </w:r>
      <w:r w:rsidR="009537D2" w:rsidRPr="00E1695C">
        <w:rPr>
          <w:lang w:val="en-AU"/>
        </w:rPr>
        <w:t xml:space="preserve"> </w:t>
      </w:r>
      <w:r w:rsidR="00BF0329" w:rsidRPr="00E1695C">
        <w:rPr>
          <w:lang w:val="en-AU"/>
        </w:rPr>
        <w:t xml:space="preserve">in </w:t>
      </w:r>
      <w:r w:rsidR="004E09D0">
        <w:rPr>
          <w:lang w:val="en-AU"/>
        </w:rPr>
        <w:t xml:space="preserve">the </w:t>
      </w:r>
      <w:r w:rsidR="00E1695C" w:rsidRPr="00E1695C">
        <w:rPr>
          <w:lang w:val="en-AU"/>
        </w:rPr>
        <w:t>2017-18</w:t>
      </w:r>
      <w:r w:rsidR="004E09D0">
        <w:rPr>
          <w:lang w:val="en-AU"/>
        </w:rPr>
        <w:t xml:space="preserve"> regulatory year and </w:t>
      </w:r>
      <w:r w:rsidR="008E6A7C" w:rsidRPr="00E1695C">
        <w:rPr>
          <w:lang w:val="en-AU"/>
        </w:rPr>
        <w:t>10</w:t>
      </w:r>
      <w:r w:rsidR="008E6A7C">
        <w:rPr>
          <w:lang w:val="en-AU"/>
        </w:rPr>
        <w:t> per </w:t>
      </w:r>
      <w:r w:rsidR="009537D2">
        <w:rPr>
          <w:lang w:val="en-AU"/>
        </w:rPr>
        <w:t>cent</w:t>
      </w:r>
      <w:r w:rsidR="009537D2" w:rsidRPr="00E1695C">
        <w:rPr>
          <w:lang w:val="en-AU"/>
        </w:rPr>
        <w:t xml:space="preserve"> </w:t>
      </w:r>
      <w:r w:rsidR="00BF0329" w:rsidRPr="00E1695C">
        <w:rPr>
          <w:lang w:val="en-AU"/>
        </w:rPr>
        <w:t>in</w:t>
      </w:r>
      <w:r w:rsidR="004E09D0">
        <w:rPr>
          <w:lang w:val="en-AU"/>
        </w:rPr>
        <w:t xml:space="preserve"> the </w:t>
      </w:r>
      <w:r w:rsidR="00E1695C" w:rsidRPr="00E1695C">
        <w:rPr>
          <w:lang w:val="en-AU"/>
        </w:rPr>
        <w:t>2018-19</w:t>
      </w:r>
      <w:r w:rsidR="004E09D0">
        <w:rPr>
          <w:lang w:val="en-AU"/>
        </w:rPr>
        <w:t xml:space="preserve"> regulatory year</w:t>
      </w:r>
      <w:r w:rsidR="00BF0329" w:rsidRPr="00E1695C">
        <w:rPr>
          <w:lang w:val="en-AU"/>
        </w:rPr>
        <w:t>.</w:t>
      </w:r>
    </w:p>
    <w:p w14:paraId="2F6EF5FD" w14:textId="0C2A36EC" w:rsidR="00BF0329" w:rsidRPr="00E1695C" w:rsidRDefault="00E1695C" w:rsidP="000410E9">
      <w:pPr>
        <w:pStyle w:val="NumberLevel2"/>
        <w:numPr>
          <w:ilvl w:val="1"/>
          <w:numId w:val="5"/>
        </w:numPr>
        <w:tabs>
          <w:tab w:val="clear" w:pos="3270"/>
          <w:tab w:val="num" w:pos="709"/>
        </w:tabs>
        <w:ind w:left="709" w:hanging="709"/>
        <w:rPr>
          <w:lang w:val="en-AU"/>
        </w:rPr>
      </w:pPr>
      <w:r>
        <w:rPr>
          <w:lang w:val="en-AU"/>
        </w:rPr>
        <w:t>Assessment of the s</w:t>
      </w:r>
      <w:r w:rsidR="00BF0329" w:rsidRPr="00E1695C">
        <w:rPr>
          <w:lang w:val="en-AU"/>
        </w:rPr>
        <w:t xml:space="preserve">cope for further efficiency improvements </w:t>
      </w:r>
      <w:r w:rsidR="008E6A7C">
        <w:rPr>
          <w:lang w:val="en-AU"/>
        </w:rPr>
        <w:t xml:space="preserve">was </w:t>
      </w:r>
      <w:r w:rsidR="00A84EF7">
        <w:rPr>
          <w:lang w:val="en-AU"/>
        </w:rPr>
        <w:t>expected to</w:t>
      </w:r>
      <w:r w:rsidR="00BF0329" w:rsidRPr="00E1695C">
        <w:rPr>
          <w:lang w:val="en-AU"/>
        </w:rPr>
        <w:t xml:space="preserve"> be </w:t>
      </w:r>
      <w:r>
        <w:rPr>
          <w:lang w:val="en-AU"/>
        </w:rPr>
        <w:t>undertaken</w:t>
      </w:r>
      <w:r w:rsidR="00BF0329" w:rsidRPr="00E1695C">
        <w:rPr>
          <w:lang w:val="en-AU"/>
        </w:rPr>
        <w:t xml:space="preserve"> </w:t>
      </w:r>
      <w:r>
        <w:rPr>
          <w:lang w:val="en-AU"/>
        </w:rPr>
        <w:t xml:space="preserve">as part of the </w:t>
      </w:r>
      <w:r w:rsidR="008E6A7C">
        <w:rPr>
          <w:lang w:val="en-AU"/>
        </w:rPr>
        <w:t>Post 2019 Network Price Determination</w:t>
      </w:r>
      <w:r w:rsidR="00BF0329" w:rsidRPr="00E1695C">
        <w:rPr>
          <w:lang w:val="en-AU"/>
        </w:rPr>
        <w:t>.</w:t>
      </w:r>
    </w:p>
    <w:p w14:paraId="4EDFBE3B" w14:textId="6BD40FE1" w:rsidR="009A3B67" w:rsidRDefault="009A3B67" w:rsidP="009A3B67">
      <w:pPr>
        <w:pStyle w:val="UtilComHeading2"/>
      </w:pPr>
      <w:bookmarkStart w:id="214" w:name="_Toc385241529"/>
      <w:bookmarkStart w:id="215" w:name="_Toc386013082"/>
      <w:r>
        <w:t xml:space="preserve">Commission’s </w:t>
      </w:r>
      <w:r w:rsidR="00416AD7">
        <w:t xml:space="preserve">Draft </w:t>
      </w:r>
      <w:bookmarkEnd w:id="214"/>
      <w:r w:rsidR="00416AD7">
        <w:t>Decision</w:t>
      </w:r>
      <w:bookmarkEnd w:id="215"/>
    </w:p>
    <w:p w14:paraId="7891B6AC" w14:textId="5D841168" w:rsidR="009A3B67" w:rsidRPr="00BB353A" w:rsidRDefault="009A3B67" w:rsidP="000410E9">
      <w:pPr>
        <w:pStyle w:val="NumberLevel2"/>
        <w:numPr>
          <w:ilvl w:val="1"/>
          <w:numId w:val="5"/>
        </w:numPr>
        <w:tabs>
          <w:tab w:val="clear" w:pos="3270"/>
          <w:tab w:val="num" w:pos="709"/>
        </w:tabs>
        <w:ind w:left="709" w:hanging="709"/>
        <w:rPr>
          <w:lang w:val="en-AU"/>
        </w:rPr>
      </w:pPr>
      <w:r>
        <w:rPr>
          <w:lang w:val="en-AU"/>
        </w:rPr>
        <w:t xml:space="preserve">The Commission </w:t>
      </w:r>
      <w:r w:rsidR="00980011">
        <w:rPr>
          <w:lang w:val="en-AU"/>
        </w:rPr>
        <w:t xml:space="preserve">was </w:t>
      </w:r>
      <w:r>
        <w:rPr>
          <w:lang w:val="en-AU"/>
        </w:rPr>
        <w:t>not satisfied that PWC Networks</w:t>
      </w:r>
      <w:r w:rsidR="005276EC">
        <w:rPr>
          <w:lang w:val="en-AU"/>
        </w:rPr>
        <w:t>’</w:t>
      </w:r>
      <w:r w:rsidR="003B328E">
        <w:rPr>
          <w:lang w:val="en-AU"/>
        </w:rPr>
        <w:t xml:space="preserve"> proposed forecast of required opex of $539.3 million</w:t>
      </w:r>
      <w:r w:rsidRPr="009A3B67">
        <w:t xml:space="preserve"> </w:t>
      </w:r>
      <w:r w:rsidR="003B328E">
        <w:t xml:space="preserve">reflected </w:t>
      </w:r>
      <w:r>
        <w:t xml:space="preserve">the </w:t>
      </w:r>
      <w:r w:rsidRPr="009A3B67">
        <w:rPr>
          <w:lang w:val="en-AU"/>
        </w:rPr>
        <w:t xml:space="preserve">reasonable costs </w:t>
      </w:r>
      <w:r w:rsidR="00F211B7">
        <w:rPr>
          <w:lang w:val="en-AU"/>
        </w:rPr>
        <w:t xml:space="preserve">that </w:t>
      </w:r>
      <w:r w:rsidR="003B328E">
        <w:rPr>
          <w:lang w:val="en-AU"/>
        </w:rPr>
        <w:t xml:space="preserve">would </w:t>
      </w:r>
      <w:r w:rsidR="00F211B7">
        <w:rPr>
          <w:lang w:val="en-AU"/>
        </w:rPr>
        <w:t xml:space="preserve">be </w:t>
      </w:r>
      <w:r w:rsidRPr="009A3B67">
        <w:rPr>
          <w:lang w:val="en-AU"/>
        </w:rPr>
        <w:t xml:space="preserve">incurred by </w:t>
      </w:r>
      <w:r>
        <w:rPr>
          <w:lang w:val="en-AU"/>
        </w:rPr>
        <w:t>PWC Networks</w:t>
      </w:r>
      <w:r w:rsidRPr="009A3B67">
        <w:rPr>
          <w:lang w:val="en-AU"/>
        </w:rPr>
        <w:t xml:space="preserve"> in connection with the operation and maintenance of </w:t>
      </w:r>
      <w:r w:rsidR="003B328E">
        <w:rPr>
          <w:lang w:val="en-AU"/>
        </w:rPr>
        <w:t>PWC Networks’ electricity</w:t>
      </w:r>
      <w:r w:rsidR="003B328E" w:rsidRPr="009A3B67">
        <w:rPr>
          <w:lang w:val="en-AU"/>
        </w:rPr>
        <w:t xml:space="preserve"> </w:t>
      </w:r>
      <w:r w:rsidRPr="009A3B67">
        <w:rPr>
          <w:lang w:val="en-AU"/>
        </w:rPr>
        <w:t>network</w:t>
      </w:r>
      <w:r>
        <w:rPr>
          <w:lang w:val="en-AU"/>
        </w:rPr>
        <w:t>. Further, t</w:t>
      </w:r>
      <w:r w:rsidRPr="00BB353A">
        <w:rPr>
          <w:lang w:val="en-AU"/>
        </w:rPr>
        <w:t xml:space="preserve">he </w:t>
      </w:r>
      <w:r>
        <w:rPr>
          <w:lang w:val="en-AU"/>
        </w:rPr>
        <w:t>Commission</w:t>
      </w:r>
      <w:r w:rsidRPr="00BB353A">
        <w:rPr>
          <w:lang w:val="en-AU"/>
        </w:rPr>
        <w:t xml:space="preserve"> </w:t>
      </w:r>
      <w:r w:rsidR="00980011">
        <w:rPr>
          <w:lang w:val="en-AU"/>
        </w:rPr>
        <w:t>wa</w:t>
      </w:r>
      <w:r w:rsidR="00980011" w:rsidRPr="00BB353A">
        <w:rPr>
          <w:lang w:val="en-AU"/>
        </w:rPr>
        <w:t xml:space="preserve">s </w:t>
      </w:r>
      <w:r w:rsidRPr="00BB353A">
        <w:rPr>
          <w:lang w:val="en-AU"/>
        </w:rPr>
        <w:t xml:space="preserve">not satisfied that </w:t>
      </w:r>
      <w:r>
        <w:rPr>
          <w:lang w:val="en-AU"/>
        </w:rPr>
        <w:t>PWC Networks’</w:t>
      </w:r>
      <w:r w:rsidRPr="00BB353A">
        <w:rPr>
          <w:lang w:val="en-AU"/>
        </w:rPr>
        <w:t xml:space="preserve"> forecast </w:t>
      </w:r>
      <w:r>
        <w:rPr>
          <w:lang w:val="en-AU"/>
        </w:rPr>
        <w:t>o</w:t>
      </w:r>
      <w:r w:rsidRPr="00BB353A">
        <w:rPr>
          <w:lang w:val="en-AU"/>
        </w:rPr>
        <w:t xml:space="preserve">pex, taking into account the </w:t>
      </w:r>
      <w:r w:rsidR="003B328E">
        <w:rPr>
          <w:lang w:val="en-AU"/>
        </w:rPr>
        <w:t>operating expenditure</w:t>
      </w:r>
      <w:r w:rsidR="003B328E" w:rsidRPr="00BB353A">
        <w:rPr>
          <w:lang w:val="en-AU"/>
        </w:rPr>
        <w:t xml:space="preserve"> </w:t>
      </w:r>
      <w:r w:rsidRPr="00BB353A">
        <w:rPr>
          <w:lang w:val="en-AU"/>
        </w:rPr>
        <w:t>factors, reasonably reflect</w:t>
      </w:r>
      <w:r w:rsidR="004E09D0">
        <w:rPr>
          <w:lang w:val="en-AU"/>
        </w:rPr>
        <w:t>ed</w:t>
      </w:r>
      <w:r w:rsidRPr="00BB353A">
        <w:rPr>
          <w:lang w:val="en-AU"/>
        </w:rPr>
        <w:t xml:space="preserve"> the </w:t>
      </w:r>
      <w:r w:rsidR="003B328E">
        <w:rPr>
          <w:lang w:val="en-AU"/>
        </w:rPr>
        <w:t>operating expenditure</w:t>
      </w:r>
      <w:r w:rsidR="003B328E" w:rsidRPr="00BB353A">
        <w:rPr>
          <w:lang w:val="en-AU"/>
        </w:rPr>
        <w:t xml:space="preserve"> </w:t>
      </w:r>
      <w:r w:rsidRPr="00BB353A">
        <w:rPr>
          <w:lang w:val="en-AU"/>
        </w:rPr>
        <w:t>criteria in clause 6.5.</w:t>
      </w:r>
      <w:r>
        <w:rPr>
          <w:lang w:val="en-AU"/>
        </w:rPr>
        <w:t>6</w:t>
      </w:r>
      <w:r w:rsidRPr="00BB353A">
        <w:rPr>
          <w:lang w:val="en-AU"/>
        </w:rPr>
        <w:t xml:space="preserve"> of the NER. </w:t>
      </w:r>
    </w:p>
    <w:p w14:paraId="0919CB24" w14:textId="2FFF8697" w:rsidR="00980011" w:rsidRDefault="00980011" w:rsidP="00980011">
      <w:pPr>
        <w:pStyle w:val="NumberLevel2"/>
        <w:numPr>
          <w:ilvl w:val="1"/>
          <w:numId w:val="5"/>
        </w:numPr>
        <w:tabs>
          <w:tab w:val="num" w:pos="709"/>
        </w:tabs>
        <w:ind w:left="709" w:hanging="709"/>
        <w:rPr>
          <w:lang w:val="en-AU"/>
        </w:rPr>
      </w:pPr>
      <w:r w:rsidRPr="005B6B13">
        <w:rPr>
          <w:lang w:val="en-AU"/>
        </w:rPr>
        <w:t xml:space="preserve">Following </w:t>
      </w:r>
      <w:r>
        <w:rPr>
          <w:lang w:val="en-AU"/>
        </w:rPr>
        <w:t xml:space="preserve">its review of PWC Networks </w:t>
      </w:r>
      <w:r w:rsidR="003B328E">
        <w:rPr>
          <w:lang w:val="en-AU"/>
        </w:rPr>
        <w:t xml:space="preserve">proposed </w:t>
      </w:r>
      <w:r>
        <w:rPr>
          <w:lang w:val="en-AU"/>
        </w:rPr>
        <w:t xml:space="preserve">opex </w:t>
      </w:r>
      <w:r w:rsidR="003B328E">
        <w:rPr>
          <w:lang w:val="en-AU"/>
        </w:rPr>
        <w:t>forecast</w:t>
      </w:r>
      <w:r>
        <w:rPr>
          <w:lang w:val="en-AU"/>
        </w:rPr>
        <w:t xml:space="preserve">, the Commission made the following </w:t>
      </w:r>
      <w:r w:rsidRPr="005B6B13">
        <w:rPr>
          <w:lang w:val="en-AU"/>
        </w:rPr>
        <w:t>adjustments</w:t>
      </w:r>
      <w:r w:rsidR="004E09D0">
        <w:rPr>
          <w:lang w:val="en-AU"/>
        </w:rPr>
        <w:t>:</w:t>
      </w:r>
      <w:r>
        <w:rPr>
          <w:rStyle w:val="FootnoteReference"/>
          <w:lang w:val="en-AU"/>
        </w:rPr>
        <w:footnoteReference w:id="58"/>
      </w:r>
    </w:p>
    <w:p w14:paraId="3D92D1B6" w14:textId="60AD75C0" w:rsidR="00980011" w:rsidRDefault="00980011" w:rsidP="008E229D">
      <w:pPr>
        <w:pStyle w:val="UtilComBulletText"/>
        <w:numPr>
          <w:ilvl w:val="0"/>
          <w:numId w:val="6"/>
        </w:numPr>
        <w:tabs>
          <w:tab w:val="clear" w:pos="964"/>
          <w:tab w:val="num" w:pos="1134"/>
        </w:tabs>
        <w:ind w:left="1134" w:hanging="425"/>
      </w:pPr>
      <w:r>
        <w:t xml:space="preserve">a reduction of $8 million to </w:t>
      </w:r>
      <w:r w:rsidR="003B328E">
        <w:t xml:space="preserve">PWC Networks’ service delivery </w:t>
      </w:r>
      <w:r>
        <w:t xml:space="preserve">opex forecast as some components of work </w:t>
      </w:r>
      <w:r w:rsidR="003B328E">
        <w:t xml:space="preserve">were </w:t>
      </w:r>
      <w:r>
        <w:t>not demonstrated to be prudent;</w:t>
      </w:r>
    </w:p>
    <w:p w14:paraId="4483FE58" w14:textId="01B94008" w:rsidR="00980011" w:rsidRDefault="00980011" w:rsidP="008E229D">
      <w:pPr>
        <w:pStyle w:val="UtilComBulletText"/>
        <w:numPr>
          <w:ilvl w:val="0"/>
          <w:numId w:val="6"/>
        </w:numPr>
        <w:tabs>
          <w:tab w:val="clear" w:pos="964"/>
          <w:tab w:val="num" w:pos="1134"/>
        </w:tabs>
        <w:ind w:left="1134" w:hanging="425"/>
      </w:pPr>
      <w:r>
        <w:t xml:space="preserve">a reduction of $5.8 million to </w:t>
      </w:r>
      <w:r w:rsidR="003B328E">
        <w:t xml:space="preserve">PWC Networks’ strategy </w:t>
      </w:r>
      <w:r>
        <w:t xml:space="preserve">and </w:t>
      </w:r>
      <w:r w:rsidR="003B328E">
        <w:t xml:space="preserve">planning </w:t>
      </w:r>
      <w:r>
        <w:t xml:space="preserve">opex forecast as some components of work </w:t>
      </w:r>
      <w:r w:rsidR="003B328E">
        <w:t xml:space="preserve">were </w:t>
      </w:r>
      <w:r>
        <w:t>not demonstrated to be prudent;</w:t>
      </w:r>
    </w:p>
    <w:p w14:paraId="16C15DE6" w14:textId="6A26489F" w:rsidR="00980011" w:rsidRDefault="00980011" w:rsidP="008E229D">
      <w:pPr>
        <w:pStyle w:val="UtilComBulletText"/>
        <w:numPr>
          <w:ilvl w:val="0"/>
          <w:numId w:val="6"/>
        </w:numPr>
        <w:tabs>
          <w:tab w:val="clear" w:pos="964"/>
          <w:tab w:val="num" w:pos="1134"/>
        </w:tabs>
        <w:ind w:left="1134" w:hanging="425"/>
      </w:pPr>
      <w:r>
        <w:t xml:space="preserve">a reduction of $0.2 million to </w:t>
      </w:r>
      <w:r w:rsidR="003B328E">
        <w:t xml:space="preserve">PWC Networks’ system operations </w:t>
      </w:r>
      <w:r>
        <w:t xml:space="preserve">opex forecast to remove works associated with non-regulated </w:t>
      </w:r>
      <w:r w:rsidR="003B328E">
        <w:t>electricity networks</w:t>
      </w:r>
      <w:r>
        <w:t>;</w:t>
      </w:r>
    </w:p>
    <w:p w14:paraId="133BF190" w14:textId="3DD8CD33" w:rsidR="00980011" w:rsidRDefault="00980011" w:rsidP="008E229D">
      <w:pPr>
        <w:pStyle w:val="UtilComBulletText"/>
        <w:numPr>
          <w:ilvl w:val="0"/>
          <w:numId w:val="6"/>
        </w:numPr>
        <w:tabs>
          <w:tab w:val="clear" w:pos="964"/>
          <w:tab w:val="num" w:pos="1134"/>
        </w:tabs>
        <w:ind w:left="1134" w:hanging="425"/>
      </w:pPr>
      <w:r>
        <w:t xml:space="preserve">a reduction of $1.1 million to </w:t>
      </w:r>
      <w:r w:rsidR="003B328E">
        <w:t xml:space="preserve">PWC Networks’ metering </w:t>
      </w:r>
      <w:r>
        <w:t xml:space="preserve">opex forecast as basing the forecast on the creation of new roles to support the metering activity, rather than workloads, </w:t>
      </w:r>
      <w:r w:rsidR="003B328E">
        <w:t>led to an over-estimation of</w:t>
      </w:r>
      <w:r>
        <w:t xml:space="preserve"> the required resources;</w:t>
      </w:r>
    </w:p>
    <w:p w14:paraId="7DAECCD8" w14:textId="610E80A8" w:rsidR="00980011" w:rsidRDefault="00980011" w:rsidP="008E229D">
      <w:pPr>
        <w:pStyle w:val="UtilComBulletText"/>
        <w:numPr>
          <w:ilvl w:val="0"/>
          <w:numId w:val="6"/>
        </w:numPr>
        <w:tabs>
          <w:tab w:val="clear" w:pos="964"/>
          <w:tab w:val="num" w:pos="1134"/>
        </w:tabs>
        <w:ind w:left="1134" w:hanging="425"/>
      </w:pPr>
      <w:r>
        <w:t xml:space="preserve">a reduction of $4.9 million to </w:t>
      </w:r>
      <w:r w:rsidR="003B328E">
        <w:t xml:space="preserve">PWC Networks’ </w:t>
      </w:r>
      <w:r>
        <w:t xml:space="preserve">GSL </w:t>
      </w:r>
      <w:r w:rsidR="003B328E">
        <w:t xml:space="preserve">costs </w:t>
      </w:r>
      <w:r>
        <w:t>opex forecast as the forecast</w:t>
      </w:r>
      <w:r w:rsidR="003B328E">
        <w:t>s</w:t>
      </w:r>
      <w:r>
        <w:t xml:space="preserve"> used </w:t>
      </w:r>
      <w:r w:rsidR="003B328E">
        <w:t>were</w:t>
      </w:r>
      <w:r>
        <w:t xml:space="preserve"> overestimate</w:t>
      </w:r>
      <w:r w:rsidR="003B328E">
        <w:t>d</w:t>
      </w:r>
      <w:r>
        <w:t>;</w:t>
      </w:r>
    </w:p>
    <w:p w14:paraId="35F568C4" w14:textId="3010588E" w:rsidR="00980011" w:rsidRDefault="00980011" w:rsidP="008E229D">
      <w:pPr>
        <w:pStyle w:val="UtilComBulletText"/>
        <w:numPr>
          <w:ilvl w:val="0"/>
          <w:numId w:val="6"/>
        </w:numPr>
        <w:tabs>
          <w:tab w:val="clear" w:pos="964"/>
          <w:tab w:val="num" w:pos="1134"/>
        </w:tabs>
        <w:ind w:left="1134" w:hanging="425"/>
      </w:pPr>
      <w:r>
        <w:t xml:space="preserve">a reduction of $0.7 million to </w:t>
      </w:r>
      <w:r w:rsidR="003B328E">
        <w:t xml:space="preserve">PWC Networks’ regulatory costs </w:t>
      </w:r>
      <w:r>
        <w:t xml:space="preserve">opex forecast as many of the regulatory functions </w:t>
      </w:r>
      <w:r w:rsidR="003B328E">
        <w:t xml:space="preserve">were </w:t>
      </w:r>
      <w:r>
        <w:t xml:space="preserve">already undertaken by the Network Management group and one </w:t>
      </w:r>
      <w:r w:rsidR="003B328E">
        <w:t>full time employee would</w:t>
      </w:r>
      <w:r>
        <w:t xml:space="preserve"> be sufficient to address any new requirements;</w:t>
      </w:r>
    </w:p>
    <w:p w14:paraId="22C0E911" w14:textId="331B3EF1" w:rsidR="00980011" w:rsidRDefault="00980011" w:rsidP="008E229D">
      <w:pPr>
        <w:pStyle w:val="UtilComBulletText"/>
        <w:numPr>
          <w:ilvl w:val="0"/>
          <w:numId w:val="6"/>
        </w:numPr>
        <w:tabs>
          <w:tab w:val="clear" w:pos="964"/>
          <w:tab w:val="num" w:pos="1134"/>
        </w:tabs>
        <w:ind w:left="1134" w:hanging="425"/>
      </w:pPr>
      <w:r>
        <w:t xml:space="preserve">an increase of $3 million to </w:t>
      </w:r>
      <w:r w:rsidR="003B328E">
        <w:t xml:space="preserve">PWC Networks’ preventative maintenance </w:t>
      </w:r>
      <w:r>
        <w:t>opex forecast to align the preventative maintenance of zone substation assets with the deferral of some zone substation replacement works and the reallocation of some testing works that had been proposed as capex;</w:t>
      </w:r>
    </w:p>
    <w:p w14:paraId="5DB9FE0D" w14:textId="0FB8113C" w:rsidR="00980011" w:rsidRPr="003A1D74" w:rsidRDefault="00980011" w:rsidP="008E229D">
      <w:pPr>
        <w:pStyle w:val="UtilComBulletText"/>
        <w:numPr>
          <w:ilvl w:val="0"/>
          <w:numId w:val="6"/>
        </w:numPr>
        <w:tabs>
          <w:tab w:val="clear" w:pos="964"/>
          <w:tab w:val="num" w:pos="1134"/>
        </w:tabs>
        <w:ind w:left="1134" w:hanging="425"/>
      </w:pPr>
      <w:r>
        <w:t xml:space="preserve">a reduction of $4.4 million to </w:t>
      </w:r>
      <w:r w:rsidR="003B328E">
        <w:t xml:space="preserve">PWC Networks’ planned maintenance </w:t>
      </w:r>
      <w:r>
        <w:t xml:space="preserve">opex forecast as the forecast growth rate of defects </w:t>
      </w:r>
      <w:r w:rsidR="003B328E">
        <w:t xml:space="preserve">had </w:t>
      </w:r>
      <w:r>
        <w:t xml:space="preserve">not been justified. An increase to align the planned maintenance of zone substation assets with the deferral of some zone substation replacement works </w:t>
      </w:r>
      <w:r w:rsidR="003B328E">
        <w:t>was</w:t>
      </w:r>
      <w:r>
        <w:t xml:space="preserve"> included;</w:t>
      </w:r>
    </w:p>
    <w:p w14:paraId="43542080" w14:textId="601BFB38" w:rsidR="00980011" w:rsidRDefault="00980011" w:rsidP="008E229D">
      <w:pPr>
        <w:pStyle w:val="UtilComBulletText"/>
        <w:numPr>
          <w:ilvl w:val="0"/>
          <w:numId w:val="6"/>
        </w:numPr>
        <w:tabs>
          <w:tab w:val="clear" w:pos="964"/>
          <w:tab w:val="clear" w:pos="1134"/>
          <w:tab w:val="num" w:pos="1276"/>
        </w:tabs>
        <w:ind w:left="1134" w:hanging="425"/>
      </w:pPr>
      <w:r>
        <w:t xml:space="preserve">an increase of $0.1 million to </w:t>
      </w:r>
      <w:r w:rsidR="003B328E">
        <w:t xml:space="preserve">PWC Networks’ unplanned maintenance </w:t>
      </w:r>
      <w:r>
        <w:t>opex forecast to align the unplanned maintenance of zone substation assets with the deferral of some zone substation replacement works;</w:t>
      </w:r>
    </w:p>
    <w:p w14:paraId="0D6F97EF" w14:textId="77CD4498" w:rsidR="00980011" w:rsidRDefault="00980011" w:rsidP="008E229D">
      <w:pPr>
        <w:pStyle w:val="UtilComBulletText"/>
        <w:numPr>
          <w:ilvl w:val="0"/>
          <w:numId w:val="6"/>
        </w:numPr>
        <w:tabs>
          <w:tab w:val="clear" w:pos="964"/>
          <w:tab w:val="clear" w:pos="1134"/>
          <w:tab w:val="num" w:pos="1276"/>
        </w:tabs>
        <w:ind w:left="1134" w:hanging="425"/>
      </w:pPr>
      <w:r>
        <w:t xml:space="preserve">a reduction of $10.4 million to </w:t>
      </w:r>
      <w:r w:rsidR="003B328E">
        <w:t xml:space="preserve">PWC Networks’ vegetation management </w:t>
      </w:r>
      <w:r>
        <w:t xml:space="preserve">opex forecast as the need to increase the vegetation management program from historical levels </w:t>
      </w:r>
      <w:r w:rsidR="003B328E">
        <w:t xml:space="preserve">had </w:t>
      </w:r>
      <w:r>
        <w:t>not been established;</w:t>
      </w:r>
    </w:p>
    <w:p w14:paraId="0D245F9A" w14:textId="48E876F1" w:rsidR="00980011" w:rsidRDefault="00980011" w:rsidP="008E229D">
      <w:pPr>
        <w:pStyle w:val="UtilComBulletText"/>
        <w:numPr>
          <w:ilvl w:val="0"/>
          <w:numId w:val="6"/>
        </w:numPr>
        <w:tabs>
          <w:tab w:val="clear" w:pos="964"/>
          <w:tab w:val="clear" w:pos="1134"/>
          <w:tab w:val="num" w:pos="1276"/>
        </w:tabs>
        <w:ind w:left="1134" w:hanging="425"/>
      </w:pPr>
      <w:r>
        <w:t xml:space="preserve">a reduction of $0.4 million to </w:t>
      </w:r>
      <w:r w:rsidR="003B328E">
        <w:t xml:space="preserve">PWC Networks’ specific maintenance </w:t>
      </w:r>
      <w:r>
        <w:t>opex forecast to align the decommissioning of zone substation assets with the deferral of some zone substation replacement works; and</w:t>
      </w:r>
    </w:p>
    <w:p w14:paraId="47745E21" w14:textId="5E0CDA3D" w:rsidR="00980011" w:rsidRPr="003A1D74" w:rsidRDefault="00980011" w:rsidP="008E229D">
      <w:pPr>
        <w:pStyle w:val="UtilComBulletText"/>
        <w:numPr>
          <w:ilvl w:val="0"/>
          <w:numId w:val="6"/>
        </w:numPr>
        <w:tabs>
          <w:tab w:val="clear" w:pos="964"/>
          <w:tab w:val="clear" w:pos="1134"/>
          <w:tab w:val="num" w:pos="1276"/>
        </w:tabs>
        <w:ind w:left="1134" w:hanging="425"/>
      </w:pPr>
      <w:r>
        <w:t>a reduction of $</w:t>
      </w:r>
      <w:r w:rsidR="00AF25B5">
        <w:t>25.2</w:t>
      </w:r>
      <w:r>
        <w:t xml:space="preserve"> million as a further unallocated efficiency adjustment to bring PWC Networks</w:t>
      </w:r>
      <w:r w:rsidR="003B328E">
        <w:t>’</w:t>
      </w:r>
      <w:r>
        <w:t xml:space="preserve"> </w:t>
      </w:r>
      <w:r w:rsidR="003B328E">
        <w:t xml:space="preserve">total required </w:t>
      </w:r>
      <w:r>
        <w:t xml:space="preserve">opex </w:t>
      </w:r>
      <w:r w:rsidR="003B328E">
        <w:t xml:space="preserve">forecast </w:t>
      </w:r>
      <w:r>
        <w:t>closer to the average achieved by its peers.</w:t>
      </w:r>
    </w:p>
    <w:p w14:paraId="564BE0E4" w14:textId="53FA5077" w:rsidR="00980011" w:rsidRDefault="003B328E" w:rsidP="00980011">
      <w:pPr>
        <w:pStyle w:val="NumberLevel2"/>
        <w:numPr>
          <w:ilvl w:val="1"/>
          <w:numId w:val="5"/>
        </w:numPr>
        <w:tabs>
          <w:tab w:val="num" w:pos="709"/>
        </w:tabs>
        <w:ind w:left="709" w:hanging="709"/>
        <w:rPr>
          <w:lang w:val="en-AU"/>
        </w:rPr>
      </w:pPr>
      <w:r>
        <w:rPr>
          <w:lang w:val="en-AU"/>
        </w:rPr>
        <w:t xml:space="preserve">In making these adjustments, the </w:t>
      </w:r>
      <w:r w:rsidR="00980011">
        <w:rPr>
          <w:lang w:val="en-AU"/>
        </w:rPr>
        <w:t xml:space="preserve">Commission also had regard to the </w:t>
      </w:r>
      <w:r>
        <w:rPr>
          <w:lang w:val="en-AU"/>
        </w:rPr>
        <w:t>operating expenditure</w:t>
      </w:r>
      <w:r w:rsidRPr="005B6B13">
        <w:rPr>
          <w:lang w:val="en-AU"/>
        </w:rPr>
        <w:t xml:space="preserve"> </w:t>
      </w:r>
      <w:r w:rsidR="00980011" w:rsidRPr="005B6B13">
        <w:rPr>
          <w:lang w:val="en-AU"/>
        </w:rPr>
        <w:t>criteria</w:t>
      </w:r>
      <w:r w:rsidR="00980011">
        <w:rPr>
          <w:lang w:val="en-AU"/>
        </w:rPr>
        <w:t xml:space="preserve"> </w:t>
      </w:r>
      <w:r w:rsidR="00F249F0">
        <w:rPr>
          <w:lang w:val="en-AU"/>
        </w:rPr>
        <w:t>and took</w:t>
      </w:r>
      <w:r w:rsidR="00980011" w:rsidRPr="005B6B13">
        <w:rPr>
          <w:lang w:val="en-AU"/>
        </w:rPr>
        <w:t xml:space="preserve"> into account the </w:t>
      </w:r>
      <w:r w:rsidR="00F249F0">
        <w:rPr>
          <w:lang w:val="en-AU"/>
        </w:rPr>
        <w:t>operating expenditure</w:t>
      </w:r>
      <w:r w:rsidR="00F249F0" w:rsidRPr="005B6B13">
        <w:rPr>
          <w:lang w:val="en-AU"/>
        </w:rPr>
        <w:t xml:space="preserve"> </w:t>
      </w:r>
      <w:r w:rsidR="00980011" w:rsidRPr="005B6B13">
        <w:rPr>
          <w:lang w:val="en-AU"/>
        </w:rPr>
        <w:t>factors</w:t>
      </w:r>
      <w:r w:rsidR="00F249F0">
        <w:rPr>
          <w:lang w:val="en-AU"/>
        </w:rPr>
        <w:t xml:space="preserve"> in clause 6.5.6 of the NER</w:t>
      </w:r>
      <w:r w:rsidR="00980011" w:rsidRPr="005B6B13">
        <w:rPr>
          <w:lang w:val="en-AU"/>
        </w:rPr>
        <w:t xml:space="preserve">. The </w:t>
      </w:r>
      <w:r w:rsidR="00980011">
        <w:rPr>
          <w:lang w:val="en-AU"/>
        </w:rPr>
        <w:t>Commission</w:t>
      </w:r>
      <w:r w:rsidR="00980011" w:rsidRPr="005B6B13">
        <w:rPr>
          <w:lang w:val="en-AU"/>
        </w:rPr>
        <w:t xml:space="preserve"> </w:t>
      </w:r>
      <w:r w:rsidR="00F249F0" w:rsidRPr="005B6B13">
        <w:rPr>
          <w:lang w:val="en-AU"/>
        </w:rPr>
        <w:t>consider</w:t>
      </w:r>
      <w:r w:rsidR="00F249F0">
        <w:rPr>
          <w:lang w:val="en-AU"/>
        </w:rPr>
        <w:t>ed</w:t>
      </w:r>
      <w:r w:rsidR="00F249F0" w:rsidRPr="005B6B13">
        <w:rPr>
          <w:lang w:val="en-AU"/>
        </w:rPr>
        <w:t xml:space="preserve"> </w:t>
      </w:r>
      <w:r w:rsidR="00980011" w:rsidRPr="005B6B13">
        <w:rPr>
          <w:lang w:val="en-AU"/>
        </w:rPr>
        <w:t xml:space="preserve">this reduction </w:t>
      </w:r>
      <w:r w:rsidR="00F249F0">
        <w:rPr>
          <w:lang w:val="en-AU"/>
        </w:rPr>
        <w:t>was</w:t>
      </w:r>
      <w:r w:rsidR="00F249F0" w:rsidRPr="005B6B13">
        <w:rPr>
          <w:lang w:val="en-AU"/>
        </w:rPr>
        <w:t xml:space="preserve"> </w:t>
      </w:r>
      <w:r w:rsidR="00980011" w:rsidRPr="005B6B13">
        <w:rPr>
          <w:lang w:val="en-AU"/>
        </w:rPr>
        <w:t xml:space="preserve">the minimum adjustment necessary to ensure </w:t>
      </w:r>
      <w:r w:rsidR="00980011">
        <w:rPr>
          <w:lang w:val="en-AU"/>
        </w:rPr>
        <w:t>PWC Networks’</w:t>
      </w:r>
      <w:r w:rsidR="00980011" w:rsidRPr="005B6B13">
        <w:rPr>
          <w:lang w:val="en-AU"/>
        </w:rPr>
        <w:t xml:space="preserve"> </w:t>
      </w:r>
      <w:r w:rsidR="00980011">
        <w:rPr>
          <w:lang w:val="en-AU"/>
        </w:rPr>
        <w:t>o</w:t>
      </w:r>
      <w:r w:rsidR="00980011" w:rsidRPr="005B6B13">
        <w:rPr>
          <w:lang w:val="en-AU"/>
        </w:rPr>
        <w:t xml:space="preserve">pex forecast </w:t>
      </w:r>
      <w:r w:rsidR="00F249F0">
        <w:rPr>
          <w:lang w:val="en-AU"/>
        </w:rPr>
        <w:t>met</w:t>
      </w:r>
      <w:r w:rsidR="00F249F0" w:rsidRPr="005B6B13">
        <w:rPr>
          <w:lang w:val="en-AU"/>
        </w:rPr>
        <w:t xml:space="preserve"> </w:t>
      </w:r>
      <w:r w:rsidR="00980011" w:rsidRPr="005B6B13">
        <w:rPr>
          <w:lang w:val="en-AU"/>
        </w:rPr>
        <w:t xml:space="preserve">the </w:t>
      </w:r>
      <w:r w:rsidR="00F249F0">
        <w:rPr>
          <w:lang w:val="en-AU"/>
        </w:rPr>
        <w:t>operating expenditure</w:t>
      </w:r>
      <w:r w:rsidR="00F249F0" w:rsidRPr="005B6B13">
        <w:rPr>
          <w:lang w:val="en-AU"/>
        </w:rPr>
        <w:t xml:space="preserve"> </w:t>
      </w:r>
      <w:r w:rsidR="00980011" w:rsidRPr="005B6B13">
        <w:rPr>
          <w:lang w:val="en-AU"/>
        </w:rPr>
        <w:t>criteria.</w:t>
      </w:r>
    </w:p>
    <w:p w14:paraId="37FF80EA" w14:textId="4D0EC297" w:rsidR="00980011" w:rsidRDefault="00F249F0" w:rsidP="00980011">
      <w:pPr>
        <w:pStyle w:val="NumberLevel2"/>
        <w:numPr>
          <w:ilvl w:val="1"/>
          <w:numId w:val="5"/>
        </w:numPr>
        <w:tabs>
          <w:tab w:val="num" w:pos="709"/>
        </w:tabs>
        <w:ind w:left="709" w:hanging="709"/>
        <w:rPr>
          <w:lang w:val="en-AU"/>
        </w:rPr>
      </w:pPr>
      <w:r>
        <w:rPr>
          <w:lang w:val="en-AU"/>
        </w:rPr>
        <w:t xml:space="preserve">The </w:t>
      </w:r>
      <w:r w:rsidR="00980011" w:rsidRPr="00F275BF">
        <w:rPr>
          <w:lang w:val="en-AU"/>
        </w:rPr>
        <w:t xml:space="preserve">Commission accepted </w:t>
      </w:r>
      <w:r>
        <w:rPr>
          <w:lang w:val="en-AU"/>
        </w:rPr>
        <w:t xml:space="preserve">the </w:t>
      </w:r>
      <w:r w:rsidR="00980011" w:rsidRPr="00F275BF">
        <w:rPr>
          <w:lang w:val="en-AU"/>
        </w:rPr>
        <w:t>real input cost escalators proposed by PWC</w:t>
      </w:r>
      <w:r>
        <w:rPr>
          <w:lang w:val="en-AU"/>
        </w:rPr>
        <w:t> Networks</w:t>
      </w:r>
      <w:r w:rsidR="00980011">
        <w:rPr>
          <w:lang w:val="en-AU"/>
        </w:rPr>
        <w:t>.</w:t>
      </w:r>
    </w:p>
    <w:p w14:paraId="60017509" w14:textId="4359BC29" w:rsidR="00980011" w:rsidRDefault="00980011" w:rsidP="00980011">
      <w:pPr>
        <w:pStyle w:val="NumberLevel2"/>
        <w:numPr>
          <w:ilvl w:val="1"/>
          <w:numId w:val="5"/>
        </w:numPr>
        <w:tabs>
          <w:tab w:val="num" w:pos="709"/>
        </w:tabs>
        <w:ind w:left="709" w:hanging="709"/>
        <w:rPr>
          <w:lang w:val="en-AU"/>
        </w:rPr>
      </w:pPr>
      <w:r w:rsidRPr="00BB353A">
        <w:rPr>
          <w:lang w:val="en-AU"/>
        </w:rPr>
        <w:t xml:space="preserve">The </w:t>
      </w:r>
      <w:r>
        <w:rPr>
          <w:lang w:val="en-AU"/>
        </w:rPr>
        <w:t>Commission</w:t>
      </w:r>
      <w:r w:rsidRPr="00BB353A">
        <w:rPr>
          <w:lang w:val="en-AU"/>
        </w:rPr>
        <w:t xml:space="preserve">’s </w:t>
      </w:r>
      <w:r w:rsidR="00111134">
        <w:rPr>
          <w:lang w:val="en-AU"/>
        </w:rPr>
        <w:t>decision in the Dra</w:t>
      </w:r>
      <w:r w:rsidR="00F249F0">
        <w:rPr>
          <w:lang w:val="en-AU"/>
        </w:rPr>
        <w:t>f</w:t>
      </w:r>
      <w:r w:rsidR="00111134">
        <w:rPr>
          <w:lang w:val="en-AU"/>
        </w:rPr>
        <w:t>t</w:t>
      </w:r>
      <w:r w:rsidR="00F249F0">
        <w:rPr>
          <w:lang w:val="en-AU"/>
        </w:rPr>
        <w:t xml:space="preserve"> Determination</w:t>
      </w:r>
      <w:r w:rsidRPr="00BB353A">
        <w:rPr>
          <w:lang w:val="en-AU"/>
        </w:rPr>
        <w:t xml:space="preserve"> </w:t>
      </w:r>
      <w:r>
        <w:rPr>
          <w:lang w:val="en-AU"/>
        </w:rPr>
        <w:t>is shown</w:t>
      </w:r>
      <w:r w:rsidRPr="00BB353A">
        <w:rPr>
          <w:lang w:val="en-AU"/>
        </w:rPr>
        <w:t xml:space="preserve"> in </w:t>
      </w:r>
      <w:r>
        <w:rPr>
          <w:lang w:val="en-AU"/>
        </w:rPr>
        <w:t>T</w:t>
      </w:r>
      <w:r w:rsidRPr="00BB353A">
        <w:rPr>
          <w:lang w:val="en-AU"/>
        </w:rPr>
        <w:t xml:space="preserve">able </w:t>
      </w:r>
      <w:r>
        <w:rPr>
          <w:lang w:val="en-AU"/>
        </w:rPr>
        <w:t>10.4</w:t>
      </w:r>
      <w:r w:rsidRPr="00BB353A">
        <w:rPr>
          <w:lang w:val="en-AU"/>
        </w:rPr>
        <w:t xml:space="preserve"> </w:t>
      </w:r>
      <w:r>
        <w:rPr>
          <w:lang w:val="en-AU"/>
        </w:rPr>
        <w:t>below</w:t>
      </w:r>
      <w:r w:rsidRPr="00BB353A">
        <w:rPr>
          <w:lang w:val="en-AU"/>
        </w:rPr>
        <w:t>.</w:t>
      </w:r>
    </w:p>
    <w:p w14:paraId="32F3C6EB" w14:textId="1DB670FA" w:rsidR="00980011" w:rsidRPr="00A139AD" w:rsidRDefault="00980011" w:rsidP="00980011">
      <w:pPr>
        <w:pStyle w:val="UtilComTableTitle"/>
        <w:keepNext/>
        <w:spacing w:before="120" w:after="0" w:line="240" w:lineRule="exact"/>
      </w:pPr>
      <w:r>
        <w:t>Table 10.4: Commission</w:t>
      </w:r>
      <w:r w:rsidR="004E09D0">
        <w:t>’s</w:t>
      </w:r>
      <w:r w:rsidRPr="00B97588">
        <w:t xml:space="preserve"> </w:t>
      </w:r>
      <w:r w:rsidR="00F249F0">
        <w:t>decision in the Draft Determination</w:t>
      </w:r>
      <w:r w:rsidR="00F249F0" w:rsidRPr="00B97588">
        <w:t xml:space="preserve"> </w:t>
      </w:r>
      <w:r w:rsidRPr="00B97588">
        <w:t xml:space="preserve">on </w:t>
      </w:r>
      <w:r>
        <w:t>PWC Networks</w:t>
      </w:r>
      <w:r w:rsidR="005276EC">
        <w:t xml:space="preserve">’ </w:t>
      </w:r>
      <w:r w:rsidR="00F249F0">
        <w:t>total required</w:t>
      </w:r>
      <w:r w:rsidRPr="00B97588">
        <w:t xml:space="preserve"> </w:t>
      </w:r>
      <w:r>
        <w:t>o</w:t>
      </w:r>
      <w:r w:rsidRPr="00B97588">
        <w:t xml:space="preserve">pex </w:t>
      </w:r>
      <w:r w:rsidR="00F249F0">
        <w:t>for the 2014-19 regulatory control period</w:t>
      </w:r>
      <w:r w:rsidRPr="00125E7A">
        <w:t xml:space="preserve"> ($</w:t>
      </w:r>
      <w:r>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127"/>
        <w:gridCol w:w="1168"/>
        <w:gridCol w:w="1168"/>
        <w:gridCol w:w="1169"/>
        <w:gridCol w:w="1168"/>
        <w:gridCol w:w="1168"/>
        <w:gridCol w:w="1169"/>
      </w:tblGrid>
      <w:tr w:rsidR="00980011" w:rsidRPr="008A4655" w14:paraId="6C5E632D" w14:textId="77777777" w:rsidTr="00114B1D">
        <w:trPr>
          <w:cantSplit/>
          <w:trHeight w:val="360"/>
          <w:tblHeader/>
        </w:trPr>
        <w:tc>
          <w:tcPr>
            <w:tcW w:w="2127" w:type="dxa"/>
            <w:tcBorders>
              <w:top w:val="single" w:sz="4" w:space="0" w:color="999999"/>
              <w:bottom w:val="single" w:sz="4" w:space="0" w:color="auto"/>
            </w:tcBorders>
          </w:tcPr>
          <w:p w14:paraId="4D22E762" w14:textId="77777777" w:rsidR="00980011" w:rsidRPr="00EE5A08" w:rsidRDefault="00980011" w:rsidP="00C25FAB">
            <w:pPr>
              <w:pStyle w:val="UtilComTabletext"/>
              <w:rPr>
                <w:b/>
              </w:rPr>
            </w:pPr>
          </w:p>
        </w:tc>
        <w:tc>
          <w:tcPr>
            <w:tcW w:w="1168" w:type="dxa"/>
            <w:tcBorders>
              <w:top w:val="single" w:sz="4" w:space="0" w:color="999999"/>
              <w:bottom w:val="single" w:sz="4" w:space="0" w:color="auto"/>
            </w:tcBorders>
            <w:tcMar>
              <w:left w:w="0" w:type="dxa"/>
            </w:tcMar>
            <w:vAlign w:val="bottom"/>
          </w:tcPr>
          <w:p w14:paraId="4F13756A" w14:textId="77777777" w:rsidR="00980011" w:rsidRPr="00EE5A08" w:rsidRDefault="00980011" w:rsidP="00C25FAB">
            <w:pPr>
              <w:pStyle w:val="UtilComTabletext"/>
              <w:jc w:val="right"/>
              <w:rPr>
                <w:b/>
              </w:rPr>
            </w:pPr>
            <w:r>
              <w:rPr>
                <w:b/>
              </w:rPr>
              <w:t>2014-15</w:t>
            </w:r>
          </w:p>
        </w:tc>
        <w:tc>
          <w:tcPr>
            <w:tcW w:w="1168" w:type="dxa"/>
            <w:tcBorders>
              <w:top w:val="single" w:sz="4" w:space="0" w:color="999999"/>
              <w:bottom w:val="single" w:sz="4" w:space="0" w:color="auto"/>
            </w:tcBorders>
            <w:tcMar>
              <w:left w:w="0" w:type="dxa"/>
            </w:tcMar>
            <w:vAlign w:val="bottom"/>
          </w:tcPr>
          <w:p w14:paraId="388C430B" w14:textId="77777777" w:rsidR="00980011" w:rsidRPr="00EE5A08" w:rsidRDefault="00980011" w:rsidP="00C25FAB">
            <w:pPr>
              <w:pStyle w:val="UtilComTabletext"/>
              <w:jc w:val="right"/>
              <w:rPr>
                <w:b/>
              </w:rPr>
            </w:pPr>
            <w:r>
              <w:rPr>
                <w:b/>
              </w:rPr>
              <w:t>2015-16</w:t>
            </w:r>
          </w:p>
        </w:tc>
        <w:tc>
          <w:tcPr>
            <w:tcW w:w="1169" w:type="dxa"/>
            <w:tcBorders>
              <w:top w:val="single" w:sz="4" w:space="0" w:color="999999"/>
              <w:bottom w:val="single" w:sz="4" w:space="0" w:color="auto"/>
            </w:tcBorders>
            <w:vAlign w:val="bottom"/>
          </w:tcPr>
          <w:p w14:paraId="77F4C72C" w14:textId="77777777" w:rsidR="00980011" w:rsidRDefault="00980011" w:rsidP="00C25FAB">
            <w:pPr>
              <w:pStyle w:val="UtilComTabletext"/>
              <w:jc w:val="right"/>
              <w:rPr>
                <w:b/>
              </w:rPr>
            </w:pPr>
            <w:r>
              <w:rPr>
                <w:b/>
              </w:rPr>
              <w:t>2016-17</w:t>
            </w:r>
          </w:p>
        </w:tc>
        <w:tc>
          <w:tcPr>
            <w:tcW w:w="1168" w:type="dxa"/>
            <w:tcBorders>
              <w:top w:val="single" w:sz="4" w:space="0" w:color="999999"/>
              <w:bottom w:val="single" w:sz="4" w:space="0" w:color="auto"/>
            </w:tcBorders>
            <w:vAlign w:val="bottom"/>
          </w:tcPr>
          <w:p w14:paraId="0489DC72" w14:textId="77777777" w:rsidR="00980011" w:rsidRDefault="00980011" w:rsidP="00C25FAB">
            <w:pPr>
              <w:pStyle w:val="UtilComTabletext"/>
              <w:jc w:val="right"/>
              <w:rPr>
                <w:b/>
              </w:rPr>
            </w:pPr>
            <w:r>
              <w:rPr>
                <w:b/>
              </w:rPr>
              <w:t>2017-18</w:t>
            </w:r>
          </w:p>
        </w:tc>
        <w:tc>
          <w:tcPr>
            <w:tcW w:w="1168" w:type="dxa"/>
            <w:tcBorders>
              <w:top w:val="single" w:sz="4" w:space="0" w:color="999999"/>
              <w:bottom w:val="single" w:sz="4" w:space="0" w:color="auto"/>
            </w:tcBorders>
            <w:vAlign w:val="bottom"/>
          </w:tcPr>
          <w:p w14:paraId="37DAC5D3" w14:textId="77777777" w:rsidR="00980011" w:rsidRDefault="00980011" w:rsidP="00C25FAB">
            <w:pPr>
              <w:pStyle w:val="UtilComTabletext"/>
              <w:jc w:val="right"/>
              <w:rPr>
                <w:b/>
              </w:rPr>
            </w:pPr>
            <w:r>
              <w:rPr>
                <w:b/>
              </w:rPr>
              <w:t>2018-19</w:t>
            </w:r>
          </w:p>
        </w:tc>
        <w:tc>
          <w:tcPr>
            <w:tcW w:w="1169" w:type="dxa"/>
            <w:tcBorders>
              <w:top w:val="single" w:sz="4" w:space="0" w:color="999999"/>
              <w:bottom w:val="single" w:sz="4" w:space="0" w:color="auto"/>
            </w:tcBorders>
            <w:tcMar>
              <w:left w:w="0" w:type="dxa"/>
            </w:tcMar>
            <w:vAlign w:val="bottom"/>
          </w:tcPr>
          <w:p w14:paraId="5EE40345" w14:textId="77777777" w:rsidR="00980011" w:rsidRPr="00EE5A08" w:rsidRDefault="00980011" w:rsidP="00C25FAB">
            <w:pPr>
              <w:pStyle w:val="UtilComTabletext"/>
              <w:jc w:val="right"/>
              <w:rPr>
                <w:b/>
              </w:rPr>
            </w:pPr>
            <w:r>
              <w:rPr>
                <w:b/>
              </w:rPr>
              <w:t>Total</w:t>
            </w:r>
          </w:p>
        </w:tc>
      </w:tr>
      <w:tr w:rsidR="00980011" w:rsidRPr="008A4655" w14:paraId="220EFDE0" w14:textId="77777777" w:rsidTr="00114B1D">
        <w:trPr>
          <w:cantSplit/>
          <w:trHeight w:val="360"/>
          <w:tblHeader/>
        </w:trPr>
        <w:tc>
          <w:tcPr>
            <w:tcW w:w="2127" w:type="dxa"/>
            <w:tcBorders>
              <w:top w:val="single" w:sz="4" w:space="0" w:color="auto"/>
              <w:bottom w:val="single" w:sz="4" w:space="0" w:color="999999"/>
            </w:tcBorders>
          </w:tcPr>
          <w:p w14:paraId="7C0FB1E0" w14:textId="77777777" w:rsidR="00980011" w:rsidRDefault="00980011" w:rsidP="00C25FAB">
            <w:pPr>
              <w:pStyle w:val="UtilComTabletext"/>
            </w:pPr>
            <w:r>
              <w:t>PWC Networks proposed opex</w:t>
            </w:r>
          </w:p>
        </w:tc>
        <w:tc>
          <w:tcPr>
            <w:tcW w:w="1168" w:type="dxa"/>
            <w:tcBorders>
              <w:top w:val="single" w:sz="4" w:space="0" w:color="auto"/>
              <w:bottom w:val="single" w:sz="4" w:space="0" w:color="999999"/>
            </w:tcBorders>
            <w:shd w:val="clear" w:color="auto" w:fill="auto"/>
          </w:tcPr>
          <w:p w14:paraId="0127DA3C" w14:textId="77777777" w:rsidR="00980011" w:rsidRPr="00686C14" w:rsidRDefault="00980011" w:rsidP="00C25FAB">
            <w:pPr>
              <w:pStyle w:val="UtilComTabletext"/>
              <w:jc w:val="right"/>
            </w:pPr>
            <w:r>
              <w:t xml:space="preserve"> 109.30</w:t>
            </w:r>
            <w:r w:rsidRPr="00686C14">
              <w:t xml:space="preserve"> </w:t>
            </w:r>
          </w:p>
        </w:tc>
        <w:tc>
          <w:tcPr>
            <w:tcW w:w="1168" w:type="dxa"/>
            <w:tcBorders>
              <w:top w:val="single" w:sz="4" w:space="0" w:color="auto"/>
              <w:bottom w:val="single" w:sz="4" w:space="0" w:color="999999"/>
            </w:tcBorders>
            <w:shd w:val="clear" w:color="auto" w:fill="auto"/>
          </w:tcPr>
          <w:p w14:paraId="70EBED03" w14:textId="77777777" w:rsidR="00980011" w:rsidRPr="00686C14" w:rsidRDefault="00980011" w:rsidP="00C25FAB">
            <w:pPr>
              <w:pStyle w:val="UtilComTabletext"/>
              <w:jc w:val="right"/>
            </w:pPr>
            <w:r>
              <w:t xml:space="preserve"> 107.17</w:t>
            </w:r>
            <w:r w:rsidRPr="00686C14">
              <w:t xml:space="preserve"> </w:t>
            </w:r>
          </w:p>
        </w:tc>
        <w:tc>
          <w:tcPr>
            <w:tcW w:w="1169" w:type="dxa"/>
            <w:tcBorders>
              <w:top w:val="single" w:sz="4" w:space="0" w:color="auto"/>
              <w:bottom w:val="single" w:sz="4" w:space="0" w:color="999999"/>
            </w:tcBorders>
          </w:tcPr>
          <w:p w14:paraId="25F0754B" w14:textId="77777777" w:rsidR="00980011" w:rsidRPr="00686C14" w:rsidRDefault="00980011" w:rsidP="00C25FAB">
            <w:pPr>
              <w:pStyle w:val="UtilComTabletext"/>
              <w:jc w:val="right"/>
            </w:pPr>
            <w:r>
              <w:t xml:space="preserve"> 108.58</w:t>
            </w:r>
            <w:r w:rsidRPr="00686C14">
              <w:t xml:space="preserve"> </w:t>
            </w:r>
          </w:p>
        </w:tc>
        <w:tc>
          <w:tcPr>
            <w:tcW w:w="1168" w:type="dxa"/>
            <w:tcBorders>
              <w:top w:val="single" w:sz="4" w:space="0" w:color="auto"/>
              <w:bottom w:val="single" w:sz="4" w:space="0" w:color="999999"/>
            </w:tcBorders>
          </w:tcPr>
          <w:p w14:paraId="14D07E2A" w14:textId="77777777" w:rsidR="00980011" w:rsidRPr="00686C14" w:rsidRDefault="00980011" w:rsidP="00C25FAB">
            <w:pPr>
              <w:pStyle w:val="UtilComTabletext"/>
              <w:jc w:val="right"/>
            </w:pPr>
            <w:r>
              <w:t xml:space="preserve"> 107.37</w:t>
            </w:r>
            <w:r w:rsidRPr="00686C14">
              <w:t xml:space="preserve"> </w:t>
            </w:r>
          </w:p>
        </w:tc>
        <w:tc>
          <w:tcPr>
            <w:tcW w:w="1168" w:type="dxa"/>
            <w:tcBorders>
              <w:top w:val="single" w:sz="4" w:space="0" w:color="auto"/>
              <w:bottom w:val="single" w:sz="4" w:space="0" w:color="999999"/>
            </w:tcBorders>
          </w:tcPr>
          <w:p w14:paraId="1D84C26A" w14:textId="77777777" w:rsidR="00980011" w:rsidRPr="00686C14" w:rsidRDefault="00980011" w:rsidP="00C25FAB">
            <w:pPr>
              <w:pStyle w:val="UtilComTabletext"/>
              <w:jc w:val="right"/>
            </w:pPr>
            <w:r>
              <w:t xml:space="preserve"> 106.87</w:t>
            </w:r>
            <w:r w:rsidRPr="00686C14">
              <w:t xml:space="preserve"> </w:t>
            </w:r>
          </w:p>
        </w:tc>
        <w:tc>
          <w:tcPr>
            <w:tcW w:w="1169" w:type="dxa"/>
            <w:tcBorders>
              <w:top w:val="single" w:sz="4" w:space="0" w:color="auto"/>
              <w:bottom w:val="single" w:sz="4" w:space="0" w:color="999999"/>
            </w:tcBorders>
            <w:shd w:val="clear" w:color="auto" w:fill="auto"/>
          </w:tcPr>
          <w:p w14:paraId="092315FB" w14:textId="77777777" w:rsidR="00980011" w:rsidRDefault="00980011" w:rsidP="00C25FAB">
            <w:pPr>
              <w:pStyle w:val="UtilComTabletext"/>
              <w:jc w:val="right"/>
            </w:pPr>
            <w:r>
              <w:t>539.29</w:t>
            </w:r>
          </w:p>
        </w:tc>
      </w:tr>
      <w:tr w:rsidR="00980011" w:rsidRPr="008A4655" w14:paraId="79DF801F"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342E3CFD" w14:textId="77777777" w:rsidR="00980011" w:rsidRDefault="00980011" w:rsidP="00C25FAB">
            <w:pPr>
              <w:pStyle w:val="UtilComTabletext"/>
            </w:pPr>
            <w:r>
              <w:t>Adjustment to service delivery</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6CE67BBE" w14:textId="77777777" w:rsidR="00980011" w:rsidRDefault="00980011" w:rsidP="00C25FAB">
            <w:pPr>
              <w:pStyle w:val="UtilComTabletext"/>
              <w:jc w:val="right"/>
            </w:pPr>
            <w:r>
              <w:t>- 1.60</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61260CF3" w14:textId="77777777" w:rsidR="00980011" w:rsidRDefault="00980011" w:rsidP="00C25FAB">
            <w:pPr>
              <w:pStyle w:val="UtilComTabletext"/>
              <w:jc w:val="right"/>
            </w:pPr>
            <w:r>
              <w:t>- 1.60</w:t>
            </w:r>
          </w:p>
        </w:tc>
        <w:tc>
          <w:tcPr>
            <w:tcW w:w="1169" w:type="dxa"/>
            <w:tcBorders>
              <w:top w:val="single" w:sz="4" w:space="0" w:color="999999"/>
              <w:left w:val="single" w:sz="4" w:space="0" w:color="999999"/>
              <w:bottom w:val="single" w:sz="4" w:space="0" w:color="999999"/>
              <w:right w:val="single" w:sz="4" w:space="0" w:color="999999"/>
            </w:tcBorders>
          </w:tcPr>
          <w:p w14:paraId="0BCBB9E5" w14:textId="77777777" w:rsidR="00980011" w:rsidRDefault="00980011" w:rsidP="00C25FAB">
            <w:pPr>
              <w:pStyle w:val="UtilComTabletext"/>
              <w:jc w:val="right"/>
            </w:pPr>
            <w:r>
              <w:t>- 1.60</w:t>
            </w:r>
          </w:p>
        </w:tc>
        <w:tc>
          <w:tcPr>
            <w:tcW w:w="1168" w:type="dxa"/>
            <w:tcBorders>
              <w:top w:val="single" w:sz="4" w:space="0" w:color="999999"/>
              <w:left w:val="single" w:sz="4" w:space="0" w:color="999999"/>
              <w:bottom w:val="single" w:sz="4" w:space="0" w:color="999999"/>
              <w:right w:val="single" w:sz="4" w:space="0" w:color="999999"/>
            </w:tcBorders>
          </w:tcPr>
          <w:p w14:paraId="21A74416" w14:textId="77777777" w:rsidR="00980011" w:rsidRDefault="00980011" w:rsidP="00C25FAB">
            <w:pPr>
              <w:pStyle w:val="UtilComTabletext"/>
              <w:jc w:val="right"/>
            </w:pPr>
            <w:r>
              <w:t>- 1.60</w:t>
            </w:r>
          </w:p>
        </w:tc>
        <w:tc>
          <w:tcPr>
            <w:tcW w:w="1168" w:type="dxa"/>
            <w:tcBorders>
              <w:top w:val="single" w:sz="4" w:space="0" w:color="999999"/>
              <w:left w:val="single" w:sz="4" w:space="0" w:color="999999"/>
              <w:bottom w:val="single" w:sz="4" w:space="0" w:color="999999"/>
              <w:right w:val="single" w:sz="4" w:space="0" w:color="999999"/>
            </w:tcBorders>
          </w:tcPr>
          <w:p w14:paraId="28EBB4D2" w14:textId="77777777" w:rsidR="00980011" w:rsidRDefault="00980011" w:rsidP="00C25FAB">
            <w:pPr>
              <w:pStyle w:val="UtilComTabletext"/>
              <w:jc w:val="right"/>
            </w:pPr>
            <w:r>
              <w:t>- 1.60</w:t>
            </w:r>
          </w:p>
        </w:tc>
        <w:tc>
          <w:tcPr>
            <w:tcW w:w="1169" w:type="dxa"/>
            <w:tcBorders>
              <w:top w:val="single" w:sz="4" w:space="0" w:color="999999"/>
              <w:left w:val="single" w:sz="4" w:space="0" w:color="999999"/>
              <w:bottom w:val="single" w:sz="4" w:space="0" w:color="999999"/>
            </w:tcBorders>
            <w:shd w:val="clear" w:color="auto" w:fill="auto"/>
          </w:tcPr>
          <w:p w14:paraId="758491EF" w14:textId="77777777" w:rsidR="00980011" w:rsidRDefault="00980011" w:rsidP="00C25FAB">
            <w:pPr>
              <w:pStyle w:val="UtilComTabletext"/>
              <w:jc w:val="right"/>
            </w:pPr>
            <w:r>
              <w:t>- 8.00</w:t>
            </w:r>
          </w:p>
        </w:tc>
      </w:tr>
      <w:tr w:rsidR="00980011" w:rsidRPr="008A4655" w14:paraId="3FAB7E3E"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0E4320AC" w14:textId="77777777" w:rsidR="00980011" w:rsidRDefault="00980011" w:rsidP="00C25FAB">
            <w:pPr>
              <w:pStyle w:val="UtilComTabletext"/>
            </w:pPr>
            <w:r>
              <w:t>Adjustment to strategy and planning</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40492041" w14:textId="77777777" w:rsidR="00980011" w:rsidRDefault="00980011" w:rsidP="00C25FAB">
            <w:pPr>
              <w:pStyle w:val="UtilComTabletext"/>
              <w:jc w:val="right"/>
            </w:pPr>
            <w:r>
              <w:t>- 1.15</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5067392D" w14:textId="77777777" w:rsidR="00980011" w:rsidRDefault="00980011" w:rsidP="00C25FAB">
            <w:pPr>
              <w:pStyle w:val="UtilComTabletext"/>
              <w:jc w:val="right"/>
            </w:pPr>
            <w:r>
              <w:t>- 1.15</w:t>
            </w:r>
          </w:p>
        </w:tc>
        <w:tc>
          <w:tcPr>
            <w:tcW w:w="1169" w:type="dxa"/>
            <w:tcBorders>
              <w:top w:val="single" w:sz="4" w:space="0" w:color="999999"/>
              <w:left w:val="single" w:sz="4" w:space="0" w:color="999999"/>
              <w:bottom w:val="single" w:sz="4" w:space="0" w:color="999999"/>
              <w:right w:val="single" w:sz="4" w:space="0" w:color="999999"/>
            </w:tcBorders>
          </w:tcPr>
          <w:p w14:paraId="23094BD7" w14:textId="77777777" w:rsidR="00980011" w:rsidRDefault="00980011" w:rsidP="00C25FAB">
            <w:pPr>
              <w:pStyle w:val="UtilComTabletext"/>
              <w:jc w:val="right"/>
            </w:pPr>
            <w:r>
              <w:t>- 1.15</w:t>
            </w:r>
          </w:p>
        </w:tc>
        <w:tc>
          <w:tcPr>
            <w:tcW w:w="1168" w:type="dxa"/>
            <w:tcBorders>
              <w:top w:val="single" w:sz="4" w:space="0" w:color="999999"/>
              <w:left w:val="single" w:sz="4" w:space="0" w:color="999999"/>
              <w:bottom w:val="single" w:sz="4" w:space="0" w:color="999999"/>
              <w:right w:val="single" w:sz="4" w:space="0" w:color="999999"/>
            </w:tcBorders>
          </w:tcPr>
          <w:p w14:paraId="36AF3E70" w14:textId="77777777" w:rsidR="00980011" w:rsidRDefault="00980011" w:rsidP="00C25FAB">
            <w:pPr>
              <w:pStyle w:val="UtilComTabletext"/>
              <w:jc w:val="right"/>
            </w:pPr>
            <w:r>
              <w:t>- 1.15</w:t>
            </w:r>
          </w:p>
        </w:tc>
        <w:tc>
          <w:tcPr>
            <w:tcW w:w="1168" w:type="dxa"/>
            <w:tcBorders>
              <w:top w:val="single" w:sz="4" w:space="0" w:color="999999"/>
              <w:left w:val="single" w:sz="4" w:space="0" w:color="999999"/>
              <w:bottom w:val="single" w:sz="4" w:space="0" w:color="999999"/>
              <w:right w:val="single" w:sz="4" w:space="0" w:color="999999"/>
            </w:tcBorders>
          </w:tcPr>
          <w:p w14:paraId="7BFB2587" w14:textId="77777777" w:rsidR="00980011" w:rsidRDefault="00980011" w:rsidP="00C25FAB">
            <w:pPr>
              <w:pStyle w:val="UtilComTabletext"/>
              <w:jc w:val="right"/>
            </w:pPr>
            <w:r>
              <w:t>- 1.15</w:t>
            </w:r>
          </w:p>
        </w:tc>
        <w:tc>
          <w:tcPr>
            <w:tcW w:w="1169" w:type="dxa"/>
            <w:tcBorders>
              <w:top w:val="single" w:sz="4" w:space="0" w:color="999999"/>
              <w:left w:val="single" w:sz="4" w:space="0" w:color="999999"/>
              <w:bottom w:val="single" w:sz="4" w:space="0" w:color="999999"/>
            </w:tcBorders>
            <w:shd w:val="clear" w:color="auto" w:fill="auto"/>
          </w:tcPr>
          <w:p w14:paraId="6CDB99E3" w14:textId="77777777" w:rsidR="00980011" w:rsidRDefault="00980011" w:rsidP="00C25FAB">
            <w:pPr>
              <w:pStyle w:val="UtilComTabletext"/>
              <w:jc w:val="right"/>
            </w:pPr>
            <w:r>
              <w:t>- 5.75</w:t>
            </w:r>
          </w:p>
        </w:tc>
      </w:tr>
      <w:tr w:rsidR="00980011" w:rsidRPr="008A4655" w14:paraId="5A50D3E2"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3116F634" w14:textId="77777777" w:rsidR="00980011" w:rsidRDefault="00980011" w:rsidP="00C25FAB">
            <w:pPr>
              <w:pStyle w:val="UtilComTabletext"/>
            </w:pPr>
            <w:r>
              <w:t>Adjustment to metering</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58EFEF06" w14:textId="77777777" w:rsidR="00980011" w:rsidRDefault="00980011" w:rsidP="00C25FAB">
            <w:pPr>
              <w:pStyle w:val="UtilComTabletext"/>
              <w:jc w:val="right"/>
            </w:pPr>
            <w:r>
              <w:t>- 0.22</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07B1939F" w14:textId="77777777" w:rsidR="00980011" w:rsidRDefault="00980011" w:rsidP="00C25FAB">
            <w:pPr>
              <w:pStyle w:val="UtilComTabletext"/>
              <w:jc w:val="right"/>
            </w:pPr>
            <w:r>
              <w:t>- 0.23</w:t>
            </w:r>
          </w:p>
        </w:tc>
        <w:tc>
          <w:tcPr>
            <w:tcW w:w="1169" w:type="dxa"/>
            <w:tcBorders>
              <w:top w:val="single" w:sz="4" w:space="0" w:color="999999"/>
              <w:left w:val="single" w:sz="4" w:space="0" w:color="999999"/>
              <w:bottom w:val="single" w:sz="4" w:space="0" w:color="999999"/>
              <w:right w:val="single" w:sz="4" w:space="0" w:color="999999"/>
            </w:tcBorders>
          </w:tcPr>
          <w:p w14:paraId="4278F774" w14:textId="77777777" w:rsidR="00980011" w:rsidRDefault="00980011" w:rsidP="00C25FAB">
            <w:pPr>
              <w:pStyle w:val="UtilComTabletext"/>
              <w:jc w:val="right"/>
            </w:pPr>
            <w:r>
              <w:t>- 0.23</w:t>
            </w:r>
          </w:p>
        </w:tc>
        <w:tc>
          <w:tcPr>
            <w:tcW w:w="1168" w:type="dxa"/>
            <w:tcBorders>
              <w:top w:val="single" w:sz="4" w:space="0" w:color="999999"/>
              <w:left w:val="single" w:sz="4" w:space="0" w:color="999999"/>
              <w:bottom w:val="single" w:sz="4" w:space="0" w:color="999999"/>
              <w:right w:val="single" w:sz="4" w:space="0" w:color="999999"/>
            </w:tcBorders>
          </w:tcPr>
          <w:p w14:paraId="35B9FBED" w14:textId="77777777" w:rsidR="00980011" w:rsidRDefault="00980011" w:rsidP="00C25FAB">
            <w:pPr>
              <w:pStyle w:val="UtilComTabletext"/>
              <w:jc w:val="right"/>
            </w:pPr>
            <w:r>
              <w:t>- 0.23</w:t>
            </w:r>
          </w:p>
        </w:tc>
        <w:tc>
          <w:tcPr>
            <w:tcW w:w="1168" w:type="dxa"/>
            <w:tcBorders>
              <w:top w:val="single" w:sz="4" w:space="0" w:color="999999"/>
              <w:left w:val="single" w:sz="4" w:space="0" w:color="999999"/>
              <w:bottom w:val="single" w:sz="4" w:space="0" w:color="999999"/>
              <w:right w:val="single" w:sz="4" w:space="0" w:color="999999"/>
            </w:tcBorders>
          </w:tcPr>
          <w:p w14:paraId="3B028452" w14:textId="77777777" w:rsidR="00980011" w:rsidRDefault="00980011" w:rsidP="00C25FAB">
            <w:pPr>
              <w:pStyle w:val="UtilComTabletext"/>
              <w:jc w:val="right"/>
            </w:pPr>
            <w:r>
              <w:t>- 0,23</w:t>
            </w:r>
          </w:p>
        </w:tc>
        <w:tc>
          <w:tcPr>
            <w:tcW w:w="1169" w:type="dxa"/>
            <w:tcBorders>
              <w:top w:val="single" w:sz="4" w:space="0" w:color="999999"/>
              <w:left w:val="single" w:sz="4" w:space="0" w:color="999999"/>
              <w:bottom w:val="single" w:sz="4" w:space="0" w:color="999999"/>
            </w:tcBorders>
            <w:shd w:val="clear" w:color="auto" w:fill="auto"/>
          </w:tcPr>
          <w:p w14:paraId="6A9B13BB" w14:textId="77777777" w:rsidR="00980011" w:rsidRDefault="00980011" w:rsidP="00C25FAB">
            <w:pPr>
              <w:pStyle w:val="UtilComTabletext"/>
              <w:jc w:val="right"/>
            </w:pPr>
            <w:r>
              <w:t>- 1.14</w:t>
            </w:r>
          </w:p>
        </w:tc>
      </w:tr>
      <w:tr w:rsidR="00980011" w:rsidRPr="008A4655" w14:paraId="2586C4F0"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69DD74F8" w14:textId="77777777" w:rsidR="00980011" w:rsidRDefault="00980011" w:rsidP="00C25FAB">
            <w:pPr>
              <w:pStyle w:val="UtilComTabletext"/>
            </w:pPr>
            <w:r>
              <w:t>Adjustment to regulatory costs</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6FDD2F33" w14:textId="77777777" w:rsidR="00980011" w:rsidRDefault="00980011" w:rsidP="00C25FAB">
            <w:pPr>
              <w:pStyle w:val="UtilComTabletext"/>
              <w:jc w:val="right"/>
            </w:pPr>
            <w:r>
              <w:t>- 0.14</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1368A0F4" w14:textId="77777777" w:rsidR="00980011" w:rsidRDefault="00980011" w:rsidP="00C25FAB">
            <w:pPr>
              <w:pStyle w:val="UtilComTabletext"/>
              <w:jc w:val="right"/>
            </w:pPr>
            <w:r>
              <w:t>- 0.14</w:t>
            </w:r>
          </w:p>
        </w:tc>
        <w:tc>
          <w:tcPr>
            <w:tcW w:w="1169" w:type="dxa"/>
            <w:tcBorders>
              <w:top w:val="single" w:sz="4" w:space="0" w:color="999999"/>
              <w:left w:val="single" w:sz="4" w:space="0" w:color="999999"/>
              <w:bottom w:val="single" w:sz="4" w:space="0" w:color="999999"/>
              <w:right w:val="single" w:sz="4" w:space="0" w:color="999999"/>
            </w:tcBorders>
          </w:tcPr>
          <w:p w14:paraId="2FF379FF" w14:textId="77777777" w:rsidR="00980011" w:rsidRDefault="00980011" w:rsidP="00C25FAB">
            <w:pPr>
              <w:pStyle w:val="UtilComTabletext"/>
              <w:jc w:val="right"/>
            </w:pPr>
            <w:r>
              <w:t>- 0.14</w:t>
            </w:r>
          </w:p>
        </w:tc>
        <w:tc>
          <w:tcPr>
            <w:tcW w:w="1168" w:type="dxa"/>
            <w:tcBorders>
              <w:top w:val="single" w:sz="4" w:space="0" w:color="999999"/>
              <w:left w:val="single" w:sz="4" w:space="0" w:color="999999"/>
              <w:bottom w:val="single" w:sz="4" w:space="0" w:color="999999"/>
              <w:right w:val="single" w:sz="4" w:space="0" w:color="999999"/>
            </w:tcBorders>
          </w:tcPr>
          <w:p w14:paraId="2A9BFECF" w14:textId="77777777" w:rsidR="00980011" w:rsidRDefault="00980011" w:rsidP="00C25FAB">
            <w:pPr>
              <w:pStyle w:val="UtilComTabletext"/>
              <w:jc w:val="right"/>
            </w:pPr>
            <w:r>
              <w:t>- 0.14</w:t>
            </w:r>
          </w:p>
        </w:tc>
        <w:tc>
          <w:tcPr>
            <w:tcW w:w="1168" w:type="dxa"/>
            <w:tcBorders>
              <w:top w:val="single" w:sz="4" w:space="0" w:color="999999"/>
              <w:left w:val="single" w:sz="4" w:space="0" w:color="999999"/>
              <w:bottom w:val="single" w:sz="4" w:space="0" w:color="999999"/>
              <w:right w:val="single" w:sz="4" w:space="0" w:color="999999"/>
            </w:tcBorders>
          </w:tcPr>
          <w:p w14:paraId="3D8B1681" w14:textId="77777777" w:rsidR="00980011" w:rsidRDefault="00980011" w:rsidP="00C25FAB">
            <w:pPr>
              <w:pStyle w:val="UtilComTabletext"/>
              <w:jc w:val="right"/>
            </w:pPr>
            <w:r>
              <w:t>- 0.15</w:t>
            </w:r>
          </w:p>
        </w:tc>
        <w:tc>
          <w:tcPr>
            <w:tcW w:w="1169" w:type="dxa"/>
            <w:tcBorders>
              <w:top w:val="single" w:sz="4" w:space="0" w:color="999999"/>
              <w:left w:val="single" w:sz="4" w:space="0" w:color="999999"/>
              <w:bottom w:val="single" w:sz="4" w:space="0" w:color="999999"/>
            </w:tcBorders>
            <w:shd w:val="clear" w:color="auto" w:fill="auto"/>
          </w:tcPr>
          <w:p w14:paraId="1BEB1B65" w14:textId="77777777" w:rsidR="00980011" w:rsidRDefault="00980011" w:rsidP="00C25FAB">
            <w:pPr>
              <w:pStyle w:val="UtilComTabletext"/>
              <w:jc w:val="right"/>
            </w:pPr>
            <w:r>
              <w:t>- 0.72</w:t>
            </w:r>
          </w:p>
        </w:tc>
      </w:tr>
      <w:tr w:rsidR="00980011" w:rsidRPr="008A4655" w14:paraId="1DE486C0"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3E3DFD76" w14:textId="77777777" w:rsidR="00980011" w:rsidRDefault="00980011" w:rsidP="00C25FAB">
            <w:pPr>
              <w:pStyle w:val="UtilComTabletext"/>
            </w:pPr>
            <w:r>
              <w:t>Adjustment to GSL costs</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6B315C46" w14:textId="77777777" w:rsidR="00980011" w:rsidRDefault="00980011" w:rsidP="00C25FAB">
            <w:pPr>
              <w:pStyle w:val="UtilComTabletext"/>
              <w:jc w:val="right"/>
            </w:pPr>
            <w:r>
              <w:t>- 0.98</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5FADE369" w14:textId="77777777" w:rsidR="00980011" w:rsidRDefault="00980011" w:rsidP="00C25FAB">
            <w:pPr>
              <w:pStyle w:val="UtilComTabletext"/>
              <w:jc w:val="right"/>
            </w:pPr>
            <w:r>
              <w:t>- 0.98</w:t>
            </w:r>
          </w:p>
        </w:tc>
        <w:tc>
          <w:tcPr>
            <w:tcW w:w="1169" w:type="dxa"/>
            <w:tcBorders>
              <w:top w:val="single" w:sz="4" w:space="0" w:color="999999"/>
              <w:left w:val="single" w:sz="4" w:space="0" w:color="999999"/>
              <w:bottom w:val="single" w:sz="4" w:space="0" w:color="999999"/>
              <w:right w:val="single" w:sz="4" w:space="0" w:color="999999"/>
            </w:tcBorders>
          </w:tcPr>
          <w:p w14:paraId="2CFA2842" w14:textId="77777777" w:rsidR="00980011" w:rsidRDefault="00980011" w:rsidP="00C25FAB">
            <w:pPr>
              <w:pStyle w:val="UtilComTabletext"/>
              <w:jc w:val="right"/>
            </w:pPr>
            <w:r>
              <w:t>- 0.98</w:t>
            </w:r>
          </w:p>
        </w:tc>
        <w:tc>
          <w:tcPr>
            <w:tcW w:w="1168" w:type="dxa"/>
            <w:tcBorders>
              <w:top w:val="single" w:sz="4" w:space="0" w:color="999999"/>
              <w:left w:val="single" w:sz="4" w:space="0" w:color="999999"/>
              <w:bottom w:val="single" w:sz="4" w:space="0" w:color="999999"/>
              <w:right w:val="single" w:sz="4" w:space="0" w:color="999999"/>
            </w:tcBorders>
          </w:tcPr>
          <w:p w14:paraId="13E74226" w14:textId="77777777" w:rsidR="00980011" w:rsidRDefault="00980011" w:rsidP="00C25FAB">
            <w:pPr>
              <w:pStyle w:val="UtilComTabletext"/>
              <w:jc w:val="right"/>
            </w:pPr>
            <w:r>
              <w:t>- 0.98</w:t>
            </w:r>
          </w:p>
        </w:tc>
        <w:tc>
          <w:tcPr>
            <w:tcW w:w="1168" w:type="dxa"/>
            <w:tcBorders>
              <w:top w:val="single" w:sz="4" w:space="0" w:color="999999"/>
              <w:left w:val="single" w:sz="4" w:space="0" w:color="999999"/>
              <w:bottom w:val="single" w:sz="4" w:space="0" w:color="999999"/>
              <w:right w:val="single" w:sz="4" w:space="0" w:color="999999"/>
            </w:tcBorders>
          </w:tcPr>
          <w:p w14:paraId="29E15AF0" w14:textId="77777777" w:rsidR="00980011" w:rsidRDefault="00980011" w:rsidP="00C25FAB">
            <w:pPr>
              <w:pStyle w:val="UtilComTabletext"/>
              <w:jc w:val="right"/>
            </w:pPr>
            <w:r>
              <w:t>- 0.98</w:t>
            </w:r>
          </w:p>
        </w:tc>
        <w:tc>
          <w:tcPr>
            <w:tcW w:w="1169" w:type="dxa"/>
            <w:tcBorders>
              <w:top w:val="single" w:sz="4" w:space="0" w:color="999999"/>
              <w:left w:val="single" w:sz="4" w:space="0" w:color="999999"/>
              <w:bottom w:val="single" w:sz="4" w:space="0" w:color="999999"/>
            </w:tcBorders>
            <w:shd w:val="clear" w:color="auto" w:fill="auto"/>
          </w:tcPr>
          <w:p w14:paraId="456A6654" w14:textId="77777777" w:rsidR="00980011" w:rsidRDefault="00980011" w:rsidP="00C25FAB">
            <w:pPr>
              <w:pStyle w:val="UtilComTabletext"/>
              <w:jc w:val="right"/>
            </w:pPr>
            <w:r>
              <w:t>- 4.92</w:t>
            </w:r>
          </w:p>
        </w:tc>
      </w:tr>
      <w:tr w:rsidR="00980011" w:rsidRPr="008A4655" w14:paraId="20A29B66"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63122C3E" w14:textId="77777777" w:rsidR="00980011" w:rsidRDefault="00980011" w:rsidP="00C25FAB">
            <w:pPr>
              <w:pStyle w:val="UtilComTabletext"/>
            </w:pPr>
            <w:r>
              <w:t>Adjustment to system operations</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4B384514" w14:textId="77777777" w:rsidR="00980011" w:rsidRDefault="00980011" w:rsidP="00C25FAB">
            <w:pPr>
              <w:pStyle w:val="UtilComTabletext"/>
              <w:jc w:val="right"/>
            </w:pPr>
            <w:r>
              <w:t>- 0.05</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48BEE216" w14:textId="77777777" w:rsidR="00980011" w:rsidRDefault="00980011" w:rsidP="00C25FAB">
            <w:pPr>
              <w:pStyle w:val="UtilComTabletext"/>
              <w:jc w:val="right"/>
            </w:pPr>
            <w:r w:rsidRPr="00E86EF3">
              <w:t>- 0.05</w:t>
            </w:r>
          </w:p>
        </w:tc>
        <w:tc>
          <w:tcPr>
            <w:tcW w:w="1169" w:type="dxa"/>
            <w:tcBorders>
              <w:top w:val="single" w:sz="4" w:space="0" w:color="999999"/>
              <w:left w:val="single" w:sz="4" w:space="0" w:color="999999"/>
              <w:bottom w:val="single" w:sz="4" w:space="0" w:color="999999"/>
              <w:right w:val="single" w:sz="4" w:space="0" w:color="999999"/>
            </w:tcBorders>
          </w:tcPr>
          <w:p w14:paraId="5DF44D51" w14:textId="77777777" w:rsidR="00980011" w:rsidRDefault="00980011" w:rsidP="00C25FAB">
            <w:pPr>
              <w:pStyle w:val="UtilComTabletext"/>
              <w:jc w:val="right"/>
            </w:pPr>
            <w:r w:rsidRPr="00E86EF3">
              <w:t>- 0.05</w:t>
            </w:r>
          </w:p>
        </w:tc>
        <w:tc>
          <w:tcPr>
            <w:tcW w:w="1168" w:type="dxa"/>
            <w:tcBorders>
              <w:top w:val="single" w:sz="4" w:space="0" w:color="999999"/>
              <w:left w:val="single" w:sz="4" w:space="0" w:color="999999"/>
              <w:bottom w:val="single" w:sz="4" w:space="0" w:color="999999"/>
              <w:right w:val="single" w:sz="4" w:space="0" w:color="999999"/>
            </w:tcBorders>
          </w:tcPr>
          <w:p w14:paraId="004708C7" w14:textId="77777777" w:rsidR="00980011" w:rsidRDefault="00980011" w:rsidP="00C25FAB">
            <w:pPr>
              <w:pStyle w:val="UtilComTabletext"/>
              <w:jc w:val="right"/>
            </w:pPr>
            <w:r w:rsidRPr="00E86EF3">
              <w:t>- 0.05</w:t>
            </w:r>
          </w:p>
        </w:tc>
        <w:tc>
          <w:tcPr>
            <w:tcW w:w="1168" w:type="dxa"/>
            <w:tcBorders>
              <w:top w:val="single" w:sz="4" w:space="0" w:color="999999"/>
              <w:left w:val="single" w:sz="4" w:space="0" w:color="999999"/>
              <w:bottom w:val="single" w:sz="4" w:space="0" w:color="999999"/>
              <w:right w:val="single" w:sz="4" w:space="0" w:color="999999"/>
            </w:tcBorders>
          </w:tcPr>
          <w:p w14:paraId="4028606F" w14:textId="77777777" w:rsidR="00980011" w:rsidRDefault="00980011" w:rsidP="00C25FAB">
            <w:pPr>
              <w:pStyle w:val="UtilComTabletext"/>
              <w:jc w:val="right"/>
            </w:pPr>
            <w:r w:rsidRPr="00E86EF3">
              <w:t>- 0.05</w:t>
            </w:r>
          </w:p>
        </w:tc>
        <w:tc>
          <w:tcPr>
            <w:tcW w:w="1169" w:type="dxa"/>
            <w:tcBorders>
              <w:top w:val="single" w:sz="4" w:space="0" w:color="999999"/>
              <w:left w:val="single" w:sz="4" w:space="0" w:color="999999"/>
              <w:bottom w:val="single" w:sz="4" w:space="0" w:color="999999"/>
            </w:tcBorders>
            <w:shd w:val="clear" w:color="auto" w:fill="auto"/>
          </w:tcPr>
          <w:p w14:paraId="68084742" w14:textId="77777777" w:rsidR="00980011" w:rsidRDefault="00980011" w:rsidP="00C25FAB">
            <w:pPr>
              <w:pStyle w:val="UtilComTabletext"/>
              <w:jc w:val="right"/>
            </w:pPr>
            <w:r>
              <w:t>- 0.24</w:t>
            </w:r>
          </w:p>
        </w:tc>
      </w:tr>
      <w:tr w:rsidR="00980011" w:rsidRPr="008A4655" w14:paraId="115AC5BB"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19306B87" w14:textId="77777777" w:rsidR="00980011" w:rsidRDefault="00980011" w:rsidP="00C25FAB">
            <w:pPr>
              <w:pStyle w:val="UtilComTabletext"/>
            </w:pPr>
            <w:r>
              <w:t>Adjustment to preventative maintenance</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7199DADA" w14:textId="77777777" w:rsidR="00980011" w:rsidRDefault="00980011" w:rsidP="00C25FAB">
            <w:pPr>
              <w:pStyle w:val="UtilComTabletext"/>
              <w:jc w:val="right"/>
            </w:pPr>
            <w:r>
              <w:t>0.83</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366DE1F8" w14:textId="77777777" w:rsidR="00980011" w:rsidRDefault="00980011" w:rsidP="00C25FAB">
            <w:pPr>
              <w:pStyle w:val="UtilComTabletext"/>
              <w:jc w:val="right"/>
            </w:pPr>
            <w:r>
              <w:t>0.92</w:t>
            </w:r>
          </w:p>
        </w:tc>
        <w:tc>
          <w:tcPr>
            <w:tcW w:w="1169" w:type="dxa"/>
            <w:tcBorders>
              <w:top w:val="single" w:sz="4" w:space="0" w:color="999999"/>
              <w:left w:val="single" w:sz="4" w:space="0" w:color="999999"/>
              <w:bottom w:val="single" w:sz="4" w:space="0" w:color="999999"/>
              <w:right w:val="single" w:sz="4" w:space="0" w:color="999999"/>
            </w:tcBorders>
          </w:tcPr>
          <w:p w14:paraId="3082BBD7" w14:textId="77777777" w:rsidR="00980011" w:rsidRDefault="00980011" w:rsidP="00C25FAB">
            <w:pPr>
              <w:pStyle w:val="UtilComTabletext"/>
              <w:jc w:val="right"/>
            </w:pPr>
            <w:r>
              <w:t>0.93</w:t>
            </w:r>
          </w:p>
        </w:tc>
        <w:tc>
          <w:tcPr>
            <w:tcW w:w="1168" w:type="dxa"/>
            <w:tcBorders>
              <w:top w:val="single" w:sz="4" w:space="0" w:color="999999"/>
              <w:left w:val="single" w:sz="4" w:space="0" w:color="999999"/>
              <w:bottom w:val="single" w:sz="4" w:space="0" w:color="999999"/>
              <w:right w:val="single" w:sz="4" w:space="0" w:color="999999"/>
            </w:tcBorders>
          </w:tcPr>
          <w:p w14:paraId="226CEB4B" w14:textId="77777777" w:rsidR="00980011" w:rsidRDefault="00980011" w:rsidP="00C25FAB">
            <w:pPr>
              <w:pStyle w:val="UtilComTabletext"/>
              <w:jc w:val="right"/>
            </w:pPr>
            <w:r>
              <w:t>0.18</w:t>
            </w:r>
          </w:p>
        </w:tc>
        <w:tc>
          <w:tcPr>
            <w:tcW w:w="1168" w:type="dxa"/>
            <w:tcBorders>
              <w:top w:val="single" w:sz="4" w:space="0" w:color="999999"/>
              <w:left w:val="single" w:sz="4" w:space="0" w:color="999999"/>
              <w:bottom w:val="single" w:sz="4" w:space="0" w:color="999999"/>
              <w:right w:val="single" w:sz="4" w:space="0" w:color="999999"/>
            </w:tcBorders>
          </w:tcPr>
          <w:p w14:paraId="478B5AF6" w14:textId="77777777" w:rsidR="00980011" w:rsidRDefault="00980011" w:rsidP="00C25FAB">
            <w:pPr>
              <w:pStyle w:val="UtilComTabletext"/>
              <w:jc w:val="right"/>
            </w:pPr>
            <w:r>
              <w:t>0.27</w:t>
            </w:r>
          </w:p>
        </w:tc>
        <w:tc>
          <w:tcPr>
            <w:tcW w:w="1169" w:type="dxa"/>
            <w:tcBorders>
              <w:top w:val="single" w:sz="4" w:space="0" w:color="999999"/>
              <w:left w:val="single" w:sz="4" w:space="0" w:color="999999"/>
              <w:bottom w:val="single" w:sz="4" w:space="0" w:color="999999"/>
            </w:tcBorders>
            <w:shd w:val="clear" w:color="auto" w:fill="auto"/>
          </w:tcPr>
          <w:p w14:paraId="482D6A7B" w14:textId="77777777" w:rsidR="00980011" w:rsidRDefault="00980011" w:rsidP="00C25FAB">
            <w:pPr>
              <w:pStyle w:val="UtilComTabletext"/>
              <w:jc w:val="right"/>
            </w:pPr>
            <w:r>
              <w:t>3.12</w:t>
            </w:r>
          </w:p>
        </w:tc>
      </w:tr>
      <w:tr w:rsidR="00980011" w:rsidRPr="008A4655" w14:paraId="01AE0FD8"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626050A0" w14:textId="77777777" w:rsidR="00980011" w:rsidRDefault="00980011" w:rsidP="00C25FAB">
            <w:pPr>
              <w:pStyle w:val="UtilComTabletext"/>
            </w:pPr>
            <w:r>
              <w:t>Adjustment to vegetation management</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24020516" w14:textId="77777777" w:rsidR="00980011" w:rsidRDefault="00980011" w:rsidP="00C25FAB">
            <w:pPr>
              <w:pStyle w:val="UtilComTabletext"/>
              <w:jc w:val="right"/>
            </w:pPr>
            <w:r>
              <w:t>- 2.90</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7C89D33D" w14:textId="77777777" w:rsidR="00980011" w:rsidRDefault="00980011" w:rsidP="00C25FAB">
            <w:pPr>
              <w:pStyle w:val="UtilComTabletext"/>
              <w:jc w:val="right"/>
            </w:pPr>
            <w:r>
              <w:t>- 1.84</w:t>
            </w:r>
          </w:p>
        </w:tc>
        <w:tc>
          <w:tcPr>
            <w:tcW w:w="1169" w:type="dxa"/>
            <w:tcBorders>
              <w:top w:val="single" w:sz="4" w:space="0" w:color="999999"/>
              <w:left w:val="single" w:sz="4" w:space="0" w:color="999999"/>
              <w:bottom w:val="single" w:sz="4" w:space="0" w:color="999999"/>
              <w:right w:val="single" w:sz="4" w:space="0" w:color="999999"/>
            </w:tcBorders>
          </w:tcPr>
          <w:p w14:paraId="4E79B87B" w14:textId="77777777" w:rsidR="00980011" w:rsidRDefault="00980011" w:rsidP="00C25FAB">
            <w:pPr>
              <w:pStyle w:val="UtilComTabletext"/>
              <w:jc w:val="right"/>
            </w:pPr>
            <w:r>
              <w:t>- 1.86</w:t>
            </w:r>
          </w:p>
        </w:tc>
        <w:tc>
          <w:tcPr>
            <w:tcW w:w="1168" w:type="dxa"/>
            <w:tcBorders>
              <w:top w:val="single" w:sz="4" w:space="0" w:color="999999"/>
              <w:left w:val="single" w:sz="4" w:space="0" w:color="999999"/>
              <w:bottom w:val="single" w:sz="4" w:space="0" w:color="999999"/>
              <w:right w:val="single" w:sz="4" w:space="0" w:color="999999"/>
            </w:tcBorders>
          </w:tcPr>
          <w:p w14:paraId="2EA72120" w14:textId="77777777" w:rsidR="00980011" w:rsidRDefault="00980011" w:rsidP="00C25FAB">
            <w:pPr>
              <w:pStyle w:val="UtilComTabletext"/>
              <w:jc w:val="right"/>
            </w:pPr>
            <w:r>
              <w:t>- 1.88</w:t>
            </w:r>
          </w:p>
        </w:tc>
        <w:tc>
          <w:tcPr>
            <w:tcW w:w="1168" w:type="dxa"/>
            <w:tcBorders>
              <w:top w:val="single" w:sz="4" w:space="0" w:color="999999"/>
              <w:left w:val="single" w:sz="4" w:space="0" w:color="999999"/>
              <w:bottom w:val="single" w:sz="4" w:space="0" w:color="999999"/>
              <w:right w:val="single" w:sz="4" w:space="0" w:color="999999"/>
            </w:tcBorders>
          </w:tcPr>
          <w:p w14:paraId="5CAE8551" w14:textId="77777777" w:rsidR="00980011" w:rsidRDefault="00980011" w:rsidP="00C25FAB">
            <w:pPr>
              <w:pStyle w:val="UtilComTabletext"/>
              <w:jc w:val="right"/>
            </w:pPr>
            <w:r>
              <w:t>- 1.90</w:t>
            </w:r>
          </w:p>
        </w:tc>
        <w:tc>
          <w:tcPr>
            <w:tcW w:w="1169" w:type="dxa"/>
            <w:tcBorders>
              <w:top w:val="single" w:sz="4" w:space="0" w:color="999999"/>
              <w:left w:val="single" w:sz="4" w:space="0" w:color="999999"/>
              <w:bottom w:val="single" w:sz="4" w:space="0" w:color="999999"/>
            </w:tcBorders>
            <w:shd w:val="clear" w:color="auto" w:fill="auto"/>
          </w:tcPr>
          <w:p w14:paraId="2E3D5336" w14:textId="77777777" w:rsidR="00980011" w:rsidRDefault="00980011" w:rsidP="00C25FAB">
            <w:pPr>
              <w:pStyle w:val="UtilComTabletext"/>
              <w:jc w:val="right"/>
            </w:pPr>
            <w:r>
              <w:t>- 10.38</w:t>
            </w:r>
          </w:p>
        </w:tc>
      </w:tr>
      <w:tr w:rsidR="00980011" w:rsidRPr="008A4655" w14:paraId="6DBEDF88"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0DA2810D" w14:textId="77777777" w:rsidR="00980011" w:rsidRDefault="00980011" w:rsidP="00C25FAB">
            <w:pPr>
              <w:pStyle w:val="UtilComTabletext"/>
            </w:pPr>
            <w:r>
              <w:t>Adjustment to planned corrective maintenance</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2E3D9051" w14:textId="77777777" w:rsidR="00980011" w:rsidRDefault="00980011" w:rsidP="00C25FAB">
            <w:pPr>
              <w:pStyle w:val="UtilComTabletext"/>
              <w:jc w:val="right"/>
            </w:pPr>
            <w:r>
              <w:t>- 0.85</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0AD62D93" w14:textId="77777777" w:rsidR="00980011" w:rsidRDefault="00980011" w:rsidP="00C25FAB">
            <w:pPr>
              <w:pStyle w:val="UtilComTabletext"/>
              <w:jc w:val="right"/>
            </w:pPr>
            <w:r>
              <w:t>- 1.05</w:t>
            </w:r>
          </w:p>
        </w:tc>
        <w:tc>
          <w:tcPr>
            <w:tcW w:w="1169" w:type="dxa"/>
            <w:tcBorders>
              <w:top w:val="single" w:sz="4" w:space="0" w:color="999999"/>
              <w:left w:val="single" w:sz="4" w:space="0" w:color="999999"/>
              <w:bottom w:val="single" w:sz="4" w:space="0" w:color="999999"/>
              <w:right w:val="single" w:sz="4" w:space="0" w:color="999999"/>
            </w:tcBorders>
          </w:tcPr>
          <w:p w14:paraId="559F1214" w14:textId="77777777" w:rsidR="00980011" w:rsidRDefault="00980011" w:rsidP="00C25FAB">
            <w:pPr>
              <w:pStyle w:val="UtilComTabletext"/>
              <w:jc w:val="right"/>
            </w:pPr>
            <w:r>
              <w:t>- 0.70</w:t>
            </w:r>
          </w:p>
        </w:tc>
        <w:tc>
          <w:tcPr>
            <w:tcW w:w="1168" w:type="dxa"/>
            <w:tcBorders>
              <w:top w:val="single" w:sz="4" w:space="0" w:color="999999"/>
              <w:left w:val="single" w:sz="4" w:space="0" w:color="999999"/>
              <w:bottom w:val="single" w:sz="4" w:space="0" w:color="999999"/>
              <w:right w:val="single" w:sz="4" w:space="0" w:color="999999"/>
            </w:tcBorders>
          </w:tcPr>
          <w:p w14:paraId="52857383" w14:textId="77777777" w:rsidR="00980011" w:rsidRDefault="00980011" w:rsidP="00C25FAB">
            <w:pPr>
              <w:pStyle w:val="UtilComTabletext"/>
              <w:jc w:val="right"/>
            </w:pPr>
            <w:r>
              <w:t>- 0.83</w:t>
            </w:r>
          </w:p>
        </w:tc>
        <w:tc>
          <w:tcPr>
            <w:tcW w:w="1168" w:type="dxa"/>
            <w:tcBorders>
              <w:top w:val="single" w:sz="4" w:space="0" w:color="999999"/>
              <w:left w:val="single" w:sz="4" w:space="0" w:color="999999"/>
              <w:bottom w:val="single" w:sz="4" w:space="0" w:color="999999"/>
              <w:right w:val="single" w:sz="4" w:space="0" w:color="999999"/>
            </w:tcBorders>
          </w:tcPr>
          <w:p w14:paraId="64AD5828" w14:textId="77777777" w:rsidR="00980011" w:rsidRDefault="00980011" w:rsidP="00C25FAB">
            <w:pPr>
              <w:pStyle w:val="UtilComTabletext"/>
              <w:jc w:val="right"/>
            </w:pPr>
            <w:r>
              <w:t>-0.93</w:t>
            </w:r>
          </w:p>
        </w:tc>
        <w:tc>
          <w:tcPr>
            <w:tcW w:w="1169" w:type="dxa"/>
            <w:tcBorders>
              <w:top w:val="single" w:sz="4" w:space="0" w:color="999999"/>
              <w:left w:val="single" w:sz="4" w:space="0" w:color="999999"/>
              <w:bottom w:val="single" w:sz="4" w:space="0" w:color="999999"/>
            </w:tcBorders>
            <w:shd w:val="clear" w:color="auto" w:fill="auto"/>
          </w:tcPr>
          <w:p w14:paraId="691BE220" w14:textId="77777777" w:rsidR="00980011" w:rsidRDefault="00980011" w:rsidP="00C25FAB">
            <w:pPr>
              <w:pStyle w:val="UtilComTabletext"/>
              <w:jc w:val="right"/>
            </w:pPr>
            <w:r>
              <w:t>- 4.35</w:t>
            </w:r>
          </w:p>
        </w:tc>
      </w:tr>
      <w:tr w:rsidR="00980011" w:rsidRPr="008A4655" w14:paraId="193FA7AF"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4E92528D" w14:textId="77777777" w:rsidR="00980011" w:rsidRDefault="00980011" w:rsidP="00C25FAB">
            <w:pPr>
              <w:pStyle w:val="UtilComTabletext"/>
            </w:pPr>
            <w:r>
              <w:t>Adjustment to unplanned corrective maintenance</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5E75C582" w14:textId="77777777" w:rsidR="00980011" w:rsidRDefault="00980011" w:rsidP="00C25FAB">
            <w:pPr>
              <w:pStyle w:val="UtilComTabletext"/>
              <w:jc w:val="right"/>
            </w:pPr>
            <w:r>
              <w:t>-</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672707B5" w14:textId="77777777" w:rsidR="00980011" w:rsidRDefault="00980011" w:rsidP="00C25FAB">
            <w:pPr>
              <w:pStyle w:val="UtilComTabletext"/>
              <w:jc w:val="right"/>
            </w:pPr>
            <w:r>
              <w:t>-</w:t>
            </w:r>
          </w:p>
        </w:tc>
        <w:tc>
          <w:tcPr>
            <w:tcW w:w="1169" w:type="dxa"/>
            <w:tcBorders>
              <w:top w:val="single" w:sz="4" w:space="0" w:color="999999"/>
              <w:left w:val="single" w:sz="4" w:space="0" w:color="999999"/>
              <w:bottom w:val="single" w:sz="4" w:space="0" w:color="999999"/>
              <w:right w:val="single" w:sz="4" w:space="0" w:color="999999"/>
            </w:tcBorders>
          </w:tcPr>
          <w:p w14:paraId="5F5F91C7" w14:textId="77777777" w:rsidR="00980011" w:rsidRDefault="00980011" w:rsidP="00C25FAB">
            <w:pPr>
              <w:pStyle w:val="UtilComTabletext"/>
              <w:jc w:val="right"/>
            </w:pPr>
            <w:r>
              <w:t>0.05</w:t>
            </w:r>
          </w:p>
        </w:tc>
        <w:tc>
          <w:tcPr>
            <w:tcW w:w="1168" w:type="dxa"/>
            <w:tcBorders>
              <w:top w:val="single" w:sz="4" w:space="0" w:color="999999"/>
              <w:left w:val="single" w:sz="4" w:space="0" w:color="999999"/>
              <w:bottom w:val="single" w:sz="4" w:space="0" w:color="999999"/>
              <w:right w:val="single" w:sz="4" w:space="0" w:color="999999"/>
            </w:tcBorders>
          </w:tcPr>
          <w:p w14:paraId="70687620" w14:textId="77777777" w:rsidR="00980011" w:rsidRDefault="00980011" w:rsidP="00C25FAB">
            <w:pPr>
              <w:pStyle w:val="UtilComTabletext"/>
              <w:jc w:val="right"/>
            </w:pPr>
            <w:r>
              <w:t>0.05</w:t>
            </w:r>
          </w:p>
        </w:tc>
        <w:tc>
          <w:tcPr>
            <w:tcW w:w="1168" w:type="dxa"/>
            <w:tcBorders>
              <w:top w:val="single" w:sz="4" w:space="0" w:color="999999"/>
              <w:left w:val="single" w:sz="4" w:space="0" w:color="999999"/>
              <w:bottom w:val="single" w:sz="4" w:space="0" w:color="999999"/>
              <w:right w:val="single" w:sz="4" w:space="0" w:color="999999"/>
            </w:tcBorders>
          </w:tcPr>
          <w:p w14:paraId="7288ACF9" w14:textId="77777777" w:rsidR="00980011" w:rsidRDefault="00980011" w:rsidP="00C25FAB">
            <w:pPr>
              <w:pStyle w:val="UtilComTabletext"/>
              <w:jc w:val="right"/>
            </w:pPr>
            <w:r>
              <w:t>0.05</w:t>
            </w:r>
          </w:p>
        </w:tc>
        <w:tc>
          <w:tcPr>
            <w:tcW w:w="1169" w:type="dxa"/>
            <w:tcBorders>
              <w:top w:val="single" w:sz="4" w:space="0" w:color="999999"/>
              <w:left w:val="single" w:sz="4" w:space="0" w:color="999999"/>
              <w:bottom w:val="single" w:sz="4" w:space="0" w:color="999999"/>
            </w:tcBorders>
            <w:shd w:val="clear" w:color="auto" w:fill="auto"/>
          </w:tcPr>
          <w:p w14:paraId="0060B656" w14:textId="77777777" w:rsidR="00980011" w:rsidRDefault="00980011" w:rsidP="00C25FAB">
            <w:pPr>
              <w:pStyle w:val="UtilComTabletext"/>
              <w:jc w:val="right"/>
            </w:pPr>
            <w:r>
              <w:t>0.15</w:t>
            </w:r>
          </w:p>
        </w:tc>
      </w:tr>
      <w:tr w:rsidR="00980011" w:rsidRPr="008A4655" w14:paraId="1F4EF9AB"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3A109F05" w14:textId="77777777" w:rsidR="00980011" w:rsidRDefault="00980011" w:rsidP="00C25FAB">
            <w:pPr>
              <w:pStyle w:val="UtilComTabletext"/>
            </w:pPr>
            <w:r>
              <w:t>Adjustment to specific maintenance</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2AB15EBC" w14:textId="77777777" w:rsidR="00980011" w:rsidRDefault="00980011" w:rsidP="00C25FAB">
            <w:pPr>
              <w:pStyle w:val="UtilComTabletext"/>
              <w:jc w:val="right"/>
            </w:pPr>
            <w:r>
              <w:t>-</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718C2F21" w14:textId="77777777" w:rsidR="00980011" w:rsidRDefault="00980011" w:rsidP="00C25FAB">
            <w:pPr>
              <w:pStyle w:val="UtilComTabletext"/>
              <w:jc w:val="right"/>
            </w:pPr>
            <w:r>
              <w:t>-</w:t>
            </w:r>
          </w:p>
        </w:tc>
        <w:tc>
          <w:tcPr>
            <w:tcW w:w="1169" w:type="dxa"/>
            <w:tcBorders>
              <w:top w:val="single" w:sz="4" w:space="0" w:color="999999"/>
              <w:left w:val="single" w:sz="4" w:space="0" w:color="999999"/>
              <w:bottom w:val="single" w:sz="4" w:space="0" w:color="999999"/>
              <w:right w:val="single" w:sz="4" w:space="0" w:color="999999"/>
            </w:tcBorders>
          </w:tcPr>
          <w:p w14:paraId="29F90737" w14:textId="77777777" w:rsidR="00980011" w:rsidRDefault="00980011" w:rsidP="00C25FAB">
            <w:pPr>
              <w:pStyle w:val="UtilComTabletext"/>
              <w:jc w:val="right"/>
            </w:pPr>
            <w:r>
              <w:t>-</w:t>
            </w:r>
          </w:p>
        </w:tc>
        <w:tc>
          <w:tcPr>
            <w:tcW w:w="1168" w:type="dxa"/>
            <w:tcBorders>
              <w:top w:val="single" w:sz="4" w:space="0" w:color="999999"/>
              <w:left w:val="single" w:sz="4" w:space="0" w:color="999999"/>
              <w:bottom w:val="single" w:sz="4" w:space="0" w:color="999999"/>
              <w:right w:val="single" w:sz="4" w:space="0" w:color="999999"/>
            </w:tcBorders>
          </w:tcPr>
          <w:p w14:paraId="519696FB" w14:textId="77777777" w:rsidR="00980011" w:rsidRDefault="00980011" w:rsidP="00C25FAB">
            <w:pPr>
              <w:pStyle w:val="UtilComTabletext"/>
              <w:jc w:val="right"/>
            </w:pPr>
            <w:r>
              <w:t>- 0.35</w:t>
            </w:r>
          </w:p>
        </w:tc>
        <w:tc>
          <w:tcPr>
            <w:tcW w:w="1168" w:type="dxa"/>
            <w:tcBorders>
              <w:top w:val="single" w:sz="4" w:space="0" w:color="999999"/>
              <w:left w:val="single" w:sz="4" w:space="0" w:color="999999"/>
              <w:bottom w:val="single" w:sz="4" w:space="0" w:color="999999"/>
              <w:right w:val="single" w:sz="4" w:space="0" w:color="999999"/>
            </w:tcBorders>
          </w:tcPr>
          <w:p w14:paraId="192AF866" w14:textId="77777777" w:rsidR="00980011" w:rsidRDefault="00980011" w:rsidP="00C25FAB">
            <w:pPr>
              <w:pStyle w:val="UtilComTabletext"/>
              <w:jc w:val="right"/>
            </w:pPr>
            <w:r>
              <w:t>-</w:t>
            </w:r>
          </w:p>
        </w:tc>
        <w:tc>
          <w:tcPr>
            <w:tcW w:w="1169" w:type="dxa"/>
            <w:tcBorders>
              <w:top w:val="single" w:sz="4" w:space="0" w:color="999999"/>
              <w:left w:val="single" w:sz="4" w:space="0" w:color="999999"/>
              <w:bottom w:val="single" w:sz="4" w:space="0" w:color="999999"/>
            </w:tcBorders>
            <w:shd w:val="clear" w:color="auto" w:fill="auto"/>
          </w:tcPr>
          <w:p w14:paraId="20881309" w14:textId="77777777" w:rsidR="00980011" w:rsidRDefault="00980011" w:rsidP="00C25FAB">
            <w:pPr>
              <w:pStyle w:val="UtilComTabletext"/>
              <w:jc w:val="right"/>
            </w:pPr>
            <w:r>
              <w:t>- 0.35</w:t>
            </w:r>
          </w:p>
        </w:tc>
      </w:tr>
      <w:tr w:rsidR="00980011" w:rsidRPr="008A4655" w14:paraId="543C8C95" w14:textId="77777777" w:rsidTr="00114B1D">
        <w:trPr>
          <w:cantSplit/>
          <w:trHeight w:val="360"/>
          <w:tblHeader/>
        </w:trPr>
        <w:tc>
          <w:tcPr>
            <w:tcW w:w="2127" w:type="dxa"/>
            <w:tcBorders>
              <w:top w:val="single" w:sz="4" w:space="0" w:color="999999"/>
              <w:bottom w:val="single" w:sz="4" w:space="0" w:color="000000" w:themeColor="text1"/>
              <w:right w:val="single" w:sz="4" w:space="0" w:color="999999"/>
            </w:tcBorders>
          </w:tcPr>
          <w:p w14:paraId="33CCCDD8" w14:textId="77777777" w:rsidR="00980011" w:rsidRDefault="00980011" w:rsidP="00C25FAB">
            <w:pPr>
              <w:pStyle w:val="UtilComTabletext"/>
            </w:pPr>
            <w:r>
              <w:t>Unallocated efficiency adjustment</w:t>
            </w:r>
          </w:p>
        </w:tc>
        <w:tc>
          <w:tcPr>
            <w:tcW w:w="1168" w:type="dxa"/>
            <w:tcBorders>
              <w:top w:val="single" w:sz="4" w:space="0" w:color="999999"/>
              <w:left w:val="single" w:sz="4" w:space="0" w:color="999999"/>
              <w:bottom w:val="single" w:sz="4" w:space="0" w:color="000000" w:themeColor="text1"/>
              <w:right w:val="single" w:sz="4" w:space="0" w:color="999999"/>
            </w:tcBorders>
            <w:shd w:val="clear" w:color="auto" w:fill="auto"/>
          </w:tcPr>
          <w:p w14:paraId="53019E33" w14:textId="77777777" w:rsidR="00980011" w:rsidRDefault="00980011" w:rsidP="00C25FAB">
            <w:pPr>
              <w:pStyle w:val="UtilComTabletext"/>
              <w:jc w:val="right"/>
            </w:pPr>
            <w:r>
              <w:t>-</w:t>
            </w:r>
          </w:p>
        </w:tc>
        <w:tc>
          <w:tcPr>
            <w:tcW w:w="1168" w:type="dxa"/>
            <w:tcBorders>
              <w:top w:val="single" w:sz="4" w:space="0" w:color="999999"/>
              <w:left w:val="single" w:sz="4" w:space="0" w:color="999999"/>
              <w:bottom w:val="single" w:sz="4" w:space="0" w:color="000000" w:themeColor="text1"/>
              <w:right w:val="single" w:sz="4" w:space="0" w:color="999999"/>
            </w:tcBorders>
            <w:shd w:val="clear" w:color="auto" w:fill="auto"/>
          </w:tcPr>
          <w:p w14:paraId="001EF65A" w14:textId="77777777" w:rsidR="00980011" w:rsidRDefault="00980011" w:rsidP="00C25FAB">
            <w:pPr>
              <w:pStyle w:val="UtilComTabletext"/>
              <w:jc w:val="right"/>
            </w:pPr>
            <w:r>
              <w:t>- 2.53</w:t>
            </w:r>
          </w:p>
        </w:tc>
        <w:tc>
          <w:tcPr>
            <w:tcW w:w="1169" w:type="dxa"/>
            <w:tcBorders>
              <w:top w:val="single" w:sz="4" w:space="0" w:color="999999"/>
              <w:left w:val="single" w:sz="4" w:space="0" w:color="999999"/>
              <w:bottom w:val="single" w:sz="4" w:space="0" w:color="000000" w:themeColor="text1"/>
              <w:right w:val="single" w:sz="4" w:space="0" w:color="999999"/>
            </w:tcBorders>
          </w:tcPr>
          <w:p w14:paraId="3EDD9CC8" w14:textId="77777777" w:rsidR="00980011" w:rsidRDefault="00980011" w:rsidP="00C25FAB">
            <w:pPr>
              <w:pStyle w:val="UtilComTabletext"/>
              <w:jc w:val="right"/>
            </w:pPr>
            <w:r>
              <w:t>- 5.14</w:t>
            </w:r>
          </w:p>
        </w:tc>
        <w:tc>
          <w:tcPr>
            <w:tcW w:w="1168" w:type="dxa"/>
            <w:tcBorders>
              <w:top w:val="single" w:sz="4" w:space="0" w:color="999999"/>
              <w:left w:val="single" w:sz="4" w:space="0" w:color="999999"/>
              <w:bottom w:val="single" w:sz="4" w:space="0" w:color="000000" w:themeColor="text1"/>
              <w:right w:val="single" w:sz="4" w:space="0" w:color="999999"/>
            </w:tcBorders>
          </w:tcPr>
          <w:p w14:paraId="56D48670" w14:textId="77777777" w:rsidR="00980011" w:rsidRDefault="00980011" w:rsidP="00C25FAB">
            <w:pPr>
              <w:pStyle w:val="UtilComTabletext"/>
              <w:jc w:val="right"/>
            </w:pPr>
            <w:r>
              <w:t>- 7.53</w:t>
            </w:r>
          </w:p>
        </w:tc>
        <w:tc>
          <w:tcPr>
            <w:tcW w:w="1168" w:type="dxa"/>
            <w:tcBorders>
              <w:top w:val="single" w:sz="4" w:space="0" w:color="999999"/>
              <w:left w:val="single" w:sz="4" w:space="0" w:color="999999"/>
              <w:bottom w:val="single" w:sz="4" w:space="0" w:color="000000" w:themeColor="text1"/>
              <w:right w:val="single" w:sz="4" w:space="0" w:color="999999"/>
            </w:tcBorders>
          </w:tcPr>
          <w:p w14:paraId="3236607D" w14:textId="77777777" w:rsidR="00980011" w:rsidRDefault="00980011" w:rsidP="00C25FAB">
            <w:pPr>
              <w:pStyle w:val="UtilComTabletext"/>
              <w:jc w:val="right"/>
            </w:pPr>
            <w:r>
              <w:t>- 10.02</w:t>
            </w:r>
          </w:p>
        </w:tc>
        <w:tc>
          <w:tcPr>
            <w:tcW w:w="1169" w:type="dxa"/>
            <w:tcBorders>
              <w:top w:val="single" w:sz="4" w:space="0" w:color="999999"/>
              <w:left w:val="single" w:sz="4" w:space="0" w:color="999999"/>
              <w:bottom w:val="single" w:sz="4" w:space="0" w:color="000000" w:themeColor="text1"/>
            </w:tcBorders>
            <w:shd w:val="clear" w:color="auto" w:fill="auto"/>
          </w:tcPr>
          <w:p w14:paraId="6B20612B" w14:textId="77777777" w:rsidR="00980011" w:rsidRDefault="00980011" w:rsidP="00C25FAB">
            <w:pPr>
              <w:pStyle w:val="UtilComTabletext"/>
              <w:jc w:val="right"/>
            </w:pPr>
            <w:r>
              <w:t>- 25.22</w:t>
            </w:r>
          </w:p>
        </w:tc>
      </w:tr>
      <w:tr w:rsidR="00980011" w:rsidRPr="00731738" w14:paraId="7C28AD16" w14:textId="77777777" w:rsidTr="00114B1D">
        <w:trPr>
          <w:cantSplit/>
          <w:trHeight w:val="360"/>
          <w:tblHeader/>
        </w:trPr>
        <w:tc>
          <w:tcPr>
            <w:tcW w:w="2127" w:type="dxa"/>
            <w:tcBorders>
              <w:top w:val="single" w:sz="4" w:space="0" w:color="000000" w:themeColor="text1"/>
              <w:bottom w:val="single" w:sz="4" w:space="0" w:color="000000"/>
            </w:tcBorders>
          </w:tcPr>
          <w:p w14:paraId="31EA016D" w14:textId="1C64B2A8" w:rsidR="00980011" w:rsidRPr="00731738" w:rsidRDefault="00980011" w:rsidP="00F249F0">
            <w:pPr>
              <w:pStyle w:val="UtilComTabletext"/>
              <w:rPr>
                <w:b/>
              </w:rPr>
            </w:pPr>
            <w:r w:rsidRPr="00731738">
              <w:rPr>
                <w:b/>
              </w:rPr>
              <w:t xml:space="preserve">Commission </w:t>
            </w:r>
            <w:r w:rsidR="00F249F0">
              <w:rPr>
                <w:b/>
              </w:rPr>
              <w:t xml:space="preserve">estimate of required </w:t>
            </w:r>
            <w:r w:rsidRPr="00731738">
              <w:rPr>
                <w:b/>
              </w:rPr>
              <w:t xml:space="preserve">opex </w:t>
            </w:r>
            <w:r w:rsidR="00F249F0">
              <w:rPr>
                <w:b/>
              </w:rPr>
              <w:t>forecast</w:t>
            </w:r>
          </w:p>
        </w:tc>
        <w:tc>
          <w:tcPr>
            <w:tcW w:w="1168" w:type="dxa"/>
            <w:tcBorders>
              <w:top w:val="single" w:sz="4" w:space="0" w:color="000000" w:themeColor="text1"/>
              <w:bottom w:val="single" w:sz="4" w:space="0" w:color="000000"/>
            </w:tcBorders>
            <w:shd w:val="clear" w:color="auto" w:fill="auto"/>
          </w:tcPr>
          <w:p w14:paraId="79458F81" w14:textId="77777777" w:rsidR="00980011" w:rsidRPr="00731738" w:rsidRDefault="00980011" w:rsidP="00C25FAB">
            <w:pPr>
              <w:pStyle w:val="UtilComTabletext"/>
              <w:jc w:val="right"/>
              <w:rPr>
                <w:b/>
              </w:rPr>
            </w:pPr>
            <w:r w:rsidRPr="00731738">
              <w:rPr>
                <w:b/>
              </w:rPr>
              <w:t>102</w:t>
            </w:r>
            <w:r>
              <w:rPr>
                <w:b/>
              </w:rPr>
              <w:t>.23</w:t>
            </w:r>
          </w:p>
        </w:tc>
        <w:tc>
          <w:tcPr>
            <w:tcW w:w="1168" w:type="dxa"/>
            <w:tcBorders>
              <w:top w:val="single" w:sz="4" w:space="0" w:color="000000" w:themeColor="text1"/>
              <w:bottom w:val="single" w:sz="4" w:space="0" w:color="000000"/>
            </w:tcBorders>
            <w:shd w:val="clear" w:color="auto" w:fill="auto"/>
          </w:tcPr>
          <w:p w14:paraId="7C9F510E" w14:textId="77777777" w:rsidR="00980011" w:rsidRPr="00731738" w:rsidRDefault="00980011" w:rsidP="00C25FAB">
            <w:pPr>
              <w:pStyle w:val="UtilComTabletext"/>
              <w:jc w:val="right"/>
              <w:rPr>
                <w:b/>
              </w:rPr>
            </w:pPr>
            <w:r>
              <w:rPr>
                <w:b/>
              </w:rPr>
              <w:t>98.53</w:t>
            </w:r>
          </w:p>
        </w:tc>
        <w:tc>
          <w:tcPr>
            <w:tcW w:w="1169" w:type="dxa"/>
            <w:tcBorders>
              <w:top w:val="single" w:sz="4" w:space="0" w:color="000000" w:themeColor="text1"/>
              <w:bottom w:val="single" w:sz="4" w:space="0" w:color="000000"/>
            </w:tcBorders>
          </w:tcPr>
          <w:p w14:paraId="06F57668" w14:textId="77777777" w:rsidR="00980011" w:rsidRPr="00731738" w:rsidRDefault="00980011" w:rsidP="00C25FAB">
            <w:pPr>
              <w:pStyle w:val="UtilComTabletext"/>
              <w:jc w:val="right"/>
              <w:rPr>
                <w:b/>
              </w:rPr>
            </w:pPr>
            <w:r>
              <w:rPr>
                <w:b/>
              </w:rPr>
              <w:t>97.69</w:t>
            </w:r>
          </w:p>
        </w:tc>
        <w:tc>
          <w:tcPr>
            <w:tcW w:w="1168" w:type="dxa"/>
            <w:tcBorders>
              <w:top w:val="single" w:sz="4" w:space="0" w:color="000000" w:themeColor="text1"/>
              <w:bottom w:val="single" w:sz="4" w:space="0" w:color="000000"/>
            </w:tcBorders>
          </w:tcPr>
          <w:p w14:paraId="11CC320D" w14:textId="77777777" w:rsidR="00980011" w:rsidRPr="00731738" w:rsidRDefault="00980011" w:rsidP="00C25FAB">
            <w:pPr>
              <w:pStyle w:val="UtilComTabletext"/>
              <w:jc w:val="right"/>
              <w:rPr>
                <w:b/>
              </w:rPr>
            </w:pPr>
            <w:r>
              <w:rPr>
                <w:b/>
              </w:rPr>
              <w:t>92.86</w:t>
            </w:r>
          </w:p>
        </w:tc>
        <w:tc>
          <w:tcPr>
            <w:tcW w:w="1168" w:type="dxa"/>
            <w:tcBorders>
              <w:top w:val="single" w:sz="4" w:space="0" w:color="000000" w:themeColor="text1"/>
              <w:bottom w:val="single" w:sz="4" w:space="0" w:color="000000"/>
            </w:tcBorders>
          </w:tcPr>
          <w:p w14:paraId="61A8CE06" w14:textId="77777777" w:rsidR="00980011" w:rsidRPr="00731738" w:rsidRDefault="00980011" w:rsidP="00C25FAB">
            <w:pPr>
              <w:pStyle w:val="UtilComTabletext"/>
              <w:jc w:val="right"/>
              <w:rPr>
                <w:b/>
              </w:rPr>
            </w:pPr>
            <w:r>
              <w:rPr>
                <w:b/>
              </w:rPr>
              <w:t>90.18</w:t>
            </w:r>
          </w:p>
        </w:tc>
        <w:tc>
          <w:tcPr>
            <w:tcW w:w="1169" w:type="dxa"/>
            <w:tcBorders>
              <w:top w:val="single" w:sz="4" w:space="0" w:color="000000" w:themeColor="text1"/>
              <w:bottom w:val="single" w:sz="4" w:space="0" w:color="000000"/>
            </w:tcBorders>
            <w:shd w:val="clear" w:color="auto" w:fill="auto"/>
          </w:tcPr>
          <w:p w14:paraId="23F4A9F4" w14:textId="77777777" w:rsidR="00980011" w:rsidRPr="00731738" w:rsidRDefault="00980011" w:rsidP="00C25FAB">
            <w:pPr>
              <w:pStyle w:val="UtilComTabletext"/>
              <w:jc w:val="right"/>
              <w:rPr>
                <w:b/>
              </w:rPr>
            </w:pPr>
            <w:r>
              <w:rPr>
                <w:b/>
              </w:rPr>
              <w:t>481.49</w:t>
            </w:r>
          </w:p>
        </w:tc>
      </w:tr>
    </w:tbl>
    <w:p w14:paraId="3F850EB7" w14:textId="77777777" w:rsidR="00980011" w:rsidRPr="00E529C5" w:rsidRDefault="00980011" w:rsidP="00980011">
      <w:pPr>
        <w:pStyle w:val="UtilComReferenceSource"/>
        <w:rPr>
          <w:lang w:val="en-AU"/>
        </w:rPr>
      </w:pPr>
      <w:r>
        <w:rPr>
          <w:lang w:val="en-AU"/>
        </w:rPr>
        <w:t>Source: Utilities Commission</w:t>
      </w:r>
    </w:p>
    <w:p w14:paraId="01A173CF" w14:textId="39F19863" w:rsidR="00980011" w:rsidRPr="00083FAA" w:rsidRDefault="00980011" w:rsidP="00980011">
      <w:pPr>
        <w:pStyle w:val="UtilComHeading2"/>
      </w:pPr>
      <w:bookmarkStart w:id="216" w:name="_Toc385241530"/>
      <w:bookmarkStart w:id="217" w:name="_Toc386013083"/>
      <w:r w:rsidRPr="00083FAA">
        <w:t xml:space="preserve">PWC Networks’ </w:t>
      </w:r>
      <w:r w:rsidR="008B1697">
        <w:t>R</w:t>
      </w:r>
      <w:r w:rsidRPr="00083FAA">
        <w:t xml:space="preserve">evised </w:t>
      </w:r>
      <w:r w:rsidR="008B1697">
        <w:t>R</w:t>
      </w:r>
      <w:r w:rsidRPr="00083FAA">
        <w:t xml:space="preserve">egulatory </w:t>
      </w:r>
      <w:r w:rsidR="008B1697">
        <w:t>P</w:t>
      </w:r>
      <w:r w:rsidRPr="00083FAA">
        <w:t>roposal</w:t>
      </w:r>
      <w:bookmarkEnd w:id="216"/>
      <w:bookmarkEnd w:id="217"/>
    </w:p>
    <w:p w14:paraId="29E472A4" w14:textId="4DFC4C61" w:rsidR="00980011" w:rsidRDefault="00980011" w:rsidP="00980011">
      <w:pPr>
        <w:pStyle w:val="NumberLevel2"/>
        <w:numPr>
          <w:ilvl w:val="1"/>
          <w:numId w:val="5"/>
        </w:numPr>
        <w:tabs>
          <w:tab w:val="num" w:pos="709"/>
        </w:tabs>
        <w:ind w:left="709" w:hanging="709"/>
        <w:rPr>
          <w:lang w:val="en-AU"/>
        </w:rPr>
      </w:pPr>
      <w:r>
        <w:rPr>
          <w:lang w:val="en-AU"/>
        </w:rPr>
        <w:t>PWC Networks</w:t>
      </w:r>
      <w:r w:rsidR="004C78BD">
        <w:rPr>
          <w:lang w:val="en-AU"/>
        </w:rPr>
        <w:t>’</w:t>
      </w:r>
      <w:r w:rsidRPr="001430C0">
        <w:rPr>
          <w:lang w:val="en-AU"/>
        </w:rPr>
        <w:t xml:space="preserve"> </w:t>
      </w:r>
      <w:r>
        <w:rPr>
          <w:lang w:val="en-AU"/>
        </w:rPr>
        <w:t xml:space="preserve">revised regulatory proposal included </w:t>
      </w:r>
      <w:r w:rsidR="00562B13">
        <w:rPr>
          <w:lang w:val="en-AU"/>
        </w:rPr>
        <w:t xml:space="preserve">a proposed </w:t>
      </w:r>
      <w:r w:rsidR="00D40797">
        <w:rPr>
          <w:lang w:val="en-AU"/>
        </w:rPr>
        <w:t>o</w:t>
      </w:r>
      <w:r>
        <w:rPr>
          <w:lang w:val="en-AU"/>
        </w:rPr>
        <w:t xml:space="preserve">pex </w:t>
      </w:r>
      <w:r w:rsidR="00562B13">
        <w:rPr>
          <w:lang w:val="en-AU"/>
        </w:rPr>
        <w:t xml:space="preserve">forecast requiring a total </w:t>
      </w:r>
      <w:r>
        <w:rPr>
          <w:lang w:val="en-AU"/>
        </w:rPr>
        <w:t>of $</w:t>
      </w:r>
      <w:r w:rsidR="00D40797">
        <w:rPr>
          <w:lang w:val="en-AU"/>
        </w:rPr>
        <w:t>528.1</w:t>
      </w:r>
      <w:r>
        <w:rPr>
          <w:lang w:val="en-AU"/>
        </w:rPr>
        <w:t xml:space="preserve"> million </w:t>
      </w:r>
      <w:r w:rsidRPr="006B490F">
        <w:rPr>
          <w:lang w:val="en-AU"/>
        </w:rPr>
        <w:t>($2013-14)</w:t>
      </w:r>
      <w:r>
        <w:rPr>
          <w:lang w:val="en-AU"/>
        </w:rPr>
        <w:t xml:space="preserve"> for the 2014-19 regulatory control period, approximately $</w:t>
      </w:r>
      <w:r w:rsidR="00D40797">
        <w:rPr>
          <w:lang w:val="en-AU"/>
        </w:rPr>
        <w:t>11</w:t>
      </w:r>
      <w:r>
        <w:rPr>
          <w:lang w:val="en-AU"/>
        </w:rPr>
        <w:t xml:space="preserve"> million lower than </w:t>
      </w:r>
      <w:r w:rsidR="00562B13">
        <w:rPr>
          <w:lang w:val="en-AU"/>
        </w:rPr>
        <w:t>the proposed opex forecast in its initial regulatory proposal</w:t>
      </w:r>
      <w:r>
        <w:rPr>
          <w:lang w:val="en-AU"/>
        </w:rPr>
        <w:t xml:space="preserve">. PWC Networks’ revised </w:t>
      </w:r>
      <w:r w:rsidR="00D40797">
        <w:rPr>
          <w:lang w:val="en-AU"/>
        </w:rPr>
        <w:t>o</w:t>
      </w:r>
      <w:r>
        <w:rPr>
          <w:lang w:val="en-AU"/>
        </w:rPr>
        <w:t xml:space="preserve">pex proposal is set out in Table </w:t>
      </w:r>
      <w:r w:rsidR="00562B13">
        <w:rPr>
          <w:lang w:val="en-AU"/>
        </w:rPr>
        <w:t>10</w:t>
      </w:r>
      <w:r>
        <w:rPr>
          <w:lang w:val="en-AU"/>
        </w:rPr>
        <w:t>.5.</w:t>
      </w:r>
    </w:p>
    <w:p w14:paraId="3C0EB806" w14:textId="25A675EB" w:rsidR="00980011" w:rsidRPr="00A139AD" w:rsidRDefault="00980011" w:rsidP="00980011">
      <w:pPr>
        <w:pStyle w:val="UtilComTableTitle"/>
        <w:keepNext/>
        <w:spacing w:before="120" w:after="0" w:line="240" w:lineRule="exact"/>
        <w:ind w:left="142"/>
      </w:pPr>
      <w:r>
        <w:t xml:space="preserve">Table </w:t>
      </w:r>
      <w:r w:rsidR="00D40797">
        <w:t>10</w:t>
      </w:r>
      <w:r>
        <w:t>.5: PWC Networks original and revised</w:t>
      </w:r>
      <w:r w:rsidRPr="002D2B54">
        <w:t xml:space="preserve"> </w:t>
      </w:r>
      <w:r w:rsidR="00562B13">
        <w:t xml:space="preserve">proposed </w:t>
      </w:r>
      <w:r w:rsidR="00D40797">
        <w:t>o</w:t>
      </w:r>
      <w:r w:rsidRPr="002D2B54">
        <w:t>pex</w:t>
      </w:r>
      <w:r w:rsidR="00562B13">
        <w:t xml:space="preserve"> forecasts</w:t>
      </w:r>
      <w:r w:rsidRPr="00125E7A">
        <w:t xml:space="preserve"> ($</w:t>
      </w:r>
      <w:r>
        <w:t>M</w:t>
      </w:r>
      <w:r w:rsidR="004E09D0">
        <w:t>,</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980011" w:rsidRPr="008A4655" w14:paraId="31B9F934" w14:textId="77777777" w:rsidTr="00C25FAB">
        <w:trPr>
          <w:cantSplit/>
          <w:trHeight w:val="360"/>
        </w:trPr>
        <w:tc>
          <w:tcPr>
            <w:tcW w:w="1811" w:type="dxa"/>
            <w:tcBorders>
              <w:top w:val="single" w:sz="4" w:space="0" w:color="999999"/>
              <w:bottom w:val="single" w:sz="4" w:space="0" w:color="auto"/>
            </w:tcBorders>
            <w:vAlign w:val="bottom"/>
          </w:tcPr>
          <w:p w14:paraId="1BB6973C" w14:textId="77777777" w:rsidR="00980011" w:rsidRPr="00EE5A08" w:rsidRDefault="00980011" w:rsidP="00C25FAB">
            <w:pPr>
              <w:pStyle w:val="UtilComTabletext"/>
              <w:rPr>
                <w:b/>
              </w:rPr>
            </w:pPr>
          </w:p>
        </w:tc>
        <w:tc>
          <w:tcPr>
            <w:tcW w:w="1221" w:type="dxa"/>
            <w:tcBorders>
              <w:top w:val="single" w:sz="4" w:space="0" w:color="999999"/>
              <w:bottom w:val="single" w:sz="4" w:space="0" w:color="auto"/>
            </w:tcBorders>
            <w:tcMar>
              <w:left w:w="0" w:type="dxa"/>
            </w:tcMar>
            <w:vAlign w:val="bottom"/>
          </w:tcPr>
          <w:p w14:paraId="46D49AE2" w14:textId="77777777" w:rsidR="00980011" w:rsidRPr="00EE5A08" w:rsidRDefault="00980011" w:rsidP="00C25FAB">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6546B1E2" w14:textId="77777777" w:rsidR="00980011" w:rsidRPr="00EE5A08" w:rsidRDefault="00980011" w:rsidP="00C25FAB">
            <w:pPr>
              <w:pStyle w:val="UtilComTabletext"/>
              <w:jc w:val="right"/>
              <w:rPr>
                <w:b/>
              </w:rPr>
            </w:pPr>
            <w:r>
              <w:rPr>
                <w:b/>
              </w:rPr>
              <w:t>2015-16</w:t>
            </w:r>
          </w:p>
        </w:tc>
        <w:tc>
          <w:tcPr>
            <w:tcW w:w="1221" w:type="dxa"/>
            <w:tcBorders>
              <w:top w:val="single" w:sz="4" w:space="0" w:color="999999"/>
              <w:bottom w:val="single" w:sz="4" w:space="0" w:color="auto"/>
            </w:tcBorders>
            <w:vAlign w:val="bottom"/>
          </w:tcPr>
          <w:p w14:paraId="64230683" w14:textId="77777777" w:rsidR="00980011" w:rsidRDefault="00980011" w:rsidP="00C25FAB">
            <w:pPr>
              <w:pStyle w:val="UtilComTabletext"/>
              <w:jc w:val="right"/>
              <w:rPr>
                <w:b/>
              </w:rPr>
            </w:pPr>
            <w:r>
              <w:rPr>
                <w:b/>
              </w:rPr>
              <w:t>2016-17</w:t>
            </w:r>
          </w:p>
        </w:tc>
        <w:tc>
          <w:tcPr>
            <w:tcW w:w="1221" w:type="dxa"/>
            <w:tcBorders>
              <w:top w:val="single" w:sz="4" w:space="0" w:color="999999"/>
              <w:bottom w:val="single" w:sz="4" w:space="0" w:color="auto"/>
            </w:tcBorders>
            <w:vAlign w:val="bottom"/>
          </w:tcPr>
          <w:p w14:paraId="2EBDC082" w14:textId="77777777" w:rsidR="00980011" w:rsidRDefault="00980011" w:rsidP="00C25FAB">
            <w:pPr>
              <w:pStyle w:val="UtilComTabletext"/>
              <w:jc w:val="right"/>
              <w:rPr>
                <w:b/>
              </w:rPr>
            </w:pPr>
            <w:r>
              <w:rPr>
                <w:b/>
              </w:rPr>
              <w:t>2017-18</w:t>
            </w:r>
          </w:p>
        </w:tc>
        <w:tc>
          <w:tcPr>
            <w:tcW w:w="1221" w:type="dxa"/>
            <w:tcBorders>
              <w:top w:val="single" w:sz="4" w:space="0" w:color="999999"/>
              <w:bottom w:val="single" w:sz="4" w:space="0" w:color="auto"/>
            </w:tcBorders>
            <w:vAlign w:val="bottom"/>
          </w:tcPr>
          <w:p w14:paraId="408F0ACD" w14:textId="77777777" w:rsidR="00980011" w:rsidRDefault="00980011" w:rsidP="00C25FAB">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4A9E3091" w14:textId="77777777" w:rsidR="00980011" w:rsidRPr="00EE5A08" w:rsidRDefault="00980011" w:rsidP="00C25FAB">
            <w:pPr>
              <w:pStyle w:val="UtilComTabletext"/>
              <w:jc w:val="right"/>
              <w:rPr>
                <w:b/>
              </w:rPr>
            </w:pPr>
            <w:r>
              <w:rPr>
                <w:b/>
              </w:rPr>
              <w:t>Total</w:t>
            </w:r>
          </w:p>
        </w:tc>
      </w:tr>
      <w:tr w:rsidR="00980011" w:rsidRPr="008A4655" w14:paraId="56EF6FF7" w14:textId="77777777" w:rsidTr="00C25FAB">
        <w:trPr>
          <w:cantSplit/>
          <w:trHeight w:val="360"/>
        </w:trPr>
        <w:tc>
          <w:tcPr>
            <w:tcW w:w="1811" w:type="dxa"/>
            <w:tcBorders>
              <w:top w:val="single" w:sz="4" w:space="0" w:color="auto"/>
              <w:bottom w:val="single" w:sz="4" w:space="0" w:color="999999"/>
            </w:tcBorders>
          </w:tcPr>
          <w:p w14:paraId="469A0127" w14:textId="77777777" w:rsidR="00980011" w:rsidRDefault="00980011" w:rsidP="00D40797">
            <w:pPr>
              <w:pStyle w:val="UtilComTabletext"/>
            </w:pPr>
            <w:r>
              <w:t xml:space="preserve">Original </w:t>
            </w:r>
            <w:r w:rsidR="00D40797">
              <w:t>o</w:t>
            </w:r>
            <w:r>
              <w:t xml:space="preserve">pex </w:t>
            </w:r>
          </w:p>
        </w:tc>
        <w:tc>
          <w:tcPr>
            <w:tcW w:w="1221" w:type="dxa"/>
            <w:tcBorders>
              <w:top w:val="single" w:sz="4" w:space="0" w:color="auto"/>
              <w:bottom w:val="single" w:sz="4" w:space="0" w:color="999999"/>
            </w:tcBorders>
            <w:shd w:val="clear" w:color="auto" w:fill="auto"/>
          </w:tcPr>
          <w:p w14:paraId="1D2B1707" w14:textId="77777777" w:rsidR="00980011" w:rsidRPr="00E300D6" w:rsidRDefault="00D40797" w:rsidP="008873E2">
            <w:pPr>
              <w:pStyle w:val="UtilComTabletext"/>
              <w:jc w:val="right"/>
            </w:pPr>
            <w:r>
              <w:t>109.30</w:t>
            </w:r>
          </w:p>
        </w:tc>
        <w:tc>
          <w:tcPr>
            <w:tcW w:w="1221" w:type="dxa"/>
            <w:tcBorders>
              <w:top w:val="single" w:sz="4" w:space="0" w:color="auto"/>
              <w:bottom w:val="single" w:sz="4" w:space="0" w:color="999999"/>
            </w:tcBorders>
            <w:shd w:val="clear" w:color="auto" w:fill="auto"/>
          </w:tcPr>
          <w:p w14:paraId="191F2390" w14:textId="77777777" w:rsidR="00980011" w:rsidRPr="00E300D6" w:rsidRDefault="00D40797" w:rsidP="008873E2">
            <w:pPr>
              <w:pStyle w:val="UtilComTabletext"/>
              <w:jc w:val="right"/>
            </w:pPr>
            <w:r>
              <w:t>107.1</w:t>
            </w:r>
            <w:r w:rsidR="008873E2">
              <w:t>7</w:t>
            </w:r>
          </w:p>
        </w:tc>
        <w:tc>
          <w:tcPr>
            <w:tcW w:w="1221" w:type="dxa"/>
            <w:tcBorders>
              <w:top w:val="single" w:sz="4" w:space="0" w:color="auto"/>
              <w:bottom w:val="single" w:sz="4" w:space="0" w:color="999999"/>
            </w:tcBorders>
          </w:tcPr>
          <w:p w14:paraId="5AA411BE" w14:textId="77777777" w:rsidR="00980011" w:rsidRPr="00E300D6" w:rsidRDefault="00D40797" w:rsidP="008873E2">
            <w:pPr>
              <w:pStyle w:val="UtilComTabletext"/>
              <w:jc w:val="right"/>
            </w:pPr>
            <w:r>
              <w:t>108.5</w:t>
            </w:r>
            <w:r w:rsidR="008873E2">
              <w:t>8</w:t>
            </w:r>
          </w:p>
        </w:tc>
        <w:tc>
          <w:tcPr>
            <w:tcW w:w="1221" w:type="dxa"/>
            <w:tcBorders>
              <w:top w:val="single" w:sz="4" w:space="0" w:color="auto"/>
              <w:bottom w:val="single" w:sz="4" w:space="0" w:color="999999"/>
            </w:tcBorders>
          </w:tcPr>
          <w:p w14:paraId="63499C55" w14:textId="77777777" w:rsidR="00980011" w:rsidRPr="00E300D6" w:rsidRDefault="00D40797" w:rsidP="008873E2">
            <w:pPr>
              <w:pStyle w:val="UtilComTabletext"/>
              <w:jc w:val="right"/>
            </w:pPr>
            <w:r>
              <w:t>107.37</w:t>
            </w:r>
          </w:p>
        </w:tc>
        <w:tc>
          <w:tcPr>
            <w:tcW w:w="1221" w:type="dxa"/>
            <w:tcBorders>
              <w:top w:val="single" w:sz="4" w:space="0" w:color="auto"/>
              <w:bottom w:val="single" w:sz="4" w:space="0" w:color="999999"/>
            </w:tcBorders>
          </w:tcPr>
          <w:p w14:paraId="19FF61D1" w14:textId="77777777" w:rsidR="00980011" w:rsidRPr="00E300D6" w:rsidRDefault="00D40797" w:rsidP="008873E2">
            <w:pPr>
              <w:pStyle w:val="UtilComTabletext"/>
              <w:jc w:val="right"/>
            </w:pPr>
            <w:r>
              <w:t>106,87</w:t>
            </w:r>
          </w:p>
        </w:tc>
        <w:tc>
          <w:tcPr>
            <w:tcW w:w="1221" w:type="dxa"/>
            <w:tcBorders>
              <w:top w:val="single" w:sz="4" w:space="0" w:color="auto"/>
              <w:bottom w:val="single" w:sz="4" w:space="0" w:color="999999"/>
            </w:tcBorders>
            <w:shd w:val="clear" w:color="auto" w:fill="auto"/>
          </w:tcPr>
          <w:p w14:paraId="755848D8" w14:textId="77777777" w:rsidR="00980011" w:rsidRDefault="00D40797" w:rsidP="008873E2">
            <w:pPr>
              <w:pStyle w:val="UtilComTabletext"/>
              <w:jc w:val="right"/>
            </w:pPr>
            <w:r>
              <w:t>539.29</w:t>
            </w:r>
          </w:p>
        </w:tc>
      </w:tr>
      <w:tr w:rsidR="00980011" w:rsidRPr="008A4655" w14:paraId="726E03BE" w14:textId="77777777" w:rsidTr="00C25FAB">
        <w:trPr>
          <w:cantSplit/>
          <w:trHeight w:val="360"/>
        </w:trPr>
        <w:tc>
          <w:tcPr>
            <w:tcW w:w="1811" w:type="dxa"/>
            <w:tcBorders>
              <w:top w:val="single" w:sz="4" w:space="0" w:color="999999"/>
              <w:bottom w:val="single" w:sz="4" w:space="0" w:color="auto"/>
            </w:tcBorders>
          </w:tcPr>
          <w:p w14:paraId="3AA74D58" w14:textId="77777777" w:rsidR="00980011" w:rsidRDefault="00980011" w:rsidP="00D40797">
            <w:pPr>
              <w:pStyle w:val="UtilComTabletext"/>
            </w:pPr>
            <w:r>
              <w:t xml:space="preserve">Revised </w:t>
            </w:r>
            <w:r w:rsidR="00D40797">
              <w:t>o</w:t>
            </w:r>
            <w:r>
              <w:t>pex</w:t>
            </w:r>
          </w:p>
        </w:tc>
        <w:tc>
          <w:tcPr>
            <w:tcW w:w="1221" w:type="dxa"/>
            <w:tcBorders>
              <w:top w:val="single" w:sz="4" w:space="0" w:color="999999"/>
              <w:bottom w:val="single" w:sz="4" w:space="0" w:color="auto"/>
            </w:tcBorders>
            <w:shd w:val="clear" w:color="auto" w:fill="auto"/>
          </w:tcPr>
          <w:p w14:paraId="3F4EF10D" w14:textId="1D899FD3" w:rsidR="00980011" w:rsidRPr="00E300D6" w:rsidRDefault="00D40797" w:rsidP="00E149C6">
            <w:pPr>
              <w:pStyle w:val="UtilComTabletext"/>
              <w:jc w:val="right"/>
            </w:pPr>
            <w:r>
              <w:t>106.4</w:t>
            </w:r>
            <w:r w:rsidR="00E149C6">
              <w:t>3</w:t>
            </w:r>
          </w:p>
        </w:tc>
        <w:tc>
          <w:tcPr>
            <w:tcW w:w="1221" w:type="dxa"/>
            <w:tcBorders>
              <w:top w:val="single" w:sz="4" w:space="0" w:color="999999"/>
              <w:bottom w:val="single" w:sz="4" w:space="0" w:color="auto"/>
            </w:tcBorders>
            <w:shd w:val="clear" w:color="auto" w:fill="auto"/>
          </w:tcPr>
          <w:p w14:paraId="52824F85" w14:textId="77777777" w:rsidR="00980011" w:rsidRPr="00E300D6" w:rsidRDefault="00D40797" w:rsidP="008873E2">
            <w:pPr>
              <w:pStyle w:val="UtilComTabletext"/>
              <w:jc w:val="right"/>
            </w:pPr>
            <w:r>
              <w:t>105.2</w:t>
            </w:r>
            <w:r w:rsidR="008873E2">
              <w:t>9</w:t>
            </w:r>
          </w:p>
        </w:tc>
        <w:tc>
          <w:tcPr>
            <w:tcW w:w="1221" w:type="dxa"/>
            <w:tcBorders>
              <w:top w:val="single" w:sz="4" w:space="0" w:color="999999"/>
              <w:bottom w:val="single" w:sz="4" w:space="0" w:color="auto"/>
            </w:tcBorders>
          </w:tcPr>
          <w:p w14:paraId="6C318C50" w14:textId="7F96AD4E" w:rsidR="00980011" w:rsidRPr="00E300D6" w:rsidRDefault="00D40797" w:rsidP="00E149C6">
            <w:pPr>
              <w:pStyle w:val="UtilComTabletext"/>
              <w:jc w:val="right"/>
            </w:pPr>
            <w:r>
              <w:t>107.1</w:t>
            </w:r>
            <w:r w:rsidR="00E149C6">
              <w:t>1</w:t>
            </w:r>
          </w:p>
        </w:tc>
        <w:tc>
          <w:tcPr>
            <w:tcW w:w="1221" w:type="dxa"/>
            <w:tcBorders>
              <w:top w:val="single" w:sz="4" w:space="0" w:color="999999"/>
              <w:bottom w:val="single" w:sz="4" w:space="0" w:color="auto"/>
            </w:tcBorders>
          </w:tcPr>
          <w:p w14:paraId="43E0C196" w14:textId="77777777" w:rsidR="00980011" w:rsidRPr="00E300D6" w:rsidRDefault="00D40797" w:rsidP="008873E2">
            <w:pPr>
              <w:pStyle w:val="UtilComTabletext"/>
              <w:jc w:val="right"/>
            </w:pPr>
            <w:r>
              <w:t>104.72</w:t>
            </w:r>
          </w:p>
        </w:tc>
        <w:tc>
          <w:tcPr>
            <w:tcW w:w="1221" w:type="dxa"/>
            <w:tcBorders>
              <w:top w:val="single" w:sz="4" w:space="0" w:color="999999"/>
              <w:bottom w:val="single" w:sz="4" w:space="0" w:color="auto"/>
            </w:tcBorders>
          </w:tcPr>
          <w:p w14:paraId="206F8052" w14:textId="0D010668" w:rsidR="00980011" w:rsidRPr="00E300D6" w:rsidRDefault="00D40797" w:rsidP="00E149C6">
            <w:pPr>
              <w:pStyle w:val="UtilComTabletext"/>
              <w:jc w:val="right"/>
            </w:pPr>
            <w:r>
              <w:t>104.</w:t>
            </w:r>
            <w:r w:rsidR="00E149C6">
              <w:t>6</w:t>
            </w:r>
            <w:r w:rsidR="008873E2">
              <w:t>0</w:t>
            </w:r>
          </w:p>
        </w:tc>
        <w:tc>
          <w:tcPr>
            <w:tcW w:w="1221" w:type="dxa"/>
            <w:tcBorders>
              <w:top w:val="single" w:sz="4" w:space="0" w:color="999999"/>
              <w:bottom w:val="single" w:sz="4" w:space="0" w:color="auto"/>
            </w:tcBorders>
            <w:shd w:val="clear" w:color="auto" w:fill="auto"/>
          </w:tcPr>
          <w:p w14:paraId="709A81AF" w14:textId="77777777" w:rsidR="00980011" w:rsidRDefault="00D40797" w:rsidP="008873E2">
            <w:pPr>
              <w:pStyle w:val="UtilComTabletext"/>
              <w:jc w:val="right"/>
            </w:pPr>
            <w:r>
              <w:t>528.1</w:t>
            </w:r>
            <w:r w:rsidR="008873E2">
              <w:t>4</w:t>
            </w:r>
          </w:p>
        </w:tc>
      </w:tr>
      <w:tr w:rsidR="00980011" w:rsidRPr="00E71498" w14:paraId="6367FAD4" w14:textId="77777777" w:rsidTr="00C25FAB">
        <w:trPr>
          <w:cantSplit/>
          <w:trHeight w:val="360"/>
        </w:trPr>
        <w:tc>
          <w:tcPr>
            <w:tcW w:w="1811" w:type="dxa"/>
            <w:tcBorders>
              <w:top w:val="single" w:sz="4" w:space="0" w:color="auto"/>
              <w:bottom w:val="single" w:sz="4" w:space="0" w:color="000000"/>
            </w:tcBorders>
          </w:tcPr>
          <w:p w14:paraId="019282E5" w14:textId="77777777" w:rsidR="00980011" w:rsidRPr="00E71498" w:rsidRDefault="00980011" w:rsidP="00C25FAB">
            <w:pPr>
              <w:pStyle w:val="UtilComTabletext"/>
            </w:pPr>
            <w:r>
              <w:t>Difference</w:t>
            </w:r>
          </w:p>
        </w:tc>
        <w:tc>
          <w:tcPr>
            <w:tcW w:w="1221" w:type="dxa"/>
            <w:tcBorders>
              <w:top w:val="single" w:sz="4" w:space="0" w:color="auto"/>
              <w:bottom w:val="single" w:sz="4" w:space="0" w:color="000000"/>
            </w:tcBorders>
            <w:shd w:val="clear" w:color="auto" w:fill="auto"/>
          </w:tcPr>
          <w:p w14:paraId="6CB429D6" w14:textId="77777777" w:rsidR="00980011" w:rsidRPr="00E71498" w:rsidRDefault="00D40797" w:rsidP="008873E2">
            <w:pPr>
              <w:pStyle w:val="UtilComTabletext"/>
              <w:jc w:val="right"/>
            </w:pPr>
            <w:r>
              <w:t>-2.8</w:t>
            </w:r>
            <w:r w:rsidR="008873E2">
              <w:t>8</w:t>
            </w:r>
          </w:p>
        </w:tc>
        <w:tc>
          <w:tcPr>
            <w:tcW w:w="1221" w:type="dxa"/>
            <w:tcBorders>
              <w:top w:val="single" w:sz="4" w:space="0" w:color="auto"/>
              <w:bottom w:val="single" w:sz="4" w:space="0" w:color="000000"/>
            </w:tcBorders>
            <w:shd w:val="clear" w:color="auto" w:fill="auto"/>
          </w:tcPr>
          <w:p w14:paraId="56B5DBBF" w14:textId="77777777" w:rsidR="00980011" w:rsidRPr="00E71498" w:rsidRDefault="00D40797" w:rsidP="008873E2">
            <w:pPr>
              <w:pStyle w:val="UtilComTabletext"/>
              <w:jc w:val="right"/>
            </w:pPr>
            <w:r>
              <w:t>-1.88</w:t>
            </w:r>
          </w:p>
        </w:tc>
        <w:tc>
          <w:tcPr>
            <w:tcW w:w="1221" w:type="dxa"/>
            <w:tcBorders>
              <w:top w:val="single" w:sz="4" w:space="0" w:color="auto"/>
              <w:bottom w:val="single" w:sz="4" w:space="0" w:color="000000"/>
            </w:tcBorders>
          </w:tcPr>
          <w:p w14:paraId="19BC0E13" w14:textId="1B51841B" w:rsidR="00980011" w:rsidRPr="00E71498" w:rsidRDefault="00D40797" w:rsidP="00E149C6">
            <w:pPr>
              <w:pStyle w:val="UtilComTabletext"/>
              <w:jc w:val="right"/>
            </w:pPr>
            <w:r>
              <w:t>-1.4</w:t>
            </w:r>
            <w:r w:rsidR="00E149C6">
              <w:t>7</w:t>
            </w:r>
          </w:p>
        </w:tc>
        <w:tc>
          <w:tcPr>
            <w:tcW w:w="1221" w:type="dxa"/>
            <w:tcBorders>
              <w:top w:val="single" w:sz="4" w:space="0" w:color="auto"/>
              <w:bottom w:val="single" w:sz="4" w:space="0" w:color="000000"/>
            </w:tcBorders>
          </w:tcPr>
          <w:p w14:paraId="5E74A0A7" w14:textId="77777777" w:rsidR="00980011" w:rsidRPr="00E71498" w:rsidRDefault="00D40797" w:rsidP="008873E2">
            <w:pPr>
              <w:pStyle w:val="UtilComTabletext"/>
              <w:jc w:val="right"/>
            </w:pPr>
            <w:r>
              <w:t>-2.65</w:t>
            </w:r>
          </w:p>
        </w:tc>
        <w:tc>
          <w:tcPr>
            <w:tcW w:w="1221" w:type="dxa"/>
            <w:tcBorders>
              <w:top w:val="single" w:sz="4" w:space="0" w:color="auto"/>
              <w:bottom w:val="single" w:sz="4" w:space="0" w:color="000000"/>
            </w:tcBorders>
          </w:tcPr>
          <w:p w14:paraId="3B4417E3" w14:textId="77777777" w:rsidR="00980011" w:rsidRPr="00E71498" w:rsidRDefault="00D40797" w:rsidP="008873E2">
            <w:pPr>
              <w:pStyle w:val="UtilComTabletext"/>
              <w:jc w:val="right"/>
            </w:pPr>
            <w:r>
              <w:t>-2.27</w:t>
            </w:r>
          </w:p>
        </w:tc>
        <w:tc>
          <w:tcPr>
            <w:tcW w:w="1221" w:type="dxa"/>
            <w:tcBorders>
              <w:top w:val="single" w:sz="4" w:space="0" w:color="auto"/>
              <w:bottom w:val="single" w:sz="4" w:space="0" w:color="000000"/>
            </w:tcBorders>
            <w:shd w:val="clear" w:color="auto" w:fill="auto"/>
          </w:tcPr>
          <w:p w14:paraId="3E55248D" w14:textId="77777777" w:rsidR="00980011" w:rsidRPr="00E71498" w:rsidRDefault="00D40797" w:rsidP="008873E2">
            <w:pPr>
              <w:pStyle w:val="UtilComTabletext"/>
              <w:jc w:val="right"/>
            </w:pPr>
            <w:r>
              <w:t>-11.15</w:t>
            </w:r>
          </w:p>
        </w:tc>
      </w:tr>
    </w:tbl>
    <w:p w14:paraId="270E8D67" w14:textId="630AFB1B" w:rsidR="00980011" w:rsidRDefault="00980011" w:rsidP="00980011">
      <w:pPr>
        <w:pStyle w:val="UtilComReferenceSource"/>
        <w:ind w:left="142"/>
        <w:rPr>
          <w:lang w:val="en-AU"/>
        </w:rPr>
      </w:pPr>
      <w:r>
        <w:rPr>
          <w:lang w:val="en-AU"/>
        </w:rPr>
        <w:t xml:space="preserve">Source: </w:t>
      </w:r>
      <w:r w:rsidRPr="00210E83">
        <w:rPr>
          <w:lang w:val="en-AU"/>
        </w:rPr>
        <w:t xml:space="preserve">PWC Networks, </w:t>
      </w:r>
      <w:r w:rsidR="00562B13">
        <w:rPr>
          <w:lang w:val="en-AU"/>
        </w:rPr>
        <w:t xml:space="preserve">revised </w:t>
      </w:r>
      <w:r>
        <w:rPr>
          <w:lang w:val="en-AU"/>
        </w:rPr>
        <w:t>r</w:t>
      </w:r>
      <w:r w:rsidRPr="00210E83">
        <w:rPr>
          <w:lang w:val="en-AU"/>
        </w:rPr>
        <w:t xml:space="preserve">egulatory proposal, </w:t>
      </w:r>
      <w:r>
        <w:rPr>
          <w:lang w:val="en-AU"/>
        </w:rPr>
        <w:t>January 2014</w:t>
      </w:r>
      <w:r w:rsidRPr="00210E83">
        <w:rPr>
          <w:lang w:val="en-AU"/>
        </w:rPr>
        <w:t xml:space="preserve">, </w:t>
      </w:r>
      <w:r>
        <w:rPr>
          <w:lang w:val="en-AU"/>
        </w:rPr>
        <w:t>RRP:</w:t>
      </w:r>
      <w:r w:rsidR="00D40797" w:rsidRPr="00D40797">
        <w:rPr>
          <w:lang w:val="en-AU"/>
        </w:rPr>
        <w:t xml:space="preserve"> </w:t>
      </w:r>
      <w:r w:rsidR="00D40797" w:rsidRPr="00D250C2">
        <w:rPr>
          <w:lang w:val="en-AU"/>
        </w:rPr>
        <w:t xml:space="preserve">RIN templates 2.1 </w:t>
      </w:r>
      <w:r w:rsidR="00D40797">
        <w:rPr>
          <w:lang w:val="en-AU"/>
        </w:rPr>
        <w:t>and</w:t>
      </w:r>
      <w:r w:rsidR="00D40797" w:rsidRPr="00D250C2">
        <w:rPr>
          <w:lang w:val="en-AU"/>
        </w:rPr>
        <w:t xml:space="preserve"> 2.2</w:t>
      </w:r>
      <w:r w:rsidRPr="00210E83">
        <w:rPr>
          <w:lang w:val="en-AU"/>
        </w:rPr>
        <w:t xml:space="preserve"> (confidential)</w:t>
      </w:r>
    </w:p>
    <w:p w14:paraId="745381F4" w14:textId="77777777" w:rsidR="00980011" w:rsidRDefault="00980011" w:rsidP="00980011">
      <w:pPr>
        <w:pStyle w:val="NumberLevel2"/>
        <w:tabs>
          <w:tab w:val="clear" w:pos="576"/>
          <w:tab w:val="num" w:pos="3270"/>
        </w:tabs>
        <w:ind w:left="0" w:firstLine="0"/>
        <w:rPr>
          <w:lang w:val="en-AU"/>
        </w:rPr>
      </w:pPr>
    </w:p>
    <w:p w14:paraId="42AD702A" w14:textId="5B5B3C3E" w:rsidR="00980011" w:rsidRDefault="00980011" w:rsidP="00980011">
      <w:pPr>
        <w:pStyle w:val="NumberLevel2"/>
        <w:numPr>
          <w:ilvl w:val="1"/>
          <w:numId w:val="5"/>
        </w:numPr>
        <w:tabs>
          <w:tab w:val="num" w:pos="709"/>
        </w:tabs>
        <w:ind w:left="709" w:hanging="709"/>
        <w:rPr>
          <w:lang w:val="en-AU"/>
        </w:rPr>
      </w:pPr>
      <w:r>
        <w:rPr>
          <w:lang w:val="en-AU"/>
        </w:rPr>
        <w:t xml:space="preserve">Table </w:t>
      </w:r>
      <w:r w:rsidR="00D40797">
        <w:rPr>
          <w:lang w:val="en-AU"/>
        </w:rPr>
        <w:t>10</w:t>
      </w:r>
      <w:r>
        <w:rPr>
          <w:lang w:val="en-AU"/>
        </w:rPr>
        <w:t xml:space="preserve">.6 shows PWC Networks’ revised </w:t>
      </w:r>
      <w:r w:rsidR="00562B13">
        <w:rPr>
          <w:lang w:val="en-AU"/>
        </w:rPr>
        <w:t xml:space="preserve">proposed opex forecast </w:t>
      </w:r>
      <w:r>
        <w:rPr>
          <w:lang w:val="en-AU"/>
        </w:rPr>
        <w:t xml:space="preserve">by </w:t>
      </w:r>
      <w:r w:rsidR="0021320D">
        <w:rPr>
          <w:lang w:val="en-AU"/>
        </w:rPr>
        <w:t>o</w:t>
      </w:r>
      <w:r>
        <w:rPr>
          <w:lang w:val="en-AU"/>
        </w:rPr>
        <w:t xml:space="preserve">pex </w:t>
      </w:r>
      <w:r w:rsidR="00562B13">
        <w:rPr>
          <w:lang w:val="en-AU"/>
        </w:rPr>
        <w:t>category</w:t>
      </w:r>
      <w:r>
        <w:rPr>
          <w:lang w:val="en-AU"/>
        </w:rPr>
        <w:t>.</w:t>
      </w:r>
    </w:p>
    <w:p w14:paraId="12B4E522" w14:textId="7E0686D2" w:rsidR="00980011" w:rsidRPr="00A139AD" w:rsidRDefault="00980011" w:rsidP="00980011">
      <w:pPr>
        <w:pStyle w:val="UtilComTableTitle"/>
        <w:keepNext/>
        <w:spacing w:before="120" w:after="0" w:line="240" w:lineRule="exact"/>
        <w:ind w:left="142"/>
      </w:pPr>
      <w:r>
        <w:t xml:space="preserve">Table </w:t>
      </w:r>
      <w:r w:rsidR="00D40797">
        <w:t>10</w:t>
      </w:r>
      <w:r>
        <w:t>.6: PWC Networks</w:t>
      </w:r>
      <w:r w:rsidR="00D624BF">
        <w:t>’</w:t>
      </w:r>
      <w:r>
        <w:t xml:space="preserve"> revised</w:t>
      </w:r>
      <w:r w:rsidRPr="002D2B54">
        <w:t xml:space="preserve"> </w:t>
      </w:r>
      <w:r w:rsidR="0021320D">
        <w:t>o</w:t>
      </w:r>
      <w:r w:rsidRPr="002D2B54">
        <w:t>pex</w:t>
      </w:r>
      <w:r>
        <w:t xml:space="preserve"> proposal by category</w:t>
      </w:r>
      <w:r w:rsidRPr="00125E7A">
        <w:t xml:space="preserve"> ($</w:t>
      </w:r>
      <w:r>
        <w:t>M</w:t>
      </w:r>
      <w:r w:rsidRPr="00125E7A">
        <w:t xml:space="preserve">, </w:t>
      </w:r>
      <w:r>
        <w:t>2013-14</w:t>
      </w:r>
      <w:r w:rsidRPr="00125E7A">
        <w:t>)</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811"/>
        <w:gridCol w:w="1221"/>
        <w:gridCol w:w="1221"/>
        <w:gridCol w:w="1221"/>
        <w:gridCol w:w="1221"/>
        <w:gridCol w:w="1221"/>
        <w:gridCol w:w="1221"/>
      </w:tblGrid>
      <w:tr w:rsidR="00D40797" w:rsidRPr="008A4655" w14:paraId="3FEAF9E2" w14:textId="77777777" w:rsidTr="00C25FAB">
        <w:trPr>
          <w:cantSplit/>
          <w:trHeight w:val="360"/>
        </w:trPr>
        <w:tc>
          <w:tcPr>
            <w:tcW w:w="1811" w:type="dxa"/>
            <w:tcBorders>
              <w:top w:val="single" w:sz="4" w:space="0" w:color="999999"/>
              <w:bottom w:val="single" w:sz="4" w:space="0" w:color="auto"/>
            </w:tcBorders>
            <w:vAlign w:val="bottom"/>
          </w:tcPr>
          <w:p w14:paraId="40C71614" w14:textId="77777777" w:rsidR="00D40797" w:rsidRPr="00EE5A08" w:rsidRDefault="00D40797" w:rsidP="00C25FAB">
            <w:pPr>
              <w:pStyle w:val="UtilComTabletext"/>
              <w:rPr>
                <w:b/>
              </w:rPr>
            </w:pPr>
          </w:p>
        </w:tc>
        <w:tc>
          <w:tcPr>
            <w:tcW w:w="1221" w:type="dxa"/>
            <w:tcBorders>
              <w:top w:val="single" w:sz="4" w:space="0" w:color="999999"/>
              <w:bottom w:val="single" w:sz="4" w:space="0" w:color="auto"/>
            </w:tcBorders>
            <w:tcMar>
              <w:left w:w="0" w:type="dxa"/>
            </w:tcMar>
            <w:vAlign w:val="bottom"/>
          </w:tcPr>
          <w:p w14:paraId="30A6D71B" w14:textId="77777777" w:rsidR="00D40797" w:rsidRPr="00EE5A08" w:rsidRDefault="00D40797" w:rsidP="00C25FAB">
            <w:pPr>
              <w:pStyle w:val="UtilComTabletext"/>
              <w:jc w:val="right"/>
              <w:rPr>
                <w:b/>
              </w:rPr>
            </w:pPr>
            <w:r>
              <w:rPr>
                <w:b/>
              </w:rPr>
              <w:t>2014-15</w:t>
            </w:r>
          </w:p>
        </w:tc>
        <w:tc>
          <w:tcPr>
            <w:tcW w:w="1221" w:type="dxa"/>
            <w:tcBorders>
              <w:top w:val="single" w:sz="4" w:space="0" w:color="999999"/>
              <w:bottom w:val="single" w:sz="4" w:space="0" w:color="auto"/>
            </w:tcBorders>
            <w:tcMar>
              <w:left w:w="0" w:type="dxa"/>
            </w:tcMar>
            <w:vAlign w:val="bottom"/>
          </w:tcPr>
          <w:p w14:paraId="0B96F87C" w14:textId="77777777" w:rsidR="00D40797" w:rsidRPr="00EE5A08" w:rsidRDefault="00D40797" w:rsidP="00C25FAB">
            <w:pPr>
              <w:pStyle w:val="UtilComTabletext"/>
              <w:jc w:val="right"/>
              <w:rPr>
                <w:b/>
              </w:rPr>
            </w:pPr>
            <w:r>
              <w:rPr>
                <w:b/>
              </w:rPr>
              <w:t>2015-16</w:t>
            </w:r>
          </w:p>
        </w:tc>
        <w:tc>
          <w:tcPr>
            <w:tcW w:w="1221" w:type="dxa"/>
            <w:tcBorders>
              <w:top w:val="single" w:sz="4" w:space="0" w:color="999999"/>
              <w:bottom w:val="single" w:sz="4" w:space="0" w:color="auto"/>
            </w:tcBorders>
            <w:vAlign w:val="bottom"/>
          </w:tcPr>
          <w:p w14:paraId="39C76013" w14:textId="77777777" w:rsidR="00D40797" w:rsidRDefault="00D40797" w:rsidP="00C25FAB">
            <w:pPr>
              <w:pStyle w:val="UtilComTabletext"/>
              <w:jc w:val="right"/>
              <w:rPr>
                <w:b/>
              </w:rPr>
            </w:pPr>
            <w:r>
              <w:rPr>
                <w:b/>
              </w:rPr>
              <w:t>2016-17</w:t>
            </w:r>
          </w:p>
        </w:tc>
        <w:tc>
          <w:tcPr>
            <w:tcW w:w="1221" w:type="dxa"/>
            <w:tcBorders>
              <w:top w:val="single" w:sz="4" w:space="0" w:color="999999"/>
              <w:bottom w:val="single" w:sz="4" w:space="0" w:color="auto"/>
            </w:tcBorders>
            <w:vAlign w:val="bottom"/>
          </w:tcPr>
          <w:p w14:paraId="30BD8721" w14:textId="77777777" w:rsidR="00D40797" w:rsidRDefault="00D40797" w:rsidP="00C25FAB">
            <w:pPr>
              <w:pStyle w:val="UtilComTabletext"/>
              <w:jc w:val="right"/>
              <w:rPr>
                <w:b/>
              </w:rPr>
            </w:pPr>
            <w:r>
              <w:rPr>
                <w:b/>
              </w:rPr>
              <w:t>2017-18</w:t>
            </w:r>
          </w:p>
        </w:tc>
        <w:tc>
          <w:tcPr>
            <w:tcW w:w="1221" w:type="dxa"/>
            <w:tcBorders>
              <w:top w:val="single" w:sz="4" w:space="0" w:color="999999"/>
              <w:bottom w:val="single" w:sz="4" w:space="0" w:color="auto"/>
            </w:tcBorders>
            <w:vAlign w:val="bottom"/>
          </w:tcPr>
          <w:p w14:paraId="71F5C8BD" w14:textId="77777777" w:rsidR="00D40797" w:rsidRDefault="00D40797" w:rsidP="00C25FAB">
            <w:pPr>
              <w:pStyle w:val="UtilComTabletext"/>
              <w:jc w:val="right"/>
              <w:rPr>
                <w:b/>
              </w:rPr>
            </w:pPr>
            <w:r>
              <w:rPr>
                <w:b/>
              </w:rPr>
              <w:t>2018-19</w:t>
            </w:r>
          </w:p>
        </w:tc>
        <w:tc>
          <w:tcPr>
            <w:tcW w:w="1221" w:type="dxa"/>
            <w:tcBorders>
              <w:top w:val="single" w:sz="4" w:space="0" w:color="999999"/>
              <w:bottom w:val="single" w:sz="4" w:space="0" w:color="auto"/>
            </w:tcBorders>
            <w:tcMar>
              <w:left w:w="0" w:type="dxa"/>
            </w:tcMar>
            <w:vAlign w:val="bottom"/>
          </w:tcPr>
          <w:p w14:paraId="7D22ECFF" w14:textId="77777777" w:rsidR="00D40797" w:rsidRPr="00EE5A08" w:rsidRDefault="00D40797" w:rsidP="00C25FAB">
            <w:pPr>
              <w:pStyle w:val="UtilComTabletext"/>
              <w:jc w:val="right"/>
              <w:rPr>
                <w:b/>
              </w:rPr>
            </w:pPr>
            <w:r>
              <w:rPr>
                <w:b/>
              </w:rPr>
              <w:t>Total</w:t>
            </w:r>
          </w:p>
        </w:tc>
      </w:tr>
      <w:tr w:rsidR="00D40797" w:rsidRPr="008A4655" w14:paraId="59DCB446" w14:textId="77777777" w:rsidTr="00C25FAB">
        <w:trPr>
          <w:cantSplit/>
          <w:trHeight w:val="360"/>
        </w:trPr>
        <w:tc>
          <w:tcPr>
            <w:tcW w:w="9137" w:type="dxa"/>
            <w:gridSpan w:val="7"/>
            <w:tcBorders>
              <w:top w:val="single" w:sz="4" w:space="0" w:color="999999"/>
              <w:bottom w:val="single" w:sz="4" w:space="0" w:color="999999"/>
            </w:tcBorders>
            <w:vAlign w:val="bottom"/>
          </w:tcPr>
          <w:p w14:paraId="348127B2" w14:textId="77777777" w:rsidR="00D40797" w:rsidRPr="00E8402C" w:rsidRDefault="00D40797" w:rsidP="00C25FAB">
            <w:pPr>
              <w:pStyle w:val="UtilComTabletext"/>
              <w:rPr>
                <w:b/>
              </w:rPr>
            </w:pPr>
            <w:r>
              <w:rPr>
                <w:b/>
              </w:rPr>
              <w:t>Operating</w:t>
            </w:r>
            <w:r w:rsidRPr="00E8402C">
              <w:rPr>
                <w:b/>
              </w:rPr>
              <w:t xml:space="preserve"> expenditure</w:t>
            </w:r>
          </w:p>
        </w:tc>
      </w:tr>
      <w:tr w:rsidR="00D40797" w:rsidRPr="008A4655" w14:paraId="74C3D25B" w14:textId="77777777" w:rsidTr="00C25FAB">
        <w:trPr>
          <w:cantSplit/>
          <w:trHeight w:val="360"/>
        </w:trPr>
        <w:tc>
          <w:tcPr>
            <w:tcW w:w="1811" w:type="dxa"/>
            <w:tcBorders>
              <w:top w:val="single" w:sz="4" w:space="0" w:color="auto"/>
              <w:bottom w:val="single" w:sz="4" w:space="0" w:color="auto"/>
            </w:tcBorders>
          </w:tcPr>
          <w:p w14:paraId="02FCCEC1" w14:textId="77777777" w:rsidR="00D40797" w:rsidRPr="00260FB7" w:rsidRDefault="00D40797" w:rsidP="00C25FAB">
            <w:pPr>
              <w:pStyle w:val="UtilComTabletext"/>
            </w:pPr>
            <w:r w:rsidRPr="00260FB7">
              <w:t xml:space="preserve">Operating </w:t>
            </w:r>
          </w:p>
        </w:tc>
        <w:tc>
          <w:tcPr>
            <w:tcW w:w="1221" w:type="dxa"/>
            <w:tcBorders>
              <w:top w:val="single" w:sz="4" w:space="0" w:color="auto"/>
              <w:bottom w:val="single" w:sz="4" w:space="0" w:color="auto"/>
            </w:tcBorders>
            <w:shd w:val="clear" w:color="auto" w:fill="auto"/>
          </w:tcPr>
          <w:p w14:paraId="3794761D" w14:textId="77777777" w:rsidR="00D40797" w:rsidRPr="00C77437" w:rsidRDefault="00D40797" w:rsidP="0021320D">
            <w:pPr>
              <w:pStyle w:val="UtilComTabletext"/>
              <w:jc w:val="right"/>
            </w:pPr>
            <w:r w:rsidRPr="003E05E6">
              <w:t>67</w:t>
            </w:r>
            <w:r w:rsidR="0021320D">
              <w:t>.</w:t>
            </w:r>
            <w:r w:rsidRPr="003E05E6">
              <w:t>57</w:t>
            </w:r>
          </w:p>
        </w:tc>
        <w:tc>
          <w:tcPr>
            <w:tcW w:w="1221" w:type="dxa"/>
            <w:tcBorders>
              <w:top w:val="single" w:sz="4" w:space="0" w:color="auto"/>
              <w:bottom w:val="single" w:sz="4" w:space="0" w:color="auto"/>
            </w:tcBorders>
            <w:shd w:val="clear" w:color="auto" w:fill="auto"/>
          </w:tcPr>
          <w:p w14:paraId="558412A0" w14:textId="77777777" w:rsidR="00D40797" w:rsidRPr="00C77437" w:rsidRDefault="00D40797" w:rsidP="0021320D">
            <w:pPr>
              <w:pStyle w:val="UtilComTabletext"/>
              <w:jc w:val="right"/>
            </w:pPr>
            <w:r w:rsidRPr="003E05E6">
              <w:t>66</w:t>
            </w:r>
            <w:r w:rsidR="0021320D">
              <w:t>.</w:t>
            </w:r>
            <w:r w:rsidRPr="003E05E6">
              <w:t>6</w:t>
            </w:r>
            <w:r w:rsidR="0021320D">
              <w:t>4</w:t>
            </w:r>
          </w:p>
        </w:tc>
        <w:tc>
          <w:tcPr>
            <w:tcW w:w="1221" w:type="dxa"/>
            <w:tcBorders>
              <w:top w:val="single" w:sz="4" w:space="0" w:color="auto"/>
              <w:bottom w:val="single" w:sz="4" w:space="0" w:color="auto"/>
            </w:tcBorders>
          </w:tcPr>
          <w:p w14:paraId="46CB57AC" w14:textId="77777777" w:rsidR="00D40797" w:rsidRPr="00C77437" w:rsidRDefault="00D40797" w:rsidP="0021320D">
            <w:pPr>
              <w:pStyle w:val="UtilComTabletext"/>
              <w:jc w:val="right"/>
            </w:pPr>
            <w:r w:rsidRPr="003E05E6">
              <w:t>64</w:t>
            </w:r>
            <w:r w:rsidR="0021320D">
              <w:t>.</w:t>
            </w:r>
            <w:r w:rsidRPr="003E05E6">
              <w:t>9</w:t>
            </w:r>
            <w:r w:rsidR="0021320D">
              <w:t>5</w:t>
            </w:r>
          </w:p>
        </w:tc>
        <w:tc>
          <w:tcPr>
            <w:tcW w:w="1221" w:type="dxa"/>
            <w:tcBorders>
              <w:top w:val="single" w:sz="4" w:space="0" w:color="auto"/>
              <w:bottom w:val="single" w:sz="4" w:space="0" w:color="auto"/>
            </w:tcBorders>
          </w:tcPr>
          <w:p w14:paraId="01EF2945" w14:textId="77777777" w:rsidR="00D40797" w:rsidRPr="00C77437" w:rsidRDefault="00D40797" w:rsidP="0021320D">
            <w:pPr>
              <w:pStyle w:val="UtilComTabletext"/>
              <w:jc w:val="right"/>
            </w:pPr>
            <w:r w:rsidRPr="003E05E6">
              <w:t>66</w:t>
            </w:r>
            <w:r w:rsidR="0021320D">
              <w:t>.</w:t>
            </w:r>
            <w:r w:rsidRPr="003E05E6">
              <w:t>1</w:t>
            </w:r>
            <w:r w:rsidR="0021320D">
              <w:t>8</w:t>
            </w:r>
          </w:p>
        </w:tc>
        <w:tc>
          <w:tcPr>
            <w:tcW w:w="1221" w:type="dxa"/>
            <w:tcBorders>
              <w:top w:val="single" w:sz="4" w:space="0" w:color="auto"/>
              <w:bottom w:val="single" w:sz="4" w:space="0" w:color="auto"/>
            </w:tcBorders>
          </w:tcPr>
          <w:p w14:paraId="4F0EEFFE" w14:textId="77777777" w:rsidR="00D40797" w:rsidRDefault="00D40797" w:rsidP="0021320D">
            <w:pPr>
              <w:pStyle w:val="UtilComTabletext"/>
              <w:jc w:val="right"/>
            </w:pPr>
            <w:r w:rsidRPr="003E05E6">
              <w:t>65</w:t>
            </w:r>
            <w:r w:rsidR="0021320D">
              <w:t>.</w:t>
            </w:r>
            <w:r w:rsidRPr="003E05E6">
              <w:t>68</w:t>
            </w:r>
          </w:p>
        </w:tc>
        <w:tc>
          <w:tcPr>
            <w:tcW w:w="1221" w:type="dxa"/>
            <w:tcBorders>
              <w:top w:val="single" w:sz="4" w:space="0" w:color="auto"/>
              <w:bottom w:val="single" w:sz="4" w:space="0" w:color="auto"/>
            </w:tcBorders>
            <w:shd w:val="clear" w:color="auto" w:fill="auto"/>
          </w:tcPr>
          <w:p w14:paraId="0B19B866" w14:textId="77777777" w:rsidR="00D40797" w:rsidRPr="00C77437" w:rsidRDefault="00D40797" w:rsidP="0021320D">
            <w:pPr>
              <w:pStyle w:val="UtilComTabletext"/>
              <w:jc w:val="right"/>
            </w:pPr>
            <w:r w:rsidRPr="00805916">
              <w:t>33</w:t>
            </w:r>
            <w:r>
              <w:t>1</w:t>
            </w:r>
            <w:r w:rsidRPr="00805916">
              <w:t>.</w:t>
            </w:r>
            <w:r>
              <w:t>01</w:t>
            </w:r>
          </w:p>
        </w:tc>
      </w:tr>
      <w:tr w:rsidR="00D40797" w:rsidRPr="008A4655" w14:paraId="52FCD4E6" w14:textId="77777777" w:rsidTr="00C25FAB">
        <w:trPr>
          <w:cantSplit/>
          <w:trHeight w:val="360"/>
        </w:trPr>
        <w:tc>
          <w:tcPr>
            <w:tcW w:w="9137" w:type="dxa"/>
            <w:gridSpan w:val="7"/>
            <w:tcBorders>
              <w:top w:val="single" w:sz="4" w:space="0" w:color="auto"/>
              <w:bottom w:val="single" w:sz="4" w:space="0" w:color="auto"/>
            </w:tcBorders>
            <w:vAlign w:val="bottom"/>
          </w:tcPr>
          <w:p w14:paraId="1769DAD5" w14:textId="77777777" w:rsidR="00D40797" w:rsidRPr="00E8402C" w:rsidRDefault="00D40797" w:rsidP="00C25FAB">
            <w:pPr>
              <w:pStyle w:val="UtilComTabletext"/>
              <w:rPr>
                <w:b/>
              </w:rPr>
            </w:pPr>
            <w:r w:rsidRPr="00E8402C">
              <w:rPr>
                <w:b/>
              </w:rPr>
              <w:t>Maintenance expenditure</w:t>
            </w:r>
          </w:p>
        </w:tc>
      </w:tr>
      <w:tr w:rsidR="00D40797" w:rsidRPr="008A4655" w14:paraId="28828D7D" w14:textId="77777777" w:rsidTr="00C25FAB">
        <w:trPr>
          <w:cantSplit/>
          <w:trHeight w:val="360"/>
        </w:trPr>
        <w:tc>
          <w:tcPr>
            <w:tcW w:w="1811" w:type="dxa"/>
            <w:tcBorders>
              <w:top w:val="single" w:sz="4" w:space="0" w:color="auto"/>
              <w:bottom w:val="single" w:sz="4" w:space="0" w:color="999999"/>
            </w:tcBorders>
          </w:tcPr>
          <w:p w14:paraId="48806C3F" w14:textId="77777777" w:rsidR="00D40797" w:rsidRPr="00260FB7" w:rsidRDefault="00D40797" w:rsidP="00C25FAB">
            <w:pPr>
              <w:pStyle w:val="UtilComTabletext"/>
            </w:pPr>
            <w:r>
              <w:t>Preventative</w:t>
            </w:r>
          </w:p>
        </w:tc>
        <w:tc>
          <w:tcPr>
            <w:tcW w:w="1221" w:type="dxa"/>
            <w:tcBorders>
              <w:top w:val="single" w:sz="4" w:space="0" w:color="auto"/>
              <w:bottom w:val="single" w:sz="4" w:space="0" w:color="999999"/>
            </w:tcBorders>
            <w:shd w:val="clear" w:color="auto" w:fill="auto"/>
          </w:tcPr>
          <w:p w14:paraId="01C58DEC" w14:textId="77777777" w:rsidR="00D40797" w:rsidRPr="00FA44B7" w:rsidRDefault="00D40797" w:rsidP="0021320D">
            <w:pPr>
              <w:pStyle w:val="UtilComTabletext"/>
              <w:jc w:val="right"/>
            </w:pPr>
            <w:r w:rsidRPr="000E6F44">
              <w:t>8</w:t>
            </w:r>
            <w:r w:rsidR="0021320D">
              <w:t>.</w:t>
            </w:r>
            <w:r w:rsidRPr="000E6F44">
              <w:t>26</w:t>
            </w:r>
          </w:p>
        </w:tc>
        <w:tc>
          <w:tcPr>
            <w:tcW w:w="1221" w:type="dxa"/>
            <w:tcBorders>
              <w:top w:val="single" w:sz="4" w:space="0" w:color="auto"/>
              <w:bottom w:val="single" w:sz="4" w:space="0" w:color="999999"/>
            </w:tcBorders>
            <w:shd w:val="clear" w:color="auto" w:fill="auto"/>
          </w:tcPr>
          <w:p w14:paraId="12E252D4" w14:textId="77777777" w:rsidR="00D40797" w:rsidRPr="00FA44B7" w:rsidRDefault="00D40797" w:rsidP="0021320D">
            <w:pPr>
              <w:pStyle w:val="UtilComTabletext"/>
              <w:jc w:val="right"/>
            </w:pPr>
            <w:r w:rsidRPr="000E6F44">
              <w:t>8</w:t>
            </w:r>
            <w:r w:rsidR="0021320D">
              <w:t>.</w:t>
            </w:r>
            <w:r w:rsidRPr="000E6F44">
              <w:t>0</w:t>
            </w:r>
            <w:r w:rsidR="0021320D">
              <w:t>8</w:t>
            </w:r>
          </w:p>
        </w:tc>
        <w:tc>
          <w:tcPr>
            <w:tcW w:w="1221" w:type="dxa"/>
            <w:tcBorders>
              <w:top w:val="single" w:sz="4" w:space="0" w:color="auto"/>
              <w:bottom w:val="single" w:sz="4" w:space="0" w:color="999999"/>
            </w:tcBorders>
          </w:tcPr>
          <w:p w14:paraId="0F905C6C" w14:textId="77777777" w:rsidR="00D40797" w:rsidRPr="00FA44B7" w:rsidRDefault="00D40797" w:rsidP="0021320D">
            <w:pPr>
              <w:pStyle w:val="UtilComTabletext"/>
              <w:jc w:val="right"/>
            </w:pPr>
            <w:r w:rsidRPr="000E6F44">
              <w:t>8</w:t>
            </w:r>
            <w:r w:rsidR="0021320D">
              <w:t>.80</w:t>
            </w:r>
          </w:p>
        </w:tc>
        <w:tc>
          <w:tcPr>
            <w:tcW w:w="1221" w:type="dxa"/>
            <w:tcBorders>
              <w:top w:val="single" w:sz="4" w:space="0" w:color="auto"/>
              <w:bottom w:val="single" w:sz="4" w:space="0" w:color="999999"/>
            </w:tcBorders>
          </w:tcPr>
          <w:p w14:paraId="303657B4" w14:textId="77777777" w:rsidR="00D40797" w:rsidRPr="00FA44B7" w:rsidRDefault="00D40797" w:rsidP="0021320D">
            <w:pPr>
              <w:pStyle w:val="UtilComTabletext"/>
              <w:jc w:val="right"/>
            </w:pPr>
            <w:r w:rsidRPr="000E6F44">
              <w:t>8</w:t>
            </w:r>
            <w:r w:rsidR="0021320D">
              <w:t>.</w:t>
            </w:r>
            <w:r w:rsidRPr="000E6F44">
              <w:t>4</w:t>
            </w:r>
            <w:r w:rsidR="0021320D">
              <w:t>9</w:t>
            </w:r>
          </w:p>
        </w:tc>
        <w:tc>
          <w:tcPr>
            <w:tcW w:w="1221" w:type="dxa"/>
            <w:tcBorders>
              <w:top w:val="single" w:sz="4" w:space="0" w:color="auto"/>
              <w:bottom w:val="single" w:sz="4" w:space="0" w:color="999999"/>
            </w:tcBorders>
          </w:tcPr>
          <w:p w14:paraId="2FCF5E45" w14:textId="77777777" w:rsidR="00D40797" w:rsidRPr="00FA44B7" w:rsidRDefault="00D40797" w:rsidP="0021320D">
            <w:pPr>
              <w:pStyle w:val="UtilComTabletext"/>
              <w:jc w:val="right"/>
            </w:pPr>
            <w:r w:rsidRPr="000E6F44">
              <w:t>8</w:t>
            </w:r>
            <w:r w:rsidR="0021320D">
              <w:t>.</w:t>
            </w:r>
            <w:r w:rsidRPr="000E6F44">
              <w:t>9</w:t>
            </w:r>
            <w:r w:rsidR="0021320D">
              <w:t>1</w:t>
            </w:r>
          </w:p>
        </w:tc>
        <w:tc>
          <w:tcPr>
            <w:tcW w:w="1221" w:type="dxa"/>
            <w:tcBorders>
              <w:top w:val="single" w:sz="4" w:space="0" w:color="auto"/>
              <w:bottom w:val="single" w:sz="4" w:space="0" w:color="999999"/>
            </w:tcBorders>
            <w:shd w:val="clear" w:color="auto" w:fill="auto"/>
          </w:tcPr>
          <w:p w14:paraId="41605AA7" w14:textId="77777777" w:rsidR="00D40797" w:rsidRPr="004E25F9" w:rsidRDefault="00D40797" w:rsidP="0021320D">
            <w:pPr>
              <w:pStyle w:val="UtilComTabletext"/>
              <w:jc w:val="right"/>
            </w:pPr>
            <w:r w:rsidRPr="004E25F9">
              <w:t xml:space="preserve"> 42.</w:t>
            </w:r>
            <w:r>
              <w:t>5</w:t>
            </w:r>
            <w:r w:rsidR="0021320D">
              <w:t>3</w:t>
            </w:r>
            <w:r w:rsidRPr="004E25F9">
              <w:t xml:space="preserve"> </w:t>
            </w:r>
          </w:p>
        </w:tc>
      </w:tr>
      <w:tr w:rsidR="00D40797" w:rsidRPr="008A4655" w14:paraId="60A873BA" w14:textId="77777777" w:rsidTr="00C25FAB">
        <w:trPr>
          <w:cantSplit/>
          <w:trHeight w:val="360"/>
        </w:trPr>
        <w:tc>
          <w:tcPr>
            <w:tcW w:w="1811" w:type="dxa"/>
            <w:tcBorders>
              <w:top w:val="single" w:sz="4" w:space="0" w:color="999999"/>
              <w:bottom w:val="single" w:sz="4" w:space="0" w:color="999999"/>
            </w:tcBorders>
          </w:tcPr>
          <w:p w14:paraId="337ABF90" w14:textId="77777777" w:rsidR="00D40797" w:rsidRPr="00260FB7" w:rsidRDefault="00D40797" w:rsidP="00C25FAB">
            <w:pPr>
              <w:pStyle w:val="UtilComTabletext"/>
            </w:pPr>
            <w:r w:rsidRPr="00260FB7">
              <w:t xml:space="preserve">Vegetation </w:t>
            </w:r>
            <w:r>
              <w:t>mgmt.</w:t>
            </w:r>
          </w:p>
        </w:tc>
        <w:tc>
          <w:tcPr>
            <w:tcW w:w="1221" w:type="dxa"/>
            <w:tcBorders>
              <w:top w:val="single" w:sz="4" w:space="0" w:color="999999"/>
              <w:bottom w:val="single" w:sz="4" w:space="0" w:color="999999"/>
            </w:tcBorders>
            <w:shd w:val="clear" w:color="auto" w:fill="auto"/>
          </w:tcPr>
          <w:p w14:paraId="0713D846" w14:textId="77777777" w:rsidR="00D40797" w:rsidRPr="00FA44B7" w:rsidRDefault="00D40797" w:rsidP="0021320D">
            <w:pPr>
              <w:pStyle w:val="UtilComTabletext"/>
              <w:jc w:val="right"/>
            </w:pPr>
            <w:r w:rsidRPr="00937DCB">
              <w:t>6</w:t>
            </w:r>
            <w:r w:rsidR="0021320D">
              <w:t>.</w:t>
            </w:r>
            <w:r w:rsidRPr="00937DCB">
              <w:t>2</w:t>
            </w:r>
            <w:r w:rsidR="0021320D">
              <w:t>6</w:t>
            </w:r>
          </w:p>
        </w:tc>
        <w:tc>
          <w:tcPr>
            <w:tcW w:w="1221" w:type="dxa"/>
            <w:tcBorders>
              <w:top w:val="single" w:sz="4" w:space="0" w:color="999999"/>
              <w:bottom w:val="single" w:sz="4" w:space="0" w:color="999999"/>
            </w:tcBorders>
            <w:shd w:val="clear" w:color="auto" w:fill="auto"/>
          </w:tcPr>
          <w:p w14:paraId="1F5CAA8E" w14:textId="77777777" w:rsidR="00D40797" w:rsidRPr="00FA44B7" w:rsidRDefault="00D40797" w:rsidP="0021320D">
            <w:pPr>
              <w:pStyle w:val="UtilComTabletext"/>
              <w:jc w:val="right"/>
            </w:pPr>
            <w:r w:rsidRPr="00937DCB">
              <w:t>6</w:t>
            </w:r>
            <w:r w:rsidR="0021320D">
              <w:t>.</w:t>
            </w:r>
            <w:r w:rsidRPr="00937DCB">
              <w:t>3</w:t>
            </w:r>
            <w:r w:rsidR="0021320D">
              <w:t>3</w:t>
            </w:r>
          </w:p>
        </w:tc>
        <w:tc>
          <w:tcPr>
            <w:tcW w:w="1221" w:type="dxa"/>
            <w:tcBorders>
              <w:top w:val="single" w:sz="4" w:space="0" w:color="999999"/>
              <w:bottom w:val="single" w:sz="4" w:space="0" w:color="999999"/>
            </w:tcBorders>
          </w:tcPr>
          <w:p w14:paraId="4107DB1C" w14:textId="77777777" w:rsidR="00D40797" w:rsidRPr="00FA44B7" w:rsidRDefault="00D40797" w:rsidP="0021320D">
            <w:pPr>
              <w:pStyle w:val="UtilComTabletext"/>
              <w:jc w:val="right"/>
            </w:pPr>
            <w:r w:rsidRPr="00937DCB">
              <w:t>6</w:t>
            </w:r>
            <w:r w:rsidR="0021320D">
              <w:t>.38</w:t>
            </w:r>
          </w:p>
        </w:tc>
        <w:tc>
          <w:tcPr>
            <w:tcW w:w="1221" w:type="dxa"/>
            <w:tcBorders>
              <w:top w:val="single" w:sz="4" w:space="0" w:color="999999"/>
              <w:bottom w:val="single" w:sz="4" w:space="0" w:color="999999"/>
            </w:tcBorders>
          </w:tcPr>
          <w:p w14:paraId="656D8C9F" w14:textId="77777777" w:rsidR="00D40797" w:rsidRPr="00FA44B7" w:rsidRDefault="00D40797" w:rsidP="0021320D">
            <w:pPr>
              <w:pStyle w:val="UtilComTabletext"/>
              <w:jc w:val="right"/>
            </w:pPr>
            <w:r w:rsidRPr="00937DCB">
              <w:t>6</w:t>
            </w:r>
            <w:r w:rsidR="0021320D">
              <w:t>.</w:t>
            </w:r>
            <w:r w:rsidRPr="00937DCB">
              <w:t>4</w:t>
            </w:r>
            <w:r w:rsidR="0021320D">
              <w:t>5</w:t>
            </w:r>
          </w:p>
        </w:tc>
        <w:tc>
          <w:tcPr>
            <w:tcW w:w="1221" w:type="dxa"/>
            <w:tcBorders>
              <w:top w:val="single" w:sz="4" w:space="0" w:color="999999"/>
              <w:bottom w:val="single" w:sz="4" w:space="0" w:color="999999"/>
            </w:tcBorders>
          </w:tcPr>
          <w:p w14:paraId="36B8AC98" w14:textId="77777777" w:rsidR="00D40797" w:rsidRPr="00FA44B7" w:rsidRDefault="00D40797" w:rsidP="0021320D">
            <w:pPr>
              <w:pStyle w:val="UtilComTabletext"/>
              <w:jc w:val="right"/>
            </w:pPr>
            <w:r w:rsidRPr="00937DCB">
              <w:t>6</w:t>
            </w:r>
            <w:r w:rsidR="0021320D">
              <w:t>.</w:t>
            </w:r>
            <w:r w:rsidRPr="00937DCB">
              <w:t>52</w:t>
            </w:r>
          </w:p>
        </w:tc>
        <w:tc>
          <w:tcPr>
            <w:tcW w:w="1221" w:type="dxa"/>
            <w:tcBorders>
              <w:top w:val="single" w:sz="4" w:space="0" w:color="999999"/>
              <w:bottom w:val="single" w:sz="4" w:space="0" w:color="999999"/>
            </w:tcBorders>
            <w:shd w:val="clear" w:color="auto" w:fill="auto"/>
          </w:tcPr>
          <w:p w14:paraId="65C20E38" w14:textId="77777777" w:rsidR="00D40797" w:rsidRPr="004E25F9" w:rsidRDefault="00D40797" w:rsidP="0021320D">
            <w:pPr>
              <w:pStyle w:val="UtilComTabletext"/>
              <w:jc w:val="right"/>
            </w:pPr>
            <w:r w:rsidRPr="00937DCB">
              <w:t>31</w:t>
            </w:r>
            <w:r w:rsidR="0021320D">
              <w:t>.</w:t>
            </w:r>
            <w:r w:rsidRPr="00937DCB">
              <w:t>93</w:t>
            </w:r>
          </w:p>
        </w:tc>
      </w:tr>
      <w:tr w:rsidR="00D40797" w:rsidRPr="008A4655" w14:paraId="450C46F2" w14:textId="77777777" w:rsidTr="00C25FAB">
        <w:trPr>
          <w:cantSplit/>
          <w:trHeight w:val="360"/>
        </w:trPr>
        <w:tc>
          <w:tcPr>
            <w:tcW w:w="1811" w:type="dxa"/>
            <w:tcBorders>
              <w:top w:val="single" w:sz="4" w:space="0" w:color="999999"/>
              <w:bottom w:val="single" w:sz="4" w:space="0" w:color="999999"/>
            </w:tcBorders>
          </w:tcPr>
          <w:p w14:paraId="396C8A4D" w14:textId="77777777" w:rsidR="00D40797" w:rsidRPr="00260FB7" w:rsidRDefault="00D40797" w:rsidP="00C25FAB">
            <w:pPr>
              <w:pStyle w:val="UtilComTabletext"/>
            </w:pPr>
            <w:r>
              <w:t>Planned corrective</w:t>
            </w:r>
          </w:p>
        </w:tc>
        <w:tc>
          <w:tcPr>
            <w:tcW w:w="1221" w:type="dxa"/>
            <w:tcBorders>
              <w:top w:val="single" w:sz="4" w:space="0" w:color="999999"/>
              <w:bottom w:val="single" w:sz="4" w:space="0" w:color="999999"/>
            </w:tcBorders>
            <w:shd w:val="clear" w:color="auto" w:fill="auto"/>
          </w:tcPr>
          <w:p w14:paraId="14027CC0" w14:textId="77777777" w:rsidR="00D40797" w:rsidRPr="00FA44B7" w:rsidRDefault="00D40797" w:rsidP="0021320D">
            <w:pPr>
              <w:pStyle w:val="UtilComTabletext"/>
              <w:jc w:val="right"/>
            </w:pPr>
            <w:r w:rsidRPr="0087440A">
              <w:t>13</w:t>
            </w:r>
            <w:r w:rsidR="0021320D">
              <w:t>.</w:t>
            </w:r>
            <w:r w:rsidRPr="0087440A">
              <w:t>27</w:t>
            </w:r>
          </w:p>
        </w:tc>
        <w:tc>
          <w:tcPr>
            <w:tcW w:w="1221" w:type="dxa"/>
            <w:tcBorders>
              <w:top w:val="single" w:sz="4" w:space="0" w:color="999999"/>
              <w:bottom w:val="single" w:sz="4" w:space="0" w:color="999999"/>
            </w:tcBorders>
            <w:shd w:val="clear" w:color="auto" w:fill="auto"/>
          </w:tcPr>
          <w:p w14:paraId="3E787DE2" w14:textId="77777777" w:rsidR="00D40797" w:rsidRPr="00FA44B7" w:rsidRDefault="00D40797" w:rsidP="0021320D">
            <w:pPr>
              <w:pStyle w:val="UtilComTabletext"/>
              <w:jc w:val="right"/>
            </w:pPr>
            <w:r w:rsidRPr="0087440A">
              <w:t>13</w:t>
            </w:r>
            <w:r w:rsidR="0021320D">
              <w:t>.</w:t>
            </w:r>
            <w:r w:rsidRPr="0087440A">
              <w:t>37</w:t>
            </w:r>
          </w:p>
        </w:tc>
        <w:tc>
          <w:tcPr>
            <w:tcW w:w="1221" w:type="dxa"/>
            <w:tcBorders>
              <w:top w:val="single" w:sz="4" w:space="0" w:color="999999"/>
              <w:bottom w:val="single" w:sz="4" w:space="0" w:color="999999"/>
            </w:tcBorders>
          </w:tcPr>
          <w:p w14:paraId="2F82206B" w14:textId="77777777" w:rsidR="00D40797" w:rsidRPr="00FA44B7" w:rsidRDefault="00D40797" w:rsidP="0021320D">
            <w:pPr>
              <w:pStyle w:val="UtilComTabletext"/>
              <w:jc w:val="right"/>
            </w:pPr>
            <w:r w:rsidRPr="0087440A">
              <w:t>13</w:t>
            </w:r>
            <w:r w:rsidR="0021320D">
              <w:t>.</w:t>
            </w:r>
            <w:r w:rsidRPr="0087440A">
              <w:t>28</w:t>
            </w:r>
          </w:p>
        </w:tc>
        <w:tc>
          <w:tcPr>
            <w:tcW w:w="1221" w:type="dxa"/>
            <w:tcBorders>
              <w:top w:val="single" w:sz="4" w:space="0" w:color="999999"/>
              <w:bottom w:val="single" w:sz="4" w:space="0" w:color="999999"/>
            </w:tcBorders>
          </w:tcPr>
          <w:p w14:paraId="2E227021" w14:textId="77777777" w:rsidR="00D40797" w:rsidRPr="00FA44B7" w:rsidRDefault="00D40797" w:rsidP="0021320D">
            <w:pPr>
              <w:pStyle w:val="UtilComTabletext"/>
              <w:jc w:val="right"/>
            </w:pPr>
            <w:r w:rsidRPr="0087440A">
              <w:t>12</w:t>
            </w:r>
            <w:r w:rsidR="0021320D">
              <w:t>.</w:t>
            </w:r>
            <w:r w:rsidRPr="0087440A">
              <w:t>81</w:t>
            </w:r>
          </w:p>
        </w:tc>
        <w:tc>
          <w:tcPr>
            <w:tcW w:w="1221" w:type="dxa"/>
            <w:tcBorders>
              <w:top w:val="single" w:sz="4" w:space="0" w:color="999999"/>
              <w:bottom w:val="single" w:sz="4" w:space="0" w:color="999999"/>
            </w:tcBorders>
          </w:tcPr>
          <w:p w14:paraId="7A3471DC" w14:textId="77777777" w:rsidR="00D40797" w:rsidRPr="00FA44B7" w:rsidRDefault="00D40797" w:rsidP="0021320D">
            <w:pPr>
              <w:pStyle w:val="UtilComTabletext"/>
              <w:jc w:val="right"/>
            </w:pPr>
            <w:r w:rsidRPr="0087440A">
              <w:t>12</w:t>
            </w:r>
            <w:r w:rsidR="0021320D">
              <w:t>.</w:t>
            </w:r>
            <w:r w:rsidRPr="0087440A">
              <w:t>61</w:t>
            </w:r>
          </w:p>
        </w:tc>
        <w:tc>
          <w:tcPr>
            <w:tcW w:w="1221" w:type="dxa"/>
            <w:tcBorders>
              <w:top w:val="single" w:sz="4" w:space="0" w:color="999999"/>
              <w:bottom w:val="single" w:sz="4" w:space="0" w:color="999999"/>
            </w:tcBorders>
            <w:shd w:val="clear" w:color="auto" w:fill="auto"/>
          </w:tcPr>
          <w:p w14:paraId="4900F6E3" w14:textId="77777777" w:rsidR="00D40797" w:rsidRPr="004E25F9" w:rsidRDefault="00D40797" w:rsidP="0021320D">
            <w:pPr>
              <w:pStyle w:val="UtilComTabletext"/>
              <w:jc w:val="right"/>
            </w:pPr>
            <w:r w:rsidRPr="0087440A">
              <w:t>65</w:t>
            </w:r>
            <w:r w:rsidR="0021320D">
              <w:t>.</w:t>
            </w:r>
            <w:r w:rsidRPr="0087440A">
              <w:t>3</w:t>
            </w:r>
            <w:r w:rsidR="0021320D">
              <w:t>5</w:t>
            </w:r>
          </w:p>
        </w:tc>
      </w:tr>
      <w:tr w:rsidR="00D40797" w:rsidRPr="008A4655" w14:paraId="0D263F0E" w14:textId="77777777" w:rsidTr="00C25FAB">
        <w:trPr>
          <w:cantSplit/>
          <w:trHeight w:val="360"/>
        </w:trPr>
        <w:tc>
          <w:tcPr>
            <w:tcW w:w="1811" w:type="dxa"/>
            <w:tcBorders>
              <w:top w:val="single" w:sz="4" w:space="0" w:color="999999"/>
              <w:bottom w:val="single" w:sz="4" w:space="0" w:color="999999"/>
            </w:tcBorders>
          </w:tcPr>
          <w:p w14:paraId="030A7BA6" w14:textId="77777777" w:rsidR="00D40797" w:rsidRPr="00260FB7" w:rsidRDefault="00D40797" w:rsidP="00C25FAB">
            <w:pPr>
              <w:pStyle w:val="UtilComTabletext"/>
            </w:pPr>
            <w:r>
              <w:t>Unplanned corrective</w:t>
            </w:r>
          </w:p>
        </w:tc>
        <w:tc>
          <w:tcPr>
            <w:tcW w:w="1221" w:type="dxa"/>
            <w:tcBorders>
              <w:top w:val="single" w:sz="4" w:space="0" w:color="999999"/>
              <w:bottom w:val="single" w:sz="4" w:space="0" w:color="999999"/>
            </w:tcBorders>
            <w:shd w:val="clear" w:color="auto" w:fill="auto"/>
          </w:tcPr>
          <w:p w14:paraId="44363897" w14:textId="77777777" w:rsidR="00D40797" w:rsidRPr="00FA44B7" w:rsidRDefault="00D40797" w:rsidP="0021320D">
            <w:pPr>
              <w:pStyle w:val="UtilComTabletext"/>
              <w:jc w:val="right"/>
            </w:pPr>
            <w:r w:rsidRPr="00D91917">
              <w:t>10</w:t>
            </w:r>
            <w:r w:rsidR="0021320D">
              <w:t>.</w:t>
            </w:r>
            <w:r w:rsidRPr="00D91917">
              <w:t>25</w:t>
            </w:r>
          </w:p>
        </w:tc>
        <w:tc>
          <w:tcPr>
            <w:tcW w:w="1221" w:type="dxa"/>
            <w:tcBorders>
              <w:top w:val="single" w:sz="4" w:space="0" w:color="999999"/>
              <w:bottom w:val="single" w:sz="4" w:space="0" w:color="999999"/>
            </w:tcBorders>
            <w:shd w:val="clear" w:color="auto" w:fill="auto"/>
          </w:tcPr>
          <w:p w14:paraId="6F25D5EB" w14:textId="77777777" w:rsidR="00D40797" w:rsidRPr="00FA44B7" w:rsidRDefault="00D40797" w:rsidP="0021320D">
            <w:pPr>
              <w:pStyle w:val="UtilComTabletext"/>
              <w:jc w:val="right"/>
            </w:pPr>
            <w:r w:rsidRPr="00D91917">
              <w:t>10</w:t>
            </w:r>
            <w:r w:rsidR="0021320D">
              <w:t>.</w:t>
            </w:r>
            <w:r w:rsidRPr="00D91917">
              <w:t>30</w:t>
            </w:r>
          </w:p>
        </w:tc>
        <w:tc>
          <w:tcPr>
            <w:tcW w:w="1221" w:type="dxa"/>
            <w:tcBorders>
              <w:top w:val="single" w:sz="4" w:space="0" w:color="999999"/>
              <w:bottom w:val="single" w:sz="4" w:space="0" w:color="999999"/>
            </w:tcBorders>
          </w:tcPr>
          <w:p w14:paraId="198C79C8" w14:textId="77777777" w:rsidR="00D40797" w:rsidRPr="00FA44B7" w:rsidRDefault="00D40797" w:rsidP="0021320D">
            <w:pPr>
              <w:pStyle w:val="UtilComTabletext"/>
              <w:jc w:val="right"/>
            </w:pPr>
            <w:r w:rsidRPr="00D91917">
              <w:t>10</w:t>
            </w:r>
            <w:r w:rsidR="0021320D">
              <w:t>.</w:t>
            </w:r>
            <w:r w:rsidRPr="00D91917">
              <w:t>5</w:t>
            </w:r>
            <w:r w:rsidR="0021320D">
              <w:t>8</w:t>
            </w:r>
          </w:p>
        </w:tc>
        <w:tc>
          <w:tcPr>
            <w:tcW w:w="1221" w:type="dxa"/>
            <w:tcBorders>
              <w:top w:val="single" w:sz="4" w:space="0" w:color="999999"/>
              <w:bottom w:val="single" w:sz="4" w:space="0" w:color="999999"/>
            </w:tcBorders>
          </w:tcPr>
          <w:p w14:paraId="3D28A63A" w14:textId="77777777" w:rsidR="00D40797" w:rsidRPr="00FA44B7" w:rsidRDefault="00D40797" w:rsidP="0021320D">
            <w:pPr>
              <w:pStyle w:val="UtilComTabletext"/>
              <w:jc w:val="right"/>
            </w:pPr>
            <w:r w:rsidRPr="00D91917">
              <w:t>10</w:t>
            </w:r>
            <w:r w:rsidR="0021320D">
              <w:t>.</w:t>
            </w:r>
            <w:r w:rsidRPr="00D91917">
              <w:t>14</w:t>
            </w:r>
          </w:p>
        </w:tc>
        <w:tc>
          <w:tcPr>
            <w:tcW w:w="1221" w:type="dxa"/>
            <w:tcBorders>
              <w:top w:val="single" w:sz="4" w:space="0" w:color="999999"/>
              <w:bottom w:val="single" w:sz="4" w:space="0" w:color="999999"/>
            </w:tcBorders>
          </w:tcPr>
          <w:p w14:paraId="5B7DDE3A" w14:textId="77777777" w:rsidR="00D40797" w:rsidRPr="00FA44B7" w:rsidRDefault="00D40797" w:rsidP="0021320D">
            <w:pPr>
              <w:pStyle w:val="UtilComTabletext"/>
              <w:jc w:val="right"/>
            </w:pPr>
            <w:r w:rsidRPr="00D91917">
              <w:t>9</w:t>
            </w:r>
            <w:r w:rsidR="0021320D">
              <w:t>.</w:t>
            </w:r>
            <w:r w:rsidRPr="00D91917">
              <w:t>92</w:t>
            </w:r>
          </w:p>
        </w:tc>
        <w:tc>
          <w:tcPr>
            <w:tcW w:w="1221" w:type="dxa"/>
            <w:tcBorders>
              <w:top w:val="single" w:sz="4" w:space="0" w:color="999999"/>
              <w:bottom w:val="single" w:sz="4" w:space="0" w:color="999999"/>
            </w:tcBorders>
            <w:shd w:val="clear" w:color="auto" w:fill="auto"/>
          </w:tcPr>
          <w:p w14:paraId="06C34B23" w14:textId="77777777" w:rsidR="00D40797" w:rsidRPr="004E25F9" w:rsidRDefault="00D40797" w:rsidP="0021320D">
            <w:pPr>
              <w:pStyle w:val="UtilComTabletext"/>
              <w:jc w:val="right"/>
            </w:pPr>
            <w:r w:rsidRPr="00D91917">
              <w:t>51</w:t>
            </w:r>
            <w:r w:rsidR="0021320D">
              <w:t>.</w:t>
            </w:r>
            <w:r w:rsidRPr="00D91917">
              <w:t>19</w:t>
            </w:r>
          </w:p>
        </w:tc>
      </w:tr>
      <w:tr w:rsidR="00D40797" w:rsidRPr="008A4655" w14:paraId="10BC1CD8" w14:textId="77777777" w:rsidTr="00C25FAB">
        <w:trPr>
          <w:cantSplit/>
          <w:trHeight w:val="360"/>
        </w:trPr>
        <w:tc>
          <w:tcPr>
            <w:tcW w:w="1811" w:type="dxa"/>
            <w:tcBorders>
              <w:top w:val="single" w:sz="4" w:space="0" w:color="999999"/>
              <w:bottom w:val="single" w:sz="4" w:space="0" w:color="auto"/>
            </w:tcBorders>
          </w:tcPr>
          <w:p w14:paraId="0F4DBE8D" w14:textId="77777777" w:rsidR="00D40797" w:rsidRDefault="00D40797" w:rsidP="00C25FAB">
            <w:pPr>
              <w:pStyle w:val="UtilComTabletext"/>
            </w:pPr>
            <w:r>
              <w:t>Specific</w:t>
            </w:r>
          </w:p>
        </w:tc>
        <w:tc>
          <w:tcPr>
            <w:tcW w:w="1221" w:type="dxa"/>
            <w:tcBorders>
              <w:top w:val="single" w:sz="4" w:space="0" w:color="999999"/>
              <w:bottom w:val="single" w:sz="4" w:space="0" w:color="auto"/>
            </w:tcBorders>
            <w:shd w:val="clear" w:color="auto" w:fill="auto"/>
          </w:tcPr>
          <w:p w14:paraId="3493DF1F" w14:textId="77777777" w:rsidR="00D40797" w:rsidRPr="00FA44B7" w:rsidRDefault="0021320D" w:rsidP="0021320D">
            <w:pPr>
              <w:pStyle w:val="UtilComTabletext"/>
              <w:jc w:val="right"/>
            </w:pPr>
            <w:r>
              <w:t>0.</w:t>
            </w:r>
            <w:r w:rsidR="00D40797" w:rsidRPr="00C34E19">
              <w:t>8</w:t>
            </w:r>
            <w:r>
              <w:t>1</w:t>
            </w:r>
          </w:p>
        </w:tc>
        <w:tc>
          <w:tcPr>
            <w:tcW w:w="1221" w:type="dxa"/>
            <w:tcBorders>
              <w:top w:val="single" w:sz="4" w:space="0" w:color="999999"/>
              <w:bottom w:val="single" w:sz="4" w:space="0" w:color="auto"/>
            </w:tcBorders>
            <w:shd w:val="clear" w:color="auto" w:fill="auto"/>
          </w:tcPr>
          <w:p w14:paraId="27E36F12" w14:textId="77777777" w:rsidR="00D40797" w:rsidRPr="00FA44B7" w:rsidRDefault="0021320D" w:rsidP="0021320D">
            <w:pPr>
              <w:pStyle w:val="UtilComTabletext"/>
              <w:jc w:val="right"/>
            </w:pPr>
            <w:r>
              <w:t>0.</w:t>
            </w:r>
            <w:r w:rsidR="00D40797" w:rsidRPr="00C34E19">
              <w:t>5</w:t>
            </w:r>
            <w:r>
              <w:t>7</w:t>
            </w:r>
          </w:p>
        </w:tc>
        <w:tc>
          <w:tcPr>
            <w:tcW w:w="1221" w:type="dxa"/>
            <w:tcBorders>
              <w:top w:val="single" w:sz="4" w:space="0" w:color="999999"/>
              <w:bottom w:val="single" w:sz="4" w:space="0" w:color="auto"/>
            </w:tcBorders>
          </w:tcPr>
          <w:p w14:paraId="5B28D1F7" w14:textId="77777777" w:rsidR="00D40797" w:rsidRPr="00FA44B7" w:rsidRDefault="00D40797" w:rsidP="0021320D">
            <w:pPr>
              <w:pStyle w:val="UtilComTabletext"/>
              <w:jc w:val="right"/>
            </w:pPr>
            <w:r w:rsidRPr="00C34E19">
              <w:t>3</w:t>
            </w:r>
            <w:r w:rsidR="0021320D">
              <w:t>.</w:t>
            </w:r>
            <w:r w:rsidRPr="00C34E19">
              <w:t>13</w:t>
            </w:r>
          </w:p>
        </w:tc>
        <w:tc>
          <w:tcPr>
            <w:tcW w:w="1221" w:type="dxa"/>
            <w:tcBorders>
              <w:top w:val="single" w:sz="4" w:space="0" w:color="999999"/>
              <w:bottom w:val="single" w:sz="4" w:space="0" w:color="auto"/>
            </w:tcBorders>
          </w:tcPr>
          <w:p w14:paraId="480BD50F" w14:textId="77777777" w:rsidR="00D40797" w:rsidRPr="00FA44B7" w:rsidRDefault="0021320D" w:rsidP="0021320D">
            <w:pPr>
              <w:pStyle w:val="UtilComTabletext"/>
              <w:jc w:val="right"/>
            </w:pPr>
            <w:r>
              <w:t>0.</w:t>
            </w:r>
            <w:r w:rsidR="00D40797" w:rsidRPr="00C34E19">
              <w:t>6</w:t>
            </w:r>
            <w:r>
              <w:t>6</w:t>
            </w:r>
          </w:p>
        </w:tc>
        <w:tc>
          <w:tcPr>
            <w:tcW w:w="1221" w:type="dxa"/>
            <w:tcBorders>
              <w:top w:val="single" w:sz="4" w:space="0" w:color="999999"/>
              <w:bottom w:val="single" w:sz="4" w:space="0" w:color="auto"/>
            </w:tcBorders>
          </w:tcPr>
          <w:p w14:paraId="08F9829C" w14:textId="77777777" w:rsidR="00D40797" w:rsidRPr="00FA44B7" w:rsidRDefault="0021320D" w:rsidP="0021320D">
            <w:pPr>
              <w:pStyle w:val="UtilComTabletext"/>
              <w:jc w:val="right"/>
            </w:pPr>
            <w:r>
              <w:t>0.</w:t>
            </w:r>
            <w:r w:rsidR="00D40797" w:rsidRPr="00C34E19">
              <w:t>9</w:t>
            </w:r>
            <w:r>
              <w:t>6</w:t>
            </w:r>
          </w:p>
        </w:tc>
        <w:tc>
          <w:tcPr>
            <w:tcW w:w="1221" w:type="dxa"/>
            <w:tcBorders>
              <w:top w:val="single" w:sz="4" w:space="0" w:color="999999"/>
              <w:bottom w:val="single" w:sz="4" w:space="0" w:color="auto"/>
            </w:tcBorders>
            <w:shd w:val="clear" w:color="auto" w:fill="auto"/>
          </w:tcPr>
          <w:p w14:paraId="67144C33" w14:textId="77777777" w:rsidR="00D40797" w:rsidRDefault="00D40797" w:rsidP="0021320D">
            <w:pPr>
              <w:pStyle w:val="UtilComTabletext"/>
              <w:jc w:val="right"/>
            </w:pPr>
            <w:r w:rsidRPr="00C34E19">
              <w:t>6</w:t>
            </w:r>
            <w:r w:rsidR="0021320D">
              <w:t>.</w:t>
            </w:r>
            <w:r w:rsidRPr="00C34E19">
              <w:t>1</w:t>
            </w:r>
            <w:r w:rsidR="0021320D">
              <w:t>3</w:t>
            </w:r>
          </w:p>
        </w:tc>
      </w:tr>
      <w:tr w:rsidR="00D40797" w:rsidRPr="005A0B65" w14:paraId="5B3E48DE" w14:textId="77777777" w:rsidTr="00C25FAB">
        <w:trPr>
          <w:cantSplit/>
          <w:trHeight w:val="360"/>
        </w:trPr>
        <w:tc>
          <w:tcPr>
            <w:tcW w:w="1811" w:type="dxa"/>
            <w:tcBorders>
              <w:top w:val="single" w:sz="4" w:space="0" w:color="auto"/>
              <w:bottom w:val="single" w:sz="4" w:space="0" w:color="000000"/>
            </w:tcBorders>
          </w:tcPr>
          <w:p w14:paraId="1BAB358E" w14:textId="77777777" w:rsidR="00D40797" w:rsidRPr="005A0B65" w:rsidRDefault="00D40797" w:rsidP="00C25FAB">
            <w:pPr>
              <w:pStyle w:val="UtilComTabletext"/>
              <w:rPr>
                <w:b/>
              </w:rPr>
            </w:pPr>
            <w:r>
              <w:rPr>
                <w:b/>
              </w:rPr>
              <w:t>Total maintenance</w:t>
            </w:r>
          </w:p>
        </w:tc>
        <w:tc>
          <w:tcPr>
            <w:tcW w:w="1221" w:type="dxa"/>
            <w:tcBorders>
              <w:top w:val="single" w:sz="4" w:space="0" w:color="auto"/>
              <w:bottom w:val="single" w:sz="4" w:space="0" w:color="000000"/>
            </w:tcBorders>
            <w:shd w:val="clear" w:color="auto" w:fill="auto"/>
          </w:tcPr>
          <w:p w14:paraId="12324D13" w14:textId="77777777" w:rsidR="00D40797" w:rsidRPr="00FA44B7" w:rsidRDefault="00D40797" w:rsidP="0021320D">
            <w:pPr>
              <w:pStyle w:val="UtilComTabletext"/>
              <w:jc w:val="right"/>
            </w:pPr>
            <w:r w:rsidRPr="003F1214">
              <w:t>38</w:t>
            </w:r>
            <w:r w:rsidR="0021320D">
              <w:t>.</w:t>
            </w:r>
            <w:r w:rsidRPr="003F1214">
              <w:t>85</w:t>
            </w:r>
          </w:p>
        </w:tc>
        <w:tc>
          <w:tcPr>
            <w:tcW w:w="1221" w:type="dxa"/>
            <w:tcBorders>
              <w:top w:val="single" w:sz="4" w:space="0" w:color="auto"/>
              <w:bottom w:val="single" w:sz="4" w:space="0" w:color="000000"/>
            </w:tcBorders>
            <w:shd w:val="clear" w:color="auto" w:fill="auto"/>
          </w:tcPr>
          <w:p w14:paraId="2EC38621" w14:textId="77777777" w:rsidR="00D40797" w:rsidRPr="00FA44B7" w:rsidRDefault="00D40797" w:rsidP="0021320D">
            <w:pPr>
              <w:pStyle w:val="UtilComTabletext"/>
              <w:jc w:val="right"/>
            </w:pPr>
            <w:r w:rsidRPr="003F1214">
              <w:t>38</w:t>
            </w:r>
            <w:r w:rsidR="0021320D">
              <w:t>.</w:t>
            </w:r>
            <w:r w:rsidRPr="003F1214">
              <w:t>6</w:t>
            </w:r>
            <w:r w:rsidR="0021320D">
              <w:t>5</w:t>
            </w:r>
          </w:p>
        </w:tc>
        <w:tc>
          <w:tcPr>
            <w:tcW w:w="1221" w:type="dxa"/>
            <w:tcBorders>
              <w:top w:val="single" w:sz="4" w:space="0" w:color="auto"/>
              <w:bottom w:val="single" w:sz="4" w:space="0" w:color="000000"/>
            </w:tcBorders>
          </w:tcPr>
          <w:p w14:paraId="1DFD6A9F" w14:textId="77777777" w:rsidR="00D40797" w:rsidRPr="00FA44B7" w:rsidRDefault="00D40797" w:rsidP="0021320D">
            <w:pPr>
              <w:pStyle w:val="UtilComTabletext"/>
              <w:jc w:val="right"/>
            </w:pPr>
            <w:r w:rsidRPr="003F1214">
              <w:t>42</w:t>
            </w:r>
            <w:r w:rsidR="0021320D">
              <w:t>.</w:t>
            </w:r>
            <w:r w:rsidRPr="003F1214">
              <w:t>16</w:t>
            </w:r>
          </w:p>
        </w:tc>
        <w:tc>
          <w:tcPr>
            <w:tcW w:w="1221" w:type="dxa"/>
            <w:tcBorders>
              <w:top w:val="single" w:sz="4" w:space="0" w:color="auto"/>
              <w:bottom w:val="single" w:sz="4" w:space="0" w:color="000000"/>
            </w:tcBorders>
          </w:tcPr>
          <w:p w14:paraId="1DF005F1" w14:textId="77777777" w:rsidR="00D40797" w:rsidRPr="00FA44B7" w:rsidRDefault="00D40797" w:rsidP="0021320D">
            <w:pPr>
              <w:pStyle w:val="UtilComTabletext"/>
              <w:jc w:val="right"/>
            </w:pPr>
            <w:r w:rsidRPr="003F1214">
              <w:t>38</w:t>
            </w:r>
            <w:r w:rsidR="0021320D">
              <w:t>.</w:t>
            </w:r>
            <w:r w:rsidRPr="003F1214">
              <w:t>5</w:t>
            </w:r>
            <w:r w:rsidR="0021320D">
              <w:t>5</w:t>
            </w:r>
          </w:p>
        </w:tc>
        <w:tc>
          <w:tcPr>
            <w:tcW w:w="1221" w:type="dxa"/>
            <w:tcBorders>
              <w:top w:val="single" w:sz="4" w:space="0" w:color="auto"/>
              <w:bottom w:val="single" w:sz="4" w:space="0" w:color="000000"/>
            </w:tcBorders>
          </w:tcPr>
          <w:p w14:paraId="1C20C086" w14:textId="77777777" w:rsidR="00D40797" w:rsidRDefault="00D40797" w:rsidP="0021320D">
            <w:pPr>
              <w:pStyle w:val="UtilComTabletext"/>
              <w:jc w:val="right"/>
            </w:pPr>
            <w:r w:rsidRPr="003F1214">
              <w:t>38</w:t>
            </w:r>
            <w:r w:rsidR="0021320D">
              <w:t>.</w:t>
            </w:r>
            <w:r w:rsidRPr="003F1214">
              <w:t>9</w:t>
            </w:r>
            <w:r w:rsidR="0021320D">
              <w:t>2</w:t>
            </w:r>
          </w:p>
        </w:tc>
        <w:tc>
          <w:tcPr>
            <w:tcW w:w="1221" w:type="dxa"/>
            <w:tcBorders>
              <w:top w:val="single" w:sz="4" w:space="0" w:color="auto"/>
              <w:bottom w:val="single" w:sz="4" w:space="0" w:color="000000"/>
            </w:tcBorders>
            <w:shd w:val="clear" w:color="auto" w:fill="auto"/>
          </w:tcPr>
          <w:p w14:paraId="2F86A395" w14:textId="77777777" w:rsidR="00D40797" w:rsidRPr="00805916" w:rsidRDefault="00D40797" w:rsidP="0021320D">
            <w:pPr>
              <w:pStyle w:val="UtilComTabletext"/>
              <w:jc w:val="right"/>
            </w:pPr>
            <w:r w:rsidRPr="003F1214">
              <w:t>197</w:t>
            </w:r>
            <w:r w:rsidR="0021320D">
              <w:t>.</w:t>
            </w:r>
            <w:r w:rsidRPr="003F1214">
              <w:t>12</w:t>
            </w:r>
          </w:p>
        </w:tc>
      </w:tr>
      <w:tr w:rsidR="00D40797" w:rsidRPr="00D40797" w14:paraId="679CE635" w14:textId="77777777" w:rsidTr="00C25FAB">
        <w:trPr>
          <w:cantSplit/>
          <w:trHeight w:val="360"/>
        </w:trPr>
        <w:tc>
          <w:tcPr>
            <w:tcW w:w="1811" w:type="dxa"/>
            <w:tcBorders>
              <w:top w:val="single" w:sz="4" w:space="0" w:color="auto"/>
              <w:bottom w:val="single" w:sz="4" w:space="0" w:color="000000"/>
            </w:tcBorders>
          </w:tcPr>
          <w:p w14:paraId="7F7E6042" w14:textId="77777777" w:rsidR="00D40797" w:rsidRPr="00D40797" w:rsidRDefault="00D40797" w:rsidP="00C25FAB">
            <w:pPr>
              <w:pStyle w:val="UtilComTabletext"/>
              <w:rPr>
                <w:b/>
              </w:rPr>
            </w:pPr>
            <w:r w:rsidRPr="00D40797">
              <w:rPr>
                <w:b/>
              </w:rPr>
              <w:t>Total proposed opex</w:t>
            </w:r>
          </w:p>
        </w:tc>
        <w:tc>
          <w:tcPr>
            <w:tcW w:w="1221" w:type="dxa"/>
            <w:tcBorders>
              <w:top w:val="single" w:sz="4" w:space="0" w:color="auto"/>
              <w:bottom w:val="single" w:sz="4" w:space="0" w:color="000000"/>
            </w:tcBorders>
            <w:shd w:val="clear" w:color="auto" w:fill="auto"/>
          </w:tcPr>
          <w:p w14:paraId="2E3FCE98" w14:textId="77777777" w:rsidR="00D40797" w:rsidRPr="00D40797" w:rsidRDefault="00D40797" w:rsidP="0021320D">
            <w:pPr>
              <w:pStyle w:val="UtilComTabletext"/>
              <w:jc w:val="right"/>
              <w:rPr>
                <w:b/>
              </w:rPr>
            </w:pPr>
            <w:r w:rsidRPr="00D40797">
              <w:rPr>
                <w:b/>
              </w:rPr>
              <w:t>106</w:t>
            </w:r>
            <w:r w:rsidR="0021320D">
              <w:rPr>
                <w:b/>
              </w:rPr>
              <w:t>.</w:t>
            </w:r>
            <w:r w:rsidRPr="00D40797">
              <w:rPr>
                <w:b/>
              </w:rPr>
              <w:t>4</w:t>
            </w:r>
            <w:r w:rsidR="0021320D">
              <w:rPr>
                <w:b/>
              </w:rPr>
              <w:t>3</w:t>
            </w:r>
          </w:p>
        </w:tc>
        <w:tc>
          <w:tcPr>
            <w:tcW w:w="1221" w:type="dxa"/>
            <w:tcBorders>
              <w:top w:val="single" w:sz="4" w:space="0" w:color="auto"/>
              <w:bottom w:val="single" w:sz="4" w:space="0" w:color="000000"/>
            </w:tcBorders>
            <w:shd w:val="clear" w:color="auto" w:fill="auto"/>
          </w:tcPr>
          <w:p w14:paraId="60E57868" w14:textId="77777777" w:rsidR="00D40797" w:rsidRPr="00D40797" w:rsidRDefault="00D40797" w:rsidP="0021320D">
            <w:pPr>
              <w:pStyle w:val="UtilComTabletext"/>
              <w:jc w:val="right"/>
              <w:rPr>
                <w:b/>
              </w:rPr>
            </w:pPr>
            <w:r w:rsidRPr="00D40797">
              <w:rPr>
                <w:b/>
              </w:rPr>
              <w:t>105</w:t>
            </w:r>
            <w:r w:rsidR="0021320D">
              <w:rPr>
                <w:b/>
              </w:rPr>
              <w:t>.</w:t>
            </w:r>
            <w:r w:rsidRPr="00D40797">
              <w:rPr>
                <w:b/>
              </w:rPr>
              <w:t>2</w:t>
            </w:r>
            <w:r w:rsidR="0021320D">
              <w:rPr>
                <w:b/>
              </w:rPr>
              <w:t>9</w:t>
            </w:r>
          </w:p>
        </w:tc>
        <w:tc>
          <w:tcPr>
            <w:tcW w:w="1221" w:type="dxa"/>
            <w:tcBorders>
              <w:top w:val="single" w:sz="4" w:space="0" w:color="auto"/>
              <w:bottom w:val="single" w:sz="4" w:space="0" w:color="000000"/>
            </w:tcBorders>
          </w:tcPr>
          <w:p w14:paraId="5E4909CB" w14:textId="77777777" w:rsidR="00D40797" w:rsidRPr="00D40797" w:rsidRDefault="00D40797" w:rsidP="0021320D">
            <w:pPr>
              <w:pStyle w:val="UtilComTabletext"/>
              <w:jc w:val="right"/>
              <w:rPr>
                <w:b/>
              </w:rPr>
            </w:pPr>
            <w:r w:rsidRPr="00D40797">
              <w:rPr>
                <w:b/>
              </w:rPr>
              <w:t>107</w:t>
            </w:r>
            <w:r w:rsidR="0021320D">
              <w:rPr>
                <w:b/>
              </w:rPr>
              <w:t>.</w:t>
            </w:r>
            <w:r w:rsidRPr="00D40797">
              <w:rPr>
                <w:b/>
              </w:rPr>
              <w:t>11</w:t>
            </w:r>
          </w:p>
        </w:tc>
        <w:tc>
          <w:tcPr>
            <w:tcW w:w="1221" w:type="dxa"/>
            <w:tcBorders>
              <w:top w:val="single" w:sz="4" w:space="0" w:color="auto"/>
              <w:bottom w:val="single" w:sz="4" w:space="0" w:color="000000"/>
            </w:tcBorders>
          </w:tcPr>
          <w:p w14:paraId="33098CAF" w14:textId="77777777" w:rsidR="00D40797" w:rsidRPr="00D40797" w:rsidRDefault="00D40797" w:rsidP="0021320D">
            <w:pPr>
              <w:pStyle w:val="UtilComTabletext"/>
              <w:jc w:val="right"/>
              <w:rPr>
                <w:b/>
              </w:rPr>
            </w:pPr>
            <w:r w:rsidRPr="00D40797">
              <w:rPr>
                <w:b/>
              </w:rPr>
              <w:t>104</w:t>
            </w:r>
            <w:r w:rsidR="0021320D">
              <w:rPr>
                <w:b/>
              </w:rPr>
              <w:t>.</w:t>
            </w:r>
            <w:r w:rsidRPr="00D40797">
              <w:rPr>
                <w:b/>
              </w:rPr>
              <w:t>72</w:t>
            </w:r>
          </w:p>
        </w:tc>
        <w:tc>
          <w:tcPr>
            <w:tcW w:w="1221" w:type="dxa"/>
            <w:tcBorders>
              <w:top w:val="single" w:sz="4" w:space="0" w:color="auto"/>
              <w:bottom w:val="single" w:sz="4" w:space="0" w:color="000000"/>
            </w:tcBorders>
          </w:tcPr>
          <w:p w14:paraId="1066EA8C" w14:textId="77777777" w:rsidR="00D40797" w:rsidRPr="00D40797" w:rsidRDefault="00D40797" w:rsidP="0021320D">
            <w:pPr>
              <w:pStyle w:val="UtilComTabletext"/>
              <w:jc w:val="right"/>
              <w:rPr>
                <w:b/>
              </w:rPr>
            </w:pPr>
            <w:r w:rsidRPr="00D40797">
              <w:rPr>
                <w:b/>
              </w:rPr>
              <w:t>104</w:t>
            </w:r>
            <w:r w:rsidR="0021320D">
              <w:rPr>
                <w:b/>
              </w:rPr>
              <w:t>.60</w:t>
            </w:r>
          </w:p>
        </w:tc>
        <w:tc>
          <w:tcPr>
            <w:tcW w:w="1221" w:type="dxa"/>
            <w:tcBorders>
              <w:top w:val="single" w:sz="4" w:space="0" w:color="auto"/>
              <w:bottom w:val="single" w:sz="4" w:space="0" w:color="000000"/>
            </w:tcBorders>
            <w:shd w:val="clear" w:color="auto" w:fill="auto"/>
          </w:tcPr>
          <w:p w14:paraId="5740AF96" w14:textId="77777777" w:rsidR="00D40797" w:rsidRPr="00D40797" w:rsidRDefault="00D40797" w:rsidP="0021320D">
            <w:pPr>
              <w:pStyle w:val="UtilComTabletext"/>
              <w:jc w:val="right"/>
              <w:rPr>
                <w:b/>
              </w:rPr>
            </w:pPr>
            <w:r w:rsidRPr="00D40797">
              <w:rPr>
                <w:b/>
              </w:rPr>
              <w:t>528</w:t>
            </w:r>
            <w:r w:rsidR="0021320D">
              <w:rPr>
                <w:b/>
              </w:rPr>
              <w:t>.</w:t>
            </w:r>
            <w:r w:rsidRPr="00D40797">
              <w:rPr>
                <w:b/>
              </w:rPr>
              <w:t>1</w:t>
            </w:r>
            <w:r w:rsidR="0021320D">
              <w:rPr>
                <w:b/>
              </w:rPr>
              <w:t>4</w:t>
            </w:r>
          </w:p>
        </w:tc>
      </w:tr>
    </w:tbl>
    <w:p w14:paraId="09385B7F" w14:textId="28FB14D9" w:rsidR="00D40797" w:rsidRPr="00E529C5" w:rsidRDefault="00D40797" w:rsidP="00D40797">
      <w:pPr>
        <w:pStyle w:val="UtilComReferenceSource"/>
        <w:rPr>
          <w:lang w:val="en-AU"/>
        </w:rPr>
      </w:pPr>
      <w:r>
        <w:rPr>
          <w:lang w:val="en-AU"/>
        </w:rPr>
        <w:t xml:space="preserve">Source: </w:t>
      </w:r>
      <w:r w:rsidRPr="00D250C2">
        <w:rPr>
          <w:lang w:val="en-AU"/>
        </w:rPr>
        <w:t xml:space="preserve">PWC Networks, </w:t>
      </w:r>
      <w:r w:rsidR="00111134">
        <w:rPr>
          <w:lang w:val="en-AU"/>
        </w:rPr>
        <w:t>r</w:t>
      </w:r>
      <w:r>
        <w:rPr>
          <w:lang w:val="en-AU"/>
        </w:rPr>
        <w:t>evised r</w:t>
      </w:r>
      <w:r w:rsidRPr="00D250C2">
        <w:rPr>
          <w:lang w:val="en-AU"/>
        </w:rPr>
        <w:t xml:space="preserve">egulatory proposal, </w:t>
      </w:r>
      <w:r>
        <w:rPr>
          <w:lang w:val="en-AU"/>
        </w:rPr>
        <w:t>January 2014</w:t>
      </w:r>
      <w:r w:rsidRPr="00D250C2">
        <w:rPr>
          <w:lang w:val="en-AU"/>
        </w:rPr>
        <w:t xml:space="preserve">, </w:t>
      </w:r>
      <w:r>
        <w:rPr>
          <w:lang w:val="en-AU"/>
        </w:rPr>
        <w:t xml:space="preserve">RRP </w:t>
      </w:r>
      <w:r w:rsidRPr="00D250C2">
        <w:rPr>
          <w:lang w:val="en-AU"/>
        </w:rPr>
        <w:t xml:space="preserve">RIN templates 2.1 </w:t>
      </w:r>
      <w:r>
        <w:rPr>
          <w:lang w:val="en-AU"/>
        </w:rPr>
        <w:t>and</w:t>
      </w:r>
      <w:r w:rsidRPr="00D250C2">
        <w:rPr>
          <w:lang w:val="en-AU"/>
        </w:rPr>
        <w:t xml:space="preserve"> 2.2 (confidential)</w:t>
      </w:r>
    </w:p>
    <w:p w14:paraId="521ABB40" w14:textId="77777777" w:rsidR="00980011" w:rsidRDefault="00980011" w:rsidP="00980011">
      <w:pPr>
        <w:rPr>
          <w:lang w:val="en-AU"/>
        </w:rPr>
      </w:pPr>
    </w:p>
    <w:p w14:paraId="668E7537" w14:textId="1848F07B" w:rsidR="005813C9" w:rsidRDefault="005813C9" w:rsidP="00106C83">
      <w:pPr>
        <w:pStyle w:val="ListParagraph"/>
        <w:numPr>
          <w:ilvl w:val="1"/>
          <w:numId w:val="5"/>
        </w:numPr>
        <w:tabs>
          <w:tab w:val="num" w:pos="709"/>
        </w:tabs>
        <w:ind w:left="709" w:hanging="709"/>
        <w:rPr>
          <w:lang w:val="en-AU"/>
        </w:rPr>
      </w:pPr>
      <w:r>
        <w:rPr>
          <w:lang w:val="en-AU"/>
        </w:rPr>
        <w:t xml:space="preserve">PWC Networks rejected the Commission’s unallocated efficiency adjustment </w:t>
      </w:r>
      <w:r w:rsidR="003B3EC9">
        <w:rPr>
          <w:lang w:val="en-AU"/>
        </w:rPr>
        <w:t>as</w:t>
      </w:r>
      <w:r>
        <w:rPr>
          <w:lang w:val="en-AU"/>
        </w:rPr>
        <w:t xml:space="preserve"> arbitrary </w:t>
      </w:r>
      <w:r w:rsidR="003B3EC9">
        <w:rPr>
          <w:lang w:val="en-AU"/>
        </w:rPr>
        <w:t xml:space="preserve">and maintained </w:t>
      </w:r>
      <w:r>
        <w:rPr>
          <w:lang w:val="en-AU"/>
        </w:rPr>
        <w:t xml:space="preserve">that </w:t>
      </w:r>
      <w:r w:rsidR="00562B13">
        <w:rPr>
          <w:lang w:val="en-AU"/>
        </w:rPr>
        <w:t>its</w:t>
      </w:r>
      <w:r>
        <w:rPr>
          <w:lang w:val="en-AU"/>
        </w:rPr>
        <w:t xml:space="preserve"> proposed </w:t>
      </w:r>
      <w:r w:rsidR="00562B13">
        <w:rPr>
          <w:lang w:val="en-AU"/>
        </w:rPr>
        <w:t xml:space="preserve">opex forecast </w:t>
      </w:r>
      <w:r>
        <w:rPr>
          <w:lang w:val="en-AU"/>
        </w:rPr>
        <w:t xml:space="preserve">was prudent and efficient. PWC Networks engaged </w:t>
      </w:r>
      <w:r w:rsidR="004C78BD">
        <w:rPr>
          <w:lang w:val="en-AU"/>
        </w:rPr>
        <w:t xml:space="preserve">Huegin Consulting </w:t>
      </w:r>
      <w:r>
        <w:rPr>
          <w:lang w:val="en-AU"/>
        </w:rPr>
        <w:t xml:space="preserve">to provide a critique of the benchmarking analysis </w:t>
      </w:r>
      <w:r w:rsidR="004C78BD">
        <w:rPr>
          <w:lang w:val="en-AU"/>
        </w:rPr>
        <w:t xml:space="preserve">used </w:t>
      </w:r>
      <w:r>
        <w:rPr>
          <w:lang w:val="en-AU"/>
        </w:rPr>
        <w:t>by the Commission.</w:t>
      </w:r>
    </w:p>
    <w:p w14:paraId="0233BF90" w14:textId="39FDD59C" w:rsidR="005813C9" w:rsidRDefault="005813C9" w:rsidP="00106C83">
      <w:pPr>
        <w:pStyle w:val="ListParagraph"/>
        <w:numPr>
          <w:ilvl w:val="1"/>
          <w:numId w:val="5"/>
        </w:numPr>
        <w:tabs>
          <w:tab w:val="num" w:pos="709"/>
        </w:tabs>
        <w:ind w:left="709" w:hanging="709"/>
        <w:rPr>
          <w:lang w:val="en-AU"/>
        </w:rPr>
      </w:pPr>
      <w:r>
        <w:rPr>
          <w:lang w:val="en-AU"/>
        </w:rPr>
        <w:t xml:space="preserve">PWC Networks resubmitted all operating expenditure </w:t>
      </w:r>
      <w:r w:rsidR="00562B13">
        <w:rPr>
          <w:lang w:val="en-AU"/>
        </w:rPr>
        <w:t xml:space="preserve">accounted for in its proposed opex forecast </w:t>
      </w:r>
      <w:r>
        <w:rPr>
          <w:lang w:val="en-AU"/>
        </w:rPr>
        <w:t xml:space="preserve">except for expenditure associated with metering and GSL costs. PWC Networks </w:t>
      </w:r>
      <w:r w:rsidR="00562B13">
        <w:rPr>
          <w:lang w:val="en-AU"/>
        </w:rPr>
        <w:t xml:space="preserve">maintained </w:t>
      </w:r>
      <w:r>
        <w:rPr>
          <w:lang w:val="en-AU"/>
        </w:rPr>
        <w:t xml:space="preserve">that </w:t>
      </w:r>
      <w:r w:rsidR="002225E5">
        <w:rPr>
          <w:lang w:val="en-AU"/>
        </w:rPr>
        <w:t xml:space="preserve">the expenditure </w:t>
      </w:r>
      <w:r w:rsidR="00562B13">
        <w:rPr>
          <w:lang w:val="en-AU"/>
        </w:rPr>
        <w:t xml:space="preserve">would be </w:t>
      </w:r>
      <w:r w:rsidR="002225E5">
        <w:rPr>
          <w:lang w:val="en-AU"/>
        </w:rPr>
        <w:t xml:space="preserve">necessary over the </w:t>
      </w:r>
      <w:r w:rsidR="00114B1D">
        <w:rPr>
          <w:lang w:val="en-AU"/>
        </w:rPr>
        <w:br/>
      </w:r>
      <w:r w:rsidR="002225E5">
        <w:rPr>
          <w:lang w:val="en-AU"/>
        </w:rPr>
        <w:t>2014-19 regulatory control period, but provided no further justification.</w:t>
      </w:r>
    </w:p>
    <w:p w14:paraId="16489F1A" w14:textId="02949752" w:rsidR="002225E5" w:rsidRDefault="002225E5" w:rsidP="00106C83">
      <w:pPr>
        <w:pStyle w:val="ListParagraph"/>
        <w:numPr>
          <w:ilvl w:val="1"/>
          <w:numId w:val="5"/>
        </w:numPr>
        <w:tabs>
          <w:tab w:val="num" w:pos="709"/>
        </w:tabs>
        <w:ind w:left="709" w:hanging="709"/>
        <w:rPr>
          <w:lang w:val="en-AU"/>
        </w:rPr>
      </w:pPr>
      <w:r>
        <w:rPr>
          <w:lang w:val="en-AU"/>
        </w:rPr>
        <w:t xml:space="preserve">PWC Networks reduced </w:t>
      </w:r>
      <w:r w:rsidR="00562B13">
        <w:rPr>
          <w:lang w:val="en-AU"/>
        </w:rPr>
        <w:t xml:space="preserve">the </w:t>
      </w:r>
      <w:r>
        <w:rPr>
          <w:lang w:val="en-AU"/>
        </w:rPr>
        <w:t>forecast opex for GSL costs proposed in its initial regulatory proposal</w:t>
      </w:r>
      <w:r w:rsidR="00106C83">
        <w:rPr>
          <w:lang w:val="en-AU"/>
        </w:rPr>
        <w:t>, but</w:t>
      </w:r>
      <w:r w:rsidRPr="00106C83">
        <w:rPr>
          <w:lang w:val="en-AU"/>
        </w:rPr>
        <w:t xml:space="preserve"> forecast higher GSL costs </w:t>
      </w:r>
      <w:r w:rsidR="003B3EC9">
        <w:rPr>
          <w:lang w:val="en-AU"/>
        </w:rPr>
        <w:t>than</w:t>
      </w:r>
      <w:r w:rsidR="00562B13">
        <w:rPr>
          <w:lang w:val="en-AU"/>
        </w:rPr>
        <w:t xml:space="preserve"> that allowed for</w:t>
      </w:r>
      <w:r w:rsidR="003B3EC9" w:rsidRPr="00106C83">
        <w:rPr>
          <w:lang w:val="en-AU"/>
        </w:rPr>
        <w:t xml:space="preserve"> </w:t>
      </w:r>
      <w:r w:rsidRPr="00106C83">
        <w:rPr>
          <w:lang w:val="en-AU"/>
        </w:rPr>
        <w:t>in the Draft Determination</w:t>
      </w:r>
      <w:r w:rsidR="00562B13">
        <w:rPr>
          <w:lang w:val="en-AU"/>
        </w:rPr>
        <w:t xml:space="preserve"> where the</w:t>
      </w:r>
      <w:r w:rsidR="00106C83" w:rsidRPr="00106C83">
        <w:rPr>
          <w:lang w:val="en-AU"/>
        </w:rPr>
        <w:t xml:space="preserve"> Commission </w:t>
      </w:r>
      <w:r w:rsidR="00562B13">
        <w:rPr>
          <w:lang w:val="en-AU"/>
        </w:rPr>
        <w:t xml:space="preserve">had </w:t>
      </w:r>
      <w:r w:rsidR="00106C83" w:rsidRPr="00106C83">
        <w:rPr>
          <w:lang w:val="en-AU"/>
        </w:rPr>
        <w:t xml:space="preserve">applied a </w:t>
      </w:r>
      <w:r w:rsidR="00562B13" w:rsidRPr="00106C83">
        <w:rPr>
          <w:lang w:val="en-AU"/>
        </w:rPr>
        <w:t>30</w:t>
      </w:r>
      <w:r w:rsidR="00562B13">
        <w:rPr>
          <w:lang w:val="en-AU"/>
        </w:rPr>
        <w:t> per </w:t>
      </w:r>
      <w:r w:rsidR="004C78BD">
        <w:rPr>
          <w:lang w:val="en-AU"/>
        </w:rPr>
        <w:t>cent</w:t>
      </w:r>
      <w:r w:rsidR="00106C83" w:rsidRPr="00106C83">
        <w:rPr>
          <w:lang w:val="en-AU"/>
        </w:rPr>
        <w:t xml:space="preserve"> reduction on the basis that not all </w:t>
      </w:r>
      <w:r w:rsidR="00106580">
        <w:rPr>
          <w:lang w:val="en-AU"/>
        </w:rPr>
        <w:t xml:space="preserve">retail </w:t>
      </w:r>
      <w:r w:rsidR="00106C83" w:rsidRPr="00106C83">
        <w:rPr>
          <w:lang w:val="en-AU"/>
        </w:rPr>
        <w:t xml:space="preserve">customers on a feeder experience an interruption for every network outage event. PWC Networks submitted that this over-compensated as there were a negligible number of fused spur lines in </w:t>
      </w:r>
      <w:r w:rsidR="00106580">
        <w:rPr>
          <w:lang w:val="en-AU"/>
        </w:rPr>
        <w:t>its electricity</w:t>
      </w:r>
      <w:r w:rsidR="00106580" w:rsidRPr="00106C83">
        <w:rPr>
          <w:lang w:val="en-AU"/>
        </w:rPr>
        <w:t xml:space="preserve"> </w:t>
      </w:r>
      <w:r w:rsidR="00106C83" w:rsidRPr="00106C83">
        <w:rPr>
          <w:lang w:val="en-AU"/>
        </w:rPr>
        <w:t xml:space="preserve">network. </w:t>
      </w:r>
    </w:p>
    <w:p w14:paraId="7B0C6D3B" w14:textId="1089C34F" w:rsidR="002225E5" w:rsidRDefault="002225E5" w:rsidP="00106C83">
      <w:pPr>
        <w:pStyle w:val="ListParagraph"/>
        <w:numPr>
          <w:ilvl w:val="1"/>
          <w:numId w:val="5"/>
        </w:numPr>
        <w:tabs>
          <w:tab w:val="num" w:pos="709"/>
        </w:tabs>
        <w:ind w:left="709" w:hanging="709"/>
        <w:rPr>
          <w:lang w:val="en-AU"/>
        </w:rPr>
      </w:pPr>
      <w:r>
        <w:rPr>
          <w:lang w:val="en-AU"/>
        </w:rPr>
        <w:t>With respect to maintenance expenditure</w:t>
      </w:r>
      <w:r w:rsidR="00106C83">
        <w:rPr>
          <w:lang w:val="en-AU"/>
        </w:rPr>
        <w:t>, PWC Networks accepted the adjustments applied by the Commission</w:t>
      </w:r>
      <w:r>
        <w:rPr>
          <w:lang w:val="en-AU"/>
        </w:rPr>
        <w:t xml:space="preserve"> </w:t>
      </w:r>
      <w:r w:rsidR="00106C83">
        <w:rPr>
          <w:lang w:val="en-AU"/>
        </w:rPr>
        <w:t xml:space="preserve">with the exception of </w:t>
      </w:r>
      <w:r w:rsidR="00111134">
        <w:rPr>
          <w:lang w:val="en-AU"/>
        </w:rPr>
        <w:t xml:space="preserve">those related to </w:t>
      </w:r>
      <w:r w:rsidR="00106C83">
        <w:rPr>
          <w:lang w:val="en-AU"/>
        </w:rPr>
        <w:t xml:space="preserve">vegetation management. PWC Networks reduced its forecast vegetation management costs </w:t>
      </w:r>
      <w:r w:rsidR="004E09D0">
        <w:rPr>
          <w:lang w:val="en-AU"/>
        </w:rPr>
        <w:t xml:space="preserve">compared to that </w:t>
      </w:r>
      <w:r w:rsidR="00106C83">
        <w:rPr>
          <w:lang w:val="en-AU"/>
        </w:rPr>
        <w:t>proposed in its initial regulatory proposal, but</w:t>
      </w:r>
      <w:r w:rsidR="00106C83" w:rsidRPr="00106C83">
        <w:rPr>
          <w:lang w:val="en-AU"/>
        </w:rPr>
        <w:t xml:space="preserve"> forecast higher vegetation management costs </w:t>
      </w:r>
      <w:r w:rsidR="003B3EC9">
        <w:rPr>
          <w:lang w:val="en-AU"/>
        </w:rPr>
        <w:t>than</w:t>
      </w:r>
      <w:r w:rsidR="003B3EC9" w:rsidRPr="00106C83">
        <w:rPr>
          <w:lang w:val="en-AU"/>
        </w:rPr>
        <w:t xml:space="preserve"> </w:t>
      </w:r>
      <w:r w:rsidR="00106C83" w:rsidRPr="00106C83">
        <w:rPr>
          <w:lang w:val="en-AU"/>
        </w:rPr>
        <w:t xml:space="preserve">in the Draft Determination, on the basis that additional expenditure </w:t>
      </w:r>
      <w:r w:rsidR="00106580">
        <w:rPr>
          <w:lang w:val="en-AU"/>
        </w:rPr>
        <w:t>was</w:t>
      </w:r>
      <w:r w:rsidR="00106580" w:rsidRPr="00106C83">
        <w:rPr>
          <w:lang w:val="en-AU"/>
        </w:rPr>
        <w:t xml:space="preserve"> </w:t>
      </w:r>
      <w:r w:rsidR="00106C83" w:rsidRPr="00106C83">
        <w:rPr>
          <w:lang w:val="en-AU"/>
        </w:rPr>
        <w:t xml:space="preserve">required to meet the new </w:t>
      </w:r>
      <w:r w:rsidR="00111134">
        <w:rPr>
          <w:lang w:val="en-AU"/>
        </w:rPr>
        <w:t>ESS</w:t>
      </w:r>
      <w:r w:rsidR="00106C83" w:rsidRPr="00106C83">
        <w:rPr>
          <w:lang w:val="en-AU"/>
        </w:rPr>
        <w:t xml:space="preserve"> targets.</w:t>
      </w:r>
    </w:p>
    <w:p w14:paraId="26C75789" w14:textId="0DC98BF8" w:rsidR="00980011" w:rsidRPr="007B064D" w:rsidRDefault="00980011" w:rsidP="00980011">
      <w:pPr>
        <w:pStyle w:val="UtilComHeading2"/>
      </w:pPr>
      <w:bookmarkStart w:id="218" w:name="_Toc385241531"/>
      <w:bookmarkStart w:id="219" w:name="_Toc386013084"/>
      <w:r w:rsidRPr="007B064D">
        <w:t xml:space="preserve">Submissions on </w:t>
      </w:r>
      <w:r w:rsidR="00106580">
        <w:t>D</w:t>
      </w:r>
      <w:r w:rsidR="00106580" w:rsidRPr="007B064D">
        <w:t xml:space="preserve">raft </w:t>
      </w:r>
      <w:r w:rsidR="00106580">
        <w:t>D</w:t>
      </w:r>
      <w:r w:rsidR="00106580" w:rsidRPr="007B064D">
        <w:t xml:space="preserve">etermination </w:t>
      </w:r>
      <w:r w:rsidRPr="007B064D">
        <w:t xml:space="preserve">and </w:t>
      </w:r>
      <w:r w:rsidR="008B1697">
        <w:t>R</w:t>
      </w:r>
      <w:r w:rsidRPr="007B064D">
        <w:t xml:space="preserve">evised </w:t>
      </w:r>
      <w:r w:rsidR="008B1697">
        <w:t>R</w:t>
      </w:r>
      <w:r w:rsidRPr="007B064D">
        <w:t xml:space="preserve">egulatory </w:t>
      </w:r>
      <w:r w:rsidR="008B1697">
        <w:t>P</w:t>
      </w:r>
      <w:r w:rsidRPr="007B064D">
        <w:t>roposal</w:t>
      </w:r>
      <w:bookmarkEnd w:id="218"/>
      <w:bookmarkEnd w:id="219"/>
    </w:p>
    <w:p w14:paraId="4875FA36" w14:textId="77465ED7" w:rsidR="00980011" w:rsidRDefault="004E19E2" w:rsidP="00980011">
      <w:pPr>
        <w:pStyle w:val="ListParagraph"/>
        <w:numPr>
          <w:ilvl w:val="1"/>
          <w:numId w:val="5"/>
        </w:numPr>
        <w:tabs>
          <w:tab w:val="num" w:pos="709"/>
        </w:tabs>
        <w:ind w:left="709" w:hanging="709"/>
        <w:rPr>
          <w:lang w:val="en-AU"/>
        </w:rPr>
      </w:pPr>
      <w:r>
        <w:rPr>
          <w:lang w:val="en-AU"/>
        </w:rPr>
        <w:t xml:space="preserve">The NTMEU considered that </w:t>
      </w:r>
      <w:r w:rsidR="00106580">
        <w:rPr>
          <w:lang w:val="en-AU"/>
        </w:rPr>
        <w:t xml:space="preserve">PWC Networks’ proposed </w:t>
      </w:r>
      <w:r>
        <w:rPr>
          <w:lang w:val="en-AU"/>
        </w:rPr>
        <w:t xml:space="preserve">opex </w:t>
      </w:r>
      <w:r w:rsidR="00106580">
        <w:rPr>
          <w:lang w:val="en-AU"/>
        </w:rPr>
        <w:t>forecast was</w:t>
      </w:r>
      <w:r>
        <w:rPr>
          <w:lang w:val="en-AU"/>
        </w:rPr>
        <w:t xml:space="preserve"> too high.</w:t>
      </w:r>
    </w:p>
    <w:p w14:paraId="710CC27B" w14:textId="6C539041" w:rsidR="004E19E2" w:rsidRDefault="004E19E2" w:rsidP="00980011">
      <w:pPr>
        <w:pStyle w:val="ListParagraph"/>
        <w:numPr>
          <w:ilvl w:val="1"/>
          <w:numId w:val="5"/>
        </w:numPr>
        <w:tabs>
          <w:tab w:val="num" w:pos="709"/>
        </w:tabs>
        <w:ind w:left="709" w:hanging="709"/>
        <w:rPr>
          <w:lang w:val="en-AU"/>
        </w:rPr>
      </w:pPr>
      <w:r>
        <w:rPr>
          <w:lang w:val="en-AU"/>
        </w:rPr>
        <w:t xml:space="preserve">The NTMEU did not make any specific criticisms, but expressed concern that insufficient data collection had allowed PWC Networks to seek and effectively obtain allowances </w:t>
      </w:r>
      <w:r w:rsidR="00106580">
        <w:rPr>
          <w:lang w:val="en-AU"/>
        </w:rPr>
        <w:t>reflecting</w:t>
      </w:r>
      <w:r>
        <w:rPr>
          <w:lang w:val="en-AU"/>
        </w:rPr>
        <w:t xml:space="preserve"> a cost plus approach, rather than </w:t>
      </w:r>
      <w:r w:rsidR="00106580">
        <w:rPr>
          <w:lang w:val="en-AU"/>
        </w:rPr>
        <w:t xml:space="preserve">efficient </w:t>
      </w:r>
      <w:r>
        <w:rPr>
          <w:lang w:val="en-AU"/>
        </w:rPr>
        <w:t>allowances.</w:t>
      </w:r>
    </w:p>
    <w:p w14:paraId="118DD2DC" w14:textId="5CD2014D" w:rsidR="004E19E2" w:rsidRDefault="004E19E2" w:rsidP="004E19E2">
      <w:pPr>
        <w:pStyle w:val="ListParagraph"/>
        <w:numPr>
          <w:ilvl w:val="1"/>
          <w:numId w:val="5"/>
        </w:numPr>
        <w:tabs>
          <w:tab w:val="num" w:pos="709"/>
        </w:tabs>
        <w:ind w:left="709" w:hanging="709"/>
        <w:rPr>
          <w:lang w:val="en-AU"/>
        </w:rPr>
      </w:pPr>
      <w:r w:rsidRPr="004E19E2">
        <w:rPr>
          <w:lang w:val="en-AU"/>
        </w:rPr>
        <w:t xml:space="preserve">Both the Treasurer and the NTMEU noted the benchmarking analysis obtained by the Commission and its identification that PWC Networks operating costs, after adjusting for Territory conditions, </w:t>
      </w:r>
      <w:r w:rsidR="00106580">
        <w:rPr>
          <w:lang w:val="en-AU"/>
        </w:rPr>
        <w:t>were</w:t>
      </w:r>
      <w:r w:rsidR="00106580" w:rsidRPr="004E19E2">
        <w:rPr>
          <w:lang w:val="en-AU"/>
        </w:rPr>
        <w:t xml:space="preserve"> </w:t>
      </w:r>
      <w:r w:rsidRPr="004E19E2">
        <w:rPr>
          <w:lang w:val="en-AU"/>
        </w:rPr>
        <w:t xml:space="preserve">approximately </w:t>
      </w:r>
      <w:r w:rsidR="00106580" w:rsidRPr="004E19E2">
        <w:rPr>
          <w:lang w:val="en-AU"/>
        </w:rPr>
        <w:t>27</w:t>
      </w:r>
      <w:r w:rsidR="00106580">
        <w:rPr>
          <w:lang w:val="en-AU"/>
        </w:rPr>
        <w:t> per </w:t>
      </w:r>
      <w:r w:rsidR="00910053">
        <w:rPr>
          <w:lang w:val="en-AU"/>
        </w:rPr>
        <w:t>cent</w:t>
      </w:r>
      <w:r w:rsidRPr="004E19E2">
        <w:rPr>
          <w:lang w:val="en-AU"/>
        </w:rPr>
        <w:t xml:space="preserve"> above those of its peers. Both </w:t>
      </w:r>
      <w:r w:rsidRPr="008D3158">
        <w:rPr>
          <w:lang w:val="en-AU"/>
        </w:rPr>
        <w:t xml:space="preserve">expressed strong support for a more aggressive reduction of </w:t>
      </w:r>
      <w:r>
        <w:rPr>
          <w:lang w:val="en-AU"/>
        </w:rPr>
        <w:t xml:space="preserve">costs over the 2014-19 regulatory control period. </w:t>
      </w:r>
    </w:p>
    <w:p w14:paraId="08DF043D" w14:textId="3EF49F3B" w:rsidR="004E19E2" w:rsidRPr="004E19E2" w:rsidRDefault="004E19E2" w:rsidP="004E19E2">
      <w:pPr>
        <w:pStyle w:val="ListParagraph"/>
        <w:numPr>
          <w:ilvl w:val="1"/>
          <w:numId w:val="5"/>
        </w:numPr>
        <w:tabs>
          <w:tab w:val="num" w:pos="709"/>
        </w:tabs>
        <w:ind w:left="709" w:hanging="709"/>
        <w:rPr>
          <w:lang w:val="en-AU"/>
        </w:rPr>
      </w:pPr>
      <w:r>
        <w:rPr>
          <w:lang w:val="en-AU"/>
        </w:rPr>
        <w:t xml:space="preserve">The NTMEU also noted that the average costs of PWC Networks </w:t>
      </w:r>
      <w:r w:rsidR="00106580">
        <w:rPr>
          <w:lang w:val="en-AU"/>
        </w:rPr>
        <w:t xml:space="preserve">compared to its </w:t>
      </w:r>
      <w:r>
        <w:rPr>
          <w:lang w:val="en-AU"/>
        </w:rPr>
        <w:t xml:space="preserve">peers </w:t>
      </w:r>
      <w:r w:rsidR="00106580">
        <w:rPr>
          <w:lang w:val="en-AU"/>
        </w:rPr>
        <w:t xml:space="preserve">was </w:t>
      </w:r>
      <w:r w:rsidR="0032796F">
        <w:rPr>
          <w:lang w:val="en-AU"/>
        </w:rPr>
        <w:t>not the benchmark for efficient costs.</w:t>
      </w:r>
      <w:r>
        <w:rPr>
          <w:lang w:val="en-AU"/>
        </w:rPr>
        <w:t xml:space="preserve"> </w:t>
      </w:r>
    </w:p>
    <w:p w14:paraId="6EB2421E" w14:textId="53142EB4" w:rsidR="00980011" w:rsidRDefault="00980011" w:rsidP="00980011">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w:t>
      </w:r>
      <w:r>
        <w:rPr>
          <w:lang w:val="en-AU"/>
        </w:rPr>
        <w:t xml:space="preserve"> forecast </w:t>
      </w:r>
      <w:r w:rsidR="00106580">
        <w:rPr>
          <w:lang w:val="en-AU"/>
        </w:rPr>
        <w:t>opex</w:t>
      </w:r>
      <w:r>
        <w:rPr>
          <w:lang w:val="en-AU"/>
        </w:rPr>
        <w:t>.</w:t>
      </w:r>
    </w:p>
    <w:p w14:paraId="479F6E50" w14:textId="2FFA0D7A" w:rsidR="00980011" w:rsidRPr="00BB4EB2" w:rsidRDefault="00980011" w:rsidP="00980011">
      <w:pPr>
        <w:pStyle w:val="UtilComHeading2"/>
      </w:pPr>
      <w:bookmarkStart w:id="220" w:name="_Toc385241532"/>
      <w:bookmarkStart w:id="221" w:name="_Toc386013085"/>
      <w:r w:rsidRPr="00BB4EB2">
        <w:t xml:space="preserve">Issues and Commission’s </w:t>
      </w:r>
      <w:r w:rsidR="008B1697">
        <w:t>F</w:t>
      </w:r>
      <w:r>
        <w:t>urther</w:t>
      </w:r>
      <w:r w:rsidRPr="00BB4EB2">
        <w:t xml:space="preserve"> </w:t>
      </w:r>
      <w:r w:rsidR="008B1697">
        <w:t>C</w:t>
      </w:r>
      <w:r w:rsidRPr="00BB4EB2">
        <w:t>onsiderations</w:t>
      </w:r>
      <w:bookmarkEnd w:id="220"/>
      <w:bookmarkEnd w:id="221"/>
    </w:p>
    <w:p w14:paraId="04014115" w14:textId="4850961E" w:rsidR="0032079B" w:rsidRPr="00A82486" w:rsidRDefault="0032079B" w:rsidP="0032079B">
      <w:pPr>
        <w:pStyle w:val="UtilComHeading3"/>
        <w:rPr>
          <w:lang w:val="en-AU"/>
        </w:rPr>
      </w:pPr>
      <w:r w:rsidRPr="00A82486">
        <w:rPr>
          <w:lang w:val="en-AU"/>
        </w:rPr>
        <w:t>Service delivery</w:t>
      </w:r>
      <w:r w:rsidR="00A67C5C" w:rsidRPr="00A82486">
        <w:rPr>
          <w:lang w:val="en-AU"/>
        </w:rPr>
        <w:t>,</w:t>
      </w:r>
      <w:r w:rsidRPr="00A82486">
        <w:rPr>
          <w:lang w:val="en-AU"/>
        </w:rPr>
        <w:t xml:space="preserve"> strategy and planning</w:t>
      </w:r>
      <w:r w:rsidR="00A67C5C" w:rsidRPr="00A82486">
        <w:rPr>
          <w:lang w:val="en-AU"/>
        </w:rPr>
        <w:t xml:space="preserve"> and regulatory costs</w:t>
      </w:r>
    </w:p>
    <w:p w14:paraId="21224966" w14:textId="41B21585" w:rsidR="009A495A" w:rsidRPr="00A82486" w:rsidRDefault="009A495A" w:rsidP="00980011">
      <w:pPr>
        <w:pStyle w:val="ListParagraph"/>
        <w:numPr>
          <w:ilvl w:val="1"/>
          <w:numId w:val="5"/>
        </w:numPr>
        <w:tabs>
          <w:tab w:val="num" w:pos="709"/>
        </w:tabs>
        <w:ind w:left="709" w:hanging="709"/>
        <w:rPr>
          <w:lang w:val="en-AU"/>
        </w:rPr>
      </w:pPr>
      <w:r w:rsidRPr="00A82486">
        <w:rPr>
          <w:lang w:val="en-AU"/>
        </w:rPr>
        <w:t xml:space="preserve">PWC Networks did not accept the Commission’s rejection of its forecast service delivery opex costs, noting that the Commission had taken the ‘Other-remainder’ amount for </w:t>
      </w:r>
      <w:r w:rsidR="00A82486">
        <w:rPr>
          <w:lang w:val="en-AU"/>
        </w:rPr>
        <w:t xml:space="preserve">the </w:t>
      </w:r>
      <w:r w:rsidRPr="00A82486">
        <w:rPr>
          <w:lang w:val="en-AU"/>
        </w:rPr>
        <w:t xml:space="preserve">2013-14 </w:t>
      </w:r>
      <w:r w:rsidR="00A82486">
        <w:rPr>
          <w:lang w:val="en-AU"/>
        </w:rPr>
        <w:t xml:space="preserve">regulatory year </w:t>
      </w:r>
      <w:r w:rsidRPr="00A82486">
        <w:rPr>
          <w:lang w:val="en-AU"/>
        </w:rPr>
        <w:t>and applied that as an annual reduction for the 2014-19 regulatory control period. PWC Networks also provided a dot point list of the types of expenditure included in the ‘Other-remainder’ category.</w:t>
      </w:r>
    </w:p>
    <w:p w14:paraId="5184E148" w14:textId="019D6012" w:rsidR="009A495A" w:rsidRPr="00A82486" w:rsidRDefault="009A495A" w:rsidP="00980011">
      <w:pPr>
        <w:pStyle w:val="ListParagraph"/>
        <w:numPr>
          <w:ilvl w:val="1"/>
          <w:numId w:val="5"/>
        </w:numPr>
        <w:tabs>
          <w:tab w:val="num" w:pos="709"/>
        </w:tabs>
        <w:ind w:left="709" w:hanging="709"/>
        <w:rPr>
          <w:lang w:val="en-AU"/>
        </w:rPr>
      </w:pPr>
      <w:r w:rsidRPr="00A82486">
        <w:rPr>
          <w:lang w:val="en-AU"/>
        </w:rPr>
        <w:t xml:space="preserve">The Commission notes that PWC Networks applied a base-step-trend approach in forecasting operating expenditure for the 2014-19 regulatory control period. </w:t>
      </w:r>
      <w:r w:rsidR="00FC1AF7" w:rsidRPr="00A82486">
        <w:rPr>
          <w:lang w:val="en-AU"/>
        </w:rPr>
        <w:t xml:space="preserve">Accordingly, it is not unreasonable to estimate that the ‘Other-remainder’ amount </w:t>
      </w:r>
      <w:r w:rsidR="004E09D0">
        <w:rPr>
          <w:lang w:val="en-AU"/>
        </w:rPr>
        <w:t xml:space="preserve">for </w:t>
      </w:r>
      <w:r w:rsidR="00FC1AF7" w:rsidRPr="00A82486">
        <w:rPr>
          <w:lang w:val="en-AU"/>
        </w:rPr>
        <w:t xml:space="preserve">each </w:t>
      </w:r>
      <w:r w:rsidR="004E09D0">
        <w:rPr>
          <w:lang w:val="en-AU"/>
        </w:rPr>
        <w:t xml:space="preserve">regulatory </w:t>
      </w:r>
      <w:r w:rsidR="00FC1AF7" w:rsidRPr="00A82486">
        <w:rPr>
          <w:lang w:val="en-AU"/>
        </w:rPr>
        <w:t xml:space="preserve">year is the same as that included in </w:t>
      </w:r>
      <w:r w:rsidRPr="00A82486">
        <w:rPr>
          <w:lang w:val="en-AU"/>
        </w:rPr>
        <w:t>the base year (</w:t>
      </w:r>
      <w:r w:rsidR="004E09D0">
        <w:rPr>
          <w:lang w:val="en-AU"/>
        </w:rPr>
        <w:t xml:space="preserve">the </w:t>
      </w:r>
      <w:r w:rsidRPr="00A82486">
        <w:rPr>
          <w:lang w:val="en-AU"/>
        </w:rPr>
        <w:t>2013-14</w:t>
      </w:r>
      <w:r w:rsidR="004E09D0">
        <w:rPr>
          <w:lang w:val="en-AU"/>
        </w:rPr>
        <w:t xml:space="preserve"> regulatory year</w:t>
      </w:r>
      <w:r w:rsidRPr="00A82486">
        <w:rPr>
          <w:lang w:val="en-AU"/>
        </w:rPr>
        <w:t>)</w:t>
      </w:r>
      <w:r w:rsidR="00FC1AF7" w:rsidRPr="00A82486">
        <w:rPr>
          <w:lang w:val="en-AU"/>
        </w:rPr>
        <w:t xml:space="preserve">. The Commission has reviewed the information provided by PWC Networks and remains of the view that the remainder line item in the </w:t>
      </w:r>
      <w:r w:rsidR="001C4A6B" w:rsidRPr="00A82486">
        <w:rPr>
          <w:lang w:val="en-AU"/>
        </w:rPr>
        <w:t>‘</w:t>
      </w:r>
      <w:r w:rsidR="00FC1AF7" w:rsidRPr="00A82486">
        <w:rPr>
          <w:lang w:val="en-AU"/>
        </w:rPr>
        <w:t xml:space="preserve">Other </w:t>
      </w:r>
      <w:r w:rsidR="001C4A6B" w:rsidRPr="00A82486">
        <w:rPr>
          <w:lang w:val="en-AU"/>
        </w:rPr>
        <w:t>C</w:t>
      </w:r>
      <w:r w:rsidR="00FC1AF7" w:rsidRPr="00A82486">
        <w:rPr>
          <w:lang w:val="en-AU"/>
        </w:rPr>
        <w:t>ost buildup</w:t>
      </w:r>
      <w:r w:rsidR="001C4A6B" w:rsidRPr="00A82486">
        <w:rPr>
          <w:lang w:val="en-AU"/>
        </w:rPr>
        <w:t>’</w:t>
      </w:r>
      <w:r w:rsidR="00FC1AF7" w:rsidRPr="00A82486">
        <w:rPr>
          <w:lang w:val="en-AU"/>
        </w:rPr>
        <w:t xml:space="preserve"> for service delivery opex has not been justified as prudent and efficient.</w:t>
      </w:r>
    </w:p>
    <w:p w14:paraId="3434331B" w14:textId="66959509" w:rsidR="00FC1AF7" w:rsidRPr="00A82486" w:rsidRDefault="00FC1AF7" w:rsidP="00980011">
      <w:pPr>
        <w:pStyle w:val="ListParagraph"/>
        <w:numPr>
          <w:ilvl w:val="1"/>
          <w:numId w:val="5"/>
        </w:numPr>
        <w:tabs>
          <w:tab w:val="num" w:pos="709"/>
        </w:tabs>
        <w:ind w:left="709" w:hanging="709"/>
        <w:rPr>
          <w:lang w:val="en-AU"/>
        </w:rPr>
      </w:pPr>
      <w:r w:rsidRPr="00A82486">
        <w:rPr>
          <w:lang w:val="en-AU"/>
        </w:rPr>
        <w:t xml:space="preserve">For strategy and planning opex, the Commission accepts that determining the reduction required for prudent and efficient expenditure based on average expenditure over the 2009-14 regulatory control period over-estimated the reduction required. The Commission has reviewed the </w:t>
      </w:r>
      <w:r w:rsidR="00083A7F" w:rsidRPr="00A82486">
        <w:rPr>
          <w:lang w:val="en-AU"/>
        </w:rPr>
        <w:t xml:space="preserve">information provided and has accepted PWC Networks’ revised forecast as the potential reduction amount identified is relatively small. </w:t>
      </w:r>
    </w:p>
    <w:p w14:paraId="120D2F4E" w14:textId="44EDD613" w:rsidR="001F16A6" w:rsidRPr="00A82486" w:rsidRDefault="009B06F8" w:rsidP="00980011">
      <w:pPr>
        <w:pStyle w:val="ListParagraph"/>
        <w:numPr>
          <w:ilvl w:val="1"/>
          <w:numId w:val="5"/>
        </w:numPr>
        <w:tabs>
          <w:tab w:val="num" w:pos="709"/>
        </w:tabs>
        <w:ind w:left="709" w:hanging="709"/>
        <w:rPr>
          <w:lang w:val="en-AU"/>
        </w:rPr>
      </w:pPr>
      <w:r w:rsidRPr="00A82486">
        <w:rPr>
          <w:lang w:val="en-AU"/>
        </w:rPr>
        <w:t xml:space="preserve">PWC Networks did not accept the Commission’s rejection of its forecast regulatory costs and maintains that proposed increase </w:t>
      </w:r>
      <w:r w:rsidR="00A82486">
        <w:rPr>
          <w:lang w:val="en-AU"/>
        </w:rPr>
        <w:t>in</w:t>
      </w:r>
      <w:r w:rsidR="00A82486" w:rsidRPr="00A82486">
        <w:rPr>
          <w:lang w:val="en-AU"/>
        </w:rPr>
        <w:t xml:space="preserve"> </w:t>
      </w:r>
      <w:r w:rsidRPr="00A82486">
        <w:rPr>
          <w:lang w:val="en-AU"/>
        </w:rPr>
        <w:t xml:space="preserve">staffing is necessary. PWC Networks outlined a range of obligations associated with the Government’s recently announced package of reforms, including the transfer of economic regulation to the AER and adoption of relevant parts of the NER. </w:t>
      </w:r>
    </w:p>
    <w:p w14:paraId="0DAAD086" w14:textId="0D7B3AC7" w:rsidR="009B06F8" w:rsidRPr="00A82486" w:rsidRDefault="001F16A6" w:rsidP="00980011">
      <w:pPr>
        <w:pStyle w:val="ListParagraph"/>
        <w:numPr>
          <w:ilvl w:val="1"/>
          <w:numId w:val="5"/>
        </w:numPr>
        <w:tabs>
          <w:tab w:val="num" w:pos="709"/>
        </w:tabs>
        <w:ind w:left="709" w:hanging="709"/>
        <w:rPr>
          <w:lang w:val="en-AU"/>
        </w:rPr>
      </w:pPr>
      <w:r w:rsidRPr="00A82486">
        <w:rPr>
          <w:lang w:val="en-AU"/>
        </w:rPr>
        <w:t xml:space="preserve">The Commission notes that this will lead to an increase in workload over the 2014-19 regulatory control period, but does not consider that PWC Networks has </w:t>
      </w:r>
      <w:r w:rsidR="00E568B1" w:rsidRPr="00A82486">
        <w:rPr>
          <w:lang w:val="en-AU"/>
        </w:rPr>
        <w:t>justified</w:t>
      </w:r>
      <w:r w:rsidR="0030167B">
        <w:rPr>
          <w:lang w:val="en-AU"/>
        </w:rPr>
        <w:t xml:space="preserve"> the need for </w:t>
      </w:r>
      <w:r w:rsidR="00E568B1" w:rsidRPr="00A82486">
        <w:rPr>
          <w:lang w:val="en-AU"/>
        </w:rPr>
        <w:t xml:space="preserve">two additional staff </w:t>
      </w:r>
      <w:r w:rsidR="004E09D0">
        <w:rPr>
          <w:lang w:val="en-AU"/>
        </w:rPr>
        <w:t xml:space="preserve">are required </w:t>
      </w:r>
      <w:r w:rsidR="00E568B1" w:rsidRPr="00A82486">
        <w:rPr>
          <w:lang w:val="en-AU"/>
        </w:rPr>
        <w:t xml:space="preserve">and maintains its view </w:t>
      </w:r>
      <w:r w:rsidRPr="00A82486">
        <w:rPr>
          <w:lang w:val="en-AU"/>
        </w:rPr>
        <w:t xml:space="preserve">that the additional regulatory reporting responsibilities can be handled by a single additional officer.  </w:t>
      </w:r>
      <w:r w:rsidR="009B06F8" w:rsidRPr="00A82486">
        <w:rPr>
          <w:lang w:val="en-AU"/>
        </w:rPr>
        <w:t xml:space="preserve"> </w:t>
      </w:r>
    </w:p>
    <w:p w14:paraId="11122ACA" w14:textId="028E0833" w:rsidR="00B01724" w:rsidRPr="00A82486" w:rsidRDefault="00B01724" w:rsidP="00220D7E">
      <w:pPr>
        <w:pStyle w:val="UtilComHeading3"/>
        <w:rPr>
          <w:lang w:val="en-AU"/>
        </w:rPr>
      </w:pPr>
      <w:r w:rsidRPr="00A82486">
        <w:rPr>
          <w:lang w:val="en-AU"/>
        </w:rPr>
        <w:t>GSL costs</w:t>
      </w:r>
    </w:p>
    <w:p w14:paraId="0100461A" w14:textId="52903ABF" w:rsidR="00B01724" w:rsidRPr="00A82486" w:rsidRDefault="00220D7E" w:rsidP="00220D7E">
      <w:pPr>
        <w:pStyle w:val="ListParagraph"/>
        <w:numPr>
          <w:ilvl w:val="1"/>
          <w:numId w:val="5"/>
        </w:numPr>
        <w:tabs>
          <w:tab w:val="num" w:pos="709"/>
        </w:tabs>
        <w:ind w:left="709" w:hanging="709"/>
        <w:rPr>
          <w:lang w:val="en-AU"/>
        </w:rPr>
      </w:pPr>
      <w:r w:rsidRPr="00A82486">
        <w:rPr>
          <w:lang w:val="en-AU"/>
        </w:rPr>
        <w:t>PWC Networks reduced its forecast GSL costs from that proposed in its initial regulatory proposal, but forecast slightly hig</w:t>
      </w:r>
      <w:r w:rsidR="009E01BF" w:rsidRPr="00A82486">
        <w:rPr>
          <w:lang w:val="en-AU"/>
        </w:rPr>
        <w:t>h</w:t>
      </w:r>
      <w:r w:rsidRPr="00A82486">
        <w:rPr>
          <w:lang w:val="en-AU"/>
        </w:rPr>
        <w:t xml:space="preserve">er costs than </w:t>
      </w:r>
      <w:r w:rsidR="00A82486">
        <w:rPr>
          <w:lang w:val="en-AU"/>
        </w:rPr>
        <w:t xml:space="preserve">the Commission allowed </w:t>
      </w:r>
      <w:r w:rsidRPr="00A82486">
        <w:rPr>
          <w:lang w:val="en-AU"/>
        </w:rPr>
        <w:t xml:space="preserve">in the Draft Determination. </w:t>
      </w:r>
    </w:p>
    <w:p w14:paraId="1B71D9D8" w14:textId="0018CED1" w:rsidR="00220D7E" w:rsidRPr="00A82486" w:rsidRDefault="00220D7E" w:rsidP="00220D7E">
      <w:pPr>
        <w:pStyle w:val="ListParagraph"/>
        <w:numPr>
          <w:ilvl w:val="1"/>
          <w:numId w:val="5"/>
        </w:numPr>
        <w:tabs>
          <w:tab w:val="num" w:pos="709"/>
        </w:tabs>
        <w:ind w:left="709" w:hanging="709"/>
        <w:rPr>
          <w:lang w:val="en-AU"/>
        </w:rPr>
      </w:pPr>
      <w:r w:rsidRPr="00A82486">
        <w:rPr>
          <w:lang w:val="en-AU"/>
        </w:rPr>
        <w:t>PWC Networks disagrees with the reduction applied by the Commission to address concerns that not all customers on a feeder experience interruption</w:t>
      </w:r>
      <w:r w:rsidR="004E09D0">
        <w:rPr>
          <w:lang w:val="en-AU"/>
        </w:rPr>
        <w:t>s</w:t>
      </w:r>
      <w:r w:rsidRPr="00A82486">
        <w:rPr>
          <w:lang w:val="en-AU"/>
        </w:rPr>
        <w:t xml:space="preserve"> for every network outage, noting that there is a negligible number of fused spur lines in the network.</w:t>
      </w:r>
    </w:p>
    <w:p w14:paraId="647BDF07" w14:textId="4229F29E" w:rsidR="00220D7E" w:rsidRPr="00A82486" w:rsidRDefault="00220D7E" w:rsidP="00220D7E">
      <w:pPr>
        <w:pStyle w:val="ListParagraph"/>
        <w:numPr>
          <w:ilvl w:val="1"/>
          <w:numId w:val="5"/>
        </w:numPr>
        <w:tabs>
          <w:tab w:val="num" w:pos="709"/>
        </w:tabs>
        <w:ind w:left="709" w:hanging="709"/>
        <w:rPr>
          <w:lang w:val="en-AU"/>
        </w:rPr>
      </w:pPr>
      <w:r w:rsidRPr="00A82486">
        <w:rPr>
          <w:lang w:val="en-AU"/>
        </w:rPr>
        <w:t>The Commission accepts PWC Networks’ revised forecast of GSL costs.</w:t>
      </w:r>
    </w:p>
    <w:p w14:paraId="795B85F2" w14:textId="6C59F0A3" w:rsidR="0032079B" w:rsidRPr="00A82486" w:rsidRDefault="0032079B" w:rsidP="0032079B">
      <w:pPr>
        <w:pStyle w:val="UtilComHeading3"/>
        <w:rPr>
          <w:lang w:val="en-AU"/>
        </w:rPr>
      </w:pPr>
      <w:r w:rsidRPr="00A82486">
        <w:rPr>
          <w:lang w:val="en-AU"/>
        </w:rPr>
        <w:t>Vegetation</w:t>
      </w:r>
      <w:r w:rsidR="00895879">
        <w:rPr>
          <w:lang w:val="en-AU"/>
        </w:rPr>
        <w:t xml:space="preserve"> Management</w:t>
      </w:r>
    </w:p>
    <w:p w14:paraId="7F93C2C4" w14:textId="3F94C5A6" w:rsidR="004F78E0" w:rsidRPr="00A82486" w:rsidRDefault="004F78E0" w:rsidP="004F78E0">
      <w:pPr>
        <w:pStyle w:val="ListParagraph"/>
        <w:numPr>
          <w:ilvl w:val="1"/>
          <w:numId w:val="5"/>
        </w:numPr>
        <w:tabs>
          <w:tab w:val="num" w:pos="709"/>
        </w:tabs>
        <w:ind w:left="709" w:hanging="709"/>
        <w:rPr>
          <w:lang w:val="en-AU"/>
        </w:rPr>
      </w:pPr>
      <w:r w:rsidRPr="00A82486">
        <w:rPr>
          <w:lang w:val="en-AU"/>
        </w:rPr>
        <w:t xml:space="preserve">PWC Networks reduced its forecast vegetation management costs from that proposed in its initial regulatory proposal, but forecast higher vegetation management costs than </w:t>
      </w:r>
      <w:r w:rsidR="00A82486">
        <w:rPr>
          <w:lang w:val="en-AU"/>
        </w:rPr>
        <w:t xml:space="preserve">that allowed by the Commission </w:t>
      </w:r>
      <w:r w:rsidRPr="00A82486">
        <w:rPr>
          <w:lang w:val="en-AU"/>
        </w:rPr>
        <w:t>in the Draft Determination, on the basis that additional expenditure is required to meet the new service standards targets</w:t>
      </w:r>
      <w:r w:rsidR="00A82486">
        <w:rPr>
          <w:lang w:val="en-AU"/>
        </w:rPr>
        <w:t xml:space="preserve"> established under the ESS Code</w:t>
      </w:r>
      <w:r w:rsidRPr="00A82486">
        <w:rPr>
          <w:lang w:val="en-AU"/>
        </w:rPr>
        <w:t>.</w:t>
      </w:r>
    </w:p>
    <w:p w14:paraId="0E4E3D46" w14:textId="1B2CFA1F" w:rsidR="00B01724" w:rsidRPr="00A82486" w:rsidRDefault="00B01724" w:rsidP="00B01724">
      <w:pPr>
        <w:pStyle w:val="ListParagraph"/>
        <w:numPr>
          <w:ilvl w:val="1"/>
          <w:numId w:val="5"/>
        </w:numPr>
        <w:tabs>
          <w:tab w:val="num" w:pos="709"/>
        </w:tabs>
        <w:ind w:left="709" w:hanging="709"/>
        <w:rPr>
          <w:lang w:val="en-AU"/>
        </w:rPr>
      </w:pPr>
      <w:r w:rsidRPr="00A82486">
        <w:rPr>
          <w:lang w:val="en-AU"/>
        </w:rPr>
        <w:t>The Commission has discussed the flaws in the approach used by PWC Networks to forecast the performance gap to meet ESS Code requirements</w:t>
      </w:r>
      <w:r w:rsidR="00220D7E" w:rsidRPr="00A82486">
        <w:rPr>
          <w:lang w:val="en-AU"/>
        </w:rPr>
        <w:t xml:space="preserve"> in Chapter 9</w:t>
      </w:r>
      <w:r w:rsidR="004E09D0">
        <w:rPr>
          <w:lang w:val="en-AU"/>
        </w:rPr>
        <w:t xml:space="preserve"> of this Statement of Reasons</w:t>
      </w:r>
      <w:r w:rsidRPr="00A82486">
        <w:rPr>
          <w:lang w:val="en-AU"/>
        </w:rPr>
        <w:t>. While not accepting the revised forecast for vegetation management submitted by PWC </w:t>
      </w:r>
      <w:r w:rsidR="00A82486">
        <w:rPr>
          <w:lang w:val="en-AU"/>
        </w:rPr>
        <w:t>N</w:t>
      </w:r>
      <w:r w:rsidR="00A82486" w:rsidRPr="00A82486">
        <w:rPr>
          <w:lang w:val="en-AU"/>
        </w:rPr>
        <w:t>etworks</w:t>
      </w:r>
      <w:r w:rsidRPr="00A82486">
        <w:rPr>
          <w:lang w:val="en-AU"/>
        </w:rPr>
        <w:t>, the Commission has allowed a small increase</w:t>
      </w:r>
      <w:r w:rsidR="004E09D0">
        <w:rPr>
          <w:lang w:val="en-AU"/>
        </w:rPr>
        <w:t xml:space="preserve"> compared to </w:t>
      </w:r>
      <w:r w:rsidR="00A82486">
        <w:rPr>
          <w:lang w:val="en-AU"/>
        </w:rPr>
        <w:t>the</w:t>
      </w:r>
      <w:r w:rsidR="004E09D0">
        <w:rPr>
          <w:lang w:val="en-AU"/>
        </w:rPr>
        <w:t xml:space="preserve"> forecast </w:t>
      </w:r>
      <w:r w:rsidRPr="00A82486">
        <w:rPr>
          <w:lang w:val="en-AU"/>
        </w:rPr>
        <w:t>in the Draft Determination.</w:t>
      </w:r>
    </w:p>
    <w:p w14:paraId="5D54C779" w14:textId="77777777" w:rsidR="00220D7E" w:rsidRPr="00A82486" w:rsidRDefault="00220D7E" w:rsidP="00220D7E">
      <w:pPr>
        <w:pStyle w:val="UtilComHeading3"/>
        <w:rPr>
          <w:lang w:val="en-AU"/>
        </w:rPr>
      </w:pPr>
      <w:r w:rsidRPr="00A82486">
        <w:rPr>
          <w:lang w:val="en-AU"/>
        </w:rPr>
        <w:t>Real cost escalators</w:t>
      </w:r>
    </w:p>
    <w:p w14:paraId="187553FC" w14:textId="27842DD0" w:rsidR="00220D7E" w:rsidRPr="00A82486" w:rsidRDefault="00220D7E" w:rsidP="00220D7E">
      <w:pPr>
        <w:pStyle w:val="NumberLevel2"/>
        <w:numPr>
          <w:ilvl w:val="1"/>
          <w:numId w:val="5"/>
        </w:numPr>
        <w:tabs>
          <w:tab w:val="num" w:pos="709"/>
        </w:tabs>
        <w:ind w:left="709" w:hanging="709"/>
        <w:rPr>
          <w:lang w:val="en-AU"/>
        </w:rPr>
      </w:pPr>
      <w:r w:rsidRPr="00A82486">
        <w:rPr>
          <w:lang w:val="en-AU"/>
        </w:rPr>
        <w:t>As discussed in Chapter 9</w:t>
      </w:r>
      <w:r w:rsidR="004E09D0">
        <w:rPr>
          <w:lang w:val="en-AU"/>
        </w:rPr>
        <w:t xml:space="preserve"> of this Statement of Reasons</w:t>
      </w:r>
      <w:r w:rsidRPr="00A82486">
        <w:rPr>
          <w:lang w:val="en-AU"/>
        </w:rPr>
        <w:t xml:space="preserve">, the Commission has noted the concerns raised by the NTMEU and has reviewed its acceptance of the real cost escalators submitted by PWC Networks. </w:t>
      </w:r>
    </w:p>
    <w:p w14:paraId="35A34030" w14:textId="3721E480" w:rsidR="00220D7E" w:rsidRPr="00A82486" w:rsidRDefault="00220D7E" w:rsidP="00220D7E">
      <w:pPr>
        <w:pStyle w:val="NumberLevel2"/>
        <w:numPr>
          <w:ilvl w:val="1"/>
          <w:numId w:val="5"/>
        </w:numPr>
        <w:tabs>
          <w:tab w:val="num" w:pos="709"/>
        </w:tabs>
        <w:ind w:left="709" w:hanging="709"/>
        <w:rPr>
          <w:lang w:val="en-AU"/>
        </w:rPr>
      </w:pPr>
      <w:r w:rsidRPr="00A82486">
        <w:rPr>
          <w:lang w:val="en-AU"/>
        </w:rPr>
        <w:t>The Commission confirms its draft decision to use the material real cost escalators submitted by PWC Networks, but has decided to apply the real labour cost escalators for 2014-19 regulatory control period as recommended by consultants engaged by PWC Networks, rather than PWC Networks</w:t>
      </w:r>
      <w:r w:rsidR="004E09D0">
        <w:rPr>
          <w:lang w:val="en-AU"/>
        </w:rPr>
        <w:t>’ proposed</w:t>
      </w:r>
      <w:r w:rsidRPr="00A82486">
        <w:rPr>
          <w:lang w:val="en-AU"/>
        </w:rPr>
        <w:t xml:space="preserve"> real labour cost escalators which included an adjustment for PWC</w:t>
      </w:r>
      <w:r w:rsidR="00685E74" w:rsidRPr="00A82486">
        <w:rPr>
          <w:lang w:val="en-AU"/>
        </w:rPr>
        <w:t>’s</w:t>
      </w:r>
      <w:r w:rsidRPr="00A82486">
        <w:rPr>
          <w:lang w:val="en-AU"/>
        </w:rPr>
        <w:t xml:space="preserve"> </w:t>
      </w:r>
      <w:r w:rsidR="004E09D0">
        <w:rPr>
          <w:lang w:val="en-AU"/>
        </w:rPr>
        <w:t>enterprise bargaining agreement</w:t>
      </w:r>
      <w:r w:rsidRPr="00A82486">
        <w:rPr>
          <w:lang w:val="en-AU"/>
        </w:rPr>
        <w:t xml:space="preserve"> </w:t>
      </w:r>
      <w:r w:rsidR="00A82486">
        <w:rPr>
          <w:lang w:val="en-AU"/>
        </w:rPr>
        <w:t>for the</w:t>
      </w:r>
      <w:r w:rsidR="00A82486" w:rsidRPr="00A82486">
        <w:rPr>
          <w:lang w:val="en-AU"/>
        </w:rPr>
        <w:t xml:space="preserve"> </w:t>
      </w:r>
      <w:r w:rsidRPr="00A82486">
        <w:rPr>
          <w:lang w:val="en-AU"/>
        </w:rPr>
        <w:t>2013-14 and 2014-15</w:t>
      </w:r>
      <w:r w:rsidR="00A82486">
        <w:rPr>
          <w:lang w:val="en-AU"/>
        </w:rPr>
        <w:t xml:space="preserve"> regulatory years</w:t>
      </w:r>
      <w:r w:rsidRPr="00A82486">
        <w:rPr>
          <w:lang w:val="en-AU"/>
        </w:rPr>
        <w:t>.</w:t>
      </w:r>
    </w:p>
    <w:p w14:paraId="409D211E" w14:textId="5E4D7642" w:rsidR="0032079B" w:rsidRDefault="00220D7E" w:rsidP="00220D7E">
      <w:pPr>
        <w:pStyle w:val="UtilComHeading3"/>
        <w:rPr>
          <w:lang w:val="en-AU"/>
        </w:rPr>
      </w:pPr>
      <w:r>
        <w:rPr>
          <w:lang w:val="en-AU"/>
        </w:rPr>
        <w:t>Unallocated efficiency adjustment</w:t>
      </w:r>
    </w:p>
    <w:p w14:paraId="656C3F61" w14:textId="2DF3C42E" w:rsidR="00687DFF" w:rsidRDefault="00687DFF" w:rsidP="00980011">
      <w:pPr>
        <w:pStyle w:val="ListParagraph"/>
        <w:numPr>
          <w:ilvl w:val="1"/>
          <w:numId w:val="5"/>
        </w:numPr>
        <w:tabs>
          <w:tab w:val="num" w:pos="709"/>
        </w:tabs>
        <w:ind w:left="709" w:hanging="709"/>
        <w:rPr>
          <w:lang w:val="en-AU"/>
        </w:rPr>
      </w:pPr>
      <w:r>
        <w:rPr>
          <w:lang w:val="en-AU"/>
        </w:rPr>
        <w:t>PWC Networks rejected the Commission’s unallocated efficiency adjustment as arbitrary and maintained that the opex proposed by PWC Networks was prudent and efficient.</w:t>
      </w:r>
    </w:p>
    <w:p w14:paraId="4A57BED1" w14:textId="1C6FD0AD" w:rsidR="0096192C" w:rsidRDefault="0096192C" w:rsidP="00980011">
      <w:pPr>
        <w:pStyle w:val="ListParagraph"/>
        <w:numPr>
          <w:ilvl w:val="1"/>
          <w:numId w:val="5"/>
        </w:numPr>
        <w:tabs>
          <w:tab w:val="num" w:pos="709"/>
        </w:tabs>
        <w:ind w:left="709" w:hanging="709"/>
        <w:rPr>
          <w:lang w:val="en-AU"/>
        </w:rPr>
      </w:pPr>
      <w:r w:rsidRPr="000B465A">
        <w:rPr>
          <w:lang w:val="en-AU"/>
        </w:rPr>
        <w:t>The Commission notes that the Huegin Consulting</w:t>
      </w:r>
      <w:r w:rsidR="00A67C5C">
        <w:rPr>
          <w:lang w:val="en-AU"/>
        </w:rPr>
        <w:t xml:space="preserve"> report</w:t>
      </w:r>
      <w:r w:rsidR="00A67C5C" w:rsidRPr="000B465A">
        <w:rPr>
          <w:lang w:val="en-AU"/>
        </w:rPr>
        <w:t xml:space="preserve"> </w:t>
      </w:r>
      <w:r w:rsidRPr="000B465A">
        <w:rPr>
          <w:lang w:val="en-AU"/>
        </w:rPr>
        <w:t xml:space="preserve">did not dispute the assertion that </w:t>
      </w:r>
      <w:r w:rsidR="00A82486">
        <w:rPr>
          <w:lang w:val="en-AU"/>
        </w:rPr>
        <w:t>PWC Networks’</w:t>
      </w:r>
      <w:r w:rsidRPr="000B465A">
        <w:rPr>
          <w:lang w:val="en-AU"/>
        </w:rPr>
        <w:t xml:space="preserve"> </w:t>
      </w:r>
      <w:r w:rsidR="00A67C5C">
        <w:rPr>
          <w:lang w:val="en-AU"/>
        </w:rPr>
        <w:t xml:space="preserve">proposed </w:t>
      </w:r>
      <w:r w:rsidRPr="000B465A">
        <w:rPr>
          <w:lang w:val="en-AU"/>
        </w:rPr>
        <w:t xml:space="preserve">opex </w:t>
      </w:r>
      <w:r w:rsidR="00A67C5C">
        <w:rPr>
          <w:lang w:val="en-AU"/>
        </w:rPr>
        <w:t>forecasts were</w:t>
      </w:r>
      <w:r w:rsidR="00A67C5C" w:rsidRPr="000B465A">
        <w:rPr>
          <w:lang w:val="en-AU"/>
        </w:rPr>
        <w:t xml:space="preserve"> </w:t>
      </w:r>
      <w:r w:rsidRPr="000B465A">
        <w:rPr>
          <w:lang w:val="en-AU"/>
        </w:rPr>
        <w:t xml:space="preserve">high. The </w:t>
      </w:r>
      <w:r w:rsidR="00687DFF" w:rsidRPr="000B465A">
        <w:rPr>
          <w:lang w:val="en-AU"/>
        </w:rPr>
        <w:t>6</w:t>
      </w:r>
      <w:r w:rsidR="00687DFF">
        <w:rPr>
          <w:lang w:val="en-AU"/>
        </w:rPr>
        <w:t> </w:t>
      </w:r>
      <w:r w:rsidR="00687DFF" w:rsidRPr="000B465A">
        <w:rPr>
          <w:lang w:val="en-AU"/>
        </w:rPr>
        <w:t>per</w:t>
      </w:r>
      <w:r w:rsidR="00687DFF">
        <w:rPr>
          <w:lang w:val="en-AU"/>
        </w:rPr>
        <w:t> </w:t>
      </w:r>
      <w:r w:rsidRPr="000B465A">
        <w:rPr>
          <w:lang w:val="en-AU"/>
        </w:rPr>
        <w:t xml:space="preserve">cent reduction recommended by PB </w:t>
      </w:r>
      <w:r w:rsidR="003B3EC9">
        <w:rPr>
          <w:lang w:val="en-AU"/>
        </w:rPr>
        <w:t xml:space="preserve">for specific cost categories </w:t>
      </w:r>
      <w:r w:rsidRPr="000B465A">
        <w:rPr>
          <w:lang w:val="en-AU"/>
        </w:rPr>
        <w:t>provides a minimum reduction based on the specific items assessed. The benchmarking analysis adopted by the Commission provides further information about the level of efficiency that should be achieved by PWC</w:t>
      </w:r>
      <w:r w:rsidR="00A67C5C">
        <w:rPr>
          <w:lang w:val="en-AU"/>
        </w:rPr>
        <w:t> Networks</w:t>
      </w:r>
      <w:r w:rsidRPr="000B465A">
        <w:rPr>
          <w:lang w:val="en-AU"/>
        </w:rPr>
        <w:t xml:space="preserve">. This approach is not unreasonable </w:t>
      </w:r>
      <w:r w:rsidR="00A67C5C">
        <w:rPr>
          <w:lang w:val="en-AU"/>
        </w:rPr>
        <w:t>in</w:t>
      </w:r>
      <w:r w:rsidR="00A67C5C" w:rsidRPr="000B465A">
        <w:rPr>
          <w:lang w:val="en-AU"/>
        </w:rPr>
        <w:t xml:space="preserve"> </w:t>
      </w:r>
      <w:r w:rsidRPr="000B465A">
        <w:rPr>
          <w:lang w:val="en-AU"/>
        </w:rPr>
        <w:t>consider</w:t>
      </w:r>
      <w:r w:rsidR="00A67C5C">
        <w:rPr>
          <w:lang w:val="en-AU"/>
        </w:rPr>
        <w:t>ing</w:t>
      </w:r>
      <w:r w:rsidRPr="000B465A">
        <w:rPr>
          <w:lang w:val="en-AU"/>
        </w:rPr>
        <w:t xml:space="preserve"> the efficiency of PWC Networks with respect to opex.</w:t>
      </w:r>
      <w:r w:rsidRPr="000B465A" w:rsidDel="0096192C">
        <w:rPr>
          <w:lang w:val="en-AU"/>
        </w:rPr>
        <w:t xml:space="preserve"> </w:t>
      </w:r>
    </w:p>
    <w:p w14:paraId="234023E8" w14:textId="1FB2003D" w:rsidR="003F547A" w:rsidRDefault="003F547A">
      <w:pPr>
        <w:pStyle w:val="ListParagraph"/>
        <w:numPr>
          <w:ilvl w:val="1"/>
          <w:numId w:val="5"/>
        </w:numPr>
        <w:tabs>
          <w:tab w:val="num" w:pos="709"/>
        </w:tabs>
        <w:ind w:left="709" w:hanging="709"/>
        <w:rPr>
          <w:lang w:val="en-AU"/>
        </w:rPr>
      </w:pPr>
      <w:r w:rsidRPr="000B465A">
        <w:rPr>
          <w:lang w:val="en-AU"/>
        </w:rPr>
        <w:t>P</w:t>
      </w:r>
      <w:r w:rsidRPr="003F547A">
        <w:rPr>
          <w:lang w:val="en-AU"/>
        </w:rPr>
        <w:t xml:space="preserve">B </w:t>
      </w:r>
      <w:r w:rsidRPr="000B465A">
        <w:rPr>
          <w:lang w:val="en-AU"/>
        </w:rPr>
        <w:t xml:space="preserve">acknowledges as with all benchmarking, the results </w:t>
      </w:r>
      <w:r w:rsidR="00A67C5C">
        <w:rPr>
          <w:lang w:val="en-AU"/>
        </w:rPr>
        <w:t>are</w:t>
      </w:r>
      <w:r w:rsidR="00A67C5C" w:rsidRPr="000B465A">
        <w:rPr>
          <w:lang w:val="en-AU"/>
        </w:rPr>
        <w:t xml:space="preserve"> </w:t>
      </w:r>
      <w:r w:rsidRPr="000B465A">
        <w:rPr>
          <w:lang w:val="en-AU"/>
        </w:rPr>
        <w:t xml:space="preserve">not without </w:t>
      </w:r>
      <w:r w:rsidR="00A67C5C">
        <w:rPr>
          <w:lang w:val="en-AU"/>
        </w:rPr>
        <w:t>their</w:t>
      </w:r>
      <w:r w:rsidR="00A67C5C" w:rsidRPr="000B465A">
        <w:rPr>
          <w:lang w:val="en-AU"/>
        </w:rPr>
        <w:t xml:space="preserve"> </w:t>
      </w:r>
      <w:r w:rsidRPr="000B465A">
        <w:rPr>
          <w:lang w:val="en-AU"/>
        </w:rPr>
        <w:t>limitations. In this</w:t>
      </w:r>
      <w:r w:rsidRPr="003F547A">
        <w:rPr>
          <w:lang w:val="en-AU"/>
        </w:rPr>
        <w:t xml:space="preserve"> </w:t>
      </w:r>
      <w:r w:rsidRPr="000B465A">
        <w:rPr>
          <w:lang w:val="en-AU"/>
        </w:rPr>
        <w:t xml:space="preserve">case, </w:t>
      </w:r>
      <w:r w:rsidR="00A67C5C">
        <w:rPr>
          <w:lang w:val="en-AU"/>
        </w:rPr>
        <w:t>a limitation has arisen</w:t>
      </w:r>
      <w:r w:rsidRPr="000B465A">
        <w:rPr>
          <w:lang w:val="en-AU"/>
        </w:rPr>
        <w:t xml:space="preserve"> because the data used in the benchmarking was largely taken from </w:t>
      </w:r>
      <w:r w:rsidR="001673A2">
        <w:rPr>
          <w:lang w:val="en-AU"/>
        </w:rPr>
        <w:t>publicly</w:t>
      </w:r>
      <w:r w:rsidR="001673A2" w:rsidRPr="000B465A">
        <w:rPr>
          <w:lang w:val="en-AU"/>
        </w:rPr>
        <w:t xml:space="preserve"> </w:t>
      </w:r>
      <w:r w:rsidRPr="000B465A">
        <w:rPr>
          <w:lang w:val="en-AU"/>
        </w:rPr>
        <w:t>available sources</w:t>
      </w:r>
      <w:r w:rsidRPr="003F547A">
        <w:rPr>
          <w:lang w:val="en-AU"/>
        </w:rPr>
        <w:t xml:space="preserve"> </w:t>
      </w:r>
      <w:r w:rsidRPr="000B465A">
        <w:rPr>
          <w:lang w:val="en-AU"/>
        </w:rPr>
        <w:t>rather than being prepared against a consistent set of definitions.</w:t>
      </w:r>
      <w:r w:rsidRPr="003F547A">
        <w:rPr>
          <w:lang w:val="en-AU"/>
        </w:rPr>
        <w:t xml:space="preserve"> </w:t>
      </w:r>
      <w:r w:rsidRPr="000B465A">
        <w:rPr>
          <w:lang w:val="en-AU"/>
        </w:rPr>
        <w:t>Additionally, the inherent limitations of using regression analysis on small sample sizes highlights the</w:t>
      </w:r>
      <w:r w:rsidRPr="003F547A">
        <w:rPr>
          <w:lang w:val="en-AU"/>
        </w:rPr>
        <w:t xml:space="preserve"> </w:t>
      </w:r>
      <w:r w:rsidRPr="000B465A">
        <w:rPr>
          <w:lang w:val="en-AU"/>
        </w:rPr>
        <w:t>importance of considering a range of variables and relationships and of interpreting the outcomes of</w:t>
      </w:r>
      <w:r w:rsidRPr="003F547A">
        <w:rPr>
          <w:lang w:val="en-AU"/>
        </w:rPr>
        <w:t xml:space="preserve"> </w:t>
      </w:r>
      <w:r w:rsidRPr="000B465A">
        <w:rPr>
          <w:lang w:val="en-AU"/>
        </w:rPr>
        <w:t>benchmarking in a qualitative rather than quantitative</w:t>
      </w:r>
      <w:r w:rsidR="004E09D0">
        <w:rPr>
          <w:lang w:val="en-AU"/>
        </w:rPr>
        <w:t xml:space="preserve"> way</w:t>
      </w:r>
      <w:r w:rsidRPr="000B465A">
        <w:rPr>
          <w:lang w:val="en-AU"/>
        </w:rPr>
        <w:t>, as well as supporting the benchmarking analysis</w:t>
      </w:r>
      <w:r w:rsidRPr="003F547A">
        <w:rPr>
          <w:lang w:val="en-AU"/>
        </w:rPr>
        <w:t xml:space="preserve"> </w:t>
      </w:r>
      <w:r w:rsidRPr="000B465A">
        <w:rPr>
          <w:lang w:val="en-AU"/>
        </w:rPr>
        <w:t>with a solid understanding of the business context.</w:t>
      </w:r>
    </w:p>
    <w:p w14:paraId="6EAE35CC" w14:textId="5B62C041" w:rsidR="003F547A" w:rsidRPr="00687DFF" w:rsidRDefault="003F547A">
      <w:pPr>
        <w:pStyle w:val="ListParagraph"/>
        <w:numPr>
          <w:ilvl w:val="1"/>
          <w:numId w:val="5"/>
        </w:numPr>
        <w:tabs>
          <w:tab w:val="num" w:pos="709"/>
        </w:tabs>
        <w:ind w:left="709" w:hanging="709"/>
        <w:rPr>
          <w:lang w:val="en-AU"/>
        </w:rPr>
      </w:pPr>
      <w:r w:rsidRPr="000B465A">
        <w:rPr>
          <w:lang w:val="en-AU"/>
        </w:rPr>
        <w:t>P</w:t>
      </w:r>
      <w:r w:rsidRPr="003F547A">
        <w:rPr>
          <w:lang w:val="en-AU"/>
        </w:rPr>
        <w:t xml:space="preserve">B’s </w:t>
      </w:r>
      <w:r w:rsidRPr="000B465A">
        <w:rPr>
          <w:lang w:val="en-AU"/>
        </w:rPr>
        <w:t xml:space="preserve">view </w:t>
      </w:r>
      <w:r w:rsidRPr="003F547A">
        <w:rPr>
          <w:lang w:val="en-AU"/>
        </w:rPr>
        <w:t xml:space="preserve">was that PWC </w:t>
      </w:r>
      <w:r w:rsidRPr="000B465A">
        <w:rPr>
          <w:lang w:val="en-AU"/>
        </w:rPr>
        <w:t>Networks does have suitable</w:t>
      </w:r>
      <w:r w:rsidRPr="003F547A">
        <w:rPr>
          <w:lang w:val="en-AU"/>
        </w:rPr>
        <w:t xml:space="preserve"> </w:t>
      </w:r>
      <w:r w:rsidRPr="000B465A">
        <w:rPr>
          <w:lang w:val="en-AU"/>
        </w:rPr>
        <w:t xml:space="preserve">benchmarking peers in Australia, but that each </w:t>
      </w:r>
      <w:r w:rsidR="00A67C5C">
        <w:rPr>
          <w:lang w:val="en-AU"/>
        </w:rPr>
        <w:t>network service provider</w:t>
      </w:r>
      <w:r w:rsidR="00A67C5C" w:rsidRPr="000B465A">
        <w:rPr>
          <w:lang w:val="en-AU"/>
        </w:rPr>
        <w:t xml:space="preserve"> </w:t>
      </w:r>
      <w:r w:rsidRPr="000B465A">
        <w:rPr>
          <w:lang w:val="en-AU"/>
        </w:rPr>
        <w:t>in the benchmarking group is different and the</w:t>
      </w:r>
      <w:r w:rsidRPr="003F547A">
        <w:rPr>
          <w:lang w:val="en-AU"/>
        </w:rPr>
        <w:t xml:space="preserve"> </w:t>
      </w:r>
      <w:r w:rsidRPr="000B465A">
        <w:rPr>
          <w:lang w:val="en-AU"/>
        </w:rPr>
        <w:t>differences need to be considered carefully when conducting the benchmarking analysis and interpreting the</w:t>
      </w:r>
      <w:r w:rsidRPr="003F547A">
        <w:rPr>
          <w:lang w:val="en-AU"/>
        </w:rPr>
        <w:t xml:space="preserve"> </w:t>
      </w:r>
      <w:r w:rsidRPr="000B465A">
        <w:rPr>
          <w:lang w:val="en-AU"/>
        </w:rPr>
        <w:t>outcomes</w:t>
      </w:r>
      <w:r w:rsidRPr="003F547A">
        <w:rPr>
          <w:rFonts w:cs="Arial"/>
          <w:sz w:val="20"/>
          <w:lang w:val="en-AU" w:eastAsia="en-AU"/>
        </w:rPr>
        <w:t>.</w:t>
      </w:r>
    </w:p>
    <w:p w14:paraId="405477F5" w14:textId="25AE1545" w:rsidR="00687DFF" w:rsidRPr="00A82486" w:rsidRDefault="0030167B">
      <w:pPr>
        <w:pStyle w:val="ListParagraph"/>
        <w:numPr>
          <w:ilvl w:val="1"/>
          <w:numId w:val="5"/>
        </w:numPr>
        <w:tabs>
          <w:tab w:val="num" w:pos="709"/>
        </w:tabs>
        <w:ind w:left="709" w:hanging="709"/>
        <w:rPr>
          <w:lang w:val="en-AU"/>
        </w:rPr>
      </w:pPr>
      <w:r>
        <w:rPr>
          <w:lang w:val="en-AU"/>
        </w:rPr>
        <w:t>The</w:t>
      </w:r>
      <w:r w:rsidR="000E1C44" w:rsidRPr="00A82486">
        <w:rPr>
          <w:lang w:val="en-AU"/>
        </w:rPr>
        <w:t xml:space="preserve"> issue is whether the benchmarking analysis undertaken by PB can be relied on by the Commission to inform its decision about the efficient level of opex. The Commission believes that it can. While no two network businesses will be exactly alike, the Commission accepts PB’s view </w:t>
      </w:r>
      <w:r w:rsidR="0001335C" w:rsidRPr="00A82486">
        <w:rPr>
          <w:lang w:val="en-AU"/>
        </w:rPr>
        <w:t xml:space="preserve">that the </w:t>
      </w:r>
      <w:r w:rsidR="00933A08" w:rsidRPr="00A82486">
        <w:rPr>
          <w:lang w:val="en-AU"/>
        </w:rPr>
        <w:t xml:space="preserve">benchmark group is appropriate and </w:t>
      </w:r>
      <w:r w:rsidR="0001335C" w:rsidRPr="00A82486">
        <w:rPr>
          <w:lang w:val="en-AU"/>
        </w:rPr>
        <w:t xml:space="preserve">is satisfied </w:t>
      </w:r>
      <w:r w:rsidR="00933A08" w:rsidRPr="00A82486">
        <w:rPr>
          <w:lang w:val="en-AU"/>
        </w:rPr>
        <w:t>that adjustment has been made for specific issues faced by PWC Networks, notably adjustments for regional uplift and economies of scale.</w:t>
      </w:r>
    </w:p>
    <w:p w14:paraId="73D8BA0B" w14:textId="2272C6AB" w:rsidR="000E1C44" w:rsidRPr="00A82486" w:rsidRDefault="00933A08" w:rsidP="000E1C44">
      <w:pPr>
        <w:pStyle w:val="ListParagraph"/>
        <w:numPr>
          <w:ilvl w:val="1"/>
          <w:numId w:val="5"/>
        </w:numPr>
        <w:tabs>
          <w:tab w:val="num" w:pos="709"/>
        </w:tabs>
        <w:ind w:left="709" w:hanging="709"/>
        <w:rPr>
          <w:lang w:val="en-AU"/>
        </w:rPr>
      </w:pPr>
      <w:r w:rsidRPr="00A82486">
        <w:rPr>
          <w:lang w:val="en-AU"/>
        </w:rPr>
        <w:t xml:space="preserve">Having accepted that a 27 per cent reduction in </w:t>
      </w:r>
      <w:r w:rsidR="005C1830">
        <w:rPr>
          <w:lang w:val="en-AU"/>
        </w:rPr>
        <w:t xml:space="preserve">opex </w:t>
      </w:r>
      <w:r w:rsidRPr="00A82486">
        <w:rPr>
          <w:lang w:val="en-AU"/>
        </w:rPr>
        <w:t>is a reasonable estimate of the adjustment required to bring PWC Networks to the level of its peer</w:t>
      </w:r>
      <w:r w:rsidR="0030167B">
        <w:rPr>
          <w:lang w:val="en-AU"/>
        </w:rPr>
        <w:t>s</w:t>
      </w:r>
      <w:r w:rsidRPr="00A82486">
        <w:rPr>
          <w:lang w:val="en-AU"/>
        </w:rPr>
        <w:t>, the Commission has also reviewed the pace at which this reduction should be achieved.</w:t>
      </w:r>
    </w:p>
    <w:p w14:paraId="385103B2" w14:textId="14E9C104" w:rsidR="005B40DE" w:rsidRPr="00A82486" w:rsidRDefault="004E09D0" w:rsidP="0001335C">
      <w:pPr>
        <w:pStyle w:val="NumberLevel2"/>
        <w:numPr>
          <w:ilvl w:val="1"/>
          <w:numId w:val="5"/>
        </w:numPr>
        <w:tabs>
          <w:tab w:val="num" w:pos="709"/>
        </w:tabs>
        <w:ind w:left="709" w:hanging="709"/>
        <w:rPr>
          <w:lang w:val="en-AU"/>
        </w:rPr>
      </w:pPr>
      <w:r>
        <w:rPr>
          <w:lang w:val="en-AU"/>
        </w:rPr>
        <w:t>T</w:t>
      </w:r>
      <w:r w:rsidR="0001335C" w:rsidRPr="00A82486">
        <w:rPr>
          <w:lang w:val="en-AU"/>
        </w:rPr>
        <w:t xml:space="preserve">he Commission considers that </w:t>
      </w:r>
      <w:r w:rsidR="005B40DE" w:rsidRPr="00A82486">
        <w:rPr>
          <w:lang w:val="en-AU"/>
        </w:rPr>
        <w:t>the glide path set out in the Draft Determination place</w:t>
      </w:r>
      <w:r w:rsidR="00685E74" w:rsidRPr="00A82486">
        <w:rPr>
          <w:lang w:val="en-AU"/>
        </w:rPr>
        <w:t>d</w:t>
      </w:r>
      <w:r w:rsidR="005B40DE" w:rsidRPr="00A82486">
        <w:rPr>
          <w:lang w:val="en-AU"/>
        </w:rPr>
        <w:t xml:space="preserve"> too little pressure on PWC Networks to reduce costs, and that if PWC Networks is unable to reduce costs to the level of its peers by the end of the 2014-19 regulatory control period, then the excess costs should be borne by PWC Networks (that is</w:t>
      </w:r>
      <w:r w:rsidR="005C1830">
        <w:rPr>
          <w:lang w:val="en-AU"/>
        </w:rPr>
        <w:t>, by</w:t>
      </w:r>
      <w:r w:rsidR="005B40DE" w:rsidRPr="00A82486">
        <w:rPr>
          <w:lang w:val="en-AU"/>
        </w:rPr>
        <w:t xml:space="preserve"> reducing the actual return on capital component of the building block), not by </w:t>
      </w:r>
      <w:r w:rsidR="00F5108F">
        <w:rPr>
          <w:lang w:val="en-AU"/>
        </w:rPr>
        <w:t>retail customers</w:t>
      </w:r>
      <w:r w:rsidR="005B40DE" w:rsidRPr="00A82486">
        <w:rPr>
          <w:lang w:val="en-AU"/>
        </w:rPr>
        <w:t>.</w:t>
      </w:r>
    </w:p>
    <w:p w14:paraId="2C2B5FE4" w14:textId="2EF00F08" w:rsidR="005B40DE" w:rsidRPr="00A82486" w:rsidRDefault="005B40DE" w:rsidP="005B40DE">
      <w:pPr>
        <w:pStyle w:val="NumberLevel2"/>
        <w:numPr>
          <w:ilvl w:val="1"/>
          <w:numId w:val="5"/>
        </w:numPr>
        <w:tabs>
          <w:tab w:val="clear" w:pos="3270"/>
          <w:tab w:val="num" w:pos="709"/>
        </w:tabs>
        <w:ind w:left="709" w:hanging="709"/>
        <w:rPr>
          <w:lang w:val="en-AU"/>
        </w:rPr>
      </w:pPr>
      <w:r w:rsidRPr="00A82486">
        <w:rPr>
          <w:lang w:val="en-AU"/>
        </w:rPr>
        <w:t xml:space="preserve">The Commission </w:t>
      </w:r>
      <w:r w:rsidR="00A756DF" w:rsidRPr="00A82486">
        <w:rPr>
          <w:lang w:val="en-AU"/>
        </w:rPr>
        <w:t>has revised the</w:t>
      </w:r>
      <w:r w:rsidRPr="00A82486">
        <w:rPr>
          <w:lang w:val="en-AU"/>
        </w:rPr>
        <w:t xml:space="preserve"> glidepath </w:t>
      </w:r>
      <w:r w:rsidR="00A756DF" w:rsidRPr="00A82486">
        <w:rPr>
          <w:lang w:val="en-AU"/>
        </w:rPr>
        <w:t>to</w:t>
      </w:r>
      <w:r w:rsidRPr="00A82486">
        <w:rPr>
          <w:lang w:val="en-AU"/>
        </w:rPr>
        <w:t xml:space="preserve"> remove </w:t>
      </w:r>
      <w:r w:rsidR="00A756DF" w:rsidRPr="00A82486">
        <w:rPr>
          <w:lang w:val="en-AU"/>
        </w:rPr>
        <w:t>the full 27 </w:t>
      </w:r>
      <w:r w:rsidRPr="00A82486">
        <w:rPr>
          <w:lang w:val="en-AU"/>
        </w:rPr>
        <w:t>per</w:t>
      </w:r>
      <w:r w:rsidR="00A756DF" w:rsidRPr="00A82486">
        <w:rPr>
          <w:lang w:val="en-AU"/>
        </w:rPr>
        <w:t> </w:t>
      </w:r>
      <w:r w:rsidRPr="00A82486">
        <w:rPr>
          <w:lang w:val="en-AU"/>
        </w:rPr>
        <w:t xml:space="preserve">cent of the difference between PWC Networks and the average of its peers </w:t>
      </w:r>
      <w:r w:rsidR="00A756DF" w:rsidRPr="00A82486">
        <w:rPr>
          <w:lang w:val="en-AU"/>
        </w:rPr>
        <w:t>by the end of the 2014-19</w:t>
      </w:r>
      <w:r w:rsidRPr="00A82486">
        <w:rPr>
          <w:lang w:val="en-AU"/>
        </w:rPr>
        <w:t xml:space="preserve"> regulatory control period</w:t>
      </w:r>
      <w:r w:rsidR="00A756DF" w:rsidRPr="00A82486">
        <w:rPr>
          <w:lang w:val="en-AU"/>
        </w:rPr>
        <w:t xml:space="preserve">. </w:t>
      </w:r>
      <w:r w:rsidRPr="00A82486">
        <w:rPr>
          <w:lang w:val="en-AU"/>
        </w:rPr>
        <w:t xml:space="preserve">Accordingly, in addition to the specific opex adjustments detailed in the preceding sections, the Commission </w:t>
      </w:r>
      <w:r w:rsidR="00A756DF" w:rsidRPr="00A82486">
        <w:rPr>
          <w:lang w:val="en-AU"/>
        </w:rPr>
        <w:t xml:space="preserve">has </w:t>
      </w:r>
      <w:r w:rsidRPr="00A82486">
        <w:rPr>
          <w:lang w:val="en-AU"/>
        </w:rPr>
        <w:t>further reduced the ope</w:t>
      </w:r>
      <w:r w:rsidR="00A756DF" w:rsidRPr="00A82486">
        <w:rPr>
          <w:lang w:val="en-AU"/>
        </w:rPr>
        <w:t xml:space="preserve">rating cost </w:t>
      </w:r>
      <w:r w:rsidRPr="00A82486">
        <w:rPr>
          <w:lang w:val="en-AU"/>
        </w:rPr>
        <w:t xml:space="preserve">forecast by </w:t>
      </w:r>
      <w:r w:rsidR="00A756DF" w:rsidRPr="00A82486">
        <w:rPr>
          <w:lang w:val="en-AU"/>
        </w:rPr>
        <w:t>5 </w:t>
      </w:r>
      <w:r w:rsidRPr="00A82486">
        <w:rPr>
          <w:lang w:val="en-AU"/>
        </w:rPr>
        <w:t>per</w:t>
      </w:r>
      <w:r w:rsidR="00A756DF" w:rsidRPr="00A82486">
        <w:rPr>
          <w:lang w:val="en-AU"/>
        </w:rPr>
        <w:t> </w:t>
      </w:r>
      <w:r w:rsidRPr="00A82486">
        <w:rPr>
          <w:lang w:val="en-AU"/>
        </w:rPr>
        <w:t xml:space="preserve">cent in </w:t>
      </w:r>
      <w:r w:rsidR="005C1830">
        <w:rPr>
          <w:lang w:val="en-AU"/>
        </w:rPr>
        <w:t xml:space="preserve">the </w:t>
      </w:r>
      <w:r w:rsidR="00A756DF" w:rsidRPr="00A82486">
        <w:rPr>
          <w:lang w:val="en-AU"/>
        </w:rPr>
        <w:t>2014-15</w:t>
      </w:r>
      <w:r w:rsidR="005C1830">
        <w:rPr>
          <w:lang w:val="en-AU"/>
        </w:rPr>
        <w:t xml:space="preserve"> regulatory year</w:t>
      </w:r>
      <w:r w:rsidR="00A756DF" w:rsidRPr="00A82486">
        <w:rPr>
          <w:lang w:val="en-AU"/>
        </w:rPr>
        <w:t xml:space="preserve">, 10 per cent in </w:t>
      </w:r>
      <w:r w:rsidR="005C1830">
        <w:rPr>
          <w:lang w:val="en-AU"/>
        </w:rPr>
        <w:t xml:space="preserve">the </w:t>
      </w:r>
      <w:r w:rsidRPr="00A82486">
        <w:rPr>
          <w:lang w:val="en-AU"/>
        </w:rPr>
        <w:t>2015-16</w:t>
      </w:r>
      <w:r w:rsidR="005C1830">
        <w:rPr>
          <w:lang w:val="en-AU"/>
        </w:rPr>
        <w:t xml:space="preserve"> regulatory year</w:t>
      </w:r>
      <w:r w:rsidRPr="00A82486">
        <w:rPr>
          <w:lang w:val="en-AU"/>
        </w:rPr>
        <w:t xml:space="preserve">, </w:t>
      </w:r>
      <w:r w:rsidR="00A756DF" w:rsidRPr="00A82486">
        <w:rPr>
          <w:lang w:val="en-AU"/>
        </w:rPr>
        <w:t>1</w:t>
      </w:r>
      <w:r w:rsidRPr="00A82486">
        <w:rPr>
          <w:lang w:val="en-AU"/>
        </w:rPr>
        <w:t>5</w:t>
      </w:r>
      <w:r w:rsidR="00A756DF" w:rsidRPr="00A82486">
        <w:rPr>
          <w:lang w:val="en-AU"/>
        </w:rPr>
        <w:t> </w:t>
      </w:r>
      <w:r w:rsidRPr="00A82486">
        <w:rPr>
          <w:lang w:val="en-AU"/>
        </w:rPr>
        <w:t>per</w:t>
      </w:r>
      <w:r w:rsidR="00A756DF" w:rsidRPr="00A82486">
        <w:rPr>
          <w:lang w:val="en-AU"/>
        </w:rPr>
        <w:t> </w:t>
      </w:r>
      <w:r w:rsidRPr="00A82486">
        <w:rPr>
          <w:lang w:val="en-AU"/>
        </w:rPr>
        <w:t xml:space="preserve">cent in </w:t>
      </w:r>
      <w:r w:rsidR="005C1830">
        <w:rPr>
          <w:lang w:val="en-AU"/>
        </w:rPr>
        <w:t xml:space="preserve">the </w:t>
      </w:r>
      <w:r w:rsidRPr="00A82486">
        <w:rPr>
          <w:lang w:val="en-AU"/>
        </w:rPr>
        <w:t>2016-17</w:t>
      </w:r>
      <w:r w:rsidR="005C1830">
        <w:rPr>
          <w:lang w:val="en-AU"/>
        </w:rPr>
        <w:t xml:space="preserve"> regulatory year</w:t>
      </w:r>
      <w:r w:rsidRPr="00A82486">
        <w:rPr>
          <w:lang w:val="en-AU"/>
        </w:rPr>
        <w:t xml:space="preserve">, </w:t>
      </w:r>
      <w:r w:rsidR="00A756DF" w:rsidRPr="00A82486">
        <w:rPr>
          <w:lang w:val="en-AU"/>
        </w:rPr>
        <w:t>20 </w:t>
      </w:r>
      <w:r w:rsidRPr="00A82486">
        <w:rPr>
          <w:lang w:val="en-AU"/>
        </w:rPr>
        <w:t>per</w:t>
      </w:r>
      <w:r w:rsidR="00A756DF" w:rsidRPr="00A82486">
        <w:rPr>
          <w:lang w:val="en-AU"/>
        </w:rPr>
        <w:t> </w:t>
      </w:r>
      <w:r w:rsidRPr="00A82486">
        <w:rPr>
          <w:lang w:val="en-AU"/>
        </w:rPr>
        <w:t xml:space="preserve">cent in </w:t>
      </w:r>
      <w:r w:rsidR="005C1830">
        <w:rPr>
          <w:lang w:val="en-AU"/>
        </w:rPr>
        <w:t xml:space="preserve">the </w:t>
      </w:r>
      <w:r w:rsidRPr="00A82486">
        <w:rPr>
          <w:lang w:val="en-AU"/>
        </w:rPr>
        <w:t>2017-18</w:t>
      </w:r>
      <w:r w:rsidR="005C1830">
        <w:rPr>
          <w:lang w:val="en-AU"/>
        </w:rPr>
        <w:t xml:space="preserve"> regulatory year</w:t>
      </w:r>
      <w:r w:rsidRPr="00A82486">
        <w:rPr>
          <w:lang w:val="en-AU"/>
        </w:rPr>
        <w:t xml:space="preserve"> and </w:t>
      </w:r>
      <w:r w:rsidR="00A756DF" w:rsidRPr="00A82486">
        <w:rPr>
          <w:lang w:val="en-AU"/>
        </w:rPr>
        <w:t>27 </w:t>
      </w:r>
      <w:r w:rsidRPr="00A82486">
        <w:rPr>
          <w:lang w:val="en-AU"/>
        </w:rPr>
        <w:t>per</w:t>
      </w:r>
      <w:r w:rsidR="00A756DF" w:rsidRPr="00A82486">
        <w:rPr>
          <w:lang w:val="en-AU"/>
        </w:rPr>
        <w:t> </w:t>
      </w:r>
      <w:r w:rsidRPr="00A82486">
        <w:rPr>
          <w:lang w:val="en-AU"/>
        </w:rPr>
        <w:t xml:space="preserve">cent in </w:t>
      </w:r>
      <w:r w:rsidR="005C1830">
        <w:rPr>
          <w:lang w:val="en-AU"/>
        </w:rPr>
        <w:t xml:space="preserve">the </w:t>
      </w:r>
      <w:r w:rsidRPr="00A82486">
        <w:rPr>
          <w:lang w:val="en-AU"/>
        </w:rPr>
        <w:t>2018-19</w:t>
      </w:r>
      <w:r w:rsidR="005C1830">
        <w:rPr>
          <w:lang w:val="en-AU"/>
        </w:rPr>
        <w:t xml:space="preserve"> regulatory year</w:t>
      </w:r>
      <w:r w:rsidRPr="00A82486">
        <w:rPr>
          <w:lang w:val="en-AU"/>
        </w:rPr>
        <w:t>.</w:t>
      </w:r>
    </w:p>
    <w:p w14:paraId="170A898B" w14:textId="234DEB5B" w:rsidR="005B40DE" w:rsidRPr="00A82486" w:rsidRDefault="00522FF9" w:rsidP="005B40DE">
      <w:pPr>
        <w:pStyle w:val="NumberLevel2"/>
        <w:numPr>
          <w:ilvl w:val="1"/>
          <w:numId w:val="5"/>
        </w:numPr>
        <w:tabs>
          <w:tab w:val="clear" w:pos="3270"/>
          <w:tab w:val="num" w:pos="709"/>
        </w:tabs>
        <w:ind w:left="709" w:hanging="709"/>
        <w:rPr>
          <w:lang w:val="en-AU"/>
        </w:rPr>
      </w:pPr>
      <w:r w:rsidRPr="00A82486">
        <w:rPr>
          <w:lang w:val="en-AU"/>
        </w:rPr>
        <w:t xml:space="preserve">As noted by the NTMEU, this reduction in operating costs to the level of its peers, does not necessarily move PWC Networks to an efficient cost level. </w:t>
      </w:r>
      <w:r w:rsidR="005B40DE" w:rsidRPr="00A82486">
        <w:rPr>
          <w:lang w:val="en-AU"/>
        </w:rPr>
        <w:t xml:space="preserve">Assessment of the scope for further efficiency improvements is expected to be undertaken as part of the </w:t>
      </w:r>
      <w:r w:rsidR="00115DFD">
        <w:rPr>
          <w:lang w:val="en-AU"/>
        </w:rPr>
        <w:t>Post 2019 Network Price Determination</w:t>
      </w:r>
      <w:r w:rsidR="005B40DE" w:rsidRPr="00A82486">
        <w:rPr>
          <w:lang w:val="en-AU"/>
        </w:rPr>
        <w:t>.</w:t>
      </w:r>
    </w:p>
    <w:p w14:paraId="6C072872" w14:textId="6B84984D" w:rsidR="00980011" w:rsidRPr="00BB4EB2" w:rsidRDefault="00980011" w:rsidP="00980011">
      <w:pPr>
        <w:pStyle w:val="UtilComHeading2"/>
      </w:pPr>
      <w:bookmarkStart w:id="222" w:name="_Toc385241533"/>
      <w:bookmarkStart w:id="223" w:name="_Toc386013086"/>
      <w:r w:rsidRPr="00BB4EB2">
        <w:t xml:space="preserve">Commission’s </w:t>
      </w:r>
      <w:r w:rsidR="008B1697">
        <w:t>F</w:t>
      </w:r>
      <w:r w:rsidRPr="00BB4EB2">
        <w:t xml:space="preserve">inal </w:t>
      </w:r>
      <w:r w:rsidR="008B1697">
        <w:t>D</w:t>
      </w:r>
      <w:r w:rsidRPr="00BB4EB2">
        <w:t>ecision</w:t>
      </w:r>
      <w:bookmarkEnd w:id="222"/>
      <w:bookmarkEnd w:id="223"/>
    </w:p>
    <w:p w14:paraId="08FACAC4" w14:textId="22F570BD" w:rsidR="00EC7F70" w:rsidRDefault="00FD675B" w:rsidP="00FD675B">
      <w:pPr>
        <w:pStyle w:val="NumberLevel2"/>
        <w:numPr>
          <w:ilvl w:val="1"/>
          <w:numId w:val="5"/>
        </w:numPr>
        <w:tabs>
          <w:tab w:val="clear" w:pos="3270"/>
          <w:tab w:val="num" w:pos="709"/>
        </w:tabs>
        <w:ind w:left="709" w:hanging="709"/>
        <w:rPr>
          <w:lang w:val="en-AU"/>
        </w:rPr>
      </w:pPr>
      <w:r>
        <w:rPr>
          <w:lang w:val="en-AU"/>
        </w:rPr>
        <w:t xml:space="preserve">The Commission </w:t>
      </w:r>
      <w:r w:rsidR="00EC7F70">
        <w:rPr>
          <w:lang w:val="en-AU"/>
        </w:rPr>
        <w:t>i</w:t>
      </w:r>
      <w:r w:rsidR="000101EA">
        <w:rPr>
          <w:lang w:val="en-AU"/>
        </w:rPr>
        <w:t xml:space="preserve">s not satisfied that </w:t>
      </w:r>
      <w:r>
        <w:rPr>
          <w:lang w:val="en-AU"/>
        </w:rPr>
        <w:t xml:space="preserve">PWC Networks’ </w:t>
      </w:r>
      <w:r w:rsidR="000101EA">
        <w:rPr>
          <w:lang w:val="en-AU"/>
        </w:rPr>
        <w:t xml:space="preserve">revised </w:t>
      </w:r>
      <w:r>
        <w:rPr>
          <w:lang w:val="en-AU"/>
        </w:rPr>
        <w:t xml:space="preserve">proposed opex </w:t>
      </w:r>
      <w:r w:rsidR="000101EA">
        <w:rPr>
          <w:lang w:val="en-AU"/>
        </w:rPr>
        <w:t xml:space="preserve">forecast requiring a total </w:t>
      </w:r>
      <w:r>
        <w:rPr>
          <w:lang w:val="en-AU"/>
        </w:rPr>
        <w:t>of $5</w:t>
      </w:r>
      <w:r w:rsidR="008D3158">
        <w:rPr>
          <w:lang w:val="en-AU"/>
        </w:rPr>
        <w:t>28.1</w:t>
      </w:r>
      <w:r>
        <w:rPr>
          <w:lang w:val="en-AU"/>
        </w:rPr>
        <w:t xml:space="preserve"> million </w:t>
      </w:r>
      <w:r w:rsidR="008D3158">
        <w:rPr>
          <w:lang w:val="en-AU"/>
        </w:rPr>
        <w:t>($2013</w:t>
      </w:r>
      <w:r w:rsidR="00EC7F70">
        <w:rPr>
          <w:lang w:val="en-AU"/>
        </w:rPr>
        <w:noBreakHyphen/>
      </w:r>
      <w:r w:rsidR="008D3158">
        <w:rPr>
          <w:lang w:val="en-AU"/>
        </w:rPr>
        <w:t xml:space="preserve">14) </w:t>
      </w:r>
      <w:r w:rsidR="00EC7F70">
        <w:t xml:space="preserve">reasonably </w:t>
      </w:r>
      <w:r>
        <w:t xml:space="preserve">reflects the </w:t>
      </w:r>
      <w:r w:rsidRPr="009A3B67">
        <w:rPr>
          <w:lang w:val="en-AU"/>
        </w:rPr>
        <w:t xml:space="preserve">costs </w:t>
      </w:r>
      <w:r>
        <w:rPr>
          <w:lang w:val="en-AU"/>
        </w:rPr>
        <w:t xml:space="preserve">that will be </w:t>
      </w:r>
      <w:r w:rsidRPr="009A3B67">
        <w:rPr>
          <w:lang w:val="en-AU"/>
        </w:rPr>
        <w:t xml:space="preserve">incurred by </w:t>
      </w:r>
      <w:r>
        <w:rPr>
          <w:lang w:val="en-AU"/>
        </w:rPr>
        <w:t>PWC Networks</w:t>
      </w:r>
      <w:r w:rsidRPr="009A3B67">
        <w:rPr>
          <w:lang w:val="en-AU"/>
        </w:rPr>
        <w:t xml:space="preserve"> in connection with the operation and maintenance of </w:t>
      </w:r>
      <w:r w:rsidR="00EC7F70">
        <w:rPr>
          <w:lang w:val="en-AU"/>
        </w:rPr>
        <w:t>its</w:t>
      </w:r>
      <w:r w:rsidR="00EC7F70" w:rsidRPr="009A3B67">
        <w:rPr>
          <w:lang w:val="en-AU"/>
        </w:rPr>
        <w:t xml:space="preserve"> </w:t>
      </w:r>
      <w:r w:rsidRPr="009A3B67">
        <w:rPr>
          <w:lang w:val="en-AU"/>
        </w:rPr>
        <w:t>network</w:t>
      </w:r>
      <w:r w:rsidR="008D3158">
        <w:rPr>
          <w:lang w:val="en-AU"/>
        </w:rPr>
        <w:t xml:space="preserve"> in the 2014-19 regulatory control period</w:t>
      </w:r>
      <w:r>
        <w:rPr>
          <w:lang w:val="en-AU"/>
        </w:rPr>
        <w:t xml:space="preserve">. </w:t>
      </w:r>
    </w:p>
    <w:p w14:paraId="69A79DC4" w14:textId="1F67982D" w:rsidR="00FD675B" w:rsidRPr="00BB353A" w:rsidRDefault="00EC7F70" w:rsidP="00FD675B">
      <w:pPr>
        <w:pStyle w:val="NumberLevel2"/>
        <w:numPr>
          <w:ilvl w:val="1"/>
          <w:numId w:val="5"/>
        </w:numPr>
        <w:tabs>
          <w:tab w:val="clear" w:pos="3270"/>
          <w:tab w:val="num" w:pos="709"/>
        </w:tabs>
        <w:ind w:left="709" w:hanging="709"/>
        <w:rPr>
          <w:lang w:val="en-AU"/>
        </w:rPr>
      </w:pPr>
      <w:r>
        <w:rPr>
          <w:lang w:val="en-AU"/>
        </w:rPr>
        <w:t>In addition</w:t>
      </w:r>
      <w:r w:rsidR="00FD675B">
        <w:rPr>
          <w:lang w:val="en-AU"/>
        </w:rPr>
        <w:t>, t</w:t>
      </w:r>
      <w:r w:rsidR="00FD675B" w:rsidRPr="00BB353A">
        <w:rPr>
          <w:lang w:val="en-AU"/>
        </w:rPr>
        <w:t xml:space="preserve">he </w:t>
      </w:r>
      <w:r w:rsidR="00FD675B">
        <w:rPr>
          <w:lang w:val="en-AU"/>
        </w:rPr>
        <w:t>Commission</w:t>
      </w:r>
      <w:r w:rsidR="00FD675B" w:rsidRPr="00BB353A">
        <w:rPr>
          <w:lang w:val="en-AU"/>
        </w:rPr>
        <w:t xml:space="preserve"> </w:t>
      </w:r>
      <w:r>
        <w:rPr>
          <w:lang w:val="en-AU"/>
        </w:rPr>
        <w:t>is</w:t>
      </w:r>
      <w:r w:rsidRPr="00BB353A">
        <w:rPr>
          <w:lang w:val="en-AU"/>
        </w:rPr>
        <w:t xml:space="preserve"> </w:t>
      </w:r>
      <w:r w:rsidR="00FD675B" w:rsidRPr="00BB353A">
        <w:rPr>
          <w:lang w:val="en-AU"/>
        </w:rPr>
        <w:t xml:space="preserve">not satisfied that </w:t>
      </w:r>
      <w:r w:rsidR="00FD675B">
        <w:rPr>
          <w:lang w:val="en-AU"/>
        </w:rPr>
        <w:t>PWC Networks’</w:t>
      </w:r>
      <w:r w:rsidR="00FD675B" w:rsidRPr="00BB353A">
        <w:rPr>
          <w:lang w:val="en-AU"/>
        </w:rPr>
        <w:t xml:space="preserve"> </w:t>
      </w:r>
      <w:r>
        <w:rPr>
          <w:lang w:val="en-AU"/>
        </w:rPr>
        <w:t>revised</w:t>
      </w:r>
      <w:r w:rsidRPr="00BB353A">
        <w:rPr>
          <w:lang w:val="en-AU"/>
        </w:rPr>
        <w:t xml:space="preserve"> </w:t>
      </w:r>
      <w:r w:rsidR="00FD675B">
        <w:rPr>
          <w:lang w:val="en-AU"/>
        </w:rPr>
        <w:t>o</w:t>
      </w:r>
      <w:r w:rsidR="00FD675B" w:rsidRPr="00BB353A">
        <w:rPr>
          <w:lang w:val="en-AU"/>
        </w:rPr>
        <w:t>pex</w:t>
      </w:r>
      <w:r>
        <w:rPr>
          <w:lang w:val="en-AU"/>
        </w:rPr>
        <w:t xml:space="preserve"> forecast</w:t>
      </w:r>
      <w:r w:rsidR="00FD675B" w:rsidRPr="00BB353A">
        <w:rPr>
          <w:lang w:val="en-AU"/>
        </w:rPr>
        <w:t xml:space="preserve">, taking into account the </w:t>
      </w:r>
      <w:r>
        <w:rPr>
          <w:lang w:val="en-AU"/>
        </w:rPr>
        <w:t>operating expenditure</w:t>
      </w:r>
      <w:r w:rsidRPr="00BB353A">
        <w:rPr>
          <w:lang w:val="en-AU"/>
        </w:rPr>
        <w:t xml:space="preserve"> </w:t>
      </w:r>
      <w:r w:rsidR="00FD675B" w:rsidRPr="00BB353A">
        <w:rPr>
          <w:lang w:val="en-AU"/>
        </w:rPr>
        <w:t xml:space="preserve">factors, reasonably reflects the </w:t>
      </w:r>
      <w:r>
        <w:rPr>
          <w:lang w:val="en-AU"/>
        </w:rPr>
        <w:t>operating expenditure</w:t>
      </w:r>
      <w:r w:rsidRPr="00BB353A">
        <w:rPr>
          <w:lang w:val="en-AU"/>
        </w:rPr>
        <w:t xml:space="preserve"> </w:t>
      </w:r>
      <w:r w:rsidR="00FD675B" w:rsidRPr="00BB353A">
        <w:rPr>
          <w:lang w:val="en-AU"/>
        </w:rPr>
        <w:t>criteria in clause 6.5.</w:t>
      </w:r>
      <w:r w:rsidR="00FD675B">
        <w:rPr>
          <w:lang w:val="en-AU"/>
        </w:rPr>
        <w:t>6</w:t>
      </w:r>
      <w:r w:rsidR="00FD675B" w:rsidRPr="00BB353A">
        <w:rPr>
          <w:lang w:val="en-AU"/>
        </w:rPr>
        <w:t xml:space="preserve"> of the NER. </w:t>
      </w:r>
    </w:p>
    <w:p w14:paraId="5E5C47E3" w14:textId="043A879A" w:rsidR="00FD675B" w:rsidRDefault="00EC7F70" w:rsidP="00FD675B">
      <w:pPr>
        <w:pStyle w:val="NumberLevel2"/>
        <w:numPr>
          <w:ilvl w:val="1"/>
          <w:numId w:val="5"/>
        </w:numPr>
        <w:tabs>
          <w:tab w:val="num" w:pos="709"/>
        </w:tabs>
        <w:ind w:left="709" w:hanging="709"/>
        <w:rPr>
          <w:lang w:val="en-AU"/>
        </w:rPr>
      </w:pPr>
      <w:r>
        <w:rPr>
          <w:lang w:val="en-AU"/>
        </w:rPr>
        <w:t xml:space="preserve">As such, the Commission has decided to substitute PWC Networks’ proposed opex forecasts with its </w:t>
      </w:r>
      <w:r w:rsidR="0030167B">
        <w:rPr>
          <w:lang w:val="en-AU"/>
        </w:rPr>
        <w:t xml:space="preserve">own </w:t>
      </w:r>
      <w:r>
        <w:rPr>
          <w:lang w:val="en-AU"/>
        </w:rPr>
        <w:t xml:space="preserve">estimate of PWC Networks’ total required opex which takes account of </w:t>
      </w:r>
      <w:r w:rsidR="00FD675B">
        <w:rPr>
          <w:lang w:val="en-AU"/>
        </w:rPr>
        <w:t xml:space="preserve">the following </w:t>
      </w:r>
      <w:r w:rsidR="00FD675B" w:rsidRPr="005B6B13">
        <w:rPr>
          <w:lang w:val="en-AU"/>
        </w:rPr>
        <w:t>adjustments</w:t>
      </w:r>
      <w:r w:rsidR="004E09D0">
        <w:rPr>
          <w:lang w:val="en-AU"/>
        </w:rPr>
        <w:t>:</w:t>
      </w:r>
      <w:r w:rsidR="00FD675B">
        <w:rPr>
          <w:rStyle w:val="FootnoteReference"/>
          <w:lang w:val="en-AU"/>
        </w:rPr>
        <w:footnoteReference w:id="59"/>
      </w:r>
    </w:p>
    <w:p w14:paraId="153EA795" w14:textId="19889197" w:rsidR="00FD675B" w:rsidRDefault="00FD675B" w:rsidP="008E229D">
      <w:pPr>
        <w:pStyle w:val="UtilComBulletText"/>
        <w:numPr>
          <w:ilvl w:val="0"/>
          <w:numId w:val="6"/>
        </w:numPr>
        <w:tabs>
          <w:tab w:val="clear" w:pos="964"/>
          <w:tab w:val="num" w:pos="1134"/>
        </w:tabs>
        <w:ind w:left="1134" w:hanging="425"/>
      </w:pPr>
      <w:r>
        <w:t>a reduction of $</w:t>
      </w:r>
      <w:r w:rsidR="00EC7F70">
        <w:t>8 </w:t>
      </w:r>
      <w:r>
        <w:t xml:space="preserve">million to </w:t>
      </w:r>
      <w:r w:rsidR="00EC7F70">
        <w:t xml:space="preserve">PWC Networks’ service delivery </w:t>
      </w:r>
      <w:r>
        <w:t xml:space="preserve">opex forecast as some components of work </w:t>
      </w:r>
      <w:r w:rsidR="00EC7F70">
        <w:t xml:space="preserve">have </w:t>
      </w:r>
      <w:r>
        <w:t>not</w:t>
      </w:r>
      <w:r w:rsidR="00EC7F70">
        <w:t xml:space="preserve"> been</w:t>
      </w:r>
      <w:r>
        <w:t xml:space="preserve"> demonstrated to be prudent;</w:t>
      </w:r>
    </w:p>
    <w:p w14:paraId="1C1A4576" w14:textId="464DADDF" w:rsidR="00FD675B" w:rsidRDefault="00FD675B" w:rsidP="008E229D">
      <w:pPr>
        <w:pStyle w:val="UtilComBulletText"/>
        <w:numPr>
          <w:ilvl w:val="0"/>
          <w:numId w:val="6"/>
        </w:numPr>
        <w:tabs>
          <w:tab w:val="clear" w:pos="964"/>
          <w:tab w:val="num" w:pos="1134"/>
        </w:tabs>
        <w:ind w:left="1134" w:hanging="425"/>
      </w:pPr>
      <w:r>
        <w:t>a reduction of $0.</w:t>
      </w:r>
      <w:r w:rsidR="00EC7F70">
        <w:t>7 </w:t>
      </w:r>
      <w:r>
        <w:t xml:space="preserve">million to </w:t>
      </w:r>
      <w:r w:rsidR="00EC7F70">
        <w:t xml:space="preserve">PWC Networks’ regulatory costs </w:t>
      </w:r>
      <w:r>
        <w:t xml:space="preserve">opex forecast as many of the regulatory functions are already undertaken by the Network Management group and one </w:t>
      </w:r>
      <w:r w:rsidR="00EC7F70">
        <w:t xml:space="preserve">full time employee </w:t>
      </w:r>
      <w:r>
        <w:t>should be sufficient to address any new requirements;</w:t>
      </w:r>
    </w:p>
    <w:p w14:paraId="36E78FE4" w14:textId="4A6AC38A" w:rsidR="00FD675B" w:rsidRPr="00EC7F70" w:rsidRDefault="00FD675B" w:rsidP="008E229D">
      <w:pPr>
        <w:pStyle w:val="UtilComBulletText"/>
        <w:numPr>
          <w:ilvl w:val="0"/>
          <w:numId w:val="6"/>
        </w:numPr>
        <w:tabs>
          <w:tab w:val="clear" w:pos="964"/>
          <w:tab w:val="clear" w:pos="1134"/>
          <w:tab w:val="num" w:pos="1276"/>
        </w:tabs>
        <w:ind w:left="1134" w:hanging="425"/>
      </w:pPr>
      <w:r>
        <w:t xml:space="preserve">a reduction of </w:t>
      </w:r>
      <w:r w:rsidR="00EC7F70">
        <w:t>$5.2 </w:t>
      </w:r>
      <w:r w:rsidRPr="00EC7F70">
        <w:t xml:space="preserve">million to the </w:t>
      </w:r>
      <w:r w:rsidR="00EC7F70">
        <w:t>v</w:t>
      </w:r>
      <w:r w:rsidR="00EC7F70" w:rsidRPr="00EC7F70">
        <w:t xml:space="preserve">egetation </w:t>
      </w:r>
      <w:r w:rsidR="00EC7F70">
        <w:t>m</w:t>
      </w:r>
      <w:r w:rsidR="00EC7F70" w:rsidRPr="00EC7F70">
        <w:t xml:space="preserve">anagement </w:t>
      </w:r>
      <w:r w:rsidRPr="00EC7F70">
        <w:t>opex forecast as the need to increase the vegetation management program from historical levels has not been established;</w:t>
      </w:r>
    </w:p>
    <w:p w14:paraId="6C87F75D" w14:textId="4C19AD44" w:rsidR="00FD675B" w:rsidRPr="00EC7F70" w:rsidRDefault="00FD675B" w:rsidP="008E229D">
      <w:pPr>
        <w:pStyle w:val="UtilComBulletText"/>
        <w:numPr>
          <w:ilvl w:val="0"/>
          <w:numId w:val="6"/>
        </w:numPr>
        <w:tabs>
          <w:tab w:val="clear" w:pos="964"/>
          <w:tab w:val="clear" w:pos="1134"/>
          <w:tab w:val="num" w:pos="1276"/>
        </w:tabs>
        <w:ind w:left="1134" w:hanging="425"/>
      </w:pPr>
      <w:r w:rsidRPr="00EC7F70">
        <w:t>a reduction of $</w:t>
      </w:r>
      <w:r w:rsidR="00AA7FC6" w:rsidRPr="00EC7F70">
        <w:t>4.</w:t>
      </w:r>
      <w:r w:rsidR="00EC7F70" w:rsidRPr="00EC7F70">
        <w:t>8</w:t>
      </w:r>
      <w:r w:rsidR="00EC7F70">
        <w:t> </w:t>
      </w:r>
      <w:r w:rsidRPr="00EC7F70">
        <w:t xml:space="preserve">million </w:t>
      </w:r>
      <w:r w:rsidR="008D3158" w:rsidRPr="00EC7F70">
        <w:t>related to adjustments to real cost escalators</w:t>
      </w:r>
      <w:r w:rsidRPr="00EC7F70">
        <w:t>; and</w:t>
      </w:r>
    </w:p>
    <w:p w14:paraId="3729AD50" w14:textId="5755DCCA" w:rsidR="00FD675B" w:rsidRPr="003A1D74" w:rsidRDefault="00FD675B" w:rsidP="008E229D">
      <w:pPr>
        <w:pStyle w:val="UtilComBulletText"/>
        <w:numPr>
          <w:ilvl w:val="0"/>
          <w:numId w:val="6"/>
        </w:numPr>
        <w:tabs>
          <w:tab w:val="clear" w:pos="964"/>
          <w:tab w:val="clear" w:pos="1134"/>
          <w:tab w:val="num" w:pos="1276"/>
        </w:tabs>
        <w:ind w:left="1134" w:hanging="425"/>
      </w:pPr>
      <w:r w:rsidRPr="00EC7F70">
        <w:t xml:space="preserve">a reduction of </w:t>
      </w:r>
      <w:r w:rsidR="00AF25B5">
        <w:t>$</w:t>
      </w:r>
      <w:r w:rsidR="005C1830">
        <w:t>78.2</w:t>
      </w:r>
      <w:r w:rsidR="00EC7F70">
        <w:t> </w:t>
      </w:r>
      <w:r>
        <w:t>million as a further unallocated efficiency adjustment to bring PWC Networks</w:t>
      </w:r>
      <w:r w:rsidR="004E09D0">
        <w:t>’</w:t>
      </w:r>
      <w:r>
        <w:t xml:space="preserve"> opex closer to the average achieved by its peers.</w:t>
      </w:r>
    </w:p>
    <w:p w14:paraId="53BD35D7" w14:textId="5833531B" w:rsidR="00EC7F70" w:rsidRDefault="00FD675B" w:rsidP="00FD675B">
      <w:pPr>
        <w:pStyle w:val="NumberLevel2"/>
        <w:numPr>
          <w:ilvl w:val="1"/>
          <w:numId w:val="5"/>
        </w:numPr>
        <w:tabs>
          <w:tab w:val="num" w:pos="709"/>
        </w:tabs>
        <w:ind w:left="709" w:hanging="709"/>
        <w:rPr>
          <w:lang w:val="en-AU"/>
        </w:rPr>
      </w:pPr>
      <w:r w:rsidRPr="005B6B13">
        <w:rPr>
          <w:lang w:val="en-AU"/>
        </w:rPr>
        <w:t xml:space="preserve">The </w:t>
      </w:r>
      <w:r>
        <w:rPr>
          <w:lang w:val="en-AU"/>
        </w:rPr>
        <w:t>Commission</w:t>
      </w:r>
      <w:r w:rsidRPr="005B6B13">
        <w:rPr>
          <w:lang w:val="en-AU"/>
        </w:rPr>
        <w:t xml:space="preserve"> considers th</w:t>
      </w:r>
      <w:r w:rsidR="008D3158">
        <w:rPr>
          <w:lang w:val="en-AU"/>
        </w:rPr>
        <w:t>ese</w:t>
      </w:r>
      <w:r w:rsidRPr="005B6B13">
        <w:rPr>
          <w:lang w:val="en-AU"/>
        </w:rPr>
        <w:t xml:space="preserve"> </w:t>
      </w:r>
      <w:r w:rsidR="008D3158">
        <w:rPr>
          <w:lang w:val="en-AU"/>
        </w:rPr>
        <w:t>adjustments</w:t>
      </w:r>
      <w:r w:rsidRPr="005B6B13">
        <w:rPr>
          <w:lang w:val="en-AU"/>
        </w:rPr>
        <w:t xml:space="preserve"> </w:t>
      </w:r>
      <w:r w:rsidR="00EC7F70">
        <w:rPr>
          <w:lang w:val="en-AU"/>
        </w:rPr>
        <w:t>are</w:t>
      </w:r>
      <w:r w:rsidRPr="005B6B13">
        <w:rPr>
          <w:lang w:val="en-AU"/>
        </w:rPr>
        <w:t xml:space="preserve"> the minimum necessary to ensure </w:t>
      </w:r>
      <w:r>
        <w:rPr>
          <w:lang w:val="en-AU"/>
        </w:rPr>
        <w:t>PWC Networks’</w:t>
      </w:r>
      <w:r w:rsidRPr="005B6B13">
        <w:rPr>
          <w:lang w:val="en-AU"/>
        </w:rPr>
        <w:t xml:space="preserve"> </w:t>
      </w:r>
      <w:r>
        <w:rPr>
          <w:lang w:val="en-AU"/>
        </w:rPr>
        <w:t>o</w:t>
      </w:r>
      <w:r w:rsidRPr="005B6B13">
        <w:rPr>
          <w:lang w:val="en-AU"/>
        </w:rPr>
        <w:t xml:space="preserve">pex forecast </w:t>
      </w:r>
      <w:r w:rsidR="008D3158">
        <w:t xml:space="preserve">reflects the </w:t>
      </w:r>
      <w:r w:rsidR="008D3158" w:rsidRPr="009A3B67">
        <w:rPr>
          <w:lang w:val="en-AU"/>
        </w:rPr>
        <w:t xml:space="preserve">reasonable costs </w:t>
      </w:r>
      <w:r w:rsidR="008D3158">
        <w:rPr>
          <w:lang w:val="en-AU"/>
        </w:rPr>
        <w:t xml:space="preserve">that will be </w:t>
      </w:r>
      <w:r w:rsidR="008D3158" w:rsidRPr="009A3B67">
        <w:rPr>
          <w:lang w:val="en-AU"/>
        </w:rPr>
        <w:t xml:space="preserve">incurred by </w:t>
      </w:r>
      <w:r w:rsidR="008D3158">
        <w:rPr>
          <w:lang w:val="en-AU"/>
        </w:rPr>
        <w:t>PWC Networks</w:t>
      </w:r>
      <w:r w:rsidR="008D3158" w:rsidRPr="009A3B67">
        <w:rPr>
          <w:lang w:val="en-AU"/>
        </w:rPr>
        <w:t xml:space="preserve"> in connection with the operation and maintenance of </w:t>
      </w:r>
      <w:r w:rsidR="00EC7F70">
        <w:rPr>
          <w:lang w:val="en-AU"/>
        </w:rPr>
        <w:t>its electricity</w:t>
      </w:r>
      <w:r w:rsidR="00EC7F70" w:rsidRPr="009A3B67">
        <w:rPr>
          <w:lang w:val="en-AU"/>
        </w:rPr>
        <w:t xml:space="preserve"> </w:t>
      </w:r>
      <w:r w:rsidR="008D3158" w:rsidRPr="009A3B67">
        <w:rPr>
          <w:lang w:val="en-AU"/>
        </w:rPr>
        <w:t>network</w:t>
      </w:r>
      <w:r w:rsidR="008D3158">
        <w:rPr>
          <w:lang w:val="en-AU"/>
        </w:rPr>
        <w:t xml:space="preserve"> in the 2014-19 regulatory control period</w:t>
      </w:r>
      <w:r w:rsidR="00EC7F70">
        <w:rPr>
          <w:lang w:val="en-AU"/>
        </w:rPr>
        <w:t>, having regard to the operating expenditure criteria</w:t>
      </w:r>
      <w:r w:rsidR="0030167B">
        <w:rPr>
          <w:lang w:val="en-AU"/>
        </w:rPr>
        <w:t xml:space="preserve"> and </w:t>
      </w:r>
      <w:r w:rsidR="00EC7F70">
        <w:rPr>
          <w:lang w:val="en-AU"/>
        </w:rPr>
        <w:t>taking into account the operating expenditure factors</w:t>
      </w:r>
      <w:r w:rsidRPr="005B6B13">
        <w:rPr>
          <w:lang w:val="en-AU"/>
        </w:rPr>
        <w:t>.</w:t>
      </w:r>
      <w:r w:rsidR="008D3158" w:rsidRPr="008D3158">
        <w:rPr>
          <w:lang w:val="en-AU"/>
        </w:rPr>
        <w:t xml:space="preserve"> </w:t>
      </w:r>
    </w:p>
    <w:p w14:paraId="54EA9992" w14:textId="732E1764" w:rsidR="00FD675B" w:rsidRDefault="008D3158" w:rsidP="00FD675B">
      <w:pPr>
        <w:pStyle w:val="NumberLevel2"/>
        <w:numPr>
          <w:ilvl w:val="1"/>
          <w:numId w:val="5"/>
        </w:numPr>
        <w:tabs>
          <w:tab w:val="num" w:pos="709"/>
        </w:tabs>
        <w:ind w:left="709" w:hanging="709"/>
        <w:rPr>
          <w:lang w:val="en-AU"/>
        </w:rPr>
      </w:pPr>
      <w:r>
        <w:rPr>
          <w:lang w:val="en-AU"/>
        </w:rPr>
        <w:t>Allowing for the adjustments listed above</w:t>
      </w:r>
      <w:r w:rsidR="000708FA">
        <w:rPr>
          <w:lang w:val="en-AU"/>
        </w:rPr>
        <w:t>,</w:t>
      </w:r>
      <w:r>
        <w:rPr>
          <w:lang w:val="en-AU"/>
        </w:rPr>
        <w:t xml:space="preserve"> </w:t>
      </w:r>
      <w:r w:rsidR="000708FA">
        <w:rPr>
          <w:lang w:val="en-AU"/>
        </w:rPr>
        <w:t xml:space="preserve">the </w:t>
      </w:r>
      <w:r>
        <w:rPr>
          <w:lang w:val="en-AU"/>
        </w:rPr>
        <w:t xml:space="preserve">Commission’s estimate of forecast opex for PWC Networks is </w:t>
      </w:r>
      <w:r w:rsidR="005C1830">
        <w:rPr>
          <w:lang w:val="en-AU"/>
        </w:rPr>
        <w:t>$431.1</w:t>
      </w:r>
      <w:r>
        <w:rPr>
          <w:lang w:val="en-AU"/>
        </w:rPr>
        <w:t xml:space="preserve"> million, as set out in Table 10.7. </w:t>
      </w:r>
    </w:p>
    <w:p w14:paraId="47126921" w14:textId="7D349896" w:rsidR="00FD675B" w:rsidRPr="00A139AD" w:rsidRDefault="00FD675B" w:rsidP="00FD675B">
      <w:pPr>
        <w:pStyle w:val="UtilComTableTitle"/>
        <w:keepNext/>
        <w:spacing w:before="120" w:after="0" w:line="240" w:lineRule="exact"/>
      </w:pPr>
      <w:r>
        <w:t>Table 10.</w:t>
      </w:r>
      <w:r w:rsidR="008D3158">
        <w:t>7</w:t>
      </w:r>
      <w:r>
        <w:t>: Commission</w:t>
      </w:r>
      <w:r w:rsidR="000708FA">
        <w:t>’s</w:t>
      </w:r>
      <w:r w:rsidRPr="00B97588">
        <w:t xml:space="preserve"> </w:t>
      </w:r>
      <w:r w:rsidR="000708FA">
        <w:t>decision</w:t>
      </w:r>
      <w:r w:rsidR="000708FA" w:rsidRPr="00B97588">
        <w:t xml:space="preserve"> </w:t>
      </w:r>
      <w:r w:rsidRPr="00B97588">
        <w:t xml:space="preserve">on </w:t>
      </w:r>
      <w:r>
        <w:t>PWC Networks</w:t>
      </w:r>
      <w:r w:rsidRPr="00B97588">
        <w:t xml:space="preserve"> </w:t>
      </w:r>
      <w:r w:rsidR="000708FA">
        <w:t xml:space="preserve">estimated total </w:t>
      </w:r>
      <w:r>
        <w:t>o</w:t>
      </w:r>
      <w:r w:rsidRPr="00B97588">
        <w:t xml:space="preserve">pex </w:t>
      </w:r>
      <w:r w:rsidR="000708FA">
        <w:t>forecast</w:t>
      </w:r>
      <w:r w:rsidRPr="00125E7A">
        <w:t xml:space="preserve"> ($</w:t>
      </w:r>
      <w:r>
        <w:t>M</w:t>
      </w:r>
      <w:r w:rsidRPr="00125E7A">
        <w:t xml:space="preserve">, </w:t>
      </w:r>
      <w:r>
        <w:t>2013-14</w:t>
      </w:r>
      <w:r w:rsidRPr="00125E7A">
        <w:t>)</w:t>
      </w:r>
      <w:r w:rsidR="001A3421">
        <w:t xml:space="preserve"> </w:t>
      </w:r>
    </w:p>
    <w:tbl>
      <w:tblPr>
        <w:tblW w:w="9137"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127"/>
        <w:gridCol w:w="1168"/>
        <w:gridCol w:w="1168"/>
        <w:gridCol w:w="1169"/>
        <w:gridCol w:w="1168"/>
        <w:gridCol w:w="1168"/>
        <w:gridCol w:w="1169"/>
      </w:tblGrid>
      <w:tr w:rsidR="00FD675B" w:rsidRPr="008A4655" w14:paraId="2A785ACC" w14:textId="77777777" w:rsidTr="00114B1D">
        <w:trPr>
          <w:cantSplit/>
          <w:trHeight w:val="360"/>
          <w:tblHeader/>
        </w:trPr>
        <w:tc>
          <w:tcPr>
            <w:tcW w:w="2127" w:type="dxa"/>
            <w:tcBorders>
              <w:top w:val="single" w:sz="4" w:space="0" w:color="999999"/>
              <w:bottom w:val="single" w:sz="4" w:space="0" w:color="auto"/>
            </w:tcBorders>
          </w:tcPr>
          <w:p w14:paraId="2857F0D4" w14:textId="77777777" w:rsidR="00FD675B" w:rsidRPr="00EE5A08" w:rsidRDefault="00FD675B" w:rsidP="001A3421">
            <w:pPr>
              <w:pStyle w:val="UtilComTabletext"/>
              <w:rPr>
                <w:b/>
              </w:rPr>
            </w:pPr>
          </w:p>
        </w:tc>
        <w:tc>
          <w:tcPr>
            <w:tcW w:w="1168" w:type="dxa"/>
            <w:tcBorders>
              <w:top w:val="single" w:sz="4" w:space="0" w:color="999999"/>
              <w:bottom w:val="single" w:sz="4" w:space="0" w:color="auto"/>
            </w:tcBorders>
            <w:tcMar>
              <w:left w:w="0" w:type="dxa"/>
            </w:tcMar>
            <w:vAlign w:val="bottom"/>
          </w:tcPr>
          <w:p w14:paraId="50BEC6B0" w14:textId="77777777" w:rsidR="00FD675B" w:rsidRPr="00EE5A08" w:rsidRDefault="00FD675B" w:rsidP="001A3421">
            <w:pPr>
              <w:pStyle w:val="UtilComTabletext"/>
              <w:jc w:val="right"/>
              <w:rPr>
                <w:b/>
              </w:rPr>
            </w:pPr>
            <w:r>
              <w:rPr>
                <w:b/>
              </w:rPr>
              <w:t>2014-15</w:t>
            </w:r>
          </w:p>
        </w:tc>
        <w:tc>
          <w:tcPr>
            <w:tcW w:w="1168" w:type="dxa"/>
            <w:tcBorders>
              <w:top w:val="single" w:sz="4" w:space="0" w:color="999999"/>
              <w:bottom w:val="single" w:sz="4" w:space="0" w:color="auto"/>
            </w:tcBorders>
            <w:tcMar>
              <w:left w:w="0" w:type="dxa"/>
            </w:tcMar>
            <w:vAlign w:val="bottom"/>
          </w:tcPr>
          <w:p w14:paraId="41D92754" w14:textId="77777777" w:rsidR="00FD675B" w:rsidRPr="00EE5A08" w:rsidRDefault="00FD675B" w:rsidP="001A3421">
            <w:pPr>
              <w:pStyle w:val="UtilComTabletext"/>
              <w:jc w:val="right"/>
              <w:rPr>
                <w:b/>
              </w:rPr>
            </w:pPr>
            <w:r>
              <w:rPr>
                <w:b/>
              </w:rPr>
              <w:t>2015-16</w:t>
            </w:r>
          </w:p>
        </w:tc>
        <w:tc>
          <w:tcPr>
            <w:tcW w:w="1169" w:type="dxa"/>
            <w:tcBorders>
              <w:top w:val="single" w:sz="4" w:space="0" w:color="999999"/>
              <w:bottom w:val="single" w:sz="4" w:space="0" w:color="auto"/>
            </w:tcBorders>
            <w:vAlign w:val="bottom"/>
          </w:tcPr>
          <w:p w14:paraId="42C68FBE" w14:textId="77777777" w:rsidR="00FD675B" w:rsidRDefault="00FD675B" w:rsidP="001A3421">
            <w:pPr>
              <w:pStyle w:val="UtilComTabletext"/>
              <w:jc w:val="right"/>
              <w:rPr>
                <w:b/>
              </w:rPr>
            </w:pPr>
            <w:r>
              <w:rPr>
                <w:b/>
              </w:rPr>
              <w:t>2016-17</w:t>
            </w:r>
          </w:p>
        </w:tc>
        <w:tc>
          <w:tcPr>
            <w:tcW w:w="1168" w:type="dxa"/>
            <w:tcBorders>
              <w:top w:val="single" w:sz="4" w:space="0" w:color="999999"/>
              <w:bottom w:val="single" w:sz="4" w:space="0" w:color="auto"/>
            </w:tcBorders>
            <w:vAlign w:val="bottom"/>
          </w:tcPr>
          <w:p w14:paraId="568537C6" w14:textId="77777777" w:rsidR="00FD675B" w:rsidRDefault="00FD675B" w:rsidP="001A3421">
            <w:pPr>
              <w:pStyle w:val="UtilComTabletext"/>
              <w:jc w:val="right"/>
              <w:rPr>
                <w:b/>
              </w:rPr>
            </w:pPr>
            <w:r>
              <w:rPr>
                <w:b/>
              </w:rPr>
              <w:t>2017-18</w:t>
            </w:r>
          </w:p>
        </w:tc>
        <w:tc>
          <w:tcPr>
            <w:tcW w:w="1168" w:type="dxa"/>
            <w:tcBorders>
              <w:top w:val="single" w:sz="4" w:space="0" w:color="999999"/>
              <w:bottom w:val="single" w:sz="4" w:space="0" w:color="auto"/>
            </w:tcBorders>
            <w:vAlign w:val="bottom"/>
          </w:tcPr>
          <w:p w14:paraId="4FB99945" w14:textId="77777777" w:rsidR="00FD675B" w:rsidRDefault="00FD675B" w:rsidP="001A3421">
            <w:pPr>
              <w:pStyle w:val="UtilComTabletext"/>
              <w:jc w:val="right"/>
              <w:rPr>
                <w:b/>
              </w:rPr>
            </w:pPr>
            <w:r>
              <w:rPr>
                <w:b/>
              </w:rPr>
              <w:t>2018-19</w:t>
            </w:r>
          </w:p>
        </w:tc>
        <w:tc>
          <w:tcPr>
            <w:tcW w:w="1169" w:type="dxa"/>
            <w:tcBorders>
              <w:top w:val="single" w:sz="4" w:space="0" w:color="999999"/>
              <w:bottom w:val="single" w:sz="4" w:space="0" w:color="auto"/>
            </w:tcBorders>
            <w:tcMar>
              <w:left w:w="0" w:type="dxa"/>
            </w:tcMar>
            <w:vAlign w:val="bottom"/>
          </w:tcPr>
          <w:p w14:paraId="1E39CCF3" w14:textId="77777777" w:rsidR="00FD675B" w:rsidRPr="00EE5A08" w:rsidRDefault="00FD675B" w:rsidP="001A3421">
            <w:pPr>
              <w:pStyle w:val="UtilComTabletext"/>
              <w:jc w:val="right"/>
              <w:rPr>
                <w:b/>
              </w:rPr>
            </w:pPr>
            <w:r>
              <w:rPr>
                <w:b/>
              </w:rPr>
              <w:t>Total</w:t>
            </w:r>
          </w:p>
        </w:tc>
      </w:tr>
      <w:tr w:rsidR="001A3421" w:rsidRPr="008A4655" w14:paraId="7F82CBA4" w14:textId="77777777" w:rsidTr="00114B1D">
        <w:trPr>
          <w:cantSplit/>
          <w:trHeight w:val="360"/>
          <w:tblHeader/>
        </w:trPr>
        <w:tc>
          <w:tcPr>
            <w:tcW w:w="2127" w:type="dxa"/>
            <w:tcBorders>
              <w:top w:val="single" w:sz="4" w:space="0" w:color="auto"/>
              <w:bottom w:val="single" w:sz="4" w:space="0" w:color="999999"/>
            </w:tcBorders>
          </w:tcPr>
          <w:p w14:paraId="664019C0" w14:textId="77777777" w:rsidR="001A3421" w:rsidRDefault="001A3421" w:rsidP="001A3421">
            <w:pPr>
              <w:pStyle w:val="UtilComTabletext"/>
            </w:pPr>
            <w:r>
              <w:t>PWC Networks proposed opex</w:t>
            </w:r>
          </w:p>
        </w:tc>
        <w:tc>
          <w:tcPr>
            <w:tcW w:w="1168" w:type="dxa"/>
            <w:tcBorders>
              <w:top w:val="single" w:sz="4" w:space="0" w:color="auto"/>
              <w:bottom w:val="single" w:sz="4" w:space="0" w:color="999999"/>
            </w:tcBorders>
            <w:shd w:val="clear" w:color="auto" w:fill="auto"/>
          </w:tcPr>
          <w:p w14:paraId="4428CC31" w14:textId="77777777" w:rsidR="001A3421" w:rsidRPr="00686C14" w:rsidRDefault="001A3421" w:rsidP="001A3421">
            <w:pPr>
              <w:pStyle w:val="UtilComTabletext"/>
              <w:jc w:val="right"/>
            </w:pPr>
            <w:r w:rsidRPr="005F6EA0">
              <w:t xml:space="preserve"> 106.43 </w:t>
            </w:r>
          </w:p>
        </w:tc>
        <w:tc>
          <w:tcPr>
            <w:tcW w:w="1168" w:type="dxa"/>
            <w:tcBorders>
              <w:top w:val="single" w:sz="4" w:space="0" w:color="auto"/>
              <w:bottom w:val="single" w:sz="4" w:space="0" w:color="999999"/>
            </w:tcBorders>
            <w:shd w:val="clear" w:color="auto" w:fill="auto"/>
          </w:tcPr>
          <w:p w14:paraId="6C2E4DCA" w14:textId="77777777" w:rsidR="001A3421" w:rsidRPr="00686C14" w:rsidRDefault="001A3421" w:rsidP="001A3421">
            <w:pPr>
              <w:pStyle w:val="UtilComTabletext"/>
              <w:jc w:val="right"/>
            </w:pPr>
            <w:r w:rsidRPr="005F6EA0">
              <w:t xml:space="preserve"> 105.29 </w:t>
            </w:r>
          </w:p>
        </w:tc>
        <w:tc>
          <w:tcPr>
            <w:tcW w:w="1169" w:type="dxa"/>
            <w:tcBorders>
              <w:top w:val="single" w:sz="4" w:space="0" w:color="auto"/>
              <w:bottom w:val="single" w:sz="4" w:space="0" w:color="999999"/>
            </w:tcBorders>
          </w:tcPr>
          <w:p w14:paraId="476B1DFE" w14:textId="77777777" w:rsidR="001A3421" w:rsidRPr="00686C14" w:rsidRDefault="001A3421" w:rsidP="001A3421">
            <w:pPr>
              <w:pStyle w:val="UtilComTabletext"/>
              <w:jc w:val="right"/>
            </w:pPr>
            <w:r w:rsidRPr="005F6EA0">
              <w:t xml:space="preserve"> 107.11 </w:t>
            </w:r>
          </w:p>
        </w:tc>
        <w:tc>
          <w:tcPr>
            <w:tcW w:w="1168" w:type="dxa"/>
            <w:tcBorders>
              <w:top w:val="single" w:sz="4" w:space="0" w:color="auto"/>
              <w:bottom w:val="single" w:sz="4" w:space="0" w:color="999999"/>
            </w:tcBorders>
          </w:tcPr>
          <w:p w14:paraId="736A6A6B" w14:textId="77777777" w:rsidR="001A3421" w:rsidRPr="00686C14" w:rsidRDefault="001A3421" w:rsidP="001A3421">
            <w:pPr>
              <w:pStyle w:val="UtilComTabletext"/>
              <w:jc w:val="right"/>
            </w:pPr>
            <w:r w:rsidRPr="005F6EA0">
              <w:t xml:space="preserve"> 104.72 </w:t>
            </w:r>
          </w:p>
        </w:tc>
        <w:tc>
          <w:tcPr>
            <w:tcW w:w="1168" w:type="dxa"/>
            <w:tcBorders>
              <w:top w:val="single" w:sz="4" w:space="0" w:color="auto"/>
              <w:bottom w:val="single" w:sz="4" w:space="0" w:color="999999"/>
            </w:tcBorders>
          </w:tcPr>
          <w:p w14:paraId="54818035" w14:textId="77777777" w:rsidR="001A3421" w:rsidRPr="00686C14" w:rsidRDefault="001A3421" w:rsidP="001A3421">
            <w:pPr>
              <w:pStyle w:val="UtilComTabletext"/>
              <w:jc w:val="right"/>
            </w:pPr>
            <w:r w:rsidRPr="005F6EA0">
              <w:t xml:space="preserve"> 104.60 </w:t>
            </w:r>
          </w:p>
        </w:tc>
        <w:tc>
          <w:tcPr>
            <w:tcW w:w="1169" w:type="dxa"/>
            <w:tcBorders>
              <w:top w:val="single" w:sz="4" w:space="0" w:color="auto"/>
              <w:bottom w:val="single" w:sz="4" w:space="0" w:color="999999"/>
            </w:tcBorders>
            <w:shd w:val="clear" w:color="auto" w:fill="auto"/>
          </w:tcPr>
          <w:p w14:paraId="07205C55" w14:textId="77777777" w:rsidR="001A3421" w:rsidRDefault="001A3421" w:rsidP="001A3421">
            <w:pPr>
              <w:pStyle w:val="UtilComTabletext"/>
              <w:jc w:val="right"/>
            </w:pPr>
            <w:r w:rsidRPr="005F6EA0">
              <w:t xml:space="preserve"> 528.14 </w:t>
            </w:r>
          </w:p>
        </w:tc>
      </w:tr>
      <w:tr w:rsidR="00FD675B" w:rsidRPr="008A4655" w14:paraId="6C0FB4E4"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57CB5D92" w14:textId="77777777" w:rsidR="00FD675B" w:rsidRDefault="00FD675B" w:rsidP="001A3421">
            <w:pPr>
              <w:pStyle w:val="UtilComTabletext"/>
            </w:pPr>
            <w:r>
              <w:t>Adjustment to service delivery</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2FD181C8" w14:textId="77777777" w:rsidR="00FD675B" w:rsidRDefault="00FD675B" w:rsidP="001A3421">
            <w:pPr>
              <w:pStyle w:val="UtilComTabletext"/>
              <w:jc w:val="right"/>
            </w:pPr>
            <w:r>
              <w:t>- 1.60</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136CA409" w14:textId="77777777" w:rsidR="00FD675B" w:rsidRDefault="00FD675B" w:rsidP="001A3421">
            <w:pPr>
              <w:pStyle w:val="UtilComTabletext"/>
              <w:jc w:val="right"/>
            </w:pPr>
            <w:r>
              <w:t>- 1.60</w:t>
            </w:r>
          </w:p>
        </w:tc>
        <w:tc>
          <w:tcPr>
            <w:tcW w:w="1169" w:type="dxa"/>
            <w:tcBorders>
              <w:top w:val="single" w:sz="4" w:space="0" w:color="999999"/>
              <w:left w:val="single" w:sz="4" w:space="0" w:color="999999"/>
              <w:bottom w:val="single" w:sz="4" w:space="0" w:color="999999"/>
              <w:right w:val="single" w:sz="4" w:space="0" w:color="999999"/>
            </w:tcBorders>
          </w:tcPr>
          <w:p w14:paraId="49DDA098" w14:textId="77777777" w:rsidR="00FD675B" w:rsidRDefault="00FD675B" w:rsidP="001A3421">
            <w:pPr>
              <w:pStyle w:val="UtilComTabletext"/>
              <w:jc w:val="right"/>
            </w:pPr>
            <w:r>
              <w:t>- 1.60</w:t>
            </w:r>
          </w:p>
        </w:tc>
        <w:tc>
          <w:tcPr>
            <w:tcW w:w="1168" w:type="dxa"/>
            <w:tcBorders>
              <w:top w:val="single" w:sz="4" w:space="0" w:color="999999"/>
              <w:left w:val="single" w:sz="4" w:space="0" w:color="999999"/>
              <w:bottom w:val="single" w:sz="4" w:space="0" w:color="999999"/>
              <w:right w:val="single" w:sz="4" w:space="0" w:color="999999"/>
            </w:tcBorders>
          </w:tcPr>
          <w:p w14:paraId="5666D151" w14:textId="77777777" w:rsidR="00FD675B" w:rsidRDefault="00FD675B" w:rsidP="001A3421">
            <w:pPr>
              <w:pStyle w:val="UtilComTabletext"/>
              <w:jc w:val="right"/>
            </w:pPr>
            <w:r>
              <w:t>- 1.60</w:t>
            </w:r>
          </w:p>
        </w:tc>
        <w:tc>
          <w:tcPr>
            <w:tcW w:w="1168" w:type="dxa"/>
            <w:tcBorders>
              <w:top w:val="single" w:sz="4" w:space="0" w:color="999999"/>
              <w:left w:val="single" w:sz="4" w:space="0" w:color="999999"/>
              <w:bottom w:val="single" w:sz="4" w:space="0" w:color="999999"/>
              <w:right w:val="single" w:sz="4" w:space="0" w:color="999999"/>
            </w:tcBorders>
          </w:tcPr>
          <w:p w14:paraId="4178F20F" w14:textId="77777777" w:rsidR="00FD675B" w:rsidRDefault="00FD675B" w:rsidP="001A3421">
            <w:pPr>
              <w:pStyle w:val="UtilComTabletext"/>
              <w:jc w:val="right"/>
            </w:pPr>
            <w:r>
              <w:t>- 1.60</w:t>
            </w:r>
          </w:p>
        </w:tc>
        <w:tc>
          <w:tcPr>
            <w:tcW w:w="1169" w:type="dxa"/>
            <w:tcBorders>
              <w:top w:val="single" w:sz="4" w:space="0" w:color="999999"/>
              <w:left w:val="single" w:sz="4" w:space="0" w:color="999999"/>
              <w:bottom w:val="single" w:sz="4" w:space="0" w:color="999999"/>
            </w:tcBorders>
            <w:shd w:val="clear" w:color="auto" w:fill="auto"/>
          </w:tcPr>
          <w:p w14:paraId="57EAF6ED" w14:textId="77777777" w:rsidR="00FD675B" w:rsidRDefault="00FD675B" w:rsidP="001A3421">
            <w:pPr>
              <w:pStyle w:val="UtilComTabletext"/>
              <w:jc w:val="right"/>
            </w:pPr>
            <w:r>
              <w:t>- 8.00</w:t>
            </w:r>
          </w:p>
        </w:tc>
      </w:tr>
      <w:tr w:rsidR="00FD675B" w:rsidRPr="008A4655" w14:paraId="1ED6155E"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319B8404" w14:textId="77777777" w:rsidR="00FD675B" w:rsidRDefault="00FD675B" w:rsidP="001A3421">
            <w:pPr>
              <w:pStyle w:val="UtilComTabletext"/>
            </w:pPr>
            <w:r>
              <w:t>Adjustment to regulatory costs</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36246A97" w14:textId="77777777" w:rsidR="00FD675B" w:rsidRDefault="00FD675B" w:rsidP="001A3421">
            <w:pPr>
              <w:pStyle w:val="UtilComTabletext"/>
              <w:jc w:val="right"/>
            </w:pPr>
            <w:r>
              <w:t>- 0.14</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2E19F43B" w14:textId="77777777" w:rsidR="00FD675B" w:rsidRDefault="00FD675B" w:rsidP="001A3421">
            <w:pPr>
              <w:pStyle w:val="UtilComTabletext"/>
              <w:jc w:val="right"/>
            </w:pPr>
            <w:r>
              <w:t>- 0.14</w:t>
            </w:r>
          </w:p>
        </w:tc>
        <w:tc>
          <w:tcPr>
            <w:tcW w:w="1169" w:type="dxa"/>
            <w:tcBorders>
              <w:top w:val="single" w:sz="4" w:space="0" w:color="999999"/>
              <w:left w:val="single" w:sz="4" w:space="0" w:color="999999"/>
              <w:bottom w:val="single" w:sz="4" w:space="0" w:color="999999"/>
              <w:right w:val="single" w:sz="4" w:space="0" w:color="999999"/>
            </w:tcBorders>
          </w:tcPr>
          <w:p w14:paraId="34BB38F3" w14:textId="77777777" w:rsidR="00FD675B" w:rsidRDefault="00FD675B" w:rsidP="001A3421">
            <w:pPr>
              <w:pStyle w:val="UtilComTabletext"/>
              <w:jc w:val="right"/>
            </w:pPr>
            <w:r>
              <w:t>- 0.14</w:t>
            </w:r>
          </w:p>
        </w:tc>
        <w:tc>
          <w:tcPr>
            <w:tcW w:w="1168" w:type="dxa"/>
            <w:tcBorders>
              <w:top w:val="single" w:sz="4" w:space="0" w:color="999999"/>
              <w:left w:val="single" w:sz="4" w:space="0" w:color="999999"/>
              <w:bottom w:val="single" w:sz="4" w:space="0" w:color="999999"/>
              <w:right w:val="single" w:sz="4" w:space="0" w:color="999999"/>
            </w:tcBorders>
          </w:tcPr>
          <w:p w14:paraId="0D84A0FD" w14:textId="77777777" w:rsidR="00FD675B" w:rsidRDefault="00FD675B" w:rsidP="001A3421">
            <w:pPr>
              <w:pStyle w:val="UtilComTabletext"/>
              <w:jc w:val="right"/>
            </w:pPr>
            <w:r>
              <w:t>- 0.14</w:t>
            </w:r>
          </w:p>
        </w:tc>
        <w:tc>
          <w:tcPr>
            <w:tcW w:w="1168" w:type="dxa"/>
            <w:tcBorders>
              <w:top w:val="single" w:sz="4" w:space="0" w:color="999999"/>
              <w:left w:val="single" w:sz="4" w:space="0" w:color="999999"/>
              <w:bottom w:val="single" w:sz="4" w:space="0" w:color="999999"/>
              <w:right w:val="single" w:sz="4" w:space="0" w:color="999999"/>
            </w:tcBorders>
          </w:tcPr>
          <w:p w14:paraId="3420D42A" w14:textId="77777777" w:rsidR="00FD675B" w:rsidRDefault="00FD675B" w:rsidP="001A3421">
            <w:pPr>
              <w:pStyle w:val="UtilComTabletext"/>
              <w:jc w:val="right"/>
            </w:pPr>
            <w:r>
              <w:t>- 0.15</w:t>
            </w:r>
          </w:p>
        </w:tc>
        <w:tc>
          <w:tcPr>
            <w:tcW w:w="1169" w:type="dxa"/>
            <w:tcBorders>
              <w:top w:val="single" w:sz="4" w:space="0" w:color="999999"/>
              <w:left w:val="single" w:sz="4" w:space="0" w:color="999999"/>
              <w:bottom w:val="single" w:sz="4" w:space="0" w:color="999999"/>
            </w:tcBorders>
            <w:shd w:val="clear" w:color="auto" w:fill="auto"/>
          </w:tcPr>
          <w:p w14:paraId="6A782952" w14:textId="77777777" w:rsidR="00FD675B" w:rsidRDefault="00FD675B" w:rsidP="001A3421">
            <w:pPr>
              <w:pStyle w:val="UtilComTabletext"/>
              <w:jc w:val="right"/>
            </w:pPr>
            <w:r>
              <w:t>- 0.72</w:t>
            </w:r>
          </w:p>
        </w:tc>
      </w:tr>
      <w:tr w:rsidR="008D3158" w:rsidRPr="000708FA" w14:paraId="3DFD4E98"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7BDC8E2B" w14:textId="77777777" w:rsidR="008D3158" w:rsidRPr="000708FA" w:rsidRDefault="008D3158" w:rsidP="000708FA">
            <w:pPr>
              <w:pStyle w:val="UtilComTabletext"/>
            </w:pPr>
            <w:r w:rsidRPr="000708FA">
              <w:t>Adjustment to vegetation management</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5746F1DE" w14:textId="1FBF68AF" w:rsidR="008D3158" w:rsidRPr="000708FA" w:rsidRDefault="00F80DB2" w:rsidP="000708FA">
            <w:pPr>
              <w:pStyle w:val="UtilComTabletext"/>
              <w:tabs>
                <w:tab w:val="num" w:pos="522"/>
                <w:tab w:val="left" w:pos="993"/>
              </w:tabs>
              <w:ind w:left="522" w:hanging="450"/>
              <w:jc w:val="right"/>
            </w:pPr>
            <w:r w:rsidRPr="000708FA">
              <w:t>-1.</w:t>
            </w:r>
            <w:r w:rsidR="000708FA">
              <w:t>03</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57B9C137" w14:textId="16518FCD" w:rsidR="008D3158" w:rsidRPr="000708FA" w:rsidRDefault="00F80DB2" w:rsidP="000708FA">
            <w:pPr>
              <w:pStyle w:val="UtilComTabletext"/>
              <w:tabs>
                <w:tab w:val="num" w:pos="522"/>
                <w:tab w:val="left" w:pos="993"/>
              </w:tabs>
              <w:ind w:left="522" w:hanging="450"/>
              <w:jc w:val="right"/>
            </w:pPr>
            <w:r w:rsidRPr="000708FA">
              <w:t>-1.</w:t>
            </w:r>
            <w:r w:rsidR="000708FA">
              <w:t>04</w:t>
            </w:r>
            <w:r w:rsidR="000708FA" w:rsidRPr="000708FA">
              <w:t xml:space="preserve"> </w:t>
            </w:r>
          </w:p>
        </w:tc>
        <w:tc>
          <w:tcPr>
            <w:tcW w:w="1169" w:type="dxa"/>
            <w:tcBorders>
              <w:top w:val="single" w:sz="4" w:space="0" w:color="999999"/>
              <w:left w:val="single" w:sz="4" w:space="0" w:color="999999"/>
              <w:bottom w:val="single" w:sz="4" w:space="0" w:color="999999"/>
              <w:right w:val="single" w:sz="4" w:space="0" w:color="999999"/>
            </w:tcBorders>
          </w:tcPr>
          <w:p w14:paraId="0C364695" w14:textId="59BD3EB7" w:rsidR="008D3158" w:rsidRPr="000708FA" w:rsidRDefault="00F80DB2" w:rsidP="000708FA">
            <w:pPr>
              <w:pStyle w:val="UtilComTabletext"/>
              <w:tabs>
                <w:tab w:val="num" w:pos="522"/>
                <w:tab w:val="left" w:pos="993"/>
              </w:tabs>
              <w:ind w:left="522" w:hanging="450"/>
              <w:jc w:val="right"/>
            </w:pPr>
            <w:r w:rsidRPr="000708FA">
              <w:t>-1.</w:t>
            </w:r>
            <w:r w:rsidR="000708FA">
              <w:t>05</w:t>
            </w:r>
            <w:r w:rsidR="000708FA" w:rsidRPr="000708FA">
              <w:t xml:space="preserve"> </w:t>
            </w:r>
          </w:p>
        </w:tc>
        <w:tc>
          <w:tcPr>
            <w:tcW w:w="1168" w:type="dxa"/>
            <w:tcBorders>
              <w:top w:val="single" w:sz="4" w:space="0" w:color="999999"/>
              <w:left w:val="single" w:sz="4" w:space="0" w:color="999999"/>
              <w:bottom w:val="single" w:sz="4" w:space="0" w:color="999999"/>
              <w:right w:val="single" w:sz="4" w:space="0" w:color="999999"/>
            </w:tcBorders>
          </w:tcPr>
          <w:p w14:paraId="193E6F50" w14:textId="6337C36A" w:rsidR="008D3158" w:rsidRPr="000708FA" w:rsidRDefault="00F80DB2" w:rsidP="000708FA">
            <w:pPr>
              <w:pStyle w:val="UtilComTabletext"/>
              <w:tabs>
                <w:tab w:val="num" w:pos="522"/>
                <w:tab w:val="left" w:pos="993"/>
              </w:tabs>
              <w:ind w:left="522" w:hanging="450"/>
              <w:jc w:val="right"/>
            </w:pPr>
            <w:r w:rsidRPr="000708FA">
              <w:t>-1.</w:t>
            </w:r>
            <w:r w:rsidR="000708FA">
              <w:t>06</w:t>
            </w:r>
            <w:r w:rsidR="000708FA" w:rsidRPr="000708FA">
              <w:t xml:space="preserve"> </w:t>
            </w:r>
          </w:p>
        </w:tc>
        <w:tc>
          <w:tcPr>
            <w:tcW w:w="1168" w:type="dxa"/>
            <w:tcBorders>
              <w:top w:val="single" w:sz="4" w:space="0" w:color="999999"/>
              <w:left w:val="single" w:sz="4" w:space="0" w:color="999999"/>
              <w:bottom w:val="single" w:sz="4" w:space="0" w:color="999999"/>
              <w:right w:val="single" w:sz="4" w:space="0" w:color="999999"/>
            </w:tcBorders>
          </w:tcPr>
          <w:p w14:paraId="0B4117D9" w14:textId="4922D8A1" w:rsidR="008D3158" w:rsidRPr="000708FA" w:rsidRDefault="00F80DB2" w:rsidP="000708FA">
            <w:pPr>
              <w:pStyle w:val="UtilComTabletext"/>
              <w:tabs>
                <w:tab w:val="num" w:pos="522"/>
                <w:tab w:val="left" w:pos="993"/>
              </w:tabs>
              <w:ind w:left="522" w:hanging="450"/>
              <w:jc w:val="right"/>
            </w:pPr>
            <w:r w:rsidRPr="000708FA">
              <w:t>-1.</w:t>
            </w:r>
            <w:r w:rsidR="000708FA">
              <w:t>07</w:t>
            </w:r>
            <w:r w:rsidR="000708FA" w:rsidRPr="000708FA">
              <w:t xml:space="preserve"> </w:t>
            </w:r>
          </w:p>
        </w:tc>
        <w:tc>
          <w:tcPr>
            <w:tcW w:w="1169" w:type="dxa"/>
            <w:tcBorders>
              <w:top w:val="single" w:sz="4" w:space="0" w:color="999999"/>
              <w:left w:val="single" w:sz="4" w:space="0" w:color="999999"/>
              <w:bottom w:val="single" w:sz="4" w:space="0" w:color="999999"/>
            </w:tcBorders>
            <w:shd w:val="clear" w:color="auto" w:fill="auto"/>
          </w:tcPr>
          <w:p w14:paraId="5B3C93C2" w14:textId="58DD81E9" w:rsidR="008D3158" w:rsidRPr="000708FA" w:rsidRDefault="00F80DB2" w:rsidP="000708FA">
            <w:pPr>
              <w:pStyle w:val="UtilComTabletext"/>
              <w:jc w:val="right"/>
            </w:pPr>
            <w:r w:rsidRPr="000708FA">
              <w:t>-</w:t>
            </w:r>
            <w:r w:rsidR="000708FA">
              <w:t>5.24</w:t>
            </w:r>
            <w:r w:rsidR="008D3158" w:rsidRPr="000708FA">
              <w:t xml:space="preserve"> </w:t>
            </w:r>
          </w:p>
        </w:tc>
      </w:tr>
      <w:tr w:rsidR="00F80DB2" w:rsidRPr="000708FA" w14:paraId="6D787887" w14:textId="77777777" w:rsidTr="00114B1D">
        <w:trPr>
          <w:cantSplit/>
          <w:trHeight w:val="360"/>
          <w:tblHeader/>
        </w:trPr>
        <w:tc>
          <w:tcPr>
            <w:tcW w:w="2127" w:type="dxa"/>
            <w:tcBorders>
              <w:top w:val="single" w:sz="4" w:space="0" w:color="999999"/>
              <w:bottom w:val="single" w:sz="4" w:space="0" w:color="999999"/>
              <w:right w:val="single" w:sz="4" w:space="0" w:color="999999"/>
            </w:tcBorders>
          </w:tcPr>
          <w:p w14:paraId="20020CC3" w14:textId="40CF45F2" w:rsidR="00F80DB2" w:rsidRPr="000708FA" w:rsidRDefault="00F80DB2" w:rsidP="000708FA">
            <w:pPr>
              <w:pStyle w:val="UtilComTabletext"/>
            </w:pPr>
            <w:r w:rsidRPr="000708FA">
              <w:t>Adjustment for real cost escalation changes</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09B05043" w14:textId="27CA0D23" w:rsidR="00F80DB2" w:rsidRPr="000708FA" w:rsidRDefault="00F80DB2" w:rsidP="001A3421">
            <w:pPr>
              <w:pStyle w:val="UtilComTabletext"/>
              <w:tabs>
                <w:tab w:val="num" w:pos="522"/>
                <w:tab w:val="left" w:pos="993"/>
              </w:tabs>
              <w:ind w:left="522" w:hanging="450"/>
              <w:jc w:val="right"/>
            </w:pPr>
            <w:r w:rsidRPr="000708FA">
              <w:t>-0.96</w:t>
            </w:r>
          </w:p>
        </w:tc>
        <w:tc>
          <w:tcPr>
            <w:tcW w:w="1168" w:type="dxa"/>
            <w:tcBorders>
              <w:top w:val="single" w:sz="4" w:space="0" w:color="999999"/>
              <w:left w:val="single" w:sz="4" w:space="0" w:color="999999"/>
              <w:bottom w:val="single" w:sz="4" w:space="0" w:color="999999"/>
              <w:right w:val="single" w:sz="4" w:space="0" w:color="999999"/>
            </w:tcBorders>
            <w:shd w:val="clear" w:color="auto" w:fill="auto"/>
          </w:tcPr>
          <w:p w14:paraId="4C03CF63" w14:textId="0D66ACD8" w:rsidR="00F80DB2" w:rsidRPr="000708FA" w:rsidRDefault="00F80DB2" w:rsidP="001A3421">
            <w:pPr>
              <w:pStyle w:val="UtilComTabletext"/>
              <w:tabs>
                <w:tab w:val="num" w:pos="522"/>
                <w:tab w:val="left" w:pos="993"/>
              </w:tabs>
              <w:ind w:left="522" w:hanging="450"/>
              <w:jc w:val="right"/>
            </w:pPr>
            <w:r w:rsidRPr="000708FA">
              <w:t>-0.96</w:t>
            </w:r>
          </w:p>
        </w:tc>
        <w:tc>
          <w:tcPr>
            <w:tcW w:w="1169" w:type="dxa"/>
            <w:tcBorders>
              <w:top w:val="single" w:sz="4" w:space="0" w:color="999999"/>
              <w:left w:val="single" w:sz="4" w:space="0" w:color="999999"/>
              <w:bottom w:val="single" w:sz="4" w:space="0" w:color="999999"/>
              <w:right w:val="single" w:sz="4" w:space="0" w:color="999999"/>
            </w:tcBorders>
          </w:tcPr>
          <w:p w14:paraId="4937F9E2" w14:textId="370185A1" w:rsidR="00F80DB2" w:rsidRPr="000708FA" w:rsidRDefault="00F80DB2" w:rsidP="001A3421">
            <w:pPr>
              <w:pStyle w:val="UtilComTabletext"/>
              <w:tabs>
                <w:tab w:val="num" w:pos="522"/>
                <w:tab w:val="left" w:pos="993"/>
              </w:tabs>
              <w:ind w:left="522" w:hanging="450"/>
              <w:jc w:val="right"/>
            </w:pPr>
            <w:r w:rsidRPr="000708FA">
              <w:t>-0.97</w:t>
            </w:r>
          </w:p>
        </w:tc>
        <w:tc>
          <w:tcPr>
            <w:tcW w:w="1168" w:type="dxa"/>
            <w:tcBorders>
              <w:top w:val="single" w:sz="4" w:space="0" w:color="999999"/>
              <w:left w:val="single" w:sz="4" w:space="0" w:color="999999"/>
              <w:bottom w:val="single" w:sz="4" w:space="0" w:color="999999"/>
              <w:right w:val="single" w:sz="4" w:space="0" w:color="999999"/>
            </w:tcBorders>
          </w:tcPr>
          <w:p w14:paraId="037A22AE" w14:textId="50703CF1" w:rsidR="00F80DB2" w:rsidRPr="000708FA" w:rsidRDefault="00F80DB2" w:rsidP="001A3421">
            <w:pPr>
              <w:pStyle w:val="UtilComTabletext"/>
              <w:tabs>
                <w:tab w:val="num" w:pos="522"/>
                <w:tab w:val="left" w:pos="993"/>
              </w:tabs>
              <w:ind w:left="522" w:hanging="450"/>
              <w:jc w:val="right"/>
            </w:pPr>
            <w:r w:rsidRPr="000708FA">
              <w:t>-0.98</w:t>
            </w:r>
          </w:p>
        </w:tc>
        <w:tc>
          <w:tcPr>
            <w:tcW w:w="1168" w:type="dxa"/>
            <w:tcBorders>
              <w:top w:val="single" w:sz="4" w:space="0" w:color="999999"/>
              <w:left w:val="single" w:sz="4" w:space="0" w:color="999999"/>
              <w:bottom w:val="single" w:sz="4" w:space="0" w:color="999999"/>
              <w:right w:val="single" w:sz="4" w:space="0" w:color="999999"/>
            </w:tcBorders>
          </w:tcPr>
          <w:p w14:paraId="7F911CF0" w14:textId="7CDEC004" w:rsidR="00F80DB2" w:rsidRPr="000708FA" w:rsidRDefault="00F80DB2" w:rsidP="001A3421">
            <w:pPr>
              <w:pStyle w:val="UtilComTabletext"/>
              <w:tabs>
                <w:tab w:val="num" w:pos="522"/>
                <w:tab w:val="left" w:pos="993"/>
              </w:tabs>
              <w:ind w:left="522" w:hanging="450"/>
              <w:jc w:val="right"/>
            </w:pPr>
            <w:r w:rsidRPr="000708FA">
              <w:t>-0.98</w:t>
            </w:r>
          </w:p>
        </w:tc>
        <w:tc>
          <w:tcPr>
            <w:tcW w:w="1169" w:type="dxa"/>
            <w:tcBorders>
              <w:top w:val="single" w:sz="4" w:space="0" w:color="999999"/>
              <w:left w:val="single" w:sz="4" w:space="0" w:color="999999"/>
              <w:bottom w:val="single" w:sz="4" w:space="0" w:color="999999"/>
            </w:tcBorders>
            <w:shd w:val="clear" w:color="auto" w:fill="auto"/>
          </w:tcPr>
          <w:p w14:paraId="7D101812" w14:textId="08794AD3" w:rsidR="00F80DB2" w:rsidRPr="000708FA" w:rsidRDefault="00F80DB2" w:rsidP="001A3421">
            <w:pPr>
              <w:pStyle w:val="UtilComTabletext"/>
              <w:tabs>
                <w:tab w:val="num" w:pos="522"/>
                <w:tab w:val="left" w:pos="993"/>
              </w:tabs>
              <w:ind w:left="522" w:hanging="450"/>
              <w:jc w:val="right"/>
            </w:pPr>
            <w:r w:rsidRPr="000708FA">
              <w:t>-4.85</w:t>
            </w:r>
          </w:p>
        </w:tc>
      </w:tr>
      <w:tr w:rsidR="008D3158" w:rsidRPr="000708FA" w14:paraId="08377752" w14:textId="77777777" w:rsidTr="00114B1D">
        <w:trPr>
          <w:cantSplit/>
          <w:trHeight w:val="360"/>
          <w:tblHeader/>
        </w:trPr>
        <w:tc>
          <w:tcPr>
            <w:tcW w:w="2127" w:type="dxa"/>
            <w:tcBorders>
              <w:top w:val="single" w:sz="4" w:space="0" w:color="999999"/>
              <w:bottom w:val="single" w:sz="4" w:space="0" w:color="000000" w:themeColor="text1"/>
              <w:right w:val="single" w:sz="4" w:space="0" w:color="999999"/>
            </w:tcBorders>
          </w:tcPr>
          <w:p w14:paraId="637D49E7" w14:textId="77777777" w:rsidR="008D3158" w:rsidRPr="000708FA" w:rsidRDefault="008D3158" w:rsidP="000708FA">
            <w:pPr>
              <w:pStyle w:val="UtilComTabletext"/>
            </w:pPr>
            <w:r w:rsidRPr="000708FA">
              <w:t>Unallocated efficiency adjustment</w:t>
            </w:r>
          </w:p>
        </w:tc>
        <w:tc>
          <w:tcPr>
            <w:tcW w:w="1168" w:type="dxa"/>
            <w:tcBorders>
              <w:top w:val="single" w:sz="4" w:space="0" w:color="999999"/>
              <w:left w:val="single" w:sz="4" w:space="0" w:color="999999"/>
              <w:bottom w:val="single" w:sz="4" w:space="0" w:color="000000" w:themeColor="text1"/>
              <w:right w:val="single" w:sz="4" w:space="0" w:color="999999"/>
            </w:tcBorders>
            <w:shd w:val="clear" w:color="auto" w:fill="auto"/>
          </w:tcPr>
          <w:p w14:paraId="58890C57" w14:textId="5B89E94E" w:rsidR="008D3158" w:rsidRPr="000708FA" w:rsidRDefault="004A0CE2" w:rsidP="000708FA">
            <w:pPr>
              <w:pStyle w:val="UtilComTabletext"/>
              <w:tabs>
                <w:tab w:val="num" w:pos="522"/>
                <w:tab w:val="left" w:pos="993"/>
              </w:tabs>
              <w:ind w:left="522" w:hanging="450"/>
              <w:jc w:val="right"/>
            </w:pPr>
            <w:r>
              <w:t>-5.14</w:t>
            </w:r>
            <w:r w:rsidR="000708FA" w:rsidRPr="000708FA">
              <w:t xml:space="preserve"> </w:t>
            </w:r>
          </w:p>
        </w:tc>
        <w:tc>
          <w:tcPr>
            <w:tcW w:w="1168" w:type="dxa"/>
            <w:tcBorders>
              <w:top w:val="single" w:sz="4" w:space="0" w:color="999999"/>
              <w:left w:val="single" w:sz="4" w:space="0" w:color="999999"/>
              <w:bottom w:val="single" w:sz="4" w:space="0" w:color="000000" w:themeColor="text1"/>
              <w:right w:val="single" w:sz="4" w:space="0" w:color="999999"/>
            </w:tcBorders>
            <w:shd w:val="clear" w:color="auto" w:fill="auto"/>
          </w:tcPr>
          <w:p w14:paraId="1CAB5540" w14:textId="53358114" w:rsidR="008D3158" w:rsidRPr="000708FA" w:rsidRDefault="004A0CE2" w:rsidP="000708FA">
            <w:pPr>
              <w:pStyle w:val="UtilComTabletext"/>
              <w:tabs>
                <w:tab w:val="num" w:pos="522"/>
                <w:tab w:val="left" w:pos="993"/>
              </w:tabs>
              <w:ind w:left="522" w:hanging="450"/>
              <w:jc w:val="right"/>
            </w:pPr>
            <w:r>
              <w:t>-10.15</w:t>
            </w:r>
            <w:r w:rsidR="000708FA" w:rsidRPr="000708FA">
              <w:t xml:space="preserve"> </w:t>
            </w:r>
          </w:p>
        </w:tc>
        <w:tc>
          <w:tcPr>
            <w:tcW w:w="1169" w:type="dxa"/>
            <w:tcBorders>
              <w:top w:val="single" w:sz="4" w:space="0" w:color="999999"/>
              <w:left w:val="single" w:sz="4" w:space="0" w:color="999999"/>
              <w:bottom w:val="single" w:sz="4" w:space="0" w:color="000000" w:themeColor="text1"/>
              <w:right w:val="single" w:sz="4" w:space="0" w:color="999999"/>
            </w:tcBorders>
          </w:tcPr>
          <w:p w14:paraId="73F24473" w14:textId="61D7327B" w:rsidR="008D3158" w:rsidRPr="000708FA" w:rsidRDefault="004A0CE2" w:rsidP="000708FA">
            <w:pPr>
              <w:pStyle w:val="UtilComTabletext"/>
              <w:tabs>
                <w:tab w:val="num" w:pos="522"/>
                <w:tab w:val="left" w:pos="993"/>
              </w:tabs>
              <w:ind w:left="522" w:hanging="450"/>
              <w:jc w:val="right"/>
            </w:pPr>
            <w:r>
              <w:t>-15.50</w:t>
            </w:r>
            <w:r w:rsidR="000708FA" w:rsidRPr="000708FA">
              <w:t xml:space="preserve"> </w:t>
            </w:r>
          </w:p>
        </w:tc>
        <w:tc>
          <w:tcPr>
            <w:tcW w:w="1168" w:type="dxa"/>
            <w:tcBorders>
              <w:top w:val="single" w:sz="4" w:space="0" w:color="999999"/>
              <w:left w:val="single" w:sz="4" w:space="0" w:color="999999"/>
              <w:bottom w:val="single" w:sz="4" w:space="0" w:color="000000" w:themeColor="text1"/>
              <w:right w:val="single" w:sz="4" w:space="0" w:color="999999"/>
            </w:tcBorders>
          </w:tcPr>
          <w:p w14:paraId="3038E591" w14:textId="1F6F3268" w:rsidR="008D3158" w:rsidRPr="000708FA" w:rsidRDefault="004A0CE2" w:rsidP="00F80DB2">
            <w:pPr>
              <w:pStyle w:val="UtilComTabletext"/>
              <w:tabs>
                <w:tab w:val="num" w:pos="522"/>
                <w:tab w:val="left" w:pos="993"/>
              </w:tabs>
              <w:ind w:left="522" w:hanging="450"/>
              <w:jc w:val="right"/>
            </w:pPr>
            <w:r>
              <w:t>-20.12</w:t>
            </w:r>
            <w:r w:rsidR="00F80DB2" w:rsidRPr="000708FA">
              <w:t xml:space="preserve"> </w:t>
            </w:r>
          </w:p>
        </w:tc>
        <w:tc>
          <w:tcPr>
            <w:tcW w:w="1168" w:type="dxa"/>
            <w:tcBorders>
              <w:top w:val="single" w:sz="4" w:space="0" w:color="999999"/>
              <w:left w:val="single" w:sz="4" w:space="0" w:color="999999"/>
              <w:bottom w:val="single" w:sz="4" w:space="0" w:color="000000" w:themeColor="text1"/>
              <w:right w:val="single" w:sz="4" w:space="0" w:color="999999"/>
            </w:tcBorders>
          </w:tcPr>
          <w:p w14:paraId="11CBB3D6" w14:textId="3E7C3958" w:rsidR="008D3158" w:rsidRPr="000708FA" w:rsidRDefault="004A0CE2" w:rsidP="000708FA">
            <w:pPr>
              <w:pStyle w:val="UtilComTabletext"/>
              <w:tabs>
                <w:tab w:val="num" w:pos="522"/>
                <w:tab w:val="left" w:pos="993"/>
              </w:tabs>
              <w:ind w:left="522" w:hanging="450"/>
              <w:jc w:val="right"/>
            </w:pPr>
            <w:r>
              <w:t>-27.22</w:t>
            </w:r>
            <w:r w:rsidR="000708FA" w:rsidRPr="000708FA">
              <w:t xml:space="preserve"> </w:t>
            </w:r>
          </w:p>
        </w:tc>
        <w:tc>
          <w:tcPr>
            <w:tcW w:w="1169" w:type="dxa"/>
            <w:tcBorders>
              <w:top w:val="single" w:sz="4" w:space="0" w:color="999999"/>
              <w:left w:val="single" w:sz="4" w:space="0" w:color="999999"/>
              <w:bottom w:val="single" w:sz="4" w:space="0" w:color="000000" w:themeColor="text1"/>
            </w:tcBorders>
            <w:shd w:val="clear" w:color="auto" w:fill="auto"/>
          </w:tcPr>
          <w:p w14:paraId="4EBEC925" w14:textId="6D54A150" w:rsidR="008D3158" w:rsidRPr="000708FA" w:rsidRDefault="004A0CE2" w:rsidP="000708FA">
            <w:pPr>
              <w:pStyle w:val="UtilComTabletext"/>
              <w:jc w:val="right"/>
            </w:pPr>
            <w:r>
              <w:t>-78.20</w:t>
            </w:r>
            <w:r w:rsidR="000708FA" w:rsidRPr="000708FA">
              <w:t xml:space="preserve"> </w:t>
            </w:r>
          </w:p>
        </w:tc>
      </w:tr>
      <w:tr w:rsidR="00FD675B" w:rsidRPr="00731738" w14:paraId="7CD2D5CC" w14:textId="77777777" w:rsidTr="00114B1D">
        <w:trPr>
          <w:cantSplit/>
          <w:trHeight w:val="360"/>
          <w:tblHeader/>
        </w:trPr>
        <w:tc>
          <w:tcPr>
            <w:tcW w:w="2127" w:type="dxa"/>
            <w:tcBorders>
              <w:top w:val="single" w:sz="4" w:space="0" w:color="000000" w:themeColor="text1"/>
              <w:bottom w:val="single" w:sz="4" w:space="0" w:color="000000"/>
            </w:tcBorders>
          </w:tcPr>
          <w:p w14:paraId="52E94753" w14:textId="03684411" w:rsidR="00FD675B" w:rsidRPr="004B0BDE" w:rsidRDefault="00FD675B" w:rsidP="000708FA">
            <w:pPr>
              <w:pStyle w:val="UtilComTabletext"/>
              <w:rPr>
                <w:b/>
              </w:rPr>
            </w:pPr>
            <w:r w:rsidRPr="000708FA">
              <w:rPr>
                <w:b/>
              </w:rPr>
              <w:t xml:space="preserve">Commission </w:t>
            </w:r>
            <w:r w:rsidR="000708FA" w:rsidRPr="000708FA">
              <w:rPr>
                <w:b/>
              </w:rPr>
              <w:t xml:space="preserve">estimate of required </w:t>
            </w:r>
            <w:r w:rsidRPr="00D90701">
              <w:rPr>
                <w:b/>
              </w:rPr>
              <w:t xml:space="preserve">opex </w:t>
            </w:r>
            <w:r w:rsidR="000708FA" w:rsidRPr="007D301F">
              <w:rPr>
                <w:b/>
              </w:rPr>
              <w:t>f</w:t>
            </w:r>
            <w:r w:rsidR="000708FA" w:rsidRPr="00BB0F36">
              <w:rPr>
                <w:b/>
              </w:rPr>
              <w:t>orecast</w:t>
            </w:r>
          </w:p>
        </w:tc>
        <w:tc>
          <w:tcPr>
            <w:tcW w:w="1168" w:type="dxa"/>
            <w:tcBorders>
              <w:top w:val="single" w:sz="4" w:space="0" w:color="000000" w:themeColor="text1"/>
              <w:bottom w:val="single" w:sz="4" w:space="0" w:color="000000"/>
            </w:tcBorders>
            <w:shd w:val="clear" w:color="auto" w:fill="auto"/>
          </w:tcPr>
          <w:p w14:paraId="5A622061" w14:textId="1A13D3EF" w:rsidR="00FD675B" w:rsidRPr="000708FA" w:rsidRDefault="004A0CE2" w:rsidP="000708FA">
            <w:pPr>
              <w:pStyle w:val="UtilComTabletext"/>
              <w:tabs>
                <w:tab w:val="num" w:pos="522"/>
                <w:tab w:val="left" w:pos="993"/>
              </w:tabs>
              <w:ind w:left="522" w:hanging="450"/>
              <w:jc w:val="right"/>
              <w:rPr>
                <w:b/>
              </w:rPr>
            </w:pPr>
            <w:r>
              <w:rPr>
                <w:b/>
              </w:rPr>
              <w:t>97.57</w:t>
            </w:r>
          </w:p>
        </w:tc>
        <w:tc>
          <w:tcPr>
            <w:tcW w:w="1168" w:type="dxa"/>
            <w:tcBorders>
              <w:top w:val="single" w:sz="4" w:space="0" w:color="000000" w:themeColor="text1"/>
              <w:bottom w:val="single" w:sz="4" w:space="0" w:color="000000"/>
            </w:tcBorders>
            <w:shd w:val="clear" w:color="auto" w:fill="auto"/>
          </w:tcPr>
          <w:p w14:paraId="0181124B" w14:textId="05B647B4" w:rsidR="00FD675B" w:rsidRPr="000708FA" w:rsidRDefault="004A0CE2" w:rsidP="001A3421">
            <w:pPr>
              <w:pStyle w:val="UtilComTabletext"/>
              <w:tabs>
                <w:tab w:val="num" w:pos="522"/>
                <w:tab w:val="left" w:pos="993"/>
              </w:tabs>
              <w:ind w:left="522" w:hanging="450"/>
              <w:jc w:val="right"/>
              <w:rPr>
                <w:b/>
              </w:rPr>
            </w:pPr>
            <w:r>
              <w:rPr>
                <w:b/>
              </w:rPr>
              <w:t>91.39</w:t>
            </w:r>
          </w:p>
        </w:tc>
        <w:tc>
          <w:tcPr>
            <w:tcW w:w="1169" w:type="dxa"/>
            <w:tcBorders>
              <w:top w:val="single" w:sz="4" w:space="0" w:color="000000" w:themeColor="text1"/>
              <w:bottom w:val="single" w:sz="4" w:space="0" w:color="000000"/>
            </w:tcBorders>
          </w:tcPr>
          <w:p w14:paraId="4FA76DAF" w14:textId="618629E4" w:rsidR="00FD675B" w:rsidRPr="000708FA" w:rsidRDefault="004A0CE2" w:rsidP="000708FA">
            <w:pPr>
              <w:pStyle w:val="UtilComTabletext"/>
              <w:tabs>
                <w:tab w:val="num" w:pos="522"/>
                <w:tab w:val="left" w:pos="993"/>
              </w:tabs>
              <w:ind w:left="522" w:hanging="450"/>
              <w:jc w:val="right"/>
              <w:rPr>
                <w:b/>
              </w:rPr>
            </w:pPr>
            <w:r>
              <w:rPr>
                <w:b/>
              </w:rPr>
              <w:t>87.85</w:t>
            </w:r>
          </w:p>
        </w:tc>
        <w:tc>
          <w:tcPr>
            <w:tcW w:w="1168" w:type="dxa"/>
            <w:tcBorders>
              <w:top w:val="single" w:sz="4" w:space="0" w:color="000000" w:themeColor="text1"/>
              <w:bottom w:val="single" w:sz="4" w:space="0" w:color="000000"/>
            </w:tcBorders>
          </w:tcPr>
          <w:p w14:paraId="6527B361" w14:textId="7301F8F3" w:rsidR="00FD675B" w:rsidRPr="000708FA" w:rsidRDefault="004A0CE2" w:rsidP="001A3421">
            <w:pPr>
              <w:pStyle w:val="UtilComTabletext"/>
              <w:tabs>
                <w:tab w:val="num" w:pos="522"/>
                <w:tab w:val="left" w:pos="993"/>
              </w:tabs>
              <w:ind w:left="522" w:hanging="450"/>
              <w:jc w:val="right"/>
              <w:rPr>
                <w:b/>
              </w:rPr>
            </w:pPr>
            <w:r>
              <w:rPr>
                <w:b/>
              </w:rPr>
              <w:t>80.75</w:t>
            </w:r>
          </w:p>
        </w:tc>
        <w:tc>
          <w:tcPr>
            <w:tcW w:w="1168" w:type="dxa"/>
            <w:tcBorders>
              <w:top w:val="single" w:sz="4" w:space="0" w:color="000000" w:themeColor="text1"/>
              <w:bottom w:val="single" w:sz="4" w:space="0" w:color="000000"/>
            </w:tcBorders>
          </w:tcPr>
          <w:p w14:paraId="3F198F9E" w14:textId="1989A4FC" w:rsidR="00FD675B" w:rsidRPr="000708FA" w:rsidRDefault="004A0CE2" w:rsidP="000708FA">
            <w:pPr>
              <w:pStyle w:val="UtilComTabletext"/>
              <w:tabs>
                <w:tab w:val="num" w:pos="522"/>
                <w:tab w:val="left" w:pos="993"/>
              </w:tabs>
              <w:ind w:left="522" w:hanging="450"/>
              <w:jc w:val="right"/>
              <w:rPr>
                <w:b/>
              </w:rPr>
            </w:pPr>
            <w:r>
              <w:rPr>
                <w:b/>
              </w:rPr>
              <w:t>73.58</w:t>
            </w:r>
          </w:p>
        </w:tc>
        <w:tc>
          <w:tcPr>
            <w:tcW w:w="1169" w:type="dxa"/>
            <w:tcBorders>
              <w:top w:val="single" w:sz="4" w:space="0" w:color="000000" w:themeColor="text1"/>
              <w:bottom w:val="single" w:sz="4" w:space="0" w:color="000000"/>
            </w:tcBorders>
            <w:shd w:val="clear" w:color="auto" w:fill="auto"/>
          </w:tcPr>
          <w:p w14:paraId="52A77225" w14:textId="508B0D0C" w:rsidR="00FD675B" w:rsidRPr="00731738" w:rsidRDefault="004A0CE2" w:rsidP="001A3421">
            <w:pPr>
              <w:pStyle w:val="UtilComTabletext"/>
              <w:jc w:val="right"/>
              <w:rPr>
                <w:b/>
              </w:rPr>
            </w:pPr>
            <w:r>
              <w:rPr>
                <w:b/>
              </w:rPr>
              <w:t>431.14</w:t>
            </w:r>
          </w:p>
        </w:tc>
      </w:tr>
    </w:tbl>
    <w:p w14:paraId="4F85A984" w14:textId="3184017D" w:rsidR="00980011" w:rsidRPr="00980011" w:rsidRDefault="00FD675B" w:rsidP="00114B1D">
      <w:pPr>
        <w:pStyle w:val="UtilComReferenceSource"/>
        <w:rPr>
          <w:lang w:val="en-AU"/>
        </w:rPr>
      </w:pPr>
      <w:r>
        <w:rPr>
          <w:lang w:val="en-AU"/>
        </w:rPr>
        <w:t>Source: Utilities Commission</w:t>
      </w:r>
    </w:p>
    <w:tbl>
      <w:tblPr>
        <w:tblW w:w="0" w:type="auto"/>
        <w:tblLayout w:type="fixed"/>
        <w:tblLook w:val="01E0" w:firstRow="1" w:lastRow="1" w:firstColumn="1" w:lastColumn="1" w:noHBand="0" w:noVBand="0"/>
      </w:tblPr>
      <w:tblGrid>
        <w:gridCol w:w="9288"/>
      </w:tblGrid>
      <w:tr w:rsidR="000C1567" w14:paraId="05BBDEBB" w14:textId="77777777" w:rsidTr="000C1567">
        <w:tc>
          <w:tcPr>
            <w:tcW w:w="9288" w:type="dxa"/>
          </w:tcPr>
          <w:p w14:paraId="55C51B79" w14:textId="77777777" w:rsidR="000C1567" w:rsidRDefault="000C1567" w:rsidP="00EF320F">
            <w:pPr>
              <w:pStyle w:val="NumberLevel1"/>
              <w:pageBreakBefore/>
              <w:numPr>
                <w:ilvl w:val="0"/>
                <w:numId w:val="4"/>
              </w:numPr>
              <w:ind w:left="431" w:hanging="431"/>
            </w:pPr>
            <w:r>
              <w:br w:type="page"/>
            </w:r>
          </w:p>
        </w:tc>
      </w:tr>
      <w:tr w:rsidR="000C1567" w14:paraId="5A5D69F6" w14:textId="77777777" w:rsidTr="000C1567">
        <w:tc>
          <w:tcPr>
            <w:tcW w:w="9288" w:type="dxa"/>
          </w:tcPr>
          <w:p w14:paraId="135C6362" w14:textId="77777777" w:rsidR="000C1567" w:rsidRDefault="003B28CD" w:rsidP="000C1567">
            <w:pPr>
              <w:pStyle w:val="UtilComChapterHeading"/>
              <w:outlineLvl w:val="0"/>
            </w:pPr>
            <w:bookmarkStart w:id="224" w:name="_Toc385241534"/>
            <w:bookmarkStart w:id="225" w:name="_Toc386013087"/>
            <w:r>
              <w:t>Depreciation</w:t>
            </w:r>
            <w:bookmarkEnd w:id="224"/>
            <w:bookmarkEnd w:id="225"/>
          </w:p>
        </w:tc>
      </w:tr>
    </w:tbl>
    <w:p w14:paraId="4CB6E785" w14:textId="77777777" w:rsidR="000C1567" w:rsidRDefault="00E73A08" w:rsidP="000C1567">
      <w:pPr>
        <w:pStyle w:val="UtilComHeading2"/>
      </w:pPr>
      <w:bookmarkStart w:id="226" w:name="_Toc385241535"/>
      <w:bookmarkStart w:id="227" w:name="_Toc386013088"/>
      <w:r>
        <w:t>Introduction</w:t>
      </w:r>
      <w:bookmarkEnd w:id="226"/>
      <w:bookmarkEnd w:id="227"/>
    </w:p>
    <w:p w14:paraId="1FDCBB66" w14:textId="5DF3D8B8" w:rsidR="00E73A08" w:rsidRPr="00AE64C5" w:rsidRDefault="00E73A08" w:rsidP="00FA5B56">
      <w:pPr>
        <w:pStyle w:val="NumberLevel2"/>
        <w:numPr>
          <w:ilvl w:val="1"/>
          <w:numId w:val="5"/>
        </w:numPr>
        <w:ind w:left="709" w:hanging="709"/>
        <w:rPr>
          <w:lang w:val="en-AU"/>
        </w:rPr>
      </w:pPr>
      <w:r w:rsidRPr="00AE64C5">
        <w:rPr>
          <w:lang w:val="en-AU"/>
        </w:rPr>
        <w:t>This chapter sets out the annual allowances for regulatory depreciation</w:t>
      </w:r>
      <w:r w:rsidR="00837188">
        <w:rPr>
          <w:lang w:val="en-AU"/>
        </w:rPr>
        <w:t xml:space="preserve">, </w:t>
      </w:r>
      <w:r w:rsidRPr="00AE64C5">
        <w:rPr>
          <w:lang w:val="en-AU"/>
        </w:rPr>
        <w:t>also referred to as the return of capital</w:t>
      </w:r>
      <w:r w:rsidR="00837188">
        <w:rPr>
          <w:lang w:val="en-AU"/>
        </w:rPr>
        <w:t xml:space="preserve">, </w:t>
      </w:r>
      <w:r w:rsidRPr="00AE64C5">
        <w:rPr>
          <w:lang w:val="en-AU"/>
        </w:rPr>
        <w:t>that sums the (negative) straight</w:t>
      </w:r>
      <w:r w:rsidR="00837188">
        <w:rPr>
          <w:lang w:val="en-AU"/>
        </w:rPr>
        <w:t>-</w:t>
      </w:r>
      <w:r w:rsidRPr="00AE64C5">
        <w:rPr>
          <w:lang w:val="en-AU"/>
        </w:rPr>
        <w:t>line depreciation and the (positive) annual inflation effect on the opening RAB. It also sets out the Commission’s assessment of PWC Networks’ proposed asset lives</w:t>
      </w:r>
      <w:r w:rsidR="004E09D0">
        <w:rPr>
          <w:lang w:val="en-AU"/>
        </w:rPr>
        <w:t xml:space="preserve"> it has</w:t>
      </w:r>
      <w:r w:rsidRPr="00AE64C5">
        <w:rPr>
          <w:lang w:val="en-AU"/>
        </w:rPr>
        <w:t xml:space="preserve"> used to calculate its depreciation schedules for the </w:t>
      </w:r>
      <w:r w:rsidR="00590E06">
        <w:rPr>
          <w:lang w:val="en-AU"/>
        </w:rPr>
        <w:t>2014-19</w:t>
      </w:r>
      <w:r w:rsidR="00590E06" w:rsidRPr="00AE64C5">
        <w:rPr>
          <w:lang w:val="en-AU"/>
        </w:rPr>
        <w:t xml:space="preserve"> </w:t>
      </w:r>
      <w:r w:rsidRPr="00AE64C5">
        <w:rPr>
          <w:lang w:val="en-AU"/>
        </w:rPr>
        <w:t>regulatory control period.</w:t>
      </w:r>
    </w:p>
    <w:p w14:paraId="720E08F9" w14:textId="03869944" w:rsidR="000C1567" w:rsidRPr="00AE64C5" w:rsidRDefault="00E73A08" w:rsidP="00FA5B56">
      <w:pPr>
        <w:pStyle w:val="NumberLevel2"/>
        <w:numPr>
          <w:ilvl w:val="1"/>
          <w:numId w:val="5"/>
        </w:numPr>
        <w:ind w:left="709" w:hanging="709"/>
        <w:rPr>
          <w:lang w:val="en-AU"/>
        </w:rPr>
      </w:pPr>
      <w:r w:rsidRPr="00AE64C5">
        <w:rPr>
          <w:lang w:val="en-AU"/>
        </w:rPr>
        <w:t xml:space="preserve">Regulatory depreciation is used to model the nominal asset values over </w:t>
      </w:r>
      <w:r w:rsidR="00D90701">
        <w:rPr>
          <w:lang w:val="en-AU"/>
        </w:rPr>
        <w:t>a</w:t>
      </w:r>
      <w:r w:rsidR="00D90701" w:rsidRPr="00AE64C5">
        <w:rPr>
          <w:lang w:val="en-AU"/>
        </w:rPr>
        <w:t xml:space="preserve"> </w:t>
      </w:r>
      <w:r w:rsidRPr="00AE64C5">
        <w:rPr>
          <w:lang w:val="en-AU"/>
        </w:rPr>
        <w:t xml:space="preserve">regulatory control period and provides the depreciation allowance in the annual revenue requirement. The annual regulatory depreciation allowance is an amortised value of the RAB, derived using a specified depreciation schedule that reflects the nature of the assets over their economic </w:t>
      </w:r>
      <w:r w:rsidR="00D90701">
        <w:rPr>
          <w:lang w:val="en-AU"/>
        </w:rPr>
        <w:t>lives</w:t>
      </w:r>
      <w:r w:rsidRPr="00AE64C5">
        <w:rPr>
          <w:lang w:val="en-AU"/>
        </w:rPr>
        <w:t>. Regulatory practice has been to assign a regulatory life (standard life) to each category of assets that equals its expected economic life.</w:t>
      </w:r>
    </w:p>
    <w:p w14:paraId="1F7B3F41" w14:textId="4D74199D" w:rsidR="00E73A08" w:rsidRDefault="00E73A08" w:rsidP="00E73A08">
      <w:pPr>
        <w:pStyle w:val="UtilComHeading2"/>
      </w:pPr>
      <w:bookmarkStart w:id="228" w:name="_Toc385241536"/>
      <w:bookmarkStart w:id="229" w:name="_Toc386013089"/>
      <w:r>
        <w:t xml:space="preserve">Regulatory </w:t>
      </w:r>
      <w:r w:rsidR="008B1697">
        <w:t>R</w:t>
      </w:r>
      <w:r>
        <w:t>equirements</w:t>
      </w:r>
      <w:bookmarkEnd w:id="228"/>
      <w:bookmarkEnd w:id="229"/>
    </w:p>
    <w:p w14:paraId="563671C2" w14:textId="66E4E92C" w:rsidR="004D6F5B" w:rsidRPr="00FA7D1F" w:rsidRDefault="00FB2EC5" w:rsidP="004D6F5B">
      <w:pPr>
        <w:pStyle w:val="UtilComHeading3"/>
      </w:pPr>
      <w:r>
        <w:t>Network Access Code</w:t>
      </w:r>
    </w:p>
    <w:p w14:paraId="01B714D2" w14:textId="2463B9ED" w:rsidR="003759CC" w:rsidRDefault="003759CC" w:rsidP="00FA5B56">
      <w:pPr>
        <w:pStyle w:val="NumberLevel2"/>
        <w:numPr>
          <w:ilvl w:val="1"/>
          <w:numId w:val="5"/>
        </w:numPr>
        <w:ind w:left="709" w:hanging="709"/>
        <w:rPr>
          <w:lang w:val="en-AU"/>
        </w:rPr>
      </w:pPr>
      <w:r>
        <w:rPr>
          <w:lang w:val="en-AU"/>
        </w:rPr>
        <w:t xml:space="preserve">Clause 6 of </w:t>
      </w:r>
      <w:r w:rsidR="00D90701">
        <w:rPr>
          <w:lang w:val="en-AU"/>
        </w:rPr>
        <w:t xml:space="preserve">Schedule </w:t>
      </w:r>
      <w:r>
        <w:rPr>
          <w:lang w:val="en-AU"/>
        </w:rPr>
        <w:t>6 of t</w:t>
      </w:r>
      <w:r w:rsidR="004D6F5B">
        <w:rPr>
          <w:lang w:val="en-AU"/>
        </w:rPr>
        <w:t xml:space="preserve">he </w:t>
      </w:r>
      <w:r w:rsidR="00FB2EC5">
        <w:rPr>
          <w:lang w:val="en-AU"/>
        </w:rPr>
        <w:t>Network Access Code</w:t>
      </w:r>
      <w:r w:rsidR="004D6F5B">
        <w:rPr>
          <w:lang w:val="en-AU"/>
        </w:rPr>
        <w:t xml:space="preserve"> </w:t>
      </w:r>
      <w:r>
        <w:rPr>
          <w:lang w:val="en-AU"/>
        </w:rPr>
        <w:t>provides that:</w:t>
      </w:r>
    </w:p>
    <w:p w14:paraId="67A65AA2" w14:textId="417B0F2E" w:rsidR="004D6F5B" w:rsidRDefault="00D90701" w:rsidP="004B63D8">
      <w:pPr>
        <w:pStyle w:val="UtilComQuotationText"/>
        <w:ind w:left="1560" w:hanging="426"/>
      </w:pPr>
      <w:r>
        <w:t>(1)</w:t>
      </w:r>
      <w:r w:rsidR="003759CC" w:rsidRPr="00837188">
        <w:tab/>
      </w:r>
      <w:r w:rsidR="007D301F">
        <w:t>Allowing a return on capital recognises the need to recoup the capital which the network provider currently has invested in network assets over the remaining useful lives of those assets</w:t>
      </w:r>
      <w:r w:rsidR="003759CC" w:rsidRPr="00837188">
        <w:t>.</w:t>
      </w:r>
    </w:p>
    <w:p w14:paraId="70E761B6" w14:textId="77777777" w:rsidR="00D90701" w:rsidRDefault="00D90701" w:rsidP="00D90701">
      <w:pPr>
        <w:pStyle w:val="UtilComQuotationText"/>
        <w:ind w:left="1560" w:hanging="426"/>
      </w:pPr>
      <w:r w:rsidRPr="00837188">
        <w:t>(2)</w:t>
      </w:r>
      <w:r w:rsidRPr="00837188">
        <w:tab/>
        <w:t>The asset lives used for the purpose of calculating depreciation rates are to be consistent with good electricity industry practice.</w:t>
      </w:r>
    </w:p>
    <w:p w14:paraId="29022065" w14:textId="6ECDFFCE" w:rsidR="007D301F" w:rsidRPr="007D301F" w:rsidRDefault="007D301F" w:rsidP="007D301F">
      <w:pPr>
        <w:pStyle w:val="NumberLevel2"/>
        <w:numPr>
          <w:ilvl w:val="1"/>
          <w:numId w:val="5"/>
        </w:numPr>
        <w:ind w:left="709" w:hanging="709"/>
        <w:rPr>
          <w:lang w:val="en-AU"/>
        </w:rPr>
      </w:pPr>
      <w:r w:rsidRPr="007D301F">
        <w:rPr>
          <w:lang w:val="en-AU"/>
        </w:rPr>
        <w:t>Whil</w:t>
      </w:r>
      <w:r>
        <w:rPr>
          <w:lang w:val="en-AU"/>
        </w:rPr>
        <w:t>e</w:t>
      </w:r>
      <w:r w:rsidRPr="007D301F">
        <w:rPr>
          <w:lang w:val="en-AU"/>
        </w:rPr>
        <w:t xml:space="preserve"> Schedule 6 of the Network Access Code does not apply to the setting of the depreciation allowance for the 2014</w:t>
      </w:r>
      <w:r>
        <w:rPr>
          <w:lang w:val="en-AU"/>
        </w:rPr>
        <w:t>-</w:t>
      </w:r>
      <w:r w:rsidRPr="007D301F">
        <w:rPr>
          <w:lang w:val="en-AU"/>
        </w:rPr>
        <w:t>19 regulatory control period</w:t>
      </w:r>
      <w:r w:rsidR="0030167B">
        <w:rPr>
          <w:lang w:val="en-AU"/>
        </w:rPr>
        <w:t>,</w:t>
      </w:r>
      <w:r w:rsidRPr="007D301F">
        <w:rPr>
          <w:lang w:val="en-AU"/>
        </w:rPr>
        <w:t xml:space="preserve"> it provides a general indication of the objectives of this process</w:t>
      </w:r>
      <w:r>
        <w:rPr>
          <w:lang w:val="en-AU"/>
        </w:rPr>
        <w:t>.</w:t>
      </w:r>
    </w:p>
    <w:p w14:paraId="73EFE858" w14:textId="77777777" w:rsidR="004D6F5B" w:rsidRDefault="004D6F5B" w:rsidP="004D6F5B">
      <w:pPr>
        <w:pStyle w:val="UtilComHeading3"/>
      </w:pPr>
      <w:r w:rsidRPr="00321BDA">
        <w:t>National Electricity Rules</w:t>
      </w:r>
    </w:p>
    <w:p w14:paraId="55B17399" w14:textId="46412A9B" w:rsidR="004D6F5B" w:rsidRPr="004D6F5B" w:rsidRDefault="004D6F5B" w:rsidP="00FA5B56">
      <w:pPr>
        <w:pStyle w:val="NumberLevel2"/>
        <w:numPr>
          <w:ilvl w:val="1"/>
          <w:numId w:val="5"/>
        </w:numPr>
        <w:tabs>
          <w:tab w:val="clear" w:pos="3270"/>
          <w:tab w:val="num" w:pos="709"/>
        </w:tabs>
        <w:ind w:left="709" w:hanging="709"/>
        <w:rPr>
          <w:lang w:val="en-AU"/>
        </w:rPr>
      </w:pPr>
      <w:r w:rsidRPr="004D6F5B">
        <w:rPr>
          <w:lang w:val="en-AU"/>
        </w:rPr>
        <w:t xml:space="preserve">Clause 6.5.5 of the NER sets out the requirement for depreciation for each regulatory year. Clause 6.5.5(a) of the NER provides that depreciation must be calculated on the value of the assets included in the RAB </w:t>
      </w:r>
      <w:r w:rsidR="00BB0F36">
        <w:rPr>
          <w:lang w:val="en-AU"/>
        </w:rPr>
        <w:t xml:space="preserve">for the relevant distribution system </w:t>
      </w:r>
      <w:r w:rsidRPr="004D6F5B">
        <w:rPr>
          <w:lang w:val="en-AU"/>
        </w:rPr>
        <w:t>at the beginning of the regulatory year.</w:t>
      </w:r>
    </w:p>
    <w:p w14:paraId="13ACA98C" w14:textId="77777777" w:rsidR="004D6F5B" w:rsidRPr="004D6F5B" w:rsidRDefault="004D6F5B" w:rsidP="00FA5B56">
      <w:pPr>
        <w:pStyle w:val="NumberLevel2"/>
        <w:numPr>
          <w:ilvl w:val="1"/>
          <w:numId w:val="5"/>
        </w:numPr>
        <w:tabs>
          <w:tab w:val="clear" w:pos="3270"/>
          <w:tab w:val="num" w:pos="709"/>
        </w:tabs>
        <w:ind w:left="709" w:hanging="709"/>
        <w:rPr>
          <w:lang w:val="en-AU"/>
        </w:rPr>
      </w:pPr>
      <w:r w:rsidRPr="004D6F5B">
        <w:rPr>
          <w:lang w:val="en-AU"/>
        </w:rPr>
        <w:t>A building block proposal must contain depreciation schedules that conform to the following requirements set out in clause 6.5.5(b) of the NER:</w:t>
      </w:r>
    </w:p>
    <w:p w14:paraId="61F12817" w14:textId="77777777" w:rsidR="004D6F5B" w:rsidRPr="00837188" w:rsidRDefault="004D6F5B" w:rsidP="004B63D8">
      <w:pPr>
        <w:pStyle w:val="UtilComQuotationText"/>
        <w:ind w:left="1570" w:hanging="425"/>
      </w:pPr>
      <w:r w:rsidRPr="00837188">
        <w:t xml:space="preserve">(1) </w:t>
      </w:r>
      <w:r w:rsidR="00837188">
        <w:tab/>
      </w:r>
      <w:r w:rsidRPr="00837188">
        <w:t>the schedules must depreciate using a profile that reflects the nature of the assets or category of assets over the economic life of that asset or category of assets;</w:t>
      </w:r>
    </w:p>
    <w:p w14:paraId="7B9BD816" w14:textId="338C77F5" w:rsidR="004D6F5B" w:rsidRPr="00837188" w:rsidRDefault="004D6F5B" w:rsidP="004B63D8">
      <w:pPr>
        <w:pStyle w:val="UtilComQuotationText"/>
        <w:ind w:left="1570" w:hanging="425"/>
      </w:pPr>
      <w:r w:rsidRPr="00837188">
        <w:t xml:space="preserve">(2) </w:t>
      </w:r>
      <w:r w:rsidR="00837188">
        <w:tab/>
      </w:r>
      <w:r w:rsidRPr="00837188">
        <w:t>the sum of the real value of the depreciation that is attributable to any asset or category of assets over the economic life of that asset or category of assets (such real value being calculated as at the time the value of that asset or category of assets was first included in the regulatory asset base for the relevant distribution system) must be equivalent to the value at which that asset or category of assets was first included in the regulatory asset base for the relevant distribution system;</w:t>
      </w:r>
      <w:r w:rsidR="0030167B">
        <w:t xml:space="preserve"> and </w:t>
      </w:r>
    </w:p>
    <w:p w14:paraId="24BDCD1D" w14:textId="77777777" w:rsidR="004D6F5B" w:rsidRPr="00837188" w:rsidRDefault="004D6F5B" w:rsidP="004B63D8">
      <w:pPr>
        <w:pStyle w:val="UtilComQuotationText"/>
        <w:ind w:left="1570" w:hanging="425"/>
      </w:pPr>
      <w:r w:rsidRPr="00837188">
        <w:t xml:space="preserve">(3) </w:t>
      </w:r>
      <w:r w:rsidR="00837188">
        <w:tab/>
      </w:r>
      <w:r w:rsidRPr="00837188">
        <w:t>the economic life of the relevant assets and the depreciation methods and rates underpinning the calculation of depreciation for a given regulatory control period must be consistent with those determined for the same assets on a prospective basis in the distribution determination for that period.</w:t>
      </w:r>
    </w:p>
    <w:p w14:paraId="20729473" w14:textId="20E07F3C" w:rsidR="004D6F5B" w:rsidRPr="004D6F5B" w:rsidRDefault="004D6F5B" w:rsidP="00BB0F36">
      <w:pPr>
        <w:pStyle w:val="NumberLevel2"/>
        <w:numPr>
          <w:ilvl w:val="1"/>
          <w:numId w:val="5"/>
        </w:numPr>
        <w:ind w:left="709" w:hanging="709"/>
        <w:rPr>
          <w:lang w:val="en-AU"/>
        </w:rPr>
      </w:pPr>
      <w:r w:rsidRPr="004D6F5B">
        <w:rPr>
          <w:lang w:val="en-AU"/>
        </w:rPr>
        <w:t xml:space="preserve">To the extent that a DNSP’s building block proposal does not comply with the above requirements, clause 6.5.5(a)(2)(ii) of the NER </w:t>
      </w:r>
      <w:r w:rsidR="00BB0F36">
        <w:rPr>
          <w:lang w:val="en-AU"/>
        </w:rPr>
        <w:t>allows</w:t>
      </w:r>
      <w:r w:rsidR="00BB0F36" w:rsidRPr="004D6F5B">
        <w:rPr>
          <w:lang w:val="en-AU"/>
        </w:rPr>
        <w:t xml:space="preserve"> </w:t>
      </w:r>
      <w:r w:rsidRPr="004D6F5B">
        <w:rPr>
          <w:lang w:val="en-AU"/>
        </w:rPr>
        <w:t>for the AER to determine the depreciation schedules.</w:t>
      </w:r>
    </w:p>
    <w:p w14:paraId="66B5BB1E" w14:textId="5F7DD4DF" w:rsidR="004D6F5B" w:rsidRPr="00FA7D1F" w:rsidRDefault="004D6F5B" w:rsidP="004D6F5B">
      <w:pPr>
        <w:pStyle w:val="UtilComHeading3"/>
      </w:pPr>
      <w:r>
        <w:t xml:space="preserve">Framework </w:t>
      </w:r>
      <w:r w:rsidR="00BB0F36">
        <w:t>Statement</w:t>
      </w:r>
    </w:p>
    <w:p w14:paraId="64D868B4" w14:textId="274060AC" w:rsidR="00C8408A" w:rsidRPr="00C8408A" w:rsidRDefault="004D6F5B" w:rsidP="00FA5B56">
      <w:pPr>
        <w:pStyle w:val="ListParagraph"/>
        <w:numPr>
          <w:ilvl w:val="1"/>
          <w:numId w:val="5"/>
        </w:numPr>
        <w:ind w:left="709" w:hanging="709"/>
        <w:rPr>
          <w:lang w:val="en-AU"/>
        </w:rPr>
      </w:pPr>
      <w:r w:rsidRPr="00C8408A">
        <w:rPr>
          <w:lang w:val="en-AU"/>
        </w:rPr>
        <w:t xml:space="preserve">In its Framework </w:t>
      </w:r>
      <w:r w:rsidR="00B47D46">
        <w:rPr>
          <w:lang w:val="en-AU"/>
        </w:rPr>
        <w:t>Statement</w:t>
      </w:r>
      <w:r w:rsidRPr="00C8408A">
        <w:rPr>
          <w:lang w:val="en-AU"/>
        </w:rPr>
        <w:t xml:space="preserve">, the Commission </w:t>
      </w:r>
      <w:r w:rsidR="00BB0F36">
        <w:rPr>
          <w:lang w:val="en-AU"/>
        </w:rPr>
        <w:t>stated that</w:t>
      </w:r>
      <w:r w:rsidRPr="00C8408A">
        <w:rPr>
          <w:lang w:val="en-AU"/>
        </w:rPr>
        <w:t xml:space="preserve"> its preferred approach </w:t>
      </w:r>
      <w:r w:rsidR="00C8408A" w:rsidRPr="00C8408A">
        <w:rPr>
          <w:lang w:val="en-AU"/>
        </w:rPr>
        <w:t xml:space="preserve">to calculating depreciation </w:t>
      </w:r>
      <w:r w:rsidR="00BB0F36">
        <w:rPr>
          <w:lang w:val="en-AU"/>
        </w:rPr>
        <w:t>was to apply</w:t>
      </w:r>
      <w:r w:rsidR="00C8408A" w:rsidRPr="00C8408A">
        <w:rPr>
          <w:lang w:val="en-AU"/>
        </w:rPr>
        <w:t xml:space="preserve"> clause 6.5.5 of the NER </w:t>
      </w:r>
      <w:r w:rsidR="00BB0F36">
        <w:rPr>
          <w:lang w:val="en-AU"/>
        </w:rPr>
        <w:t xml:space="preserve">which </w:t>
      </w:r>
      <w:r w:rsidR="00C8408A" w:rsidRPr="00C8408A">
        <w:rPr>
          <w:lang w:val="en-AU"/>
        </w:rPr>
        <w:t>provides an appropriate model for PWC Networks’ regulatory proposal.</w:t>
      </w:r>
    </w:p>
    <w:p w14:paraId="5D35B66D" w14:textId="407F9832" w:rsidR="00E73A08" w:rsidRDefault="00E73A08" w:rsidP="00E73A08">
      <w:pPr>
        <w:pStyle w:val="UtilComHeading2"/>
      </w:pPr>
      <w:bookmarkStart w:id="230" w:name="_Toc385241537"/>
      <w:bookmarkStart w:id="231" w:name="_Toc386013090"/>
      <w:r>
        <w:t>PWC Networks</w:t>
      </w:r>
      <w:r w:rsidR="00D624BF">
        <w:t>’</w:t>
      </w:r>
      <w:r>
        <w:t xml:space="preserve"> </w:t>
      </w:r>
      <w:r w:rsidR="003D1BBE">
        <w:t xml:space="preserve">Initial Regulatory </w:t>
      </w:r>
      <w:bookmarkEnd w:id="230"/>
      <w:r w:rsidR="003D1BBE">
        <w:t>Proposal</w:t>
      </w:r>
      <w:bookmarkEnd w:id="231"/>
    </w:p>
    <w:p w14:paraId="70A46928" w14:textId="6BC962F3" w:rsidR="00E73A08" w:rsidRDefault="00C8408A" w:rsidP="00FA5B56">
      <w:pPr>
        <w:pStyle w:val="NumberLevel2"/>
        <w:numPr>
          <w:ilvl w:val="1"/>
          <w:numId w:val="5"/>
        </w:numPr>
        <w:ind w:left="709" w:hanging="709"/>
        <w:rPr>
          <w:lang w:val="en-AU"/>
        </w:rPr>
      </w:pPr>
      <w:r>
        <w:rPr>
          <w:lang w:val="en-AU"/>
        </w:rPr>
        <w:t>PWC Networks advised that it had revised its depreciation methodology to align with the standard AER approach.</w:t>
      </w:r>
      <w:r w:rsidR="00184F77">
        <w:rPr>
          <w:lang w:val="en-AU"/>
        </w:rPr>
        <w:t xml:space="preserve"> This method was retrospectively applied in rolling forward the </w:t>
      </w:r>
      <w:r w:rsidR="00BB0F36">
        <w:rPr>
          <w:lang w:val="en-AU"/>
        </w:rPr>
        <w:t>RAB</w:t>
      </w:r>
      <w:r w:rsidR="00184F77">
        <w:rPr>
          <w:lang w:val="en-AU"/>
        </w:rPr>
        <w:t xml:space="preserve"> to get the opening RAB for </w:t>
      </w:r>
      <w:r w:rsidR="00590E06">
        <w:rPr>
          <w:lang w:val="en-AU"/>
        </w:rPr>
        <w:t>1 July </w:t>
      </w:r>
      <w:r w:rsidR="00184F77">
        <w:rPr>
          <w:lang w:val="en-AU"/>
        </w:rPr>
        <w:t>2014.</w:t>
      </w:r>
    </w:p>
    <w:p w14:paraId="6E632382" w14:textId="27E5F486" w:rsidR="00184F77" w:rsidRDefault="004D0ACD" w:rsidP="00FA5B56">
      <w:pPr>
        <w:pStyle w:val="NumberLevel2"/>
        <w:numPr>
          <w:ilvl w:val="1"/>
          <w:numId w:val="5"/>
        </w:numPr>
        <w:ind w:left="709" w:hanging="709"/>
        <w:rPr>
          <w:lang w:val="en-AU"/>
        </w:rPr>
      </w:pPr>
      <w:r w:rsidRPr="004D0ACD">
        <w:rPr>
          <w:lang w:val="en-AU"/>
        </w:rPr>
        <w:t xml:space="preserve">PWC Networks consolidated </w:t>
      </w:r>
      <w:r w:rsidR="00BB0F36">
        <w:rPr>
          <w:lang w:val="en-AU"/>
        </w:rPr>
        <w:t xml:space="preserve">its </w:t>
      </w:r>
      <w:r w:rsidRPr="004D0ACD">
        <w:rPr>
          <w:lang w:val="en-AU"/>
        </w:rPr>
        <w:t xml:space="preserve">assets into 14 regulatory asset categories. </w:t>
      </w:r>
      <w:r w:rsidR="00740370">
        <w:rPr>
          <w:lang w:val="en-AU"/>
        </w:rPr>
        <w:t>PWC </w:t>
      </w:r>
      <w:r w:rsidR="0070674C">
        <w:rPr>
          <w:lang w:val="en-AU"/>
        </w:rPr>
        <w:t xml:space="preserve">Networks sought </w:t>
      </w:r>
      <w:r w:rsidR="00BB1F03">
        <w:rPr>
          <w:lang w:val="en-AU"/>
        </w:rPr>
        <w:t>advice from</w:t>
      </w:r>
      <w:r w:rsidR="0070674C">
        <w:rPr>
          <w:lang w:val="en-AU"/>
        </w:rPr>
        <w:t xml:space="preserve"> SKM in determining the appropriate average life, average age and remaining life to apply to the 14 asset categories as at </w:t>
      </w:r>
      <w:r w:rsidR="00740370">
        <w:rPr>
          <w:lang w:val="en-AU"/>
        </w:rPr>
        <w:t>30 June </w:t>
      </w:r>
      <w:r w:rsidR="0070674C">
        <w:rPr>
          <w:lang w:val="en-AU"/>
        </w:rPr>
        <w:t xml:space="preserve">2013. The standard life and remaining life for each asset category proposed by PWC Networks </w:t>
      </w:r>
      <w:r w:rsidR="00BB0F36">
        <w:rPr>
          <w:lang w:val="en-AU"/>
        </w:rPr>
        <w:t xml:space="preserve">reflected </w:t>
      </w:r>
      <w:r w:rsidR="0070674C">
        <w:rPr>
          <w:lang w:val="en-AU"/>
        </w:rPr>
        <w:t xml:space="preserve">this </w:t>
      </w:r>
      <w:r w:rsidR="00BB1F03">
        <w:rPr>
          <w:lang w:val="en-AU"/>
        </w:rPr>
        <w:t>advice</w:t>
      </w:r>
      <w:r w:rsidR="0070674C">
        <w:rPr>
          <w:lang w:val="en-AU"/>
        </w:rPr>
        <w:t>.</w:t>
      </w:r>
    </w:p>
    <w:p w14:paraId="6C56155B" w14:textId="77777777" w:rsidR="00184F77" w:rsidRDefault="00184F77" w:rsidP="00FA5B56">
      <w:pPr>
        <w:pStyle w:val="NumberLevel2"/>
        <w:numPr>
          <w:ilvl w:val="1"/>
          <w:numId w:val="5"/>
        </w:numPr>
        <w:ind w:left="709" w:hanging="709"/>
        <w:rPr>
          <w:lang w:val="en-AU"/>
        </w:rPr>
      </w:pPr>
      <w:r w:rsidRPr="00184F77">
        <w:rPr>
          <w:lang w:val="en-AU"/>
        </w:rPr>
        <w:t>The regulatory depreciation allowance</w:t>
      </w:r>
      <w:r w:rsidR="00BB1F03">
        <w:rPr>
          <w:lang w:val="en-AU"/>
        </w:rPr>
        <w:t>s</w:t>
      </w:r>
      <w:r w:rsidRPr="00184F77">
        <w:rPr>
          <w:lang w:val="en-AU"/>
        </w:rPr>
        <w:t xml:space="preserve"> proposed by </w:t>
      </w:r>
      <w:r w:rsidR="00580316">
        <w:rPr>
          <w:lang w:val="en-AU"/>
        </w:rPr>
        <w:t>PWC Networks</w:t>
      </w:r>
      <w:r w:rsidRPr="00184F77">
        <w:rPr>
          <w:lang w:val="en-AU"/>
        </w:rPr>
        <w:t xml:space="preserve"> for the </w:t>
      </w:r>
      <w:r w:rsidR="001E620B">
        <w:rPr>
          <w:lang w:val="en-AU"/>
        </w:rPr>
        <w:t>2014-19</w:t>
      </w:r>
      <w:r w:rsidR="001E620B" w:rsidRPr="00184F77">
        <w:rPr>
          <w:lang w:val="en-AU"/>
        </w:rPr>
        <w:t xml:space="preserve"> </w:t>
      </w:r>
      <w:r w:rsidRPr="00184F77">
        <w:rPr>
          <w:lang w:val="en-AU"/>
        </w:rPr>
        <w:t xml:space="preserve">regulatory control period are set out in </w:t>
      </w:r>
      <w:r w:rsidR="00837188">
        <w:rPr>
          <w:lang w:val="en-AU"/>
        </w:rPr>
        <w:t>T</w:t>
      </w:r>
      <w:r w:rsidR="00837188" w:rsidRPr="00184F77">
        <w:rPr>
          <w:lang w:val="en-AU"/>
        </w:rPr>
        <w:t xml:space="preserve">able </w:t>
      </w:r>
      <w:r w:rsidR="00C016EF" w:rsidRPr="00184F77">
        <w:rPr>
          <w:lang w:val="en-AU"/>
        </w:rPr>
        <w:t>1</w:t>
      </w:r>
      <w:r w:rsidR="00C016EF">
        <w:rPr>
          <w:lang w:val="en-AU"/>
        </w:rPr>
        <w:t>1</w:t>
      </w:r>
      <w:r w:rsidRPr="00184F77">
        <w:rPr>
          <w:lang w:val="en-AU"/>
        </w:rPr>
        <w:t>.1.</w:t>
      </w:r>
    </w:p>
    <w:p w14:paraId="3D7E29E3" w14:textId="77777777" w:rsidR="00184F77" w:rsidRPr="00A139AD" w:rsidRDefault="00184F77" w:rsidP="00837188">
      <w:pPr>
        <w:pStyle w:val="UtilComTableTitle"/>
        <w:keepNext/>
        <w:spacing w:before="120" w:after="0" w:line="240" w:lineRule="exact"/>
      </w:pPr>
      <w:r>
        <w:t xml:space="preserve">Table </w:t>
      </w:r>
      <w:r w:rsidR="00C016EF">
        <w:t>11</w:t>
      </w:r>
      <w:r>
        <w:t xml:space="preserve">.1: PWC Networks </w:t>
      </w:r>
      <w:r w:rsidRPr="00184F77">
        <w:t>proposed regulatory depreciation allowances ($</w:t>
      </w:r>
      <w:r w:rsidR="00484786">
        <w:t>M</w:t>
      </w:r>
      <w:r w:rsidRPr="00184F77">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10"/>
        <w:gridCol w:w="1134"/>
        <w:gridCol w:w="1134"/>
        <w:gridCol w:w="1134"/>
        <w:gridCol w:w="1134"/>
        <w:gridCol w:w="1134"/>
        <w:gridCol w:w="1134"/>
      </w:tblGrid>
      <w:tr w:rsidR="00184F77" w:rsidRPr="008A4655" w14:paraId="3FDE801C" w14:textId="77777777" w:rsidTr="00837188">
        <w:trPr>
          <w:cantSplit/>
          <w:trHeight w:val="360"/>
        </w:trPr>
        <w:tc>
          <w:tcPr>
            <w:tcW w:w="2410" w:type="dxa"/>
            <w:tcBorders>
              <w:top w:val="single" w:sz="4" w:space="0" w:color="999999"/>
              <w:bottom w:val="single" w:sz="4" w:space="0" w:color="auto"/>
            </w:tcBorders>
            <w:vAlign w:val="bottom"/>
          </w:tcPr>
          <w:p w14:paraId="2C19BD9C" w14:textId="77777777" w:rsidR="00184F77" w:rsidRPr="00EE5A08" w:rsidRDefault="00184F77" w:rsidP="00470217">
            <w:pPr>
              <w:pStyle w:val="UtilComTabletext"/>
              <w:rPr>
                <w:b/>
              </w:rPr>
            </w:pPr>
          </w:p>
        </w:tc>
        <w:tc>
          <w:tcPr>
            <w:tcW w:w="1134" w:type="dxa"/>
            <w:tcBorders>
              <w:top w:val="single" w:sz="4" w:space="0" w:color="999999"/>
              <w:bottom w:val="single" w:sz="4" w:space="0" w:color="auto"/>
            </w:tcBorders>
            <w:vAlign w:val="bottom"/>
          </w:tcPr>
          <w:p w14:paraId="728BE2D5" w14:textId="77777777" w:rsidR="00184F77" w:rsidRPr="00EE5A08" w:rsidRDefault="00184F77" w:rsidP="00837188">
            <w:pPr>
              <w:pStyle w:val="UtilComTabletext"/>
              <w:jc w:val="right"/>
              <w:rPr>
                <w:b/>
              </w:rPr>
            </w:pPr>
            <w:r>
              <w:rPr>
                <w:b/>
              </w:rPr>
              <w:t>2014-15</w:t>
            </w:r>
          </w:p>
        </w:tc>
        <w:tc>
          <w:tcPr>
            <w:tcW w:w="1134" w:type="dxa"/>
            <w:tcBorders>
              <w:top w:val="single" w:sz="4" w:space="0" w:color="999999"/>
              <w:bottom w:val="single" w:sz="4" w:space="0" w:color="auto"/>
            </w:tcBorders>
            <w:vAlign w:val="bottom"/>
          </w:tcPr>
          <w:p w14:paraId="7B8A0B6C" w14:textId="77777777" w:rsidR="00184F77" w:rsidRPr="00EE5A08" w:rsidRDefault="00184F77" w:rsidP="00837188">
            <w:pPr>
              <w:pStyle w:val="UtilComTabletext"/>
              <w:jc w:val="right"/>
              <w:rPr>
                <w:b/>
              </w:rPr>
            </w:pPr>
            <w:r>
              <w:rPr>
                <w:b/>
              </w:rPr>
              <w:t>2015-16</w:t>
            </w:r>
          </w:p>
        </w:tc>
        <w:tc>
          <w:tcPr>
            <w:tcW w:w="1134" w:type="dxa"/>
            <w:tcBorders>
              <w:top w:val="single" w:sz="4" w:space="0" w:color="999999"/>
              <w:bottom w:val="single" w:sz="4" w:space="0" w:color="auto"/>
            </w:tcBorders>
            <w:vAlign w:val="bottom"/>
          </w:tcPr>
          <w:p w14:paraId="79E52CC9" w14:textId="77777777" w:rsidR="00184F77" w:rsidRDefault="00184F77" w:rsidP="00837188">
            <w:pPr>
              <w:pStyle w:val="UtilComTabletext"/>
              <w:jc w:val="right"/>
              <w:rPr>
                <w:b/>
              </w:rPr>
            </w:pPr>
            <w:r>
              <w:rPr>
                <w:b/>
              </w:rPr>
              <w:t>2016-17</w:t>
            </w:r>
          </w:p>
        </w:tc>
        <w:tc>
          <w:tcPr>
            <w:tcW w:w="1134" w:type="dxa"/>
            <w:tcBorders>
              <w:top w:val="single" w:sz="4" w:space="0" w:color="999999"/>
              <w:bottom w:val="single" w:sz="4" w:space="0" w:color="auto"/>
            </w:tcBorders>
            <w:vAlign w:val="bottom"/>
          </w:tcPr>
          <w:p w14:paraId="67F41347" w14:textId="77777777" w:rsidR="00184F77" w:rsidRDefault="00184F77" w:rsidP="00837188">
            <w:pPr>
              <w:pStyle w:val="UtilComTabletext"/>
              <w:jc w:val="right"/>
              <w:rPr>
                <w:b/>
              </w:rPr>
            </w:pPr>
            <w:r>
              <w:rPr>
                <w:b/>
              </w:rPr>
              <w:t>2017-18</w:t>
            </w:r>
          </w:p>
        </w:tc>
        <w:tc>
          <w:tcPr>
            <w:tcW w:w="1134" w:type="dxa"/>
            <w:tcBorders>
              <w:top w:val="single" w:sz="4" w:space="0" w:color="999999"/>
              <w:bottom w:val="single" w:sz="4" w:space="0" w:color="auto"/>
            </w:tcBorders>
            <w:vAlign w:val="bottom"/>
          </w:tcPr>
          <w:p w14:paraId="1994792A" w14:textId="77777777" w:rsidR="00184F77" w:rsidRPr="00EE5A08" w:rsidRDefault="00184F77" w:rsidP="00837188">
            <w:pPr>
              <w:pStyle w:val="UtilComTabletext"/>
              <w:jc w:val="right"/>
              <w:rPr>
                <w:b/>
              </w:rPr>
            </w:pPr>
            <w:r>
              <w:rPr>
                <w:b/>
              </w:rPr>
              <w:t>2018-19</w:t>
            </w:r>
          </w:p>
        </w:tc>
        <w:tc>
          <w:tcPr>
            <w:tcW w:w="1134" w:type="dxa"/>
            <w:tcBorders>
              <w:top w:val="single" w:sz="4" w:space="0" w:color="999999"/>
              <w:bottom w:val="single" w:sz="4" w:space="0" w:color="auto"/>
            </w:tcBorders>
            <w:vAlign w:val="bottom"/>
          </w:tcPr>
          <w:p w14:paraId="6FF90916" w14:textId="77777777" w:rsidR="00184F77" w:rsidRPr="00EE5A08" w:rsidRDefault="00184F77" w:rsidP="00837188">
            <w:pPr>
              <w:pStyle w:val="UtilComTabletext"/>
              <w:jc w:val="right"/>
              <w:rPr>
                <w:b/>
              </w:rPr>
            </w:pPr>
            <w:r>
              <w:rPr>
                <w:b/>
              </w:rPr>
              <w:t>Total</w:t>
            </w:r>
          </w:p>
        </w:tc>
      </w:tr>
      <w:tr w:rsidR="00184F77" w:rsidRPr="008A4655" w14:paraId="043B47E4" w14:textId="77777777" w:rsidTr="00837188">
        <w:trPr>
          <w:cantSplit/>
          <w:trHeight w:val="360"/>
        </w:trPr>
        <w:tc>
          <w:tcPr>
            <w:tcW w:w="2410" w:type="dxa"/>
            <w:tcBorders>
              <w:bottom w:val="single" w:sz="4" w:space="0" w:color="000000"/>
            </w:tcBorders>
          </w:tcPr>
          <w:p w14:paraId="55E59A65" w14:textId="77777777" w:rsidR="00184F77" w:rsidRDefault="00184F77" w:rsidP="0073149C">
            <w:pPr>
              <w:pStyle w:val="UtilComTabletext"/>
            </w:pPr>
            <w:r>
              <w:t>Depreciation (</w:t>
            </w:r>
            <w:r w:rsidR="0073149C">
              <w:t>DO</w:t>
            </w:r>
            <w:r>
              <w:t>RC)</w:t>
            </w:r>
          </w:p>
        </w:tc>
        <w:tc>
          <w:tcPr>
            <w:tcW w:w="1134" w:type="dxa"/>
            <w:tcBorders>
              <w:bottom w:val="single" w:sz="4" w:space="0" w:color="000000"/>
            </w:tcBorders>
          </w:tcPr>
          <w:p w14:paraId="646107EE" w14:textId="77777777" w:rsidR="00184F77" w:rsidRPr="00DB64A7" w:rsidRDefault="00184F77" w:rsidP="00837188">
            <w:pPr>
              <w:pStyle w:val="UtilComTabletext"/>
              <w:jc w:val="right"/>
            </w:pPr>
            <w:r>
              <w:t>27.73</w:t>
            </w:r>
          </w:p>
        </w:tc>
        <w:tc>
          <w:tcPr>
            <w:tcW w:w="1134" w:type="dxa"/>
            <w:tcBorders>
              <w:bottom w:val="single" w:sz="4" w:space="0" w:color="000000"/>
            </w:tcBorders>
          </w:tcPr>
          <w:p w14:paraId="797A1D3C" w14:textId="77777777" w:rsidR="00184F77" w:rsidRPr="00DB64A7" w:rsidRDefault="00184F77" w:rsidP="00837188">
            <w:pPr>
              <w:pStyle w:val="UtilComTabletext"/>
              <w:jc w:val="right"/>
            </w:pPr>
            <w:r>
              <w:t>30.37</w:t>
            </w:r>
          </w:p>
        </w:tc>
        <w:tc>
          <w:tcPr>
            <w:tcW w:w="1134" w:type="dxa"/>
            <w:tcBorders>
              <w:bottom w:val="single" w:sz="4" w:space="0" w:color="000000"/>
            </w:tcBorders>
          </w:tcPr>
          <w:p w14:paraId="5CC07697" w14:textId="77777777" w:rsidR="00184F77" w:rsidRPr="00DB64A7" w:rsidRDefault="00184F77" w:rsidP="00837188">
            <w:pPr>
              <w:pStyle w:val="UtilComTabletext"/>
              <w:jc w:val="right"/>
            </w:pPr>
            <w:r>
              <w:t>26.24</w:t>
            </w:r>
          </w:p>
        </w:tc>
        <w:tc>
          <w:tcPr>
            <w:tcW w:w="1134" w:type="dxa"/>
            <w:tcBorders>
              <w:bottom w:val="single" w:sz="4" w:space="0" w:color="000000"/>
            </w:tcBorders>
          </w:tcPr>
          <w:p w14:paraId="5E9258FE" w14:textId="77777777" w:rsidR="00184F77" w:rsidRPr="00DB64A7" w:rsidRDefault="00184F77" w:rsidP="00837188">
            <w:pPr>
              <w:pStyle w:val="UtilComTabletext"/>
              <w:jc w:val="right"/>
            </w:pPr>
            <w:r>
              <w:t>28.01</w:t>
            </w:r>
          </w:p>
        </w:tc>
        <w:tc>
          <w:tcPr>
            <w:tcW w:w="1134" w:type="dxa"/>
            <w:tcBorders>
              <w:bottom w:val="single" w:sz="4" w:space="0" w:color="000000"/>
            </w:tcBorders>
          </w:tcPr>
          <w:p w14:paraId="2F6CF5D2" w14:textId="77777777" w:rsidR="00184F77" w:rsidRPr="00DB64A7" w:rsidRDefault="00184F77" w:rsidP="00837188">
            <w:pPr>
              <w:pStyle w:val="UtilComTabletext"/>
              <w:jc w:val="right"/>
            </w:pPr>
            <w:r>
              <w:t>30.39</w:t>
            </w:r>
          </w:p>
        </w:tc>
        <w:tc>
          <w:tcPr>
            <w:tcW w:w="1134" w:type="dxa"/>
            <w:tcBorders>
              <w:bottom w:val="single" w:sz="4" w:space="0" w:color="000000"/>
            </w:tcBorders>
          </w:tcPr>
          <w:p w14:paraId="021F4233" w14:textId="77777777" w:rsidR="00184F77" w:rsidRPr="00DB64A7" w:rsidRDefault="00184F77" w:rsidP="002669BC">
            <w:pPr>
              <w:pStyle w:val="UtilComTabletext"/>
              <w:jc w:val="right"/>
            </w:pPr>
            <w:r>
              <w:t>142.74</w:t>
            </w:r>
          </w:p>
        </w:tc>
      </w:tr>
    </w:tbl>
    <w:p w14:paraId="7141B37E" w14:textId="77777777" w:rsidR="00184F77" w:rsidRPr="00E529C5" w:rsidRDefault="00184F77" w:rsidP="00184F77">
      <w:pPr>
        <w:pStyle w:val="UtilComReferenceSource"/>
        <w:rPr>
          <w:lang w:val="en-AU"/>
        </w:rPr>
      </w:pPr>
      <w:r>
        <w:rPr>
          <w:lang w:val="en-AU"/>
        </w:rPr>
        <w:t>Source: PWC Regulatory Proposal</w:t>
      </w:r>
      <w:r w:rsidR="00BF1B44">
        <w:rPr>
          <w:lang w:val="en-AU"/>
        </w:rPr>
        <w:t>, p</w:t>
      </w:r>
      <w:r w:rsidR="00837188">
        <w:rPr>
          <w:lang w:val="en-AU"/>
        </w:rPr>
        <w:t>age</w:t>
      </w:r>
      <w:r w:rsidR="00BF1B44">
        <w:rPr>
          <w:lang w:val="en-AU"/>
        </w:rPr>
        <w:t>.140</w:t>
      </w:r>
      <w:r>
        <w:rPr>
          <w:lang w:val="en-AU"/>
        </w:rPr>
        <w:t xml:space="preserve"> </w:t>
      </w:r>
    </w:p>
    <w:p w14:paraId="008FEC6C" w14:textId="1EE14E49" w:rsidR="00E73A08" w:rsidRDefault="00E73A08" w:rsidP="00E73A08">
      <w:pPr>
        <w:pStyle w:val="UtilComHeading2"/>
      </w:pPr>
      <w:bookmarkStart w:id="232" w:name="_Toc385241538"/>
      <w:bookmarkStart w:id="233" w:name="_Toc386013091"/>
      <w:r>
        <w:t>Submissions</w:t>
      </w:r>
      <w:r w:rsidR="001E620B">
        <w:t xml:space="preserve"> on </w:t>
      </w:r>
      <w:r w:rsidR="003D1BBE">
        <w:t xml:space="preserve">Initial Regulatory </w:t>
      </w:r>
      <w:bookmarkEnd w:id="232"/>
      <w:r w:rsidR="003D1BBE">
        <w:t>Proposal</w:t>
      </w:r>
      <w:bookmarkEnd w:id="233"/>
    </w:p>
    <w:p w14:paraId="2C6D9C9D" w14:textId="6A45FF27" w:rsidR="00E73A08" w:rsidRPr="00AE64C5" w:rsidRDefault="00184F77" w:rsidP="00FA5B56">
      <w:pPr>
        <w:pStyle w:val="NumberLevel2"/>
        <w:numPr>
          <w:ilvl w:val="1"/>
          <w:numId w:val="5"/>
        </w:numPr>
        <w:tabs>
          <w:tab w:val="clear" w:pos="3270"/>
          <w:tab w:val="num" w:pos="709"/>
        </w:tabs>
        <w:ind w:left="709" w:hanging="709"/>
        <w:rPr>
          <w:lang w:val="en-AU"/>
        </w:rPr>
      </w:pPr>
      <w:r w:rsidRPr="00184F77">
        <w:rPr>
          <w:lang w:val="en-AU"/>
        </w:rPr>
        <w:t xml:space="preserve">No submissions were received on </w:t>
      </w:r>
      <w:r>
        <w:rPr>
          <w:lang w:val="en-AU"/>
        </w:rPr>
        <w:t>PWC Networks’</w:t>
      </w:r>
      <w:r w:rsidRPr="00184F77">
        <w:rPr>
          <w:lang w:val="en-AU"/>
        </w:rPr>
        <w:t xml:space="preserve"> calculation of </w:t>
      </w:r>
      <w:r w:rsidR="00837188">
        <w:rPr>
          <w:lang w:val="en-AU"/>
        </w:rPr>
        <w:t xml:space="preserve">the </w:t>
      </w:r>
      <w:r w:rsidRPr="00184F77">
        <w:rPr>
          <w:lang w:val="en-AU"/>
        </w:rPr>
        <w:t>depreciation</w:t>
      </w:r>
      <w:r w:rsidR="00837188">
        <w:rPr>
          <w:lang w:val="en-AU"/>
        </w:rPr>
        <w:t xml:space="preserve"> allowance</w:t>
      </w:r>
      <w:r w:rsidR="00BB0F36">
        <w:rPr>
          <w:lang w:val="en-AU"/>
        </w:rPr>
        <w:t xml:space="preserve"> to apply to the 2014-19 regulatory control period</w:t>
      </w:r>
      <w:r w:rsidRPr="00184F77">
        <w:rPr>
          <w:lang w:val="en-AU"/>
        </w:rPr>
        <w:t>.</w:t>
      </w:r>
    </w:p>
    <w:p w14:paraId="041E016A" w14:textId="3F76FAC7" w:rsidR="00E73A08" w:rsidRDefault="00E73A08" w:rsidP="00E73A08">
      <w:pPr>
        <w:pStyle w:val="UtilComHeading2"/>
      </w:pPr>
      <w:bookmarkStart w:id="234" w:name="_Toc385241539"/>
      <w:bookmarkStart w:id="235" w:name="_Toc386013092"/>
      <w:r>
        <w:t xml:space="preserve">Issues and Commission’s </w:t>
      </w:r>
      <w:r w:rsidR="003D1BBE">
        <w:t xml:space="preserve">Initial </w:t>
      </w:r>
      <w:bookmarkEnd w:id="234"/>
      <w:r w:rsidR="003D1BBE">
        <w:t>Considerations</w:t>
      </w:r>
      <w:bookmarkEnd w:id="235"/>
    </w:p>
    <w:p w14:paraId="0E28FE57" w14:textId="78EBC5BC" w:rsidR="00184F77" w:rsidRPr="00184F77" w:rsidRDefault="00184F77" w:rsidP="00FA5B56">
      <w:pPr>
        <w:pStyle w:val="NumberLevel2"/>
        <w:numPr>
          <w:ilvl w:val="1"/>
          <w:numId w:val="5"/>
        </w:numPr>
        <w:tabs>
          <w:tab w:val="clear" w:pos="3270"/>
          <w:tab w:val="num" w:pos="709"/>
        </w:tabs>
        <w:ind w:left="709" w:hanging="709"/>
        <w:rPr>
          <w:lang w:val="en-AU"/>
        </w:rPr>
      </w:pPr>
      <w:r w:rsidRPr="00184F77">
        <w:rPr>
          <w:lang w:val="en-AU"/>
        </w:rPr>
        <w:t xml:space="preserve">The allowance for regulatory depreciation is an output of the </w:t>
      </w:r>
      <w:r w:rsidR="00952273">
        <w:rPr>
          <w:lang w:val="en-AU"/>
        </w:rPr>
        <w:t>N</w:t>
      </w:r>
      <w:r w:rsidRPr="00184F77">
        <w:rPr>
          <w:lang w:val="en-AU"/>
        </w:rPr>
        <w:t xml:space="preserve">TRM rather than an input to be specified or proposed by </w:t>
      </w:r>
      <w:r w:rsidR="00BB0F36">
        <w:rPr>
          <w:lang w:val="en-AU"/>
        </w:rPr>
        <w:t>PWC Networks</w:t>
      </w:r>
      <w:r w:rsidRPr="00184F77">
        <w:rPr>
          <w:lang w:val="en-AU"/>
        </w:rPr>
        <w:t xml:space="preserve">. The relevant inputs to the </w:t>
      </w:r>
      <w:r w:rsidR="00952273">
        <w:rPr>
          <w:lang w:val="en-AU"/>
        </w:rPr>
        <w:t>N</w:t>
      </w:r>
      <w:r w:rsidRPr="00184F77">
        <w:rPr>
          <w:lang w:val="en-AU"/>
        </w:rPr>
        <w:t>TRM’s calculation of an allowance for reg</w:t>
      </w:r>
      <w:r w:rsidR="00952273">
        <w:rPr>
          <w:lang w:val="en-AU"/>
        </w:rPr>
        <w:t>ulatory depreciation include:</w:t>
      </w:r>
    </w:p>
    <w:p w14:paraId="55B1FBA0" w14:textId="77A4FBE4" w:rsidR="00184F77" w:rsidRPr="00580316" w:rsidRDefault="00BB0F36" w:rsidP="008E229D">
      <w:pPr>
        <w:pStyle w:val="UtilComBulletText"/>
        <w:numPr>
          <w:ilvl w:val="0"/>
          <w:numId w:val="6"/>
        </w:numPr>
        <w:tabs>
          <w:tab w:val="clear" w:pos="964"/>
          <w:tab w:val="num" w:pos="1134"/>
        </w:tabs>
        <w:ind w:left="1134" w:hanging="425"/>
      </w:pPr>
      <w:r>
        <w:t xml:space="preserve">the </w:t>
      </w:r>
      <w:r w:rsidR="00184F77" w:rsidRPr="00580316">
        <w:t>standard life for each asset class</w:t>
      </w:r>
      <w:r w:rsidR="00EE6C15">
        <w:t>;</w:t>
      </w:r>
    </w:p>
    <w:p w14:paraId="280F0B2C" w14:textId="0F6047FA" w:rsidR="00DE084E" w:rsidRPr="00580316" w:rsidRDefault="00BB0F36" w:rsidP="008E229D">
      <w:pPr>
        <w:pStyle w:val="UtilComBulletText"/>
        <w:numPr>
          <w:ilvl w:val="0"/>
          <w:numId w:val="6"/>
        </w:numPr>
        <w:tabs>
          <w:tab w:val="clear" w:pos="964"/>
          <w:tab w:val="num" w:pos="1134"/>
        </w:tabs>
        <w:ind w:left="1134" w:hanging="425"/>
      </w:pPr>
      <w:r>
        <w:t xml:space="preserve">the </w:t>
      </w:r>
      <w:r w:rsidR="00DE084E" w:rsidRPr="00580316">
        <w:t>remaining life for each asset class</w:t>
      </w:r>
      <w:r w:rsidR="00EE6C15">
        <w:t>; and</w:t>
      </w:r>
    </w:p>
    <w:p w14:paraId="642C5147" w14:textId="0EA17582" w:rsidR="00E73A08" w:rsidRDefault="00184F77" w:rsidP="008E229D">
      <w:pPr>
        <w:pStyle w:val="UtilComBulletText"/>
        <w:numPr>
          <w:ilvl w:val="0"/>
          <w:numId w:val="6"/>
        </w:numPr>
        <w:tabs>
          <w:tab w:val="clear" w:pos="964"/>
          <w:tab w:val="num" w:pos="1134"/>
        </w:tabs>
        <w:ind w:left="1134" w:hanging="425"/>
      </w:pPr>
      <w:r w:rsidRPr="00580316">
        <w:t>existing assets (</w:t>
      </w:r>
      <w:r w:rsidR="00BB0F36">
        <w:t xml:space="preserve">that is, the </w:t>
      </w:r>
      <w:r w:rsidRPr="00580316">
        <w:t>opening RAB) and new asset values (</w:t>
      </w:r>
      <w:r w:rsidR="00BB0F36">
        <w:t xml:space="preserve">that is, </w:t>
      </w:r>
      <w:r w:rsidRPr="00580316">
        <w:t xml:space="preserve">forecast capex) for each </w:t>
      </w:r>
      <w:r w:rsidR="0070674C">
        <w:t>a</w:t>
      </w:r>
      <w:r w:rsidRPr="00580316">
        <w:t>sset class.</w:t>
      </w:r>
    </w:p>
    <w:p w14:paraId="4357522E" w14:textId="77777777" w:rsidR="00747203" w:rsidRDefault="00747203" w:rsidP="00837188">
      <w:pPr>
        <w:pStyle w:val="UtilComHeading4"/>
        <w:spacing w:before="120"/>
        <w:rPr>
          <w:b/>
          <w:i w:val="0"/>
          <w:lang w:val="en-AU"/>
        </w:rPr>
      </w:pPr>
    </w:p>
    <w:p w14:paraId="1336F6C6" w14:textId="77777777" w:rsidR="00B17F98" w:rsidRPr="00837188" w:rsidRDefault="00EE6C15" w:rsidP="00837188">
      <w:pPr>
        <w:pStyle w:val="UtilComHeading4"/>
        <w:spacing w:before="120"/>
        <w:rPr>
          <w:b/>
          <w:i w:val="0"/>
          <w:lang w:val="en-AU"/>
        </w:rPr>
      </w:pPr>
      <w:r w:rsidRPr="00837188">
        <w:rPr>
          <w:b/>
          <w:i w:val="0"/>
          <w:lang w:val="en-AU"/>
        </w:rPr>
        <w:t>Standard life</w:t>
      </w:r>
    </w:p>
    <w:p w14:paraId="3EA5C593" w14:textId="77777777" w:rsidR="00B17F98" w:rsidRDefault="00B17F98" w:rsidP="00FA5B56">
      <w:pPr>
        <w:pStyle w:val="NumberLevel2"/>
        <w:numPr>
          <w:ilvl w:val="1"/>
          <w:numId w:val="5"/>
        </w:numPr>
        <w:tabs>
          <w:tab w:val="clear" w:pos="3270"/>
          <w:tab w:val="num" w:pos="709"/>
        </w:tabs>
        <w:ind w:left="709" w:hanging="709"/>
        <w:rPr>
          <w:lang w:val="en-AU"/>
        </w:rPr>
      </w:pPr>
      <w:r>
        <w:rPr>
          <w:lang w:val="en-AU"/>
        </w:rPr>
        <w:t>T</w:t>
      </w:r>
      <w:r w:rsidR="00952273" w:rsidRPr="00952273">
        <w:rPr>
          <w:lang w:val="en-AU"/>
        </w:rPr>
        <w:t xml:space="preserve">here were </w:t>
      </w:r>
      <w:r w:rsidR="002754D1">
        <w:rPr>
          <w:lang w:val="en-AU"/>
        </w:rPr>
        <w:t xml:space="preserve">several </w:t>
      </w:r>
      <w:r w:rsidR="00952273" w:rsidRPr="00952273">
        <w:rPr>
          <w:lang w:val="en-AU"/>
        </w:rPr>
        <w:t xml:space="preserve">asset categories </w:t>
      </w:r>
      <w:r w:rsidR="002754D1">
        <w:rPr>
          <w:lang w:val="en-AU"/>
        </w:rPr>
        <w:t>for which</w:t>
      </w:r>
      <w:r w:rsidR="00952273" w:rsidRPr="00952273">
        <w:rPr>
          <w:lang w:val="en-AU"/>
        </w:rPr>
        <w:t xml:space="preserve"> </w:t>
      </w:r>
      <w:r>
        <w:rPr>
          <w:lang w:val="en-AU"/>
        </w:rPr>
        <w:t>PWC Networks</w:t>
      </w:r>
      <w:r w:rsidR="00952273" w:rsidRPr="00952273">
        <w:rPr>
          <w:lang w:val="en-AU"/>
        </w:rPr>
        <w:t xml:space="preserve"> proposed different standard asset lives </w:t>
      </w:r>
      <w:r w:rsidR="00837188">
        <w:rPr>
          <w:lang w:val="en-AU"/>
        </w:rPr>
        <w:t>to</w:t>
      </w:r>
      <w:r w:rsidR="00837188" w:rsidRPr="00952273">
        <w:rPr>
          <w:lang w:val="en-AU"/>
        </w:rPr>
        <w:t xml:space="preserve"> </w:t>
      </w:r>
      <w:r>
        <w:rPr>
          <w:lang w:val="en-AU"/>
        </w:rPr>
        <w:t xml:space="preserve">those used in the </w:t>
      </w:r>
      <w:r w:rsidR="00D83DD0">
        <w:rPr>
          <w:lang w:val="en-AU"/>
        </w:rPr>
        <w:t>2009 Network Price Determination</w:t>
      </w:r>
      <w:r w:rsidR="00952273" w:rsidRPr="00952273">
        <w:rPr>
          <w:lang w:val="en-AU"/>
        </w:rPr>
        <w:t xml:space="preserve">. In response to a query from the </w:t>
      </w:r>
      <w:r>
        <w:rPr>
          <w:lang w:val="en-AU"/>
        </w:rPr>
        <w:t>Commission</w:t>
      </w:r>
      <w:r w:rsidR="00952273" w:rsidRPr="00952273">
        <w:rPr>
          <w:lang w:val="en-AU"/>
        </w:rPr>
        <w:t xml:space="preserve">, </w:t>
      </w:r>
      <w:r>
        <w:rPr>
          <w:lang w:val="en-AU"/>
        </w:rPr>
        <w:t>PWC Networks advised</w:t>
      </w:r>
      <w:r w:rsidR="00952273" w:rsidRPr="00952273">
        <w:rPr>
          <w:lang w:val="en-AU"/>
        </w:rPr>
        <w:t xml:space="preserve"> that </w:t>
      </w:r>
      <w:r>
        <w:rPr>
          <w:lang w:val="en-AU"/>
        </w:rPr>
        <w:t xml:space="preserve">this was due to a different aggregation into asset categories. For the </w:t>
      </w:r>
      <w:r w:rsidR="00D83DD0">
        <w:rPr>
          <w:lang w:val="en-AU"/>
        </w:rPr>
        <w:t>2009 Network Price Determination</w:t>
      </w:r>
      <w:r>
        <w:rPr>
          <w:lang w:val="en-AU"/>
        </w:rPr>
        <w:t>, 230 different asset classes taken from PWC Networks accounting register were aggregated into 20 regulatory asset classes. For the 2014 Network Price Determination, 48 asset categories identified by SKM for valuation purposes have been aggregated into 14 regulatory asset categories.</w:t>
      </w:r>
    </w:p>
    <w:p w14:paraId="7899625A" w14:textId="77777777" w:rsidR="00952273" w:rsidRPr="00952273" w:rsidRDefault="00B17F98" w:rsidP="00FA5B56">
      <w:pPr>
        <w:pStyle w:val="NumberLevel2"/>
        <w:numPr>
          <w:ilvl w:val="1"/>
          <w:numId w:val="5"/>
        </w:numPr>
        <w:tabs>
          <w:tab w:val="clear" w:pos="3270"/>
          <w:tab w:val="num" w:pos="709"/>
        </w:tabs>
        <w:ind w:left="709" w:hanging="709"/>
        <w:rPr>
          <w:lang w:val="en-AU"/>
        </w:rPr>
      </w:pPr>
      <w:r>
        <w:rPr>
          <w:lang w:val="en-AU"/>
        </w:rPr>
        <w:t>This mean</w:t>
      </w:r>
      <w:r w:rsidR="002754D1">
        <w:rPr>
          <w:lang w:val="en-AU"/>
        </w:rPr>
        <w:t>s</w:t>
      </w:r>
      <w:r>
        <w:rPr>
          <w:lang w:val="en-AU"/>
        </w:rPr>
        <w:t xml:space="preserve"> that</w:t>
      </w:r>
      <w:r w:rsidR="00952273" w:rsidRPr="00952273">
        <w:rPr>
          <w:lang w:val="en-AU"/>
        </w:rPr>
        <w:t xml:space="preserve"> some </w:t>
      </w:r>
      <w:r>
        <w:rPr>
          <w:lang w:val="en-AU"/>
        </w:rPr>
        <w:t xml:space="preserve">regulatory </w:t>
      </w:r>
      <w:r w:rsidR="00952273" w:rsidRPr="00952273">
        <w:rPr>
          <w:lang w:val="en-AU"/>
        </w:rPr>
        <w:t>asset classes included assets of various types with different standard lives and that the weighting of these assets determined the average standard life for the asset class as a whole</w:t>
      </w:r>
      <w:r w:rsidR="00BB1F03">
        <w:rPr>
          <w:lang w:val="en-AU"/>
        </w:rPr>
        <w:t>.</w:t>
      </w:r>
    </w:p>
    <w:p w14:paraId="2F5F219D" w14:textId="080DAED1" w:rsidR="00DE084E" w:rsidRPr="00DE084E" w:rsidRDefault="00DE084E" w:rsidP="00FA5B56">
      <w:pPr>
        <w:pStyle w:val="ListParagraph"/>
        <w:numPr>
          <w:ilvl w:val="1"/>
          <w:numId w:val="5"/>
        </w:numPr>
        <w:tabs>
          <w:tab w:val="clear" w:pos="3270"/>
          <w:tab w:val="num" w:pos="709"/>
        </w:tabs>
        <w:ind w:left="709" w:hanging="709"/>
        <w:rPr>
          <w:lang w:val="en-AU"/>
        </w:rPr>
      </w:pPr>
      <w:r>
        <w:rPr>
          <w:lang w:val="en-AU"/>
        </w:rPr>
        <w:t>The changed aggregation of</w:t>
      </w:r>
      <w:r w:rsidRPr="00DE084E">
        <w:rPr>
          <w:lang w:val="en-AU"/>
        </w:rPr>
        <w:t xml:space="preserve"> assets into the 14 asset classes used for the RFM and NTRM for the 2014 Network Price Determination resulted </w:t>
      </w:r>
      <w:r w:rsidR="001A4AEB">
        <w:rPr>
          <w:lang w:val="en-AU"/>
        </w:rPr>
        <w:t xml:space="preserve">in </w:t>
      </w:r>
      <w:r w:rsidRPr="00DE084E">
        <w:rPr>
          <w:lang w:val="en-AU"/>
        </w:rPr>
        <w:t xml:space="preserve">changes to the weighted average standard life </w:t>
      </w:r>
      <w:r w:rsidR="0073149C">
        <w:rPr>
          <w:lang w:val="en-AU"/>
        </w:rPr>
        <w:t>across most</w:t>
      </w:r>
      <w:r w:rsidRPr="00DE084E">
        <w:rPr>
          <w:lang w:val="en-AU"/>
        </w:rPr>
        <w:t xml:space="preserve"> categories.</w:t>
      </w:r>
    </w:p>
    <w:p w14:paraId="6F9954BB" w14:textId="421FA3AD" w:rsidR="00952273" w:rsidRPr="00952273" w:rsidRDefault="00DE084E" w:rsidP="00FA5B56">
      <w:pPr>
        <w:pStyle w:val="NumberLevel2"/>
        <w:numPr>
          <w:ilvl w:val="1"/>
          <w:numId w:val="5"/>
        </w:numPr>
        <w:tabs>
          <w:tab w:val="clear" w:pos="3270"/>
          <w:tab w:val="num" w:pos="709"/>
        </w:tabs>
        <w:ind w:left="709" w:hanging="709"/>
        <w:rPr>
          <w:lang w:val="en-AU"/>
        </w:rPr>
      </w:pPr>
      <w:r w:rsidRPr="00DE084E">
        <w:rPr>
          <w:lang w:val="en-AU"/>
        </w:rPr>
        <w:t xml:space="preserve">However, a review of </w:t>
      </w:r>
      <w:r w:rsidR="00BB0F36">
        <w:rPr>
          <w:lang w:val="en-AU"/>
        </w:rPr>
        <w:t xml:space="preserve">distribution </w:t>
      </w:r>
      <w:r w:rsidRPr="00DE084E">
        <w:rPr>
          <w:lang w:val="en-AU"/>
        </w:rPr>
        <w:t xml:space="preserve">determinations undertaken by the AER for DNSPs in other jurisdictions </w:t>
      </w:r>
      <w:r w:rsidR="00BB0F36" w:rsidRPr="00DE084E">
        <w:rPr>
          <w:lang w:val="en-AU"/>
        </w:rPr>
        <w:t>show</w:t>
      </w:r>
      <w:r w:rsidR="00BB0F36">
        <w:rPr>
          <w:lang w:val="en-AU"/>
        </w:rPr>
        <w:t>ed</w:t>
      </w:r>
      <w:r w:rsidR="00BB0F36" w:rsidRPr="00DE084E">
        <w:rPr>
          <w:lang w:val="en-AU"/>
        </w:rPr>
        <w:t xml:space="preserve"> </w:t>
      </w:r>
      <w:r w:rsidRPr="00DE084E">
        <w:rPr>
          <w:lang w:val="en-AU"/>
        </w:rPr>
        <w:t>that the AER accepts a range of standard asset lives. The values proposed by PWC</w:t>
      </w:r>
      <w:r w:rsidR="00BB0F36">
        <w:rPr>
          <w:lang w:val="en-AU"/>
        </w:rPr>
        <w:t> Networks</w:t>
      </w:r>
      <w:r w:rsidRPr="00DE084E">
        <w:rPr>
          <w:lang w:val="en-AU"/>
        </w:rPr>
        <w:t xml:space="preserve"> </w:t>
      </w:r>
      <w:r w:rsidR="00BB0F36">
        <w:rPr>
          <w:lang w:val="en-AU"/>
        </w:rPr>
        <w:t>were</w:t>
      </w:r>
      <w:r w:rsidR="00BB0F36" w:rsidRPr="00DE084E">
        <w:rPr>
          <w:lang w:val="en-AU"/>
        </w:rPr>
        <w:t xml:space="preserve"> </w:t>
      </w:r>
      <w:r w:rsidRPr="00DE084E">
        <w:rPr>
          <w:lang w:val="en-AU"/>
        </w:rPr>
        <w:t>within the range that has been accepted by the AER in other determinations.</w:t>
      </w:r>
    </w:p>
    <w:p w14:paraId="68547BD3" w14:textId="77777777" w:rsidR="00EE6C15" w:rsidRPr="00837188" w:rsidRDefault="00EE6C15" w:rsidP="00837188">
      <w:pPr>
        <w:pStyle w:val="UtilComHeading4"/>
        <w:spacing w:before="120"/>
        <w:rPr>
          <w:b/>
          <w:i w:val="0"/>
          <w:lang w:val="en-AU"/>
        </w:rPr>
      </w:pPr>
      <w:r w:rsidRPr="00837188">
        <w:rPr>
          <w:b/>
          <w:i w:val="0"/>
          <w:lang w:val="en-AU"/>
        </w:rPr>
        <w:t>Remaining life</w:t>
      </w:r>
    </w:p>
    <w:p w14:paraId="0C1F2B17" w14:textId="4F5DA7EA" w:rsidR="001A4AEB" w:rsidRPr="001A4AEB" w:rsidRDefault="001A4AEB" w:rsidP="004B63D8">
      <w:pPr>
        <w:pStyle w:val="NumberLevel2"/>
        <w:numPr>
          <w:ilvl w:val="1"/>
          <w:numId w:val="5"/>
        </w:numPr>
        <w:tabs>
          <w:tab w:val="clear" w:pos="3270"/>
          <w:tab w:val="num" w:pos="709"/>
        </w:tabs>
        <w:ind w:left="709" w:hanging="709"/>
        <w:rPr>
          <w:lang w:val="en-AU"/>
        </w:rPr>
      </w:pPr>
      <w:r w:rsidRPr="001A4AEB">
        <w:rPr>
          <w:lang w:val="en-AU"/>
        </w:rPr>
        <w:t xml:space="preserve">The 2013 SKM valuation has recommended values for remaining asset lives that are lower than those calculated by rolling forward the </w:t>
      </w:r>
      <w:r w:rsidR="00BB0F36">
        <w:rPr>
          <w:lang w:val="en-AU"/>
        </w:rPr>
        <w:t xml:space="preserve">RAB </w:t>
      </w:r>
      <w:r w:rsidRPr="001A4AEB">
        <w:rPr>
          <w:lang w:val="en-AU"/>
        </w:rPr>
        <w:t xml:space="preserve">values in the </w:t>
      </w:r>
      <w:r w:rsidR="00D83DD0">
        <w:rPr>
          <w:lang w:val="en-AU"/>
        </w:rPr>
        <w:t>2009 Network Price Determination</w:t>
      </w:r>
      <w:r w:rsidRPr="001A4AEB">
        <w:rPr>
          <w:lang w:val="en-AU"/>
        </w:rPr>
        <w:t xml:space="preserve">. </w:t>
      </w:r>
    </w:p>
    <w:p w14:paraId="22C4D83D" w14:textId="52D6F13F" w:rsidR="001A4AEB" w:rsidRPr="001A4AEB" w:rsidRDefault="001A4AEB" w:rsidP="004B63D8">
      <w:pPr>
        <w:pStyle w:val="NumberLevel2"/>
        <w:numPr>
          <w:ilvl w:val="1"/>
          <w:numId w:val="5"/>
        </w:numPr>
        <w:tabs>
          <w:tab w:val="clear" w:pos="3270"/>
          <w:tab w:val="num" w:pos="709"/>
        </w:tabs>
        <w:ind w:left="709" w:hanging="709"/>
        <w:rPr>
          <w:lang w:val="en-AU"/>
        </w:rPr>
      </w:pPr>
      <w:r w:rsidRPr="001A4AEB">
        <w:rPr>
          <w:lang w:val="en-AU"/>
        </w:rPr>
        <w:t xml:space="preserve">Based </w:t>
      </w:r>
      <w:r w:rsidR="00837188">
        <w:rPr>
          <w:lang w:val="en-AU"/>
        </w:rPr>
        <w:t>on</w:t>
      </w:r>
      <w:r w:rsidR="00837188" w:rsidRPr="001A4AEB">
        <w:rPr>
          <w:lang w:val="en-AU"/>
        </w:rPr>
        <w:t xml:space="preserve"> </w:t>
      </w:r>
      <w:r w:rsidRPr="001A4AEB">
        <w:rPr>
          <w:lang w:val="en-AU"/>
        </w:rPr>
        <w:t xml:space="preserve">the 2013 SKM valuation, </w:t>
      </w:r>
      <w:r w:rsidR="00BB0F36">
        <w:rPr>
          <w:lang w:val="en-AU"/>
        </w:rPr>
        <w:t>PWC Networks’</w:t>
      </w:r>
      <w:r w:rsidR="00BB0F36" w:rsidRPr="001A4AEB">
        <w:rPr>
          <w:lang w:val="en-AU"/>
        </w:rPr>
        <w:t xml:space="preserve"> </w:t>
      </w:r>
      <w:r w:rsidRPr="001A4AEB">
        <w:rPr>
          <w:lang w:val="en-AU"/>
        </w:rPr>
        <w:t xml:space="preserve">RAB has, on a weighted average basis, only </w:t>
      </w:r>
      <w:r w:rsidR="00BB0F36" w:rsidRPr="001A4AEB">
        <w:rPr>
          <w:lang w:val="en-AU"/>
        </w:rPr>
        <w:t>48</w:t>
      </w:r>
      <w:r w:rsidR="00BB0F36">
        <w:rPr>
          <w:lang w:val="en-AU"/>
        </w:rPr>
        <w:t> per </w:t>
      </w:r>
      <w:r w:rsidR="00837188">
        <w:rPr>
          <w:lang w:val="en-AU"/>
        </w:rPr>
        <w:t>cent</w:t>
      </w:r>
      <w:r w:rsidR="00837188" w:rsidRPr="001A4AEB">
        <w:rPr>
          <w:lang w:val="en-AU"/>
        </w:rPr>
        <w:t xml:space="preserve"> </w:t>
      </w:r>
      <w:r w:rsidRPr="001A4AEB">
        <w:rPr>
          <w:lang w:val="en-AU"/>
        </w:rPr>
        <w:t xml:space="preserve">of its life remaining. By contrast, based on rolling forward the values from the </w:t>
      </w:r>
      <w:r w:rsidR="00D83DD0">
        <w:rPr>
          <w:lang w:val="en-AU"/>
        </w:rPr>
        <w:t>2009 Network Price Determination</w:t>
      </w:r>
      <w:r w:rsidRPr="001A4AEB">
        <w:rPr>
          <w:lang w:val="en-AU"/>
        </w:rPr>
        <w:t xml:space="preserve">, the RAB would have </w:t>
      </w:r>
      <w:r w:rsidR="00BB0F36" w:rsidRPr="001A4AEB">
        <w:rPr>
          <w:lang w:val="en-AU"/>
        </w:rPr>
        <w:t>59</w:t>
      </w:r>
      <w:r w:rsidR="00BB0F36">
        <w:rPr>
          <w:lang w:val="en-AU"/>
        </w:rPr>
        <w:t> per </w:t>
      </w:r>
      <w:r w:rsidR="00837188">
        <w:rPr>
          <w:lang w:val="en-AU"/>
        </w:rPr>
        <w:t>cent</w:t>
      </w:r>
      <w:r w:rsidR="00837188" w:rsidRPr="001A4AEB">
        <w:rPr>
          <w:lang w:val="en-AU"/>
        </w:rPr>
        <w:t xml:space="preserve"> </w:t>
      </w:r>
      <w:r w:rsidRPr="001A4AEB">
        <w:rPr>
          <w:lang w:val="en-AU"/>
        </w:rPr>
        <w:t>of its life remaining.</w:t>
      </w:r>
    </w:p>
    <w:p w14:paraId="74A86F8D" w14:textId="1AF1F014" w:rsidR="001A4AEB" w:rsidRPr="001A4AEB" w:rsidRDefault="001A4AEB" w:rsidP="004B63D8">
      <w:pPr>
        <w:pStyle w:val="NumberLevel2"/>
        <w:numPr>
          <w:ilvl w:val="1"/>
          <w:numId w:val="5"/>
        </w:numPr>
        <w:tabs>
          <w:tab w:val="clear" w:pos="3270"/>
          <w:tab w:val="num" w:pos="709"/>
        </w:tabs>
        <w:ind w:left="709" w:hanging="709"/>
        <w:rPr>
          <w:lang w:val="en-AU"/>
        </w:rPr>
      </w:pPr>
      <w:r w:rsidRPr="001A4AEB">
        <w:rPr>
          <w:lang w:val="en-AU"/>
        </w:rPr>
        <w:t xml:space="preserve">This </w:t>
      </w:r>
      <w:r w:rsidR="00BB1F03">
        <w:rPr>
          <w:lang w:val="en-AU"/>
        </w:rPr>
        <w:t>is generally</w:t>
      </w:r>
      <w:r w:rsidR="00C22E4C">
        <w:rPr>
          <w:lang w:val="en-AU"/>
        </w:rPr>
        <w:t xml:space="preserve"> consistent with</w:t>
      </w:r>
      <w:r w:rsidRPr="001A4AEB">
        <w:rPr>
          <w:lang w:val="en-AU"/>
        </w:rPr>
        <w:t xml:space="preserve"> information gained from other </w:t>
      </w:r>
      <w:r w:rsidR="00BB1F03">
        <w:rPr>
          <w:lang w:val="en-AU"/>
        </w:rPr>
        <w:t>work undertaken by the Commission</w:t>
      </w:r>
      <w:r w:rsidRPr="001A4AEB">
        <w:rPr>
          <w:lang w:val="en-AU"/>
        </w:rPr>
        <w:t xml:space="preserve"> that </w:t>
      </w:r>
      <w:r w:rsidR="00BB0F36">
        <w:rPr>
          <w:lang w:val="en-AU"/>
        </w:rPr>
        <w:t>PWC Networks’</w:t>
      </w:r>
      <w:r w:rsidR="00BB0F36" w:rsidRPr="001A4AEB">
        <w:rPr>
          <w:lang w:val="en-AU"/>
        </w:rPr>
        <w:t xml:space="preserve"> </w:t>
      </w:r>
      <w:r w:rsidRPr="001A4AEB">
        <w:rPr>
          <w:lang w:val="en-AU"/>
        </w:rPr>
        <w:t xml:space="preserve">assets are in a </w:t>
      </w:r>
      <w:r w:rsidR="0028038F">
        <w:rPr>
          <w:lang w:val="en-AU"/>
        </w:rPr>
        <w:t>more degraded</w:t>
      </w:r>
      <w:r w:rsidR="0028038F" w:rsidRPr="001A4AEB">
        <w:rPr>
          <w:lang w:val="en-AU"/>
        </w:rPr>
        <w:t xml:space="preserve"> </w:t>
      </w:r>
      <w:r w:rsidRPr="001A4AEB">
        <w:rPr>
          <w:lang w:val="en-AU"/>
        </w:rPr>
        <w:t xml:space="preserve">condition that previously thought.  </w:t>
      </w:r>
    </w:p>
    <w:p w14:paraId="7CCC7ACA" w14:textId="6DB6D223" w:rsidR="00952273" w:rsidRDefault="000B0A4D" w:rsidP="004B63D8">
      <w:pPr>
        <w:pStyle w:val="NumberLevel2"/>
        <w:numPr>
          <w:ilvl w:val="1"/>
          <w:numId w:val="5"/>
        </w:numPr>
        <w:tabs>
          <w:tab w:val="clear" w:pos="3270"/>
          <w:tab w:val="num" w:pos="709"/>
        </w:tabs>
        <w:ind w:left="709" w:hanging="709"/>
        <w:rPr>
          <w:lang w:val="en-AU"/>
        </w:rPr>
      </w:pPr>
      <w:r>
        <w:rPr>
          <w:lang w:val="en-AU"/>
        </w:rPr>
        <w:t xml:space="preserve">Further, for the </w:t>
      </w:r>
      <w:r w:rsidR="00D83DD0">
        <w:rPr>
          <w:lang w:val="en-AU"/>
        </w:rPr>
        <w:t>2009 Network Price Determination</w:t>
      </w:r>
      <w:r>
        <w:rPr>
          <w:lang w:val="en-AU"/>
        </w:rPr>
        <w:t xml:space="preserve">, the Commission </w:t>
      </w:r>
      <w:r w:rsidR="006C766A">
        <w:rPr>
          <w:lang w:val="en-AU"/>
        </w:rPr>
        <w:t>undertook</w:t>
      </w:r>
      <w:r w:rsidRPr="000B0A4D">
        <w:rPr>
          <w:lang w:val="en-AU"/>
        </w:rPr>
        <w:t xml:space="preserve"> a single-year ‘cost of service’ building block assessment to determine a P</w:t>
      </w:r>
      <w:r w:rsidR="00BB1F03" w:rsidRPr="004B63D8">
        <w:rPr>
          <w:lang w:val="en-AU"/>
        </w:rPr>
        <w:t>0</w:t>
      </w:r>
      <w:r w:rsidRPr="000B0A4D">
        <w:rPr>
          <w:lang w:val="en-AU"/>
        </w:rPr>
        <w:t xml:space="preserve"> adjustment to apply at the commencement of the </w:t>
      </w:r>
      <w:r w:rsidR="007669D5">
        <w:rPr>
          <w:lang w:val="en-AU"/>
        </w:rPr>
        <w:t>2009-14</w:t>
      </w:r>
      <w:r w:rsidR="007669D5" w:rsidRPr="000B0A4D">
        <w:rPr>
          <w:lang w:val="en-AU"/>
        </w:rPr>
        <w:t xml:space="preserve"> </w:t>
      </w:r>
      <w:r w:rsidRPr="000B0A4D">
        <w:rPr>
          <w:lang w:val="en-AU"/>
        </w:rPr>
        <w:t xml:space="preserve">regulatory </w:t>
      </w:r>
      <w:r w:rsidR="001F0FFB">
        <w:rPr>
          <w:lang w:val="en-AU"/>
        </w:rPr>
        <w:t xml:space="preserve">control </w:t>
      </w:r>
      <w:r w:rsidRPr="000B0A4D">
        <w:rPr>
          <w:lang w:val="en-AU"/>
        </w:rPr>
        <w:t>period</w:t>
      </w:r>
      <w:r w:rsidR="006C766A">
        <w:rPr>
          <w:lang w:val="en-AU"/>
        </w:rPr>
        <w:t>. The regulatory depreciation allowance that formed part of this single year building block was well below the average annual depreciation allowance provided for other DNSPs (negative $1.</w:t>
      </w:r>
      <w:r w:rsidR="002A5CBB">
        <w:rPr>
          <w:lang w:val="en-AU"/>
        </w:rPr>
        <w:t>7 </w:t>
      </w:r>
      <w:r w:rsidR="006C766A">
        <w:rPr>
          <w:lang w:val="en-AU"/>
        </w:rPr>
        <w:t>million) casting doubt on the reasonableness of the associated asset lives.</w:t>
      </w:r>
    </w:p>
    <w:p w14:paraId="4B8FA047" w14:textId="1C02AE7A" w:rsidR="00EE6C15" w:rsidRPr="00EE6C15" w:rsidRDefault="00651709" w:rsidP="004B63D8">
      <w:pPr>
        <w:pStyle w:val="NumberLevel2"/>
        <w:numPr>
          <w:ilvl w:val="1"/>
          <w:numId w:val="5"/>
        </w:numPr>
        <w:tabs>
          <w:tab w:val="clear" w:pos="3270"/>
          <w:tab w:val="num" w:pos="709"/>
        </w:tabs>
        <w:ind w:left="709" w:hanging="709"/>
        <w:rPr>
          <w:lang w:val="en-AU"/>
        </w:rPr>
      </w:pPr>
      <w:r w:rsidRPr="00651709">
        <w:rPr>
          <w:lang w:val="en-AU"/>
        </w:rPr>
        <w:t xml:space="preserve">The Commission </w:t>
      </w:r>
      <w:r w:rsidR="00BB0F36" w:rsidRPr="00651709">
        <w:rPr>
          <w:lang w:val="en-AU"/>
        </w:rPr>
        <w:t>consider</w:t>
      </w:r>
      <w:r w:rsidR="00BB0F36">
        <w:rPr>
          <w:lang w:val="en-AU"/>
        </w:rPr>
        <w:t>ed</w:t>
      </w:r>
      <w:r w:rsidR="00BB0F36" w:rsidRPr="00651709">
        <w:rPr>
          <w:lang w:val="en-AU"/>
        </w:rPr>
        <w:t xml:space="preserve"> </w:t>
      </w:r>
      <w:r w:rsidRPr="00651709">
        <w:rPr>
          <w:lang w:val="en-AU"/>
        </w:rPr>
        <w:t xml:space="preserve">that the SKM review </w:t>
      </w:r>
      <w:r w:rsidR="00BB0F36" w:rsidRPr="00651709">
        <w:rPr>
          <w:lang w:val="en-AU"/>
        </w:rPr>
        <w:t>provide</w:t>
      </w:r>
      <w:r w:rsidR="00BB0F36">
        <w:rPr>
          <w:lang w:val="en-AU"/>
        </w:rPr>
        <w:t>d</w:t>
      </w:r>
      <w:r w:rsidR="00BB0F36" w:rsidRPr="00651709">
        <w:rPr>
          <w:lang w:val="en-AU"/>
        </w:rPr>
        <w:t xml:space="preserve"> </w:t>
      </w:r>
      <w:r w:rsidRPr="00651709">
        <w:rPr>
          <w:lang w:val="en-AU"/>
        </w:rPr>
        <w:t xml:space="preserve">reliable asset </w:t>
      </w:r>
      <w:r w:rsidR="006C766A">
        <w:rPr>
          <w:lang w:val="en-AU"/>
        </w:rPr>
        <w:t xml:space="preserve">life estimates and </w:t>
      </w:r>
      <w:r w:rsidRPr="00651709">
        <w:rPr>
          <w:lang w:val="en-AU"/>
        </w:rPr>
        <w:t>a level of granularity that will facilitate a greater degree of certainty in future determinations.</w:t>
      </w:r>
    </w:p>
    <w:p w14:paraId="6004983C" w14:textId="233FCDAD" w:rsidR="00E73A08" w:rsidRDefault="00E73A08" w:rsidP="00E73A08">
      <w:pPr>
        <w:pStyle w:val="UtilComHeading2"/>
      </w:pPr>
      <w:bookmarkStart w:id="236" w:name="_Toc385241540"/>
      <w:bookmarkStart w:id="237" w:name="_Toc386013093"/>
      <w:r>
        <w:t xml:space="preserve">Commission’s </w:t>
      </w:r>
      <w:r w:rsidR="00550C54">
        <w:t xml:space="preserve">Draft </w:t>
      </w:r>
      <w:bookmarkEnd w:id="236"/>
      <w:r w:rsidR="00550C54">
        <w:t>Determination</w:t>
      </w:r>
      <w:bookmarkEnd w:id="237"/>
    </w:p>
    <w:p w14:paraId="2B512AD6" w14:textId="4E213C10" w:rsidR="00BC141C" w:rsidRPr="0073149C" w:rsidRDefault="00BC141C" w:rsidP="00BC141C">
      <w:pPr>
        <w:pStyle w:val="NumberLevel2"/>
        <w:numPr>
          <w:ilvl w:val="1"/>
          <w:numId w:val="5"/>
        </w:numPr>
        <w:tabs>
          <w:tab w:val="clear" w:pos="3270"/>
          <w:tab w:val="left" w:pos="709"/>
        </w:tabs>
        <w:ind w:left="709" w:hanging="709"/>
        <w:rPr>
          <w:lang w:val="en-AU"/>
        </w:rPr>
      </w:pPr>
      <w:r w:rsidRPr="0073149C">
        <w:rPr>
          <w:lang w:val="en-AU"/>
        </w:rPr>
        <w:t xml:space="preserve">The </w:t>
      </w:r>
      <w:r>
        <w:rPr>
          <w:lang w:val="en-AU"/>
        </w:rPr>
        <w:t>Commission</w:t>
      </w:r>
      <w:r w:rsidRPr="0073149C">
        <w:rPr>
          <w:lang w:val="en-AU"/>
        </w:rPr>
        <w:t xml:space="preserve"> assessed the remaining lives and standard lives </w:t>
      </w:r>
      <w:r w:rsidR="00557632">
        <w:rPr>
          <w:lang w:val="en-AU"/>
        </w:rPr>
        <w:t>submitted</w:t>
      </w:r>
      <w:r w:rsidR="00557632" w:rsidRPr="0073149C">
        <w:rPr>
          <w:lang w:val="en-AU"/>
        </w:rPr>
        <w:t xml:space="preserve"> </w:t>
      </w:r>
      <w:r w:rsidRPr="0073149C">
        <w:rPr>
          <w:lang w:val="en-AU"/>
        </w:rPr>
        <w:t xml:space="preserve">by </w:t>
      </w:r>
      <w:r>
        <w:rPr>
          <w:lang w:val="en-AU"/>
        </w:rPr>
        <w:t>PWC Networks</w:t>
      </w:r>
      <w:r w:rsidRPr="0073149C">
        <w:rPr>
          <w:lang w:val="en-AU"/>
        </w:rPr>
        <w:t xml:space="preserve"> and the resulting regulatory depreciation allowance</w:t>
      </w:r>
      <w:r w:rsidR="00557632">
        <w:rPr>
          <w:lang w:val="en-AU"/>
        </w:rPr>
        <w:t xml:space="preserve"> calculated by the NTRM</w:t>
      </w:r>
      <w:r w:rsidRPr="0073149C">
        <w:rPr>
          <w:lang w:val="en-AU"/>
        </w:rPr>
        <w:t xml:space="preserve">, </w:t>
      </w:r>
      <w:r>
        <w:rPr>
          <w:lang w:val="en-AU"/>
        </w:rPr>
        <w:t>consistent with the requirements of</w:t>
      </w:r>
      <w:r w:rsidRPr="0073149C">
        <w:rPr>
          <w:lang w:val="en-AU"/>
        </w:rPr>
        <w:t xml:space="preserve"> clause 6.5.5 of the NER.</w:t>
      </w:r>
    </w:p>
    <w:p w14:paraId="63E522F1" w14:textId="6FDB706D" w:rsidR="00BC141C" w:rsidRPr="00D514A4" w:rsidRDefault="00BC141C" w:rsidP="00BC141C">
      <w:pPr>
        <w:pStyle w:val="NumberLevel2"/>
        <w:numPr>
          <w:ilvl w:val="1"/>
          <w:numId w:val="5"/>
        </w:numPr>
        <w:tabs>
          <w:tab w:val="clear" w:pos="3270"/>
          <w:tab w:val="left" w:pos="709"/>
        </w:tabs>
        <w:ind w:left="709" w:hanging="709"/>
        <w:rPr>
          <w:lang w:val="en-AU"/>
        </w:rPr>
      </w:pPr>
      <w:r w:rsidRPr="00BC141C">
        <w:rPr>
          <w:lang w:val="en-AU"/>
        </w:rPr>
        <w:t xml:space="preserve">The </w:t>
      </w:r>
      <w:r>
        <w:rPr>
          <w:lang w:val="en-AU"/>
        </w:rPr>
        <w:t>Commission</w:t>
      </w:r>
      <w:r w:rsidRPr="00BC141C">
        <w:rPr>
          <w:lang w:val="en-AU"/>
        </w:rPr>
        <w:t xml:space="preserve"> accepted </w:t>
      </w:r>
      <w:r>
        <w:rPr>
          <w:lang w:val="en-AU"/>
        </w:rPr>
        <w:t>PWC Networks’</w:t>
      </w:r>
      <w:r w:rsidRPr="00BC141C">
        <w:rPr>
          <w:lang w:val="en-AU"/>
        </w:rPr>
        <w:t xml:space="preserve"> proposed </w:t>
      </w:r>
      <w:r>
        <w:rPr>
          <w:lang w:val="en-AU"/>
        </w:rPr>
        <w:t xml:space="preserve">standard asset lives and </w:t>
      </w:r>
      <w:r w:rsidRPr="00BC141C">
        <w:rPr>
          <w:lang w:val="en-AU"/>
        </w:rPr>
        <w:t>remaining asset lives.</w:t>
      </w:r>
      <w:r>
        <w:rPr>
          <w:lang w:val="en-AU"/>
        </w:rPr>
        <w:t xml:space="preserve"> The </w:t>
      </w:r>
      <w:r w:rsidR="00557632">
        <w:rPr>
          <w:lang w:val="en-AU"/>
        </w:rPr>
        <w:t xml:space="preserve">regulatory </w:t>
      </w:r>
      <w:r>
        <w:rPr>
          <w:lang w:val="en-AU"/>
        </w:rPr>
        <w:t xml:space="preserve">depreciation allowance </w:t>
      </w:r>
      <w:r w:rsidR="00557632">
        <w:rPr>
          <w:lang w:val="en-AU"/>
        </w:rPr>
        <w:t xml:space="preserve">was </w:t>
      </w:r>
      <w:r>
        <w:rPr>
          <w:lang w:val="en-AU"/>
        </w:rPr>
        <w:t xml:space="preserve">higher than that proposed by PWC Networks due to </w:t>
      </w:r>
      <w:r w:rsidR="004E09D0">
        <w:rPr>
          <w:lang w:val="en-AU"/>
        </w:rPr>
        <w:t xml:space="preserve">the Commission </w:t>
      </w:r>
      <w:r>
        <w:rPr>
          <w:lang w:val="en-AU"/>
        </w:rPr>
        <w:t>updating the expected inflation rate.</w:t>
      </w:r>
    </w:p>
    <w:p w14:paraId="687A512A" w14:textId="51AA1E86" w:rsidR="00BC141C" w:rsidRDefault="00BC141C" w:rsidP="00BC141C">
      <w:pPr>
        <w:pStyle w:val="NumberLevel2"/>
        <w:numPr>
          <w:ilvl w:val="1"/>
          <w:numId w:val="5"/>
        </w:numPr>
        <w:tabs>
          <w:tab w:val="clear" w:pos="3270"/>
          <w:tab w:val="left" w:pos="709"/>
        </w:tabs>
        <w:ind w:left="709" w:hanging="709"/>
        <w:rPr>
          <w:lang w:val="en-AU"/>
        </w:rPr>
      </w:pPr>
      <w:r w:rsidRPr="0073149C">
        <w:rPr>
          <w:lang w:val="en-AU"/>
        </w:rPr>
        <w:t xml:space="preserve">On the basis of the </w:t>
      </w:r>
      <w:r>
        <w:rPr>
          <w:lang w:val="en-AU"/>
        </w:rPr>
        <w:t>Commission</w:t>
      </w:r>
      <w:r w:rsidRPr="0073149C">
        <w:rPr>
          <w:lang w:val="en-AU"/>
        </w:rPr>
        <w:t xml:space="preserve">’s approved asset lives, opening RAB, and forecast capex, the </w:t>
      </w:r>
      <w:r>
        <w:rPr>
          <w:lang w:val="en-AU"/>
        </w:rPr>
        <w:t>Commission</w:t>
      </w:r>
      <w:r w:rsidRPr="0073149C">
        <w:rPr>
          <w:lang w:val="en-AU"/>
        </w:rPr>
        <w:t xml:space="preserve"> determined </w:t>
      </w:r>
      <w:r>
        <w:rPr>
          <w:lang w:val="en-AU"/>
        </w:rPr>
        <w:t>PWC Networks’</w:t>
      </w:r>
      <w:r w:rsidRPr="0073149C">
        <w:rPr>
          <w:lang w:val="en-AU"/>
        </w:rPr>
        <w:t xml:space="preserve"> regulatory depreciation for the </w:t>
      </w:r>
      <w:r w:rsidR="007669D5">
        <w:rPr>
          <w:lang w:val="en-AU"/>
        </w:rPr>
        <w:t>2014-19</w:t>
      </w:r>
      <w:r w:rsidR="007669D5" w:rsidRPr="0073149C">
        <w:rPr>
          <w:lang w:val="en-AU"/>
        </w:rPr>
        <w:t xml:space="preserve"> </w:t>
      </w:r>
      <w:r w:rsidRPr="0073149C">
        <w:rPr>
          <w:lang w:val="en-AU"/>
        </w:rPr>
        <w:t xml:space="preserve">regulatory control period as set out in </w:t>
      </w:r>
      <w:r>
        <w:rPr>
          <w:lang w:val="en-AU"/>
        </w:rPr>
        <w:t>T</w:t>
      </w:r>
      <w:r w:rsidRPr="0073149C">
        <w:rPr>
          <w:lang w:val="en-AU"/>
        </w:rPr>
        <w:t>able 1</w:t>
      </w:r>
      <w:r>
        <w:rPr>
          <w:lang w:val="en-AU"/>
        </w:rPr>
        <w:t>1</w:t>
      </w:r>
      <w:r w:rsidRPr="0073149C">
        <w:rPr>
          <w:lang w:val="en-AU"/>
        </w:rPr>
        <w:t>.</w:t>
      </w:r>
      <w:r>
        <w:rPr>
          <w:lang w:val="en-AU"/>
        </w:rPr>
        <w:t>2</w:t>
      </w:r>
      <w:r w:rsidRPr="0073149C">
        <w:rPr>
          <w:lang w:val="en-AU"/>
        </w:rPr>
        <w:t>.</w:t>
      </w:r>
    </w:p>
    <w:p w14:paraId="37889B64" w14:textId="3501D47F" w:rsidR="00BC141C" w:rsidRPr="00A139AD" w:rsidRDefault="00BC141C" w:rsidP="00BC141C">
      <w:pPr>
        <w:pStyle w:val="UtilComTableTitle"/>
        <w:keepNext/>
        <w:spacing w:before="120" w:after="0" w:line="240" w:lineRule="exact"/>
      </w:pPr>
      <w:r>
        <w:t>Table 11.2: Commission</w:t>
      </w:r>
      <w:r w:rsidR="00557632">
        <w:t>’s</w:t>
      </w:r>
      <w:r>
        <w:t xml:space="preserve"> </w:t>
      </w:r>
      <w:r w:rsidR="00557632">
        <w:t>decision in the Draft Determinatio</w:t>
      </w:r>
      <w:r w:rsidR="004E09D0">
        <w:t>n</w:t>
      </w:r>
      <w:r>
        <w:t xml:space="preserve"> on</w:t>
      </w:r>
      <w:r w:rsidRPr="00184F77">
        <w:t xml:space="preserve"> regulatory depreciation allowance ($</w:t>
      </w:r>
      <w:r>
        <w:t>M</w:t>
      </w:r>
      <w:r w:rsidRPr="00184F77">
        <w:t>,</w:t>
      </w:r>
      <w:r w:rsidR="00AF25B5">
        <w:t> </w:t>
      </w:r>
      <w:r w:rsidRPr="00184F77">
        <w:t>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10"/>
        <w:gridCol w:w="1134"/>
        <w:gridCol w:w="1134"/>
        <w:gridCol w:w="1134"/>
        <w:gridCol w:w="1134"/>
        <w:gridCol w:w="1134"/>
        <w:gridCol w:w="1134"/>
      </w:tblGrid>
      <w:tr w:rsidR="00BC141C" w:rsidRPr="008A4655" w14:paraId="34E40D14" w14:textId="77777777" w:rsidTr="00C25FAB">
        <w:trPr>
          <w:cantSplit/>
          <w:trHeight w:val="360"/>
        </w:trPr>
        <w:tc>
          <w:tcPr>
            <w:tcW w:w="2410" w:type="dxa"/>
            <w:tcBorders>
              <w:top w:val="single" w:sz="4" w:space="0" w:color="999999"/>
              <w:bottom w:val="single" w:sz="4" w:space="0" w:color="auto"/>
            </w:tcBorders>
            <w:vAlign w:val="bottom"/>
          </w:tcPr>
          <w:p w14:paraId="0EBE0AB9" w14:textId="77777777" w:rsidR="00BC141C" w:rsidRPr="00EE5A08" w:rsidRDefault="00BC141C" w:rsidP="00C25FAB">
            <w:pPr>
              <w:pStyle w:val="UtilComTabletext"/>
              <w:rPr>
                <w:b/>
              </w:rPr>
            </w:pPr>
          </w:p>
        </w:tc>
        <w:tc>
          <w:tcPr>
            <w:tcW w:w="1134" w:type="dxa"/>
            <w:tcBorders>
              <w:top w:val="single" w:sz="4" w:space="0" w:color="999999"/>
              <w:bottom w:val="single" w:sz="4" w:space="0" w:color="auto"/>
            </w:tcBorders>
            <w:vAlign w:val="bottom"/>
          </w:tcPr>
          <w:p w14:paraId="2BAE01F2" w14:textId="77777777" w:rsidR="00BC141C" w:rsidRPr="00EE5A08" w:rsidRDefault="00BC141C" w:rsidP="00C25FAB">
            <w:pPr>
              <w:pStyle w:val="UtilComTabletext"/>
              <w:jc w:val="right"/>
              <w:rPr>
                <w:b/>
              </w:rPr>
            </w:pPr>
            <w:r>
              <w:rPr>
                <w:b/>
              </w:rPr>
              <w:t>2014-15</w:t>
            </w:r>
          </w:p>
        </w:tc>
        <w:tc>
          <w:tcPr>
            <w:tcW w:w="1134" w:type="dxa"/>
            <w:tcBorders>
              <w:top w:val="single" w:sz="4" w:space="0" w:color="999999"/>
              <w:bottom w:val="single" w:sz="4" w:space="0" w:color="auto"/>
            </w:tcBorders>
            <w:vAlign w:val="bottom"/>
          </w:tcPr>
          <w:p w14:paraId="4D8D773B" w14:textId="77777777" w:rsidR="00BC141C" w:rsidRPr="00EE5A08" w:rsidRDefault="00BC141C" w:rsidP="00C25FAB">
            <w:pPr>
              <w:pStyle w:val="UtilComTabletext"/>
              <w:jc w:val="right"/>
              <w:rPr>
                <w:b/>
              </w:rPr>
            </w:pPr>
            <w:r>
              <w:rPr>
                <w:b/>
              </w:rPr>
              <w:t>2015-16</w:t>
            </w:r>
          </w:p>
        </w:tc>
        <w:tc>
          <w:tcPr>
            <w:tcW w:w="1134" w:type="dxa"/>
            <w:tcBorders>
              <w:top w:val="single" w:sz="4" w:space="0" w:color="999999"/>
              <w:bottom w:val="single" w:sz="4" w:space="0" w:color="auto"/>
            </w:tcBorders>
            <w:vAlign w:val="bottom"/>
          </w:tcPr>
          <w:p w14:paraId="4723F5DD" w14:textId="77777777" w:rsidR="00BC141C" w:rsidRDefault="00BC141C" w:rsidP="00C25FAB">
            <w:pPr>
              <w:pStyle w:val="UtilComTabletext"/>
              <w:jc w:val="right"/>
              <w:rPr>
                <w:b/>
              </w:rPr>
            </w:pPr>
            <w:r>
              <w:rPr>
                <w:b/>
              </w:rPr>
              <w:t>2016-17</w:t>
            </w:r>
          </w:p>
        </w:tc>
        <w:tc>
          <w:tcPr>
            <w:tcW w:w="1134" w:type="dxa"/>
            <w:tcBorders>
              <w:top w:val="single" w:sz="4" w:space="0" w:color="999999"/>
              <w:bottom w:val="single" w:sz="4" w:space="0" w:color="auto"/>
            </w:tcBorders>
            <w:vAlign w:val="bottom"/>
          </w:tcPr>
          <w:p w14:paraId="499BFA8C" w14:textId="77777777" w:rsidR="00BC141C" w:rsidRDefault="00BC141C" w:rsidP="00C25FAB">
            <w:pPr>
              <w:pStyle w:val="UtilComTabletext"/>
              <w:jc w:val="right"/>
              <w:rPr>
                <w:b/>
              </w:rPr>
            </w:pPr>
            <w:r>
              <w:rPr>
                <w:b/>
              </w:rPr>
              <w:t>2017-18</w:t>
            </w:r>
          </w:p>
        </w:tc>
        <w:tc>
          <w:tcPr>
            <w:tcW w:w="1134" w:type="dxa"/>
            <w:tcBorders>
              <w:top w:val="single" w:sz="4" w:space="0" w:color="999999"/>
              <w:bottom w:val="single" w:sz="4" w:space="0" w:color="auto"/>
            </w:tcBorders>
            <w:vAlign w:val="bottom"/>
          </w:tcPr>
          <w:p w14:paraId="7FE7AFD6" w14:textId="77777777" w:rsidR="00BC141C" w:rsidRPr="00EE5A08" w:rsidRDefault="00BC141C" w:rsidP="00C25FAB">
            <w:pPr>
              <w:pStyle w:val="UtilComTabletext"/>
              <w:jc w:val="right"/>
              <w:rPr>
                <w:b/>
              </w:rPr>
            </w:pPr>
            <w:r>
              <w:rPr>
                <w:b/>
              </w:rPr>
              <w:t>2018-19</w:t>
            </w:r>
          </w:p>
        </w:tc>
        <w:tc>
          <w:tcPr>
            <w:tcW w:w="1134" w:type="dxa"/>
            <w:tcBorders>
              <w:top w:val="single" w:sz="4" w:space="0" w:color="999999"/>
              <w:bottom w:val="single" w:sz="4" w:space="0" w:color="auto"/>
            </w:tcBorders>
            <w:vAlign w:val="bottom"/>
          </w:tcPr>
          <w:p w14:paraId="7651A2EB" w14:textId="77777777" w:rsidR="00BC141C" w:rsidRPr="00EE5A08" w:rsidRDefault="00BC141C" w:rsidP="00C25FAB">
            <w:pPr>
              <w:pStyle w:val="UtilComTabletext"/>
              <w:jc w:val="right"/>
              <w:rPr>
                <w:b/>
              </w:rPr>
            </w:pPr>
            <w:r>
              <w:rPr>
                <w:b/>
              </w:rPr>
              <w:t>Total</w:t>
            </w:r>
          </w:p>
        </w:tc>
      </w:tr>
      <w:tr w:rsidR="00BC141C" w:rsidRPr="008A4655" w14:paraId="1EB2AAEE" w14:textId="77777777" w:rsidTr="00C25FAB">
        <w:trPr>
          <w:cantSplit/>
          <w:trHeight w:val="360"/>
        </w:trPr>
        <w:tc>
          <w:tcPr>
            <w:tcW w:w="2410" w:type="dxa"/>
            <w:tcBorders>
              <w:bottom w:val="single" w:sz="4" w:space="0" w:color="000000"/>
            </w:tcBorders>
          </w:tcPr>
          <w:p w14:paraId="2BD68DE9" w14:textId="77777777" w:rsidR="00BC141C" w:rsidRDefault="00BC141C" w:rsidP="00C25FAB">
            <w:pPr>
              <w:pStyle w:val="UtilComTabletext"/>
            </w:pPr>
            <w:r>
              <w:t>Depreciation (DORC)</w:t>
            </w:r>
          </w:p>
        </w:tc>
        <w:tc>
          <w:tcPr>
            <w:tcW w:w="1134" w:type="dxa"/>
            <w:tcBorders>
              <w:bottom w:val="single" w:sz="4" w:space="0" w:color="000000"/>
            </w:tcBorders>
          </w:tcPr>
          <w:p w14:paraId="610EEEB9" w14:textId="77777777" w:rsidR="00BC141C" w:rsidRPr="00DB64A7" w:rsidRDefault="00BC141C" w:rsidP="00C25FAB">
            <w:pPr>
              <w:pStyle w:val="UtilComTabletext"/>
              <w:jc w:val="right"/>
            </w:pPr>
            <w:r>
              <w:t>28.49</w:t>
            </w:r>
          </w:p>
        </w:tc>
        <w:tc>
          <w:tcPr>
            <w:tcW w:w="1134" w:type="dxa"/>
            <w:tcBorders>
              <w:bottom w:val="single" w:sz="4" w:space="0" w:color="000000"/>
            </w:tcBorders>
          </w:tcPr>
          <w:p w14:paraId="14E90933" w14:textId="77777777" w:rsidR="00BC141C" w:rsidRPr="00DB64A7" w:rsidRDefault="00BC141C" w:rsidP="00C25FAB">
            <w:pPr>
              <w:pStyle w:val="UtilComTabletext"/>
              <w:jc w:val="right"/>
            </w:pPr>
            <w:r>
              <w:t>31.13</w:t>
            </w:r>
          </w:p>
        </w:tc>
        <w:tc>
          <w:tcPr>
            <w:tcW w:w="1134" w:type="dxa"/>
            <w:tcBorders>
              <w:bottom w:val="single" w:sz="4" w:space="0" w:color="000000"/>
            </w:tcBorders>
          </w:tcPr>
          <w:p w14:paraId="4B12A2C6" w14:textId="77777777" w:rsidR="00BC141C" w:rsidRPr="00DB64A7" w:rsidRDefault="00BC141C" w:rsidP="00C25FAB">
            <w:pPr>
              <w:pStyle w:val="UtilComTabletext"/>
              <w:jc w:val="right"/>
            </w:pPr>
            <w:r>
              <w:t>27.13</w:t>
            </w:r>
          </w:p>
        </w:tc>
        <w:tc>
          <w:tcPr>
            <w:tcW w:w="1134" w:type="dxa"/>
            <w:tcBorders>
              <w:bottom w:val="single" w:sz="4" w:space="0" w:color="000000"/>
            </w:tcBorders>
          </w:tcPr>
          <w:p w14:paraId="24FB5714" w14:textId="77777777" w:rsidR="00BC141C" w:rsidRPr="00DB64A7" w:rsidRDefault="00BC141C" w:rsidP="00C25FAB">
            <w:pPr>
              <w:pStyle w:val="UtilComTabletext"/>
              <w:jc w:val="right"/>
            </w:pPr>
            <w:r>
              <w:t>28.92</w:t>
            </w:r>
          </w:p>
        </w:tc>
        <w:tc>
          <w:tcPr>
            <w:tcW w:w="1134" w:type="dxa"/>
            <w:tcBorders>
              <w:bottom w:val="single" w:sz="4" w:space="0" w:color="000000"/>
            </w:tcBorders>
          </w:tcPr>
          <w:p w14:paraId="5948693D" w14:textId="77777777" w:rsidR="00BC141C" w:rsidRPr="00DB64A7" w:rsidRDefault="00BC141C" w:rsidP="00C25FAB">
            <w:pPr>
              <w:pStyle w:val="UtilComTabletext"/>
              <w:jc w:val="right"/>
            </w:pPr>
            <w:r>
              <w:t>31.18</w:t>
            </w:r>
          </w:p>
        </w:tc>
        <w:tc>
          <w:tcPr>
            <w:tcW w:w="1134" w:type="dxa"/>
            <w:tcBorders>
              <w:bottom w:val="single" w:sz="4" w:space="0" w:color="000000"/>
            </w:tcBorders>
          </w:tcPr>
          <w:p w14:paraId="49FA343B" w14:textId="77777777" w:rsidR="00BC141C" w:rsidRPr="00DB64A7" w:rsidRDefault="00BC141C" w:rsidP="00C25FAB">
            <w:pPr>
              <w:pStyle w:val="UtilComTabletext"/>
              <w:jc w:val="right"/>
            </w:pPr>
            <w:r>
              <w:t>146.85</w:t>
            </w:r>
          </w:p>
        </w:tc>
      </w:tr>
    </w:tbl>
    <w:p w14:paraId="47542ABA" w14:textId="77777777" w:rsidR="00BC141C" w:rsidRPr="00E529C5" w:rsidRDefault="00BC141C" w:rsidP="00BC141C">
      <w:pPr>
        <w:pStyle w:val="UtilComReferenceSource"/>
        <w:rPr>
          <w:lang w:val="en-AU"/>
        </w:rPr>
      </w:pPr>
      <w:r>
        <w:rPr>
          <w:lang w:val="en-AU"/>
        </w:rPr>
        <w:t xml:space="preserve">Source: Utilities Commission </w:t>
      </w:r>
    </w:p>
    <w:p w14:paraId="02F7F93E" w14:textId="229AA068" w:rsidR="00BC141C" w:rsidRPr="00083FAA" w:rsidRDefault="00BC141C" w:rsidP="00BC141C">
      <w:pPr>
        <w:pStyle w:val="UtilComHeading2"/>
      </w:pPr>
      <w:bookmarkStart w:id="238" w:name="_Toc385241541"/>
      <w:bookmarkStart w:id="239" w:name="_Toc386013094"/>
      <w:r w:rsidRPr="00083FAA">
        <w:t xml:space="preserve">PWC Networks’ </w:t>
      </w:r>
      <w:r w:rsidR="003D1BBE">
        <w:t>R</w:t>
      </w:r>
      <w:r w:rsidR="003D1BBE" w:rsidRPr="00083FAA">
        <w:t xml:space="preserve">evised </w:t>
      </w:r>
      <w:r w:rsidR="003D1BBE">
        <w:t>R</w:t>
      </w:r>
      <w:r w:rsidR="003D1BBE" w:rsidRPr="00083FAA">
        <w:t xml:space="preserve">egulatory </w:t>
      </w:r>
      <w:bookmarkEnd w:id="238"/>
      <w:r w:rsidR="003D1BBE">
        <w:t>P</w:t>
      </w:r>
      <w:r w:rsidR="003D1BBE" w:rsidRPr="00083FAA">
        <w:t>roposal</w:t>
      </w:r>
      <w:bookmarkEnd w:id="239"/>
    </w:p>
    <w:p w14:paraId="7E216090" w14:textId="0DE23FFE" w:rsidR="00BC141C" w:rsidRPr="003C308A" w:rsidRDefault="00BC141C" w:rsidP="00BC141C">
      <w:pPr>
        <w:pStyle w:val="ListParagraph"/>
        <w:numPr>
          <w:ilvl w:val="1"/>
          <w:numId w:val="5"/>
        </w:numPr>
        <w:tabs>
          <w:tab w:val="num" w:pos="709"/>
        </w:tabs>
        <w:ind w:left="709" w:hanging="709"/>
        <w:rPr>
          <w:lang w:val="en-AU"/>
        </w:rPr>
      </w:pPr>
      <w:r>
        <w:rPr>
          <w:lang w:val="en-AU"/>
        </w:rPr>
        <w:t>PWC Networks</w:t>
      </w:r>
      <w:r w:rsidRPr="001430C0">
        <w:rPr>
          <w:lang w:val="en-AU"/>
        </w:rPr>
        <w:t xml:space="preserve"> </w:t>
      </w:r>
      <w:r w:rsidRPr="00BC141C">
        <w:rPr>
          <w:lang w:val="en-AU"/>
        </w:rPr>
        <w:t>proposed a total regulatory depreciation allowance of $</w:t>
      </w:r>
      <w:r w:rsidR="00615637">
        <w:rPr>
          <w:lang w:val="en-AU"/>
        </w:rPr>
        <w:t>146.6 </w:t>
      </w:r>
      <w:r w:rsidRPr="00BC141C">
        <w:rPr>
          <w:lang w:val="en-AU"/>
        </w:rPr>
        <w:t xml:space="preserve">million for the </w:t>
      </w:r>
      <w:r w:rsidR="00615637">
        <w:rPr>
          <w:lang w:val="en-AU"/>
        </w:rPr>
        <w:t>2014-19</w:t>
      </w:r>
      <w:r w:rsidRPr="00BC141C">
        <w:rPr>
          <w:lang w:val="en-AU"/>
        </w:rPr>
        <w:t xml:space="preserve"> regulatory control period, reflecting revisions to its </w:t>
      </w:r>
      <w:r w:rsidR="00615637">
        <w:rPr>
          <w:lang w:val="en-AU"/>
        </w:rPr>
        <w:t>proposed capex</w:t>
      </w:r>
      <w:r w:rsidR="00557632">
        <w:rPr>
          <w:lang w:val="en-AU"/>
        </w:rPr>
        <w:t xml:space="preserve"> forecast</w:t>
      </w:r>
      <w:r w:rsidR="00615637">
        <w:rPr>
          <w:lang w:val="en-AU"/>
        </w:rPr>
        <w:t>.</w:t>
      </w:r>
      <w:r>
        <w:rPr>
          <w:lang w:val="en-AU"/>
        </w:rPr>
        <w:t xml:space="preserve"> </w:t>
      </w:r>
    </w:p>
    <w:p w14:paraId="6182787D" w14:textId="254A3317" w:rsidR="00BC141C" w:rsidRPr="007B064D" w:rsidRDefault="00BC141C" w:rsidP="00BC141C">
      <w:pPr>
        <w:pStyle w:val="UtilComHeading2"/>
      </w:pPr>
      <w:bookmarkStart w:id="240" w:name="_Toc385241542"/>
      <w:bookmarkStart w:id="241" w:name="_Toc386013095"/>
      <w:r w:rsidRPr="007B064D">
        <w:t xml:space="preserve">Submissions on </w:t>
      </w:r>
      <w:r w:rsidR="00557632">
        <w:t>D</w:t>
      </w:r>
      <w:r w:rsidR="00557632" w:rsidRPr="007B064D">
        <w:t xml:space="preserve">raft </w:t>
      </w:r>
      <w:r w:rsidR="00557632">
        <w:t>D</w:t>
      </w:r>
      <w:r w:rsidR="00557632" w:rsidRPr="007B064D">
        <w:t xml:space="preserve">etermination </w:t>
      </w:r>
      <w:r w:rsidRPr="007B064D">
        <w:t xml:space="preserve">and </w:t>
      </w:r>
      <w:r w:rsidR="003D1BBE">
        <w:t>R</w:t>
      </w:r>
      <w:r w:rsidR="003D1BBE" w:rsidRPr="007B064D">
        <w:t xml:space="preserve">evised </w:t>
      </w:r>
      <w:r w:rsidR="003D1BBE">
        <w:t>R</w:t>
      </w:r>
      <w:r w:rsidR="003D1BBE" w:rsidRPr="007B064D">
        <w:t xml:space="preserve">egulatory </w:t>
      </w:r>
      <w:bookmarkEnd w:id="240"/>
      <w:r w:rsidR="003D1BBE">
        <w:t>P</w:t>
      </w:r>
      <w:r w:rsidR="003D1BBE" w:rsidRPr="007B064D">
        <w:t>roposal</w:t>
      </w:r>
      <w:bookmarkEnd w:id="241"/>
    </w:p>
    <w:p w14:paraId="65552DB2" w14:textId="2A96CE40" w:rsidR="00BC141C" w:rsidRDefault="00557632" w:rsidP="00BC141C">
      <w:pPr>
        <w:pStyle w:val="ListParagraph"/>
        <w:numPr>
          <w:ilvl w:val="1"/>
          <w:numId w:val="5"/>
        </w:numPr>
        <w:tabs>
          <w:tab w:val="num" w:pos="709"/>
        </w:tabs>
        <w:ind w:left="709" w:hanging="709"/>
        <w:rPr>
          <w:lang w:val="en-AU"/>
        </w:rPr>
      </w:pPr>
      <w:r>
        <w:rPr>
          <w:lang w:val="en-AU"/>
        </w:rPr>
        <w:t xml:space="preserve">The </w:t>
      </w:r>
      <w:r w:rsidR="005955C1">
        <w:rPr>
          <w:lang w:val="en-AU"/>
        </w:rPr>
        <w:t xml:space="preserve">Treasurer </w:t>
      </w:r>
      <w:r w:rsidR="00590E06">
        <w:rPr>
          <w:lang w:val="en-AU"/>
        </w:rPr>
        <w:t xml:space="preserve">noted significant movements in </w:t>
      </w:r>
      <w:r w:rsidR="00317566">
        <w:rPr>
          <w:lang w:val="en-AU"/>
        </w:rPr>
        <w:t xml:space="preserve">standard asset lives and remaining asset lives for some asset categories from the </w:t>
      </w:r>
      <w:r w:rsidR="00903690">
        <w:rPr>
          <w:lang w:val="en-AU"/>
        </w:rPr>
        <w:t>roll</w:t>
      </w:r>
      <w:r w:rsidR="004C6187">
        <w:rPr>
          <w:lang w:val="en-AU"/>
        </w:rPr>
        <w:t xml:space="preserve"> </w:t>
      </w:r>
      <w:r w:rsidR="00903690">
        <w:rPr>
          <w:lang w:val="en-AU"/>
        </w:rPr>
        <w:t xml:space="preserve">forward of the RAB </w:t>
      </w:r>
      <w:r>
        <w:rPr>
          <w:lang w:val="en-AU"/>
        </w:rPr>
        <w:t xml:space="preserve">for the 2009-14 regulatory control period </w:t>
      </w:r>
      <w:r w:rsidR="00903690">
        <w:rPr>
          <w:lang w:val="en-AU"/>
        </w:rPr>
        <w:t>and the SKM valuation. The Treasurer expressed the view that further investigation was required to ensure that the changes reflect prudent and efficient asset management.</w:t>
      </w:r>
    </w:p>
    <w:p w14:paraId="0FC70126" w14:textId="77777777" w:rsidR="00903690" w:rsidRDefault="00903690" w:rsidP="00BC141C">
      <w:pPr>
        <w:pStyle w:val="ListParagraph"/>
        <w:numPr>
          <w:ilvl w:val="1"/>
          <w:numId w:val="5"/>
        </w:numPr>
        <w:tabs>
          <w:tab w:val="num" w:pos="709"/>
        </w:tabs>
        <w:ind w:left="709" w:hanging="709"/>
        <w:rPr>
          <w:lang w:val="en-AU"/>
        </w:rPr>
      </w:pPr>
      <w:r>
        <w:rPr>
          <w:lang w:val="en-AU"/>
        </w:rPr>
        <w:t xml:space="preserve">The Treasurer also noted that the revision of asset lives has a significant impact on the depreciation allowance for the 2014-19 regulatory control period. </w:t>
      </w:r>
    </w:p>
    <w:p w14:paraId="6083CF77" w14:textId="73A183E8" w:rsidR="00EB44D7" w:rsidRDefault="00EB44D7" w:rsidP="00EB44D7">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w:t>
      </w:r>
      <w:r>
        <w:rPr>
          <w:lang w:val="en-AU"/>
        </w:rPr>
        <w:t xml:space="preserve"> the </w:t>
      </w:r>
      <w:r w:rsidR="00557632">
        <w:rPr>
          <w:lang w:val="en-AU"/>
        </w:rPr>
        <w:t xml:space="preserve">regulatory </w:t>
      </w:r>
      <w:r>
        <w:rPr>
          <w:lang w:val="en-AU"/>
        </w:rPr>
        <w:t>depreciation allowance.</w:t>
      </w:r>
    </w:p>
    <w:p w14:paraId="3BBAFF11" w14:textId="10A7BE46" w:rsidR="00BC141C" w:rsidRPr="00BB4EB2" w:rsidRDefault="00BC141C" w:rsidP="00BC141C">
      <w:pPr>
        <w:pStyle w:val="UtilComHeading2"/>
      </w:pPr>
      <w:bookmarkStart w:id="242" w:name="_Toc385241543"/>
      <w:bookmarkStart w:id="243" w:name="_Toc386013096"/>
      <w:r w:rsidRPr="00BB4EB2">
        <w:t xml:space="preserve">Issues and Commission’s </w:t>
      </w:r>
      <w:r w:rsidR="003D1BBE">
        <w:t>Further</w:t>
      </w:r>
      <w:r w:rsidR="003D1BBE" w:rsidRPr="00BB4EB2">
        <w:t xml:space="preserve"> </w:t>
      </w:r>
      <w:bookmarkEnd w:id="242"/>
      <w:r w:rsidR="003D1BBE">
        <w:t>C</w:t>
      </w:r>
      <w:r w:rsidR="003D1BBE" w:rsidRPr="00BB4EB2">
        <w:t>onsiderations</w:t>
      </w:r>
      <w:bookmarkEnd w:id="243"/>
    </w:p>
    <w:p w14:paraId="0FD80C2A" w14:textId="77777777" w:rsidR="00BC6225" w:rsidRPr="00BC6225" w:rsidRDefault="00BC6225" w:rsidP="00BC6225">
      <w:pPr>
        <w:pStyle w:val="UtilComHeading4"/>
        <w:spacing w:before="120"/>
        <w:rPr>
          <w:b/>
          <w:i w:val="0"/>
          <w:lang w:val="en-AU"/>
        </w:rPr>
      </w:pPr>
      <w:r w:rsidRPr="00BC6225">
        <w:rPr>
          <w:b/>
          <w:i w:val="0"/>
          <w:lang w:val="en-AU"/>
        </w:rPr>
        <w:t>Standard asset lives</w:t>
      </w:r>
    </w:p>
    <w:p w14:paraId="6E576AB1" w14:textId="45695916" w:rsidR="00BC141C" w:rsidRDefault="005955C1" w:rsidP="00BC141C">
      <w:pPr>
        <w:pStyle w:val="ListParagraph"/>
        <w:numPr>
          <w:ilvl w:val="1"/>
          <w:numId w:val="5"/>
        </w:numPr>
        <w:tabs>
          <w:tab w:val="num" w:pos="709"/>
        </w:tabs>
        <w:ind w:left="709" w:hanging="709"/>
        <w:rPr>
          <w:lang w:val="en-AU"/>
        </w:rPr>
      </w:pPr>
      <w:r>
        <w:rPr>
          <w:lang w:val="en-AU"/>
        </w:rPr>
        <w:t>PWC </w:t>
      </w:r>
      <w:r w:rsidR="00BC6225">
        <w:rPr>
          <w:lang w:val="en-AU"/>
        </w:rPr>
        <w:t xml:space="preserve">Networks has </w:t>
      </w:r>
      <w:r>
        <w:rPr>
          <w:lang w:val="en-AU"/>
        </w:rPr>
        <w:t>provided sample calculation</w:t>
      </w:r>
      <w:r w:rsidR="00BC6225">
        <w:rPr>
          <w:lang w:val="en-AU"/>
        </w:rPr>
        <w:t>s</w:t>
      </w:r>
      <w:r>
        <w:rPr>
          <w:lang w:val="en-AU"/>
        </w:rPr>
        <w:t xml:space="preserve"> of weighted average </w:t>
      </w:r>
      <w:r w:rsidR="00BC6225">
        <w:rPr>
          <w:lang w:val="en-AU"/>
        </w:rPr>
        <w:t xml:space="preserve">standard </w:t>
      </w:r>
      <w:r>
        <w:rPr>
          <w:lang w:val="en-AU"/>
        </w:rPr>
        <w:t>asset lives</w:t>
      </w:r>
      <w:r w:rsidR="00BC6225">
        <w:rPr>
          <w:lang w:val="en-AU"/>
        </w:rPr>
        <w:t xml:space="preserve">. The Commission has confirmed its previous view that the changes in standard lives </w:t>
      </w:r>
      <w:r w:rsidR="00557632">
        <w:rPr>
          <w:lang w:val="en-AU"/>
        </w:rPr>
        <w:t xml:space="preserve">are </w:t>
      </w:r>
      <w:r w:rsidR="00BC6225">
        <w:rPr>
          <w:lang w:val="en-AU"/>
        </w:rPr>
        <w:t>due to changes in the aggregation of asset classes. The Commission is satisfied that the standard asset lives submitted by PWC Networks are based on standard principles and methodology used for regulatory valuations of electricity networks in Australia.</w:t>
      </w:r>
    </w:p>
    <w:p w14:paraId="2AA4F46D" w14:textId="77777777" w:rsidR="00BC6225" w:rsidRPr="00BC6225" w:rsidRDefault="00BC6225" w:rsidP="00BC6225">
      <w:pPr>
        <w:pStyle w:val="UtilComHeading4"/>
        <w:spacing w:before="120"/>
        <w:rPr>
          <w:b/>
          <w:i w:val="0"/>
          <w:lang w:val="en-AU"/>
        </w:rPr>
      </w:pPr>
      <w:r w:rsidRPr="00BC6225">
        <w:rPr>
          <w:b/>
          <w:i w:val="0"/>
          <w:lang w:val="en-AU"/>
        </w:rPr>
        <w:t>Remaining asset lives</w:t>
      </w:r>
    </w:p>
    <w:p w14:paraId="1541B146" w14:textId="4BA7B3B2" w:rsidR="00F95E50" w:rsidRDefault="00F95E50" w:rsidP="00BC141C">
      <w:pPr>
        <w:pStyle w:val="ListParagraph"/>
        <w:numPr>
          <w:ilvl w:val="1"/>
          <w:numId w:val="5"/>
        </w:numPr>
        <w:tabs>
          <w:tab w:val="num" w:pos="709"/>
        </w:tabs>
        <w:ind w:left="709" w:hanging="709"/>
        <w:rPr>
          <w:lang w:val="en-AU"/>
        </w:rPr>
      </w:pPr>
      <w:r>
        <w:rPr>
          <w:lang w:val="en-AU"/>
        </w:rPr>
        <w:t>For the 2009 Network Price Determination, PWC Networks did not provide a roll</w:t>
      </w:r>
      <w:r w:rsidR="004C6187">
        <w:rPr>
          <w:lang w:val="en-AU"/>
        </w:rPr>
        <w:t xml:space="preserve"> </w:t>
      </w:r>
      <w:r>
        <w:rPr>
          <w:lang w:val="en-AU"/>
        </w:rPr>
        <w:t xml:space="preserve">forward of the </w:t>
      </w:r>
      <w:r w:rsidR="00557632">
        <w:rPr>
          <w:lang w:val="en-AU"/>
        </w:rPr>
        <w:t>RAB</w:t>
      </w:r>
      <w:r>
        <w:rPr>
          <w:lang w:val="en-AU"/>
        </w:rPr>
        <w:t xml:space="preserve"> established by the Commission in the </w:t>
      </w:r>
      <w:r w:rsidR="00557632">
        <w:rPr>
          <w:lang w:val="en-AU"/>
        </w:rPr>
        <w:t>Off Ramp</w:t>
      </w:r>
      <w:r>
        <w:rPr>
          <w:lang w:val="en-AU"/>
        </w:rPr>
        <w:t xml:space="preserve"> Decision, submitting an opening </w:t>
      </w:r>
      <w:r w:rsidR="00557632">
        <w:rPr>
          <w:lang w:val="en-AU"/>
        </w:rPr>
        <w:t xml:space="preserve">RAB </w:t>
      </w:r>
      <w:r>
        <w:rPr>
          <w:lang w:val="en-AU"/>
        </w:rPr>
        <w:t xml:space="preserve">value based on a DORC valuation undertaken in 2007. </w:t>
      </w:r>
    </w:p>
    <w:p w14:paraId="143A7C56" w14:textId="18FCC122" w:rsidR="00F95E50" w:rsidRDefault="00F95E50" w:rsidP="00BC141C">
      <w:pPr>
        <w:pStyle w:val="ListParagraph"/>
        <w:numPr>
          <w:ilvl w:val="1"/>
          <w:numId w:val="5"/>
        </w:numPr>
        <w:tabs>
          <w:tab w:val="num" w:pos="709"/>
        </w:tabs>
        <w:ind w:left="709" w:hanging="709"/>
        <w:rPr>
          <w:lang w:val="en-AU"/>
        </w:rPr>
      </w:pPr>
      <w:r>
        <w:rPr>
          <w:lang w:val="en-AU"/>
        </w:rPr>
        <w:t>In the absence of a compliant submission from PWC Networks, the Commission (</w:t>
      </w:r>
      <w:r w:rsidR="00557632">
        <w:rPr>
          <w:lang w:val="en-AU"/>
        </w:rPr>
        <w:t xml:space="preserve">through its consultant </w:t>
      </w:r>
      <w:r>
        <w:rPr>
          <w:lang w:val="en-AU"/>
        </w:rPr>
        <w:t>A</w:t>
      </w:r>
      <w:r w:rsidR="00AF25B5">
        <w:rPr>
          <w:lang w:val="en-AU"/>
        </w:rPr>
        <w:t>CIL</w:t>
      </w:r>
      <w:r>
        <w:rPr>
          <w:lang w:val="en-AU"/>
        </w:rPr>
        <w:t xml:space="preserve"> Tasman,</w:t>
      </w:r>
      <w:r w:rsidR="00AF25B5">
        <w:rPr>
          <w:lang w:val="en-AU"/>
        </w:rPr>
        <w:t xml:space="preserve"> now ACIL Allen Consulting</w:t>
      </w:r>
      <w:r>
        <w:rPr>
          <w:lang w:val="en-AU"/>
        </w:rPr>
        <w:t>) calculated its own roll</w:t>
      </w:r>
      <w:r w:rsidR="004C6187">
        <w:rPr>
          <w:lang w:val="en-AU"/>
        </w:rPr>
        <w:t xml:space="preserve"> </w:t>
      </w:r>
      <w:r>
        <w:rPr>
          <w:lang w:val="en-AU"/>
        </w:rPr>
        <w:t xml:space="preserve">forward of the </w:t>
      </w:r>
      <w:r w:rsidR="00557632">
        <w:rPr>
          <w:lang w:val="en-AU"/>
        </w:rPr>
        <w:t>RAB</w:t>
      </w:r>
      <w:r>
        <w:rPr>
          <w:lang w:val="en-AU"/>
        </w:rPr>
        <w:t xml:space="preserve">, using available information and some simplifying assumptions. Remaining asset lives were estimated by subtracting </w:t>
      </w:r>
      <w:r w:rsidR="00AF25B5">
        <w:rPr>
          <w:lang w:val="en-AU"/>
        </w:rPr>
        <w:t>five</w:t>
      </w:r>
      <w:r w:rsidR="00557632">
        <w:rPr>
          <w:lang w:val="en-AU"/>
        </w:rPr>
        <w:t> </w:t>
      </w:r>
      <w:r>
        <w:rPr>
          <w:lang w:val="en-AU"/>
        </w:rPr>
        <w:t>years from the remaining asset lives contained in the 2007 DORC valuation submitted by PWC Networks.</w:t>
      </w:r>
    </w:p>
    <w:p w14:paraId="22C0A1AC" w14:textId="7DABCE0E" w:rsidR="005955C1" w:rsidRDefault="00F95E50" w:rsidP="00906F1B">
      <w:pPr>
        <w:pStyle w:val="ListParagraph"/>
        <w:numPr>
          <w:ilvl w:val="1"/>
          <w:numId w:val="5"/>
        </w:numPr>
        <w:tabs>
          <w:tab w:val="num" w:pos="709"/>
        </w:tabs>
        <w:ind w:left="709" w:hanging="709"/>
        <w:rPr>
          <w:lang w:val="en-AU"/>
        </w:rPr>
      </w:pPr>
      <w:r>
        <w:rPr>
          <w:lang w:val="en-AU"/>
        </w:rPr>
        <w:t>The Commission now considers that this approach was flawed</w:t>
      </w:r>
      <w:r w:rsidR="00622427">
        <w:rPr>
          <w:lang w:val="en-AU"/>
        </w:rPr>
        <w:t xml:space="preserve"> and over-estimated the remaining life of PWC Networks’ assets</w:t>
      </w:r>
      <w:r>
        <w:rPr>
          <w:lang w:val="en-AU"/>
        </w:rPr>
        <w:t xml:space="preserve">. </w:t>
      </w:r>
      <w:r w:rsidR="00906F1B">
        <w:rPr>
          <w:lang w:val="en-AU"/>
        </w:rPr>
        <w:t>A</w:t>
      </w:r>
      <w:r w:rsidRPr="00F95E50">
        <w:rPr>
          <w:lang w:val="en-AU"/>
        </w:rPr>
        <w:t>sset category lives are weighted, and therefore dependent upon the individual assets included in the category, which is also affected by asset additions and disposals</w:t>
      </w:r>
      <w:r w:rsidR="005955C1">
        <w:rPr>
          <w:lang w:val="en-AU"/>
        </w:rPr>
        <w:t>.</w:t>
      </w:r>
      <w:r w:rsidR="00906F1B">
        <w:rPr>
          <w:lang w:val="en-AU"/>
        </w:rPr>
        <w:t xml:space="preserve"> As noted in the Draft Determination, t</w:t>
      </w:r>
      <w:r w:rsidR="00906F1B" w:rsidRPr="00906F1B">
        <w:rPr>
          <w:lang w:val="en-AU"/>
        </w:rPr>
        <w:t>he regulatory depreciation allowance that formed part of th</w:t>
      </w:r>
      <w:r w:rsidR="00906F1B">
        <w:rPr>
          <w:lang w:val="en-AU"/>
        </w:rPr>
        <w:t>e</w:t>
      </w:r>
      <w:r w:rsidR="00906F1B" w:rsidRPr="00906F1B">
        <w:rPr>
          <w:lang w:val="en-AU"/>
        </w:rPr>
        <w:t xml:space="preserve"> single year building block </w:t>
      </w:r>
      <w:r w:rsidR="00EA7CEE">
        <w:rPr>
          <w:lang w:val="en-AU"/>
        </w:rPr>
        <w:t xml:space="preserve">for </w:t>
      </w:r>
      <w:r w:rsidR="00906F1B">
        <w:rPr>
          <w:lang w:val="en-AU"/>
        </w:rPr>
        <w:t xml:space="preserve">the 2009 Network Price Determination </w:t>
      </w:r>
      <w:r w:rsidR="00906F1B" w:rsidRPr="00906F1B">
        <w:rPr>
          <w:lang w:val="en-AU"/>
        </w:rPr>
        <w:t>was well below the average annual depreciation allowance provided for other DNSPs (negative $1.7</w:t>
      </w:r>
      <w:r w:rsidR="009D10F9">
        <w:rPr>
          <w:lang w:val="en-AU"/>
        </w:rPr>
        <w:t> </w:t>
      </w:r>
      <w:r w:rsidR="00906F1B" w:rsidRPr="00906F1B">
        <w:rPr>
          <w:lang w:val="en-AU"/>
        </w:rPr>
        <w:t>million) casting doubt on the reasonableness of the associated asset lives.</w:t>
      </w:r>
    </w:p>
    <w:p w14:paraId="53070053" w14:textId="21EE3C9E" w:rsidR="00906F1B" w:rsidRPr="005026F0" w:rsidRDefault="00906F1B" w:rsidP="00906F1B">
      <w:pPr>
        <w:pStyle w:val="ListParagraph"/>
        <w:numPr>
          <w:ilvl w:val="1"/>
          <w:numId w:val="5"/>
        </w:numPr>
        <w:tabs>
          <w:tab w:val="num" w:pos="709"/>
        </w:tabs>
        <w:ind w:left="709" w:hanging="709"/>
        <w:rPr>
          <w:lang w:val="en-AU"/>
        </w:rPr>
      </w:pPr>
      <w:r>
        <w:rPr>
          <w:lang w:val="en-AU"/>
        </w:rPr>
        <w:t xml:space="preserve">A reconciliation between the remaining asset lives rolled forward from the 2009 Network Price Determination and the remaining asset lives derived from the 2013 SKM valuation is not possible, as the data sets came from two unrelated sources. In light of the flaws identified in the 2009 approach and </w:t>
      </w:r>
      <w:r w:rsidR="004742D0">
        <w:rPr>
          <w:lang w:val="en-AU"/>
        </w:rPr>
        <w:t>information provided in the Davies Re</w:t>
      </w:r>
      <w:r w:rsidR="00F5108F">
        <w:rPr>
          <w:lang w:val="en-AU"/>
        </w:rPr>
        <w:t>view</w:t>
      </w:r>
      <w:r w:rsidR="004742D0">
        <w:rPr>
          <w:lang w:val="en-AU"/>
        </w:rPr>
        <w:t xml:space="preserve"> and other reviews that asset condition is poorer than previously </w:t>
      </w:r>
      <w:r w:rsidR="00EA7CEE">
        <w:rPr>
          <w:lang w:val="en-AU"/>
        </w:rPr>
        <w:t>thought</w:t>
      </w:r>
      <w:r w:rsidR="004742D0">
        <w:rPr>
          <w:lang w:val="en-AU"/>
        </w:rPr>
        <w:t xml:space="preserve">, the Commission considers that the remaining asset lives submitted by PWC Networks </w:t>
      </w:r>
      <w:r w:rsidR="00EA7CEE">
        <w:rPr>
          <w:lang w:val="en-AU"/>
        </w:rPr>
        <w:t xml:space="preserve">to be </w:t>
      </w:r>
      <w:r w:rsidR="004742D0">
        <w:rPr>
          <w:lang w:val="en-AU"/>
        </w:rPr>
        <w:t>reasonable.</w:t>
      </w:r>
      <w:r>
        <w:rPr>
          <w:lang w:val="en-AU"/>
        </w:rPr>
        <w:t xml:space="preserve"> </w:t>
      </w:r>
    </w:p>
    <w:p w14:paraId="4EA45CDF" w14:textId="0FFB5C5D" w:rsidR="00BC141C" w:rsidRPr="00BB4EB2" w:rsidRDefault="00BC141C" w:rsidP="00BC141C">
      <w:pPr>
        <w:pStyle w:val="UtilComHeading2"/>
      </w:pPr>
      <w:bookmarkStart w:id="244" w:name="_Toc385241544"/>
      <w:bookmarkStart w:id="245" w:name="_Toc386013097"/>
      <w:r w:rsidRPr="00BB4EB2">
        <w:t xml:space="preserve">Commission’s </w:t>
      </w:r>
      <w:r w:rsidR="00D337DD">
        <w:t>F</w:t>
      </w:r>
      <w:r w:rsidR="00D337DD" w:rsidRPr="00BB4EB2">
        <w:t xml:space="preserve">inal </w:t>
      </w:r>
      <w:bookmarkEnd w:id="244"/>
      <w:r w:rsidR="00D337DD">
        <w:t>D</w:t>
      </w:r>
      <w:r w:rsidR="00D337DD" w:rsidRPr="00BB4EB2">
        <w:t>ecision</w:t>
      </w:r>
      <w:bookmarkEnd w:id="245"/>
    </w:p>
    <w:p w14:paraId="128BC65C" w14:textId="77777777" w:rsidR="00E82B48" w:rsidRDefault="00E82B48" w:rsidP="00615637">
      <w:pPr>
        <w:pStyle w:val="NumberLevel2"/>
        <w:numPr>
          <w:ilvl w:val="1"/>
          <w:numId w:val="5"/>
        </w:numPr>
        <w:tabs>
          <w:tab w:val="clear" w:pos="3270"/>
          <w:tab w:val="left" w:pos="709"/>
        </w:tabs>
        <w:ind w:left="709" w:hanging="709"/>
        <w:rPr>
          <w:lang w:val="en-AU"/>
        </w:rPr>
      </w:pPr>
      <w:r>
        <w:rPr>
          <w:lang w:val="en-AU"/>
        </w:rPr>
        <w:t>The Commission has accepted the standard asset lives and remaining asset lives for PWC Networks as set out in Table 11.3.</w:t>
      </w:r>
    </w:p>
    <w:p w14:paraId="174567C1" w14:textId="77777777" w:rsidR="00E82B48" w:rsidRPr="00A139AD" w:rsidRDefault="00E82B48" w:rsidP="00E82B48">
      <w:pPr>
        <w:pStyle w:val="UtilComTableTitle"/>
        <w:keepNext/>
        <w:spacing w:before="120" w:after="0" w:line="240" w:lineRule="exact"/>
        <w:ind w:left="142"/>
      </w:pPr>
      <w:r>
        <w:t>T</w:t>
      </w:r>
      <w:r w:rsidR="007C0087">
        <w:t>able 11</w:t>
      </w:r>
      <w:r>
        <w:t>.</w:t>
      </w:r>
      <w:r w:rsidR="007C0087">
        <w:t>3</w:t>
      </w:r>
      <w:r>
        <w:t>: Commission approved remaining and standard asset lives for PWC Networks (years)</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5244"/>
        <w:gridCol w:w="1985"/>
        <w:gridCol w:w="1985"/>
      </w:tblGrid>
      <w:tr w:rsidR="00E82B48" w:rsidRPr="00CD0BDF" w14:paraId="575FC8FA" w14:textId="77777777" w:rsidTr="007C0087">
        <w:trPr>
          <w:trHeight w:val="360"/>
        </w:trPr>
        <w:tc>
          <w:tcPr>
            <w:tcW w:w="5245" w:type="dxa"/>
            <w:tcBorders>
              <w:bottom w:val="single" w:sz="4" w:space="0" w:color="auto"/>
            </w:tcBorders>
            <w:vAlign w:val="center"/>
          </w:tcPr>
          <w:p w14:paraId="5CAA10A8" w14:textId="77777777" w:rsidR="00E82B48" w:rsidRPr="002F053A" w:rsidRDefault="00E82B48" w:rsidP="00C25FAB">
            <w:pPr>
              <w:pStyle w:val="UtilComTableColumnHeading"/>
            </w:pPr>
            <w:r>
              <w:t>Asset class</w:t>
            </w:r>
          </w:p>
        </w:tc>
        <w:tc>
          <w:tcPr>
            <w:tcW w:w="1985" w:type="dxa"/>
            <w:tcBorders>
              <w:bottom w:val="single" w:sz="4" w:space="0" w:color="auto"/>
            </w:tcBorders>
          </w:tcPr>
          <w:p w14:paraId="034DEA0E" w14:textId="77777777" w:rsidR="00E82B48" w:rsidRDefault="00E82B48" w:rsidP="007C0087">
            <w:pPr>
              <w:pStyle w:val="UtilComTableColumnHeading"/>
              <w:jc w:val="center"/>
            </w:pPr>
            <w:r>
              <w:t>Standard life</w:t>
            </w:r>
          </w:p>
        </w:tc>
        <w:tc>
          <w:tcPr>
            <w:tcW w:w="1985" w:type="dxa"/>
            <w:tcBorders>
              <w:bottom w:val="single" w:sz="4" w:space="0" w:color="auto"/>
            </w:tcBorders>
          </w:tcPr>
          <w:p w14:paraId="5F18D993" w14:textId="77777777" w:rsidR="00E82B48" w:rsidRDefault="00E82B48" w:rsidP="007C0087">
            <w:pPr>
              <w:pStyle w:val="UtilComTableColumnHeading"/>
              <w:jc w:val="center"/>
            </w:pPr>
            <w:r>
              <w:t>Remaining life</w:t>
            </w:r>
          </w:p>
        </w:tc>
      </w:tr>
      <w:tr w:rsidR="007C0087" w:rsidRPr="008A4655" w14:paraId="1C2189E4" w14:textId="77777777" w:rsidTr="007C0087">
        <w:trPr>
          <w:trHeight w:val="360"/>
        </w:trPr>
        <w:tc>
          <w:tcPr>
            <w:tcW w:w="5245" w:type="dxa"/>
          </w:tcPr>
          <w:p w14:paraId="10ADF0DF" w14:textId="77777777" w:rsidR="007C0087" w:rsidRPr="007C0087" w:rsidRDefault="007C0087" w:rsidP="00C25FAB">
            <w:pPr>
              <w:pStyle w:val="UtilComTabletext"/>
              <w:rPr>
                <w:i/>
              </w:rPr>
            </w:pPr>
            <w:r w:rsidRPr="007C0087">
              <w:rPr>
                <w:i/>
              </w:rPr>
              <w:t>System Capex</w:t>
            </w:r>
          </w:p>
        </w:tc>
        <w:tc>
          <w:tcPr>
            <w:tcW w:w="1985" w:type="dxa"/>
          </w:tcPr>
          <w:p w14:paraId="7BFE4A83" w14:textId="77777777" w:rsidR="007C0087" w:rsidRDefault="007C0087" w:rsidP="00C25FAB">
            <w:pPr>
              <w:pStyle w:val="UtilComTabletext"/>
              <w:jc w:val="center"/>
            </w:pPr>
          </w:p>
        </w:tc>
        <w:tc>
          <w:tcPr>
            <w:tcW w:w="1985" w:type="dxa"/>
          </w:tcPr>
          <w:p w14:paraId="657D89EF" w14:textId="77777777" w:rsidR="007C0087" w:rsidRDefault="007C0087" w:rsidP="00C25FAB">
            <w:pPr>
              <w:pStyle w:val="UtilComTabletext"/>
              <w:jc w:val="center"/>
            </w:pPr>
          </w:p>
        </w:tc>
      </w:tr>
      <w:tr w:rsidR="007C0087" w:rsidRPr="008A4655" w14:paraId="55B451A3" w14:textId="77777777" w:rsidTr="007C0087">
        <w:trPr>
          <w:trHeight w:val="360"/>
        </w:trPr>
        <w:tc>
          <w:tcPr>
            <w:tcW w:w="5245" w:type="dxa"/>
            <w:tcBorders>
              <w:bottom w:val="single" w:sz="4" w:space="0" w:color="999999"/>
            </w:tcBorders>
          </w:tcPr>
          <w:p w14:paraId="4DB3B12A" w14:textId="77777777" w:rsidR="007C0087" w:rsidRPr="00340D05" w:rsidRDefault="007C0087" w:rsidP="00C25FAB">
            <w:pPr>
              <w:pStyle w:val="UtilComTabletext"/>
            </w:pPr>
            <w:r w:rsidRPr="00664AEB">
              <w:t>Transmission terminal station</w:t>
            </w:r>
          </w:p>
        </w:tc>
        <w:tc>
          <w:tcPr>
            <w:tcW w:w="1985" w:type="dxa"/>
            <w:tcBorders>
              <w:bottom w:val="single" w:sz="4" w:space="0" w:color="999999"/>
            </w:tcBorders>
          </w:tcPr>
          <w:p w14:paraId="01A08116" w14:textId="77777777" w:rsidR="007C0087" w:rsidRDefault="007C0087" w:rsidP="00C25FAB">
            <w:pPr>
              <w:pStyle w:val="UtilComTabletext"/>
              <w:jc w:val="center"/>
            </w:pPr>
            <w:r w:rsidRPr="008337CB">
              <w:t>42.4</w:t>
            </w:r>
          </w:p>
        </w:tc>
        <w:tc>
          <w:tcPr>
            <w:tcW w:w="1985" w:type="dxa"/>
            <w:tcBorders>
              <w:bottom w:val="single" w:sz="4" w:space="0" w:color="999999"/>
            </w:tcBorders>
          </w:tcPr>
          <w:p w14:paraId="0584E0E5" w14:textId="77777777" w:rsidR="007C0087" w:rsidRDefault="007C0087" w:rsidP="00C25FAB">
            <w:pPr>
              <w:pStyle w:val="UtilComTabletext"/>
              <w:jc w:val="center"/>
            </w:pPr>
            <w:r w:rsidRPr="002C331E">
              <w:t>17.0</w:t>
            </w:r>
          </w:p>
        </w:tc>
      </w:tr>
      <w:tr w:rsidR="007C0087" w:rsidRPr="008A4655" w14:paraId="7DCAFEA6" w14:textId="77777777" w:rsidTr="007C0087">
        <w:trPr>
          <w:trHeight w:val="360"/>
        </w:trPr>
        <w:tc>
          <w:tcPr>
            <w:tcW w:w="5245" w:type="dxa"/>
          </w:tcPr>
          <w:p w14:paraId="01ACB226" w14:textId="77777777" w:rsidR="007C0087" w:rsidRPr="00340D05" w:rsidRDefault="007C0087" w:rsidP="00C25FAB">
            <w:pPr>
              <w:pStyle w:val="UtilComTabletext"/>
            </w:pPr>
            <w:r w:rsidRPr="00664AEB">
              <w:t>Zone substations</w:t>
            </w:r>
          </w:p>
        </w:tc>
        <w:tc>
          <w:tcPr>
            <w:tcW w:w="1985" w:type="dxa"/>
          </w:tcPr>
          <w:p w14:paraId="593B0218" w14:textId="77777777" w:rsidR="007C0087" w:rsidRDefault="007C0087" w:rsidP="00C25FAB">
            <w:pPr>
              <w:pStyle w:val="UtilComTabletext"/>
              <w:jc w:val="center"/>
            </w:pPr>
            <w:r w:rsidRPr="008337CB">
              <w:t>41.7</w:t>
            </w:r>
          </w:p>
        </w:tc>
        <w:tc>
          <w:tcPr>
            <w:tcW w:w="1985" w:type="dxa"/>
          </w:tcPr>
          <w:p w14:paraId="47CC2597" w14:textId="77777777" w:rsidR="007C0087" w:rsidRDefault="007C0087" w:rsidP="00C25FAB">
            <w:pPr>
              <w:pStyle w:val="UtilComTabletext"/>
              <w:jc w:val="center"/>
            </w:pPr>
            <w:r w:rsidRPr="002C331E">
              <w:t>13.1</w:t>
            </w:r>
          </w:p>
        </w:tc>
      </w:tr>
      <w:tr w:rsidR="007C0087" w:rsidRPr="008A4655" w14:paraId="72517B22" w14:textId="77777777" w:rsidTr="007C0087">
        <w:trPr>
          <w:trHeight w:val="360"/>
        </w:trPr>
        <w:tc>
          <w:tcPr>
            <w:tcW w:w="5245" w:type="dxa"/>
            <w:tcBorders>
              <w:top w:val="single" w:sz="4" w:space="0" w:color="999999"/>
            </w:tcBorders>
          </w:tcPr>
          <w:p w14:paraId="6F981C9D" w14:textId="77777777" w:rsidR="007C0087" w:rsidRDefault="007C0087" w:rsidP="00C25FAB">
            <w:pPr>
              <w:pStyle w:val="UtilComTabletext"/>
            </w:pPr>
            <w:r w:rsidRPr="00664AEB">
              <w:t>Transmission lines</w:t>
            </w:r>
          </w:p>
        </w:tc>
        <w:tc>
          <w:tcPr>
            <w:tcW w:w="1985" w:type="dxa"/>
            <w:tcBorders>
              <w:top w:val="single" w:sz="4" w:space="0" w:color="999999"/>
            </w:tcBorders>
          </w:tcPr>
          <w:p w14:paraId="398EAC0C" w14:textId="77777777" w:rsidR="007C0087" w:rsidRDefault="007C0087" w:rsidP="00C25FAB">
            <w:pPr>
              <w:pStyle w:val="UtilComTabletext"/>
              <w:jc w:val="center"/>
            </w:pPr>
            <w:r w:rsidRPr="008337CB">
              <w:t>56.6</w:t>
            </w:r>
          </w:p>
        </w:tc>
        <w:tc>
          <w:tcPr>
            <w:tcW w:w="1985" w:type="dxa"/>
            <w:tcBorders>
              <w:top w:val="single" w:sz="4" w:space="0" w:color="999999"/>
            </w:tcBorders>
          </w:tcPr>
          <w:p w14:paraId="316B0953" w14:textId="77777777" w:rsidR="007C0087" w:rsidRDefault="007C0087" w:rsidP="00C25FAB">
            <w:pPr>
              <w:pStyle w:val="UtilComTabletext"/>
              <w:jc w:val="center"/>
            </w:pPr>
            <w:r w:rsidRPr="002C331E">
              <w:t>30.2</w:t>
            </w:r>
          </w:p>
        </w:tc>
      </w:tr>
      <w:tr w:rsidR="007C0087" w:rsidRPr="008A4655" w14:paraId="05F9B72D" w14:textId="77777777" w:rsidTr="007C0087">
        <w:trPr>
          <w:trHeight w:val="360"/>
        </w:trPr>
        <w:tc>
          <w:tcPr>
            <w:tcW w:w="5245" w:type="dxa"/>
            <w:tcBorders>
              <w:top w:val="single" w:sz="4" w:space="0" w:color="999999"/>
            </w:tcBorders>
          </w:tcPr>
          <w:p w14:paraId="3AEDBA38" w14:textId="77777777" w:rsidR="007C0087" w:rsidRPr="00340D05" w:rsidRDefault="007C0087" w:rsidP="00C25FAB">
            <w:pPr>
              <w:pStyle w:val="UtilComTabletext"/>
            </w:pPr>
            <w:r w:rsidRPr="00664AEB">
              <w:t>Distribution mains</w:t>
            </w:r>
          </w:p>
        </w:tc>
        <w:tc>
          <w:tcPr>
            <w:tcW w:w="1985" w:type="dxa"/>
            <w:tcBorders>
              <w:top w:val="single" w:sz="4" w:space="0" w:color="999999"/>
            </w:tcBorders>
          </w:tcPr>
          <w:p w14:paraId="4D0DBB5A" w14:textId="77777777" w:rsidR="007C0087" w:rsidRDefault="007C0087" w:rsidP="00C25FAB">
            <w:pPr>
              <w:pStyle w:val="UtilComTabletext"/>
              <w:jc w:val="center"/>
            </w:pPr>
            <w:r w:rsidRPr="008337CB">
              <w:t>55.8</w:t>
            </w:r>
          </w:p>
        </w:tc>
        <w:tc>
          <w:tcPr>
            <w:tcW w:w="1985" w:type="dxa"/>
            <w:tcBorders>
              <w:top w:val="single" w:sz="4" w:space="0" w:color="999999"/>
            </w:tcBorders>
          </w:tcPr>
          <w:p w14:paraId="22D950B3" w14:textId="77777777" w:rsidR="007C0087" w:rsidRDefault="007C0087" w:rsidP="00C25FAB">
            <w:pPr>
              <w:pStyle w:val="UtilComTabletext"/>
              <w:jc w:val="center"/>
            </w:pPr>
            <w:r w:rsidRPr="002C331E">
              <w:t>30.6</w:t>
            </w:r>
          </w:p>
        </w:tc>
      </w:tr>
      <w:tr w:rsidR="007C0087" w:rsidRPr="008A4655" w14:paraId="5F34E1E5" w14:textId="77777777" w:rsidTr="007C0087">
        <w:trPr>
          <w:trHeight w:val="360"/>
        </w:trPr>
        <w:tc>
          <w:tcPr>
            <w:tcW w:w="5245" w:type="dxa"/>
            <w:tcBorders>
              <w:top w:val="single" w:sz="4" w:space="0" w:color="999999"/>
            </w:tcBorders>
          </w:tcPr>
          <w:p w14:paraId="57F4EC26" w14:textId="77777777" w:rsidR="007C0087" w:rsidRPr="00340D05" w:rsidRDefault="007C0087" w:rsidP="00C25FAB">
            <w:pPr>
              <w:pStyle w:val="UtilComTabletext"/>
            </w:pPr>
            <w:r w:rsidRPr="00664AEB">
              <w:t>Distribution substations</w:t>
            </w:r>
          </w:p>
        </w:tc>
        <w:tc>
          <w:tcPr>
            <w:tcW w:w="1985" w:type="dxa"/>
            <w:tcBorders>
              <w:top w:val="single" w:sz="4" w:space="0" w:color="999999"/>
            </w:tcBorders>
          </w:tcPr>
          <w:p w14:paraId="6A144D7C" w14:textId="77777777" w:rsidR="007C0087" w:rsidRDefault="007C0087" w:rsidP="00C25FAB">
            <w:pPr>
              <w:pStyle w:val="UtilComTabletext"/>
              <w:jc w:val="center"/>
            </w:pPr>
            <w:r w:rsidRPr="008337CB">
              <w:t>45.0</w:t>
            </w:r>
          </w:p>
        </w:tc>
        <w:tc>
          <w:tcPr>
            <w:tcW w:w="1985" w:type="dxa"/>
            <w:tcBorders>
              <w:top w:val="single" w:sz="4" w:space="0" w:color="999999"/>
            </w:tcBorders>
          </w:tcPr>
          <w:p w14:paraId="27ED8C87" w14:textId="77777777" w:rsidR="007C0087" w:rsidRDefault="007C0087" w:rsidP="00C25FAB">
            <w:pPr>
              <w:pStyle w:val="UtilComTabletext"/>
              <w:jc w:val="center"/>
            </w:pPr>
            <w:r w:rsidRPr="002C331E">
              <w:t>23.2</w:t>
            </w:r>
          </w:p>
        </w:tc>
      </w:tr>
      <w:tr w:rsidR="007C0087" w:rsidRPr="008A4655" w14:paraId="370FA368" w14:textId="77777777" w:rsidTr="007C0087">
        <w:trPr>
          <w:trHeight w:val="360"/>
        </w:trPr>
        <w:tc>
          <w:tcPr>
            <w:tcW w:w="5245" w:type="dxa"/>
            <w:tcBorders>
              <w:top w:val="single" w:sz="4" w:space="0" w:color="999999"/>
            </w:tcBorders>
          </w:tcPr>
          <w:p w14:paraId="0ACAF9A4" w14:textId="77777777" w:rsidR="007C0087" w:rsidRPr="00340D05" w:rsidRDefault="007C0087" w:rsidP="00C25FAB">
            <w:pPr>
              <w:pStyle w:val="UtilComTabletext"/>
            </w:pPr>
            <w:r w:rsidRPr="00664AEB">
              <w:t>Metering</w:t>
            </w:r>
          </w:p>
        </w:tc>
        <w:tc>
          <w:tcPr>
            <w:tcW w:w="1985" w:type="dxa"/>
            <w:tcBorders>
              <w:top w:val="single" w:sz="4" w:space="0" w:color="999999"/>
            </w:tcBorders>
          </w:tcPr>
          <w:p w14:paraId="27D7CE30" w14:textId="77777777" w:rsidR="007C0087" w:rsidRDefault="007C0087" w:rsidP="00C25FAB">
            <w:pPr>
              <w:pStyle w:val="UtilComTabletext"/>
              <w:jc w:val="center"/>
            </w:pPr>
            <w:r w:rsidRPr="008337CB">
              <w:t>22.1</w:t>
            </w:r>
          </w:p>
        </w:tc>
        <w:tc>
          <w:tcPr>
            <w:tcW w:w="1985" w:type="dxa"/>
            <w:tcBorders>
              <w:top w:val="single" w:sz="4" w:space="0" w:color="999999"/>
            </w:tcBorders>
          </w:tcPr>
          <w:p w14:paraId="1D0DD777" w14:textId="77777777" w:rsidR="007C0087" w:rsidRDefault="007C0087" w:rsidP="00C25FAB">
            <w:pPr>
              <w:pStyle w:val="UtilComTabletext"/>
              <w:jc w:val="center"/>
            </w:pPr>
            <w:r w:rsidRPr="002C331E">
              <w:t>6.2</w:t>
            </w:r>
          </w:p>
        </w:tc>
      </w:tr>
      <w:tr w:rsidR="007C0087" w:rsidRPr="008A4655" w14:paraId="0D964ADE" w14:textId="77777777" w:rsidTr="007C0087">
        <w:trPr>
          <w:trHeight w:val="360"/>
        </w:trPr>
        <w:tc>
          <w:tcPr>
            <w:tcW w:w="5245" w:type="dxa"/>
            <w:tcBorders>
              <w:top w:val="single" w:sz="4" w:space="0" w:color="999999"/>
            </w:tcBorders>
          </w:tcPr>
          <w:p w14:paraId="6DFCA8F1" w14:textId="77777777" w:rsidR="007C0087" w:rsidRPr="00340D05" w:rsidRDefault="007C0087" w:rsidP="00C25FAB">
            <w:pPr>
              <w:pStyle w:val="UtilComTabletext"/>
            </w:pPr>
            <w:r w:rsidRPr="00664AEB">
              <w:t>Land and easements</w:t>
            </w:r>
          </w:p>
        </w:tc>
        <w:tc>
          <w:tcPr>
            <w:tcW w:w="1985" w:type="dxa"/>
            <w:tcBorders>
              <w:top w:val="single" w:sz="4" w:space="0" w:color="999999"/>
            </w:tcBorders>
          </w:tcPr>
          <w:p w14:paraId="10EA0F6D" w14:textId="77777777" w:rsidR="007C0087" w:rsidRDefault="007C0087" w:rsidP="00C25FAB">
            <w:pPr>
              <w:pStyle w:val="UtilComTabletext"/>
              <w:jc w:val="center"/>
            </w:pPr>
            <w:r w:rsidRPr="008337CB">
              <w:t>n/a</w:t>
            </w:r>
          </w:p>
        </w:tc>
        <w:tc>
          <w:tcPr>
            <w:tcW w:w="1985" w:type="dxa"/>
            <w:tcBorders>
              <w:top w:val="single" w:sz="4" w:space="0" w:color="999999"/>
            </w:tcBorders>
          </w:tcPr>
          <w:p w14:paraId="7E5E9565" w14:textId="77777777" w:rsidR="007C0087" w:rsidRDefault="007C0087" w:rsidP="00C25FAB">
            <w:pPr>
              <w:pStyle w:val="UtilComTabletext"/>
              <w:jc w:val="center"/>
            </w:pPr>
            <w:r w:rsidRPr="002C331E">
              <w:t>n/a</w:t>
            </w:r>
          </w:p>
        </w:tc>
      </w:tr>
      <w:tr w:rsidR="007C0087" w:rsidRPr="008A4655" w14:paraId="7CE11CF8" w14:textId="77777777" w:rsidTr="007C0087">
        <w:trPr>
          <w:trHeight w:val="360"/>
        </w:trPr>
        <w:tc>
          <w:tcPr>
            <w:tcW w:w="5245" w:type="dxa"/>
            <w:tcBorders>
              <w:top w:val="single" w:sz="4" w:space="0" w:color="999999"/>
            </w:tcBorders>
          </w:tcPr>
          <w:p w14:paraId="59C2CDD6" w14:textId="77777777" w:rsidR="007C0087" w:rsidRPr="00340D05" w:rsidRDefault="007C0087" w:rsidP="00C25FAB">
            <w:pPr>
              <w:pStyle w:val="UtilComTabletext"/>
            </w:pPr>
            <w:r w:rsidRPr="00664AEB">
              <w:t>Secondary systems - Control, communications &amp; Protection</w:t>
            </w:r>
          </w:p>
        </w:tc>
        <w:tc>
          <w:tcPr>
            <w:tcW w:w="1985" w:type="dxa"/>
            <w:tcBorders>
              <w:top w:val="single" w:sz="4" w:space="0" w:color="999999"/>
            </w:tcBorders>
          </w:tcPr>
          <w:p w14:paraId="215F6482" w14:textId="77777777" w:rsidR="007C0087" w:rsidRDefault="007C0087" w:rsidP="00C25FAB">
            <w:pPr>
              <w:pStyle w:val="UtilComTabletext"/>
              <w:jc w:val="center"/>
            </w:pPr>
            <w:r w:rsidRPr="008337CB">
              <w:t>13.4</w:t>
            </w:r>
          </w:p>
        </w:tc>
        <w:tc>
          <w:tcPr>
            <w:tcW w:w="1985" w:type="dxa"/>
            <w:tcBorders>
              <w:top w:val="single" w:sz="4" w:space="0" w:color="999999"/>
            </w:tcBorders>
          </w:tcPr>
          <w:p w14:paraId="639F99EE" w14:textId="77777777" w:rsidR="007C0087" w:rsidRDefault="007C0087" w:rsidP="00C25FAB">
            <w:pPr>
              <w:pStyle w:val="UtilComTabletext"/>
              <w:jc w:val="center"/>
            </w:pPr>
            <w:r w:rsidRPr="002C331E">
              <w:t>2.0</w:t>
            </w:r>
          </w:p>
        </w:tc>
      </w:tr>
      <w:tr w:rsidR="007C0087" w:rsidRPr="008A4655" w14:paraId="60779488" w14:textId="77777777" w:rsidTr="007C0087">
        <w:trPr>
          <w:trHeight w:val="360"/>
        </w:trPr>
        <w:tc>
          <w:tcPr>
            <w:tcW w:w="5245" w:type="dxa"/>
            <w:tcBorders>
              <w:top w:val="single" w:sz="4" w:space="0" w:color="999999"/>
            </w:tcBorders>
          </w:tcPr>
          <w:p w14:paraId="63214A4E" w14:textId="77777777" w:rsidR="007C0087" w:rsidRPr="00340D05" w:rsidRDefault="007C0087" w:rsidP="00C25FAB">
            <w:pPr>
              <w:pStyle w:val="UtilComTabletext"/>
            </w:pPr>
            <w:r w:rsidRPr="00664AEB">
              <w:t>Other</w:t>
            </w:r>
          </w:p>
        </w:tc>
        <w:tc>
          <w:tcPr>
            <w:tcW w:w="1985" w:type="dxa"/>
            <w:tcBorders>
              <w:top w:val="single" w:sz="4" w:space="0" w:color="999999"/>
            </w:tcBorders>
          </w:tcPr>
          <w:p w14:paraId="0F2C880D" w14:textId="77777777" w:rsidR="007C0087" w:rsidRDefault="007C0087" w:rsidP="00C25FAB">
            <w:pPr>
              <w:pStyle w:val="UtilComTabletext"/>
              <w:jc w:val="center"/>
            </w:pPr>
            <w:r w:rsidRPr="008337CB">
              <w:t>5.0</w:t>
            </w:r>
          </w:p>
        </w:tc>
        <w:tc>
          <w:tcPr>
            <w:tcW w:w="1985" w:type="dxa"/>
            <w:tcBorders>
              <w:top w:val="single" w:sz="4" w:space="0" w:color="999999"/>
            </w:tcBorders>
          </w:tcPr>
          <w:p w14:paraId="3A6C1BE9" w14:textId="77777777" w:rsidR="007C0087" w:rsidRDefault="007C0087" w:rsidP="00C25FAB">
            <w:pPr>
              <w:pStyle w:val="UtilComTabletext"/>
              <w:jc w:val="center"/>
            </w:pPr>
            <w:r w:rsidRPr="002C331E">
              <w:t>3.0</w:t>
            </w:r>
          </w:p>
        </w:tc>
      </w:tr>
      <w:tr w:rsidR="007C0087" w:rsidRPr="008A4655" w14:paraId="2896621A" w14:textId="77777777" w:rsidTr="007C0087">
        <w:trPr>
          <w:trHeight w:val="360"/>
        </w:trPr>
        <w:tc>
          <w:tcPr>
            <w:tcW w:w="5245" w:type="dxa"/>
            <w:tcBorders>
              <w:top w:val="single" w:sz="4" w:space="0" w:color="999999"/>
            </w:tcBorders>
          </w:tcPr>
          <w:p w14:paraId="668A0BE8" w14:textId="77777777" w:rsidR="007C0087" w:rsidRPr="007C0087" w:rsidRDefault="007C0087" w:rsidP="00C25FAB">
            <w:pPr>
              <w:pStyle w:val="UtilComTabletext"/>
              <w:rPr>
                <w:i/>
              </w:rPr>
            </w:pPr>
            <w:r w:rsidRPr="007C0087">
              <w:rPr>
                <w:i/>
              </w:rPr>
              <w:t>Non-System Capex</w:t>
            </w:r>
          </w:p>
        </w:tc>
        <w:tc>
          <w:tcPr>
            <w:tcW w:w="1985" w:type="dxa"/>
            <w:tcBorders>
              <w:top w:val="single" w:sz="4" w:space="0" w:color="999999"/>
            </w:tcBorders>
          </w:tcPr>
          <w:p w14:paraId="58F7AFB4" w14:textId="77777777" w:rsidR="007C0087" w:rsidRDefault="007C0087" w:rsidP="00C25FAB">
            <w:pPr>
              <w:pStyle w:val="UtilComTabletext"/>
              <w:jc w:val="center"/>
            </w:pPr>
          </w:p>
        </w:tc>
        <w:tc>
          <w:tcPr>
            <w:tcW w:w="1985" w:type="dxa"/>
            <w:tcBorders>
              <w:top w:val="single" w:sz="4" w:space="0" w:color="999999"/>
            </w:tcBorders>
          </w:tcPr>
          <w:p w14:paraId="311C5FDD" w14:textId="77777777" w:rsidR="007C0087" w:rsidRDefault="007C0087" w:rsidP="00C25FAB">
            <w:pPr>
              <w:pStyle w:val="UtilComTabletext"/>
              <w:jc w:val="center"/>
            </w:pPr>
          </w:p>
        </w:tc>
      </w:tr>
      <w:tr w:rsidR="007C0087" w:rsidRPr="008A4655" w14:paraId="1CDFB695" w14:textId="77777777" w:rsidTr="007C0087">
        <w:trPr>
          <w:trHeight w:val="360"/>
        </w:trPr>
        <w:tc>
          <w:tcPr>
            <w:tcW w:w="5245" w:type="dxa"/>
            <w:tcBorders>
              <w:top w:val="single" w:sz="4" w:space="0" w:color="999999"/>
            </w:tcBorders>
          </w:tcPr>
          <w:p w14:paraId="2C3E377E" w14:textId="77777777" w:rsidR="007C0087" w:rsidRPr="00340D05" w:rsidRDefault="007C0087" w:rsidP="00C25FAB">
            <w:pPr>
              <w:pStyle w:val="UtilComTabletext"/>
            </w:pPr>
            <w:r w:rsidRPr="00664AEB">
              <w:t>Non-network—IT and Communications Capex</w:t>
            </w:r>
          </w:p>
        </w:tc>
        <w:tc>
          <w:tcPr>
            <w:tcW w:w="1985" w:type="dxa"/>
            <w:tcBorders>
              <w:top w:val="single" w:sz="4" w:space="0" w:color="999999"/>
            </w:tcBorders>
          </w:tcPr>
          <w:p w14:paraId="69E3B184" w14:textId="77777777" w:rsidR="007C0087" w:rsidRDefault="007C0087" w:rsidP="00C25FAB">
            <w:pPr>
              <w:pStyle w:val="UtilComTabletext"/>
              <w:jc w:val="center"/>
            </w:pPr>
            <w:r w:rsidRPr="008337CB">
              <w:t>11.8</w:t>
            </w:r>
          </w:p>
        </w:tc>
        <w:tc>
          <w:tcPr>
            <w:tcW w:w="1985" w:type="dxa"/>
            <w:tcBorders>
              <w:top w:val="single" w:sz="4" w:space="0" w:color="999999"/>
            </w:tcBorders>
          </w:tcPr>
          <w:p w14:paraId="5F1DFF80" w14:textId="77777777" w:rsidR="007C0087" w:rsidRDefault="007C0087" w:rsidP="00C25FAB">
            <w:pPr>
              <w:pStyle w:val="UtilComTabletext"/>
              <w:jc w:val="center"/>
            </w:pPr>
            <w:r w:rsidRPr="002C331E">
              <w:t>6.4</w:t>
            </w:r>
          </w:p>
        </w:tc>
      </w:tr>
      <w:tr w:rsidR="007C0087" w:rsidRPr="008A4655" w14:paraId="517D6313" w14:textId="77777777" w:rsidTr="007C0087">
        <w:trPr>
          <w:trHeight w:val="360"/>
        </w:trPr>
        <w:tc>
          <w:tcPr>
            <w:tcW w:w="5245" w:type="dxa"/>
            <w:tcBorders>
              <w:top w:val="single" w:sz="4" w:space="0" w:color="999999"/>
            </w:tcBorders>
          </w:tcPr>
          <w:p w14:paraId="4D6C26E1" w14:textId="77777777" w:rsidR="007C0087" w:rsidRPr="00340D05" w:rsidRDefault="007C0087" w:rsidP="00C25FAB">
            <w:pPr>
              <w:pStyle w:val="UtilComTabletext"/>
            </w:pPr>
            <w:r w:rsidRPr="00664AEB">
              <w:t>Non-network—Motor Vehicles Capex</w:t>
            </w:r>
          </w:p>
        </w:tc>
        <w:tc>
          <w:tcPr>
            <w:tcW w:w="1985" w:type="dxa"/>
            <w:tcBorders>
              <w:top w:val="single" w:sz="4" w:space="0" w:color="999999"/>
            </w:tcBorders>
          </w:tcPr>
          <w:p w14:paraId="491C5AC8" w14:textId="77777777" w:rsidR="007C0087" w:rsidRDefault="007C0087" w:rsidP="00C25FAB">
            <w:pPr>
              <w:pStyle w:val="UtilComTabletext"/>
              <w:jc w:val="center"/>
            </w:pPr>
            <w:r>
              <w:t>5.0</w:t>
            </w:r>
          </w:p>
        </w:tc>
        <w:tc>
          <w:tcPr>
            <w:tcW w:w="1985" w:type="dxa"/>
            <w:tcBorders>
              <w:top w:val="single" w:sz="4" w:space="0" w:color="999999"/>
            </w:tcBorders>
          </w:tcPr>
          <w:p w14:paraId="5FD38AB6" w14:textId="77777777" w:rsidR="007C0087" w:rsidRDefault="007C0087" w:rsidP="00C25FAB">
            <w:pPr>
              <w:pStyle w:val="UtilComTabletext"/>
              <w:jc w:val="center"/>
            </w:pPr>
            <w:r>
              <w:t>0.0</w:t>
            </w:r>
          </w:p>
        </w:tc>
      </w:tr>
      <w:tr w:rsidR="007C0087" w:rsidRPr="008A4655" w14:paraId="2FF493D1" w14:textId="77777777" w:rsidTr="007C0087">
        <w:trPr>
          <w:trHeight w:val="360"/>
        </w:trPr>
        <w:tc>
          <w:tcPr>
            <w:tcW w:w="5245" w:type="dxa"/>
            <w:tcBorders>
              <w:top w:val="single" w:sz="4" w:space="0" w:color="999999"/>
            </w:tcBorders>
          </w:tcPr>
          <w:p w14:paraId="524EAC83" w14:textId="77777777" w:rsidR="007C0087" w:rsidRPr="00340D05" w:rsidRDefault="007C0087" w:rsidP="00C25FAB">
            <w:pPr>
              <w:pStyle w:val="UtilComTabletext"/>
            </w:pPr>
            <w:r w:rsidRPr="00664AEB">
              <w:t>Non-network—Property Capex</w:t>
            </w:r>
          </w:p>
        </w:tc>
        <w:tc>
          <w:tcPr>
            <w:tcW w:w="1985" w:type="dxa"/>
            <w:tcBorders>
              <w:top w:val="single" w:sz="4" w:space="0" w:color="999999"/>
            </w:tcBorders>
          </w:tcPr>
          <w:p w14:paraId="2F3D0AE9" w14:textId="77777777" w:rsidR="007C0087" w:rsidRDefault="007C0087" w:rsidP="00C25FAB">
            <w:pPr>
              <w:pStyle w:val="UtilComTabletext"/>
              <w:jc w:val="center"/>
            </w:pPr>
            <w:r>
              <w:t>5.0</w:t>
            </w:r>
          </w:p>
        </w:tc>
        <w:tc>
          <w:tcPr>
            <w:tcW w:w="1985" w:type="dxa"/>
            <w:tcBorders>
              <w:top w:val="single" w:sz="4" w:space="0" w:color="999999"/>
            </w:tcBorders>
          </w:tcPr>
          <w:p w14:paraId="53D86702" w14:textId="77777777" w:rsidR="007C0087" w:rsidRDefault="007C0087" w:rsidP="00C25FAB">
            <w:pPr>
              <w:pStyle w:val="UtilComTabletext"/>
              <w:jc w:val="center"/>
            </w:pPr>
            <w:r>
              <w:t>0.0</w:t>
            </w:r>
          </w:p>
        </w:tc>
      </w:tr>
      <w:tr w:rsidR="007C0087" w:rsidRPr="008A4655" w14:paraId="0709BA27" w14:textId="77777777" w:rsidTr="007C0087">
        <w:trPr>
          <w:trHeight w:val="360"/>
        </w:trPr>
        <w:tc>
          <w:tcPr>
            <w:tcW w:w="5245" w:type="dxa"/>
            <w:tcBorders>
              <w:top w:val="single" w:sz="4" w:space="0" w:color="999999"/>
            </w:tcBorders>
          </w:tcPr>
          <w:p w14:paraId="54D77578" w14:textId="77777777" w:rsidR="007C0087" w:rsidRPr="00340D05" w:rsidRDefault="007C0087" w:rsidP="00C25FAB">
            <w:pPr>
              <w:pStyle w:val="UtilComTabletext"/>
            </w:pPr>
            <w:r w:rsidRPr="00664AEB">
              <w:t>Non-network—Plant &amp; Equipment Capex</w:t>
            </w:r>
          </w:p>
        </w:tc>
        <w:tc>
          <w:tcPr>
            <w:tcW w:w="1985" w:type="dxa"/>
            <w:tcBorders>
              <w:top w:val="single" w:sz="4" w:space="0" w:color="999999"/>
            </w:tcBorders>
          </w:tcPr>
          <w:p w14:paraId="68C24D70" w14:textId="77777777" w:rsidR="007C0087" w:rsidRDefault="007C0087" w:rsidP="00C25FAB">
            <w:pPr>
              <w:pStyle w:val="UtilComTabletext"/>
              <w:jc w:val="center"/>
            </w:pPr>
            <w:r w:rsidRPr="008337CB">
              <w:t>14.3</w:t>
            </w:r>
          </w:p>
        </w:tc>
        <w:tc>
          <w:tcPr>
            <w:tcW w:w="1985" w:type="dxa"/>
            <w:tcBorders>
              <w:top w:val="single" w:sz="4" w:space="0" w:color="999999"/>
            </w:tcBorders>
          </w:tcPr>
          <w:p w14:paraId="0121C185" w14:textId="77777777" w:rsidR="007C0087" w:rsidRDefault="007C0087" w:rsidP="00C25FAB">
            <w:pPr>
              <w:pStyle w:val="UtilComTabletext"/>
              <w:jc w:val="center"/>
            </w:pPr>
            <w:r w:rsidRPr="002C331E">
              <w:t>9.6</w:t>
            </w:r>
          </w:p>
        </w:tc>
      </w:tr>
      <w:tr w:rsidR="007C0087" w:rsidRPr="00781CC8" w14:paraId="163114C5" w14:textId="77777777" w:rsidTr="007C0087">
        <w:trPr>
          <w:trHeight w:val="360"/>
        </w:trPr>
        <w:tc>
          <w:tcPr>
            <w:tcW w:w="5245" w:type="dxa"/>
            <w:tcBorders>
              <w:top w:val="single" w:sz="4" w:space="0" w:color="999999"/>
              <w:bottom w:val="single" w:sz="4" w:space="0" w:color="auto"/>
            </w:tcBorders>
            <w:vAlign w:val="center"/>
          </w:tcPr>
          <w:p w14:paraId="1B370B71" w14:textId="77777777" w:rsidR="007C0087" w:rsidRPr="00781CC8" w:rsidRDefault="007C0087" w:rsidP="00C25FAB">
            <w:pPr>
              <w:pStyle w:val="UtilComTabletext"/>
              <w:rPr>
                <w:b/>
              </w:rPr>
            </w:pPr>
            <w:r w:rsidRPr="00664AEB">
              <w:t>Non-network—Other capex</w:t>
            </w:r>
          </w:p>
        </w:tc>
        <w:tc>
          <w:tcPr>
            <w:tcW w:w="1985" w:type="dxa"/>
            <w:tcBorders>
              <w:top w:val="single" w:sz="4" w:space="0" w:color="999999"/>
              <w:bottom w:val="single" w:sz="4" w:space="0" w:color="auto"/>
            </w:tcBorders>
          </w:tcPr>
          <w:p w14:paraId="29BE9F8B" w14:textId="77777777" w:rsidR="007C0087" w:rsidRPr="00781CC8" w:rsidRDefault="007C0087" w:rsidP="00C25FAB">
            <w:pPr>
              <w:pStyle w:val="UtilComTabletext"/>
              <w:jc w:val="center"/>
              <w:rPr>
                <w:b/>
              </w:rPr>
            </w:pPr>
            <w:r w:rsidRPr="008337CB">
              <w:t>5.0</w:t>
            </w:r>
          </w:p>
        </w:tc>
        <w:tc>
          <w:tcPr>
            <w:tcW w:w="1985" w:type="dxa"/>
            <w:tcBorders>
              <w:top w:val="single" w:sz="4" w:space="0" w:color="999999"/>
              <w:bottom w:val="single" w:sz="4" w:space="0" w:color="auto"/>
            </w:tcBorders>
          </w:tcPr>
          <w:p w14:paraId="10FB5D25" w14:textId="77777777" w:rsidR="007C0087" w:rsidRDefault="007C0087" w:rsidP="00C25FAB">
            <w:pPr>
              <w:pStyle w:val="UtilComTabletext"/>
              <w:jc w:val="center"/>
              <w:rPr>
                <w:b/>
              </w:rPr>
            </w:pPr>
            <w:r w:rsidRPr="002C331E">
              <w:t>3.0</w:t>
            </w:r>
          </w:p>
        </w:tc>
      </w:tr>
    </w:tbl>
    <w:p w14:paraId="73F68DDC" w14:textId="77777777" w:rsidR="00E82B48" w:rsidRDefault="00E82B48" w:rsidP="00E82B48">
      <w:pPr>
        <w:pStyle w:val="UtilComReferenceSource"/>
        <w:spacing w:after="0"/>
        <w:ind w:left="142"/>
      </w:pPr>
      <w:r>
        <w:rPr>
          <w:lang w:val="en-AU"/>
        </w:rPr>
        <w:t>Source: Utilities Commission</w:t>
      </w:r>
    </w:p>
    <w:p w14:paraId="54AD33A2" w14:textId="77777777" w:rsidR="00E82B48" w:rsidRDefault="00E82B48" w:rsidP="00E82B48">
      <w:pPr>
        <w:pStyle w:val="NumberLevel2"/>
        <w:tabs>
          <w:tab w:val="clear" w:pos="576"/>
          <w:tab w:val="left" w:pos="709"/>
        </w:tabs>
        <w:ind w:left="0" w:firstLine="0"/>
        <w:rPr>
          <w:lang w:val="en-AU"/>
        </w:rPr>
      </w:pPr>
    </w:p>
    <w:p w14:paraId="13A2B5EE" w14:textId="4ED5263F" w:rsidR="00615637" w:rsidRDefault="00615637" w:rsidP="00615637">
      <w:pPr>
        <w:pStyle w:val="NumberLevel2"/>
        <w:numPr>
          <w:ilvl w:val="1"/>
          <w:numId w:val="5"/>
        </w:numPr>
        <w:tabs>
          <w:tab w:val="clear" w:pos="3270"/>
          <w:tab w:val="left" w:pos="709"/>
        </w:tabs>
        <w:ind w:left="709" w:hanging="709"/>
        <w:rPr>
          <w:lang w:val="en-AU"/>
        </w:rPr>
      </w:pPr>
      <w:r w:rsidRPr="0073149C">
        <w:rPr>
          <w:lang w:val="en-AU"/>
        </w:rPr>
        <w:t xml:space="preserve">On the basis of the </w:t>
      </w:r>
      <w:r>
        <w:rPr>
          <w:lang w:val="en-AU"/>
        </w:rPr>
        <w:t>Commission</w:t>
      </w:r>
      <w:r w:rsidRPr="0073149C">
        <w:rPr>
          <w:lang w:val="en-AU"/>
        </w:rPr>
        <w:t xml:space="preserve">’s approved asset lives, opening RAB, and forecast capex, the </w:t>
      </w:r>
      <w:r>
        <w:rPr>
          <w:lang w:val="en-AU"/>
        </w:rPr>
        <w:t>Commission</w:t>
      </w:r>
      <w:r w:rsidRPr="0073149C">
        <w:rPr>
          <w:lang w:val="en-AU"/>
        </w:rPr>
        <w:t xml:space="preserve"> has determined </w:t>
      </w:r>
      <w:r>
        <w:rPr>
          <w:lang w:val="en-AU"/>
        </w:rPr>
        <w:t>PWC Networks’</w:t>
      </w:r>
      <w:r w:rsidRPr="0073149C">
        <w:rPr>
          <w:lang w:val="en-AU"/>
        </w:rPr>
        <w:t xml:space="preserve"> regulatory depreciation allowances for the </w:t>
      </w:r>
      <w:r w:rsidR="007669D5">
        <w:rPr>
          <w:lang w:val="en-AU"/>
        </w:rPr>
        <w:t>2014-19</w:t>
      </w:r>
      <w:r w:rsidR="007669D5" w:rsidRPr="0073149C">
        <w:rPr>
          <w:lang w:val="en-AU"/>
        </w:rPr>
        <w:t xml:space="preserve"> </w:t>
      </w:r>
      <w:r w:rsidRPr="0073149C">
        <w:rPr>
          <w:lang w:val="en-AU"/>
        </w:rPr>
        <w:t xml:space="preserve">regulatory control period </w:t>
      </w:r>
      <w:r w:rsidR="009D4634">
        <w:rPr>
          <w:lang w:val="en-AU"/>
        </w:rPr>
        <w:t xml:space="preserve">are </w:t>
      </w:r>
      <w:r w:rsidRPr="0073149C">
        <w:rPr>
          <w:lang w:val="en-AU"/>
        </w:rPr>
        <w:t xml:space="preserve">as set out in </w:t>
      </w:r>
      <w:r>
        <w:rPr>
          <w:lang w:val="en-AU"/>
        </w:rPr>
        <w:t>T</w:t>
      </w:r>
      <w:r w:rsidRPr="0073149C">
        <w:rPr>
          <w:lang w:val="en-AU"/>
        </w:rPr>
        <w:t>able 1</w:t>
      </w:r>
      <w:r>
        <w:rPr>
          <w:lang w:val="en-AU"/>
        </w:rPr>
        <w:t>1</w:t>
      </w:r>
      <w:r w:rsidRPr="0073149C">
        <w:rPr>
          <w:lang w:val="en-AU"/>
        </w:rPr>
        <w:t>.</w:t>
      </w:r>
      <w:r w:rsidR="00AF25B5">
        <w:rPr>
          <w:lang w:val="en-AU"/>
        </w:rPr>
        <w:t>4</w:t>
      </w:r>
      <w:r w:rsidRPr="0073149C">
        <w:rPr>
          <w:lang w:val="en-AU"/>
        </w:rPr>
        <w:t>.</w:t>
      </w:r>
    </w:p>
    <w:p w14:paraId="642A2A66" w14:textId="39130E23" w:rsidR="00615637" w:rsidRPr="00A139AD" w:rsidRDefault="00615637" w:rsidP="00615637">
      <w:pPr>
        <w:pStyle w:val="UtilComTableTitle"/>
        <w:keepNext/>
        <w:spacing w:before="120" w:after="0" w:line="240" w:lineRule="exact"/>
      </w:pPr>
      <w:r>
        <w:t>Table 11.</w:t>
      </w:r>
      <w:r w:rsidR="003D1BBE">
        <w:t>4</w:t>
      </w:r>
      <w:r>
        <w:t xml:space="preserve"> Commission conclusion on</w:t>
      </w:r>
      <w:r w:rsidRPr="00184F77">
        <w:t xml:space="preserve"> regulatory depreciation allowances ($</w:t>
      </w:r>
      <w:r>
        <w:t>M</w:t>
      </w:r>
      <w:r w:rsidRPr="00184F77">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10"/>
        <w:gridCol w:w="1134"/>
        <w:gridCol w:w="1134"/>
        <w:gridCol w:w="1134"/>
        <w:gridCol w:w="1134"/>
        <w:gridCol w:w="1134"/>
        <w:gridCol w:w="1134"/>
      </w:tblGrid>
      <w:tr w:rsidR="00615637" w:rsidRPr="008A4655" w14:paraId="5798106E" w14:textId="77777777" w:rsidTr="00C25FAB">
        <w:trPr>
          <w:cantSplit/>
          <w:trHeight w:val="360"/>
        </w:trPr>
        <w:tc>
          <w:tcPr>
            <w:tcW w:w="2410" w:type="dxa"/>
            <w:tcBorders>
              <w:top w:val="single" w:sz="4" w:space="0" w:color="999999"/>
              <w:bottom w:val="single" w:sz="4" w:space="0" w:color="auto"/>
            </w:tcBorders>
            <w:vAlign w:val="bottom"/>
          </w:tcPr>
          <w:p w14:paraId="40A97B13" w14:textId="77777777" w:rsidR="00615637" w:rsidRPr="00EE5A08" w:rsidRDefault="00615637" w:rsidP="00C25FAB">
            <w:pPr>
              <w:pStyle w:val="UtilComTabletext"/>
              <w:rPr>
                <w:b/>
              </w:rPr>
            </w:pPr>
          </w:p>
        </w:tc>
        <w:tc>
          <w:tcPr>
            <w:tcW w:w="1134" w:type="dxa"/>
            <w:tcBorders>
              <w:top w:val="single" w:sz="4" w:space="0" w:color="999999"/>
              <w:bottom w:val="single" w:sz="4" w:space="0" w:color="auto"/>
            </w:tcBorders>
            <w:vAlign w:val="bottom"/>
          </w:tcPr>
          <w:p w14:paraId="40E35095" w14:textId="77777777" w:rsidR="00615637" w:rsidRPr="00EE5A08" w:rsidRDefault="00615637" w:rsidP="00C25FAB">
            <w:pPr>
              <w:pStyle w:val="UtilComTabletext"/>
              <w:jc w:val="right"/>
              <w:rPr>
                <w:b/>
              </w:rPr>
            </w:pPr>
            <w:r>
              <w:rPr>
                <w:b/>
              </w:rPr>
              <w:t>2014-15</w:t>
            </w:r>
          </w:p>
        </w:tc>
        <w:tc>
          <w:tcPr>
            <w:tcW w:w="1134" w:type="dxa"/>
            <w:tcBorders>
              <w:top w:val="single" w:sz="4" w:space="0" w:color="999999"/>
              <w:bottom w:val="single" w:sz="4" w:space="0" w:color="auto"/>
            </w:tcBorders>
            <w:vAlign w:val="bottom"/>
          </w:tcPr>
          <w:p w14:paraId="6B97454F" w14:textId="77777777" w:rsidR="00615637" w:rsidRPr="00EE5A08" w:rsidRDefault="00615637" w:rsidP="00C25FAB">
            <w:pPr>
              <w:pStyle w:val="UtilComTabletext"/>
              <w:jc w:val="right"/>
              <w:rPr>
                <w:b/>
              </w:rPr>
            </w:pPr>
            <w:r>
              <w:rPr>
                <w:b/>
              </w:rPr>
              <w:t>2015-16</w:t>
            </w:r>
          </w:p>
        </w:tc>
        <w:tc>
          <w:tcPr>
            <w:tcW w:w="1134" w:type="dxa"/>
            <w:tcBorders>
              <w:top w:val="single" w:sz="4" w:space="0" w:color="999999"/>
              <w:bottom w:val="single" w:sz="4" w:space="0" w:color="auto"/>
            </w:tcBorders>
            <w:vAlign w:val="bottom"/>
          </w:tcPr>
          <w:p w14:paraId="254AD818" w14:textId="77777777" w:rsidR="00615637" w:rsidRDefault="00615637" w:rsidP="00C25FAB">
            <w:pPr>
              <w:pStyle w:val="UtilComTabletext"/>
              <w:jc w:val="right"/>
              <w:rPr>
                <w:b/>
              </w:rPr>
            </w:pPr>
            <w:r>
              <w:rPr>
                <w:b/>
              </w:rPr>
              <w:t>2016-17</w:t>
            </w:r>
          </w:p>
        </w:tc>
        <w:tc>
          <w:tcPr>
            <w:tcW w:w="1134" w:type="dxa"/>
            <w:tcBorders>
              <w:top w:val="single" w:sz="4" w:space="0" w:color="999999"/>
              <w:bottom w:val="single" w:sz="4" w:space="0" w:color="auto"/>
            </w:tcBorders>
            <w:vAlign w:val="bottom"/>
          </w:tcPr>
          <w:p w14:paraId="4350D5E1" w14:textId="77777777" w:rsidR="00615637" w:rsidRDefault="00615637" w:rsidP="00C25FAB">
            <w:pPr>
              <w:pStyle w:val="UtilComTabletext"/>
              <w:jc w:val="right"/>
              <w:rPr>
                <w:b/>
              </w:rPr>
            </w:pPr>
            <w:r>
              <w:rPr>
                <w:b/>
              </w:rPr>
              <w:t>2017-18</w:t>
            </w:r>
          </w:p>
        </w:tc>
        <w:tc>
          <w:tcPr>
            <w:tcW w:w="1134" w:type="dxa"/>
            <w:tcBorders>
              <w:top w:val="single" w:sz="4" w:space="0" w:color="999999"/>
              <w:bottom w:val="single" w:sz="4" w:space="0" w:color="auto"/>
            </w:tcBorders>
            <w:vAlign w:val="bottom"/>
          </w:tcPr>
          <w:p w14:paraId="0F29E551" w14:textId="77777777" w:rsidR="00615637" w:rsidRPr="00EE5A08" w:rsidRDefault="00615637" w:rsidP="00C25FAB">
            <w:pPr>
              <w:pStyle w:val="UtilComTabletext"/>
              <w:jc w:val="right"/>
              <w:rPr>
                <w:b/>
              </w:rPr>
            </w:pPr>
            <w:r>
              <w:rPr>
                <w:b/>
              </w:rPr>
              <w:t>2018-19</w:t>
            </w:r>
          </w:p>
        </w:tc>
        <w:tc>
          <w:tcPr>
            <w:tcW w:w="1134" w:type="dxa"/>
            <w:tcBorders>
              <w:top w:val="single" w:sz="4" w:space="0" w:color="999999"/>
              <w:bottom w:val="single" w:sz="4" w:space="0" w:color="auto"/>
            </w:tcBorders>
            <w:vAlign w:val="bottom"/>
          </w:tcPr>
          <w:p w14:paraId="554F2054" w14:textId="77777777" w:rsidR="00615637" w:rsidRPr="00EE5A08" w:rsidRDefault="00615637" w:rsidP="00C25FAB">
            <w:pPr>
              <w:pStyle w:val="UtilComTabletext"/>
              <w:jc w:val="right"/>
              <w:rPr>
                <w:b/>
              </w:rPr>
            </w:pPr>
            <w:r>
              <w:rPr>
                <w:b/>
              </w:rPr>
              <w:t>Total</w:t>
            </w:r>
          </w:p>
        </w:tc>
      </w:tr>
      <w:tr w:rsidR="00615637" w:rsidRPr="008A4655" w14:paraId="1F79BB74" w14:textId="77777777" w:rsidTr="00C25FAB">
        <w:trPr>
          <w:cantSplit/>
          <w:trHeight w:val="360"/>
        </w:trPr>
        <w:tc>
          <w:tcPr>
            <w:tcW w:w="2410" w:type="dxa"/>
            <w:tcBorders>
              <w:bottom w:val="single" w:sz="4" w:space="0" w:color="000000"/>
            </w:tcBorders>
          </w:tcPr>
          <w:p w14:paraId="7FBB2499" w14:textId="77777777" w:rsidR="00615637" w:rsidRPr="009D4634" w:rsidRDefault="00615637" w:rsidP="00C25FAB">
            <w:pPr>
              <w:pStyle w:val="UtilComTabletext"/>
            </w:pPr>
            <w:r w:rsidRPr="009D4634">
              <w:t>Depreciation (DORC)</w:t>
            </w:r>
          </w:p>
        </w:tc>
        <w:tc>
          <w:tcPr>
            <w:tcW w:w="1134" w:type="dxa"/>
            <w:tcBorders>
              <w:bottom w:val="single" w:sz="4" w:space="0" w:color="000000"/>
            </w:tcBorders>
          </w:tcPr>
          <w:p w14:paraId="4977FD37" w14:textId="77777777" w:rsidR="00615637" w:rsidRPr="009D4634" w:rsidRDefault="00590E06" w:rsidP="00C25FAB">
            <w:pPr>
              <w:pStyle w:val="UtilComTabletext"/>
              <w:tabs>
                <w:tab w:val="num" w:pos="522"/>
                <w:tab w:val="left" w:pos="993"/>
              </w:tabs>
              <w:ind w:left="522" w:hanging="450"/>
              <w:jc w:val="right"/>
            </w:pPr>
            <w:r w:rsidRPr="009D4634">
              <w:t>27.78</w:t>
            </w:r>
          </w:p>
        </w:tc>
        <w:tc>
          <w:tcPr>
            <w:tcW w:w="1134" w:type="dxa"/>
            <w:tcBorders>
              <w:bottom w:val="single" w:sz="4" w:space="0" w:color="000000"/>
            </w:tcBorders>
          </w:tcPr>
          <w:p w14:paraId="1B39F595" w14:textId="1F67E54D" w:rsidR="00615637" w:rsidRPr="009D4634" w:rsidRDefault="00590E06" w:rsidP="009D4634">
            <w:pPr>
              <w:pStyle w:val="UtilComTabletext"/>
              <w:tabs>
                <w:tab w:val="num" w:pos="522"/>
                <w:tab w:val="left" w:pos="993"/>
              </w:tabs>
              <w:ind w:left="522" w:hanging="450"/>
              <w:jc w:val="right"/>
            </w:pPr>
            <w:r w:rsidRPr="009D4634">
              <w:t>30.</w:t>
            </w:r>
            <w:r w:rsidR="009D4634">
              <w:t>46</w:t>
            </w:r>
          </w:p>
        </w:tc>
        <w:tc>
          <w:tcPr>
            <w:tcW w:w="1134" w:type="dxa"/>
            <w:tcBorders>
              <w:bottom w:val="single" w:sz="4" w:space="0" w:color="000000"/>
            </w:tcBorders>
          </w:tcPr>
          <w:p w14:paraId="198F1D5D" w14:textId="6FD4818D" w:rsidR="00615637" w:rsidRPr="009D4634" w:rsidRDefault="00590E06" w:rsidP="009D4634">
            <w:pPr>
              <w:pStyle w:val="UtilComTabletext"/>
              <w:tabs>
                <w:tab w:val="num" w:pos="522"/>
                <w:tab w:val="left" w:pos="993"/>
              </w:tabs>
              <w:ind w:left="522" w:hanging="450"/>
              <w:jc w:val="right"/>
            </w:pPr>
            <w:r w:rsidRPr="009D4634">
              <w:t>26.</w:t>
            </w:r>
            <w:r w:rsidR="009D4634">
              <w:t>52</w:t>
            </w:r>
          </w:p>
        </w:tc>
        <w:tc>
          <w:tcPr>
            <w:tcW w:w="1134" w:type="dxa"/>
            <w:tcBorders>
              <w:bottom w:val="single" w:sz="4" w:space="0" w:color="000000"/>
            </w:tcBorders>
          </w:tcPr>
          <w:p w14:paraId="22663029" w14:textId="467B0279" w:rsidR="00615637" w:rsidRPr="009D4634" w:rsidRDefault="00590E06" w:rsidP="009D4634">
            <w:pPr>
              <w:pStyle w:val="UtilComTabletext"/>
              <w:tabs>
                <w:tab w:val="num" w:pos="522"/>
                <w:tab w:val="left" w:pos="993"/>
              </w:tabs>
              <w:ind w:left="522" w:hanging="450"/>
              <w:jc w:val="right"/>
            </w:pPr>
            <w:r w:rsidRPr="009D4634">
              <w:t>28.</w:t>
            </w:r>
            <w:r w:rsidR="009D4634">
              <w:t>39</w:t>
            </w:r>
          </w:p>
        </w:tc>
        <w:tc>
          <w:tcPr>
            <w:tcW w:w="1134" w:type="dxa"/>
            <w:tcBorders>
              <w:bottom w:val="single" w:sz="4" w:space="0" w:color="000000"/>
            </w:tcBorders>
          </w:tcPr>
          <w:p w14:paraId="45525149" w14:textId="781AA65C" w:rsidR="00615637" w:rsidRPr="009D4634" w:rsidRDefault="00590E06" w:rsidP="009D4634">
            <w:pPr>
              <w:pStyle w:val="UtilComTabletext"/>
              <w:tabs>
                <w:tab w:val="num" w:pos="522"/>
                <w:tab w:val="left" w:pos="993"/>
              </w:tabs>
              <w:ind w:left="522" w:hanging="450"/>
              <w:jc w:val="right"/>
            </w:pPr>
            <w:r w:rsidRPr="009D4634">
              <w:t>30.</w:t>
            </w:r>
            <w:r w:rsidR="009D4634">
              <w:t>73</w:t>
            </w:r>
          </w:p>
        </w:tc>
        <w:tc>
          <w:tcPr>
            <w:tcW w:w="1134" w:type="dxa"/>
            <w:tcBorders>
              <w:bottom w:val="single" w:sz="4" w:space="0" w:color="000000"/>
            </w:tcBorders>
          </w:tcPr>
          <w:p w14:paraId="020546CC" w14:textId="316CFF6C" w:rsidR="00615637" w:rsidRPr="009D4634" w:rsidRDefault="00590E06" w:rsidP="009D4634">
            <w:pPr>
              <w:pStyle w:val="UtilComTabletext"/>
              <w:tabs>
                <w:tab w:val="num" w:pos="522"/>
                <w:tab w:val="left" w:pos="993"/>
              </w:tabs>
              <w:ind w:left="522" w:hanging="450"/>
              <w:jc w:val="right"/>
            </w:pPr>
            <w:r w:rsidRPr="009D4634">
              <w:t>143.</w:t>
            </w:r>
            <w:r w:rsidR="009D4634">
              <w:t>88</w:t>
            </w:r>
          </w:p>
        </w:tc>
      </w:tr>
    </w:tbl>
    <w:p w14:paraId="1C192597" w14:textId="77777777" w:rsidR="00615637" w:rsidRPr="00E529C5" w:rsidRDefault="00615637" w:rsidP="00615637">
      <w:pPr>
        <w:pStyle w:val="UtilComReferenceSource"/>
        <w:rPr>
          <w:lang w:val="en-AU"/>
        </w:rPr>
      </w:pPr>
      <w:r>
        <w:rPr>
          <w:lang w:val="en-AU"/>
        </w:rPr>
        <w:t xml:space="preserve">Source: Utilities Commission </w:t>
      </w:r>
    </w:p>
    <w:p w14:paraId="0BC3D12C" w14:textId="77777777" w:rsidR="00BC141C" w:rsidRPr="00BC141C" w:rsidRDefault="00BC141C" w:rsidP="00BC141C">
      <w:pPr>
        <w:rPr>
          <w:lang w:val="en-AU"/>
        </w:rPr>
      </w:pPr>
    </w:p>
    <w:tbl>
      <w:tblPr>
        <w:tblW w:w="0" w:type="auto"/>
        <w:tblLayout w:type="fixed"/>
        <w:tblLook w:val="01E0" w:firstRow="1" w:lastRow="1" w:firstColumn="1" w:lastColumn="1" w:noHBand="0" w:noVBand="0"/>
      </w:tblPr>
      <w:tblGrid>
        <w:gridCol w:w="9288"/>
      </w:tblGrid>
      <w:tr w:rsidR="000C1567" w14:paraId="0E1A9857" w14:textId="77777777" w:rsidTr="000C1567">
        <w:tc>
          <w:tcPr>
            <w:tcW w:w="9288" w:type="dxa"/>
          </w:tcPr>
          <w:p w14:paraId="723C4B1D" w14:textId="77777777" w:rsidR="000C1567" w:rsidRDefault="000C1567" w:rsidP="00EF320F">
            <w:pPr>
              <w:pStyle w:val="NumberLevel1"/>
              <w:pageBreakBefore/>
              <w:numPr>
                <w:ilvl w:val="0"/>
                <w:numId w:val="4"/>
              </w:numPr>
              <w:ind w:left="431" w:hanging="431"/>
            </w:pPr>
            <w:r>
              <w:br w:type="page"/>
            </w:r>
          </w:p>
        </w:tc>
      </w:tr>
      <w:tr w:rsidR="000C1567" w14:paraId="63F56843" w14:textId="77777777" w:rsidTr="000C1567">
        <w:tc>
          <w:tcPr>
            <w:tcW w:w="9288" w:type="dxa"/>
          </w:tcPr>
          <w:p w14:paraId="2D52FE60" w14:textId="3E2E3C64" w:rsidR="000C1567" w:rsidRDefault="003B28CD" w:rsidP="00857E0C">
            <w:pPr>
              <w:pStyle w:val="UtilComChapterHeading"/>
              <w:outlineLvl w:val="0"/>
            </w:pPr>
            <w:bookmarkStart w:id="246" w:name="_Toc385241545"/>
            <w:bookmarkStart w:id="247" w:name="_Toc386013098"/>
            <w:r>
              <w:t xml:space="preserve">Cost of </w:t>
            </w:r>
            <w:r w:rsidR="00857E0C">
              <w:t>C</w:t>
            </w:r>
            <w:r>
              <w:t>apital</w:t>
            </w:r>
            <w:bookmarkEnd w:id="246"/>
            <w:bookmarkEnd w:id="247"/>
          </w:p>
        </w:tc>
      </w:tr>
    </w:tbl>
    <w:p w14:paraId="58ADC5CE" w14:textId="77777777" w:rsidR="000C1567" w:rsidRDefault="005A6DA7" w:rsidP="000C1567">
      <w:pPr>
        <w:pStyle w:val="UtilComHeading2"/>
      </w:pPr>
      <w:bookmarkStart w:id="248" w:name="_Toc385241546"/>
      <w:bookmarkStart w:id="249" w:name="_Toc386013099"/>
      <w:r>
        <w:t>Introduction</w:t>
      </w:r>
      <w:bookmarkEnd w:id="248"/>
      <w:bookmarkEnd w:id="249"/>
    </w:p>
    <w:p w14:paraId="1D8A4628" w14:textId="4C759ED0" w:rsidR="005A6DA7" w:rsidRDefault="005A6DA7" w:rsidP="009825AC">
      <w:pPr>
        <w:pStyle w:val="NumberLevel2"/>
        <w:numPr>
          <w:ilvl w:val="1"/>
          <w:numId w:val="5"/>
        </w:numPr>
        <w:ind w:left="709" w:hanging="709"/>
        <w:rPr>
          <w:lang w:val="en-AU"/>
        </w:rPr>
      </w:pPr>
      <w:r w:rsidRPr="00AE64C5">
        <w:rPr>
          <w:lang w:val="en-AU"/>
        </w:rPr>
        <w:t xml:space="preserve">This chapter sets out the Commission’s calculation of the rate of return for </w:t>
      </w:r>
      <w:r w:rsidR="00F63407" w:rsidRPr="00AE64C5">
        <w:rPr>
          <w:lang w:val="en-AU"/>
        </w:rPr>
        <w:t>PWC</w:t>
      </w:r>
      <w:r w:rsidR="00F63407">
        <w:rPr>
          <w:lang w:val="en-AU"/>
        </w:rPr>
        <w:t> </w:t>
      </w:r>
      <w:r w:rsidRPr="00AE64C5">
        <w:rPr>
          <w:lang w:val="en-AU"/>
        </w:rPr>
        <w:t xml:space="preserve">Networks for the </w:t>
      </w:r>
      <w:r w:rsidR="00F63407">
        <w:rPr>
          <w:lang w:val="en-AU"/>
        </w:rPr>
        <w:t>2014-19</w:t>
      </w:r>
      <w:r w:rsidR="00F63407" w:rsidRPr="00AE64C5">
        <w:rPr>
          <w:lang w:val="en-AU"/>
        </w:rPr>
        <w:t xml:space="preserve"> </w:t>
      </w:r>
      <w:r w:rsidRPr="00AE64C5">
        <w:rPr>
          <w:lang w:val="en-AU"/>
        </w:rPr>
        <w:t xml:space="preserve">regulatory control period. The key issues considered include the WACC parameters specified in the Commission’s Framework </w:t>
      </w:r>
      <w:r w:rsidR="00A82783">
        <w:rPr>
          <w:lang w:val="en-AU"/>
        </w:rPr>
        <w:t>Statement</w:t>
      </w:r>
      <w:r w:rsidRPr="00AE64C5">
        <w:rPr>
          <w:lang w:val="en-AU"/>
        </w:rPr>
        <w:t xml:space="preserve">, and the determination of the risk–free rate, debt risk premium </w:t>
      </w:r>
      <w:r w:rsidR="004B0BDE">
        <w:rPr>
          <w:lang w:val="en-AU"/>
        </w:rPr>
        <w:t xml:space="preserve">or </w:t>
      </w:r>
      <w:r w:rsidRPr="00AE64C5">
        <w:rPr>
          <w:lang w:val="en-AU"/>
        </w:rPr>
        <w:t>DRP and inflation forecast.</w:t>
      </w:r>
    </w:p>
    <w:p w14:paraId="5CB22999" w14:textId="2B1230F4" w:rsidR="005A6DA7" w:rsidRDefault="005A6DA7" w:rsidP="005A6DA7">
      <w:pPr>
        <w:pStyle w:val="UtilComHeading2"/>
      </w:pPr>
      <w:bookmarkStart w:id="250" w:name="_Toc385241547"/>
      <w:bookmarkStart w:id="251" w:name="_Toc386013100"/>
      <w:r>
        <w:t xml:space="preserve">Regulatory </w:t>
      </w:r>
      <w:bookmarkEnd w:id="250"/>
      <w:r w:rsidR="0043071F">
        <w:t>Requirements</w:t>
      </w:r>
      <w:bookmarkEnd w:id="251"/>
    </w:p>
    <w:p w14:paraId="39F2ADD8" w14:textId="5B719430" w:rsidR="003759CC" w:rsidRPr="00FA7D1F" w:rsidRDefault="00FB2EC5" w:rsidP="003759CC">
      <w:pPr>
        <w:pStyle w:val="UtilComHeading3"/>
      </w:pPr>
      <w:r>
        <w:t>Network Access Code</w:t>
      </w:r>
    </w:p>
    <w:p w14:paraId="2AACAFA5" w14:textId="002DD743" w:rsidR="004B0BDE" w:rsidRPr="004B0BDE" w:rsidRDefault="004B0BDE" w:rsidP="004B0BDE">
      <w:pPr>
        <w:pStyle w:val="NumberLevel2"/>
        <w:numPr>
          <w:ilvl w:val="1"/>
          <w:numId w:val="5"/>
        </w:numPr>
        <w:ind w:left="709" w:hanging="709"/>
        <w:rPr>
          <w:lang w:val="en-AU"/>
        </w:rPr>
      </w:pPr>
      <w:r w:rsidRPr="004B0BDE">
        <w:rPr>
          <w:lang w:val="en-AU"/>
        </w:rPr>
        <w:t>Clause 68 of the Network Access Code requires the Commission, in setting a revenue cap or price cap, to take into account the revenue requirements of PWC Networks during the relevant regulatory year or regulatory years having regard to a number of factors.</w:t>
      </w:r>
    </w:p>
    <w:p w14:paraId="3DDB1001" w14:textId="77777777" w:rsidR="004B0BDE" w:rsidRPr="004B0BDE" w:rsidRDefault="004B0BDE" w:rsidP="004B0BDE">
      <w:pPr>
        <w:pStyle w:val="NumberLevel2"/>
        <w:numPr>
          <w:ilvl w:val="1"/>
          <w:numId w:val="5"/>
        </w:numPr>
        <w:ind w:left="709" w:hanging="709"/>
        <w:rPr>
          <w:lang w:val="en-AU"/>
        </w:rPr>
      </w:pPr>
      <w:r w:rsidRPr="004B0BDE">
        <w:rPr>
          <w:lang w:val="en-AU"/>
        </w:rPr>
        <w:t>Some of these factors are:</w:t>
      </w:r>
    </w:p>
    <w:p w14:paraId="1801BFA5" w14:textId="77777777" w:rsidR="004B0BDE" w:rsidRPr="004B0BDE" w:rsidRDefault="004B0BDE" w:rsidP="00CB4726">
      <w:pPr>
        <w:pStyle w:val="UtilComQuotationText"/>
        <w:ind w:left="1276" w:hanging="567"/>
      </w:pPr>
      <w:r w:rsidRPr="004B0BDE">
        <w:t>(d)</w:t>
      </w:r>
      <w:r w:rsidRPr="004B0BDE">
        <w:tab/>
        <w:t>the network provider's cost of capital applicable to the relevant network access service, having regard to the risk-adjusted rate of return required by investors in commercial enterprises facing similar business risks to those faced by the network provider in the provision of that service;</w:t>
      </w:r>
    </w:p>
    <w:p w14:paraId="1621E925" w14:textId="77777777" w:rsidR="004B0BDE" w:rsidRPr="004B0BDE" w:rsidRDefault="004B0BDE" w:rsidP="00CB4726">
      <w:pPr>
        <w:pStyle w:val="UtilComQuotationText"/>
        <w:ind w:left="1276" w:hanging="567"/>
      </w:pPr>
      <w:r w:rsidRPr="004B0BDE">
        <w:t>(e)</w:t>
      </w:r>
      <w:r w:rsidRPr="004B0BDE">
        <w:tab/>
        <w:t>the provision of a return on efficient capital investment undertaken by the network provider to maintain or extend network capacity to those faced by the network provider in the provision of that services;</w:t>
      </w:r>
    </w:p>
    <w:p w14:paraId="2DF9FFDE" w14:textId="77777777" w:rsidR="004B0BDE" w:rsidRPr="004B0BDE" w:rsidRDefault="004B0BDE" w:rsidP="00CB4726">
      <w:pPr>
        <w:pStyle w:val="UtilComQuotationText"/>
        <w:ind w:left="1276" w:hanging="567"/>
      </w:pPr>
      <w:r w:rsidRPr="004B0BDE">
        <w:t>…</w:t>
      </w:r>
    </w:p>
    <w:p w14:paraId="6AD9AFCD" w14:textId="77777777" w:rsidR="004B0BDE" w:rsidRPr="004B0BDE" w:rsidRDefault="004B0BDE" w:rsidP="00CB4726">
      <w:pPr>
        <w:pStyle w:val="UtilComQuotationText"/>
        <w:ind w:left="1276" w:hanging="567"/>
      </w:pPr>
      <w:r w:rsidRPr="004B0BDE">
        <w:t>(g)</w:t>
      </w:r>
      <w:r w:rsidRPr="004B0BDE">
        <w:tab/>
        <w:t>any increase in the rate of a tax or any new tax, whether it is a tax or tax equivalent imposed by the Territory, a State or the Commonwealth that directly increases the cost of providing the access services that are directly attributable to the increase in the rate of to the new tax;</w:t>
      </w:r>
    </w:p>
    <w:p w14:paraId="2E041A73" w14:textId="45F63C23" w:rsidR="003759CC" w:rsidRDefault="004B0BDE" w:rsidP="009825AC">
      <w:pPr>
        <w:pStyle w:val="NumberLevel2"/>
        <w:numPr>
          <w:ilvl w:val="1"/>
          <w:numId w:val="5"/>
        </w:numPr>
        <w:ind w:left="709" w:hanging="709"/>
        <w:rPr>
          <w:lang w:val="en-AU"/>
        </w:rPr>
      </w:pPr>
      <w:r>
        <w:rPr>
          <w:lang w:val="en-AU"/>
        </w:rPr>
        <w:t xml:space="preserve">In addition, clause </w:t>
      </w:r>
      <w:r w:rsidR="003759CC">
        <w:rPr>
          <w:lang w:val="en-AU"/>
        </w:rPr>
        <w:t xml:space="preserve">1(2) of </w:t>
      </w:r>
      <w:r>
        <w:rPr>
          <w:lang w:val="en-AU"/>
        </w:rPr>
        <w:t xml:space="preserve">Schedule </w:t>
      </w:r>
      <w:r w:rsidR="003759CC">
        <w:rPr>
          <w:lang w:val="en-AU"/>
        </w:rPr>
        <w:t xml:space="preserve">8 of the </w:t>
      </w:r>
      <w:r w:rsidR="00FB2EC5">
        <w:rPr>
          <w:lang w:val="en-AU"/>
        </w:rPr>
        <w:t>Network Access Code</w:t>
      </w:r>
      <w:r w:rsidR="003759CC">
        <w:rPr>
          <w:lang w:val="en-AU"/>
        </w:rPr>
        <w:t xml:space="preserve"> provides that:</w:t>
      </w:r>
    </w:p>
    <w:p w14:paraId="6E778597" w14:textId="77777777" w:rsidR="003759CC" w:rsidRPr="0054735D" w:rsidRDefault="003759CC" w:rsidP="004B63D8">
      <w:pPr>
        <w:pStyle w:val="UtilComQuotationText"/>
        <w:ind w:left="1560" w:hanging="426"/>
      </w:pPr>
      <w:r w:rsidRPr="0054735D">
        <w:t>(2)</w:t>
      </w:r>
      <w:r w:rsidRPr="0054735D">
        <w:tab/>
        <w:t>The methodology for determining any WACC for use in the second and subsequent regulatory control periods is to be determined by the regulator in a manner that most effectively achieves the outcomes in clause 63 and is consistent with generally accepted regulatory practice at the time.</w:t>
      </w:r>
    </w:p>
    <w:p w14:paraId="7A4CED8F" w14:textId="77777777" w:rsidR="003759CC" w:rsidRDefault="003759CC" w:rsidP="003759CC">
      <w:pPr>
        <w:pStyle w:val="UtilComHeading3"/>
      </w:pPr>
      <w:r w:rsidRPr="00321BDA">
        <w:t>National Electricity Rules</w:t>
      </w:r>
    </w:p>
    <w:p w14:paraId="744282F4" w14:textId="77777777" w:rsidR="003759CC" w:rsidRPr="003759CC" w:rsidRDefault="003759CC" w:rsidP="009825AC">
      <w:pPr>
        <w:pStyle w:val="NumberLevel2"/>
        <w:numPr>
          <w:ilvl w:val="1"/>
          <w:numId w:val="5"/>
        </w:numPr>
        <w:tabs>
          <w:tab w:val="clear" w:pos="3270"/>
          <w:tab w:val="left" w:pos="709"/>
        </w:tabs>
        <w:ind w:left="709" w:hanging="709"/>
        <w:rPr>
          <w:lang w:val="en-AU"/>
        </w:rPr>
      </w:pPr>
      <w:r w:rsidRPr="003759CC">
        <w:rPr>
          <w:lang w:val="en-AU"/>
        </w:rPr>
        <w:t>The AER must determine the rate of return in accordance with clause 6.5.2 of the NER. This clause provides that the return on capital building block must be calculated by applying the rate of return to the value of the RAB as determined in accordance with clause 6.5.1 and schedule 6.2 of the NER.</w:t>
      </w:r>
    </w:p>
    <w:p w14:paraId="36A6BC28" w14:textId="527C6205" w:rsidR="00B76E9E" w:rsidRPr="00B76E9E" w:rsidRDefault="00B76E9E" w:rsidP="004B63D8">
      <w:pPr>
        <w:pStyle w:val="NumberLevel2"/>
        <w:numPr>
          <w:ilvl w:val="1"/>
          <w:numId w:val="5"/>
        </w:numPr>
        <w:tabs>
          <w:tab w:val="clear" w:pos="3270"/>
          <w:tab w:val="num" w:pos="709"/>
        </w:tabs>
        <w:ind w:left="709" w:hanging="709"/>
        <w:rPr>
          <w:lang w:val="en-AU"/>
        </w:rPr>
      </w:pPr>
      <w:r w:rsidRPr="00B76E9E">
        <w:rPr>
          <w:lang w:val="en-AU"/>
        </w:rPr>
        <w:t xml:space="preserve">In November 2012, the </w:t>
      </w:r>
      <w:r w:rsidR="0030167B">
        <w:rPr>
          <w:lang w:val="en-AU"/>
        </w:rPr>
        <w:t>Australian Energy Market Commission</w:t>
      </w:r>
      <w:r w:rsidR="0030167B" w:rsidRPr="00B76E9E">
        <w:rPr>
          <w:lang w:val="en-AU"/>
        </w:rPr>
        <w:t xml:space="preserve"> </w:t>
      </w:r>
      <w:r w:rsidR="0030167B">
        <w:rPr>
          <w:lang w:val="en-AU"/>
        </w:rPr>
        <w:t xml:space="preserve">(AEMC) </w:t>
      </w:r>
      <w:r w:rsidRPr="00B76E9E">
        <w:rPr>
          <w:lang w:val="en-AU"/>
        </w:rPr>
        <w:t xml:space="preserve">made a final determination on new rules to regulate electricity network prices. This included changes to the way in which the </w:t>
      </w:r>
      <w:r>
        <w:rPr>
          <w:lang w:val="en-AU"/>
        </w:rPr>
        <w:t>r</w:t>
      </w:r>
      <w:r w:rsidRPr="00B76E9E">
        <w:rPr>
          <w:lang w:val="en-AU"/>
        </w:rPr>
        <w:t xml:space="preserve">ate of return (under </w:t>
      </w:r>
      <w:r w:rsidR="0054735D">
        <w:rPr>
          <w:lang w:val="en-AU"/>
        </w:rPr>
        <w:t>the NER</w:t>
      </w:r>
      <w:r w:rsidRPr="00B76E9E">
        <w:rPr>
          <w:lang w:val="en-AU"/>
        </w:rPr>
        <w:t xml:space="preserve"> and </w:t>
      </w:r>
      <w:r w:rsidR="0054735D">
        <w:rPr>
          <w:lang w:val="en-AU"/>
        </w:rPr>
        <w:t xml:space="preserve">the </w:t>
      </w:r>
      <w:r w:rsidRPr="00B76E9E">
        <w:rPr>
          <w:lang w:val="en-AU"/>
        </w:rPr>
        <w:t>National Gas Rules)</w:t>
      </w:r>
      <w:r>
        <w:rPr>
          <w:lang w:val="en-AU"/>
        </w:rPr>
        <w:t xml:space="preserve"> is to be determined:</w:t>
      </w:r>
    </w:p>
    <w:p w14:paraId="358D2B90" w14:textId="59BBBCC2" w:rsidR="00B76E9E" w:rsidRPr="00B76E9E" w:rsidRDefault="00B76E9E" w:rsidP="008E229D">
      <w:pPr>
        <w:pStyle w:val="UtilComBulletText"/>
        <w:numPr>
          <w:ilvl w:val="0"/>
          <w:numId w:val="6"/>
        </w:numPr>
        <w:tabs>
          <w:tab w:val="clear" w:pos="964"/>
          <w:tab w:val="clear" w:pos="1134"/>
          <w:tab w:val="left" w:pos="1276"/>
        </w:tabs>
        <w:ind w:left="1276" w:hanging="426"/>
      </w:pPr>
      <w:r w:rsidRPr="00B76E9E">
        <w:t>The new rate of return framework is common to electricity distribution, electricity</w:t>
      </w:r>
      <w:r>
        <w:t xml:space="preserve"> </w:t>
      </w:r>
      <w:r w:rsidRPr="00B76E9E">
        <w:t>transmission and gas</w:t>
      </w:r>
      <w:r w:rsidR="004B0BDE">
        <w:t xml:space="preserve"> distribution businesses</w:t>
      </w:r>
      <w:r w:rsidRPr="00B76E9E">
        <w:t xml:space="preserve">. It requires the </w:t>
      </w:r>
      <w:r w:rsidR="004152BB">
        <w:t>AER</w:t>
      </w:r>
      <w:r w:rsidRPr="00B76E9E">
        <w:t xml:space="preserve"> to make the best possible estimate of</w:t>
      </w:r>
      <w:r>
        <w:t xml:space="preserve"> </w:t>
      </w:r>
      <w:r w:rsidRPr="00B76E9E">
        <w:t>the rate of return at the time a regulatory determination is made. It requires the</w:t>
      </w:r>
      <w:r>
        <w:t xml:space="preserve"> </w:t>
      </w:r>
      <w:r w:rsidR="004152BB">
        <w:t>AER</w:t>
      </w:r>
      <w:r w:rsidRPr="00B76E9E">
        <w:t xml:space="preserve"> to take into account market circumstances, estimation methods, financial</w:t>
      </w:r>
      <w:r>
        <w:t xml:space="preserve"> </w:t>
      </w:r>
      <w:r w:rsidRPr="00B76E9E">
        <w:t>models and other relevant information.</w:t>
      </w:r>
    </w:p>
    <w:p w14:paraId="03CD15C6" w14:textId="1BADDE12" w:rsidR="00B76E9E" w:rsidRPr="00B76E9E" w:rsidRDefault="00B76E9E" w:rsidP="008E229D">
      <w:pPr>
        <w:pStyle w:val="UtilComBulletText"/>
        <w:numPr>
          <w:ilvl w:val="0"/>
          <w:numId w:val="6"/>
        </w:numPr>
        <w:tabs>
          <w:tab w:val="clear" w:pos="964"/>
          <w:tab w:val="clear" w:pos="1134"/>
          <w:tab w:val="num" w:pos="1276"/>
        </w:tabs>
        <w:ind w:left="1276" w:hanging="426"/>
      </w:pPr>
      <w:r w:rsidRPr="00B76E9E">
        <w:t xml:space="preserve">The </w:t>
      </w:r>
      <w:r w:rsidR="004152BB">
        <w:t xml:space="preserve">AER </w:t>
      </w:r>
      <w:r w:rsidRPr="00B76E9E">
        <w:t xml:space="preserve">is </w:t>
      </w:r>
      <w:r w:rsidR="004B0BDE">
        <w:t xml:space="preserve">also </w:t>
      </w:r>
      <w:r w:rsidRPr="00B76E9E">
        <w:t>required to undertake an open and consultative process at least every</w:t>
      </w:r>
      <w:r>
        <w:t xml:space="preserve"> </w:t>
      </w:r>
      <w:r w:rsidRPr="00B76E9E">
        <w:t>three years to develop its approach to setting the rate of return.</w:t>
      </w:r>
    </w:p>
    <w:p w14:paraId="6DC8F3F7" w14:textId="77777777" w:rsidR="00B76E9E" w:rsidRDefault="00B76E9E" w:rsidP="008E229D">
      <w:pPr>
        <w:pStyle w:val="UtilComBulletText"/>
        <w:numPr>
          <w:ilvl w:val="0"/>
          <w:numId w:val="6"/>
        </w:numPr>
        <w:tabs>
          <w:tab w:val="clear" w:pos="964"/>
          <w:tab w:val="clear" w:pos="1134"/>
          <w:tab w:val="num" w:pos="1276"/>
        </w:tabs>
        <w:ind w:left="1276" w:hanging="426"/>
      </w:pPr>
      <w:r w:rsidRPr="00B76E9E">
        <w:t>The new common framework enables the regulator to take a range of different</w:t>
      </w:r>
      <w:r>
        <w:t xml:space="preserve"> </w:t>
      </w:r>
      <w:r w:rsidRPr="00B76E9E">
        <w:t>approaches to estimate the return on debt component, potentially allowing for reduced</w:t>
      </w:r>
      <w:r>
        <w:t xml:space="preserve"> </w:t>
      </w:r>
      <w:r w:rsidRPr="00B76E9E">
        <w:t>risk for debt financing for network businesses.</w:t>
      </w:r>
    </w:p>
    <w:p w14:paraId="51443CEC" w14:textId="782D15E7" w:rsidR="00F63407" w:rsidRDefault="004B0BDE" w:rsidP="009825AC">
      <w:pPr>
        <w:pStyle w:val="NumberLevel2"/>
        <w:numPr>
          <w:ilvl w:val="1"/>
          <w:numId w:val="5"/>
        </w:numPr>
        <w:tabs>
          <w:tab w:val="clear" w:pos="3270"/>
          <w:tab w:val="num" w:pos="709"/>
        </w:tabs>
        <w:ind w:left="709" w:hanging="709"/>
        <w:rPr>
          <w:lang w:val="en-AU"/>
        </w:rPr>
      </w:pPr>
      <w:r>
        <w:rPr>
          <w:lang w:val="en-AU"/>
        </w:rPr>
        <w:t xml:space="preserve">The allowed rate of return, return on equity and return on debt are to be determined such that they achieve the allowed rate of return objective which is set out in clause </w:t>
      </w:r>
      <w:r w:rsidR="00F63407">
        <w:rPr>
          <w:lang w:val="en-AU"/>
        </w:rPr>
        <w:t xml:space="preserve">6.5.2(c) of the NER </w:t>
      </w:r>
      <w:r>
        <w:rPr>
          <w:lang w:val="en-AU"/>
        </w:rPr>
        <w:t>as follows</w:t>
      </w:r>
      <w:r w:rsidR="00F63407">
        <w:rPr>
          <w:lang w:val="en-AU"/>
        </w:rPr>
        <w:t>:</w:t>
      </w:r>
    </w:p>
    <w:p w14:paraId="41E1FCAE" w14:textId="0DFCB124" w:rsidR="00F63407" w:rsidRPr="00F63407" w:rsidRDefault="00F63407" w:rsidP="00F63407">
      <w:pPr>
        <w:pStyle w:val="UtilComQuotationText"/>
        <w:ind w:left="1560" w:hanging="426"/>
      </w:pPr>
      <w:r>
        <w:t xml:space="preserve">(c)   </w:t>
      </w:r>
      <w:r w:rsidRPr="00F63407">
        <w:t>The  allowed  rate  of  return  objective  is  that  the  rate  of  return  for  a Distribution Network Service Provider is to be commensurate with the efficient  financing  costs  of  a  benchmark  efficient  entity  with  a  similar degree of risk as that which applies to the Distribution Network Service</w:t>
      </w:r>
      <w:r w:rsidR="00C22664">
        <w:t xml:space="preserve"> </w:t>
      </w:r>
      <w:r w:rsidRPr="00F63407">
        <w:t>Provider  in  respect  of  the  provision  o</w:t>
      </w:r>
      <w:r>
        <w:t>f  standard  control  services</w:t>
      </w:r>
      <w:r w:rsidRPr="00F63407">
        <w:t>.</w:t>
      </w:r>
    </w:p>
    <w:p w14:paraId="15A77BFA" w14:textId="33F6E03F" w:rsidR="0038316C" w:rsidRDefault="0038316C" w:rsidP="009825AC">
      <w:pPr>
        <w:pStyle w:val="NumberLevel2"/>
        <w:numPr>
          <w:ilvl w:val="1"/>
          <w:numId w:val="5"/>
        </w:numPr>
        <w:tabs>
          <w:tab w:val="clear" w:pos="3270"/>
          <w:tab w:val="num" w:pos="709"/>
        </w:tabs>
        <w:ind w:left="709" w:hanging="709"/>
        <w:rPr>
          <w:lang w:val="en-AU"/>
        </w:rPr>
      </w:pPr>
      <w:r>
        <w:rPr>
          <w:lang w:val="en-AU"/>
        </w:rPr>
        <w:t>Clause 6.5.2(m) requires the AER to make and publish rate of return guidelines</w:t>
      </w:r>
      <w:r w:rsidR="004B0BDE">
        <w:rPr>
          <w:lang w:val="en-AU"/>
        </w:rPr>
        <w:t xml:space="preserve"> setting</w:t>
      </w:r>
      <w:r>
        <w:rPr>
          <w:lang w:val="en-AU"/>
        </w:rPr>
        <w:t xml:space="preserve"> out:</w:t>
      </w:r>
    </w:p>
    <w:p w14:paraId="554BD45A" w14:textId="77777777" w:rsidR="0038316C" w:rsidRPr="0038316C" w:rsidRDefault="0038316C" w:rsidP="0038316C">
      <w:pPr>
        <w:pStyle w:val="UtilComQuotationText"/>
        <w:ind w:left="1560" w:hanging="426"/>
      </w:pPr>
      <w:r w:rsidRPr="0038316C">
        <w:t>(1)</w:t>
      </w:r>
      <w:r w:rsidRPr="0038316C">
        <w:tab/>
        <w:t>the methodologies that the AER proposes to use in estimating the allowed rate of return, including how those methodologies are proposed to result in the determination of a return on equity and a</w:t>
      </w:r>
      <w:r>
        <w:t xml:space="preserve"> </w:t>
      </w:r>
      <w:r w:rsidRPr="0038316C">
        <w:t>return on debt in a way that is consistent the allowed rate of return objective; and</w:t>
      </w:r>
    </w:p>
    <w:p w14:paraId="591E52D1" w14:textId="77777777" w:rsidR="0038316C" w:rsidRPr="0038316C" w:rsidRDefault="0038316C" w:rsidP="0038316C">
      <w:pPr>
        <w:pStyle w:val="UtilComQuotationText"/>
        <w:ind w:left="1560" w:hanging="426"/>
      </w:pPr>
      <w:r w:rsidRPr="0038316C">
        <w:t xml:space="preserve"> (2)</w:t>
      </w:r>
      <w:r w:rsidRPr="0038316C">
        <w:tab/>
        <w:t>the  estimation  methods,  financial  models,  market  data  and  other evidence the AER proposes to take into account in estimating the return on equity, the return on debt and the value of imputation credits referred to in clause 6.5.3.</w:t>
      </w:r>
    </w:p>
    <w:p w14:paraId="12632CB4" w14:textId="1EC8EB36" w:rsidR="00570B8D" w:rsidRPr="004152BB" w:rsidRDefault="00BA63E9" w:rsidP="00570B8D">
      <w:pPr>
        <w:pStyle w:val="NumberLevel2"/>
        <w:numPr>
          <w:ilvl w:val="1"/>
          <w:numId w:val="5"/>
        </w:numPr>
        <w:tabs>
          <w:tab w:val="clear" w:pos="3270"/>
          <w:tab w:val="num" w:pos="709"/>
        </w:tabs>
        <w:ind w:left="709" w:hanging="709"/>
        <w:rPr>
          <w:lang w:val="en-AU"/>
        </w:rPr>
      </w:pPr>
      <w:r w:rsidRPr="004152BB">
        <w:rPr>
          <w:lang w:val="en-AU"/>
        </w:rPr>
        <w:t>The AER published a draft Rate of Return Guideline in August 2013 and a further Equity Beta Issues Paper in October 2013.</w:t>
      </w:r>
      <w:r w:rsidR="004152BB" w:rsidRPr="004152BB">
        <w:rPr>
          <w:lang w:val="en-AU"/>
        </w:rPr>
        <w:t xml:space="preserve"> </w:t>
      </w:r>
      <w:r w:rsidR="00570B8D" w:rsidRPr="004152BB">
        <w:rPr>
          <w:lang w:val="en-AU"/>
        </w:rPr>
        <w:t xml:space="preserve">The AER released its </w:t>
      </w:r>
      <w:r w:rsidR="004B0BDE" w:rsidRPr="004152BB">
        <w:rPr>
          <w:lang w:val="en-AU"/>
        </w:rPr>
        <w:t xml:space="preserve">final </w:t>
      </w:r>
      <w:r w:rsidR="00570B8D" w:rsidRPr="004152BB">
        <w:rPr>
          <w:lang w:val="en-AU"/>
        </w:rPr>
        <w:t>Rate of Return Guideline on 17 December 2013.</w:t>
      </w:r>
      <w:r w:rsidR="00570B8D" w:rsidRPr="004152BB">
        <w:rPr>
          <w:rStyle w:val="FootnoteReference"/>
          <w:lang w:val="en-AU"/>
        </w:rPr>
        <w:t xml:space="preserve"> </w:t>
      </w:r>
      <w:r w:rsidR="00570B8D">
        <w:rPr>
          <w:rStyle w:val="FootnoteReference"/>
          <w:lang w:val="en-AU"/>
        </w:rPr>
        <w:footnoteReference w:id="60"/>
      </w:r>
    </w:p>
    <w:p w14:paraId="2A443C6A" w14:textId="4ABE6A54" w:rsidR="004B0BDE" w:rsidRPr="004B0BDE" w:rsidRDefault="004B0BDE" w:rsidP="004B0BDE">
      <w:pPr>
        <w:pStyle w:val="ListParagraph"/>
        <w:numPr>
          <w:ilvl w:val="1"/>
          <w:numId w:val="5"/>
        </w:numPr>
        <w:tabs>
          <w:tab w:val="clear" w:pos="3270"/>
          <w:tab w:val="num" w:pos="709"/>
        </w:tabs>
        <w:ind w:left="709" w:hanging="709"/>
        <w:rPr>
          <w:lang w:val="en-AU"/>
        </w:rPr>
      </w:pPr>
      <w:r>
        <w:rPr>
          <w:lang w:val="en-AU"/>
        </w:rPr>
        <w:t>Clause 6.5.3 of the NER also sets out how the estimated cost of corporate income tax of a DNSP for each regulatory year must be determined. This in turn requires the AER to input its decision on the value of imputation credits (or gamma).</w:t>
      </w:r>
    </w:p>
    <w:p w14:paraId="01B6C365" w14:textId="5E392CDE" w:rsidR="00206B94" w:rsidRPr="00FA7D1F" w:rsidRDefault="00206B94" w:rsidP="009825AC">
      <w:pPr>
        <w:pStyle w:val="UtilComHeading3"/>
        <w:tabs>
          <w:tab w:val="num" w:pos="709"/>
        </w:tabs>
      </w:pPr>
      <w:r>
        <w:t xml:space="preserve">Framework and </w:t>
      </w:r>
      <w:r w:rsidR="00CB4726">
        <w:t>Approach</w:t>
      </w:r>
    </w:p>
    <w:p w14:paraId="5B72B08A" w14:textId="21058E7B" w:rsidR="00666B96" w:rsidRPr="00114E65" w:rsidRDefault="00114E65" w:rsidP="009825AC">
      <w:pPr>
        <w:pStyle w:val="ListParagraph"/>
        <w:numPr>
          <w:ilvl w:val="1"/>
          <w:numId w:val="5"/>
        </w:numPr>
        <w:tabs>
          <w:tab w:val="clear" w:pos="3270"/>
          <w:tab w:val="num" w:pos="709"/>
        </w:tabs>
        <w:ind w:left="709" w:hanging="709"/>
        <w:rPr>
          <w:lang w:val="en-AU"/>
        </w:rPr>
      </w:pPr>
      <w:r w:rsidRPr="00114E65">
        <w:rPr>
          <w:lang w:val="en-AU"/>
        </w:rPr>
        <w:t xml:space="preserve">In its </w:t>
      </w:r>
      <w:r w:rsidR="00666B96" w:rsidRPr="00114E65">
        <w:rPr>
          <w:lang w:val="en-AU"/>
        </w:rPr>
        <w:t>Framework Statement</w:t>
      </w:r>
      <w:r w:rsidRPr="00114E65">
        <w:rPr>
          <w:lang w:val="en-AU"/>
        </w:rPr>
        <w:t xml:space="preserve">, the Commission accepted PWC </w:t>
      </w:r>
      <w:r w:rsidR="0054735D">
        <w:rPr>
          <w:lang w:val="en-AU"/>
        </w:rPr>
        <w:t xml:space="preserve">Networks’ </w:t>
      </w:r>
      <w:r w:rsidRPr="00114E65">
        <w:rPr>
          <w:lang w:val="en-AU"/>
        </w:rPr>
        <w:t>arguments that the</w:t>
      </w:r>
      <w:r>
        <w:rPr>
          <w:lang w:val="en-AU"/>
        </w:rPr>
        <w:t xml:space="preserve"> post</w:t>
      </w:r>
      <w:r w:rsidR="0054735D">
        <w:rPr>
          <w:lang w:val="en-AU"/>
        </w:rPr>
        <w:noBreakHyphen/>
      </w:r>
      <w:r>
        <w:rPr>
          <w:lang w:val="en-AU"/>
        </w:rPr>
        <w:t>tax approach mandated under the</w:t>
      </w:r>
      <w:r w:rsidRPr="00114E65">
        <w:rPr>
          <w:lang w:val="en-AU"/>
        </w:rPr>
        <w:t xml:space="preserve"> </w:t>
      </w:r>
      <w:r>
        <w:rPr>
          <w:lang w:val="en-AU"/>
        </w:rPr>
        <w:t>N</w:t>
      </w:r>
      <w:r w:rsidR="00666B96" w:rsidRPr="00114E65">
        <w:rPr>
          <w:lang w:val="en-AU"/>
        </w:rPr>
        <w:t>ER</w:t>
      </w:r>
      <w:r>
        <w:rPr>
          <w:lang w:val="en-AU"/>
        </w:rPr>
        <w:t>’s</w:t>
      </w:r>
      <w:r w:rsidR="00666B96" w:rsidRPr="00114E65">
        <w:rPr>
          <w:lang w:val="en-AU"/>
        </w:rPr>
        <w:t xml:space="preserve"> approach </w:t>
      </w:r>
      <w:r>
        <w:rPr>
          <w:lang w:val="en-AU"/>
        </w:rPr>
        <w:t xml:space="preserve">should be modified to </w:t>
      </w:r>
      <w:r w:rsidR="00666B96" w:rsidRPr="00114E65">
        <w:rPr>
          <w:lang w:val="en-AU"/>
        </w:rPr>
        <w:t xml:space="preserve">accommodate </w:t>
      </w:r>
      <w:r w:rsidR="0054735D">
        <w:rPr>
          <w:lang w:val="en-AU"/>
        </w:rPr>
        <w:t>its</w:t>
      </w:r>
      <w:r w:rsidR="0054735D" w:rsidRPr="00114E65">
        <w:rPr>
          <w:lang w:val="en-AU"/>
        </w:rPr>
        <w:t xml:space="preserve"> </w:t>
      </w:r>
      <w:r w:rsidR="00666B96" w:rsidRPr="00114E65">
        <w:rPr>
          <w:lang w:val="en-AU"/>
        </w:rPr>
        <w:t xml:space="preserve">constraints. </w:t>
      </w:r>
      <w:r w:rsidR="0054735D">
        <w:rPr>
          <w:lang w:val="en-AU"/>
        </w:rPr>
        <w:t xml:space="preserve">It </w:t>
      </w:r>
      <w:r>
        <w:rPr>
          <w:lang w:val="en-AU"/>
        </w:rPr>
        <w:t>argued that, g</w:t>
      </w:r>
      <w:r w:rsidR="000A2E49" w:rsidRPr="00114E65">
        <w:rPr>
          <w:lang w:val="en-AU"/>
        </w:rPr>
        <w:t xml:space="preserve">iven the tight timeframe for the </w:t>
      </w:r>
      <w:r w:rsidR="004B0BDE">
        <w:rPr>
          <w:lang w:val="en-AU"/>
        </w:rPr>
        <w:t>2014 Network Price Determination</w:t>
      </w:r>
      <w:r w:rsidR="000A2E49" w:rsidRPr="00114E65">
        <w:rPr>
          <w:lang w:val="en-AU"/>
        </w:rPr>
        <w:t>, a post-tax framework w</w:t>
      </w:r>
      <w:r>
        <w:rPr>
          <w:lang w:val="en-AU"/>
        </w:rPr>
        <w:t>ould</w:t>
      </w:r>
      <w:r w:rsidR="000A2E49" w:rsidRPr="00114E65">
        <w:rPr>
          <w:lang w:val="en-AU"/>
        </w:rPr>
        <w:t xml:space="preserve"> only add to the already considerable increase in reporting requirements</w:t>
      </w:r>
      <w:r>
        <w:rPr>
          <w:lang w:val="en-AU"/>
        </w:rPr>
        <w:t>.</w:t>
      </w:r>
      <w:r w:rsidR="000A2E49" w:rsidRPr="000A2E49">
        <w:t xml:space="preserve"> </w:t>
      </w:r>
      <w:r w:rsidR="000A2E49" w:rsidRPr="00114E65">
        <w:rPr>
          <w:lang w:val="en-AU"/>
        </w:rPr>
        <w:t xml:space="preserve">However, </w:t>
      </w:r>
      <w:r w:rsidR="0054735D">
        <w:rPr>
          <w:lang w:val="en-AU"/>
        </w:rPr>
        <w:t>it</w:t>
      </w:r>
      <w:r w:rsidR="0054735D" w:rsidRPr="00114E65">
        <w:rPr>
          <w:lang w:val="en-AU"/>
        </w:rPr>
        <w:t xml:space="preserve"> </w:t>
      </w:r>
      <w:r w:rsidR="000A2E49" w:rsidRPr="00114E65">
        <w:rPr>
          <w:lang w:val="en-AU"/>
        </w:rPr>
        <w:t>agree</w:t>
      </w:r>
      <w:r>
        <w:rPr>
          <w:lang w:val="en-AU"/>
        </w:rPr>
        <w:t>d</w:t>
      </w:r>
      <w:r w:rsidR="000A2E49" w:rsidRPr="00114E65">
        <w:rPr>
          <w:lang w:val="en-AU"/>
        </w:rPr>
        <w:t xml:space="preserve"> that it should transition to a post-tax approach for the </w:t>
      </w:r>
      <w:r w:rsidR="004B0BDE">
        <w:rPr>
          <w:lang w:val="en-AU"/>
        </w:rPr>
        <w:t>Post </w:t>
      </w:r>
      <w:r w:rsidR="000A2E49" w:rsidRPr="00114E65">
        <w:rPr>
          <w:lang w:val="en-AU"/>
        </w:rPr>
        <w:t>2019 Network Price Determination.</w:t>
      </w:r>
    </w:p>
    <w:p w14:paraId="59EB7679" w14:textId="7A83A99E" w:rsidR="000F71ED" w:rsidRPr="000F71ED" w:rsidRDefault="00114E65" w:rsidP="009825AC">
      <w:pPr>
        <w:pStyle w:val="ListParagraph"/>
        <w:numPr>
          <w:ilvl w:val="1"/>
          <w:numId w:val="5"/>
        </w:numPr>
        <w:tabs>
          <w:tab w:val="clear" w:pos="3270"/>
          <w:tab w:val="num" w:pos="709"/>
        </w:tabs>
        <w:ind w:left="709" w:hanging="709"/>
        <w:rPr>
          <w:lang w:val="en-AU"/>
        </w:rPr>
      </w:pPr>
      <w:r>
        <w:rPr>
          <w:lang w:val="en-AU"/>
        </w:rPr>
        <w:t>Accordingly, t</w:t>
      </w:r>
      <w:r w:rsidR="000F71ED" w:rsidRPr="000F71ED">
        <w:rPr>
          <w:lang w:val="en-AU"/>
        </w:rPr>
        <w:t xml:space="preserve">he Commission’s </w:t>
      </w:r>
      <w:r w:rsidR="00A82783">
        <w:rPr>
          <w:lang w:val="en-AU"/>
        </w:rPr>
        <w:t>Framework Statement</w:t>
      </w:r>
      <w:r w:rsidR="000F71ED">
        <w:rPr>
          <w:lang w:val="en-AU"/>
        </w:rPr>
        <w:t xml:space="preserve"> </w:t>
      </w:r>
      <w:r w:rsidR="004B0BDE">
        <w:rPr>
          <w:lang w:val="en-AU"/>
        </w:rPr>
        <w:t>stated that</w:t>
      </w:r>
      <w:r w:rsidR="000F71ED">
        <w:rPr>
          <w:lang w:val="en-AU"/>
        </w:rPr>
        <w:t xml:space="preserve"> its </w:t>
      </w:r>
      <w:r w:rsidR="000F71ED" w:rsidRPr="000F71ED">
        <w:rPr>
          <w:lang w:val="en-AU"/>
        </w:rPr>
        <w:t xml:space="preserve">preferred approach </w:t>
      </w:r>
      <w:r w:rsidR="004B0BDE">
        <w:rPr>
          <w:lang w:val="en-AU"/>
        </w:rPr>
        <w:t>was to</w:t>
      </w:r>
      <w:r w:rsidR="00BD2CDE" w:rsidRPr="000F71ED">
        <w:rPr>
          <w:lang w:val="en-AU"/>
        </w:rPr>
        <w:t xml:space="preserve"> </w:t>
      </w:r>
      <w:r w:rsidR="000F71ED" w:rsidRPr="000F71ED">
        <w:rPr>
          <w:lang w:val="en-AU"/>
        </w:rPr>
        <w:t xml:space="preserve">determine the pre-tax nominal WACC based on the </w:t>
      </w:r>
      <w:r w:rsidR="00F46746">
        <w:rPr>
          <w:lang w:val="en-AU"/>
        </w:rPr>
        <w:t xml:space="preserve">methodologies used </w:t>
      </w:r>
      <w:r w:rsidR="000F71ED" w:rsidRPr="000F71ED">
        <w:rPr>
          <w:lang w:val="en-AU"/>
        </w:rPr>
        <w:t xml:space="preserve">by the AER </w:t>
      </w:r>
      <w:r w:rsidR="00F46746">
        <w:rPr>
          <w:lang w:val="en-AU"/>
        </w:rPr>
        <w:t xml:space="preserve">to establish the parameters </w:t>
      </w:r>
      <w:r w:rsidR="000F71ED" w:rsidRPr="000F71ED">
        <w:rPr>
          <w:lang w:val="en-AU"/>
        </w:rPr>
        <w:t xml:space="preserve">in its most recent distribution determination </w:t>
      </w:r>
      <w:r w:rsidR="00282118">
        <w:rPr>
          <w:lang w:val="en-AU"/>
        </w:rPr>
        <w:t>(</w:t>
      </w:r>
      <w:r w:rsidR="000F71ED" w:rsidRPr="000F71ED">
        <w:rPr>
          <w:lang w:val="en-AU"/>
        </w:rPr>
        <w:t xml:space="preserve">being the 2012-17 distribution determination for </w:t>
      </w:r>
      <w:r w:rsidR="00282118">
        <w:rPr>
          <w:lang w:val="en-AU"/>
        </w:rPr>
        <w:t>Aurora Energy)</w:t>
      </w:r>
      <w:r w:rsidR="000F71ED" w:rsidRPr="000F71ED">
        <w:rPr>
          <w:lang w:val="en-AU"/>
        </w:rPr>
        <w:t xml:space="preserve">, except for the DRP. The DRP </w:t>
      </w:r>
      <w:r w:rsidR="00BD2CDE">
        <w:rPr>
          <w:lang w:val="en-AU"/>
        </w:rPr>
        <w:t>would</w:t>
      </w:r>
      <w:r w:rsidR="00BD2CDE" w:rsidRPr="000F71ED">
        <w:rPr>
          <w:lang w:val="en-AU"/>
        </w:rPr>
        <w:t xml:space="preserve"> </w:t>
      </w:r>
      <w:r w:rsidR="000F71ED" w:rsidRPr="000F71ED">
        <w:rPr>
          <w:lang w:val="en-AU"/>
        </w:rPr>
        <w:t xml:space="preserve">be based on the methodology set out in the AER’s draft </w:t>
      </w:r>
      <w:r w:rsidR="00282118">
        <w:rPr>
          <w:lang w:val="en-AU"/>
        </w:rPr>
        <w:t xml:space="preserve">2012-17 distribution </w:t>
      </w:r>
      <w:r w:rsidR="000F71ED" w:rsidRPr="000F71ED">
        <w:rPr>
          <w:lang w:val="en-AU"/>
        </w:rPr>
        <w:t xml:space="preserve">determination for </w:t>
      </w:r>
      <w:r w:rsidR="00282118">
        <w:rPr>
          <w:lang w:val="en-AU"/>
        </w:rPr>
        <w:t>Aurora Energy</w:t>
      </w:r>
      <w:r w:rsidR="000F71ED" w:rsidRPr="000F71ED">
        <w:rPr>
          <w:lang w:val="en-AU"/>
        </w:rPr>
        <w:t xml:space="preserve"> which </w:t>
      </w:r>
      <w:r w:rsidR="00282118" w:rsidRPr="000F71ED">
        <w:rPr>
          <w:lang w:val="en-AU"/>
        </w:rPr>
        <w:t>estimate</w:t>
      </w:r>
      <w:r w:rsidR="00282118">
        <w:rPr>
          <w:lang w:val="en-AU"/>
        </w:rPr>
        <w:t>d</w:t>
      </w:r>
      <w:r w:rsidR="00282118" w:rsidRPr="000F71ED">
        <w:rPr>
          <w:lang w:val="en-AU"/>
        </w:rPr>
        <w:t xml:space="preserve"> </w:t>
      </w:r>
      <w:r w:rsidR="000F71ED" w:rsidRPr="000F71ED">
        <w:rPr>
          <w:lang w:val="en-AU"/>
        </w:rPr>
        <w:t xml:space="preserve">the DRP based on observed market data of a large representative sample of the benchmark Australian corporate bond with a </w:t>
      </w:r>
      <w:r w:rsidR="00372BE7" w:rsidRPr="000F71ED">
        <w:rPr>
          <w:lang w:val="en-AU"/>
        </w:rPr>
        <w:t>10</w:t>
      </w:r>
      <w:r w:rsidR="00372BE7">
        <w:rPr>
          <w:lang w:val="en-AU"/>
        </w:rPr>
        <w:noBreakHyphen/>
      </w:r>
      <w:r w:rsidR="000F71ED" w:rsidRPr="000F71ED">
        <w:rPr>
          <w:lang w:val="en-AU"/>
        </w:rPr>
        <w:t>year term to maturity and BBB+ credit rating.</w:t>
      </w:r>
    </w:p>
    <w:p w14:paraId="392CF6B8" w14:textId="44F41D5D" w:rsidR="005A6DA7" w:rsidRDefault="005A6DA7" w:rsidP="005A6DA7">
      <w:pPr>
        <w:pStyle w:val="UtilComHeading2"/>
      </w:pPr>
      <w:bookmarkStart w:id="252" w:name="_Toc385241548"/>
      <w:bookmarkStart w:id="253" w:name="_Toc386013101"/>
      <w:r>
        <w:t>PWC Networks</w:t>
      </w:r>
      <w:r w:rsidR="00D624BF">
        <w:t>’</w:t>
      </w:r>
      <w:r>
        <w:t xml:space="preserve"> </w:t>
      </w:r>
      <w:r w:rsidR="00CB4726">
        <w:t xml:space="preserve">Initial Regulatory </w:t>
      </w:r>
      <w:bookmarkEnd w:id="252"/>
      <w:r w:rsidR="00CB4726">
        <w:t>Proposal</w:t>
      </w:r>
      <w:bookmarkEnd w:id="253"/>
    </w:p>
    <w:p w14:paraId="0D01C6DD" w14:textId="77777777" w:rsidR="0056767A" w:rsidRPr="0056767A" w:rsidRDefault="000F71ED" w:rsidP="009825AC">
      <w:pPr>
        <w:pStyle w:val="NumberLevel2"/>
        <w:numPr>
          <w:ilvl w:val="1"/>
          <w:numId w:val="5"/>
        </w:numPr>
        <w:tabs>
          <w:tab w:val="clear" w:pos="3270"/>
          <w:tab w:val="num" w:pos="709"/>
        </w:tabs>
        <w:ind w:left="709" w:hanging="709"/>
        <w:rPr>
          <w:lang w:val="en-AU"/>
        </w:rPr>
      </w:pPr>
      <w:r w:rsidRPr="0056767A">
        <w:rPr>
          <w:lang w:val="en-AU"/>
        </w:rPr>
        <w:t xml:space="preserve">PWC Networks’ </w:t>
      </w:r>
      <w:r w:rsidR="0056767A" w:rsidRPr="0056767A">
        <w:rPr>
          <w:lang w:val="en-AU"/>
        </w:rPr>
        <w:t>applied the WACC parameters specified in the Commission’s Frame</w:t>
      </w:r>
      <w:r w:rsidR="0056767A">
        <w:rPr>
          <w:lang w:val="en-AU"/>
        </w:rPr>
        <w:t>w</w:t>
      </w:r>
      <w:r w:rsidR="0056767A" w:rsidRPr="0056767A">
        <w:rPr>
          <w:lang w:val="en-AU"/>
        </w:rPr>
        <w:t>ork Statement with the exception of the credit r</w:t>
      </w:r>
      <w:r w:rsidR="0056767A">
        <w:rPr>
          <w:lang w:val="en-AU"/>
        </w:rPr>
        <w:t>ating used to determine the DRP.</w:t>
      </w:r>
    </w:p>
    <w:p w14:paraId="1836D3D8" w14:textId="5F83BAEE" w:rsidR="0056767A" w:rsidRPr="0005758B" w:rsidRDefault="0056767A" w:rsidP="009825AC">
      <w:pPr>
        <w:pStyle w:val="NumberLevel2"/>
        <w:numPr>
          <w:ilvl w:val="1"/>
          <w:numId w:val="5"/>
        </w:numPr>
        <w:tabs>
          <w:tab w:val="num" w:pos="709"/>
        </w:tabs>
        <w:ind w:left="709" w:hanging="709"/>
        <w:rPr>
          <w:lang w:val="en-AU"/>
        </w:rPr>
      </w:pPr>
      <w:r w:rsidRPr="0005758B">
        <w:rPr>
          <w:lang w:val="en-AU"/>
        </w:rPr>
        <w:t xml:space="preserve">PWC Networks </w:t>
      </w:r>
      <w:r w:rsidR="00BD2CDE" w:rsidRPr="0005758B">
        <w:rPr>
          <w:lang w:val="en-AU"/>
        </w:rPr>
        <w:t>argue</w:t>
      </w:r>
      <w:r w:rsidR="00BD2CDE">
        <w:rPr>
          <w:lang w:val="en-AU"/>
        </w:rPr>
        <w:t>d</w:t>
      </w:r>
      <w:r w:rsidR="00BD2CDE" w:rsidRPr="0005758B">
        <w:rPr>
          <w:lang w:val="en-AU"/>
        </w:rPr>
        <w:t xml:space="preserve"> </w:t>
      </w:r>
      <w:r w:rsidRPr="0005758B">
        <w:rPr>
          <w:lang w:val="en-AU"/>
        </w:rPr>
        <w:t xml:space="preserve">that the Bloomberg BBB rated </w:t>
      </w:r>
      <w:r w:rsidR="003A7F92">
        <w:rPr>
          <w:lang w:val="en-AU"/>
        </w:rPr>
        <w:t>fair value curve (</w:t>
      </w:r>
      <w:r w:rsidRPr="0005758B">
        <w:rPr>
          <w:lang w:val="en-AU"/>
        </w:rPr>
        <w:t>FVC</w:t>
      </w:r>
      <w:r w:rsidR="003A7F92">
        <w:rPr>
          <w:lang w:val="en-AU"/>
        </w:rPr>
        <w:t>)</w:t>
      </w:r>
      <w:r w:rsidR="003A7F92">
        <w:rPr>
          <w:rStyle w:val="FootnoteReference"/>
          <w:lang w:val="en-AU"/>
        </w:rPr>
        <w:footnoteReference w:id="61"/>
      </w:r>
      <w:r w:rsidR="003F7EA4">
        <w:rPr>
          <w:lang w:val="en-AU"/>
        </w:rPr>
        <w:t xml:space="preserve"> </w:t>
      </w:r>
      <w:r w:rsidRPr="0005758B">
        <w:rPr>
          <w:lang w:val="en-AU"/>
        </w:rPr>
        <w:t xml:space="preserve"> should </w:t>
      </w:r>
      <w:r w:rsidR="0005758B" w:rsidRPr="0005758B">
        <w:rPr>
          <w:lang w:val="en-AU"/>
        </w:rPr>
        <w:t xml:space="preserve">be </w:t>
      </w:r>
      <w:r w:rsidRPr="0005758B">
        <w:rPr>
          <w:lang w:val="en-AU"/>
        </w:rPr>
        <w:t xml:space="preserve">used to estimate the DRP, extrapolated to a </w:t>
      </w:r>
      <w:r w:rsidR="0054735D" w:rsidRPr="0005758B">
        <w:rPr>
          <w:lang w:val="en-AU"/>
        </w:rPr>
        <w:t>10</w:t>
      </w:r>
      <w:r w:rsidR="0054735D">
        <w:rPr>
          <w:lang w:val="en-AU"/>
        </w:rPr>
        <w:t>-</w:t>
      </w:r>
      <w:r w:rsidRPr="0005758B">
        <w:rPr>
          <w:lang w:val="en-AU"/>
        </w:rPr>
        <w:t xml:space="preserve">year term, </w:t>
      </w:r>
      <w:r w:rsidR="0005758B" w:rsidRPr="0005758B">
        <w:rPr>
          <w:lang w:val="en-AU"/>
        </w:rPr>
        <w:t>as it</w:t>
      </w:r>
      <w:r w:rsidRPr="0005758B">
        <w:rPr>
          <w:lang w:val="en-AU"/>
        </w:rPr>
        <w:t xml:space="preserve"> </w:t>
      </w:r>
      <w:r w:rsidR="004152BB">
        <w:rPr>
          <w:lang w:val="en-AU"/>
        </w:rPr>
        <w:t>was</w:t>
      </w:r>
      <w:r w:rsidRPr="0005758B">
        <w:rPr>
          <w:lang w:val="en-AU"/>
        </w:rPr>
        <w:t xml:space="preserve"> demonstrably</w:t>
      </w:r>
      <w:r w:rsidR="0005758B" w:rsidRPr="0005758B">
        <w:rPr>
          <w:lang w:val="en-AU"/>
        </w:rPr>
        <w:t xml:space="preserve"> </w:t>
      </w:r>
      <w:r w:rsidR="0030167B">
        <w:rPr>
          <w:lang w:val="en-AU"/>
        </w:rPr>
        <w:t>‘</w:t>
      </w:r>
      <w:r w:rsidRPr="0005758B">
        <w:rPr>
          <w:lang w:val="en-AU"/>
        </w:rPr>
        <w:t>generally accepted regulatory practice at the time</w:t>
      </w:r>
      <w:r w:rsidR="0030167B">
        <w:rPr>
          <w:lang w:val="en-AU"/>
        </w:rPr>
        <w:t>’</w:t>
      </w:r>
      <w:r w:rsidR="0054735D" w:rsidRPr="0005758B">
        <w:rPr>
          <w:lang w:val="en-AU"/>
        </w:rPr>
        <w:t xml:space="preserve"> </w:t>
      </w:r>
      <w:r w:rsidRPr="0005758B">
        <w:rPr>
          <w:lang w:val="en-AU"/>
        </w:rPr>
        <w:t>as applied by the AER to Aurora</w:t>
      </w:r>
      <w:r w:rsidR="0005758B">
        <w:rPr>
          <w:lang w:val="en-AU"/>
        </w:rPr>
        <w:t xml:space="preserve"> </w:t>
      </w:r>
      <w:r w:rsidR="00282118">
        <w:rPr>
          <w:lang w:val="en-AU"/>
        </w:rPr>
        <w:t xml:space="preserve">Energy </w:t>
      </w:r>
      <w:r w:rsidRPr="0005758B">
        <w:rPr>
          <w:lang w:val="en-AU"/>
        </w:rPr>
        <w:t xml:space="preserve">and several other </w:t>
      </w:r>
      <w:r w:rsidR="00282118">
        <w:rPr>
          <w:lang w:val="en-AU"/>
        </w:rPr>
        <w:t>DNSPs</w:t>
      </w:r>
      <w:r w:rsidRPr="0005758B">
        <w:rPr>
          <w:lang w:val="en-AU"/>
        </w:rPr>
        <w:t>.</w:t>
      </w:r>
    </w:p>
    <w:p w14:paraId="0A69CADB" w14:textId="6AD11825" w:rsidR="005A6DA7" w:rsidRDefault="005864C9" w:rsidP="009825AC">
      <w:pPr>
        <w:pStyle w:val="NumberLevel2"/>
        <w:numPr>
          <w:ilvl w:val="1"/>
          <w:numId w:val="5"/>
        </w:numPr>
        <w:tabs>
          <w:tab w:val="num" w:pos="709"/>
        </w:tabs>
        <w:ind w:left="709" w:hanging="709"/>
        <w:rPr>
          <w:lang w:val="en-AU"/>
        </w:rPr>
      </w:pPr>
      <w:r>
        <w:rPr>
          <w:lang w:val="en-AU"/>
        </w:rPr>
        <w:t xml:space="preserve">PWC Networks </w:t>
      </w:r>
      <w:r w:rsidR="00BD2CDE">
        <w:rPr>
          <w:lang w:val="en-AU"/>
        </w:rPr>
        <w:t xml:space="preserve">did </w:t>
      </w:r>
      <w:r>
        <w:rPr>
          <w:lang w:val="en-AU"/>
        </w:rPr>
        <w:t xml:space="preserve">not update the </w:t>
      </w:r>
      <w:r w:rsidR="0005758B">
        <w:rPr>
          <w:lang w:val="en-AU"/>
        </w:rPr>
        <w:t>market based parameters</w:t>
      </w:r>
      <w:r w:rsidR="0054735D">
        <w:rPr>
          <w:lang w:val="en-AU"/>
        </w:rPr>
        <w:t xml:space="preserve"> – </w:t>
      </w:r>
      <w:r>
        <w:rPr>
          <w:lang w:val="en-AU"/>
        </w:rPr>
        <w:t>nominal risk free rate</w:t>
      </w:r>
      <w:r w:rsidR="001A4AEB">
        <w:rPr>
          <w:lang w:val="en-AU"/>
        </w:rPr>
        <w:t>,</w:t>
      </w:r>
      <w:r>
        <w:rPr>
          <w:lang w:val="en-AU"/>
        </w:rPr>
        <w:t xml:space="preserve"> the debt risk premium</w:t>
      </w:r>
      <w:r w:rsidR="001A4AEB">
        <w:rPr>
          <w:lang w:val="en-AU"/>
        </w:rPr>
        <w:t xml:space="preserve"> or the inflation rate </w:t>
      </w:r>
      <w:r w:rsidR="0005758B">
        <w:rPr>
          <w:lang w:val="en-AU"/>
        </w:rPr>
        <w:t xml:space="preserve">– and applied the values for those parameters </w:t>
      </w:r>
      <w:r w:rsidR="001A4AEB">
        <w:rPr>
          <w:lang w:val="en-AU"/>
        </w:rPr>
        <w:t>used in the Aurora</w:t>
      </w:r>
      <w:r w:rsidR="00282118">
        <w:rPr>
          <w:lang w:val="en-AU"/>
        </w:rPr>
        <w:t xml:space="preserve"> Energy 2012-17</w:t>
      </w:r>
      <w:r w:rsidR="001A4AEB">
        <w:rPr>
          <w:lang w:val="en-AU"/>
        </w:rPr>
        <w:t xml:space="preserve"> </w:t>
      </w:r>
      <w:r w:rsidR="0005758B">
        <w:rPr>
          <w:lang w:val="en-AU"/>
        </w:rPr>
        <w:t xml:space="preserve">final </w:t>
      </w:r>
      <w:r w:rsidR="00282118">
        <w:rPr>
          <w:lang w:val="en-AU"/>
        </w:rPr>
        <w:t xml:space="preserve">distribution </w:t>
      </w:r>
      <w:r w:rsidR="0005758B">
        <w:rPr>
          <w:lang w:val="en-AU"/>
        </w:rPr>
        <w:t>d</w:t>
      </w:r>
      <w:r w:rsidR="001A4AEB">
        <w:rPr>
          <w:lang w:val="en-AU"/>
        </w:rPr>
        <w:t>eter</w:t>
      </w:r>
      <w:r w:rsidR="0005758B">
        <w:rPr>
          <w:lang w:val="en-AU"/>
        </w:rPr>
        <w:t>m</w:t>
      </w:r>
      <w:r w:rsidR="001A4AEB">
        <w:rPr>
          <w:lang w:val="en-AU"/>
        </w:rPr>
        <w:t>ination</w:t>
      </w:r>
      <w:r>
        <w:rPr>
          <w:lang w:val="en-AU"/>
        </w:rPr>
        <w:t>.</w:t>
      </w:r>
    </w:p>
    <w:p w14:paraId="1797EEAE" w14:textId="77777777" w:rsidR="00F168BF" w:rsidRPr="00A139AD" w:rsidRDefault="00F168BF" w:rsidP="0054735D">
      <w:pPr>
        <w:pStyle w:val="UtilComTableTitle"/>
        <w:keepNext/>
        <w:spacing w:before="120" w:after="0" w:line="240" w:lineRule="exact"/>
      </w:pPr>
      <w:r>
        <w:t>T</w:t>
      </w:r>
      <w:r w:rsidR="007F6798">
        <w:t xml:space="preserve">able </w:t>
      </w:r>
      <w:r w:rsidR="00BD2CDE">
        <w:t>12</w:t>
      </w:r>
      <w:r w:rsidR="007F6798">
        <w:t>.1</w:t>
      </w:r>
      <w:r>
        <w:t>: PWC Networks proposed WACC parameters</w:t>
      </w:r>
    </w:p>
    <w:tbl>
      <w:tblPr>
        <w:tblW w:w="6662"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4110"/>
        <w:gridCol w:w="2552"/>
      </w:tblGrid>
      <w:tr w:rsidR="00F168BF" w:rsidRPr="00CD0BDF" w14:paraId="2176BB76" w14:textId="77777777" w:rsidTr="00F168BF">
        <w:trPr>
          <w:trHeight w:val="360"/>
        </w:trPr>
        <w:tc>
          <w:tcPr>
            <w:tcW w:w="4110" w:type="dxa"/>
            <w:tcBorders>
              <w:bottom w:val="single" w:sz="4" w:space="0" w:color="auto"/>
            </w:tcBorders>
            <w:vAlign w:val="center"/>
          </w:tcPr>
          <w:p w14:paraId="3AAC48C0" w14:textId="77777777" w:rsidR="00F168BF" w:rsidRPr="002F053A" w:rsidRDefault="00F168BF" w:rsidP="00534838">
            <w:pPr>
              <w:pStyle w:val="UtilComTableColumnHeading"/>
            </w:pPr>
            <w:r>
              <w:t>Set parameters</w:t>
            </w:r>
          </w:p>
        </w:tc>
        <w:tc>
          <w:tcPr>
            <w:tcW w:w="2552" w:type="dxa"/>
            <w:tcBorders>
              <w:bottom w:val="single" w:sz="4" w:space="0" w:color="auto"/>
            </w:tcBorders>
          </w:tcPr>
          <w:p w14:paraId="7E6FC8C9" w14:textId="77777777" w:rsidR="00F168BF" w:rsidRDefault="00F168BF" w:rsidP="00534838">
            <w:pPr>
              <w:pStyle w:val="UtilComTableColumnHeading"/>
            </w:pPr>
            <w:r>
              <w:t>PWC Regulatory Proposal</w:t>
            </w:r>
          </w:p>
        </w:tc>
      </w:tr>
      <w:tr w:rsidR="00F168BF" w:rsidRPr="008A4655" w14:paraId="235177E2" w14:textId="77777777" w:rsidTr="00F168BF">
        <w:trPr>
          <w:trHeight w:val="360"/>
        </w:trPr>
        <w:tc>
          <w:tcPr>
            <w:tcW w:w="4110" w:type="dxa"/>
            <w:vAlign w:val="center"/>
          </w:tcPr>
          <w:p w14:paraId="63025BAE" w14:textId="77777777" w:rsidR="00F168BF" w:rsidRPr="00340D05" w:rsidRDefault="00F168BF" w:rsidP="00534838">
            <w:pPr>
              <w:pStyle w:val="UtilComTabletext"/>
            </w:pPr>
            <w:r>
              <w:t>Nominal risk-free rate</w:t>
            </w:r>
          </w:p>
        </w:tc>
        <w:tc>
          <w:tcPr>
            <w:tcW w:w="2552" w:type="dxa"/>
          </w:tcPr>
          <w:p w14:paraId="6C841CCB" w14:textId="77777777" w:rsidR="00F168BF" w:rsidRDefault="00F168BF" w:rsidP="00534838">
            <w:pPr>
              <w:pStyle w:val="UtilComTabletext"/>
              <w:jc w:val="center"/>
            </w:pPr>
            <w:r>
              <w:t>3.89%</w:t>
            </w:r>
          </w:p>
        </w:tc>
      </w:tr>
      <w:tr w:rsidR="00F168BF" w:rsidRPr="008A4655" w14:paraId="51745E74" w14:textId="77777777" w:rsidTr="00F168BF">
        <w:trPr>
          <w:trHeight w:val="360"/>
        </w:trPr>
        <w:tc>
          <w:tcPr>
            <w:tcW w:w="4110" w:type="dxa"/>
            <w:tcBorders>
              <w:bottom w:val="single" w:sz="4" w:space="0" w:color="999999"/>
            </w:tcBorders>
            <w:vAlign w:val="center"/>
          </w:tcPr>
          <w:p w14:paraId="0770CE61" w14:textId="77777777" w:rsidR="00F168BF" w:rsidRPr="00340D05" w:rsidRDefault="00F168BF" w:rsidP="00534838">
            <w:pPr>
              <w:pStyle w:val="UtilComTabletext"/>
            </w:pPr>
            <w:r>
              <w:t>Market risk premium (MRP)</w:t>
            </w:r>
          </w:p>
        </w:tc>
        <w:tc>
          <w:tcPr>
            <w:tcW w:w="2552" w:type="dxa"/>
            <w:tcBorders>
              <w:bottom w:val="single" w:sz="4" w:space="0" w:color="999999"/>
            </w:tcBorders>
          </w:tcPr>
          <w:p w14:paraId="0DAA1856" w14:textId="77777777" w:rsidR="00F168BF" w:rsidRDefault="00F168BF" w:rsidP="00534838">
            <w:pPr>
              <w:pStyle w:val="UtilComTabletext"/>
              <w:jc w:val="center"/>
            </w:pPr>
            <w:r>
              <w:t>6.00%</w:t>
            </w:r>
          </w:p>
        </w:tc>
      </w:tr>
      <w:tr w:rsidR="00F168BF" w:rsidRPr="008A4655" w14:paraId="01344FDB" w14:textId="77777777" w:rsidTr="00F168BF">
        <w:trPr>
          <w:trHeight w:val="360"/>
        </w:trPr>
        <w:tc>
          <w:tcPr>
            <w:tcW w:w="4110" w:type="dxa"/>
            <w:vAlign w:val="center"/>
          </w:tcPr>
          <w:p w14:paraId="78585F5B" w14:textId="77777777" w:rsidR="00F168BF" w:rsidRPr="00340D05" w:rsidRDefault="00F168BF" w:rsidP="00534838">
            <w:pPr>
              <w:pStyle w:val="UtilComTabletext"/>
            </w:pPr>
            <w:r>
              <w:t>Equity beta</w:t>
            </w:r>
          </w:p>
        </w:tc>
        <w:tc>
          <w:tcPr>
            <w:tcW w:w="2552" w:type="dxa"/>
          </w:tcPr>
          <w:p w14:paraId="714F1061" w14:textId="77777777" w:rsidR="00F168BF" w:rsidRDefault="00F168BF" w:rsidP="0054735D">
            <w:pPr>
              <w:pStyle w:val="UtilComTabletext"/>
              <w:jc w:val="center"/>
            </w:pPr>
            <w:r>
              <w:t>0.8</w:t>
            </w:r>
          </w:p>
        </w:tc>
      </w:tr>
      <w:tr w:rsidR="00F168BF" w:rsidRPr="008A4655" w14:paraId="0E549E36" w14:textId="77777777" w:rsidTr="00F168BF">
        <w:trPr>
          <w:trHeight w:val="360"/>
        </w:trPr>
        <w:tc>
          <w:tcPr>
            <w:tcW w:w="4110" w:type="dxa"/>
            <w:tcBorders>
              <w:top w:val="single" w:sz="4" w:space="0" w:color="999999"/>
            </w:tcBorders>
            <w:vAlign w:val="center"/>
          </w:tcPr>
          <w:p w14:paraId="4EE8265A" w14:textId="77777777" w:rsidR="00F168BF" w:rsidRDefault="00F168BF" w:rsidP="00534838">
            <w:pPr>
              <w:pStyle w:val="UtilComTabletext"/>
            </w:pPr>
            <w:r>
              <w:t>Debt risk premium</w:t>
            </w:r>
          </w:p>
        </w:tc>
        <w:tc>
          <w:tcPr>
            <w:tcW w:w="2552" w:type="dxa"/>
            <w:tcBorders>
              <w:top w:val="single" w:sz="4" w:space="0" w:color="999999"/>
            </w:tcBorders>
          </w:tcPr>
          <w:p w14:paraId="3B142177" w14:textId="77777777" w:rsidR="00F168BF" w:rsidRDefault="00F168BF" w:rsidP="00534838">
            <w:pPr>
              <w:pStyle w:val="UtilComTabletext"/>
              <w:jc w:val="center"/>
            </w:pPr>
            <w:r>
              <w:t>4.11%</w:t>
            </w:r>
          </w:p>
        </w:tc>
      </w:tr>
      <w:tr w:rsidR="00F168BF" w:rsidRPr="008A4655" w14:paraId="0CF2B271" w14:textId="77777777" w:rsidTr="00F168BF">
        <w:trPr>
          <w:trHeight w:val="360"/>
        </w:trPr>
        <w:tc>
          <w:tcPr>
            <w:tcW w:w="4110" w:type="dxa"/>
            <w:tcBorders>
              <w:top w:val="single" w:sz="4" w:space="0" w:color="999999"/>
            </w:tcBorders>
            <w:vAlign w:val="center"/>
          </w:tcPr>
          <w:p w14:paraId="5F463822" w14:textId="77777777" w:rsidR="00F168BF" w:rsidRPr="00340D05" w:rsidRDefault="00F168BF" w:rsidP="00534838">
            <w:pPr>
              <w:pStyle w:val="UtilComTabletext"/>
            </w:pPr>
            <w:r>
              <w:t>Gearing</w:t>
            </w:r>
          </w:p>
        </w:tc>
        <w:tc>
          <w:tcPr>
            <w:tcW w:w="2552" w:type="dxa"/>
            <w:tcBorders>
              <w:top w:val="single" w:sz="4" w:space="0" w:color="999999"/>
            </w:tcBorders>
          </w:tcPr>
          <w:p w14:paraId="23E46B3C" w14:textId="77777777" w:rsidR="00F168BF" w:rsidRDefault="00F168BF" w:rsidP="00534838">
            <w:pPr>
              <w:pStyle w:val="UtilComTabletext"/>
              <w:jc w:val="center"/>
            </w:pPr>
            <w:r>
              <w:t>60:40</w:t>
            </w:r>
          </w:p>
        </w:tc>
      </w:tr>
      <w:tr w:rsidR="00F168BF" w:rsidRPr="008A4655" w14:paraId="2941996E" w14:textId="77777777" w:rsidTr="00F168BF">
        <w:trPr>
          <w:trHeight w:val="360"/>
        </w:trPr>
        <w:tc>
          <w:tcPr>
            <w:tcW w:w="4110" w:type="dxa"/>
            <w:tcBorders>
              <w:top w:val="single" w:sz="4" w:space="0" w:color="999999"/>
            </w:tcBorders>
            <w:vAlign w:val="center"/>
          </w:tcPr>
          <w:p w14:paraId="55B46421" w14:textId="77777777" w:rsidR="00F168BF" w:rsidRDefault="00F168BF" w:rsidP="00534838">
            <w:pPr>
              <w:pStyle w:val="UtilComTabletext"/>
            </w:pPr>
            <w:r>
              <w:t>Inflation rate</w:t>
            </w:r>
          </w:p>
        </w:tc>
        <w:tc>
          <w:tcPr>
            <w:tcW w:w="2552" w:type="dxa"/>
            <w:tcBorders>
              <w:top w:val="single" w:sz="4" w:space="0" w:color="999999"/>
            </w:tcBorders>
          </w:tcPr>
          <w:p w14:paraId="04721FFB" w14:textId="77777777" w:rsidR="00F168BF" w:rsidRDefault="00F168BF" w:rsidP="00534838">
            <w:pPr>
              <w:pStyle w:val="UtilComTabletext"/>
              <w:jc w:val="center"/>
            </w:pPr>
            <w:r>
              <w:t>2.60%</w:t>
            </w:r>
          </w:p>
        </w:tc>
      </w:tr>
      <w:tr w:rsidR="00F168BF" w:rsidRPr="008A4655" w14:paraId="7E104583" w14:textId="77777777" w:rsidTr="00F168BF">
        <w:trPr>
          <w:trHeight w:val="360"/>
        </w:trPr>
        <w:tc>
          <w:tcPr>
            <w:tcW w:w="4110" w:type="dxa"/>
            <w:vAlign w:val="center"/>
          </w:tcPr>
          <w:p w14:paraId="54A7E21B" w14:textId="77777777" w:rsidR="00F168BF" w:rsidRPr="00340D05" w:rsidRDefault="00F168BF" w:rsidP="00534838">
            <w:pPr>
              <w:pStyle w:val="UtilComTabletext"/>
            </w:pPr>
            <w:r>
              <w:t>Corporate tax rate</w:t>
            </w:r>
          </w:p>
        </w:tc>
        <w:tc>
          <w:tcPr>
            <w:tcW w:w="2552" w:type="dxa"/>
          </w:tcPr>
          <w:p w14:paraId="479A1B25" w14:textId="77777777" w:rsidR="00F168BF" w:rsidRDefault="00F168BF" w:rsidP="00534838">
            <w:pPr>
              <w:pStyle w:val="UtilComTabletext"/>
              <w:jc w:val="center"/>
            </w:pPr>
            <w:r>
              <w:t>30.00%</w:t>
            </w:r>
          </w:p>
        </w:tc>
      </w:tr>
      <w:tr w:rsidR="00F168BF" w:rsidRPr="008A4655" w14:paraId="633E8FA4" w14:textId="77777777" w:rsidTr="00F168BF">
        <w:trPr>
          <w:trHeight w:val="360"/>
        </w:trPr>
        <w:tc>
          <w:tcPr>
            <w:tcW w:w="4110" w:type="dxa"/>
            <w:tcBorders>
              <w:bottom w:val="single" w:sz="4" w:space="0" w:color="000000"/>
            </w:tcBorders>
            <w:vAlign w:val="center"/>
          </w:tcPr>
          <w:p w14:paraId="5147A215" w14:textId="77777777" w:rsidR="00F168BF" w:rsidRPr="00340D05" w:rsidRDefault="00F168BF" w:rsidP="00534838">
            <w:pPr>
              <w:pStyle w:val="UtilComTabletext"/>
            </w:pPr>
            <w:r>
              <w:t>Gamma</w:t>
            </w:r>
          </w:p>
        </w:tc>
        <w:tc>
          <w:tcPr>
            <w:tcW w:w="2552" w:type="dxa"/>
            <w:tcBorders>
              <w:bottom w:val="single" w:sz="4" w:space="0" w:color="000000"/>
            </w:tcBorders>
          </w:tcPr>
          <w:p w14:paraId="4421E442" w14:textId="77777777" w:rsidR="00F168BF" w:rsidRDefault="00F168BF" w:rsidP="00534838">
            <w:pPr>
              <w:pStyle w:val="UtilComTabletext"/>
              <w:jc w:val="center"/>
            </w:pPr>
            <w:r>
              <w:t>25.00%</w:t>
            </w:r>
          </w:p>
        </w:tc>
      </w:tr>
      <w:tr w:rsidR="00F168BF" w:rsidRPr="00781CC8" w14:paraId="43EF46CD" w14:textId="77777777" w:rsidTr="00F168BF">
        <w:trPr>
          <w:trHeight w:val="360"/>
        </w:trPr>
        <w:tc>
          <w:tcPr>
            <w:tcW w:w="4110" w:type="dxa"/>
            <w:tcBorders>
              <w:top w:val="single" w:sz="4" w:space="0" w:color="000000"/>
              <w:bottom w:val="single" w:sz="4" w:space="0" w:color="auto"/>
            </w:tcBorders>
            <w:vAlign w:val="center"/>
          </w:tcPr>
          <w:p w14:paraId="72197458" w14:textId="77777777" w:rsidR="00F168BF" w:rsidRPr="00781CC8" w:rsidRDefault="00F168BF" w:rsidP="00534838">
            <w:pPr>
              <w:pStyle w:val="UtilComTabletext"/>
              <w:rPr>
                <w:b/>
              </w:rPr>
            </w:pPr>
            <w:r>
              <w:rPr>
                <w:b/>
              </w:rPr>
              <w:t>Pre-tax nominal</w:t>
            </w:r>
            <w:r w:rsidRPr="00781CC8">
              <w:rPr>
                <w:b/>
              </w:rPr>
              <w:t xml:space="preserve"> WACC</w:t>
            </w:r>
          </w:p>
        </w:tc>
        <w:tc>
          <w:tcPr>
            <w:tcW w:w="2552" w:type="dxa"/>
            <w:tcBorders>
              <w:top w:val="single" w:sz="4" w:space="0" w:color="000000"/>
              <w:bottom w:val="single" w:sz="4" w:space="0" w:color="auto"/>
            </w:tcBorders>
          </w:tcPr>
          <w:p w14:paraId="55915824" w14:textId="77777777" w:rsidR="00F168BF" w:rsidRPr="00781CC8" w:rsidRDefault="00F168BF" w:rsidP="00534838">
            <w:pPr>
              <w:pStyle w:val="UtilComTabletext"/>
              <w:jc w:val="center"/>
              <w:rPr>
                <w:b/>
              </w:rPr>
            </w:pPr>
            <w:r>
              <w:rPr>
                <w:b/>
              </w:rPr>
              <w:t>8.80%</w:t>
            </w:r>
          </w:p>
        </w:tc>
      </w:tr>
    </w:tbl>
    <w:p w14:paraId="4D7C0BA0" w14:textId="77777777" w:rsidR="00F168BF" w:rsidRDefault="00982F12" w:rsidP="00F168BF">
      <w:pPr>
        <w:pStyle w:val="UtilComReferenceSource"/>
        <w:spacing w:after="0"/>
        <w:ind w:left="142"/>
      </w:pPr>
      <w:r>
        <w:rPr>
          <w:lang w:val="en-AU"/>
        </w:rPr>
        <w:t>Source: PWC Networks, NTRM (ODRC)</w:t>
      </w:r>
    </w:p>
    <w:p w14:paraId="2AD6DB35" w14:textId="1122D82B" w:rsidR="005A6DA7" w:rsidRDefault="005A6DA7" w:rsidP="005A6DA7">
      <w:pPr>
        <w:pStyle w:val="UtilComHeading2"/>
      </w:pPr>
      <w:bookmarkStart w:id="254" w:name="_Toc385241549"/>
      <w:bookmarkStart w:id="255" w:name="_Toc386013102"/>
      <w:r>
        <w:t>Submissions</w:t>
      </w:r>
      <w:r w:rsidR="00BD2CDE">
        <w:t xml:space="preserve"> on </w:t>
      </w:r>
      <w:r w:rsidR="0043071F">
        <w:t>Initial Regulatory P</w:t>
      </w:r>
      <w:r w:rsidR="00BD2CDE">
        <w:t>roposal</w:t>
      </w:r>
      <w:bookmarkEnd w:id="254"/>
      <w:bookmarkEnd w:id="255"/>
    </w:p>
    <w:p w14:paraId="0FA4512E" w14:textId="77777777" w:rsidR="001A4AEB" w:rsidRDefault="001A4AEB" w:rsidP="009825AC">
      <w:pPr>
        <w:pStyle w:val="NumberLevel2"/>
        <w:numPr>
          <w:ilvl w:val="1"/>
          <w:numId w:val="5"/>
        </w:numPr>
        <w:tabs>
          <w:tab w:val="clear" w:pos="3270"/>
          <w:tab w:val="num" w:pos="709"/>
        </w:tabs>
        <w:ind w:left="709" w:hanging="709"/>
        <w:rPr>
          <w:lang w:val="en-AU"/>
        </w:rPr>
      </w:pPr>
      <w:r w:rsidRPr="00B01884">
        <w:rPr>
          <w:lang w:val="en-AU"/>
        </w:rPr>
        <w:t xml:space="preserve">The NTMEU </w:t>
      </w:r>
      <w:r>
        <w:rPr>
          <w:lang w:val="en-AU"/>
        </w:rPr>
        <w:t xml:space="preserve">expressed </w:t>
      </w:r>
      <w:r w:rsidR="00C60D88">
        <w:rPr>
          <w:lang w:val="en-AU"/>
        </w:rPr>
        <w:t>the view that</w:t>
      </w:r>
      <w:r>
        <w:rPr>
          <w:lang w:val="en-AU"/>
        </w:rPr>
        <w:t>:</w:t>
      </w:r>
    </w:p>
    <w:p w14:paraId="2DCB0BC8" w14:textId="77777777" w:rsidR="001A4AEB" w:rsidRPr="0054735D" w:rsidRDefault="00C60D88" w:rsidP="004B63D8">
      <w:pPr>
        <w:pStyle w:val="UtilComQuotationText"/>
        <w:ind w:left="1134"/>
      </w:pPr>
      <w:r w:rsidRPr="0054735D">
        <w:t>The reviews by the ERA and AER have been driven by a recognition that the previously used inputs grossly overstated the rates of return that should apply to the very low risk activities undertaken by networks. The NTMEU considers that the UC must take note of these recent changes when setting the WACC for PWC.</w:t>
      </w:r>
      <w:r w:rsidR="0054735D">
        <w:t xml:space="preserve"> (page.42)</w:t>
      </w:r>
    </w:p>
    <w:p w14:paraId="618FC8BA" w14:textId="77777777" w:rsidR="001A4AEB" w:rsidRDefault="001A4AEB" w:rsidP="009825AC">
      <w:pPr>
        <w:pStyle w:val="NumberLevel2"/>
        <w:numPr>
          <w:ilvl w:val="1"/>
          <w:numId w:val="5"/>
        </w:numPr>
        <w:tabs>
          <w:tab w:val="clear" w:pos="3270"/>
          <w:tab w:val="num" w:pos="709"/>
        </w:tabs>
        <w:ind w:left="709" w:hanging="709"/>
        <w:rPr>
          <w:lang w:val="en-AU"/>
        </w:rPr>
      </w:pPr>
      <w:r>
        <w:rPr>
          <w:lang w:val="en-AU"/>
        </w:rPr>
        <w:t xml:space="preserve">The NTMEU </w:t>
      </w:r>
      <w:r w:rsidR="009C23A6">
        <w:rPr>
          <w:lang w:val="en-AU"/>
        </w:rPr>
        <w:t>suggested the following changes to the WACC parameters be considered</w:t>
      </w:r>
      <w:r>
        <w:rPr>
          <w:lang w:val="en-AU"/>
        </w:rPr>
        <w:t>:</w:t>
      </w:r>
    </w:p>
    <w:p w14:paraId="641475F0" w14:textId="62D6CBE2" w:rsidR="001A4AEB" w:rsidRDefault="009C23A6" w:rsidP="0030167B">
      <w:pPr>
        <w:pStyle w:val="UtilComBulletText"/>
        <w:tabs>
          <w:tab w:val="clear" w:pos="964"/>
          <w:tab w:val="num" w:pos="1418"/>
        </w:tabs>
        <w:ind w:left="1134" w:hanging="425"/>
      </w:pPr>
      <w:r>
        <w:t xml:space="preserve">the risk free rate should be based on the </w:t>
      </w:r>
      <w:r w:rsidR="006F1C85">
        <w:t>five-</w:t>
      </w:r>
      <w:r>
        <w:t xml:space="preserve">year </w:t>
      </w:r>
      <w:r w:rsidR="00320471">
        <w:t xml:space="preserve">Commonwealth </w:t>
      </w:r>
      <w:r w:rsidR="006F1C85">
        <w:t>government security (</w:t>
      </w:r>
      <w:r>
        <w:t>CGS</w:t>
      </w:r>
      <w:r w:rsidR="006F1C85">
        <w:t>)</w:t>
      </w:r>
      <w:r>
        <w:t>, rather than the 10 year CGS;</w:t>
      </w:r>
    </w:p>
    <w:p w14:paraId="7FFD6761" w14:textId="77777777" w:rsidR="009C23A6" w:rsidRDefault="009C23A6" w:rsidP="0030167B">
      <w:pPr>
        <w:pStyle w:val="UtilComBulletText"/>
        <w:tabs>
          <w:tab w:val="clear" w:pos="964"/>
          <w:tab w:val="num" w:pos="1418"/>
        </w:tabs>
        <w:ind w:left="1134" w:hanging="425"/>
      </w:pPr>
      <w:r>
        <w:t>inflation should be market driven by assessing the difference between inflation indexed bonds and nominal bonds;</w:t>
      </w:r>
    </w:p>
    <w:p w14:paraId="3773E35C" w14:textId="77777777" w:rsidR="009C23A6" w:rsidRDefault="009C23A6" w:rsidP="0030167B">
      <w:pPr>
        <w:pStyle w:val="UtilComBulletText"/>
        <w:tabs>
          <w:tab w:val="clear" w:pos="964"/>
          <w:tab w:val="num" w:pos="1134"/>
        </w:tabs>
        <w:ind w:left="1134" w:hanging="425"/>
      </w:pPr>
      <w:r>
        <w:t xml:space="preserve">the DRP should reflect a </w:t>
      </w:r>
      <w:r w:rsidR="006F1C85">
        <w:t>five-</w:t>
      </w:r>
      <w:r>
        <w:t>year term for the debt and be based on the bond yields of a cohort of specific bonds rather than the Bloomberg FVC; and</w:t>
      </w:r>
    </w:p>
    <w:p w14:paraId="73E60248" w14:textId="6C45F693" w:rsidR="009C23A6" w:rsidRPr="002E130D" w:rsidRDefault="009C23A6" w:rsidP="0030167B">
      <w:pPr>
        <w:pStyle w:val="UtilComBulletText"/>
        <w:tabs>
          <w:tab w:val="clear" w:pos="964"/>
          <w:tab w:val="num" w:pos="1134"/>
        </w:tabs>
        <w:ind w:left="1134" w:hanging="425"/>
      </w:pPr>
      <w:r>
        <w:t xml:space="preserve">the equity beta should be lower, </w:t>
      </w:r>
      <w:r w:rsidR="006F1C85">
        <w:t xml:space="preserve">the </w:t>
      </w:r>
      <w:r>
        <w:t>NTMEU note</w:t>
      </w:r>
      <w:r w:rsidR="004152BB">
        <w:t>d</w:t>
      </w:r>
      <w:r>
        <w:t xml:space="preserve"> that the AER </w:t>
      </w:r>
      <w:r w:rsidR="00320471">
        <w:t xml:space="preserve">had </w:t>
      </w:r>
      <w:r>
        <w:t xml:space="preserve">recently released an issues paper indicating an equity beta of 0.7 </w:t>
      </w:r>
      <w:r w:rsidR="004152BB">
        <w:t xml:space="preserve">was </w:t>
      </w:r>
      <w:r>
        <w:t xml:space="preserve">at the high end of the plausible range and that </w:t>
      </w:r>
      <w:r w:rsidR="00320471">
        <w:t xml:space="preserve">Economic Regulatory Authority </w:t>
      </w:r>
      <w:r>
        <w:t>ha</w:t>
      </w:r>
      <w:r w:rsidR="004152BB">
        <w:t>d</w:t>
      </w:r>
      <w:r>
        <w:t xml:space="preserve"> calculated that equity beta should be 0.65.</w:t>
      </w:r>
    </w:p>
    <w:p w14:paraId="59F27765" w14:textId="03434DF5" w:rsidR="001A4AEB" w:rsidRPr="001911C2" w:rsidRDefault="001A4AEB" w:rsidP="009825AC">
      <w:pPr>
        <w:pStyle w:val="NumberLevel2"/>
        <w:numPr>
          <w:ilvl w:val="1"/>
          <w:numId w:val="5"/>
        </w:numPr>
        <w:tabs>
          <w:tab w:val="clear" w:pos="3270"/>
          <w:tab w:val="num" w:pos="709"/>
        </w:tabs>
        <w:ind w:left="1569" w:hanging="1569"/>
        <w:rPr>
          <w:lang w:val="en-AU"/>
        </w:rPr>
      </w:pPr>
      <w:r w:rsidRPr="001911C2">
        <w:rPr>
          <w:lang w:val="en-AU"/>
        </w:rPr>
        <w:t xml:space="preserve">No </w:t>
      </w:r>
      <w:r>
        <w:rPr>
          <w:lang w:val="en-AU"/>
        </w:rPr>
        <w:t xml:space="preserve">other </w:t>
      </w:r>
      <w:r w:rsidRPr="001911C2">
        <w:rPr>
          <w:lang w:val="en-AU"/>
        </w:rPr>
        <w:t xml:space="preserve">submissions were received on the </w:t>
      </w:r>
      <w:r w:rsidR="009C23A6">
        <w:rPr>
          <w:lang w:val="en-AU"/>
        </w:rPr>
        <w:t>WACC</w:t>
      </w:r>
      <w:r w:rsidR="00320471">
        <w:rPr>
          <w:lang w:val="en-AU"/>
        </w:rPr>
        <w:t xml:space="preserve"> parameters</w:t>
      </w:r>
      <w:r w:rsidR="009C23A6">
        <w:rPr>
          <w:lang w:val="en-AU"/>
        </w:rPr>
        <w:t>.</w:t>
      </w:r>
    </w:p>
    <w:p w14:paraId="45DB4578" w14:textId="0B9B000B" w:rsidR="005A6DA7" w:rsidRDefault="005A6DA7" w:rsidP="005A6DA7">
      <w:pPr>
        <w:pStyle w:val="UtilComHeading2"/>
      </w:pPr>
      <w:bookmarkStart w:id="256" w:name="_Toc385241550"/>
      <w:bookmarkStart w:id="257" w:name="_Toc386013103"/>
      <w:r>
        <w:t xml:space="preserve">Issues and Commission’s </w:t>
      </w:r>
      <w:r w:rsidR="008B1697">
        <w:t>C</w:t>
      </w:r>
      <w:r>
        <w:t>onsiderations</w:t>
      </w:r>
      <w:bookmarkEnd w:id="256"/>
      <w:bookmarkEnd w:id="257"/>
    </w:p>
    <w:p w14:paraId="0804D607" w14:textId="23312358" w:rsidR="005864C9" w:rsidRDefault="00914B73" w:rsidP="00914B73">
      <w:pPr>
        <w:pStyle w:val="UtilComHeading3"/>
        <w:rPr>
          <w:lang w:val="en-AU"/>
        </w:rPr>
      </w:pPr>
      <w:r>
        <w:rPr>
          <w:lang w:val="en-AU"/>
        </w:rPr>
        <w:t xml:space="preserve">Parameters on which there </w:t>
      </w:r>
      <w:r w:rsidR="00320471">
        <w:rPr>
          <w:lang w:val="en-AU"/>
        </w:rPr>
        <w:t xml:space="preserve">was </w:t>
      </w:r>
      <w:r>
        <w:rPr>
          <w:lang w:val="en-AU"/>
        </w:rPr>
        <w:t>agreement</w:t>
      </w:r>
    </w:p>
    <w:p w14:paraId="3C937E52" w14:textId="2F259A85" w:rsidR="00914B73" w:rsidRDefault="00914B73" w:rsidP="00D40F75">
      <w:pPr>
        <w:pStyle w:val="NumberLevel2"/>
        <w:numPr>
          <w:ilvl w:val="1"/>
          <w:numId w:val="5"/>
        </w:numPr>
        <w:tabs>
          <w:tab w:val="clear" w:pos="3270"/>
          <w:tab w:val="num" w:pos="709"/>
        </w:tabs>
        <w:ind w:left="709" w:hanging="709"/>
        <w:rPr>
          <w:lang w:val="en-AU"/>
        </w:rPr>
      </w:pPr>
      <w:r>
        <w:rPr>
          <w:lang w:val="en-AU"/>
        </w:rPr>
        <w:t xml:space="preserve">The Commission </w:t>
      </w:r>
      <w:r w:rsidR="00BD2CDE">
        <w:rPr>
          <w:lang w:val="en-AU"/>
        </w:rPr>
        <w:t xml:space="preserve">considered </w:t>
      </w:r>
      <w:r>
        <w:rPr>
          <w:lang w:val="en-AU"/>
        </w:rPr>
        <w:t xml:space="preserve">that there </w:t>
      </w:r>
      <w:r w:rsidR="00320471">
        <w:rPr>
          <w:lang w:val="en-AU"/>
        </w:rPr>
        <w:t xml:space="preserve">was </w:t>
      </w:r>
      <w:r>
        <w:rPr>
          <w:lang w:val="en-AU"/>
        </w:rPr>
        <w:t xml:space="preserve">broad agreement on </w:t>
      </w:r>
      <w:r w:rsidR="007F6798">
        <w:rPr>
          <w:lang w:val="en-AU"/>
        </w:rPr>
        <w:t xml:space="preserve">the </w:t>
      </w:r>
      <w:r>
        <w:rPr>
          <w:lang w:val="en-AU"/>
        </w:rPr>
        <w:t>market risk premium, gearing, corporate tax rate and gamma.</w:t>
      </w:r>
    </w:p>
    <w:p w14:paraId="0161D6FA" w14:textId="73CDB25A" w:rsidR="00914B73" w:rsidRDefault="00914B73" w:rsidP="00D40F75">
      <w:pPr>
        <w:pStyle w:val="NumberLevel2"/>
        <w:numPr>
          <w:ilvl w:val="1"/>
          <w:numId w:val="5"/>
        </w:numPr>
        <w:tabs>
          <w:tab w:val="clear" w:pos="3270"/>
          <w:tab w:val="num" w:pos="709"/>
        </w:tabs>
        <w:ind w:left="709" w:hanging="709"/>
        <w:rPr>
          <w:lang w:val="en-AU"/>
        </w:rPr>
      </w:pPr>
      <w:r>
        <w:rPr>
          <w:lang w:val="en-AU"/>
        </w:rPr>
        <w:t>Accordingly</w:t>
      </w:r>
      <w:r w:rsidR="00320471">
        <w:rPr>
          <w:lang w:val="en-AU"/>
        </w:rPr>
        <w:t>, the following parameters proposed by PWC Networks were specified in the Commission’s Framework Statement and accepted by the Commission</w:t>
      </w:r>
      <w:r>
        <w:rPr>
          <w:lang w:val="en-AU"/>
        </w:rPr>
        <w:t>:</w:t>
      </w:r>
    </w:p>
    <w:p w14:paraId="2180D75D" w14:textId="2113FA33" w:rsidR="00914B73" w:rsidRPr="00914B73" w:rsidRDefault="00914B73" w:rsidP="00D40F75">
      <w:pPr>
        <w:pStyle w:val="UtilComBulletText"/>
        <w:tabs>
          <w:tab w:val="clear" w:pos="964"/>
          <w:tab w:val="num" w:pos="1134"/>
        </w:tabs>
        <w:ind w:left="1134" w:hanging="425"/>
      </w:pPr>
      <w:r w:rsidRPr="00914B73">
        <w:t>market risk premium of 6.0</w:t>
      </w:r>
      <w:r w:rsidR="006F1C85">
        <w:t xml:space="preserve"> per cent</w:t>
      </w:r>
      <w:r w:rsidRPr="00914B73">
        <w:t>;</w:t>
      </w:r>
    </w:p>
    <w:p w14:paraId="66D2DA82" w14:textId="393A5211" w:rsidR="00914B73" w:rsidRPr="00914B73" w:rsidRDefault="00914B73" w:rsidP="00D40F75">
      <w:pPr>
        <w:pStyle w:val="UtilComBulletText"/>
        <w:tabs>
          <w:tab w:val="clear" w:pos="964"/>
          <w:tab w:val="num" w:pos="1134"/>
        </w:tabs>
        <w:ind w:left="1134" w:hanging="425"/>
      </w:pPr>
      <w:r>
        <w:t>gearing</w:t>
      </w:r>
      <w:r w:rsidRPr="00914B73">
        <w:t xml:space="preserve"> of 6</w:t>
      </w:r>
      <w:r>
        <w:t>0:40</w:t>
      </w:r>
      <w:r w:rsidRPr="00914B73">
        <w:t>;</w:t>
      </w:r>
    </w:p>
    <w:p w14:paraId="42159CC2" w14:textId="61E90493" w:rsidR="00914B73" w:rsidRPr="00914B73" w:rsidRDefault="00914B73" w:rsidP="00D40F75">
      <w:pPr>
        <w:pStyle w:val="UtilComBulletText"/>
        <w:tabs>
          <w:tab w:val="clear" w:pos="964"/>
          <w:tab w:val="num" w:pos="1134"/>
        </w:tabs>
        <w:ind w:left="1134" w:hanging="425"/>
      </w:pPr>
      <w:r>
        <w:t>corporate tax rate</w:t>
      </w:r>
      <w:r w:rsidRPr="00914B73">
        <w:t xml:space="preserve"> of </w:t>
      </w:r>
      <w:r>
        <w:t>30</w:t>
      </w:r>
      <w:r w:rsidR="006F1C85">
        <w:t xml:space="preserve"> per cent</w:t>
      </w:r>
      <w:r w:rsidRPr="00914B73">
        <w:t>;</w:t>
      </w:r>
      <w:r>
        <w:t xml:space="preserve"> and </w:t>
      </w:r>
    </w:p>
    <w:p w14:paraId="522B9372" w14:textId="0923F0C9" w:rsidR="00914B73" w:rsidRDefault="00914B73" w:rsidP="00D40F75">
      <w:pPr>
        <w:pStyle w:val="UtilComBulletText"/>
        <w:tabs>
          <w:tab w:val="clear" w:pos="964"/>
          <w:tab w:val="num" w:pos="1134"/>
        </w:tabs>
        <w:ind w:left="1134" w:hanging="425"/>
      </w:pPr>
      <w:r>
        <w:t>gamma</w:t>
      </w:r>
      <w:r w:rsidRPr="00914B73">
        <w:t xml:space="preserve"> of </w:t>
      </w:r>
      <w:r>
        <w:t>25</w:t>
      </w:r>
      <w:r w:rsidR="006F1C85">
        <w:t xml:space="preserve"> per cent</w:t>
      </w:r>
      <w:r>
        <w:t>.</w:t>
      </w:r>
    </w:p>
    <w:p w14:paraId="6CC45580" w14:textId="77777777" w:rsidR="00914B73" w:rsidRPr="00914B73" w:rsidRDefault="00914B73" w:rsidP="00914B73">
      <w:pPr>
        <w:pStyle w:val="UtilComHeading3"/>
        <w:rPr>
          <w:lang w:val="en-AU"/>
        </w:rPr>
      </w:pPr>
      <w:r w:rsidRPr="00914B73">
        <w:rPr>
          <w:lang w:val="en-AU"/>
        </w:rPr>
        <w:t>Expected inflation</w:t>
      </w:r>
    </w:p>
    <w:p w14:paraId="43110E94" w14:textId="77777777" w:rsidR="00335887" w:rsidRPr="00335887" w:rsidRDefault="00335887" w:rsidP="00D40F75">
      <w:pPr>
        <w:pStyle w:val="NumberLevel2"/>
        <w:numPr>
          <w:ilvl w:val="1"/>
          <w:numId w:val="5"/>
        </w:numPr>
        <w:tabs>
          <w:tab w:val="clear" w:pos="3270"/>
          <w:tab w:val="left" w:pos="709"/>
        </w:tabs>
        <w:ind w:left="709" w:hanging="709"/>
        <w:rPr>
          <w:lang w:val="en-AU"/>
        </w:rPr>
      </w:pPr>
      <w:r w:rsidRPr="00335887">
        <w:rPr>
          <w:lang w:val="en-AU"/>
        </w:rPr>
        <w:t xml:space="preserve">The expected inflation rate is not an explicit parameter within the WACC calculation. However, it is used in the </w:t>
      </w:r>
      <w:r>
        <w:rPr>
          <w:lang w:val="en-AU"/>
        </w:rPr>
        <w:t>N</w:t>
      </w:r>
      <w:r w:rsidRPr="00335887">
        <w:rPr>
          <w:lang w:val="en-AU"/>
        </w:rPr>
        <w:t>TRM to forecast nominal allowed revenues and to index the RAB.</w:t>
      </w:r>
    </w:p>
    <w:p w14:paraId="00692002" w14:textId="42D8F60F" w:rsidR="00914B73" w:rsidRDefault="00335887" w:rsidP="00D40F75">
      <w:pPr>
        <w:pStyle w:val="NumberLevel2"/>
        <w:numPr>
          <w:ilvl w:val="1"/>
          <w:numId w:val="5"/>
        </w:numPr>
        <w:tabs>
          <w:tab w:val="clear" w:pos="3270"/>
          <w:tab w:val="left" w:pos="709"/>
        </w:tabs>
        <w:ind w:left="709" w:hanging="709"/>
        <w:rPr>
          <w:lang w:val="en-AU"/>
        </w:rPr>
      </w:pPr>
      <w:r w:rsidRPr="00335887">
        <w:rPr>
          <w:lang w:val="en-AU"/>
        </w:rPr>
        <w:t xml:space="preserve">The </w:t>
      </w:r>
      <w:r>
        <w:rPr>
          <w:lang w:val="en-AU"/>
        </w:rPr>
        <w:t>Commission estimated inflation consistent with the approach adopted by the AER</w:t>
      </w:r>
      <w:r w:rsidR="00EE30FA">
        <w:rPr>
          <w:lang w:val="en-AU"/>
        </w:rPr>
        <w:t xml:space="preserve"> (refer Table </w:t>
      </w:r>
      <w:r w:rsidR="00CB4726">
        <w:rPr>
          <w:lang w:val="en-AU"/>
        </w:rPr>
        <w:t>12</w:t>
      </w:r>
      <w:r w:rsidR="00EE30FA">
        <w:rPr>
          <w:lang w:val="en-AU"/>
        </w:rPr>
        <w:t>.2)</w:t>
      </w:r>
      <w:r>
        <w:rPr>
          <w:lang w:val="en-AU"/>
        </w:rPr>
        <w:t xml:space="preserve">. Inflation </w:t>
      </w:r>
      <w:r w:rsidR="00BD2CDE">
        <w:rPr>
          <w:lang w:val="en-AU"/>
        </w:rPr>
        <w:t xml:space="preserve">was </w:t>
      </w:r>
      <w:r>
        <w:rPr>
          <w:lang w:val="en-AU"/>
        </w:rPr>
        <w:t xml:space="preserve">estimated by </w:t>
      </w:r>
      <w:r w:rsidRPr="00335887">
        <w:rPr>
          <w:lang w:val="en-AU"/>
        </w:rPr>
        <w:t>apply</w:t>
      </w:r>
      <w:r>
        <w:rPr>
          <w:lang w:val="en-AU"/>
        </w:rPr>
        <w:t>ing</w:t>
      </w:r>
      <w:r w:rsidRPr="00335887">
        <w:rPr>
          <w:lang w:val="en-AU"/>
        </w:rPr>
        <w:t xml:space="preserve"> the </w:t>
      </w:r>
      <w:r w:rsidR="006F1C85">
        <w:rPr>
          <w:lang w:val="en-AU"/>
        </w:rPr>
        <w:t>Reserve Bank of Australia’s (</w:t>
      </w:r>
      <w:r w:rsidR="006F1C85" w:rsidRPr="00335887">
        <w:rPr>
          <w:lang w:val="en-AU"/>
        </w:rPr>
        <w:t>RBA</w:t>
      </w:r>
      <w:r w:rsidR="006F1C85">
        <w:rPr>
          <w:lang w:val="en-AU"/>
        </w:rPr>
        <w:t>)</w:t>
      </w:r>
      <w:r w:rsidR="006F1C85" w:rsidRPr="00335887">
        <w:rPr>
          <w:lang w:val="en-AU"/>
        </w:rPr>
        <w:t xml:space="preserve"> </w:t>
      </w:r>
      <w:r w:rsidRPr="00335887">
        <w:rPr>
          <w:lang w:val="en-AU"/>
        </w:rPr>
        <w:t>short-term inflation forecasts</w:t>
      </w:r>
      <w:r w:rsidR="006F1C85">
        <w:rPr>
          <w:lang w:val="en-AU"/>
        </w:rPr>
        <w:t xml:space="preserve"> (</w:t>
      </w:r>
      <w:r w:rsidRPr="00335887">
        <w:rPr>
          <w:lang w:val="en-AU"/>
        </w:rPr>
        <w:t>currently extending out to two years</w:t>
      </w:r>
      <w:r w:rsidR="006F1C85">
        <w:rPr>
          <w:lang w:val="en-AU"/>
        </w:rPr>
        <w:t xml:space="preserve">) </w:t>
      </w:r>
      <w:r w:rsidRPr="00335887">
        <w:rPr>
          <w:lang w:val="en-AU"/>
        </w:rPr>
        <w:t>and adopt</w:t>
      </w:r>
      <w:r w:rsidR="00320471">
        <w:rPr>
          <w:lang w:val="en-AU"/>
        </w:rPr>
        <w:t>ing</w:t>
      </w:r>
      <w:r w:rsidRPr="00335887">
        <w:rPr>
          <w:lang w:val="en-AU"/>
        </w:rPr>
        <w:t xml:space="preserve"> the mid-point of its target inflation band beyond that period (2.5 per cent) for the remaining eight years. An implied 10-year forecast </w:t>
      </w:r>
      <w:r w:rsidR="00320471">
        <w:rPr>
          <w:lang w:val="en-AU"/>
        </w:rPr>
        <w:t>was</w:t>
      </w:r>
      <w:r w:rsidR="00320471" w:rsidRPr="00335887">
        <w:rPr>
          <w:lang w:val="en-AU"/>
        </w:rPr>
        <w:t xml:space="preserve"> </w:t>
      </w:r>
      <w:r w:rsidRPr="00335887">
        <w:rPr>
          <w:lang w:val="en-AU"/>
        </w:rPr>
        <w:t>derived by a geometric average o</w:t>
      </w:r>
      <w:r>
        <w:rPr>
          <w:lang w:val="en-AU"/>
        </w:rPr>
        <w:t>f these individual forecasts.</w:t>
      </w:r>
    </w:p>
    <w:p w14:paraId="5BFD90D7" w14:textId="18646948" w:rsidR="00335887" w:rsidRPr="00A139AD" w:rsidRDefault="00335887" w:rsidP="006F1C85">
      <w:pPr>
        <w:pStyle w:val="UtilComTableTitle"/>
        <w:keepNext/>
        <w:spacing w:before="120" w:after="0" w:line="240" w:lineRule="exact"/>
      </w:pPr>
      <w:r>
        <w:t xml:space="preserve">Table </w:t>
      </w:r>
      <w:r w:rsidR="00CB4726">
        <w:t>12</w:t>
      </w:r>
      <w:r>
        <w:t>.2: Commission</w:t>
      </w:r>
      <w:r w:rsidR="003F7EA4">
        <w:t>’s</w:t>
      </w:r>
      <w:r>
        <w:t xml:space="preserve"> conclusion on</w:t>
      </w:r>
      <w:r w:rsidRPr="00184F77">
        <w:t xml:space="preserve"> </w:t>
      </w:r>
      <w:r>
        <w:t>expected inflation (per cent)</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1276"/>
        <w:gridCol w:w="709"/>
        <w:gridCol w:w="709"/>
        <w:gridCol w:w="848"/>
        <w:gridCol w:w="709"/>
        <w:gridCol w:w="709"/>
        <w:gridCol w:w="709"/>
        <w:gridCol w:w="709"/>
        <w:gridCol w:w="709"/>
        <w:gridCol w:w="709"/>
        <w:gridCol w:w="709"/>
        <w:gridCol w:w="709"/>
      </w:tblGrid>
      <w:tr w:rsidR="00900C27" w:rsidRPr="008A4655" w14:paraId="1C015452" w14:textId="77777777" w:rsidTr="007F6798">
        <w:trPr>
          <w:trHeight w:val="360"/>
        </w:trPr>
        <w:tc>
          <w:tcPr>
            <w:tcW w:w="1276" w:type="dxa"/>
            <w:tcBorders>
              <w:top w:val="single" w:sz="4" w:space="0" w:color="999999"/>
              <w:bottom w:val="single" w:sz="4" w:space="0" w:color="auto"/>
            </w:tcBorders>
          </w:tcPr>
          <w:p w14:paraId="29AA7714" w14:textId="77777777" w:rsidR="00900C27" w:rsidRPr="00EE5A08" w:rsidRDefault="00900C27" w:rsidP="00534838">
            <w:pPr>
              <w:pStyle w:val="UtilComTabletext"/>
              <w:rPr>
                <w:b/>
              </w:rPr>
            </w:pPr>
          </w:p>
        </w:tc>
        <w:tc>
          <w:tcPr>
            <w:tcW w:w="709" w:type="dxa"/>
            <w:tcBorders>
              <w:top w:val="single" w:sz="4" w:space="0" w:color="999999"/>
              <w:bottom w:val="single" w:sz="4" w:space="0" w:color="auto"/>
            </w:tcBorders>
          </w:tcPr>
          <w:p w14:paraId="0BA6FC81" w14:textId="77777777" w:rsidR="00900C27" w:rsidRPr="00EE5A08" w:rsidRDefault="00900C27" w:rsidP="00AF6E6D">
            <w:pPr>
              <w:pStyle w:val="UtilComTabletext"/>
              <w:jc w:val="right"/>
              <w:rPr>
                <w:b/>
              </w:rPr>
            </w:pPr>
            <w:r>
              <w:rPr>
                <w:b/>
              </w:rPr>
              <w:t>June 2013</w:t>
            </w:r>
          </w:p>
        </w:tc>
        <w:tc>
          <w:tcPr>
            <w:tcW w:w="709" w:type="dxa"/>
            <w:tcBorders>
              <w:top w:val="single" w:sz="4" w:space="0" w:color="999999"/>
              <w:bottom w:val="single" w:sz="4" w:space="0" w:color="auto"/>
            </w:tcBorders>
          </w:tcPr>
          <w:p w14:paraId="2031AA38" w14:textId="77777777" w:rsidR="00900C27" w:rsidRPr="00EE5A08" w:rsidRDefault="00900C27" w:rsidP="00AF6E6D">
            <w:pPr>
              <w:pStyle w:val="UtilComTabletext"/>
              <w:jc w:val="right"/>
              <w:rPr>
                <w:b/>
              </w:rPr>
            </w:pPr>
            <w:r>
              <w:rPr>
                <w:b/>
              </w:rPr>
              <w:t>June 2014</w:t>
            </w:r>
          </w:p>
        </w:tc>
        <w:tc>
          <w:tcPr>
            <w:tcW w:w="848" w:type="dxa"/>
            <w:tcBorders>
              <w:top w:val="single" w:sz="4" w:space="0" w:color="999999"/>
              <w:bottom w:val="single" w:sz="4" w:space="0" w:color="auto"/>
            </w:tcBorders>
          </w:tcPr>
          <w:p w14:paraId="2C5BF984" w14:textId="77777777" w:rsidR="00900C27" w:rsidRPr="00EE5A08" w:rsidRDefault="00900C27" w:rsidP="00AF6E6D">
            <w:pPr>
              <w:pStyle w:val="UtilComTabletext"/>
              <w:jc w:val="right"/>
              <w:rPr>
                <w:b/>
              </w:rPr>
            </w:pPr>
            <w:r>
              <w:rPr>
                <w:b/>
              </w:rPr>
              <w:t>June 2015</w:t>
            </w:r>
            <w:r w:rsidR="007F6798" w:rsidRPr="007F6798">
              <w:rPr>
                <w:sz w:val="16"/>
                <w:szCs w:val="16"/>
                <w:vertAlign w:val="superscript"/>
              </w:rPr>
              <w:t>(a)</w:t>
            </w:r>
          </w:p>
        </w:tc>
        <w:tc>
          <w:tcPr>
            <w:tcW w:w="709" w:type="dxa"/>
            <w:tcBorders>
              <w:top w:val="single" w:sz="4" w:space="0" w:color="999999"/>
              <w:bottom w:val="single" w:sz="4" w:space="0" w:color="auto"/>
            </w:tcBorders>
          </w:tcPr>
          <w:p w14:paraId="5F800841" w14:textId="77777777" w:rsidR="00900C27" w:rsidRPr="00EE5A08" w:rsidRDefault="00900C27" w:rsidP="00AF6E6D">
            <w:pPr>
              <w:pStyle w:val="UtilComTabletext"/>
              <w:jc w:val="right"/>
              <w:rPr>
                <w:b/>
              </w:rPr>
            </w:pPr>
            <w:r>
              <w:rPr>
                <w:b/>
              </w:rPr>
              <w:t>June 2016</w:t>
            </w:r>
          </w:p>
        </w:tc>
        <w:tc>
          <w:tcPr>
            <w:tcW w:w="709" w:type="dxa"/>
            <w:tcBorders>
              <w:top w:val="single" w:sz="4" w:space="0" w:color="999999"/>
              <w:bottom w:val="single" w:sz="4" w:space="0" w:color="auto"/>
            </w:tcBorders>
          </w:tcPr>
          <w:p w14:paraId="4DC99482" w14:textId="77777777" w:rsidR="00900C27" w:rsidRPr="00EE5A08" w:rsidRDefault="00900C27" w:rsidP="00AF6E6D">
            <w:pPr>
              <w:pStyle w:val="UtilComTabletext"/>
              <w:jc w:val="right"/>
              <w:rPr>
                <w:b/>
              </w:rPr>
            </w:pPr>
            <w:r>
              <w:rPr>
                <w:b/>
              </w:rPr>
              <w:t>June 2017</w:t>
            </w:r>
          </w:p>
        </w:tc>
        <w:tc>
          <w:tcPr>
            <w:tcW w:w="709" w:type="dxa"/>
            <w:tcBorders>
              <w:top w:val="single" w:sz="4" w:space="0" w:color="999999"/>
              <w:bottom w:val="single" w:sz="4" w:space="0" w:color="auto"/>
            </w:tcBorders>
          </w:tcPr>
          <w:p w14:paraId="49531279" w14:textId="77777777" w:rsidR="00900C27" w:rsidRPr="00EE5A08" w:rsidRDefault="00900C27" w:rsidP="00AF6E6D">
            <w:pPr>
              <w:pStyle w:val="UtilComTabletext"/>
              <w:jc w:val="right"/>
              <w:rPr>
                <w:b/>
              </w:rPr>
            </w:pPr>
            <w:r>
              <w:rPr>
                <w:b/>
              </w:rPr>
              <w:t>June 2018</w:t>
            </w:r>
          </w:p>
        </w:tc>
        <w:tc>
          <w:tcPr>
            <w:tcW w:w="709" w:type="dxa"/>
            <w:tcBorders>
              <w:top w:val="single" w:sz="4" w:space="0" w:color="999999"/>
              <w:bottom w:val="single" w:sz="4" w:space="0" w:color="auto"/>
            </w:tcBorders>
          </w:tcPr>
          <w:p w14:paraId="12F87E3B" w14:textId="77777777" w:rsidR="00900C27" w:rsidRPr="00EE5A08" w:rsidRDefault="00900C27" w:rsidP="00AF6E6D">
            <w:pPr>
              <w:pStyle w:val="UtilComTabletext"/>
              <w:jc w:val="right"/>
              <w:rPr>
                <w:b/>
              </w:rPr>
            </w:pPr>
            <w:r>
              <w:rPr>
                <w:b/>
              </w:rPr>
              <w:t>June 2019</w:t>
            </w:r>
          </w:p>
        </w:tc>
        <w:tc>
          <w:tcPr>
            <w:tcW w:w="709" w:type="dxa"/>
            <w:tcBorders>
              <w:top w:val="single" w:sz="4" w:space="0" w:color="999999"/>
              <w:bottom w:val="single" w:sz="4" w:space="0" w:color="auto"/>
            </w:tcBorders>
          </w:tcPr>
          <w:p w14:paraId="620F61D7" w14:textId="77777777" w:rsidR="00900C27" w:rsidRPr="00EE5A08" w:rsidRDefault="00900C27" w:rsidP="00AF6E6D">
            <w:pPr>
              <w:pStyle w:val="UtilComTabletext"/>
              <w:jc w:val="right"/>
              <w:rPr>
                <w:b/>
              </w:rPr>
            </w:pPr>
            <w:r>
              <w:rPr>
                <w:b/>
              </w:rPr>
              <w:t>June 2020</w:t>
            </w:r>
          </w:p>
        </w:tc>
        <w:tc>
          <w:tcPr>
            <w:tcW w:w="709" w:type="dxa"/>
            <w:tcBorders>
              <w:top w:val="single" w:sz="4" w:space="0" w:color="999999"/>
              <w:bottom w:val="single" w:sz="4" w:space="0" w:color="auto"/>
            </w:tcBorders>
          </w:tcPr>
          <w:p w14:paraId="03296F18" w14:textId="77777777" w:rsidR="00900C27" w:rsidRPr="00EE5A08" w:rsidRDefault="00900C27" w:rsidP="00AF6E6D">
            <w:pPr>
              <w:pStyle w:val="UtilComTabletext"/>
              <w:jc w:val="right"/>
              <w:rPr>
                <w:b/>
              </w:rPr>
            </w:pPr>
            <w:r>
              <w:rPr>
                <w:b/>
              </w:rPr>
              <w:t>June 2021</w:t>
            </w:r>
          </w:p>
        </w:tc>
        <w:tc>
          <w:tcPr>
            <w:tcW w:w="709" w:type="dxa"/>
            <w:tcBorders>
              <w:top w:val="single" w:sz="4" w:space="0" w:color="999999"/>
              <w:bottom w:val="single" w:sz="4" w:space="0" w:color="auto"/>
            </w:tcBorders>
          </w:tcPr>
          <w:p w14:paraId="6797941A" w14:textId="77777777" w:rsidR="00900C27" w:rsidRPr="00EE5A08" w:rsidRDefault="00900C27" w:rsidP="00AF6E6D">
            <w:pPr>
              <w:pStyle w:val="UtilComTabletext"/>
              <w:jc w:val="right"/>
              <w:rPr>
                <w:b/>
              </w:rPr>
            </w:pPr>
            <w:r>
              <w:rPr>
                <w:b/>
              </w:rPr>
              <w:t>June 2022</w:t>
            </w:r>
          </w:p>
        </w:tc>
        <w:tc>
          <w:tcPr>
            <w:tcW w:w="709" w:type="dxa"/>
            <w:tcBorders>
              <w:top w:val="single" w:sz="4" w:space="0" w:color="999999"/>
              <w:bottom w:val="single" w:sz="4" w:space="0" w:color="auto"/>
            </w:tcBorders>
            <w:vAlign w:val="center"/>
          </w:tcPr>
          <w:p w14:paraId="3D19A5FB" w14:textId="77777777" w:rsidR="00900C27" w:rsidRPr="00EE5A08" w:rsidRDefault="00900C27" w:rsidP="00AF6E6D">
            <w:pPr>
              <w:pStyle w:val="UtilComTabletext"/>
              <w:jc w:val="right"/>
              <w:rPr>
                <w:b/>
              </w:rPr>
            </w:pPr>
            <w:r>
              <w:rPr>
                <w:b/>
              </w:rPr>
              <w:t>Geo. Mean</w:t>
            </w:r>
          </w:p>
        </w:tc>
      </w:tr>
      <w:tr w:rsidR="00900C27" w:rsidRPr="008A4655" w14:paraId="15EAED47" w14:textId="77777777" w:rsidTr="007F6798">
        <w:trPr>
          <w:trHeight w:val="360"/>
        </w:trPr>
        <w:tc>
          <w:tcPr>
            <w:tcW w:w="1276" w:type="dxa"/>
            <w:tcBorders>
              <w:bottom w:val="single" w:sz="4" w:space="0" w:color="000000"/>
            </w:tcBorders>
          </w:tcPr>
          <w:p w14:paraId="7A0C81DC" w14:textId="77777777" w:rsidR="00900C27" w:rsidRDefault="00900C27" w:rsidP="00534838">
            <w:pPr>
              <w:pStyle w:val="UtilComTabletext"/>
            </w:pPr>
            <w:r>
              <w:t>Forecast inflation</w:t>
            </w:r>
          </w:p>
        </w:tc>
        <w:tc>
          <w:tcPr>
            <w:tcW w:w="709" w:type="dxa"/>
            <w:tcBorders>
              <w:bottom w:val="single" w:sz="4" w:space="0" w:color="000000"/>
            </w:tcBorders>
          </w:tcPr>
          <w:p w14:paraId="4CDEDE57" w14:textId="77777777" w:rsidR="00900C27" w:rsidRPr="00DB64A7" w:rsidRDefault="00900C27" w:rsidP="00AF6E6D">
            <w:pPr>
              <w:pStyle w:val="UtilComTabletext"/>
              <w:jc w:val="right"/>
            </w:pPr>
            <w:r>
              <w:t>2.40</w:t>
            </w:r>
          </w:p>
        </w:tc>
        <w:tc>
          <w:tcPr>
            <w:tcW w:w="709" w:type="dxa"/>
            <w:tcBorders>
              <w:bottom w:val="single" w:sz="4" w:space="0" w:color="000000"/>
            </w:tcBorders>
          </w:tcPr>
          <w:p w14:paraId="1D048E64" w14:textId="77777777" w:rsidR="00900C27" w:rsidRDefault="00900C27" w:rsidP="00AF6E6D">
            <w:pPr>
              <w:pStyle w:val="UtilComTabletext"/>
              <w:jc w:val="right"/>
            </w:pPr>
            <w:r>
              <w:t>2.75</w:t>
            </w:r>
          </w:p>
        </w:tc>
        <w:tc>
          <w:tcPr>
            <w:tcW w:w="848" w:type="dxa"/>
            <w:tcBorders>
              <w:bottom w:val="single" w:sz="4" w:space="0" w:color="000000"/>
            </w:tcBorders>
          </w:tcPr>
          <w:p w14:paraId="52D7638D" w14:textId="77777777" w:rsidR="00900C27" w:rsidRDefault="00900C27" w:rsidP="00AF6E6D">
            <w:pPr>
              <w:pStyle w:val="UtilComTabletext"/>
              <w:jc w:val="right"/>
            </w:pPr>
            <w:r>
              <w:t>2.50</w:t>
            </w:r>
            <w:r w:rsidRPr="00900C27">
              <w:rPr>
                <w:sz w:val="16"/>
                <w:vertAlign w:val="superscript"/>
              </w:rPr>
              <w:t>(a)</w:t>
            </w:r>
          </w:p>
        </w:tc>
        <w:tc>
          <w:tcPr>
            <w:tcW w:w="709" w:type="dxa"/>
            <w:tcBorders>
              <w:bottom w:val="single" w:sz="4" w:space="0" w:color="000000"/>
            </w:tcBorders>
          </w:tcPr>
          <w:p w14:paraId="2C12EE2B" w14:textId="77777777" w:rsidR="00900C27" w:rsidRDefault="00900C27" w:rsidP="005B2A4C">
            <w:pPr>
              <w:pStyle w:val="UtilComTabletext"/>
              <w:jc w:val="right"/>
            </w:pPr>
            <w:r>
              <w:t>2.50</w:t>
            </w:r>
          </w:p>
        </w:tc>
        <w:tc>
          <w:tcPr>
            <w:tcW w:w="709" w:type="dxa"/>
            <w:tcBorders>
              <w:bottom w:val="single" w:sz="4" w:space="0" w:color="000000"/>
            </w:tcBorders>
          </w:tcPr>
          <w:p w14:paraId="6D47A835" w14:textId="77777777" w:rsidR="00900C27" w:rsidRPr="00900C27" w:rsidRDefault="00900C27" w:rsidP="00BE2903">
            <w:pPr>
              <w:jc w:val="right"/>
              <w:rPr>
                <w:rFonts w:cs="Arial"/>
                <w:sz w:val="18"/>
                <w:szCs w:val="18"/>
              </w:rPr>
            </w:pPr>
            <w:r w:rsidRPr="00900C27">
              <w:rPr>
                <w:rFonts w:cs="Arial"/>
                <w:sz w:val="18"/>
                <w:szCs w:val="18"/>
              </w:rPr>
              <w:t>2.50</w:t>
            </w:r>
          </w:p>
        </w:tc>
        <w:tc>
          <w:tcPr>
            <w:tcW w:w="709" w:type="dxa"/>
            <w:tcBorders>
              <w:bottom w:val="single" w:sz="4" w:space="0" w:color="000000"/>
            </w:tcBorders>
          </w:tcPr>
          <w:p w14:paraId="710CE91F" w14:textId="77777777" w:rsidR="00900C27" w:rsidRPr="00900C27" w:rsidRDefault="00900C27" w:rsidP="00BE2903">
            <w:pPr>
              <w:jc w:val="right"/>
              <w:rPr>
                <w:rFonts w:cs="Arial"/>
                <w:sz w:val="18"/>
                <w:szCs w:val="18"/>
              </w:rPr>
            </w:pPr>
            <w:r w:rsidRPr="00900C27">
              <w:rPr>
                <w:rFonts w:cs="Arial"/>
                <w:sz w:val="18"/>
                <w:szCs w:val="18"/>
              </w:rPr>
              <w:t>2.50</w:t>
            </w:r>
          </w:p>
        </w:tc>
        <w:tc>
          <w:tcPr>
            <w:tcW w:w="709" w:type="dxa"/>
            <w:tcBorders>
              <w:bottom w:val="single" w:sz="4" w:space="0" w:color="000000"/>
            </w:tcBorders>
          </w:tcPr>
          <w:p w14:paraId="17582B72" w14:textId="77777777" w:rsidR="00900C27" w:rsidRPr="00900C27" w:rsidRDefault="00900C27" w:rsidP="00BE2903">
            <w:pPr>
              <w:jc w:val="right"/>
              <w:rPr>
                <w:rFonts w:cs="Arial"/>
                <w:sz w:val="18"/>
                <w:szCs w:val="18"/>
              </w:rPr>
            </w:pPr>
            <w:r w:rsidRPr="00900C27">
              <w:rPr>
                <w:rFonts w:cs="Arial"/>
                <w:sz w:val="18"/>
                <w:szCs w:val="18"/>
              </w:rPr>
              <w:t>2.50</w:t>
            </w:r>
          </w:p>
        </w:tc>
        <w:tc>
          <w:tcPr>
            <w:tcW w:w="709" w:type="dxa"/>
            <w:tcBorders>
              <w:bottom w:val="single" w:sz="4" w:space="0" w:color="000000"/>
            </w:tcBorders>
          </w:tcPr>
          <w:p w14:paraId="2C877E85" w14:textId="77777777" w:rsidR="00900C27" w:rsidRPr="00900C27" w:rsidRDefault="00900C27" w:rsidP="00BE2903">
            <w:pPr>
              <w:jc w:val="right"/>
              <w:rPr>
                <w:rFonts w:cs="Arial"/>
                <w:sz w:val="18"/>
                <w:szCs w:val="18"/>
              </w:rPr>
            </w:pPr>
            <w:r w:rsidRPr="00900C27">
              <w:rPr>
                <w:rFonts w:cs="Arial"/>
                <w:sz w:val="18"/>
                <w:szCs w:val="18"/>
              </w:rPr>
              <w:t>2.50</w:t>
            </w:r>
          </w:p>
        </w:tc>
        <w:tc>
          <w:tcPr>
            <w:tcW w:w="709" w:type="dxa"/>
            <w:tcBorders>
              <w:bottom w:val="single" w:sz="4" w:space="0" w:color="000000"/>
            </w:tcBorders>
          </w:tcPr>
          <w:p w14:paraId="650D8071" w14:textId="77777777" w:rsidR="00900C27" w:rsidRPr="00900C27" w:rsidRDefault="00900C27" w:rsidP="00BE2903">
            <w:pPr>
              <w:jc w:val="right"/>
              <w:rPr>
                <w:rFonts w:cs="Arial"/>
                <w:sz w:val="18"/>
                <w:szCs w:val="18"/>
              </w:rPr>
            </w:pPr>
            <w:r w:rsidRPr="00900C27">
              <w:rPr>
                <w:rFonts w:cs="Arial"/>
                <w:sz w:val="18"/>
                <w:szCs w:val="18"/>
              </w:rPr>
              <w:t>2.50</w:t>
            </w:r>
          </w:p>
        </w:tc>
        <w:tc>
          <w:tcPr>
            <w:tcW w:w="709" w:type="dxa"/>
            <w:tcBorders>
              <w:bottom w:val="single" w:sz="4" w:space="0" w:color="000000"/>
            </w:tcBorders>
          </w:tcPr>
          <w:p w14:paraId="52055DDE" w14:textId="77777777" w:rsidR="00900C27" w:rsidRPr="00900C27" w:rsidRDefault="00900C27" w:rsidP="008074BC">
            <w:pPr>
              <w:jc w:val="right"/>
              <w:rPr>
                <w:rFonts w:cs="Arial"/>
                <w:sz w:val="18"/>
                <w:szCs w:val="18"/>
              </w:rPr>
            </w:pPr>
            <w:r w:rsidRPr="00900C27">
              <w:rPr>
                <w:rFonts w:cs="Arial"/>
                <w:sz w:val="18"/>
                <w:szCs w:val="18"/>
              </w:rPr>
              <w:t>2.50</w:t>
            </w:r>
          </w:p>
        </w:tc>
        <w:tc>
          <w:tcPr>
            <w:tcW w:w="709" w:type="dxa"/>
            <w:tcBorders>
              <w:bottom w:val="single" w:sz="4" w:space="0" w:color="000000"/>
            </w:tcBorders>
          </w:tcPr>
          <w:p w14:paraId="32EF004A" w14:textId="77777777" w:rsidR="00900C27" w:rsidRPr="00DB64A7" w:rsidRDefault="00900C27" w:rsidP="001F6D9C">
            <w:pPr>
              <w:pStyle w:val="UtilComTabletext"/>
              <w:jc w:val="right"/>
            </w:pPr>
            <w:r>
              <w:t>2.51</w:t>
            </w:r>
          </w:p>
        </w:tc>
      </w:tr>
    </w:tbl>
    <w:p w14:paraId="709D80D3" w14:textId="77777777" w:rsidR="00335887" w:rsidRDefault="00335887" w:rsidP="00335887">
      <w:pPr>
        <w:pStyle w:val="UtilComReferenceSource"/>
        <w:spacing w:after="0"/>
      </w:pPr>
      <w:r>
        <w:t>Source: RBA Statement on Monetary Policy, November 2013</w:t>
      </w:r>
      <w:r w:rsidR="00900C27">
        <w:t>, p</w:t>
      </w:r>
      <w:r w:rsidR="006F1C85">
        <w:t>age</w:t>
      </w:r>
      <w:r w:rsidR="00900C27">
        <w:t>.65</w:t>
      </w:r>
    </w:p>
    <w:p w14:paraId="65641C28" w14:textId="1605198E" w:rsidR="0026467C" w:rsidRDefault="0026467C" w:rsidP="00335887">
      <w:pPr>
        <w:pStyle w:val="UtilComReferenceSource"/>
        <w:spacing w:after="0"/>
      </w:pPr>
      <w:r w:rsidRPr="00AF25B5">
        <w:rPr>
          <w:vertAlign w:val="superscript"/>
        </w:rPr>
        <w:t>(a)</w:t>
      </w:r>
      <w:r>
        <w:t xml:space="preserve"> </w:t>
      </w:r>
      <w:r w:rsidR="00320471">
        <w:t xml:space="preserve">The </w:t>
      </w:r>
      <w:r>
        <w:t>RBA has not yet released a forecast for the year ending June 201</w:t>
      </w:r>
      <w:r w:rsidR="007F6798">
        <w:t>5</w:t>
      </w:r>
      <w:r>
        <w:t xml:space="preserve">. The mid-point of the target range </w:t>
      </w:r>
      <w:r w:rsidR="00320471">
        <w:t>was</w:t>
      </w:r>
      <w:r>
        <w:t xml:space="preserve"> assumed for the purposes of </w:t>
      </w:r>
      <w:r w:rsidR="00320471">
        <w:t>the Draft Determination</w:t>
      </w:r>
      <w:r>
        <w:t>.</w:t>
      </w:r>
    </w:p>
    <w:p w14:paraId="4C990DF6" w14:textId="77777777" w:rsidR="00914B73" w:rsidRDefault="00914B73" w:rsidP="00335887">
      <w:pPr>
        <w:rPr>
          <w:lang w:val="en-AU"/>
        </w:rPr>
      </w:pPr>
    </w:p>
    <w:p w14:paraId="26B971A2" w14:textId="77777777" w:rsidR="00D139D3" w:rsidRPr="00914B73" w:rsidRDefault="00D139D3" w:rsidP="00D139D3">
      <w:pPr>
        <w:pStyle w:val="UtilComHeading3"/>
        <w:rPr>
          <w:lang w:val="en-AU"/>
        </w:rPr>
      </w:pPr>
      <w:r>
        <w:rPr>
          <w:lang w:val="en-AU"/>
        </w:rPr>
        <w:t>Nominal risk free rate</w:t>
      </w:r>
    </w:p>
    <w:p w14:paraId="33491078" w14:textId="5CB210F6" w:rsidR="00ED5DF5" w:rsidRDefault="002D35EA" w:rsidP="00D40F75">
      <w:pPr>
        <w:pStyle w:val="NumberLevel2"/>
        <w:numPr>
          <w:ilvl w:val="1"/>
          <w:numId w:val="5"/>
        </w:numPr>
        <w:tabs>
          <w:tab w:val="clear" w:pos="3270"/>
          <w:tab w:val="num" w:pos="709"/>
        </w:tabs>
        <w:ind w:left="709" w:hanging="709"/>
        <w:rPr>
          <w:lang w:val="en-AU"/>
        </w:rPr>
      </w:pPr>
      <w:r>
        <w:rPr>
          <w:lang w:val="en-AU"/>
        </w:rPr>
        <w:t xml:space="preserve">The NTMEU suggested that the risk free rate be based on the </w:t>
      </w:r>
      <w:r w:rsidR="00C870CA">
        <w:rPr>
          <w:lang w:val="en-AU"/>
        </w:rPr>
        <w:t>five-</w:t>
      </w:r>
      <w:r>
        <w:rPr>
          <w:lang w:val="en-AU"/>
        </w:rPr>
        <w:t xml:space="preserve">year, rather than the </w:t>
      </w:r>
      <w:r w:rsidR="00C870CA">
        <w:rPr>
          <w:lang w:val="en-AU"/>
        </w:rPr>
        <w:t>10-</w:t>
      </w:r>
      <w:r>
        <w:rPr>
          <w:lang w:val="en-AU"/>
        </w:rPr>
        <w:t xml:space="preserve">year, CGS, but advanced no arguments </w:t>
      </w:r>
      <w:r w:rsidR="00AB01FA">
        <w:rPr>
          <w:lang w:val="en-AU"/>
        </w:rPr>
        <w:t xml:space="preserve">in support of </w:t>
      </w:r>
      <w:r w:rsidR="003F7EA4">
        <w:rPr>
          <w:lang w:val="en-AU"/>
        </w:rPr>
        <w:t>this</w:t>
      </w:r>
      <w:r>
        <w:rPr>
          <w:lang w:val="en-AU"/>
        </w:rPr>
        <w:t xml:space="preserve">. </w:t>
      </w:r>
    </w:p>
    <w:p w14:paraId="1509A36A" w14:textId="53114682" w:rsidR="00D139D3" w:rsidRDefault="00ED5DF5" w:rsidP="00D40F75">
      <w:pPr>
        <w:pStyle w:val="NumberLevel2"/>
        <w:numPr>
          <w:ilvl w:val="1"/>
          <w:numId w:val="5"/>
        </w:numPr>
        <w:tabs>
          <w:tab w:val="clear" w:pos="3270"/>
          <w:tab w:val="num" w:pos="709"/>
        </w:tabs>
        <w:ind w:left="709" w:hanging="709"/>
        <w:rPr>
          <w:lang w:val="en-AU"/>
        </w:rPr>
      </w:pPr>
      <w:r>
        <w:rPr>
          <w:lang w:val="en-AU"/>
        </w:rPr>
        <w:t xml:space="preserve">Use of the </w:t>
      </w:r>
      <w:r w:rsidR="00C870CA">
        <w:rPr>
          <w:lang w:val="en-AU"/>
        </w:rPr>
        <w:t>10-</w:t>
      </w:r>
      <w:r>
        <w:rPr>
          <w:lang w:val="en-AU"/>
        </w:rPr>
        <w:t xml:space="preserve">year CGS is generally accepted regulatory practice and the Commission </w:t>
      </w:r>
      <w:r w:rsidR="00BD2CDE">
        <w:rPr>
          <w:lang w:val="en-AU"/>
        </w:rPr>
        <w:t xml:space="preserve">saw </w:t>
      </w:r>
      <w:r>
        <w:rPr>
          <w:lang w:val="en-AU"/>
        </w:rPr>
        <w:t xml:space="preserve">no reason to depart from that </w:t>
      </w:r>
      <w:r w:rsidR="00AB01FA">
        <w:rPr>
          <w:lang w:val="en-AU"/>
        </w:rPr>
        <w:t>practice</w:t>
      </w:r>
      <w:r>
        <w:rPr>
          <w:lang w:val="en-AU"/>
        </w:rPr>
        <w:t>.</w:t>
      </w:r>
    </w:p>
    <w:p w14:paraId="2DCEC87D" w14:textId="0D8E7E6D" w:rsidR="00ED5DF5" w:rsidRDefault="00ED5DF5" w:rsidP="00D40F75">
      <w:pPr>
        <w:pStyle w:val="NumberLevel2"/>
        <w:numPr>
          <w:ilvl w:val="1"/>
          <w:numId w:val="5"/>
        </w:numPr>
        <w:tabs>
          <w:tab w:val="clear" w:pos="3270"/>
          <w:tab w:val="num" w:pos="709"/>
        </w:tabs>
        <w:ind w:left="709" w:hanging="709"/>
        <w:rPr>
          <w:lang w:val="en-AU"/>
        </w:rPr>
      </w:pPr>
      <w:r>
        <w:rPr>
          <w:lang w:val="en-AU"/>
        </w:rPr>
        <w:t>The Commission calculated the nominal risk free rate as 4.13</w:t>
      </w:r>
      <w:r w:rsidR="00C870CA">
        <w:rPr>
          <w:lang w:val="en-AU"/>
        </w:rPr>
        <w:t xml:space="preserve"> per cent, </w:t>
      </w:r>
      <w:r>
        <w:rPr>
          <w:lang w:val="en-AU"/>
        </w:rPr>
        <w:t xml:space="preserve">based on the </w:t>
      </w:r>
      <w:r w:rsidR="00C870CA">
        <w:rPr>
          <w:lang w:val="en-AU"/>
        </w:rPr>
        <w:t>10-</w:t>
      </w:r>
      <w:r>
        <w:rPr>
          <w:lang w:val="en-AU"/>
        </w:rPr>
        <w:t xml:space="preserve">year CGS over a 20 day averaging period from </w:t>
      </w:r>
      <w:r w:rsidR="00AB01FA">
        <w:rPr>
          <w:lang w:val="en-AU"/>
        </w:rPr>
        <w:t xml:space="preserve">the </w:t>
      </w:r>
      <w:r>
        <w:rPr>
          <w:lang w:val="en-AU"/>
        </w:rPr>
        <w:t>4</w:t>
      </w:r>
      <w:r w:rsidR="00AB01FA" w:rsidRPr="00AB01FA">
        <w:rPr>
          <w:vertAlign w:val="superscript"/>
          <w:lang w:val="en-AU"/>
        </w:rPr>
        <w:t>th</w:t>
      </w:r>
      <w:r w:rsidR="00AB01FA">
        <w:rPr>
          <w:lang w:val="en-AU"/>
        </w:rPr>
        <w:t xml:space="preserve"> to the</w:t>
      </w:r>
      <w:r w:rsidR="00C870CA">
        <w:rPr>
          <w:lang w:val="en-AU"/>
        </w:rPr>
        <w:t xml:space="preserve"> </w:t>
      </w:r>
      <w:r>
        <w:rPr>
          <w:lang w:val="en-AU"/>
        </w:rPr>
        <w:t>29</w:t>
      </w:r>
      <w:r w:rsidR="00AB01FA" w:rsidRPr="00AB01FA">
        <w:rPr>
          <w:vertAlign w:val="superscript"/>
          <w:lang w:val="en-AU"/>
        </w:rPr>
        <w:t>th</w:t>
      </w:r>
      <w:r>
        <w:rPr>
          <w:lang w:val="en-AU"/>
        </w:rPr>
        <w:t xml:space="preserve"> </w:t>
      </w:r>
      <w:r w:rsidR="00AB01FA">
        <w:rPr>
          <w:lang w:val="en-AU"/>
        </w:rPr>
        <w:t xml:space="preserve">of </w:t>
      </w:r>
      <w:r>
        <w:rPr>
          <w:lang w:val="en-AU"/>
        </w:rPr>
        <w:t>November</w:t>
      </w:r>
      <w:r w:rsidR="00CB4726">
        <w:rPr>
          <w:lang w:val="en-AU"/>
        </w:rPr>
        <w:t> </w:t>
      </w:r>
      <w:r>
        <w:rPr>
          <w:lang w:val="en-AU"/>
        </w:rPr>
        <w:t>2013.</w:t>
      </w:r>
    </w:p>
    <w:p w14:paraId="70EE38FA" w14:textId="77777777" w:rsidR="00ED5DF5" w:rsidRPr="00914B73" w:rsidRDefault="00ED5DF5" w:rsidP="00ED5DF5">
      <w:pPr>
        <w:pStyle w:val="UtilComHeading3"/>
        <w:rPr>
          <w:lang w:val="en-AU"/>
        </w:rPr>
      </w:pPr>
      <w:r>
        <w:rPr>
          <w:lang w:val="en-AU"/>
        </w:rPr>
        <w:t>Equity beta</w:t>
      </w:r>
    </w:p>
    <w:p w14:paraId="7E0CB94A" w14:textId="043C89CD" w:rsidR="00ED5DF5" w:rsidRDefault="00AB01FA" w:rsidP="00D40F75">
      <w:pPr>
        <w:pStyle w:val="NumberLevel2"/>
        <w:numPr>
          <w:ilvl w:val="1"/>
          <w:numId w:val="5"/>
        </w:numPr>
        <w:tabs>
          <w:tab w:val="clear" w:pos="3270"/>
          <w:tab w:val="num" w:pos="709"/>
        </w:tabs>
        <w:ind w:left="709" w:hanging="709"/>
        <w:rPr>
          <w:lang w:val="en-AU"/>
        </w:rPr>
      </w:pPr>
      <w:r>
        <w:rPr>
          <w:lang w:val="en-AU"/>
        </w:rPr>
        <w:t>E</w:t>
      </w:r>
      <w:r w:rsidR="00ED5DF5">
        <w:rPr>
          <w:lang w:val="en-AU"/>
        </w:rPr>
        <w:t xml:space="preserve">quity </w:t>
      </w:r>
      <w:r w:rsidR="00ED5DF5" w:rsidRPr="00ED5DF5">
        <w:rPr>
          <w:lang w:val="en-AU"/>
        </w:rPr>
        <w:t xml:space="preserve">beta is a measure of expected volatility of the return on an investment in a particular </w:t>
      </w:r>
      <w:r w:rsidR="00ED5DF5">
        <w:rPr>
          <w:lang w:val="en-AU"/>
        </w:rPr>
        <w:t xml:space="preserve">asset or </w:t>
      </w:r>
      <w:r>
        <w:rPr>
          <w:lang w:val="en-AU"/>
        </w:rPr>
        <w:t>network service provider</w:t>
      </w:r>
      <w:r w:rsidRPr="00ED5DF5">
        <w:rPr>
          <w:lang w:val="en-AU"/>
        </w:rPr>
        <w:t xml:space="preserve"> </w:t>
      </w:r>
      <w:r w:rsidR="00ED5DF5" w:rsidRPr="00ED5DF5">
        <w:rPr>
          <w:lang w:val="en-AU"/>
        </w:rPr>
        <w:t xml:space="preserve">relative to the market as a whole. An equity beta of one implies that </w:t>
      </w:r>
      <w:r>
        <w:rPr>
          <w:lang w:val="en-AU"/>
        </w:rPr>
        <w:t>a network service provider’s</w:t>
      </w:r>
      <w:r w:rsidR="00ED5DF5" w:rsidRPr="00ED5DF5">
        <w:rPr>
          <w:lang w:val="en-AU"/>
        </w:rPr>
        <w:t xml:space="preserve"> returns have the same level of systematic risk as the overall market. An equity beta of less than one implies </w:t>
      </w:r>
      <w:r>
        <w:rPr>
          <w:lang w:val="en-AU"/>
        </w:rPr>
        <w:t>a network service provider’s</w:t>
      </w:r>
      <w:r w:rsidR="00ED5DF5" w:rsidRPr="00ED5DF5">
        <w:rPr>
          <w:lang w:val="en-AU"/>
        </w:rPr>
        <w:t xml:space="preserve"> returns are less sensitive to systematic risk than the overall market, and an equity beta greater than one implies </w:t>
      </w:r>
      <w:r>
        <w:rPr>
          <w:lang w:val="en-AU"/>
        </w:rPr>
        <w:t>a network service provider’s</w:t>
      </w:r>
      <w:r w:rsidR="00ED5DF5" w:rsidRPr="00ED5DF5">
        <w:rPr>
          <w:lang w:val="en-AU"/>
        </w:rPr>
        <w:t xml:space="preserve"> returns are more sensitive.</w:t>
      </w:r>
    </w:p>
    <w:p w14:paraId="492D506E" w14:textId="4B1FB7C5" w:rsidR="00ED5DF5" w:rsidRDefault="00ED5DF5" w:rsidP="00D40F75">
      <w:pPr>
        <w:pStyle w:val="NumberLevel2"/>
        <w:numPr>
          <w:ilvl w:val="1"/>
          <w:numId w:val="5"/>
        </w:numPr>
        <w:tabs>
          <w:tab w:val="clear" w:pos="3270"/>
          <w:tab w:val="num" w:pos="709"/>
        </w:tabs>
        <w:ind w:left="709" w:hanging="709"/>
        <w:rPr>
          <w:lang w:val="en-AU"/>
        </w:rPr>
      </w:pPr>
      <w:r>
        <w:rPr>
          <w:lang w:val="en-AU"/>
        </w:rPr>
        <w:t xml:space="preserve">While an equity beta of 0.8 has historically been applied for </w:t>
      </w:r>
      <w:r w:rsidR="00AB01FA">
        <w:rPr>
          <w:lang w:val="en-AU"/>
        </w:rPr>
        <w:t>network service providers</w:t>
      </w:r>
      <w:r>
        <w:rPr>
          <w:lang w:val="en-AU"/>
        </w:rPr>
        <w:t>, recent research</w:t>
      </w:r>
      <w:r w:rsidR="00470F1B">
        <w:rPr>
          <w:lang w:val="en-AU"/>
        </w:rPr>
        <w:t xml:space="preserve"> and empirical analysis</w:t>
      </w:r>
      <w:r>
        <w:rPr>
          <w:lang w:val="en-AU"/>
        </w:rPr>
        <w:t xml:space="preserve">, as noted by the NTMEU, </w:t>
      </w:r>
      <w:r w:rsidR="00470F1B">
        <w:rPr>
          <w:lang w:val="en-AU"/>
        </w:rPr>
        <w:t>strongly suggest</w:t>
      </w:r>
      <w:r w:rsidR="004152BB">
        <w:rPr>
          <w:lang w:val="en-AU"/>
        </w:rPr>
        <w:t xml:space="preserve">ed </w:t>
      </w:r>
      <w:r w:rsidR="00470F1B">
        <w:rPr>
          <w:lang w:val="en-AU"/>
        </w:rPr>
        <w:t>that a lower value</w:t>
      </w:r>
      <w:r w:rsidR="004152BB">
        <w:rPr>
          <w:lang w:val="en-AU"/>
        </w:rPr>
        <w:t xml:space="preserve"> was </w:t>
      </w:r>
      <w:r w:rsidR="00470F1B">
        <w:rPr>
          <w:lang w:val="en-AU"/>
        </w:rPr>
        <w:t>appropriate.</w:t>
      </w:r>
    </w:p>
    <w:p w14:paraId="6A73723C" w14:textId="36D33D79" w:rsidR="00AC030B" w:rsidRDefault="00AC030B" w:rsidP="00D40F75">
      <w:pPr>
        <w:pStyle w:val="NumberLevel2"/>
        <w:numPr>
          <w:ilvl w:val="1"/>
          <w:numId w:val="5"/>
        </w:numPr>
        <w:tabs>
          <w:tab w:val="clear" w:pos="3270"/>
          <w:tab w:val="num" w:pos="709"/>
        </w:tabs>
        <w:ind w:left="709" w:hanging="709"/>
        <w:rPr>
          <w:lang w:val="en-AU"/>
        </w:rPr>
      </w:pPr>
      <w:r>
        <w:rPr>
          <w:lang w:val="en-AU"/>
        </w:rPr>
        <w:t>In its Equity Beta Issues Paper, the AER propose</w:t>
      </w:r>
      <w:r w:rsidR="00EE30FA">
        <w:rPr>
          <w:lang w:val="en-AU"/>
        </w:rPr>
        <w:t>d</w:t>
      </w:r>
      <w:r>
        <w:rPr>
          <w:lang w:val="en-AU"/>
        </w:rPr>
        <w:t xml:space="preserve"> </w:t>
      </w:r>
      <w:r w:rsidRPr="00AC030B">
        <w:rPr>
          <w:lang w:val="en-AU"/>
        </w:rPr>
        <w:t>t</w:t>
      </w:r>
      <w:r w:rsidR="00EE30FA">
        <w:rPr>
          <w:lang w:val="en-AU"/>
        </w:rPr>
        <w:t>he</w:t>
      </w:r>
      <w:r w:rsidRPr="00AC030B">
        <w:rPr>
          <w:lang w:val="en-AU"/>
        </w:rPr>
        <w:t xml:space="preserve"> adopt</w:t>
      </w:r>
      <w:r w:rsidR="00EE30FA">
        <w:rPr>
          <w:lang w:val="en-AU"/>
        </w:rPr>
        <w:t>ion of</w:t>
      </w:r>
      <w:r w:rsidRPr="00AC030B">
        <w:rPr>
          <w:lang w:val="en-AU"/>
        </w:rPr>
        <w:t xml:space="preserve"> an equity beta point estimate</w:t>
      </w:r>
      <w:r>
        <w:rPr>
          <w:lang w:val="en-AU"/>
        </w:rPr>
        <w:t xml:space="preserve"> </w:t>
      </w:r>
      <w:r w:rsidRPr="00AC030B">
        <w:rPr>
          <w:lang w:val="en-AU"/>
        </w:rPr>
        <w:t>of 0.7 for a benchmark efficient entity, chosen from within a range of 0.4 to 0.7.</w:t>
      </w:r>
      <w:r>
        <w:rPr>
          <w:lang w:val="en-AU"/>
        </w:rPr>
        <w:t xml:space="preserve"> This </w:t>
      </w:r>
      <w:r w:rsidR="00AB01FA">
        <w:rPr>
          <w:lang w:val="en-AU"/>
        </w:rPr>
        <w:t xml:space="preserve">was </w:t>
      </w:r>
      <w:r>
        <w:rPr>
          <w:lang w:val="en-AU"/>
        </w:rPr>
        <w:t xml:space="preserve">based on conceptual analysis and empirical estimates for Australian </w:t>
      </w:r>
      <w:r w:rsidR="00AF4A64">
        <w:rPr>
          <w:lang w:val="en-AU"/>
        </w:rPr>
        <w:t>network service providers</w:t>
      </w:r>
      <w:r>
        <w:rPr>
          <w:lang w:val="en-AU"/>
        </w:rPr>
        <w:t xml:space="preserve"> from a range of studies.</w:t>
      </w:r>
    </w:p>
    <w:p w14:paraId="69F265AD" w14:textId="36F04B7B" w:rsidR="00AC030B" w:rsidRPr="00AC030B" w:rsidRDefault="00AC030B" w:rsidP="00D40F75">
      <w:pPr>
        <w:pStyle w:val="NumberLevel2"/>
        <w:numPr>
          <w:ilvl w:val="1"/>
          <w:numId w:val="5"/>
        </w:numPr>
        <w:tabs>
          <w:tab w:val="clear" w:pos="3270"/>
          <w:tab w:val="num" w:pos="709"/>
        </w:tabs>
        <w:ind w:left="709" w:hanging="709"/>
        <w:rPr>
          <w:lang w:val="en-AU"/>
        </w:rPr>
      </w:pPr>
      <w:r>
        <w:rPr>
          <w:lang w:val="en-AU"/>
        </w:rPr>
        <w:t xml:space="preserve">The Commission </w:t>
      </w:r>
      <w:r w:rsidR="00C25FAB">
        <w:rPr>
          <w:lang w:val="en-AU"/>
        </w:rPr>
        <w:t xml:space="preserve">considered </w:t>
      </w:r>
      <w:r w:rsidR="00004202">
        <w:rPr>
          <w:lang w:val="en-AU"/>
        </w:rPr>
        <w:t>generally accepted regulatory practice no longer support</w:t>
      </w:r>
      <w:r w:rsidR="004152BB">
        <w:rPr>
          <w:lang w:val="en-AU"/>
        </w:rPr>
        <w:t xml:space="preserve">ed </w:t>
      </w:r>
      <w:r w:rsidR="00004202">
        <w:rPr>
          <w:lang w:val="en-AU"/>
        </w:rPr>
        <w:t>an equity beta above 0.7.</w:t>
      </w:r>
      <w:r>
        <w:rPr>
          <w:lang w:val="en-AU"/>
        </w:rPr>
        <w:t xml:space="preserve"> </w:t>
      </w:r>
    </w:p>
    <w:p w14:paraId="13337DAF" w14:textId="77777777" w:rsidR="00470F1B" w:rsidRDefault="00470F1B" w:rsidP="00D40F75">
      <w:pPr>
        <w:pStyle w:val="NumberLevel2"/>
        <w:numPr>
          <w:ilvl w:val="1"/>
          <w:numId w:val="5"/>
        </w:numPr>
        <w:tabs>
          <w:tab w:val="clear" w:pos="3270"/>
          <w:tab w:val="num" w:pos="709"/>
        </w:tabs>
        <w:ind w:left="709" w:hanging="709"/>
        <w:rPr>
          <w:lang w:val="en-AU"/>
        </w:rPr>
      </w:pPr>
      <w:r>
        <w:rPr>
          <w:lang w:val="en-AU"/>
        </w:rPr>
        <w:t xml:space="preserve">The equity beta of 0.8 proposed by PWC Networks </w:t>
      </w:r>
      <w:r w:rsidR="00C25FAB">
        <w:rPr>
          <w:lang w:val="en-AU"/>
        </w:rPr>
        <w:t xml:space="preserve">was </w:t>
      </w:r>
      <w:r>
        <w:rPr>
          <w:lang w:val="en-AU"/>
        </w:rPr>
        <w:t>not accepted by the Commission. The Commission applied an equity beta of 0.7.</w:t>
      </w:r>
    </w:p>
    <w:p w14:paraId="39696244" w14:textId="77777777" w:rsidR="00ED5DF5" w:rsidRPr="00914B73" w:rsidRDefault="00ED5DF5" w:rsidP="00ED5DF5">
      <w:pPr>
        <w:pStyle w:val="UtilComHeading3"/>
        <w:rPr>
          <w:lang w:val="en-AU"/>
        </w:rPr>
      </w:pPr>
      <w:r>
        <w:rPr>
          <w:lang w:val="en-AU"/>
        </w:rPr>
        <w:t>Debt risk premium</w:t>
      </w:r>
    </w:p>
    <w:p w14:paraId="1AEB8D51" w14:textId="2E94CA21" w:rsidR="00470F1B" w:rsidRDefault="00470F1B" w:rsidP="00D40F75">
      <w:pPr>
        <w:pStyle w:val="NumberLevel2"/>
        <w:numPr>
          <w:ilvl w:val="1"/>
          <w:numId w:val="5"/>
        </w:numPr>
        <w:tabs>
          <w:tab w:val="clear" w:pos="3270"/>
          <w:tab w:val="num" w:pos="709"/>
        </w:tabs>
        <w:ind w:left="709" w:hanging="709"/>
        <w:rPr>
          <w:lang w:val="en-AU"/>
        </w:rPr>
      </w:pPr>
      <w:r w:rsidRPr="00470F1B">
        <w:rPr>
          <w:lang w:val="en-AU"/>
        </w:rPr>
        <w:t>The DRP is the margin above the nominal risk</w:t>
      </w:r>
      <w:r w:rsidR="00CB4726">
        <w:rPr>
          <w:lang w:val="en-AU"/>
        </w:rPr>
        <w:t>-</w:t>
      </w:r>
      <w:r w:rsidRPr="00470F1B">
        <w:rPr>
          <w:lang w:val="en-AU"/>
        </w:rPr>
        <w:t xml:space="preserve">free rate that a debt holder in a benchmark efficient DNSP is likely to demand as a result of issuing debt to fund </w:t>
      </w:r>
      <w:r w:rsidR="00BD5676">
        <w:rPr>
          <w:lang w:val="en-AU"/>
        </w:rPr>
        <w:t>a network service provider’s</w:t>
      </w:r>
      <w:r w:rsidRPr="00470F1B">
        <w:rPr>
          <w:lang w:val="en-AU"/>
        </w:rPr>
        <w:t xml:space="preserve"> operations. It is intended to equate to a commercial cost of debt.</w:t>
      </w:r>
    </w:p>
    <w:p w14:paraId="59992242" w14:textId="1D1B261D" w:rsidR="00470F1B" w:rsidRDefault="00470F1B" w:rsidP="00D40F75">
      <w:pPr>
        <w:pStyle w:val="NumberLevel2"/>
        <w:numPr>
          <w:ilvl w:val="1"/>
          <w:numId w:val="5"/>
        </w:numPr>
        <w:tabs>
          <w:tab w:val="clear" w:pos="3270"/>
          <w:tab w:val="num" w:pos="709"/>
        </w:tabs>
        <w:ind w:left="709" w:hanging="709"/>
        <w:rPr>
          <w:lang w:val="en-AU"/>
        </w:rPr>
      </w:pPr>
      <w:r w:rsidRPr="00470F1B">
        <w:rPr>
          <w:lang w:val="en-AU"/>
        </w:rPr>
        <w:t xml:space="preserve">PWC Networks proposed that the Bloomberg BBB rated FVC should be used to estimate the DRP, to a </w:t>
      </w:r>
      <w:r w:rsidR="00CB4726" w:rsidRPr="00470F1B">
        <w:rPr>
          <w:lang w:val="en-AU"/>
        </w:rPr>
        <w:t>10</w:t>
      </w:r>
      <w:r w:rsidR="00CB4726">
        <w:rPr>
          <w:lang w:val="en-AU"/>
        </w:rPr>
        <w:t>-</w:t>
      </w:r>
      <w:r w:rsidRPr="00470F1B">
        <w:rPr>
          <w:lang w:val="en-AU"/>
        </w:rPr>
        <w:t xml:space="preserve">year term, while the </w:t>
      </w:r>
      <w:r w:rsidR="00ED5DF5" w:rsidRPr="00470F1B">
        <w:rPr>
          <w:lang w:val="en-AU"/>
        </w:rPr>
        <w:t xml:space="preserve">NTMEU suggested </w:t>
      </w:r>
      <w:r>
        <w:rPr>
          <w:lang w:val="en-AU"/>
        </w:rPr>
        <w:t xml:space="preserve">that the </w:t>
      </w:r>
      <w:r w:rsidRPr="00470F1B">
        <w:rPr>
          <w:lang w:val="en-AU"/>
        </w:rPr>
        <w:t xml:space="preserve">DRP should reflect a </w:t>
      </w:r>
      <w:r w:rsidR="00CC49A2">
        <w:rPr>
          <w:lang w:val="en-AU"/>
        </w:rPr>
        <w:t>five</w:t>
      </w:r>
      <w:r w:rsidR="00CC49A2" w:rsidRPr="00470F1B">
        <w:rPr>
          <w:lang w:val="en-AU"/>
        </w:rPr>
        <w:t xml:space="preserve"> </w:t>
      </w:r>
      <w:r w:rsidRPr="00470F1B">
        <w:rPr>
          <w:lang w:val="en-AU"/>
        </w:rPr>
        <w:t>year term for the debt and be based on the bond yields of a cohort of specific bonds</w:t>
      </w:r>
      <w:r>
        <w:rPr>
          <w:lang w:val="en-AU"/>
        </w:rPr>
        <w:t>.</w:t>
      </w:r>
    </w:p>
    <w:p w14:paraId="62C422E7" w14:textId="1B83C610" w:rsidR="00F14664" w:rsidRDefault="00470F1B" w:rsidP="00D40F75">
      <w:pPr>
        <w:pStyle w:val="NumberLevel2"/>
        <w:numPr>
          <w:ilvl w:val="1"/>
          <w:numId w:val="5"/>
        </w:numPr>
        <w:tabs>
          <w:tab w:val="clear" w:pos="3270"/>
          <w:tab w:val="num" w:pos="709"/>
        </w:tabs>
        <w:ind w:left="709" w:hanging="709"/>
        <w:rPr>
          <w:lang w:val="en-AU"/>
        </w:rPr>
      </w:pPr>
      <w:r>
        <w:rPr>
          <w:lang w:val="en-AU"/>
        </w:rPr>
        <w:t xml:space="preserve">In </w:t>
      </w:r>
      <w:r w:rsidR="00F14664">
        <w:rPr>
          <w:lang w:val="en-AU"/>
        </w:rPr>
        <w:t>light of</w:t>
      </w:r>
      <w:r>
        <w:rPr>
          <w:lang w:val="en-AU"/>
        </w:rPr>
        <w:t xml:space="preserve"> the position taken by the AER in </w:t>
      </w:r>
      <w:r w:rsidR="00BD5676">
        <w:rPr>
          <w:lang w:val="en-AU"/>
        </w:rPr>
        <w:t xml:space="preserve">the </w:t>
      </w:r>
      <w:r>
        <w:rPr>
          <w:lang w:val="en-AU"/>
        </w:rPr>
        <w:t>draft Rate of Return Guidelines, the Commission</w:t>
      </w:r>
      <w:r w:rsidR="00F14664">
        <w:rPr>
          <w:lang w:val="en-AU"/>
        </w:rPr>
        <w:t xml:space="preserve">’s preference </w:t>
      </w:r>
      <w:r w:rsidR="00C25FAB">
        <w:rPr>
          <w:lang w:val="en-AU"/>
        </w:rPr>
        <w:t xml:space="preserve">was </w:t>
      </w:r>
      <w:r w:rsidR="00F14664">
        <w:rPr>
          <w:lang w:val="en-AU"/>
        </w:rPr>
        <w:t xml:space="preserve">to follow regulatory precedent and base the DRP on the Bloomberg BBB rated FVC. However, the Commission </w:t>
      </w:r>
      <w:r w:rsidR="00C25FAB">
        <w:rPr>
          <w:lang w:val="en-AU"/>
        </w:rPr>
        <w:t xml:space="preserve">did </w:t>
      </w:r>
      <w:r w:rsidR="00F14664">
        <w:rPr>
          <w:lang w:val="en-AU"/>
        </w:rPr>
        <w:t xml:space="preserve">not have access to Bloomberg data at </w:t>
      </w:r>
      <w:r w:rsidR="00BD5676">
        <w:rPr>
          <w:lang w:val="en-AU"/>
        </w:rPr>
        <w:t xml:space="preserve">that </w:t>
      </w:r>
      <w:r w:rsidR="00F14664">
        <w:rPr>
          <w:lang w:val="en-AU"/>
        </w:rPr>
        <w:t>time.</w:t>
      </w:r>
    </w:p>
    <w:p w14:paraId="197BEB76" w14:textId="1AD9E9B2" w:rsidR="00ED5DF5" w:rsidRDefault="00F14664" w:rsidP="00D40F75">
      <w:pPr>
        <w:pStyle w:val="NumberLevel2"/>
        <w:numPr>
          <w:ilvl w:val="1"/>
          <w:numId w:val="5"/>
        </w:numPr>
        <w:tabs>
          <w:tab w:val="clear" w:pos="3270"/>
          <w:tab w:val="num" w:pos="709"/>
        </w:tabs>
        <w:ind w:left="709" w:hanging="709"/>
        <w:rPr>
          <w:lang w:val="en-AU"/>
        </w:rPr>
      </w:pPr>
      <w:r>
        <w:rPr>
          <w:lang w:val="en-AU"/>
        </w:rPr>
        <w:t xml:space="preserve">For the purposes of </w:t>
      </w:r>
      <w:r w:rsidR="00C25FAB">
        <w:rPr>
          <w:lang w:val="en-AU"/>
        </w:rPr>
        <w:t xml:space="preserve">the </w:t>
      </w:r>
      <w:r w:rsidR="00BD5676">
        <w:rPr>
          <w:lang w:val="en-AU"/>
        </w:rPr>
        <w:t>Draft Determination</w:t>
      </w:r>
      <w:r>
        <w:rPr>
          <w:lang w:val="en-AU"/>
        </w:rPr>
        <w:t xml:space="preserve">, the Commission used the DRP as calculated by the AER with reference to the Bloomberg FVC in its most recent decision </w:t>
      </w:r>
      <w:r w:rsidR="00BD5676">
        <w:rPr>
          <w:lang w:val="en-AU"/>
        </w:rPr>
        <w:t xml:space="preserve">at the time </w:t>
      </w:r>
      <w:r>
        <w:rPr>
          <w:lang w:val="en-AU"/>
        </w:rPr>
        <w:t>(</w:t>
      </w:r>
      <w:r w:rsidR="00BD5676">
        <w:rPr>
          <w:lang w:val="en-AU"/>
        </w:rPr>
        <w:t xml:space="preserve">that was the </w:t>
      </w:r>
      <w:r>
        <w:rPr>
          <w:lang w:val="en-AU"/>
        </w:rPr>
        <w:t xml:space="preserve">SPAusnet </w:t>
      </w:r>
      <w:r w:rsidR="00BD5676">
        <w:rPr>
          <w:lang w:val="en-AU"/>
        </w:rPr>
        <w:t xml:space="preserve">2014-17 </w:t>
      </w:r>
      <w:r>
        <w:rPr>
          <w:lang w:val="en-AU"/>
        </w:rPr>
        <w:t>draft</w:t>
      </w:r>
      <w:r w:rsidR="00BD5676">
        <w:rPr>
          <w:lang w:val="en-AU"/>
        </w:rPr>
        <w:t xml:space="preserve"> transmission</w:t>
      </w:r>
      <w:r>
        <w:rPr>
          <w:lang w:val="en-AU"/>
        </w:rPr>
        <w:t xml:space="preserve"> determination, </w:t>
      </w:r>
      <w:r w:rsidRPr="00F14664">
        <w:rPr>
          <w:lang w:val="en-AU"/>
        </w:rPr>
        <w:t xml:space="preserve">estimated over </w:t>
      </w:r>
      <w:r>
        <w:rPr>
          <w:lang w:val="en-AU"/>
        </w:rPr>
        <w:t>the</w:t>
      </w:r>
      <w:r w:rsidRPr="00F14664">
        <w:rPr>
          <w:lang w:val="en-AU"/>
        </w:rPr>
        <w:t xml:space="preserve"> 20 business day</w:t>
      </w:r>
      <w:r>
        <w:rPr>
          <w:lang w:val="en-AU"/>
        </w:rPr>
        <w:t>s</w:t>
      </w:r>
      <w:r w:rsidRPr="00F14664">
        <w:rPr>
          <w:lang w:val="en-AU"/>
        </w:rPr>
        <w:t xml:space="preserve"> </w:t>
      </w:r>
      <w:r>
        <w:rPr>
          <w:lang w:val="en-AU"/>
        </w:rPr>
        <w:t xml:space="preserve">commencing from </w:t>
      </w:r>
      <w:r w:rsidR="00BD5676">
        <w:rPr>
          <w:lang w:val="en-AU"/>
        </w:rPr>
        <w:t>24 June </w:t>
      </w:r>
      <w:r w:rsidRPr="00F14664">
        <w:rPr>
          <w:lang w:val="en-AU"/>
        </w:rPr>
        <w:t>201</w:t>
      </w:r>
      <w:r>
        <w:rPr>
          <w:lang w:val="en-AU"/>
        </w:rPr>
        <w:t>3)</w:t>
      </w:r>
      <w:r w:rsidRPr="00F14664">
        <w:rPr>
          <w:lang w:val="en-AU"/>
        </w:rPr>
        <w:t>.</w:t>
      </w:r>
    </w:p>
    <w:p w14:paraId="4204C4CA" w14:textId="058A7BDC" w:rsidR="005A6DA7" w:rsidRDefault="005A6DA7" w:rsidP="005A6DA7">
      <w:pPr>
        <w:pStyle w:val="UtilComHeading2"/>
      </w:pPr>
      <w:bookmarkStart w:id="258" w:name="_Toc385241551"/>
      <w:bookmarkStart w:id="259" w:name="_Toc386013104"/>
      <w:r>
        <w:t xml:space="preserve">Commission’s </w:t>
      </w:r>
      <w:r w:rsidR="00747203">
        <w:t xml:space="preserve">Draft </w:t>
      </w:r>
      <w:bookmarkEnd w:id="258"/>
      <w:r w:rsidR="00747203">
        <w:t>Decision</w:t>
      </w:r>
      <w:bookmarkEnd w:id="259"/>
    </w:p>
    <w:p w14:paraId="4BFE58B1" w14:textId="63663005" w:rsidR="00F36204" w:rsidRPr="001E4D9A" w:rsidRDefault="00F36204" w:rsidP="00F36204">
      <w:pPr>
        <w:pStyle w:val="NumberLevel2"/>
        <w:numPr>
          <w:ilvl w:val="1"/>
          <w:numId w:val="5"/>
        </w:numPr>
        <w:tabs>
          <w:tab w:val="clear" w:pos="3270"/>
          <w:tab w:val="num" w:pos="709"/>
        </w:tabs>
        <w:ind w:left="709" w:hanging="709"/>
        <w:rPr>
          <w:lang w:val="en-AU"/>
        </w:rPr>
      </w:pPr>
      <w:r>
        <w:rPr>
          <w:lang w:val="en-AU"/>
        </w:rPr>
        <w:t>The Commission calculated an indicative nominal pre-tax WACC of 8.</w:t>
      </w:r>
      <w:r w:rsidR="00BD5676">
        <w:rPr>
          <w:lang w:val="en-AU"/>
        </w:rPr>
        <w:t>12 per </w:t>
      </w:r>
      <w:r>
        <w:rPr>
          <w:lang w:val="en-AU"/>
        </w:rPr>
        <w:t>cent for PWC Networks.</w:t>
      </w:r>
    </w:p>
    <w:p w14:paraId="779D59EF" w14:textId="62C99C90" w:rsidR="00F36204" w:rsidRPr="001E4D9A" w:rsidRDefault="00F36204" w:rsidP="00F36204">
      <w:pPr>
        <w:pStyle w:val="NumberLevel2"/>
        <w:numPr>
          <w:ilvl w:val="1"/>
          <w:numId w:val="5"/>
        </w:numPr>
        <w:tabs>
          <w:tab w:val="clear" w:pos="3270"/>
          <w:tab w:val="num" w:pos="709"/>
        </w:tabs>
        <w:ind w:left="709" w:hanging="709"/>
        <w:rPr>
          <w:lang w:val="en-AU"/>
        </w:rPr>
      </w:pPr>
      <w:r>
        <w:rPr>
          <w:lang w:val="en-AU"/>
        </w:rPr>
        <w:t xml:space="preserve">This WACC </w:t>
      </w:r>
      <w:r w:rsidR="00BD5676">
        <w:rPr>
          <w:lang w:val="en-AU"/>
        </w:rPr>
        <w:t xml:space="preserve">was </w:t>
      </w:r>
      <w:r>
        <w:rPr>
          <w:lang w:val="en-AU"/>
        </w:rPr>
        <w:t xml:space="preserve">lower than that proposed by PWC Networks because the Commission adopted a lower equity beta and </w:t>
      </w:r>
      <w:r w:rsidR="00BD5676">
        <w:rPr>
          <w:lang w:val="en-AU"/>
        </w:rPr>
        <w:t xml:space="preserve">the </w:t>
      </w:r>
      <w:r>
        <w:rPr>
          <w:lang w:val="en-AU"/>
        </w:rPr>
        <w:t xml:space="preserve">market based parameters (nominal risk free rate, DRP and expected inflation) changed since </w:t>
      </w:r>
      <w:r w:rsidR="00BD5676">
        <w:rPr>
          <w:lang w:val="en-AU"/>
        </w:rPr>
        <w:t xml:space="preserve">the time at which </w:t>
      </w:r>
      <w:r>
        <w:rPr>
          <w:lang w:val="en-AU"/>
        </w:rPr>
        <w:t xml:space="preserve">PWC Networks prepared its </w:t>
      </w:r>
      <w:r w:rsidR="00BD5676">
        <w:rPr>
          <w:lang w:val="en-AU"/>
        </w:rPr>
        <w:t xml:space="preserve">initial </w:t>
      </w:r>
      <w:r>
        <w:rPr>
          <w:lang w:val="en-AU"/>
        </w:rPr>
        <w:t>regulatory proposal.</w:t>
      </w:r>
    </w:p>
    <w:p w14:paraId="6A902BA5" w14:textId="3E145A7B" w:rsidR="00F36204" w:rsidRDefault="00F36204" w:rsidP="00F36204">
      <w:pPr>
        <w:pStyle w:val="NumberLevel2"/>
        <w:numPr>
          <w:ilvl w:val="1"/>
          <w:numId w:val="5"/>
        </w:numPr>
        <w:tabs>
          <w:tab w:val="clear" w:pos="3270"/>
          <w:tab w:val="num" w:pos="709"/>
        </w:tabs>
        <w:ind w:left="709" w:hanging="709"/>
        <w:rPr>
          <w:lang w:val="en-AU"/>
        </w:rPr>
      </w:pPr>
      <w:r>
        <w:rPr>
          <w:lang w:val="en-AU"/>
        </w:rPr>
        <w:t xml:space="preserve">Table 12.3 outlines the WACC parameters </w:t>
      </w:r>
      <w:r w:rsidR="00BD5676">
        <w:rPr>
          <w:lang w:val="en-AU"/>
        </w:rPr>
        <w:t>used in the Draft Determination</w:t>
      </w:r>
      <w:r>
        <w:rPr>
          <w:lang w:val="en-AU"/>
        </w:rPr>
        <w:t xml:space="preserve">. </w:t>
      </w:r>
      <w:r w:rsidRPr="001E4D9A">
        <w:rPr>
          <w:lang w:val="en-AU"/>
        </w:rPr>
        <w:t xml:space="preserve">The </w:t>
      </w:r>
      <w:r>
        <w:rPr>
          <w:lang w:val="en-AU"/>
        </w:rPr>
        <w:t>Commission</w:t>
      </w:r>
      <w:r w:rsidRPr="001E4D9A">
        <w:rPr>
          <w:lang w:val="en-AU"/>
        </w:rPr>
        <w:t xml:space="preserve"> </w:t>
      </w:r>
      <w:r>
        <w:rPr>
          <w:lang w:val="en-AU"/>
        </w:rPr>
        <w:t>advised that it would</w:t>
      </w:r>
      <w:r w:rsidRPr="001E4D9A">
        <w:rPr>
          <w:lang w:val="en-AU"/>
        </w:rPr>
        <w:t xml:space="preserve"> update the nominal risk</w:t>
      </w:r>
      <w:r w:rsidR="00BD5676">
        <w:rPr>
          <w:lang w:val="en-AU"/>
        </w:rPr>
        <w:noBreakHyphen/>
      </w:r>
      <w:r w:rsidRPr="001E4D9A">
        <w:rPr>
          <w:lang w:val="en-AU"/>
        </w:rPr>
        <w:t xml:space="preserve">free rate and DRP, based on the agreed averaging period, and the expected inflation rate closer to </w:t>
      </w:r>
      <w:r w:rsidR="00BD5676" w:rsidRPr="001E4D9A">
        <w:rPr>
          <w:lang w:val="en-AU"/>
        </w:rPr>
        <w:t>th</w:t>
      </w:r>
      <w:r w:rsidR="00BD5676">
        <w:rPr>
          <w:lang w:val="en-AU"/>
        </w:rPr>
        <w:t>is</w:t>
      </w:r>
      <w:r w:rsidR="00BD5676" w:rsidRPr="001E4D9A">
        <w:rPr>
          <w:lang w:val="en-AU"/>
        </w:rPr>
        <w:t xml:space="preserve"> </w:t>
      </w:r>
      <w:r w:rsidR="00BD5676">
        <w:rPr>
          <w:lang w:val="en-AU"/>
        </w:rPr>
        <w:t>F</w:t>
      </w:r>
      <w:r w:rsidR="00BD5676" w:rsidRPr="001E4D9A">
        <w:rPr>
          <w:lang w:val="en-AU"/>
        </w:rPr>
        <w:t xml:space="preserve">inal </w:t>
      </w:r>
      <w:r w:rsidR="00BD5676">
        <w:rPr>
          <w:lang w:val="en-AU"/>
        </w:rPr>
        <w:t>D</w:t>
      </w:r>
      <w:r w:rsidR="00BD5676" w:rsidRPr="001E4D9A">
        <w:rPr>
          <w:lang w:val="en-AU"/>
        </w:rPr>
        <w:t>etermination</w:t>
      </w:r>
      <w:r w:rsidRPr="001E4D9A">
        <w:rPr>
          <w:lang w:val="en-AU"/>
        </w:rPr>
        <w:t>.</w:t>
      </w:r>
    </w:p>
    <w:p w14:paraId="37E74284" w14:textId="314EF1A4" w:rsidR="00F36204" w:rsidRPr="00A139AD" w:rsidRDefault="00F36204" w:rsidP="00BD5676">
      <w:pPr>
        <w:pStyle w:val="UtilComTableTitle"/>
        <w:keepNext/>
        <w:spacing w:before="120" w:after="0" w:line="240" w:lineRule="exact"/>
      </w:pPr>
      <w:r>
        <w:t>Table 12.3: Commission</w:t>
      </w:r>
      <w:r w:rsidR="00BD5676">
        <w:t>’s</w:t>
      </w:r>
      <w:r>
        <w:t xml:space="preserve"> decision </w:t>
      </w:r>
      <w:r w:rsidR="00BD5676">
        <w:t xml:space="preserve">in the Draft Determination </w:t>
      </w:r>
      <w:r>
        <w:t>- WACC parameters</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4110"/>
        <w:gridCol w:w="2552"/>
        <w:gridCol w:w="2552"/>
      </w:tblGrid>
      <w:tr w:rsidR="00F36204" w:rsidRPr="00CD0BDF" w14:paraId="3673E778" w14:textId="77777777" w:rsidTr="00D04105">
        <w:trPr>
          <w:trHeight w:val="360"/>
        </w:trPr>
        <w:tc>
          <w:tcPr>
            <w:tcW w:w="4110" w:type="dxa"/>
            <w:tcBorders>
              <w:bottom w:val="single" w:sz="4" w:space="0" w:color="auto"/>
            </w:tcBorders>
            <w:vAlign w:val="center"/>
          </w:tcPr>
          <w:p w14:paraId="3DEF992C" w14:textId="77777777" w:rsidR="00F36204" w:rsidRPr="002F053A" w:rsidRDefault="00F36204" w:rsidP="00D04105">
            <w:pPr>
              <w:pStyle w:val="UtilComTableColumnHeading"/>
            </w:pPr>
            <w:r>
              <w:t>Set parameters</w:t>
            </w:r>
          </w:p>
        </w:tc>
        <w:tc>
          <w:tcPr>
            <w:tcW w:w="2552" w:type="dxa"/>
            <w:tcBorders>
              <w:bottom w:val="single" w:sz="4" w:space="0" w:color="auto"/>
            </w:tcBorders>
          </w:tcPr>
          <w:p w14:paraId="2BD3F0F2" w14:textId="77777777" w:rsidR="00F36204" w:rsidRDefault="00F36204" w:rsidP="00D04105">
            <w:pPr>
              <w:pStyle w:val="UtilComTableColumnHeading"/>
              <w:jc w:val="center"/>
            </w:pPr>
            <w:r>
              <w:t xml:space="preserve">PWC </w:t>
            </w:r>
            <w:r w:rsidR="00EB44D7">
              <w:t xml:space="preserve">initial </w:t>
            </w:r>
            <w:r>
              <w:t>regulatory proposal</w:t>
            </w:r>
          </w:p>
        </w:tc>
        <w:tc>
          <w:tcPr>
            <w:tcW w:w="2552" w:type="dxa"/>
            <w:tcBorders>
              <w:bottom w:val="single" w:sz="4" w:space="0" w:color="auto"/>
            </w:tcBorders>
          </w:tcPr>
          <w:p w14:paraId="7CCF4415" w14:textId="77777777" w:rsidR="00F36204" w:rsidRDefault="00F36204" w:rsidP="00D04105">
            <w:pPr>
              <w:pStyle w:val="UtilComTableColumnHeading"/>
              <w:jc w:val="center"/>
            </w:pPr>
            <w:r>
              <w:t>Commission Draft Decision</w:t>
            </w:r>
          </w:p>
        </w:tc>
      </w:tr>
      <w:tr w:rsidR="00F36204" w:rsidRPr="008A4655" w14:paraId="085345F5" w14:textId="77777777" w:rsidTr="00D04105">
        <w:trPr>
          <w:trHeight w:val="360"/>
        </w:trPr>
        <w:tc>
          <w:tcPr>
            <w:tcW w:w="4110" w:type="dxa"/>
            <w:vAlign w:val="center"/>
          </w:tcPr>
          <w:p w14:paraId="1783BA97" w14:textId="77777777" w:rsidR="00F36204" w:rsidRPr="00340D05" w:rsidRDefault="00F36204" w:rsidP="00D04105">
            <w:pPr>
              <w:pStyle w:val="UtilComTabletext"/>
            </w:pPr>
            <w:r>
              <w:t>Nominal risk-free rate</w:t>
            </w:r>
          </w:p>
        </w:tc>
        <w:tc>
          <w:tcPr>
            <w:tcW w:w="2552" w:type="dxa"/>
          </w:tcPr>
          <w:p w14:paraId="3399FE16" w14:textId="77777777" w:rsidR="00F36204" w:rsidRDefault="00F36204" w:rsidP="00D04105">
            <w:pPr>
              <w:pStyle w:val="UtilComTabletext"/>
              <w:jc w:val="center"/>
            </w:pPr>
            <w:r>
              <w:t>3.89%</w:t>
            </w:r>
          </w:p>
        </w:tc>
        <w:tc>
          <w:tcPr>
            <w:tcW w:w="2552" w:type="dxa"/>
          </w:tcPr>
          <w:p w14:paraId="35B5538E" w14:textId="77777777" w:rsidR="00F36204" w:rsidRDefault="00F36204" w:rsidP="00D04105">
            <w:pPr>
              <w:pStyle w:val="UtilComTabletext"/>
              <w:jc w:val="center"/>
            </w:pPr>
            <w:r>
              <w:t>4.13%</w:t>
            </w:r>
            <w:r w:rsidRPr="009F7D6E">
              <w:rPr>
                <w:vertAlign w:val="superscript"/>
              </w:rPr>
              <w:t>1</w:t>
            </w:r>
          </w:p>
        </w:tc>
      </w:tr>
      <w:tr w:rsidR="00F36204" w:rsidRPr="008A4655" w14:paraId="0FDA8783" w14:textId="77777777" w:rsidTr="00D04105">
        <w:trPr>
          <w:trHeight w:val="360"/>
        </w:trPr>
        <w:tc>
          <w:tcPr>
            <w:tcW w:w="4110" w:type="dxa"/>
            <w:tcBorders>
              <w:bottom w:val="single" w:sz="4" w:space="0" w:color="999999"/>
            </w:tcBorders>
            <w:vAlign w:val="center"/>
          </w:tcPr>
          <w:p w14:paraId="7DAF7389" w14:textId="77777777" w:rsidR="00F36204" w:rsidRPr="00340D05" w:rsidRDefault="00F36204" w:rsidP="00D04105">
            <w:pPr>
              <w:pStyle w:val="UtilComTabletext"/>
            </w:pPr>
            <w:r>
              <w:t>Market risk premium (MRP)</w:t>
            </w:r>
          </w:p>
        </w:tc>
        <w:tc>
          <w:tcPr>
            <w:tcW w:w="2552" w:type="dxa"/>
            <w:tcBorders>
              <w:bottom w:val="single" w:sz="4" w:space="0" w:color="999999"/>
            </w:tcBorders>
          </w:tcPr>
          <w:p w14:paraId="4EF03D10" w14:textId="77777777" w:rsidR="00F36204" w:rsidRDefault="00F36204" w:rsidP="00D04105">
            <w:pPr>
              <w:pStyle w:val="UtilComTabletext"/>
              <w:jc w:val="center"/>
            </w:pPr>
            <w:r>
              <w:t>6.00%</w:t>
            </w:r>
          </w:p>
        </w:tc>
        <w:tc>
          <w:tcPr>
            <w:tcW w:w="2552" w:type="dxa"/>
            <w:tcBorders>
              <w:bottom w:val="single" w:sz="4" w:space="0" w:color="999999"/>
            </w:tcBorders>
          </w:tcPr>
          <w:p w14:paraId="71637709" w14:textId="77777777" w:rsidR="00F36204" w:rsidRDefault="00F36204" w:rsidP="00D04105">
            <w:pPr>
              <w:pStyle w:val="UtilComTabletext"/>
              <w:jc w:val="center"/>
            </w:pPr>
            <w:r>
              <w:t>6.00%</w:t>
            </w:r>
          </w:p>
        </w:tc>
      </w:tr>
      <w:tr w:rsidR="00F36204" w:rsidRPr="008A4655" w14:paraId="2C72A9A6" w14:textId="77777777" w:rsidTr="00D04105">
        <w:trPr>
          <w:trHeight w:val="360"/>
        </w:trPr>
        <w:tc>
          <w:tcPr>
            <w:tcW w:w="4110" w:type="dxa"/>
            <w:vAlign w:val="center"/>
          </w:tcPr>
          <w:p w14:paraId="4D8D6E00" w14:textId="77777777" w:rsidR="00F36204" w:rsidRPr="00340D05" w:rsidRDefault="00F36204" w:rsidP="00D04105">
            <w:pPr>
              <w:pStyle w:val="UtilComTabletext"/>
            </w:pPr>
            <w:r>
              <w:t>Equity beta</w:t>
            </w:r>
          </w:p>
        </w:tc>
        <w:tc>
          <w:tcPr>
            <w:tcW w:w="2552" w:type="dxa"/>
          </w:tcPr>
          <w:p w14:paraId="45C1E5CB" w14:textId="77777777" w:rsidR="00F36204" w:rsidRDefault="00F36204" w:rsidP="00D04105">
            <w:pPr>
              <w:pStyle w:val="UtilComTabletext"/>
              <w:jc w:val="center"/>
            </w:pPr>
            <w:r>
              <w:t>0.8</w:t>
            </w:r>
          </w:p>
        </w:tc>
        <w:tc>
          <w:tcPr>
            <w:tcW w:w="2552" w:type="dxa"/>
          </w:tcPr>
          <w:p w14:paraId="3A9976E3" w14:textId="77777777" w:rsidR="00F36204" w:rsidRDefault="00F36204" w:rsidP="00D04105">
            <w:pPr>
              <w:pStyle w:val="UtilComTabletext"/>
              <w:jc w:val="center"/>
            </w:pPr>
            <w:r>
              <w:t>0.7</w:t>
            </w:r>
          </w:p>
        </w:tc>
      </w:tr>
      <w:tr w:rsidR="00F36204" w:rsidRPr="008A4655" w14:paraId="2211F180" w14:textId="77777777" w:rsidTr="00D04105">
        <w:trPr>
          <w:trHeight w:val="360"/>
        </w:trPr>
        <w:tc>
          <w:tcPr>
            <w:tcW w:w="4110" w:type="dxa"/>
            <w:tcBorders>
              <w:top w:val="single" w:sz="4" w:space="0" w:color="999999"/>
            </w:tcBorders>
            <w:vAlign w:val="center"/>
          </w:tcPr>
          <w:p w14:paraId="45E30E36" w14:textId="77777777" w:rsidR="00F36204" w:rsidRDefault="00F36204" w:rsidP="00D04105">
            <w:pPr>
              <w:pStyle w:val="UtilComTabletext"/>
            </w:pPr>
            <w:r>
              <w:t>Debt risk premium</w:t>
            </w:r>
          </w:p>
        </w:tc>
        <w:tc>
          <w:tcPr>
            <w:tcW w:w="2552" w:type="dxa"/>
            <w:tcBorders>
              <w:top w:val="single" w:sz="4" w:space="0" w:color="999999"/>
            </w:tcBorders>
          </w:tcPr>
          <w:p w14:paraId="32A4FD58" w14:textId="77777777" w:rsidR="00F36204" w:rsidRDefault="00F36204" w:rsidP="00D04105">
            <w:pPr>
              <w:pStyle w:val="UtilComTabletext"/>
              <w:jc w:val="center"/>
            </w:pPr>
            <w:r>
              <w:t>4.11%</w:t>
            </w:r>
          </w:p>
        </w:tc>
        <w:tc>
          <w:tcPr>
            <w:tcW w:w="2552" w:type="dxa"/>
            <w:tcBorders>
              <w:top w:val="single" w:sz="4" w:space="0" w:color="999999"/>
            </w:tcBorders>
          </w:tcPr>
          <w:p w14:paraId="7E97D6A2" w14:textId="77777777" w:rsidR="00F36204" w:rsidRDefault="00F36204" w:rsidP="00D04105">
            <w:pPr>
              <w:pStyle w:val="UtilComTabletext"/>
              <w:jc w:val="center"/>
            </w:pPr>
            <w:r>
              <w:t>3.00%</w:t>
            </w:r>
            <w:r w:rsidRPr="009F7D6E">
              <w:rPr>
                <w:vertAlign w:val="superscript"/>
              </w:rPr>
              <w:t>2</w:t>
            </w:r>
          </w:p>
        </w:tc>
      </w:tr>
      <w:tr w:rsidR="00F36204" w:rsidRPr="008A4655" w14:paraId="67D77DD2" w14:textId="77777777" w:rsidTr="00D04105">
        <w:trPr>
          <w:trHeight w:val="360"/>
        </w:trPr>
        <w:tc>
          <w:tcPr>
            <w:tcW w:w="4110" w:type="dxa"/>
            <w:tcBorders>
              <w:top w:val="single" w:sz="4" w:space="0" w:color="999999"/>
            </w:tcBorders>
            <w:vAlign w:val="center"/>
          </w:tcPr>
          <w:p w14:paraId="256A7D84" w14:textId="77777777" w:rsidR="00F36204" w:rsidRPr="00340D05" w:rsidRDefault="00F36204" w:rsidP="00D04105">
            <w:pPr>
              <w:pStyle w:val="UtilComTabletext"/>
            </w:pPr>
            <w:r>
              <w:t>Gearing</w:t>
            </w:r>
          </w:p>
        </w:tc>
        <w:tc>
          <w:tcPr>
            <w:tcW w:w="2552" w:type="dxa"/>
            <w:tcBorders>
              <w:top w:val="single" w:sz="4" w:space="0" w:color="999999"/>
            </w:tcBorders>
          </w:tcPr>
          <w:p w14:paraId="015DE568" w14:textId="77777777" w:rsidR="00F36204" w:rsidRDefault="00F36204" w:rsidP="00D04105">
            <w:pPr>
              <w:pStyle w:val="UtilComTabletext"/>
              <w:jc w:val="center"/>
            </w:pPr>
            <w:r>
              <w:t>60:40</w:t>
            </w:r>
          </w:p>
        </w:tc>
        <w:tc>
          <w:tcPr>
            <w:tcW w:w="2552" w:type="dxa"/>
            <w:tcBorders>
              <w:top w:val="single" w:sz="4" w:space="0" w:color="999999"/>
            </w:tcBorders>
          </w:tcPr>
          <w:p w14:paraId="0A367FF5" w14:textId="77777777" w:rsidR="00F36204" w:rsidRDefault="00F36204" w:rsidP="00D04105">
            <w:pPr>
              <w:pStyle w:val="UtilComTabletext"/>
              <w:jc w:val="center"/>
            </w:pPr>
            <w:r>
              <w:t>60:40</w:t>
            </w:r>
          </w:p>
        </w:tc>
      </w:tr>
      <w:tr w:rsidR="00F36204" w:rsidRPr="008A4655" w14:paraId="1E30C525" w14:textId="77777777" w:rsidTr="00D04105">
        <w:trPr>
          <w:trHeight w:val="360"/>
        </w:trPr>
        <w:tc>
          <w:tcPr>
            <w:tcW w:w="4110" w:type="dxa"/>
            <w:tcBorders>
              <w:top w:val="single" w:sz="4" w:space="0" w:color="999999"/>
            </w:tcBorders>
            <w:vAlign w:val="center"/>
          </w:tcPr>
          <w:p w14:paraId="5102BFE3" w14:textId="77777777" w:rsidR="00F36204" w:rsidRDefault="00F36204" w:rsidP="00D04105">
            <w:pPr>
              <w:pStyle w:val="UtilComTabletext"/>
            </w:pPr>
            <w:r>
              <w:t>Inflation rate</w:t>
            </w:r>
          </w:p>
        </w:tc>
        <w:tc>
          <w:tcPr>
            <w:tcW w:w="2552" w:type="dxa"/>
            <w:tcBorders>
              <w:top w:val="single" w:sz="4" w:space="0" w:color="999999"/>
            </w:tcBorders>
          </w:tcPr>
          <w:p w14:paraId="71883A7C" w14:textId="77777777" w:rsidR="00F36204" w:rsidRDefault="00F36204" w:rsidP="00D04105">
            <w:pPr>
              <w:pStyle w:val="UtilComTabletext"/>
              <w:jc w:val="center"/>
            </w:pPr>
            <w:r>
              <w:t>2.60%</w:t>
            </w:r>
          </w:p>
        </w:tc>
        <w:tc>
          <w:tcPr>
            <w:tcW w:w="2552" w:type="dxa"/>
            <w:tcBorders>
              <w:top w:val="single" w:sz="4" w:space="0" w:color="999999"/>
            </w:tcBorders>
          </w:tcPr>
          <w:p w14:paraId="12388AC8" w14:textId="77777777" w:rsidR="00F36204" w:rsidRDefault="00F36204" w:rsidP="00D04105">
            <w:pPr>
              <w:pStyle w:val="UtilComTabletext"/>
              <w:jc w:val="center"/>
            </w:pPr>
            <w:r>
              <w:t>2.51</w:t>
            </w:r>
            <w:r w:rsidRPr="009F7D6E">
              <w:rPr>
                <w:vertAlign w:val="superscript"/>
              </w:rPr>
              <w:t>3</w:t>
            </w:r>
          </w:p>
        </w:tc>
      </w:tr>
      <w:tr w:rsidR="00F36204" w:rsidRPr="008A4655" w14:paraId="52F7522D" w14:textId="77777777" w:rsidTr="00D04105">
        <w:trPr>
          <w:trHeight w:val="360"/>
        </w:trPr>
        <w:tc>
          <w:tcPr>
            <w:tcW w:w="4110" w:type="dxa"/>
            <w:vAlign w:val="center"/>
          </w:tcPr>
          <w:p w14:paraId="5007CF8B" w14:textId="77777777" w:rsidR="00F36204" w:rsidRPr="00340D05" w:rsidRDefault="00F36204" w:rsidP="00D04105">
            <w:pPr>
              <w:pStyle w:val="UtilComTabletext"/>
            </w:pPr>
            <w:r>
              <w:t>Corporate tax rate</w:t>
            </w:r>
          </w:p>
        </w:tc>
        <w:tc>
          <w:tcPr>
            <w:tcW w:w="2552" w:type="dxa"/>
          </w:tcPr>
          <w:p w14:paraId="56B1DCB0" w14:textId="77777777" w:rsidR="00F36204" w:rsidRDefault="00F36204" w:rsidP="00D04105">
            <w:pPr>
              <w:pStyle w:val="UtilComTabletext"/>
              <w:jc w:val="center"/>
            </w:pPr>
            <w:r>
              <w:t>30.00%</w:t>
            </w:r>
          </w:p>
        </w:tc>
        <w:tc>
          <w:tcPr>
            <w:tcW w:w="2552" w:type="dxa"/>
          </w:tcPr>
          <w:p w14:paraId="006C39F0" w14:textId="77777777" w:rsidR="00F36204" w:rsidRDefault="00F36204" w:rsidP="00D04105">
            <w:pPr>
              <w:pStyle w:val="UtilComTabletext"/>
              <w:jc w:val="center"/>
            </w:pPr>
            <w:r>
              <w:t>30.00%</w:t>
            </w:r>
          </w:p>
        </w:tc>
      </w:tr>
      <w:tr w:rsidR="00F36204" w:rsidRPr="008A4655" w14:paraId="5D04A956" w14:textId="77777777" w:rsidTr="00D04105">
        <w:trPr>
          <w:trHeight w:val="360"/>
        </w:trPr>
        <w:tc>
          <w:tcPr>
            <w:tcW w:w="4110" w:type="dxa"/>
            <w:tcBorders>
              <w:bottom w:val="single" w:sz="4" w:space="0" w:color="000000"/>
            </w:tcBorders>
            <w:vAlign w:val="center"/>
          </w:tcPr>
          <w:p w14:paraId="751865B5" w14:textId="77777777" w:rsidR="00F36204" w:rsidRPr="00340D05" w:rsidRDefault="00F36204" w:rsidP="00D04105">
            <w:pPr>
              <w:pStyle w:val="UtilComTabletext"/>
            </w:pPr>
            <w:r>
              <w:t>Gamma</w:t>
            </w:r>
          </w:p>
        </w:tc>
        <w:tc>
          <w:tcPr>
            <w:tcW w:w="2552" w:type="dxa"/>
            <w:tcBorders>
              <w:bottom w:val="single" w:sz="4" w:space="0" w:color="000000"/>
            </w:tcBorders>
          </w:tcPr>
          <w:p w14:paraId="4402C27F" w14:textId="77777777" w:rsidR="00F36204" w:rsidRDefault="00F36204" w:rsidP="00D04105">
            <w:pPr>
              <w:pStyle w:val="UtilComTabletext"/>
              <w:jc w:val="center"/>
            </w:pPr>
            <w:r>
              <w:t>25.00%</w:t>
            </w:r>
          </w:p>
        </w:tc>
        <w:tc>
          <w:tcPr>
            <w:tcW w:w="2552" w:type="dxa"/>
            <w:tcBorders>
              <w:bottom w:val="single" w:sz="4" w:space="0" w:color="000000"/>
            </w:tcBorders>
          </w:tcPr>
          <w:p w14:paraId="38EC51A3" w14:textId="77777777" w:rsidR="00F36204" w:rsidRDefault="00F36204" w:rsidP="00D04105">
            <w:pPr>
              <w:pStyle w:val="UtilComTabletext"/>
              <w:jc w:val="center"/>
            </w:pPr>
            <w:r>
              <w:t>25.00%</w:t>
            </w:r>
          </w:p>
        </w:tc>
      </w:tr>
      <w:tr w:rsidR="00F36204" w:rsidRPr="00781CC8" w14:paraId="1A84A25D" w14:textId="77777777" w:rsidTr="00D04105">
        <w:trPr>
          <w:trHeight w:val="360"/>
        </w:trPr>
        <w:tc>
          <w:tcPr>
            <w:tcW w:w="4110" w:type="dxa"/>
            <w:tcBorders>
              <w:top w:val="single" w:sz="4" w:space="0" w:color="000000"/>
              <w:bottom w:val="single" w:sz="4" w:space="0" w:color="auto"/>
            </w:tcBorders>
            <w:vAlign w:val="center"/>
          </w:tcPr>
          <w:p w14:paraId="16E14141" w14:textId="77777777" w:rsidR="00F36204" w:rsidRPr="00781CC8" w:rsidRDefault="00F36204" w:rsidP="00D04105">
            <w:pPr>
              <w:pStyle w:val="UtilComTabletext"/>
              <w:rPr>
                <w:b/>
              </w:rPr>
            </w:pPr>
            <w:r>
              <w:rPr>
                <w:b/>
              </w:rPr>
              <w:t>Pre-tax nominal</w:t>
            </w:r>
            <w:r w:rsidRPr="00781CC8">
              <w:rPr>
                <w:b/>
              </w:rPr>
              <w:t xml:space="preserve"> WACC</w:t>
            </w:r>
          </w:p>
        </w:tc>
        <w:tc>
          <w:tcPr>
            <w:tcW w:w="2552" w:type="dxa"/>
            <w:tcBorders>
              <w:top w:val="single" w:sz="4" w:space="0" w:color="000000"/>
              <w:bottom w:val="single" w:sz="4" w:space="0" w:color="auto"/>
            </w:tcBorders>
          </w:tcPr>
          <w:p w14:paraId="5A911B80" w14:textId="77777777" w:rsidR="00F36204" w:rsidRPr="00781CC8" w:rsidRDefault="00F36204" w:rsidP="00D04105">
            <w:pPr>
              <w:pStyle w:val="UtilComTabletext"/>
              <w:jc w:val="center"/>
              <w:rPr>
                <w:b/>
              </w:rPr>
            </w:pPr>
            <w:r>
              <w:rPr>
                <w:b/>
              </w:rPr>
              <w:t>8.80%</w:t>
            </w:r>
          </w:p>
        </w:tc>
        <w:tc>
          <w:tcPr>
            <w:tcW w:w="2552" w:type="dxa"/>
            <w:tcBorders>
              <w:top w:val="single" w:sz="4" w:space="0" w:color="000000"/>
              <w:bottom w:val="single" w:sz="4" w:space="0" w:color="auto"/>
            </w:tcBorders>
          </w:tcPr>
          <w:p w14:paraId="0BD8E2E2" w14:textId="77777777" w:rsidR="00F36204" w:rsidRPr="00781CC8" w:rsidRDefault="00F36204" w:rsidP="00D04105">
            <w:pPr>
              <w:pStyle w:val="UtilComTabletext"/>
              <w:jc w:val="center"/>
              <w:rPr>
                <w:b/>
              </w:rPr>
            </w:pPr>
            <w:r>
              <w:rPr>
                <w:b/>
              </w:rPr>
              <w:t>8.12%</w:t>
            </w:r>
          </w:p>
        </w:tc>
      </w:tr>
    </w:tbl>
    <w:p w14:paraId="6D558E58" w14:textId="2CBE5DC5" w:rsidR="00F36204" w:rsidRDefault="00F36204" w:rsidP="00F36204">
      <w:pPr>
        <w:pStyle w:val="UtilComReferenceSource"/>
        <w:spacing w:after="0"/>
      </w:pPr>
      <w:r>
        <w:t>Source: Utilities Commission</w:t>
      </w:r>
      <w:r>
        <w:br/>
      </w:r>
      <w:r w:rsidRPr="00BB4311">
        <w:rPr>
          <w:vertAlign w:val="superscript"/>
        </w:rPr>
        <w:t xml:space="preserve">1 </w:t>
      </w:r>
      <w:r w:rsidRPr="00781CC8">
        <w:t>Calculated as the yield on 10</w:t>
      </w:r>
      <w:r>
        <w:t>-</w:t>
      </w:r>
      <w:r w:rsidRPr="00781CC8">
        <w:t xml:space="preserve">year CGS </w:t>
      </w:r>
      <w:r>
        <w:t>averaged over 20 business days from</w:t>
      </w:r>
      <w:r w:rsidRPr="00781CC8">
        <w:t xml:space="preserve"> </w:t>
      </w:r>
      <w:r>
        <w:t>4</w:t>
      </w:r>
      <w:r w:rsidRPr="00781CC8">
        <w:t xml:space="preserve"> </w:t>
      </w:r>
      <w:r>
        <w:t>November</w:t>
      </w:r>
      <w:r w:rsidRPr="00781CC8">
        <w:t xml:space="preserve"> 20</w:t>
      </w:r>
      <w:r>
        <w:t>13</w:t>
      </w:r>
      <w:r w:rsidRPr="00781CC8">
        <w:t xml:space="preserve"> to </w:t>
      </w:r>
      <w:r>
        <w:t>29</w:t>
      </w:r>
      <w:r w:rsidR="00CB4726">
        <w:t> </w:t>
      </w:r>
      <w:r>
        <w:t>November </w:t>
      </w:r>
      <w:r w:rsidRPr="00781CC8">
        <w:t>20</w:t>
      </w:r>
      <w:r>
        <w:t>13</w:t>
      </w:r>
    </w:p>
    <w:p w14:paraId="0642A787" w14:textId="34E71613" w:rsidR="00F36204" w:rsidRPr="00781CC8" w:rsidRDefault="00F36204" w:rsidP="00F36204">
      <w:pPr>
        <w:pStyle w:val="UtilComReferenceSource"/>
        <w:spacing w:after="0"/>
      </w:pPr>
      <w:r w:rsidRPr="00BB4311">
        <w:rPr>
          <w:vertAlign w:val="superscript"/>
        </w:rPr>
        <w:t>2</w:t>
      </w:r>
      <w:r>
        <w:t xml:space="preserve"> Taken from the most recent AER determination </w:t>
      </w:r>
      <w:r w:rsidR="00BD5676">
        <w:t xml:space="preserve">at the time (that is the </w:t>
      </w:r>
      <w:r>
        <w:t xml:space="preserve">SPAusnet </w:t>
      </w:r>
      <w:r w:rsidR="00BD5676">
        <w:t xml:space="preserve">2014-17 draft determination published in </w:t>
      </w:r>
      <w:r>
        <w:t>August 2013</w:t>
      </w:r>
      <w:r w:rsidR="004152BB">
        <w:t>).</w:t>
      </w:r>
    </w:p>
    <w:p w14:paraId="4621AC8D" w14:textId="0079F7D4" w:rsidR="00F36204" w:rsidRPr="00781CC8" w:rsidRDefault="00F36204" w:rsidP="00F36204">
      <w:pPr>
        <w:pStyle w:val="UtilComReferenceSource"/>
        <w:spacing w:after="0"/>
      </w:pPr>
      <w:r w:rsidRPr="00BB4311">
        <w:rPr>
          <w:vertAlign w:val="superscript"/>
        </w:rPr>
        <w:t>3</w:t>
      </w:r>
      <w:r>
        <w:t xml:space="preserve"> RBA Statement on Monetary Policy</w:t>
      </w:r>
      <w:r w:rsidR="00BD5676">
        <w:t>,</w:t>
      </w:r>
      <w:r>
        <w:t xml:space="preserve"> November 2013.</w:t>
      </w:r>
    </w:p>
    <w:p w14:paraId="14E57424" w14:textId="4B00C8B7" w:rsidR="00B17B70" w:rsidRPr="00083FAA" w:rsidRDefault="00B17B70" w:rsidP="00B17B70">
      <w:pPr>
        <w:pStyle w:val="UtilComHeading2"/>
      </w:pPr>
      <w:bookmarkStart w:id="260" w:name="_Toc385241552"/>
      <w:bookmarkStart w:id="261" w:name="_Toc386013105"/>
      <w:r w:rsidRPr="00083FAA">
        <w:t xml:space="preserve">PWC Networks’ </w:t>
      </w:r>
      <w:r w:rsidR="00747203">
        <w:t>R</w:t>
      </w:r>
      <w:r w:rsidR="00747203" w:rsidRPr="00083FAA">
        <w:t xml:space="preserve">evised </w:t>
      </w:r>
      <w:r w:rsidR="00747203">
        <w:t>R</w:t>
      </w:r>
      <w:r w:rsidR="00747203" w:rsidRPr="00083FAA">
        <w:t xml:space="preserve">egulatory </w:t>
      </w:r>
      <w:bookmarkEnd w:id="260"/>
      <w:r w:rsidR="00747203">
        <w:t>P</w:t>
      </w:r>
      <w:r w:rsidR="00747203" w:rsidRPr="00083FAA">
        <w:t>roposal</w:t>
      </w:r>
      <w:bookmarkEnd w:id="261"/>
    </w:p>
    <w:p w14:paraId="41A55787" w14:textId="596F8386" w:rsidR="00B17B70" w:rsidRDefault="00B17B70" w:rsidP="00B17B70">
      <w:pPr>
        <w:pStyle w:val="NumberLevel2"/>
        <w:numPr>
          <w:ilvl w:val="1"/>
          <w:numId w:val="5"/>
        </w:numPr>
        <w:tabs>
          <w:tab w:val="num" w:pos="709"/>
        </w:tabs>
        <w:ind w:left="709" w:hanging="709"/>
        <w:rPr>
          <w:lang w:val="en-AU"/>
        </w:rPr>
      </w:pPr>
      <w:r>
        <w:rPr>
          <w:lang w:val="en-AU"/>
        </w:rPr>
        <w:t>PWC Networks</w:t>
      </w:r>
      <w:r w:rsidRPr="001430C0">
        <w:rPr>
          <w:lang w:val="en-AU"/>
        </w:rPr>
        <w:t xml:space="preserve"> </w:t>
      </w:r>
      <w:r w:rsidR="00EB44D7">
        <w:rPr>
          <w:lang w:val="en-AU"/>
        </w:rPr>
        <w:t xml:space="preserve">accepted the parameter values set out in the Commission’s Draft Determination. PWC Networks noted that </w:t>
      </w:r>
      <w:r w:rsidR="00DF215B">
        <w:rPr>
          <w:lang w:val="en-AU"/>
        </w:rPr>
        <w:t xml:space="preserve">the AER’s </w:t>
      </w:r>
      <w:r w:rsidR="0072216C">
        <w:rPr>
          <w:lang w:val="en-AU"/>
        </w:rPr>
        <w:t xml:space="preserve">final </w:t>
      </w:r>
      <w:r w:rsidR="00DF215B">
        <w:rPr>
          <w:lang w:val="en-AU"/>
        </w:rPr>
        <w:t xml:space="preserve">Rate of Return Guidelines, published in December 2013, confirmed that it would use an equity beta of 0.7 in future </w:t>
      </w:r>
      <w:r w:rsidR="0072216C">
        <w:rPr>
          <w:lang w:val="en-AU"/>
        </w:rPr>
        <w:t xml:space="preserve">distribution </w:t>
      </w:r>
      <w:r w:rsidR="00DF215B">
        <w:rPr>
          <w:lang w:val="en-AU"/>
        </w:rPr>
        <w:t>determinations.</w:t>
      </w:r>
    </w:p>
    <w:p w14:paraId="7F1BB6B2" w14:textId="78210193" w:rsidR="00DF215B" w:rsidRPr="00DF215B" w:rsidRDefault="00DF215B" w:rsidP="003730D1">
      <w:pPr>
        <w:pStyle w:val="NumberLevel2"/>
        <w:numPr>
          <w:ilvl w:val="1"/>
          <w:numId w:val="5"/>
        </w:numPr>
        <w:tabs>
          <w:tab w:val="num" w:pos="709"/>
        </w:tabs>
        <w:ind w:left="709" w:hanging="709"/>
        <w:rPr>
          <w:lang w:val="en-AU"/>
        </w:rPr>
      </w:pPr>
      <w:r>
        <w:rPr>
          <w:lang w:val="en-AU"/>
        </w:rPr>
        <w:t xml:space="preserve">PWC Networks also advised that it had </w:t>
      </w:r>
      <w:r w:rsidR="003730D1">
        <w:rPr>
          <w:lang w:val="en-AU"/>
        </w:rPr>
        <w:t xml:space="preserve">corrected an inadvertent formula error in the effective tax rate on equity as part of the WACC calculation and had updated the formula in </w:t>
      </w:r>
      <w:r w:rsidR="00C22664">
        <w:rPr>
          <w:lang w:val="en-AU"/>
        </w:rPr>
        <w:t xml:space="preserve">the </w:t>
      </w:r>
      <w:r w:rsidR="003730D1">
        <w:rPr>
          <w:lang w:val="en-AU"/>
        </w:rPr>
        <w:t>NTRM to align with the calculation in the PTRM.</w:t>
      </w:r>
    </w:p>
    <w:p w14:paraId="653CD701" w14:textId="7E37572E" w:rsidR="00B17B70" w:rsidRPr="007B064D" w:rsidRDefault="00B17B70" w:rsidP="00B17B70">
      <w:pPr>
        <w:pStyle w:val="UtilComHeading2"/>
      </w:pPr>
      <w:bookmarkStart w:id="262" w:name="_Toc385241553"/>
      <w:bookmarkStart w:id="263" w:name="_Toc386013106"/>
      <w:r w:rsidRPr="007B064D">
        <w:t xml:space="preserve">Submissions on </w:t>
      </w:r>
      <w:r w:rsidR="0072216C">
        <w:t>D</w:t>
      </w:r>
      <w:r w:rsidR="0072216C" w:rsidRPr="007B064D">
        <w:t xml:space="preserve">raft </w:t>
      </w:r>
      <w:r w:rsidR="0072216C">
        <w:t>D</w:t>
      </w:r>
      <w:r w:rsidR="0072216C" w:rsidRPr="007B064D">
        <w:t xml:space="preserve">etermination </w:t>
      </w:r>
      <w:r w:rsidRPr="007B064D">
        <w:t xml:space="preserve">and </w:t>
      </w:r>
      <w:r w:rsidR="00CB4726">
        <w:t>R</w:t>
      </w:r>
      <w:r w:rsidR="00CB4726" w:rsidRPr="007B064D">
        <w:t xml:space="preserve">evised </w:t>
      </w:r>
      <w:r w:rsidR="00CB4726">
        <w:t>R</w:t>
      </w:r>
      <w:r w:rsidR="00CB4726" w:rsidRPr="007B064D">
        <w:t xml:space="preserve">egulatory </w:t>
      </w:r>
      <w:bookmarkEnd w:id="262"/>
      <w:r w:rsidR="00CB4726">
        <w:t>P</w:t>
      </w:r>
      <w:r w:rsidR="00CB4726" w:rsidRPr="007B064D">
        <w:t>roposal</w:t>
      </w:r>
      <w:bookmarkEnd w:id="263"/>
    </w:p>
    <w:p w14:paraId="6A112371" w14:textId="5208A56E" w:rsidR="003730D1" w:rsidRDefault="003730D1" w:rsidP="00EB44D7">
      <w:pPr>
        <w:pStyle w:val="ListParagraph"/>
        <w:numPr>
          <w:ilvl w:val="1"/>
          <w:numId w:val="5"/>
        </w:numPr>
        <w:tabs>
          <w:tab w:val="num" w:pos="709"/>
        </w:tabs>
        <w:ind w:left="709" w:hanging="709"/>
        <w:rPr>
          <w:lang w:val="en-AU"/>
        </w:rPr>
      </w:pPr>
      <w:r>
        <w:rPr>
          <w:lang w:val="en-AU"/>
        </w:rPr>
        <w:t xml:space="preserve">The NTMEU noted that the AER’s final </w:t>
      </w:r>
      <w:r w:rsidR="0072216C">
        <w:rPr>
          <w:lang w:val="en-AU"/>
        </w:rPr>
        <w:t xml:space="preserve">transmission </w:t>
      </w:r>
      <w:r>
        <w:rPr>
          <w:lang w:val="en-AU"/>
        </w:rPr>
        <w:t>determination for SPAusnet</w:t>
      </w:r>
      <w:r w:rsidR="0072216C">
        <w:rPr>
          <w:lang w:val="en-AU"/>
        </w:rPr>
        <w:t>’s 2014-17 regulatory control period</w:t>
      </w:r>
      <w:r>
        <w:rPr>
          <w:lang w:val="en-AU"/>
        </w:rPr>
        <w:t xml:space="preserve"> revised the DRP down to 2.48</w:t>
      </w:r>
      <w:r w:rsidR="00CB4726">
        <w:rPr>
          <w:lang w:val="en-AU"/>
        </w:rPr>
        <w:t xml:space="preserve"> per cent</w:t>
      </w:r>
      <w:r>
        <w:rPr>
          <w:lang w:val="en-AU"/>
        </w:rPr>
        <w:t xml:space="preserve">, and </w:t>
      </w:r>
      <w:r w:rsidR="0072216C">
        <w:rPr>
          <w:lang w:val="en-AU"/>
        </w:rPr>
        <w:t xml:space="preserve">considered </w:t>
      </w:r>
      <w:r>
        <w:rPr>
          <w:lang w:val="en-AU"/>
        </w:rPr>
        <w:t xml:space="preserve">that this value should be adopted by the Commission in </w:t>
      </w:r>
      <w:r w:rsidR="00C22664">
        <w:rPr>
          <w:lang w:val="en-AU"/>
        </w:rPr>
        <w:t xml:space="preserve">line </w:t>
      </w:r>
      <w:r>
        <w:rPr>
          <w:lang w:val="en-AU"/>
        </w:rPr>
        <w:t>with the approach used in the Draft Determination. The NTMEU argued that this still provide</w:t>
      </w:r>
      <w:r w:rsidR="004152BB">
        <w:rPr>
          <w:lang w:val="en-AU"/>
        </w:rPr>
        <w:t>d</w:t>
      </w:r>
      <w:r>
        <w:rPr>
          <w:lang w:val="en-AU"/>
        </w:rPr>
        <w:t xml:space="preserve"> PWC Networks with a higher implied cost of debt than what it actually pays, as a government-owned corporation borrowing through the Government’s central borrowing agency.</w:t>
      </w:r>
    </w:p>
    <w:p w14:paraId="2E899D57" w14:textId="77777777" w:rsidR="003730D1" w:rsidRDefault="003730D1" w:rsidP="00EB44D7">
      <w:pPr>
        <w:pStyle w:val="ListParagraph"/>
        <w:numPr>
          <w:ilvl w:val="1"/>
          <w:numId w:val="5"/>
        </w:numPr>
        <w:tabs>
          <w:tab w:val="num" w:pos="709"/>
        </w:tabs>
        <w:ind w:left="709" w:hanging="709"/>
        <w:rPr>
          <w:lang w:val="en-AU"/>
        </w:rPr>
      </w:pPr>
      <w:r>
        <w:rPr>
          <w:lang w:val="en-AU"/>
        </w:rPr>
        <w:t xml:space="preserve">The NTMEU agreed with the other parameter values used in the Commission’s Draft Determination, subject to the updating of the risk free rate with latest available market data. </w:t>
      </w:r>
    </w:p>
    <w:p w14:paraId="7065CCAC" w14:textId="6FA6EE28" w:rsidR="00EB44D7" w:rsidRDefault="00EB44D7" w:rsidP="00EB44D7">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w:t>
      </w:r>
      <w:r>
        <w:rPr>
          <w:lang w:val="en-AU"/>
        </w:rPr>
        <w:t xml:space="preserve"> the </w:t>
      </w:r>
      <w:r w:rsidR="0072216C">
        <w:rPr>
          <w:lang w:val="en-AU"/>
        </w:rPr>
        <w:t>WACC parameters</w:t>
      </w:r>
      <w:r>
        <w:rPr>
          <w:lang w:val="en-AU"/>
        </w:rPr>
        <w:t>.</w:t>
      </w:r>
    </w:p>
    <w:p w14:paraId="0C69D9EC" w14:textId="3A984E2B" w:rsidR="00B17B70" w:rsidRPr="00BB4EB2" w:rsidRDefault="00B17B70" w:rsidP="00B17B70">
      <w:pPr>
        <w:pStyle w:val="UtilComHeading2"/>
      </w:pPr>
      <w:bookmarkStart w:id="264" w:name="_Toc385241554"/>
      <w:bookmarkStart w:id="265" w:name="_Toc386013107"/>
      <w:r w:rsidRPr="00BB4EB2">
        <w:t xml:space="preserve">Issues and Commission’s </w:t>
      </w:r>
      <w:r w:rsidR="00CB4726">
        <w:t>Further</w:t>
      </w:r>
      <w:r w:rsidR="00CB4726" w:rsidRPr="00BB4EB2">
        <w:t xml:space="preserve"> </w:t>
      </w:r>
      <w:bookmarkEnd w:id="264"/>
      <w:r w:rsidR="00CB4726">
        <w:t>C</w:t>
      </w:r>
      <w:r w:rsidR="00CB4726" w:rsidRPr="00BB4EB2">
        <w:t>onsiderations</w:t>
      </w:r>
      <w:bookmarkEnd w:id="265"/>
    </w:p>
    <w:p w14:paraId="53D9FABD" w14:textId="77777777" w:rsidR="00D46813" w:rsidRDefault="00D46813" w:rsidP="00D46813">
      <w:pPr>
        <w:pStyle w:val="UtilComHeading3"/>
        <w:rPr>
          <w:lang w:val="en-AU"/>
        </w:rPr>
      </w:pPr>
      <w:r>
        <w:rPr>
          <w:lang w:val="en-AU"/>
        </w:rPr>
        <w:t>WACC calculation in NTRM</w:t>
      </w:r>
    </w:p>
    <w:p w14:paraId="6C7513DA" w14:textId="30524750" w:rsidR="00B17B70" w:rsidRDefault="003730D1" w:rsidP="00B17B70">
      <w:pPr>
        <w:pStyle w:val="ListParagraph"/>
        <w:numPr>
          <w:ilvl w:val="1"/>
          <w:numId w:val="5"/>
        </w:numPr>
        <w:tabs>
          <w:tab w:val="num" w:pos="709"/>
        </w:tabs>
        <w:ind w:left="709" w:hanging="709"/>
        <w:rPr>
          <w:lang w:val="en-AU"/>
        </w:rPr>
      </w:pPr>
      <w:r>
        <w:rPr>
          <w:lang w:val="en-AU"/>
        </w:rPr>
        <w:t>The Commission notes PWC Networks</w:t>
      </w:r>
      <w:r w:rsidR="00C22664">
        <w:rPr>
          <w:lang w:val="en-AU"/>
        </w:rPr>
        <w:t>’</w:t>
      </w:r>
      <w:r>
        <w:rPr>
          <w:lang w:val="en-AU"/>
        </w:rPr>
        <w:t xml:space="preserve"> error in </w:t>
      </w:r>
      <w:r w:rsidR="00C31710">
        <w:rPr>
          <w:lang w:val="en-AU"/>
        </w:rPr>
        <w:t>the effective tax rate on equity.</w:t>
      </w:r>
    </w:p>
    <w:p w14:paraId="62878150" w14:textId="77777777" w:rsidR="00C31710" w:rsidRDefault="00C31710" w:rsidP="00B17B70">
      <w:pPr>
        <w:pStyle w:val="ListParagraph"/>
        <w:numPr>
          <w:ilvl w:val="1"/>
          <w:numId w:val="5"/>
        </w:numPr>
        <w:tabs>
          <w:tab w:val="num" w:pos="709"/>
        </w:tabs>
        <w:ind w:left="709" w:hanging="709"/>
        <w:rPr>
          <w:lang w:val="en-AU"/>
        </w:rPr>
      </w:pPr>
      <w:r>
        <w:rPr>
          <w:lang w:val="en-AU"/>
        </w:rPr>
        <w:t xml:space="preserve">However, the Commission considers that the correction proposed by PWC Networks is not correct. </w:t>
      </w:r>
    </w:p>
    <w:p w14:paraId="0378C24B" w14:textId="7FFB9864" w:rsidR="00C31710" w:rsidRDefault="00C31710" w:rsidP="00B17B70">
      <w:pPr>
        <w:pStyle w:val="ListParagraph"/>
        <w:numPr>
          <w:ilvl w:val="1"/>
          <w:numId w:val="5"/>
        </w:numPr>
        <w:tabs>
          <w:tab w:val="num" w:pos="709"/>
        </w:tabs>
        <w:ind w:left="709" w:hanging="709"/>
        <w:rPr>
          <w:lang w:val="en-AU"/>
        </w:rPr>
      </w:pPr>
      <w:r>
        <w:rPr>
          <w:lang w:val="en-AU"/>
        </w:rPr>
        <w:t xml:space="preserve">The PTRM calculates a number of permutations of the WACC for illustrative purposes – </w:t>
      </w:r>
      <w:r w:rsidR="005C7A4C">
        <w:rPr>
          <w:lang w:val="en-AU"/>
        </w:rPr>
        <w:t>pre-</w:t>
      </w:r>
      <w:r>
        <w:rPr>
          <w:lang w:val="en-AU"/>
        </w:rPr>
        <w:t xml:space="preserve">tax, </w:t>
      </w:r>
      <w:r w:rsidR="005C7A4C">
        <w:rPr>
          <w:lang w:val="en-AU"/>
        </w:rPr>
        <w:t>post-</w:t>
      </w:r>
      <w:r>
        <w:rPr>
          <w:lang w:val="en-AU"/>
        </w:rPr>
        <w:t>tax, real and nominal. However, the PTRM only uses the nominal vanilla WACC in determining the required revenue for a DNSP</w:t>
      </w:r>
      <w:r w:rsidR="005C7A4C">
        <w:rPr>
          <w:lang w:val="en-AU"/>
        </w:rPr>
        <w:t xml:space="preserve">, which is not affected by the </w:t>
      </w:r>
      <w:r w:rsidR="00FF343C">
        <w:rPr>
          <w:lang w:val="en-AU"/>
        </w:rPr>
        <w:t>effective tax rate on equity</w:t>
      </w:r>
      <w:r>
        <w:rPr>
          <w:lang w:val="en-AU"/>
        </w:rPr>
        <w:t>.</w:t>
      </w:r>
      <w:r w:rsidR="00FF343C">
        <w:rPr>
          <w:lang w:val="en-AU"/>
        </w:rPr>
        <w:t xml:space="preserve"> The PTRM deals with tax effects in the building block, rather than through the WACC.</w:t>
      </w:r>
    </w:p>
    <w:p w14:paraId="4AC25DC2" w14:textId="77777777" w:rsidR="00C31710" w:rsidRDefault="00C31710" w:rsidP="00B17B70">
      <w:pPr>
        <w:pStyle w:val="ListParagraph"/>
        <w:numPr>
          <w:ilvl w:val="1"/>
          <w:numId w:val="5"/>
        </w:numPr>
        <w:tabs>
          <w:tab w:val="num" w:pos="709"/>
        </w:tabs>
        <w:ind w:left="709" w:hanging="709"/>
        <w:rPr>
          <w:lang w:val="en-AU"/>
        </w:rPr>
      </w:pPr>
      <w:r>
        <w:rPr>
          <w:lang w:val="en-AU"/>
        </w:rPr>
        <w:t>The PTRM calculates a pre-tax nominal WACC using an effective tax rate on equity derived from cash flows within the model. However, these cash flows are based on a post-tax approach.</w:t>
      </w:r>
    </w:p>
    <w:p w14:paraId="1D93C341" w14:textId="72122D2F" w:rsidR="00C31710" w:rsidRDefault="00D46813" w:rsidP="00D46813">
      <w:pPr>
        <w:pStyle w:val="ListParagraph"/>
        <w:numPr>
          <w:ilvl w:val="1"/>
          <w:numId w:val="5"/>
        </w:numPr>
        <w:tabs>
          <w:tab w:val="num" w:pos="709"/>
        </w:tabs>
        <w:ind w:left="709" w:hanging="709"/>
        <w:rPr>
          <w:lang w:val="en-AU"/>
        </w:rPr>
      </w:pPr>
      <w:r>
        <w:rPr>
          <w:lang w:val="en-AU"/>
        </w:rPr>
        <w:t>The Commission developed its NTRM by modifying the</w:t>
      </w:r>
      <w:r w:rsidRPr="00D46813">
        <w:rPr>
          <w:lang w:val="en-AU"/>
        </w:rPr>
        <w:t xml:space="preserve"> PTRM to the minimum extent necessary to use a pre-tax approach</w:t>
      </w:r>
      <w:r>
        <w:rPr>
          <w:lang w:val="en-AU"/>
        </w:rPr>
        <w:t>. In making these modifications, the integrity of the cash flow analysis was compromised</w:t>
      </w:r>
      <w:r w:rsidR="00CB4726">
        <w:rPr>
          <w:lang w:val="en-AU"/>
        </w:rPr>
        <w:t>.</w:t>
      </w:r>
      <w:r>
        <w:rPr>
          <w:lang w:val="en-AU"/>
        </w:rPr>
        <w:t xml:space="preserve"> </w:t>
      </w:r>
    </w:p>
    <w:p w14:paraId="48B65E0B" w14:textId="3E5C63D4" w:rsidR="00D46813" w:rsidRDefault="00D46813" w:rsidP="00D46813">
      <w:pPr>
        <w:pStyle w:val="ListParagraph"/>
        <w:numPr>
          <w:ilvl w:val="1"/>
          <w:numId w:val="5"/>
        </w:numPr>
        <w:tabs>
          <w:tab w:val="num" w:pos="709"/>
        </w:tabs>
        <w:ind w:left="709" w:hanging="709"/>
        <w:rPr>
          <w:lang w:val="en-AU"/>
        </w:rPr>
      </w:pPr>
      <w:r>
        <w:rPr>
          <w:lang w:val="en-AU"/>
        </w:rPr>
        <w:t xml:space="preserve">The Commission has now amended the model to remove the PTRM cash flow analysis. The Commission has confirmed with the AER that this has not </w:t>
      </w:r>
      <w:r w:rsidRPr="00D46813">
        <w:rPr>
          <w:lang w:val="en-AU"/>
        </w:rPr>
        <w:t>affect</w:t>
      </w:r>
      <w:r>
        <w:rPr>
          <w:lang w:val="en-AU"/>
        </w:rPr>
        <w:t>ed</w:t>
      </w:r>
      <w:r w:rsidRPr="00D46813">
        <w:rPr>
          <w:lang w:val="en-AU"/>
        </w:rPr>
        <w:t xml:space="preserve"> the integrity of the model for the calculation of </w:t>
      </w:r>
      <w:r w:rsidR="00FF343C">
        <w:rPr>
          <w:lang w:val="en-AU"/>
        </w:rPr>
        <w:t>the total</w:t>
      </w:r>
      <w:r w:rsidR="00FF343C" w:rsidRPr="00D46813">
        <w:rPr>
          <w:lang w:val="en-AU"/>
        </w:rPr>
        <w:t xml:space="preserve"> </w:t>
      </w:r>
      <w:r w:rsidRPr="00D46813">
        <w:rPr>
          <w:lang w:val="en-AU"/>
        </w:rPr>
        <w:t xml:space="preserve">revenue </w:t>
      </w:r>
      <w:r w:rsidR="00FF343C">
        <w:rPr>
          <w:lang w:val="en-AU"/>
        </w:rPr>
        <w:t>requirement</w:t>
      </w:r>
      <w:r w:rsidR="00CB4726">
        <w:rPr>
          <w:lang w:val="en-AU"/>
        </w:rPr>
        <w:t xml:space="preserve"> </w:t>
      </w:r>
      <w:r w:rsidRPr="00D46813">
        <w:rPr>
          <w:lang w:val="en-AU"/>
        </w:rPr>
        <w:t>and X</w:t>
      </w:r>
      <w:r w:rsidR="00CB4726">
        <w:rPr>
          <w:lang w:val="en-AU"/>
        </w:rPr>
        <w:t> </w:t>
      </w:r>
      <w:r w:rsidRPr="00D46813">
        <w:rPr>
          <w:lang w:val="en-AU"/>
        </w:rPr>
        <w:t>factors.</w:t>
      </w:r>
    </w:p>
    <w:p w14:paraId="1742A623" w14:textId="77777777" w:rsidR="003730D1" w:rsidRDefault="00D46813" w:rsidP="00B17B70">
      <w:pPr>
        <w:pStyle w:val="ListParagraph"/>
        <w:numPr>
          <w:ilvl w:val="1"/>
          <w:numId w:val="5"/>
        </w:numPr>
        <w:tabs>
          <w:tab w:val="num" w:pos="709"/>
        </w:tabs>
        <w:ind w:left="709" w:hanging="709"/>
        <w:rPr>
          <w:lang w:val="en-AU"/>
        </w:rPr>
      </w:pPr>
      <w:r>
        <w:rPr>
          <w:lang w:val="en-AU"/>
        </w:rPr>
        <w:t>As specified in the Commission’s Framework Statement and confirmed in the Draft Determination, the Commission has replaced the calculations for both the effective tax rate on equity and the effective tax rate on debt</w:t>
      </w:r>
      <w:r w:rsidRPr="00D46813">
        <w:rPr>
          <w:lang w:val="en-AU"/>
        </w:rPr>
        <w:t xml:space="preserve"> </w:t>
      </w:r>
      <w:r>
        <w:rPr>
          <w:lang w:val="en-AU"/>
        </w:rPr>
        <w:t>with the statutory corporate tax rate of 30 per cent.</w:t>
      </w:r>
    </w:p>
    <w:p w14:paraId="72EC53E5" w14:textId="0C0E5EF2" w:rsidR="00C31710" w:rsidRDefault="00FF343C" w:rsidP="00C31710">
      <w:pPr>
        <w:pStyle w:val="UtilComHeading3"/>
        <w:rPr>
          <w:lang w:val="en-AU"/>
        </w:rPr>
      </w:pPr>
      <w:r>
        <w:rPr>
          <w:lang w:val="en-AU"/>
        </w:rPr>
        <w:t>Imputation credits (gamma)</w:t>
      </w:r>
    </w:p>
    <w:p w14:paraId="6F5B6775" w14:textId="4E78FE14" w:rsidR="00FA3CCC" w:rsidRDefault="00CB5113" w:rsidP="00B17B70">
      <w:pPr>
        <w:pStyle w:val="ListParagraph"/>
        <w:numPr>
          <w:ilvl w:val="1"/>
          <w:numId w:val="5"/>
        </w:numPr>
        <w:tabs>
          <w:tab w:val="num" w:pos="709"/>
        </w:tabs>
        <w:ind w:left="709" w:hanging="709"/>
        <w:rPr>
          <w:lang w:val="en-AU"/>
        </w:rPr>
      </w:pPr>
      <w:r>
        <w:rPr>
          <w:lang w:val="en-AU"/>
        </w:rPr>
        <w:t>The Commission considers that t</w:t>
      </w:r>
      <w:r w:rsidR="003730D1">
        <w:rPr>
          <w:lang w:val="en-AU"/>
        </w:rPr>
        <w:t xml:space="preserve">he </w:t>
      </w:r>
      <w:r w:rsidR="00C74C7E">
        <w:rPr>
          <w:lang w:val="en-AU"/>
        </w:rPr>
        <w:t xml:space="preserve">AER’s </w:t>
      </w:r>
      <w:r w:rsidR="003730D1">
        <w:rPr>
          <w:lang w:val="en-AU"/>
        </w:rPr>
        <w:t xml:space="preserve">Rate of Return Guidelines </w:t>
      </w:r>
      <w:r>
        <w:rPr>
          <w:lang w:val="en-AU"/>
        </w:rPr>
        <w:t xml:space="preserve">reflect generally accepted regulatory practice for determining the rate of return for regulated network </w:t>
      </w:r>
      <w:r w:rsidR="00C74C7E">
        <w:rPr>
          <w:lang w:val="en-AU"/>
        </w:rPr>
        <w:t>service providers</w:t>
      </w:r>
      <w:r>
        <w:rPr>
          <w:lang w:val="en-AU"/>
        </w:rPr>
        <w:t xml:space="preserve">. </w:t>
      </w:r>
      <w:r w:rsidR="00C74C7E">
        <w:rPr>
          <w:lang w:val="en-AU"/>
        </w:rPr>
        <w:t>In the final Guideline,</w:t>
      </w:r>
      <w:r w:rsidR="00C31710">
        <w:rPr>
          <w:lang w:val="en-AU"/>
        </w:rPr>
        <w:t xml:space="preserve"> the AER revised its estimate of the utilisation of imputation credits (g</w:t>
      </w:r>
      <w:r w:rsidR="00FA3CCC">
        <w:rPr>
          <w:lang w:val="en-AU"/>
        </w:rPr>
        <w:t>amma</w:t>
      </w:r>
      <w:r w:rsidR="00C31710">
        <w:rPr>
          <w:lang w:val="en-AU"/>
        </w:rPr>
        <w:t xml:space="preserve">) from </w:t>
      </w:r>
      <w:r w:rsidR="00C74C7E">
        <w:rPr>
          <w:lang w:val="en-AU"/>
        </w:rPr>
        <w:t>25 per </w:t>
      </w:r>
      <w:r w:rsidR="00EE2804">
        <w:rPr>
          <w:lang w:val="en-AU"/>
        </w:rPr>
        <w:t xml:space="preserve">cent </w:t>
      </w:r>
      <w:r w:rsidR="00C31710">
        <w:rPr>
          <w:lang w:val="en-AU"/>
        </w:rPr>
        <w:t xml:space="preserve">to </w:t>
      </w:r>
      <w:r w:rsidR="00C74C7E">
        <w:rPr>
          <w:lang w:val="en-AU"/>
        </w:rPr>
        <w:t>50 per </w:t>
      </w:r>
      <w:r w:rsidR="00EE2804">
        <w:rPr>
          <w:lang w:val="en-AU"/>
        </w:rPr>
        <w:t>cent</w:t>
      </w:r>
      <w:r w:rsidR="00C31710">
        <w:rPr>
          <w:lang w:val="en-AU"/>
        </w:rPr>
        <w:t>.</w:t>
      </w:r>
    </w:p>
    <w:p w14:paraId="209CE9AB" w14:textId="668789A3" w:rsidR="00C31710" w:rsidRDefault="00FB1098" w:rsidP="00B17B70">
      <w:pPr>
        <w:pStyle w:val="ListParagraph"/>
        <w:numPr>
          <w:ilvl w:val="1"/>
          <w:numId w:val="5"/>
        </w:numPr>
        <w:tabs>
          <w:tab w:val="num" w:pos="709"/>
        </w:tabs>
        <w:ind w:left="709" w:hanging="709"/>
        <w:rPr>
          <w:lang w:val="en-AU"/>
        </w:rPr>
      </w:pPr>
      <w:r>
        <w:rPr>
          <w:lang w:val="en-AU"/>
        </w:rPr>
        <w:t>The Commission provided PWC Networks with an opportunity to make representations on the value for gamma.</w:t>
      </w:r>
    </w:p>
    <w:p w14:paraId="3EBD09D5" w14:textId="77777777" w:rsidR="00FA3CCC" w:rsidRDefault="00FA3CCC" w:rsidP="00C31710">
      <w:pPr>
        <w:pStyle w:val="UtilComHeading3"/>
        <w:rPr>
          <w:lang w:val="en-AU"/>
        </w:rPr>
      </w:pPr>
      <w:r>
        <w:rPr>
          <w:lang w:val="en-AU"/>
        </w:rPr>
        <w:t>Update market parameters</w:t>
      </w:r>
    </w:p>
    <w:p w14:paraId="752EF982" w14:textId="4D6A5601" w:rsidR="00FB1098" w:rsidRPr="00335887" w:rsidRDefault="00FB1098" w:rsidP="00FB1098">
      <w:pPr>
        <w:pStyle w:val="NumberLevel2"/>
        <w:numPr>
          <w:ilvl w:val="1"/>
          <w:numId w:val="5"/>
        </w:numPr>
        <w:tabs>
          <w:tab w:val="clear" w:pos="3270"/>
          <w:tab w:val="left" w:pos="709"/>
        </w:tabs>
        <w:ind w:left="709" w:hanging="709"/>
        <w:rPr>
          <w:lang w:val="en-AU"/>
        </w:rPr>
      </w:pPr>
      <w:r w:rsidRPr="00335887">
        <w:rPr>
          <w:lang w:val="en-AU"/>
        </w:rPr>
        <w:t xml:space="preserve">The </w:t>
      </w:r>
      <w:r>
        <w:rPr>
          <w:lang w:val="en-AU"/>
        </w:rPr>
        <w:t>Commission has updated its estimate</w:t>
      </w:r>
      <w:r w:rsidR="0030167B">
        <w:rPr>
          <w:lang w:val="en-AU"/>
        </w:rPr>
        <w:t>d</w:t>
      </w:r>
      <w:r>
        <w:rPr>
          <w:lang w:val="en-AU"/>
        </w:rPr>
        <w:t xml:space="preserve"> inflation based on</w:t>
      </w:r>
      <w:r w:rsidRPr="00335887">
        <w:rPr>
          <w:lang w:val="en-AU"/>
        </w:rPr>
        <w:t xml:space="preserve"> the RBA</w:t>
      </w:r>
      <w:r>
        <w:rPr>
          <w:lang w:val="en-AU"/>
        </w:rPr>
        <w:t>’s</w:t>
      </w:r>
      <w:r w:rsidRPr="00335887">
        <w:rPr>
          <w:lang w:val="en-AU"/>
        </w:rPr>
        <w:t xml:space="preserve"> short-term inflation forecasts</w:t>
      </w:r>
      <w:r>
        <w:rPr>
          <w:lang w:val="en-AU"/>
        </w:rPr>
        <w:t xml:space="preserve"> (</w:t>
      </w:r>
      <w:r w:rsidRPr="00335887">
        <w:rPr>
          <w:lang w:val="en-AU"/>
        </w:rPr>
        <w:t>currently extending out to two years</w:t>
      </w:r>
      <w:r>
        <w:rPr>
          <w:lang w:val="en-AU"/>
        </w:rPr>
        <w:t>) set out in the February 2014 Statement on Monetary Policy.</w:t>
      </w:r>
    </w:p>
    <w:p w14:paraId="2626D4DB" w14:textId="4DA82B0E" w:rsidR="00FB1098" w:rsidRDefault="00FB1098" w:rsidP="00FB1098">
      <w:pPr>
        <w:pStyle w:val="NumberLevel2"/>
        <w:numPr>
          <w:ilvl w:val="1"/>
          <w:numId w:val="5"/>
        </w:numPr>
        <w:tabs>
          <w:tab w:val="clear" w:pos="3270"/>
          <w:tab w:val="num" w:pos="709"/>
        </w:tabs>
        <w:ind w:left="709" w:hanging="709"/>
        <w:rPr>
          <w:lang w:val="en-AU"/>
        </w:rPr>
      </w:pPr>
      <w:r>
        <w:rPr>
          <w:lang w:val="en-AU"/>
        </w:rPr>
        <w:t xml:space="preserve">The Commission calculated the nominal risk free rate as 4.11 per cent, based on the 10-year CGS over a 20 day averaging period from </w:t>
      </w:r>
      <w:r w:rsidR="00C74C7E">
        <w:rPr>
          <w:lang w:val="en-AU"/>
        </w:rPr>
        <w:t xml:space="preserve">the </w:t>
      </w:r>
      <w:r>
        <w:rPr>
          <w:lang w:val="en-AU"/>
        </w:rPr>
        <w:t>4</w:t>
      </w:r>
      <w:r w:rsidR="00C74C7E" w:rsidRPr="00C74C7E">
        <w:rPr>
          <w:vertAlign w:val="superscript"/>
          <w:lang w:val="en-AU"/>
        </w:rPr>
        <w:t>th</w:t>
      </w:r>
      <w:r>
        <w:rPr>
          <w:lang w:val="en-AU"/>
        </w:rPr>
        <w:t xml:space="preserve"> March to </w:t>
      </w:r>
      <w:r w:rsidR="00C74C7E">
        <w:rPr>
          <w:lang w:val="en-AU"/>
        </w:rPr>
        <w:t xml:space="preserve">the </w:t>
      </w:r>
      <w:r>
        <w:rPr>
          <w:lang w:val="en-AU"/>
        </w:rPr>
        <w:t>31</w:t>
      </w:r>
      <w:r w:rsidR="00C74C7E" w:rsidRPr="00C74C7E">
        <w:rPr>
          <w:vertAlign w:val="superscript"/>
          <w:lang w:val="en-AU"/>
        </w:rPr>
        <w:t>st</w:t>
      </w:r>
      <w:r>
        <w:rPr>
          <w:lang w:val="en-AU"/>
        </w:rPr>
        <w:t xml:space="preserve"> </w:t>
      </w:r>
      <w:r w:rsidR="00C74C7E">
        <w:rPr>
          <w:lang w:val="en-AU"/>
        </w:rPr>
        <w:t xml:space="preserve">of </w:t>
      </w:r>
      <w:r>
        <w:rPr>
          <w:lang w:val="en-AU"/>
        </w:rPr>
        <w:t>March 2014.</w:t>
      </w:r>
    </w:p>
    <w:p w14:paraId="3AC0AD4D" w14:textId="20BD1826" w:rsidR="00B17B70" w:rsidRPr="00BB4EB2" w:rsidRDefault="00B17B70" w:rsidP="00B17B70">
      <w:pPr>
        <w:pStyle w:val="UtilComHeading2"/>
      </w:pPr>
      <w:bookmarkStart w:id="266" w:name="_Toc385241555"/>
      <w:bookmarkStart w:id="267" w:name="_Toc386013108"/>
      <w:r w:rsidRPr="00BB4EB2">
        <w:t xml:space="preserve">Commission’s </w:t>
      </w:r>
      <w:r w:rsidR="0043071F">
        <w:t>Final D</w:t>
      </w:r>
      <w:r w:rsidRPr="00BB4EB2">
        <w:t>ecision</w:t>
      </w:r>
      <w:bookmarkEnd w:id="266"/>
      <w:bookmarkEnd w:id="267"/>
    </w:p>
    <w:p w14:paraId="0CC5315A" w14:textId="129A51D8" w:rsidR="00896796" w:rsidRPr="001E4D9A" w:rsidRDefault="00896796" w:rsidP="00896796">
      <w:pPr>
        <w:pStyle w:val="NumberLevel2"/>
        <w:numPr>
          <w:ilvl w:val="1"/>
          <w:numId w:val="5"/>
        </w:numPr>
        <w:tabs>
          <w:tab w:val="clear" w:pos="3270"/>
          <w:tab w:val="num" w:pos="709"/>
        </w:tabs>
        <w:ind w:left="709" w:hanging="709"/>
        <w:rPr>
          <w:lang w:val="en-AU"/>
        </w:rPr>
      </w:pPr>
      <w:r>
        <w:rPr>
          <w:lang w:val="en-AU"/>
        </w:rPr>
        <w:t xml:space="preserve">The Commission has calculated </w:t>
      </w:r>
      <w:r w:rsidR="00FA3CCC">
        <w:rPr>
          <w:lang w:val="en-AU"/>
        </w:rPr>
        <w:t>a</w:t>
      </w:r>
      <w:r>
        <w:rPr>
          <w:lang w:val="en-AU"/>
        </w:rPr>
        <w:t xml:space="preserve"> nominal pre-tax WACC of </w:t>
      </w:r>
      <w:r w:rsidR="00FA3CCC">
        <w:rPr>
          <w:lang w:val="en-AU"/>
        </w:rPr>
        <w:t>7.86</w:t>
      </w:r>
      <w:r>
        <w:rPr>
          <w:lang w:val="en-AU"/>
        </w:rPr>
        <w:t xml:space="preserve"> per cent for PWC Networks.</w:t>
      </w:r>
    </w:p>
    <w:p w14:paraId="0402FD06" w14:textId="72AC9325" w:rsidR="00896796" w:rsidRPr="001E4D9A" w:rsidRDefault="00896796" w:rsidP="00896796">
      <w:pPr>
        <w:pStyle w:val="NumberLevel2"/>
        <w:numPr>
          <w:ilvl w:val="1"/>
          <w:numId w:val="5"/>
        </w:numPr>
        <w:tabs>
          <w:tab w:val="clear" w:pos="3270"/>
          <w:tab w:val="num" w:pos="709"/>
        </w:tabs>
        <w:ind w:left="709" w:hanging="709"/>
        <w:rPr>
          <w:lang w:val="en-AU"/>
        </w:rPr>
      </w:pPr>
      <w:r>
        <w:rPr>
          <w:lang w:val="en-AU"/>
        </w:rPr>
        <w:t xml:space="preserve">This WACC is lower than that proposed by PWC Networks because </w:t>
      </w:r>
      <w:r w:rsidR="00FA3CCC">
        <w:rPr>
          <w:lang w:val="en-AU"/>
        </w:rPr>
        <w:t>the</w:t>
      </w:r>
      <w:r w:rsidR="00FA3CCC" w:rsidRPr="00FA3CCC">
        <w:rPr>
          <w:lang w:val="en-AU"/>
        </w:rPr>
        <w:t xml:space="preserve"> </w:t>
      </w:r>
      <w:r w:rsidR="00FA3CCC">
        <w:rPr>
          <w:lang w:val="en-AU"/>
        </w:rPr>
        <w:t xml:space="preserve">Commission has adopted a higher utilisation of franking credits (gamma) and a corporate tax rate of 30 per cent, and </w:t>
      </w:r>
      <w:r w:rsidR="00F17C40">
        <w:rPr>
          <w:lang w:val="en-AU"/>
        </w:rPr>
        <w:t xml:space="preserve">the </w:t>
      </w:r>
      <w:r w:rsidR="00FA3CCC">
        <w:rPr>
          <w:lang w:val="en-AU"/>
        </w:rPr>
        <w:t>market based parameters (</w:t>
      </w:r>
      <w:r w:rsidR="00F17C40">
        <w:rPr>
          <w:lang w:val="en-AU"/>
        </w:rPr>
        <w:t xml:space="preserve">that is, </w:t>
      </w:r>
      <w:r w:rsidR="00FA3CCC">
        <w:rPr>
          <w:lang w:val="en-AU"/>
        </w:rPr>
        <w:t>nominal risk free rate, DRP and expected inflation) have changed since PWC Networks prepared its revised regulatory proposal</w:t>
      </w:r>
    </w:p>
    <w:p w14:paraId="01B192EB" w14:textId="684FEE32" w:rsidR="00896796" w:rsidRDefault="00896796" w:rsidP="00896796">
      <w:pPr>
        <w:pStyle w:val="NumberLevel2"/>
        <w:numPr>
          <w:ilvl w:val="1"/>
          <w:numId w:val="5"/>
        </w:numPr>
        <w:tabs>
          <w:tab w:val="clear" w:pos="3270"/>
          <w:tab w:val="num" w:pos="709"/>
        </w:tabs>
        <w:ind w:left="709" w:hanging="709"/>
        <w:rPr>
          <w:lang w:val="en-AU"/>
        </w:rPr>
      </w:pPr>
      <w:r>
        <w:rPr>
          <w:lang w:val="en-AU"/>
        </w:rPr>
        <w:t xml:space="preserve">Table 12.3 outlines </w:t>
      </w:r>
      <w:r w:rsidR="00F17C40">
        <w:rPr>
          <w:lang w:val="en-AU"/>
        </w:rPr>
        <w:t xml:space="preserve">the Commission’s decision on </w:t>
      </w:r>
      <w:r>
        <w:rPr>
          <w:lang w:val="en-AU"/>
        </w:rPr>
        <w:t xml:space="preserve">the WACC parameters for </w:t>
      </w:r>
      <w:r w:rsidR="00F17C40">
        <w:rPr>
          <w:lang w:val="en-AU"/>
        </w:rPr>
        <w:t>the Final Determination.</w:t>
      </w:r>
    </w:p>
    <w:p w14:paraId="145DFCA4" w14:textId="75150A35" w:rsidR="00896796" w:rsidRPr="00A139AD" w:rsidRDefault="00896796" w:rsidP="00F17C40">
      <w:pPr>
        <w:pStyle w:val="UtilComTableTitle"/>
        <w:keepNext/>
        <w:spacing w:before="120" w:after="0" w:line="240" w:lineRule="exact"/>
      </w:pPr>
      <w:r>
        <w:t>Table 12.3: Commission</w:t>
      </w:r>
      <w:r w:rsidR="00F17C40">
        <w:t>’s</w:t>
      </w:r>
      <w:r>
        <w:t xml:space="preserve"> </w:t>
      </w:r>
      <w:r w:rsidR="00F17C40">
        <w:t xml:space="preserve">decision </w:t>
      </w:r>
      <w:r w:rsidR="00FA3CCC">
        <w:t>on</w:t>
      </w:r>
      <w:r>
        <w:t xml:space="preserve"> WACC parameters</w:t>
      </w:r>
      <w:r w:rsidR="00F17C40">
        <w:t xml:space="preserve"> </w:t>
      </w:r>
    </w:p>
    <w:tbl>
      <w:tblPr>
        <w:tblW w:w="6662" w:type="dxa"/>
        <w:jc w:val="center"/>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4110"/>
        <w:gridCol w:w="2552"/>
      </w:tblGrid>
      <w:tr w:rsidR="00D04105" w:rsidRPr="00CD0BDF" w14:paraId="789A9938" w14:textId="77777777" w:rsidTr="00D04105">
        <w:trPr>
          <w:trHeight w:val="360"/>
          <w:jc w:val="center"/>
        </w:trPr>
        <w:tc>
          <w:tcPr>
            <w:tcW w:w="4110" w:type="dxa"/>
            <w:tcBorders>
              <w:bottom w:val="single" w:sz="4" w:space="0" w:color="auto"/>
            </w:tcBorders>
            <w:vAlign w:val="center"/>
          </w:tcPr>
          <w:p w14:paraId="74B1ED0E" w14:textId="77777777" w:rsidR="00D04105" w:rsidRPr="002F053A" w:rsidRDefault="00D04105" w:rsidP="00D04105">
            <w:pPr>
              <w:pStyle w:val="UtilComTableColumnHeading"/>
            </w:pPr>
            <w:r>
              <w:t>Set parameters</w:t>
            </w:r>
          </w:p>
        </w:tc>
        <w:tc>
          <w:tcPr>
            <w:tcW w:w="2552" w:type="dxa"/>
            <w:tcBorders>
              <w:bottom w:val="single" w:sz="4" w:space="0" w:color="auto"/>
            </w:tcBorders>
          </w:tcPr>
          <w:p w14:paraId="68E01BE2" w14:textId="43359C5F" w:rsidR="00D04105" w:rsidRDefault="00D04105" w:rsidP="00F17C40">
            <w:pPr>
              <w:pStyle w:val="UtilComTableColumnHeading"/>
              <w:jc w:val="center"/>
            </w:pPr>
            <w:r>
              <w:t xml:space="preserve">Commission </w:t>
            </w:r>
            <w:r w:rsidR="00F17C40">
              <w:t xml:space="preserve">Final </w:t>
            </w:r>
            <w:r>
              <w:t>Decision</w:t>
            </w:r>
          </w:p>
        </w:tc>
      </w:tr>
      <w:tr w:rsidR="00D04105" w:rsidRPr="008A4655" w14:paraId="13FD97C9" w14:textId="77777777" w:rsidTr="00D04105">
        <w:trPr>
          <w:trHeight w:val="360"/>
          <w:jc w:val="center"/>
        </w:trPr>
        <w:tc>
          <w:tcPr>
            <w:tcW w:w="4110" w:type="dxa"/>
            <w:vAlign w:val="center"/>
          </w:tcPr>
          <w:p w14:paraId="5DF4FDAA" w14:textId="77777777" w:rsidR="00D04105" w:rsidRPr="00340D05" w:rsidRDefault="00D04105" w:rsidP="00D04105">
            <w:pPr>
              <w:pStyle w:val="UtilComTabletext"/>
            </w:pPr>
            <w:r>
              <w:t>Nominal risk-free rate</w:t>
            </w:r>
          </w:p>
        </w:tc>
        <w:tc>
          <w:tcPr>
            <w:tcW w:w="2552" w:type="dxa"/>
          </w:tcPr>
          <w:p w14:paraId="1AB45A6C" w14:textId="77777777" w:rsidR="00D04105" w:rsidRDefault="00FA3CCC" w:rsidP="00D04105">
            <w:pPr>
              <w:pStyle w:val="UtilComTabletext"/>
              <w:jc w:val="center"/>
            </w:pPr>
            <w:r>
              <w:t>4.11</w:t>
            </w:r>
            <w:r w:rsidR="00D04105">
              <w:t>%</w:t>
            </w:r>
            <w:r w:rsidR="00D04105" w:rsidRPr="009F7D6E">
              <w:rPr>
                <w:vertAlign w:val="superscript"/>
              </w:rPr>
              <w:t>1</w:t>
            </w:r>
          </w:p>
        </w:tc>
      </w:tr>
      <w:tr w:rsidR="00D04105" w:rsidRPr="008A4655" w14:paraId="778A2B78" w14:textId="77777777" w:rsidTr="00D04105">
        <w:trPr>
          <w:trHeight w:val="360"/>
          <w:jc w:val="center"/>
        </w:trPr>
        <w:tc>
          <w:tcPr>
            <w:tcW w:w="4110" w:type="dxa"/>
            <w:tcBorders>
              <w:bottom w:val="single" w:sz="4" w:space="0" w:color="999999"/>
            </w:tcBorders>
            <w:vAlign w:val="center"/>
          </w:tcPr>
          <w:p w14:paraId="02B4B67E" w14:textId="77777777" w:rsidR="00D04105" w:rsidRPr="00340D05" w:rsidRDefault="00D04105" w:rsidP="00D04105">
            <w:pPr>
              <w:pStyle w:val="UtilComTabletext"/>
            </w:pPr>
            <w:r>
              <w:t>Market risk premium (MRP)</w:t>
            </w:r>
          </w:p>
        </w:tc>
        <w:tc>
          <w:tcPr>
            <w:tcW w:w="2552" w:type="dxa"/>
            <w:tcBorders>
              <w:bottom w:val="single" w:sz="4" w:space="0" w:color="999999"/>
            </w:tcBorders>
          </w:tcPr>
          <w:p w14:paraId="69C9A34A" w14:textId="77777777" w:rsidR="00D04105" w:rsidRDefault="00D04105" w:rsidP="00D04105">
            <w:pPr>
              <w:pStyle w:val="UtilComTabletext"/>
              <w:jc w:val="center"/>
            </w:pPr>
            <w:r>
              <w:t>6.00%</w:t>
            </w:r>
          </w:p>
        </w:tc>
      </w:tr>
      <w:tr w:rsidR="00D04105" w:rsidRPr="008A4655" w14:paraId="67BF10A7" w14:textId="77777777" w:rsidTr="00D04105">
        <w:trPr>
          <w:trHeight w:val="360"/>
          <w:jc w:val="center"/>
        </w:trPr>
        <w:tc>
          <w:tcPr>
            <w:tcW w:w="4110" w:type="dxa"/>
            <w:vAlign w:val="center"/>
          </w:tcPr>
          <w:p w14:paraId="0AB2866B" w14:textId="77777777" w:rsidR="00D04105" w:rsidRPr="00340D05" w:rsidRDefault="00D04105" w:rsidP="00D04105">
            <w:pPr>
              <w:pStyle w:val="UtilComTabletext"/>
            </w:pPr>
            <w:r>
              <w:t>Equity beta</w:t>
            </w:r>
          </w:p>
        </w:tc>
        <w:tc>
          <w:tcPr>
            <w:tcW w:w="2552" w:type="dxa"/>
          </w:tcPr>
          <w:p w14:paraId="7DDB7908" w14:textId="77777777" w:rsidR="00D04105" w:rsidRDefault="00D04105" w:rsidP="00D04105">
            <w:pPr>
              <w:pStyle w:val="UtilComTabletext"/>
              <w:jc w:val="center"/>
            </w:pPr>
            <w:r>
              <w:t>0.7</w:t>
            </w:r>
          </w:p>
        </w:tc>
      </w:tr>
      <w:tr w:rsidR="00D04105" w:rsidRPr="008A4655" w14:paraId="0B04D4AF" w14:textId="77777777" w:rsidTr="00D04105">
        <w:trPr>
          <w:trHeight w:val="360"/>
          <w:jc w:val="center"/>
        </w:trPr>
        <w:tc>
          <w:tcPr>
            <w:tcW w:w="4110" w:type="dxa"/>
            <w:tcBorders>
              <w:top w:val="single" w:sz="4" w:space="0" w:color="999999"/>
            </w:tcBorders>
            <w:vAlign w:val="center"/>
          </w:tcPr>
          <w:p w14:paraId="27EED453" w14:textId="77777777" w:rsidR="00D04105" w:rsidRDefault="00D04105" w:rsidP="00D04105">
            <w:pPr>
              <w:pStyle w:val="UtilComTabletext"/>
            </w:pPr>
            <w:r>
              <w:t>Debt risk premium</w:t>
            </w:r>
          </w:p>
        </w:tc>
        <w:tc>
          <w:tcPr>
            <w:tcW w:w="2552" w:type="dxa"/>
            <w:tcBorders>
              <w:top w:val="single" w:sz="4" w:space="0" w:color="999999"/>
            </w:tcBorders>
          </w:tcPr>
          <w:p w14:paraId="10543F15" w14:textId="77777777" w:rsidR="00D04105" w:rsidRDefault="00FA3CCC" w:rsidP="00FA3CCC">
            <w:pPr>
              <w:pStyle w:val="UtilComTabletext"/>
              <w:jc w:val="center"/>
            </w:pPr>
            <w:r>
              <w:t>2</w:t>
            </w:r>
            <w:r w:rsidR="00D04105">
              <w:t>.</w:t>
            </w:r>
            <w:r>
              <w:t>48</w:t>
            </w:r>
            <w:r w:rsidR="00D04105">
              <w:t>%</w:t>
            </w:r>
            <w:r w:rsidR="00D04105" w:rsidRPr="009F7D6E">
              <w:rPr>
                <w:vertAlign w:val="superscript"/>
              </w:rPr>
              <w:t>2</w:t>
            </w:r>
          </w:p>
        </w:tc>
      </w:tr>
      <w:tr w:rsidR="00D04105" w:rsidRPr="008A4655" w14:paraId="4841C2A2" w14:textId="77777777" w:rsidTr="00D04105">
        <w:trPr>
          <w:trHeight w:val="360"/>
          <w:jc w:val="center"/>
        </w:trPr>
        <w:tc>
          <w:tcPr>
            <w:tcW w:w="4110" w:type="dxa"/>
            <w:tcBorders>
              <w:top w:val="single" w:sz="4" w:space="0" w:color="999999"/>
            </w:tcBorders>
            <w:vAlign w:val="center"/>
          </w:tcPr>
          <w:p w14:paraId="535FFF10" w14:textId="77777777" w:rsidR="00D04105" w:rsidRPr="00340D05" w:rsidRDefault="00D04105" w:rsidP="00D04105">
            <w:pPr>
              <w:pStyle w:val="UtilComTabletext"/>
            </w:pPr>
            <w:r>
              <w:t>Gearing</w:t>
            </w:r>
          </w:p>
        </w:tc>
        <w:tc>
          <w:tcPr>
            <w:tcW w:w="2552" w:type="dxa"/>
            <w:tcBorders>
              <w:top w:val="single" w:sz="4" w:space="0" w:color="999999"/>
            </w:tcBorders>
          </w:tcPr>
          <w:p w14:paraId="24C8D936" w14:textId="77777777" w:rsidR="00D04105" w:rsidRDefault="00D04105" w:rsidP="00D04105">
            <w:pPr>
              <w:pStyle w:val="UtilComTabletext"/>
              <w:jc w:val="center"/>
            </w:pPr>
            <w:r>
              <w:t>60:40</w:t>
            </w:r>
          </w:p>
        </w:tc>
      </w:tr>
      <w:tr w:rsidR="00D04105" w:rsidRPr="008A4655" w14:paraId="08BC898C" w14:textId="77777777" w:rsidTr="00D04105">
        <w:trPr>
          <w:trHeight w:val="360"/>
          <w:jc w:val="center"/>
        </w:trPr>
        <w:tc>
          <w:tcPr>
            <w:tcW w:w="4110" w:type="dxa"/>
            <w:tcBorders>
              <w:top w:val="single" w:sz="4" w:space="0" w:color="999999"/>
            </w:tcBorders>
            <w:vAlign w:val="center"/>
          </w:tcPr>
          <w:p w14:paraId="1DD4AEC6" w14:textId="77777777" w:rsidR="00D04105" w:rsidRDefault="00D04105" w:rsidP="00D04105">
            <w:pPr>
              <w:pStyle w:val="UtilComTabletext"/>
            </w:pPr>
            <w:r>
              <w:t>Inflation rate</w:t>
            </w:r>
          </w:p>
        </w:tc>
        <w:tc>
          <w:tcPr>
            <w:tcW w:w="2552" w:type="dxa"/>
            <w:tcBorders>
              <w:top w:val="single" w:sz="4" w:space="0" w:color="999999"/>
            </w:tcBorders>
          </w:tcPr>
          <w:p w14:paraId="0341A751" w14:textId="77777777" w:rsidR="00D04105" w:rsidRDefault="00D04105" w:rsidP="00FA3CCC">
            <w:pPr>
              <w:pStyle w:val="UtilComTabletext"/>
              <w:jc w:val="center"/>
            </w:pPr>
            <w:r>
              <w:t>2.5</w:t>
            </w:r>
            <w:r w:rsidR="00FA3CCC">
              <w:t>9</w:t>
            </w:r>
            <w:r w:rsidRPr="009F7D6E">
              <w:rPr>
                <w:vertAlign w:val="superscript"/>
              </w:rPr>
              <w:t>3</w:t>
            </w:r>
          </w:p>
        </w:tc>
      </w:tr>
      <w:tr w:rsidR="00D04105" w:rsidRPr="008A4655" w14:paraId="00974E15" w14:textId="77777777" w:rsidTr="00D04105">
        <w:trPr>
          <w:trHeight w:val="360"/>
          <w:jc w:val="center"/>
        </w:trPr>
        <w:tc>
          <w:tcPr>
            <w:tcW w:w="4110" w:type="dxa"/>
            <w:vAlign w:val="center"/>
          </w:tcPr>
          <w:p w14:paraId="43F57F67" w14:textId="77777777" w:rsidR="00D04105" w:rsidRPr="00340D05" w:rsidRDefault="00D04105" w:rsidP="00D04105">
            <w:pPr>
              <w:pStyle w:val="UtilComTabletext"/>
            </w:pPr>
            <w:r>
              <w:t>Corporate tax rate</w:t>
            </w:r>
          </w:p>
        </w:tc>
        <w:tc>
          <w:tcPr>
            <w:tcW w:w="2552" w:type="dxa"/>
          </w:tcPr>
          <w:p w14:paraId="3C255E16" w14:textId="77777777" w:rsidR="00D04105" w:rsidRDefault="00D04105" w:rsidP="00D04105">
            <w:pPr>
              <w:pStyle w:val="UtilComTabletext"/>
              <w:jc w:val="center"/>
            </w:pPr>
            <w:r>
              <w:t>30.00%</w:t>
            </w:r>
          </w:p>
        </w:tc>
      </w:tr>
      <w:tr w:rsidR="00D04105" w:rsidRPr="008A4655" w14:paraId="6BE0904E" w14:textId="77777777" w:rsidTr="00D04105">
        <w:trPr>
          <w:trHeight w:val="360"/>
          <w:jc w:val="center"/>
        </w:trPr>
        <w:tc>
          <w:tcPr>
            <w:tcW w:w="4110" w:type="dxa"/>
            <w:tcBorders>
              <w:bottom w:val="single" w:sz="4" w:space="0" w:color="000000"/>
            </w:tcBorders>
            <w:vAlign w:val="center"/>
          </w:tcPr>
          <w:p w14:paraId="479B382C" w14:textId="77777777" w:rsidR="00D04105" w:rsidRPr="00340D05" w:rsidRDefault="00D04105" w:rsidP="00D04105">
            <w:pPr>
              <w:pStyle w:val="UtilComTabletext"/>
            </w:pPr>
            <w:r>
              <w:t>Gamma</w:t>
            </w:r>
          </w:p>
        </w:tc>
        <w:tc>
          <w:tcPr>
            <w:tcW w:w="2552" w:type="dxa"/>
            <w:tcBorders>
              <w:bottom w:val="single" w:sz="4" w:space="0" w:color="000000"/>
            </w:tcBorders>
          </w:tcPr>
          <w:p w14:paraId="28C6C0D6" w14:textId="77777777" w:rsidR="00D04105" w:rsidRDefault="00FA3CCC" w:rsidP="00D04105">
            <w:pPr>
              <w:pStyle w:val="UtilComTabletext"/>
              <w:jc w:val="center"/>
            </w:pPr>
            <w:r>
              <w:t>50</w:t>
            </w:r>
            <w:r w:rsidR="00D04105">
              <w:t>.00%</w:t>
            </w:r>
          </w:p>
        </w:tc>
      </w:tr>
      <w:tr w:rsidR="00D04105" w:rsidRPr="00781CC8" w14:paraId="2EE9F3B4" w14:textId="77777777" w:rsidTr="00D04105">
        <w:trPr>
          <w:trHeight w:val="360"/>
          <w:jc w:val="center"/>
        </w:trPr>
        <w:tc>
          <w:tcPr>
            <w:tcW w:w="4110" w:type="dxa"/>
            <w:tcBorders>
              <w:top w:val="single" w:sz="4" w:space="0" w:color="000000"/>
              <w:bottom w:val="single" w:sz="4" w:space="0" w:color="auto"/>
            </w:tcBorders>
            <w:vAlign w:val="center"/>
          </w:tcPr>
          <w:p w14:paraId="210CF3E1" w14:textId="77777777" w:rsidR="00D04105" w:rsidRPr="00781CC8" w:rsidRDefault="00D04105" w:rsidP="00D04105">
            <w:pPr>
              <w:pStyle w:val="UtilComTabletext"/>
              <w:rPr>
                <w:b/>
              </w:rPr>
            </w:pPr>
            <w:r>
              <w:rPr>
                <w:b/>
              </w:rPr>
              <w:t>Pre-tax nominal</w:t>
            </w:r>
            <w:r w:rsidRPr="00781CC8">
              <w:rPr>
                <w:b/>
              </w:rPr>
              <w:t xml:space="preserve"> WACC</w:t>
            </w:r>
          </w:p>
        </w:tc>
        <w:tc>
          <w:tcPr>
            <w:tcW w:w="2552" w:type="dxa"/>
            <w:tcBorders>
              <w:top w:val="single" w:sz="4" w:space="0" w:color="000000"/>
              <w:bottom w:val="single" w:sz="4" w:space="0" w:color="auto"/>
            </w:tcBorders>
          </w:tcPr>
          <w:p w14:paraId="08F4B5AA" w14:textId="77777777" w:rsidR="00D04105" w:rsidRPr="00781CC8" w:rsidRDefault="00FA3CCC" w:rsidP="00FA3CCC">
            <w:pPr>
              <w:pStyle w:val="UtilComTabletext"/>
              <w:jc w:val="center"/>
              <w:rPr>
                <w:b/>
              </w:rPr>
            </w:pPr>
            <w:r>
              <w:rPr>
                <w:b/>
              </w:rPr>
              <w:t>7</w:t>
            </w:r>
            <w:r w:rsidR="00D04105">
              <w:rPr>
                <w:b/>
              </w:rPr>
              <w:t>.</w:t>
            </w:r>
            <w:r>
              <w:rPr>
                <w:b/>
              </w:rPr>
              <w:t>86</w:t>
            </w:r>
            <w:r w:rsidR="00D04105">
              <w:rPr>
                <w:b/>
              </w:rPr>
              <w:t>%</w:t>
            </w:r>
          </w:p>
        </w:tc>
      </w:tr>
    </w:tbl>
    <w:p w14:paraId="60371C07" w14:textId="77777777" w:rsidR="00896796" w:rsidRDefault="00896796" w:rsidP="00896796">
      <w:pPr>
        <w:pStyle w:val="UtilComReferenceSource"/>
        <w:spacing w:after="0"/>
      </w:pPr>
      <w:r>
        <w:t>Source: Utilities Commission</w:t>
      </w:r>
      <w:r>
        <w:br/>
      </w:r>
      <w:r w:rsidRPr="00BB4311">
        <w:rPr>
          <w:vertAlign w:val="superscript"/>
        </w:rPr>
        <w:t xml:space="preserve">1 </w:t>
      </w:r>
      <w:r w:rsidRPr="00781CC8">
        <w:t>Calculated as the yield on 10</w:t>
      </w:r>
      <w:r>
        <w:t>-</w:t>
      </w:r>
      <w:r w:rsidRPr="00781CC8">
        <w:t xml:space="preserve">year CGS </w:t>
      </w:r>
      <w:r>
        <w:t>averaged over 20 business days from</w:t>
      </w:r>
      <w:r w:rsidRPr="00781CC8">
        <w:t xml:space="preserve"> </w:t>
      </w:r>
      <w:r>
        <w:t>4</w:t>
      </w:r>
      <w:r w:rsidRPr="00781CC8">
        <w:t xml:space="preserve"> </w:t>
      </w:r>
      <w:r w:rsidR="00FA3CCC">
        <w:t>March</w:t>
      </w:r>
      <w:r w:rsidRPr="00781CC8">
        <w:t xml:space="preserve"> 20</w:t>
      </w:r>
      <w:r>
        <w:t>1</w:t>
      </w:r>
      <w:r w:rsidR="00FA3CCC">
        <w:t>4</w:t>
      </w:r>
      <w:r w:rsidRPr="00781CC8">
        <w:t xml:space="preserve"> to </w:t>
      </w:r>
      <w:r w:rsidR="00FA3CCC">
        <w:t>31</w:t>
      </w:r>
      <w:r>
        <w:t xml:space="preserve"> </w:t>
      </w:r>
      <w:r w:rsidR="00FA3CCC">
        <w:t>March</w:t>
      </w:r>
      <w:r>
        <w:t> </w:t>
      </w:r>
      <w:r w:rsidRPr="00781CC8">
        <w:t>20</w:t>
      </w:r>
      <w:r>
        <w:t>1</w:t>
      </w:r>
      <w:r w:rsidR="00FA3CCC">
        <w:t>4</w:t>
      </w:r>
    </w:p>
    <w:p w14:paraId="3D3B1801" w14:textId="02E50122" w:rsidR="00896796" w:rsidRPr="00781CC8" w:rsidRDefault="00896796" w:rsidP="00896796">
      <w:pPr>
        <w:pStyle w:val="UtilComReferenceSource"/>
        <w:spacing w:after="0"/>
      </w:pPr>
      <w:r w:rsidRPr="00BB4311">
        <w:rPr>
          <w:vertAlign w:val="superscript"/>
        </w:rPr>
        <w:t>2</w:t>
      </w:r>
      <w:r>
        <w:t xml:space="preserve"> Taken from the most recent AER determination </w:t>
      </w:r>
      <w:r w:rsidR="00F17C40">
        <w:t>(that is the</w:t>
      </w:r>
      <w:r>
        <w:t xml:space="preserve"> SPAusnet</w:t>
      </w:r>
      <w:r w:rsidR="004458DE">
        <w:t xml:space="preserve"> </w:t>
      </w:r>
      <w:r w:rsidR="00F17C40">
        <w:t>2014-17</w:t>
      </w:r>
      <w:r>
        <w:t xml:space="preserve"> </w:t>
      </w:r>
      <w:r w:rsidR="00F17C40">
        <w:t xml:space="preserve">final determination published in </w:t>
      </w:r>
      <w:r w:rsidR="00FA3CCC">
        <w:t>January</w:t>
      </w:r>
      <w:r>
        <w:t xml:space="preserve"> 201</w:t>
      </w:r>
      <w:r w:rsidR="00FA3CCC">
        <w:t>4</w:t>
      </w:r>
    </w:p>
    <w:p w14:paraId="1F14A194" w14:textId="05156C28" w:rsidR="00896796" w:rsidRPr="00781CC8" w:rsidRDefault="00896796" w:rsidP="00896796">
      <w:pPr>
        <w:pStyle w:val="UtilComReferenceSource"/>
        <w:spacing w:after="0"/>
      </w:pPr>
      <w:r w:rsidRPr="00BB4311">
        <w:rPr>
          <w:vertAlign w:val="superscript"/>
        </w:rPr>
        <w:t>3</w:t>
      </w:r>
      <w:r>
        <w:t xml:space="preserve"> RBA Statement on Monetary Policy</w:t>
      </w:r>
      <w:r w:rsidR="00F17C40">
        <w:t>,</w:t>
      </w:r>
      <w:r>
        <w:t xml:space="preserve"> </w:t>
      </w:r>
      <w:r w:rsidR="00FA3CCC">
        <w:t>February</w:t>
      </w:r>
      <w:r>
        <w:t xml:space="preserve"> 201</w:t>
      </w:r>
      <w:r w:rsidR="00FA3CCC">
        <w:t>4</w:t>
      </w:r>
      <w:r>
        <w:t>.</w:t>
      </w:r>
    </w:p>
    <w:p w14:paraId="75875B9E" w14:textId="77777777" w:rsidR="00F36204" w:rsidRPr="00F36204" w:rsidRDefault="00F36204" w:rsidP="00B17B70">
      <w:pPr>
        <w:rPr>
          <w:lang w:val="en-AU"/>
        </w:rPr>
      </w:pPr>
    </w:p>
    <w:tbl>
      <w:tblPr>
        <w:tblW w:w="0" w:type="auto"/>
        <w:tblLayout w:type="fixed"/>
        <w:tblLook w:val="01E0" w:firstRow="1" w:lastRow="1" w:firstColumn="1" w:lastColumn="1" w:noHBand="0" w:noVBand="0"/>
      </w:tblPr>
      <w:tblGrid>
        <w:gridCol w:w="9288"/>
      </w:tblGrid>
      <w:tr w:rsidR="00215068" w14:paraId="0052D776" w14:textId="77777777" w:rsidTr="00215068">
        <w:tc>
          <w:tcPr>
            <w:tcW w:w="9288" w:type="dxa"/>
          </w:tcPr>
          <w:p w14:paraId="64D2A6B8" w14:textId="77777777" w:rsidR="00215068" w:rsidRDefault="00215068" w:rsidP="00EF320F">
            <w:pPr>
              <w:pStyle w:val="NumberLevel1"/>
              <w:pageBreakBefore/>
              <w:numPr>
                <w:ilvl w:val="0"/>
                <w:numId w:val="4"/>
              </w:numPr>
              <w:ind w:left="431" w:hanging="431"/>
            </w:pPr>
            <w:r>
              <w:br w:type="page"/>
            </w:r>
          </w:p>
        </w:tc>
      </w:tr>
      <w:tr w:rsidR="00215068" w14:paraId="47CC294B" w14:textId="77777777" w:rsidTr="00215068">
        <w:tc>
          <w:tcPr>
            <w:tcW w:w="9288" w:type="dxa"/>
          </w:tcPr>
          <w:p w14:paraId="05206B97" w14:textId="115431AA" w:rsidR="00215068" w:rsidRDefault="00713302">
            <w:pPr>
              <w:pStyle w:val="UtilComChapterHeading"/>
              <w:outlineLvl w:val="0"/>
            </w:pPr>
            <w:bookmarkStart w:id="268" w:name="_Toc386013109"/>
            <w:r>
              <w:t xml:space="preserve">Permitted </w:t>
            </w:r>
            <w:r w:rsidR="0043071F">
              <w:t xml:space="preserve">Adjustments </w:t>
            </w:r>
            <w:r>
              <w:t>to the 2014 Network Price Determination</w:t>
            </w:r>
            <w:bookmarkEnd w:id="268"/>
          </w:p>
        </w:tc>
      </w:tr>
    </w:tbl>
    <w:p w14:paraId="7E58F540" w14:textId="77777777" w:rsidR="00215068" w:rsidRDefault="00855EC3" w:rsidP="00215068">
      <w:pPr>
        <w:pStyle w:val="UtilComHeading2"/>
      </w:pPr>
      <w:bookmarkStart w:id="269" w:name="_Toc385241557"/>
      <w:bookmarkStart w:id="270" w:name="_Toc386013110"/>
      <w:r>
        <w:t>Introduction</w:t>
      </w:r>
      <w:bookmarkEnd w:id="269"/>
      <w:bookmarkEnd w:id="270"/>
    </w:p>
    <w:p w14:paraId="35C58B7E" w14:textId="704FB686" w:rsidR="00855EC3" w:rsidRPr="00AE64C5" w:rsidRDefault="00855EC3" w:rsidP="00D848C2">
      <w:pPr>
        <w:pStyle w:val="NumberLevel2"/>
        <w:numPr>
          <w:ilvl w:val="1"/>
          <w:numId w:val="5"/>
        </w:numPr>
        <w:ind w:left="709" w:hanging="709"/>
        <w:rPr>
          <w:lang w:val="en-AU"/>
        </w:rPr>
      </w:pPr>
      <w:r w:rsidRPr="00AE64C5">
        <w:rPr>
          <w:lang w:val="en-AU"/>
        </w:rPr>
        <w:t xml:space="preserve">This chapter sets out the Commission’s </w:t>
      </w:r>
      <w:r w:rsidR="00CB7754">
        <w:rPr>
          <w:lang w:val="en-AU"/>
        </w:rPr>
        <w:t>basis and rationale for the inclusion in the 2014 Network Price Determination of pr</w:t>
      </w:r>
      <w:r w:rsidR="0030167B">
        <w:rPr>
          <w:lang w:val="en-AU"/>
        </w:rPr>
        <w:t>o</w:t>
      </w:r>
      <w:r w:rsidR="00CB7754">
        <w:rPr>
          <w:lang w:val="en-AU"/>
        </w:rPr>
        <w:t>cedures dealing with permitted adjustments to the annual revenue requirement during</w:t>
      </w:r>
      <w:r w:rsidRPr="00AE64C5">
        <w:rPr>
          <w:lang w:val="en-AU"/>
        </w:rPr>
        <w:t xml:space="preserve"> the </w:t>
      </w:r>
      <w:r w:rsidR="00403265">
        <w:rPr>
          <w:lang w:val="en-AU"/>
        </w:rPr>
        <w:t>2014-19</w:t>
      </w:r>
      <w:r w:rsidR="00403265" w:rsidRPr="00AE64C5">
        <w:rPr>
          <w:lang w:val="en-AU"/>
        </w:rPr>
        <w:t xml:space="preserve"> </w:t>
      </w:r>
      <w:r w:rsidRPr="00AE64C5">
        <w:rPr>
          <w:lang w:val="en-AU"/>
        </w:rPr>
        <w:t>regulatory control period</w:t>
      </w:r>
      <w:r w:rsidR="00CB7754">
        <w:rPr>
          <w:lang w:val="en-AU"/>
        </w:rPr>
        <w:t xml:space="preserve"> (Permitted Adjustment Procedures)</w:t>
      </w:r>
      <w:r w:rsidRPr="00AE64C5">
        <w:rPr>
          <w:lang w:val="en-AU"/>
        </w:rPr>
        <w:t>.</w:t>
      </w:r>
    </w:p>
    <w:p w14:paraId="27154DB9" w14:textId="77777777" w:rsidR="00CB7754" w:rsidRPr="00CB7754" w:rsidRDefault="00CB7754" w:rsidP="00CB7754">
      <w:pPr>
        <w:pStyle w:val="NumberLevel2"/>
        <w:numPr>
          <w:ilvl w:val="1"/>
          <w:numId w:val="5"/>
        </w:numPr>
        <w:ind w:left="709" w:hanging="709"/>
        <w:rPr>
          <w:lang w:val="en-AU"/>
        </w:rPr>
      </w:pPr>
      <w:r w:rsidRPr="00CB7754">
        <w:rPr>
          <w:lang w:val="en-AU"/>
        </w:rPr>
        <w:t>The Permitted Adjustment Procedures specify:</w:t>
      </w:r>
    </w:p>
    <w:p w14:paraId="775376EA" w14:textId="660201A6" w:rsidR="00CB7754" w:rsidRPr="00CB7754" w:rsidRDefault="00CB7754" w:rsidP="00CB7754">
      <w:pPr>
        <w:pStyle w:val="UtilComBulletText"/>
        <w:tabs>
          <w:tab w:val="clear" w:pos="964"/>
          <w:tab w:val="num" w:pos="1134"/>
        </w:tabs>
        <w:ind w:left="1134" w:hanging="425"/>
      </w:pPr>
      <w:r w:rsidRPr="00CB7754">
        <w:t xml:space="preserve">the pass through events to apply during the </w:t>
      </w:r>
      <w:r w:rsidR="00CB4726">
        <w:rPr>
          <w:lang w:val="en-AU"/>
        </w:rPr>
        <w:t>2014-19</w:t>
      </w:r>
      <w:r w:rsidR="00CB4726" w:rsidRPr="00AE64C5">
        <w:rPr>
          <w:lang w:val="en-AU"/>
        </w:rPr>
        <w:t xml:space="preserve"> </w:t>
      </w:r>
      <w:r w:rsidRPr="00CB7754">
        <w:t>regulatory control period;</w:t>
      </w:r>
    </w:p>
    <w:p w14:paraId="5805DE80" w14:textId="760634AA" w:rsidR="00CB7754" w:rsidRPr="00CB7754" w:rsidRDefault="00CB7754" w:rsidP="00CB7754">
      <w:pPr>
        <w:pStyle w:val="UtilComBulletText"/>
        <w:tabs>
          <w:tab w:val="clear" w:pos="964"/>
          <w:tab w:val="num" w:pos="1134"/>
        </w:tabs>
        <w:ind w:left="1134" w:hanging="425"/>
      </w:pPr>
      <w:r w:rsidRPr="00CB7754">
        <w:t xml:space="preserve">the contingent projects and associated trigger events for the </w:t>
      </w:r>
      <w:r w:rsidR="00CB4726">
        <w:rPr>
          <w:lang w:val="en-AU"/>
        </w:rPr>
        <w:t>2014-19</w:t>
      </w:r>
      <w:r w:rsidR="00CB4726" w:rsidRPr="00AE64C5">
        <w:rPr>
          <w:lang w:val="en-AU"/>
        </w:rPr>
        <w:t xml:space="preserve"> </w:t>
      </w:r>
      <w:r w:rsidRPr="00CB7754">
        <w:t>regulatory control period;</w:t>
      </w:r>
    </w:p>
    <w:p w14:paraId="7435B920" w14:textId="77777777" w:rsidR="00CB7754" w:rsidRPr="00CB7754" w:rsidRDefault="00CB7754" w:rsidP="00CB7754">
      <w:pPr>
        <w:pStyle w:val="UtilComBulletText"/>
        <w:tabs>
          <w:tab w:val="clear" w:pos="964"/>
          <w:tab w:val="num" w:pos="1134"/>
        </w:tabs>
        <w:ind w:left="1134" w:hanging="425"/>
      </w:pPr>
      <w:r w:rsidRPr="00CB7754">
        <w:t>when the 2014 Network Price Determination can be reopened for unexpected and significant capital expenditure requirements; and</w:t>
      </w:r>
    </w:p>
    <w:p w14:paraId="4C0BFEA7" w14:textId="77777777" w:rsidR="00CB7754" w:rsidRPr="00CB7754" w:rsidRDefault="00CB7754" w:rsidP="00CB7754">
      <w:pPr>
        <w:pStyle w:val="UtilComBulletText"/>
        <w:tabs>
          <w:tab w:val="clear" w:pos="964"/>
          <w:tab w:val="num" w:pos="1134"/>
        </w:tabs>
        <w:ind w:left="1134" w:hanging="425"/>
      </w:pPr>
      <w:r w:rsidRPr="00CB7754">
        <w:t>how the 2014 Network Price Determination can be amended by the Commission to reflect changes in applicable regulatory instruments and generally accepted regulatory practice during the 2014-19 regulatory control period.</w:t>
      </w:r>
    </w:p>
    <w:p w14:paraId="7685222F" w14:textId="77777777" w:rsidR="00855EC3" w:rsidRDefault="00855EC3" w:rsidP="00D848C2">
      <w:pPr>
        <w:pStyle w:val="NumberLevel2"/>
        <w:numPr>
          <w:ilvl w:val="1"/>
          <w:numId w:val="5"/>
        </w:numPr>
        <w:ind w:left="709" w:hanging="709"/>
        <w:rPr>
          <w:lang w:val="en-AU"/>
        </w:rPr>
      </w:pPr>
      <w:r w:rsidRPr="00AE64C5">
        <w:rPr>
          <w:lang w:val="en-AU"/>
        </w:rPr>
        <w:t>An objective of the incentive framework is to ensure that risks are appropriately managed. If a network service provider fails to manage risks properly and incurs additional costs, it would be expected to bear those costs. However, the NER recognises a network service provider can be exposed to risks beyond its control, which may have a material impact on its costs.</w:t>
      </w:r>
    </w:p>
    <w:p w14:paraId="49094D5B" w14:textId="3D1A22F6" w:rsidR="00CB7754" w:rsidRPr="00CB7754" w:rsidRDefault="00CB7754" w:rsidP="00CB7754">
      <w:pPr>
        <w:pStyle w:val="NumberLevel2"/>
        <w:numPr>
          <w:ilvl w:val="1"/>
          <w:numId w:val="5"/>
        </w:numPr>
        <w:ind w:left="709" w:hanging="709"/>
        <w:rPr>
          <w:lang w:val="en-AU"/>
        </w:rPr>
      </w:pPr>
      <w:r w:rsidRPr="00CB7754">
        <w:rPr>
          <w:lang w:val="en-AU"/>
        </w:rPr>
        <w:t>The Permitted Adjustment Procedures have been design</w:t>
      </w:r>
      <w:r w:rsidR="008E3DF9">
        <w:rPr>
          <w:lang w:val="en-AU"/>
        </w:rPr>
        <w:t>ed</w:t>
      </w:r>
      <w:r w:rsidRPr="00CB7754">
        <w:rPr>
          <w:lang w:val="en-AU"/>
        </w:rPr>
        <w:t xml:space="preserve"> to deal with this type of risk and are consistent with similar provisions appearing in Chapter 6 of the NER and the requirements of clause 71 of the Network Access Code</w:t>
      </w:r>
      <w:r>
        <w:rPr>
          <w:lang w:val="en-AU"/>
        </w:rPr>
        <w:t>.</w:t>
      </w:r>
    </w:p>
    <w:p w14:paraId="1F2DA2CA" w14:textId="35AD02D9" w:rsidR="00855EC3" w:rsidRDefault="00855EC3" w:rsidP="00855EC3">
      <w:pPr>
        <w:pStyle w:val="UtilComHeading2"/>
      </w:pPr>
      <w:bookmarkStart w:id="271" w:name="_Toc385241558"/>
      <w:bookmarkStart w:id="272" w:name="_Toc386013111"/>
      <w:r>
        <w:t xml:space="preserve">Regulatory </w:t>
      </w:r>
      <w:bookmarkEnd w:id="271"/>
      <w:r w:rsidR="001D7CF6">
        <w:t>Requirements</w:t>
      </w:r>
      <w:bookmarkEnd w:id="272"/>
    </w:p>
    <w:p w14:paraId="34CAE6A4" w14:textId="4C2B5349" w:rsidR="00E92654" w:rsidRDefault="00FB2EC5" w:rsidP="00E92654">
      <w:pPr>
        <w:pStyle w:val="UtilComHeading3"/>
        <w:rPr>
          <w:lang w:val="en-AU"/>
        </w:rPr>
      </w:pPr>
      <w:r>
        <w:rPr>
          <w:lang w:val="en-AU"/>
        </w:rPr>
        <w:t>Network Access Code</w:t>
      </w:r>
    </w:p>
    <w:p w14:paraId="66FEF173" w14:textId="3526FA5A" w:rsidR="00004202" w:rsidRPr="00403265" w:rsidRDefault="00E92654" w:rsidP="00D848C2">
      <w:pPr>
        <w:pStyle w:val="NumberLevel2"/>
        <w:numPr>
          <w:ilvl w:val="1"/>
          <w:numId w:val="5"/>
        </w:numPr>
        <w:ind w:left="709" w:hanging="709"/>
        <w:rPr>
          <w:lang w:val="en-AU"/>
        </w:rPr>
      </w:pPr>
      <w:r>
        <w:rPr>
          <w:lang w:val="en-AU"/>
        </w:rPr>
        <w:t xml:space="preserve">The </w:t>
      </w:r>
      <w:r w:rsidR="00FB2EC5">
        <w:rPr>
          <w:lang w:val="en-AU"/>
        </w:rPr>
        <w:t>Network Access Code</w:t>
      </w:r>
      <w:r>
        <w:rPr>
          <w:lang w:val="en-AU"/>
        </w:rPr>
        <w:t xml:space="preserve"> does not specifically provide for cost pass throughs </w:t>
      </w:r>
      <w:r w:rsidR="00004202" w:rsidRPr="00FD36EF">
        <w:rPr>
          <w:lang w:val="en-AU"/>
        </w:rPr>
        <w:t xml:space="preserve">or contingent projects </w:t>
      </w:r>
      <w:r w:rsidRPr="00FD36EF">
        <w:rPr>
          <w:lang w:val="en-AU"/>
        </w:rPr>
        <w:t xml:space="preserve">during a regulatory control period. </w:t>
      </w:r>
    </w:p>
    <w:p w14:paraId="5D81BABE" w14:textId="2B8E6145" w:rsidR="00444132" w:rsidRDefault="00444132" w:rsidP="00444132">
      <w:pPr>
        <w:pStyle w:val="NumberLevel2"/>
        <w:numPr>
          <w:ilvl w:val="1"/>
          <w:numId w:val="5"/>
        </w:numPr>
        <w:ind w:left="709" w:hanging="709"/>
        <w:rPr>
          <w:lang w:val="en-AU"/>
        </w:rPr>
      </w:pPr>
      <w:r>
        <w:rPr>
          <w:lang w:val="en-AU"/>
        </w:rPr>
        <w:t xml:space="preserve">However, the Commission has a broad authority under Chapter 6 of the </w:t>
      </w:r>
      <w:r w:rsidR="00FB2EC5">
        <w:rPr>
          <w:lang w:val="en-AU"/>
        </w:rPr>
        <w:t>Network Access Code</w:t>
      </w:r>
      <w:r>
        <w:rPr>
          <w:lang w:val="en-AU"/>
        </w:rPr>
        <w:t xml:space="preserve"> to make </w:t>
      </w:r>
      <w:r w:rsidR="00844D08">
        <w:rPr>
          <w:lang w:val="en-AU"/>
        </w:rPr>
        <w:t>network price</w:t>
      </w:r>
      <w:r>
        <w:rPr>
          <w:lang w:val="en-AU"/>
        </w:rPr>
        <w:t xml:space="preserve"> determinations for regulated network access services, and this authority permits the Commission to include NER process</w:t>
      </w:r>
      <w:r w:rsidR="0030167B">
        <w:rPr>
          <w:lang w:val="en-AU"/>
        </w:rPr>
        <w:t>es</w:t>
      </w:r>
      <w:r>
        <w:rPr>
          <w:lang w:val="en-AU"/>
        </w:rPr>
        <w:t xml:space="preserve"> and procedures where the Commission considers this is required to most effectively achieve the desired outcomes set out in clause 63 of the </w:t>
      </w:r>
      <w:r w:rsidR="00FB2EC5">
        <w:rPr>
          <w:lang w:val="en-AU"/>
        </w:rPr>
        <w:t>Network Access Code</w:t>
      </w:r>
      <w:r>
        <w:rPr>
          <w:lang w:val="en-AU"/>
        </w:rPr>
        <w:t>.</w:t>
      </w:r>
    </w:p>
    <w:p w14:paraId="54E5EF6D" w14:textId="2EBC0538" w:rsidR="00444132" w:rsidRDefault="00444132" w:rsidP="00444132">
      <w:pPr>
        <w:pStyle w:val="NumberLevel2"/>
        <w:numPr>
          <w:ilvl w:val="1"/>
          <w:numId w:val="5"/>
        </w:numPr>
        <w:ind w:left="709" w:hanging="709"/>
        <w:rPr>
          <w:lang w:val="en-AU"/>
        </w:rPr>
      </w:pPr>
      <w:r>
        <w:rPr>
          <w:lang w:val="en-AU"/>
        </w:rPr>
        <w:t xml:space="preserve">The Commission’s authority in this regard </w:t>
      </w:r>
      <w:r w:rsidR="00844D08">
        <w:rPr>
          <w:lang w:val="en-AU"/>
        </w:rPr>
        <w:t>is</w:t>
      </w:r>
      <w:r>
        <w:rPr>
          <w:lang w:val="en-AU"/>
        </w:rPr>
        <w:t xml:space="preserve"> discussed in Chapter 2</w:t>
      </w:r>
      <w:r w:rsidR="008E3DF9">
        <w:rPr>
          <w:lang w:val="en-AU"/>
        </w:rPr>
        <w:t xml:space="preserve"> of this Statement of Reasons</w:t>
      </w:r>
      <w:r>
        <w:rPr>
          <w:lang w:val="en-AU"/>
        </w:rPr>
        <w:t>.</w:t>
      </w:r>
    </w:p>
    <w:p w14:paraId="7E21049D" w14:textId="77777777" w:rsidR="008E3DF9" w:rsidRDefault="008E3DF9" w:rsidP="007403D9">
      <w:pPr>
        <w:pStyle w:val="UtilComHeading3"/>
      </w:pPr>
    </w:p>
    <w:p w14:paraId="141F11BA" w14:textId="77777777" w:rsidR="007403D9" w:rsidRDefault="007403D9" w:rsidP="007403D9">
      <w:pPr>
        <w:pStyle w:val="UtilComHeading3"/>
      </w:pPr>
      <w:r w:rsidRPr="00321BDA">
        <w:t>National Electricity Rules</w:t>
      </w:r>
    </w:p>
    <w:p w14:paraId="06F7B9FB" w14:textId="11488E4B" w:rsidR="00E61FD5" w:rsidRPr="00A92943" w:rsidRDefault="00E61FD5" w:rsidP="00A92943">
      <w:pPr>
        <w:pStyle w:val="UtilComHeading4"/>
        <w:spacing w:before="120"/>
        <w:rPr>
          <w:b/>
          <w:i w:val="0"/>
          <w:lang w:val="en-AU"/>
        </w:rPr>
      </w:pPr>
      <w:r w:rsidRPr="00A92943">
        <w:rPr>
          <w:b/>
          <w:i w:val="0"/>
          <w:lang w:val="en-AU"/>
        </w:rPr>
        <w:t xml:space="preserve">Cost </w:t>
      </w:r>
      <w:r w:rsidR="001D7CF6">
        <w:rPr>
          <w:b/>
          <w:i w:val="0"/>
          <w:lang w:val="en-AU"/>
        </w:rPr>
        <w:t>P</w:t>
      </w:r>
      <w:r w:rsidR="001D7CF6" w:rsidRPr="00A92943">
        <w:rPr>
          <w:b/>
          <w:i w:val="0"/>
          <w:lang w:val="en-AU"/>
        </w:rPr>
        <w:t xml:space="preserve">ass </w:t>
      </w:r>
      <w:r w:rsidR="001D7CF6">
        <w:rPr>
          <w:b/>
          <w:i w:val="0"/>
          <w:lang w:val="en-AU"/>
        </w:rPr>
        <w:t>T</w:t>
      </w:r>
      <w:r w:rsidR="001D7CF6" w:rsidRPr="00A92943">
        <w:rPr>
          <w:b/>
          <w:i w:val="0"/>
          <w:lang w:val="en-AU"/>
        </w:rPr>
        <w:t>hrough</w:t>
      </w:r>
    </w:p>
    <w:p w14:paraId="68A68881" w14:textId="091A2D3F" w:rsidR="007403D9" w:rsidRPr="007403D9" w:rsidRDefault="00844D08" w:rsidP="004B63D8">
      <w:pPr>
        <w:pStyle w:val="NumberLevel2"/>
        <w:numPr>
          <w:ilvl w:val="1"/>
          <w:numId w:val="5"/>
        </w:numPr>
        <w:tabs>
          <w:tab w:val="clear" w:pos="3270"/>
          <w:tab w:val="num" w:pos="709"/>
        </w:tabs>
        <w:ind w:left="709" w:hanging="709"/>
        <w:rPr>
          <w:lang w:val="en-AU"/>
        </w:rPr>
      </w:pPr>
      <w:r>
        <w:rPr>
          <w:lang w:val="en-AU"/>
        </w:rPr>
        <w:t>A</w:t>
      </w:r>
      <w:r w:rsidR="007403D9" w:rsidRPr="007403D9">
        <w:rPr>
          <w:lang w:val="en-AU"/>
        </w:rPr>
        <w:t xml:space="preserve"> pass through event is </w:t>
      </w:r>
      <w:r>
        <w:rPr>
          <w:lang w:val="en-AU"/>
        </w:rPr>
        <w:t>defined by clause 6.6.1(a1)</w:t>
      </w:r>
      <w:r w:rsidR="007403D9" w:rsidRPr="007403D9">
        <w:rPr>
          <w:lang w:val="en-AU"/>
        </w:rPr>
        <w:t xml:space="preserve"> of the NER</w:t>
      </w:r>
      <w:r>
        <w:rPr>
          <w:lang w:val="en-AU"/>
        </w:rPr>
        <w:t xml:space="preserve"> to mean</w:t>
      </w:r>
      <w:r w:rsidR="007403D9" w:rsidRPr="007403D9">
        <w:rPr>
          <w:lang w:val="en-AU"/>
        </w:rPr>
        <w:t>:</w:t>
      </w:r>
    </w:p>
    <w:p w14:paraId="57CFB127" w14:textId="77777777" w:rsidR="007403D9" w:rsidRPr="00A92943" w:rsidRDefault="007403D9" w:rsidP="004B63D8">
      <w:pPr>
        <w:pStyle w:val="UtilComQuotationText"/>
        <w:ind w:left="1134"/>
      </w:pPr>
      <w:r w:rsidRPr="00A92943">
        <w:t>Any of the following is a pass through event:</w:t>
      </w:r>
    </w:p>
    <w:p w14:paraId="55CBFB69" w14:textId="77777777" w:rsidR="007403D9" w:rsidRPr="00A92943" w:rsidRDefault="007403D9" w:rsidP="004B63D8">
      <w:pPr>
        <w:pStyle w:val="UtilComQuotationText"/>
        <w:ind w:left="1559" w:hanging="425"/>
      </w:pPr>
      <w:r w:rsidRPr="00A92943">
        <w:t>(a) a regulatory change event;</w:t>
      </w:r>
    </w:p>
    <w:p w14:paraId="0D78C79C" w14:textId="77777777" w:rsidR="007403D9" w:rsidRPr="00A92943" w:rsidRDefault="007403D9" w:rsidP="004B63D8">
      <w:pPr>
        <w:pStyle w:val="UtilComQuotationText"/>
        <w:ind w:left="1559" w:hanging="425"/>
      </w:pPr>
      <w:r w:rsidRPr="00A92943">
        <w:t>(b) a service standard event;</w:t>
      </w:r>
    </w:p>
    <w:p w14:paraId="6D8E64B1" w14:textId="77777777" w:rsidR="007403D9" w:rsidRPr="00A92943" w:rsidRDefault="007403D9" w:rsidP="004B63D8">
      <w:pPr>
        <w:pStyle w:val="UtilComQuotationText"/>
        <w:ind w:left="1559" w:hanging="425"/>
      </w:pPr>
      <w:r w:rsidRPr="00A92943">
        <w:t>(c) a tax change event;</w:t>
      </w:r>
    </w:p>
    <w:p w14:paraId="49D87657" w14:textId="4C468947" w:rsidR="00844D08" w:rsidRDefault="007403D9" w:rsidP="004B63D8">
      <w:pPr>
        <w:pStyle w:val="UtilComQuotationText"/>
        <w:ind w:left="1559" w:hanging="425"/>
      </w:pPr>
      <w:r w:rsidRPr="00A92943">
        <w:t xml:space="preserve">(d) a </w:t>
      </w:r>
      <w:r w:rsidR="00844D08">
        <w:t>retailer insolvency</w:t>
      </w:r>
      <w:r w:rsidR="00844D08" w:rsidRPr="00A92943">
        <w:t xml:space="preserve"> </w:t>
      </w:r>
      <w:r w:rsidRPr="00A92943">
        <w:t>event</w:t>
      </w:r>
      <w:r w:rsidR="00844D08">
        <w:t>; and</w:t>
      </w:r>
    </w:p>
    <w:p w14:paraId="0AB9BCE9" w14:textId="00C439C3" w:rsidR="007403D9" w:rsidRPr="00A92943" w:rsidRDefault="00844D08" w:rsidP="00844D08">
      <w:pPr>
        <w:pStyle w:val="UtilComQuotationText"/>
        <w:ind w:left="1418" w:hanging="284"/>
      </w:pPr>
      <w:r>
        <w:t>(e) any other event specified in a distribution determination as a pass through event for the determination</w:t>
      </w:r>
      <w:r w:rsidR="007403D9" w:rsidRPr="00A92943">
        <w:t>.</w:t>
      </w:r>
    </w:p>
    <w:p w14:paraId="51181C15" w14:textId="77777777" w:rsidR="00844D08" w:rsidRPr="00844D08" w:rsidRDefault="00844D08" w:rsidP="00844D08">
      <w:pPr>
        <w:pStyle w:val="NumberLevel2"/>
        <w:numPr>
          <w:ilvl w:val="1"/>
          <w:numId w:val="5"/>
        </w:numPr>
        <w:tabs>
          <w:tab w:val="clear" w:pos="3270"/>
          <w:tab w:val="num" w:pos="709"/>
        </w:tabs>
        <w:ind w:left="709" w:hanging="709"/>
        <w:rPr>
          <w:lang w:val="en-AU"/>
        </w:rPr>
      </w:pPr>
      <w:r w:rsidRPr="00844D08">
        <w:rPr>
          <w:lang w:val="en-AU"/>
        </w:rPr>
        <w:t xml:space="preserve">A DNSP's building block proposal may include a proposal as to the 'other events' that should be defined as pass through events for the purposes of the distribution determination. In determining whether to accept additional pass through events nominated by a DNSP, the AER is required to take into account the 'nominated pass through event considerations'. </w:t>
      </w:r>
    </w:p>
    <w:p w14:paraId="24FA404D" w14:textId="77777777" w:rsidR="00844D08" w:rsidRPr="00844D08" w:rsidRDefault="00844D08" w:rsidP="00844D08">
      <w:pPr>
        <w:pStyle w:val="NumberLevel2"/>
        <w:numPr>
          <w:ilvl w:val="1"/>
          <w:numId w:val="5"/>
        </w:numPr>
        <w:tabs>
          <w:tab w:val="clear" w:pos="3270"/>
          <w:tab w:val="num" w:pos="709"/>
        </w:tabs>
        <w:ind w:left="709" w:hanging="709"/>
        <w:rPr>
          <w:lang w:val="en-AU"/>
        </w:rPr>
      </w:pPr>
      <w:r w:rsidRPr="00844D08">
        <w:rPr>
          <w:lang w:val="en-AU"/>
        </w:rPr>
        <w:t>The nominated pass through event considerations are set out in Chapter 10 of the NER as follows:</w:t>
      </w:r>
    </w:p>
    <w:p w14:paraId="2F818850" w14:textId="77777777" w:rsidR="00844D08" w:rsidRPr="00844D08" w:rsidRDefault="00844D08" w:rsidP="00844D08">
      <w:pPr>
        <w:pStyle w:val="UtilComQuotationText"/>
        <w:ind w:left="1418" w:hanging="284"/>
      </w:pPr>
      <w:r w:rsidRPr="00844D08">
        <w:t>(a)</w:t>
      </w:r>
      <w:r w:rsidRPr="00844D08">
        <w:tab/>
        <w:t>whether the event proposed is an event covered by a category of pass through event specified in clause 6.6.1(a1)(1) to(4) (in the case of a distribution determination) or clause 6A.7.3(a1)(1) to(4) (in the case of a transmission determination);</w:t>
      </w:r>
    </w:p>
    <w:p w14:paraId="175743B3" w14:textId="77777777" w:rsidR="00844D08" w:rsidRPr="00844D08" w:rsidRDefault="00844D08" w:rsidP="00844D08">
      <w:pPr>
        <w:pStyle w:val="UtilComQuotationText"/>
        <w:ind w:left="1418" w:hanging="284"/>
      </w:pPr>
      <w:r w:rsidRPr="00844D08">
        <w:t>(b)</w:t>
      </w:r>
      <w:r w:rsidRPr="00844D08">
        <w:tab/>
        <w:t>whether the nature or type of event can be clearly identified at the time the determination is made for the service provider;</w:t>
      </w:r>
    </w:p>
    <w:p w14:paraId="09CCED51" w14:textId="77777777" w:rsidR="00844D08" w:rsidRPr="00844D08" w:rsidRDefault="00844D08" w:rsidP="00844D08">
      <w:pPr>
        <w:pStyle w:val="UtilComQuotationText"/>
        <w:ind w:left="1418" w:hanging="284"/>
      </w:pPr>
      <w:r w:rsidRPr="00844D08">
        <w:t>(c)</w:t>
      </w:r>
      <w:r w:rsidRPr="00844D08">
        <w:tab/>
        <w:t>whether a prudent service provider could reasonably prevent an event of that nature or type from occurring or substantially mitigate the cost impact of such an event;</w:t>
      </w:r>
    </w:p>
    <w:p w14:paraId="15B8F440" w14:textId="77777777" w:rsidR="00844D08" w:rsidRPr="00844D08" w:rsidRDefault="00844D08" w:rsidP="00844D08">
      <w:pPr>
        <w:pStyle w:val="UtilComQuotationText"/>
        <w:ind w:left="1418" w:hanging="284"/>
      </w:pPr>
      <w:r w:rsidRPr="00844D08">
        <w:t>(d)</w:t>
      </w:r>
      <w:r w:rsidRPr="00844D08">
        <w:tab/>
        <w:t>whether the relevant service provider could insure against the event, having regard to:</w:t>
      </w:r>
    </w:p>
    <w:p w14:paraId="737EFB16" w14:textId="77777777" w:rsidR="00844D08" w:rsidRPr="00844D08" w:rsidRDefault="00844D08" w:rsidP="00C44C00">
      <w:pPr>
        <w:pStyle w:val="UtilComQuotationText"/>
        <w:ind w:left="1702" w:hanging="284"/>
      </w:pPr>
      <w:r w:rsidRPr="00844D08">
        <w:t>(1)</w:t>
      </w:r>
      <w:r w:rsidRPr="00844D08">
        <w:tab/>
        <w:t>the availability (including the extent of availability in terms of liability limits) of insurance against the event on reasonable commercial terms; or</w:t>
      </w:r>
    </w:p>
    <w:p w14:paraId="697371E7" w14:textId="77777777" w:rsidR="00844D08" w:rsidRPr="00844D08" w:rsidRDefault="00844D08" w:rsidP="00C44C00">
      <w:pPr>
        <w:pStyle w:val="UtilComQuotationText"/>
        <w:ind w:left="1702" w:hanging="284"/>
      </w:pPr>
      <w:r w:rsidRPr="00844D08">
        <w:t>(2)</w:t>
      </w:r>
      <w:r w:rsidRPr="00844D08">
        <w:tab/>
        <w:t>whether the event can be self-insured on the basis that:</w:t>
      </w:r>
    </w:p>
    <w:p w14:paraId="0CE58EF3" w14:textId="77777777" w:rsidR="00844D08" w:rsidRPr="00844D08" w:rsidRDefault="00844D08" w:rsidP="00C44C00">
      <w:pPr>
        <w:pStyle w:val="UtilComQuotationText"/>
        <w:ind w:left="1986" w:hanging="284"/>
      </w:pPr>
      <w:r w:rsidRPr="00844D08">
        <w:t>(i)</w:t>
      </w:r>
      <w:r w:rsidRPr="00844D08">
        <w:tab/>
        <w:t>it is possible to calculate the self-insurance premium; and</w:t>
      </w:r>
    </w:p>
    <w:p w14:paraId="5DA9C68F" w14:textId="77777777" w:rsidR="00844D08" w:rsidRPr="00844D08" w:rsidRDefault="00844D08" w:rsidP="00C44C00">
      <w:pPr>
        <w:pStyle w:val="UtilComQuotationText"/>
        <w:ind w:left="1986" w:hanging="284"/>
      </w:pPr>
      <w:r w:rsidRPr="00844D08">
        <w:t>(ii)</w:t>
      </w:r>
      <w:r w:rsidRPr="00844D08">
        <w:tab/>
        <w:t>the potential cost to the relevant service provider would not have a significant impact on the service provider’s ability to provide network services; and.</w:t>
      </w:r>
    </w:p>
    <w:p w14:paraId="55334453" w14:textId="77777777" w:rsidR="00844D08" w:rsidRPr="00844D08" w:rsidRDefault="00844D08" w:rsidP="00844D08">
      <w:pPr>
        <w:pStyle w:val="UtilComQuotationText"/>
        <w:ind w:left="1418" w:hanging="284"/>
      </w:pPr>
      <w:r w:rsidRPr="00844D08">
        <w:t>(e)</w:t>
      </w:r>
      <w:r w:rsidRPr="00844D08">
        <w:tab/>
        <w:t>any other matter the AER considers relevant and which the AER has notified Network Service Providers is a nominated pass through event consideration.</w:t>
      </w:r>
    </w:p>
    <w:p w14:paraId="7CEB6A3B" w14:textId="7599F202" w:rsidR="00C44C00" w:rsidRDefault="008E3DF9" w:rsidP="00C44C00">
      <w:pPr>
        <w:pStyle w:val="NumberLevel2"/>
        <w:numPr>
          <w:ilvl w:val="1"/>
          <w:numId w:val="5"/>
        </w:numPr>
        <w:tabs>
          <w:tab w:val="clear" w:pos="3270"/>
          <w:tab w:val="num" w:pos="709"/>
        </w:tabs>
        <w:ind w:left="709" w:hanging="709"/>
        <w:rPr>
          <w:lang w:val="en-AU"/>
        </w:rPr>
      </w:pPr>
      <w:r>
        <w:rPr>
          <w:lang w:val="en-AU"/>
        </w:rPr>
        <w:t>A p</w:t>
      </w:r>
      <w:r w:rsidR="007403D9" w:rsidRPr="007403D9">
        <w:rPr>
          <w:lang w:val="en-AU"/>
        </w:rPr>
        <w:t xml:space="preserve">ass through event can be </w:t>
      </w:r>
      <w:r w:rsidR="00C44C00">
        <w:rPr>
          <w:lang w:val="en-AU"/>
        </w:rPr>
        <w:t>a</w:t>
      </w:r>
      <w:r w:rsidR="00C44C00" w:rsidRPr="007403D9">
        <w:rPr>
          <w:lang w:val="en-AU"/>
        </w:rPr>
        <w:t xml:space="preserve"> </w:t>
      </w:r>
      <w:r w:rsidR="007403D9" w:rsidRPr="007403D9">
        <w:rPr>
          <w:lang w:val="en-AU"/>
        </w:rPr>
        <w:t>positive</w:t>
      </w:r>
      <w:r w:rsidR="00C44C00">
        <w:rPr>
          <w:lang w:val="en-AU"/>
        </w:rPr>
        <w:t xml:space="preserve"> pass through event</w:t>
      </w:r>
      <w:r w:rsidR="007403D9" w:rsidRPr="007403D9">
        <w:rPr>
          <w:lang w:val="en-AU"/>
        </w:rPr>
        <w:t xml:space="preserve"> </w:t>
      </w:r>
      <w:r w:rsidR="00C44C00">
        <w:rPr>
          <w:lang w:val="en-AU"/>
        </w:rPr>
        <w:t>or a</w:t>
      </w:r>
      <w:r w:rsidR="00C44C00" w:rsidRPr="007403D9">
        <w:rPr>
          <w:lang w:val="en-AU"/>
        </w:rPr>
        <w:t xml:space="preserve"> </w:t>
      </w:r>
      <w:r w:rsidR="007403D9" w:rsidRPr="007403D9">
        <w:rPr>
          <w:lang w:val="en-AU"/>
        </w:rPr>
        <w:t>negative</w:t>
      </w:r>
      <w:r w:rsidR="00C44C00">
        <w:rPr>
          <w:lang w:val="en-AU"/>
        </w:rPr>
        <w:t xml:space="preserve"> pass through event</w:t>
      </w:r>
      <w:r w:rsidR="007403D9" w:rsidRPr="007403D9">
        <w:rPr>
          <w:lang w:val="en-AU"/>
        </w:rPr>
        <w:t xml:space="preserve">. </w:t>
      </w:r>
      <w:r w:rsidR="00C44C00" w:rsidRPr="00C44C00">
        <w:rPr>
          <w:lang w:val="en-AU"/>
        </w:rPr>
        <w:t xml:space="preserve">The procedures and criteria for passing through to network distribution users an amount arising as a consequence of a positive change event or negative change event after a distribution determination is made </w:t>
      </w:r>
      <w:r>
        <w:rPr>
          <w:lang w:val="en-AU"/>
        </w:rPr>
        <w:t>are</w:t>
      </w:r>
      <w:r w:rsidR="00C44C00" w:rsidRPr="00C44C00">
        <w:rPr>
          <w:lang w:val="en-AU"/>
        </w:rPr>
        <w:t xml:space="preserve"> set out in clause 6.6.1 of the NER</w:t>
      </w:r>
      <w:r w:rsidR="001D7CF6">
        <w:rPr>
          <w:lang w:val="en-AU"/>
        </w:rPr>
        <w:t>.</w:t>
      </w:r>
    </w:p>
    <w:p w14:paraId="4C168807" w14:textId="58491C53" w:rsidR="007403D9" w:rsidRPr="007403D9" w:rsidRDefault="00C44C00" w:rsidP="00B431D0">
      <w:pPr>
        <w:pStyle w:val="NumberLevel2"/>
        <w:numPr>
          <w:ilvl w:val="1"/>
          <w:numId w:val="5"/>
        </w:numPr>
        <w:tabs>
          <w:tab w:val="clear" w:pos="3270"/>
          <w:tab w:val="num" w:pos="709"/>
        </w:tabs>
        <w:ind w:left="709" w:hanging="709"/>
        <w:rPr>
          <w:lang w:val="en-AU"/>
        </w:rPr>
      </w:pPr>
      <w:r>
        <w:rPr>
          <w:lang w:val="en-AU"/>
        </w:rPr>
        <w:t>If a</w:t>
      </w:r>
      <w:r w:rsidRPr="007403D9">
        <w:rPr>
          <w:lang w:val="en-AU"/>
        </w:rPr>
        <w:t xml:space="preserve"> </w:t>
      </w:r>
      <w:r w:rsidR="007403D9" w:rsidRPr="007403D9">
        <w:rPr>
          <w:lang w:val="en-AU"/>
        </w:rPr>
        <w:t xml:space="preserve">positive change event occurs, a DNSP may seek the </w:t>
      </w:r>
      <w:r>
        <w:rPr>
          <w:lang w:val="en-AU"/>
        </w:rPr>
        <w:t xml:space="preserve">AER’s </w:t>
      </w:r>
      <w:r w:rsidR="007403D9" w:rsidRPr="007403D9">
        <w:rPr>
          <w:lang w:val="en-AU"/>
        </w:rPr>
        <w:t xml:space="preserve">approval to pass through to distribution network users </w:t>
      </w:r>
      <w:r>
        <w:rPr>
          <w:lang w:val="en-AU"/>
        </w:rPr>
        <w:t>the increased costs arising solely as a consequence of the positive change event if that increase is material</w:t>
      </w:r>
      <w:r w:rsidR="007403D9" w:rsidRPr="007403D9">
        <w:rPr>
          <w:lang w:val="en-AU"/>
        </w:rPr>
        <w:t>.</w:t>
      </w:r>
    </w:p>
    <w:p w14:paraId="176D4A44" w14:textId="44155B30" w:rsidR="007403D9" w:rsidRDefault="00C44C00" w:rsidP="00B431D0">
      <w:pPr>
        <w:pStyle w:val="NumberLevel2"/>
        <w:numPr>
          <w:ilvl w:val="1"/>
          <w:numId w:val="5"/>
        </w:numPr>
        <w:tabs>
          <w:tab w:val="clear" w:pos="3270"/>
          <w:tab w:val="num" w:pos="709"/>
        </w:tabs>
        <w:ind w:left="709" w:hanging="709"/>
        <w:rPr>
          <w:lang w:val="en-AU"/>
        </w:rPr>
      </w:pPr>
      <w:r>
        <w:rPr>
          <w:lang w:val="en-AU"/>
        </w:rPr>
        <w:t>If a</w:t>
      </w:r>
      <w:r w:rsidRPr="007403D9">
        <w:rPr>
          <w:lang w:val="en-AU"/>
        </w:rPr>
        <w:t xml:space="preserve"> </w:t>
      </w:r>
      <w:r w:rsidR="007403D9" w:rsidRPr="007403D9">
        <w:rPr>
          <w:lang w:val="en-AU"/>
        </w:rPr>
        <w:t xml:space="preserve">negative change event occurs, a DNSP must notify the AER of </w:t>
      </w:r>
      <w:r>
        <w:rPr>
          <w:lang w:val="en-AU"/>
        </w:rPr>
        <w:t xml:space="preserve">certain matters, </w:t>
      </w:r>
      <w:r w:rsidR="007403D9" w:rsidRPr="007403D9">
        <w:rPr>
          <w:lang w:val="en-AU"/>
        </w:rPr>
        <w:t xml:space="preserve">including the details of the </w:t>
      </w:r>
      <w:r>
        <w:rPr>
          <w:lang w:val="en-AU"/>
        </w:rPr>
        <w:t xml:space="preserve">negative change </w:t>
      </w:r>
      <w:r w:rsidR="007403D9" w:rsidRPr="007403D9">
        <w:rPr>
          <w:lang w:val="en-AU"/>
        </w:rPr>
        <w:t xml:space="preserve">event and the </w:t>
      </w:r>
      <w:r>
        <w:rPr>
          <w:lang w:val="en-AU"/>
        </w:rPr>
        <w:t>costs the DNSP has saved or is likely to save</w:t>
      </w:r>
      <w:r w:rsidR="007403D9" w:rsidRPr="007403D9">
        <w:rPr>
          <w:lang w:val="en-AU"/>
        </w:rPr>
        <w:t>. After becoming aware that a negative change event has occurred</w:t>
      </w:r>
      <w:r>
        <w:rPr>
          <w:lang w:val="en-AU"/>
        </w:rPr>
        <w:t>,</w:t>
      </w:r>
      <w:r w:rsidR="007403D9" w:rsidRPr="007403D9">
        <w:rPr>
          <w:lang w:val="en-AU"/>
        </w:rPr>
        <w:t xml:space="preserve"> the AER </w:t>
      </w:r>
      <w:r>
        <w:rPr>
          <w:lang w:val="en-AU"/>
        </w:rPr>
        <w:t>will determine the amount of those savings that should be passed through to distribution network users by reference to the materiality threshold</w:t>
      </w:r>
      <w:r w:rsidR="007403D9" w:rsidRPr="007403D9">
        <w:rPr>
          <w:lang w:val="en-AU"/>
        </w:rPr>
        <w:t>.</w:t>
      </w:r>
    </w:p>
    <w:p w14:paraId="56C6BE63" w14:textId="2DE627A5" w:rsidR="007403D9" w:rsidRPr="007403D9" w:rsidRDefault="00C44C00" w:rsidP="00C44C00">
      <w:pPr>
        <w:pStyle w:val="NumberLevel2"/>
        <w:numPr>
          <w:ilvl w:val="1"/>
          <w:numId w:val="5"/>
        </w:numPr>
        <w:tabs>
          <w:tab w:val="clear" w:pos="3270"/>
          <w:tab w:val="num" w:pos="709"/>
        </w:tabs>
        <w:ind w:left="709" w:hanging="709"/>
        <w:rPr>
          <w:lang w:val="en-AU"/>
        </w:rPr>
      </w:pPr>
      <w:r w:rsidRPr="00C44C00">
        <w:rPr>
          <w:lang w:val="en-AU"/>
        </w:rPr>
        <w:t>Chapter 10 of the NER establishes a cost materiality threshold of 1</w:t>
      </w:r>
      <w:r w:rsidR="001D7CF6">
        <w:rPr>
          <w:lang w:val="en-AU"/>
        </w:rPr>
        <w:t xml:space="preserve"> per cent</w:t>
      </w:r>
      <w:r w:rsidR="001D7CF6" w:rsidRPr="00C44C00">
        <w:rPr>
          <w:lang w:val="en-AU"/>
        </w:rPr>
        <w:t xml:space="preserve"> </w:t>
      </w:r>
      <w:r w:rsidRPr="00C44C00">
        <w:rPr>
          <w:lang w:val="en-AU"/>
        </w:rPr>
        <w:t>of the annual revenue requirement for a DNSP for the purpose of the cost pass through rules</w:t>
      </w:r>
      <w:r>
        <w:rPr>
          <w:lang w:val="en-AU"/>
        </w:rPr>
        <w:t xml:space="preserve">. </w:t>
      </w:r>
    </w:p>
    <w:p w14:paraId="7BCC7568" w14:textId="156217B8" w:rsidR="00E61FD5" w:rsidRDefault="00E61FD5" w:rsidP="00A92943">
      <w:pPr>
        <w:pStyle w:val="UtilComHeading4"/>
        <w:spacing w:before="120"/>
        <w:rPr>
          <w:b/>
          <w:i w:val="0"/>
          <w:lang w:val="en-AU"/>
        </w:rPr>
      </w:pPr>
      <w:r w:rsidRPr="00A92943">
        <w:rPr>
          <w:b/>
          <w:i w:val="0"/>
          <w:lang w:val="en-AU"/>
        </w:rPr>
        <w:t xml:space="preserve">Contingent </w:t>
      </w:r>
      <w:r w:rsidR="0043071F">
        <w:rPr>
          <w:b/>
          <w:i w:val="0"/>
          <w:lang w:val="en-AU"/>
        </w:rPr>
        <w:t>P</w:t>
      </w:r>
      <w:r w:rsidR="0043071F" w:rsidRPr="00A92943">
        <w:rPr>
          <w:b/>
          <w:i w:val="0"/>
          <w:lang w:val="en-AU"/>
        </w:rPr>
        <w:t>rojects</w:t>
      </w:r>
    </w:p>
    <w:p w14:paraId="3A30A427" w14:textId="77777777" w:rsidR="00C44C00" w:rsidRDefault="00E61FD5" w:rsidP="00B431D0">
      <w:pPr>
        <w:pStyle w:val="NumberLevel2"/>
        <w:numPr>
          <w:ilvl w:val="1"/>
          <w:numId w:val="5"/>
        </w:numPr>
        <w:tabs>
          <w:tab w:val="clear" w:pos="3270"/>
        </w:tabs>
        <w:ind w:left="709" w:hanging="709"/>
        <w:rPr>
          <w:lang w:val="en-AU"/>
        </w:rPr>
      </w:pPr>
      <w:r>
        <w:rPr>
          <w:lang w:val="en-AU"/>
        </w:rPr>
        <w:t xml:space="preserve">A contingent project is </w:t>
      </w:r>
      <w:r w:rsidR="001F0A6B">
        <w:rPr>
          <w:lang w:val="en-AU"/>
        </w:rPr>
        <w:t xml:space="preserve">a project that a DNSP will be required to undertake only if a particular trigger event occurs. </w:t>
      </w:r>
    </w:p>
    <w:p w14:paraId="5D1308E9" w14:textId="77777777" w:rsidR="00C44C00" w:rsidRPr="00C44C00" w:rsidRDefault="00C44C00" w:rsidP="00C44C00">
      <w:pPr>
        <w:pStyle w:val="NumberLevel2"/>
        <w:numPr>
          <w:ilvl w:val="1"/>
          <w:numId w:val="5"/>
        </w:numPr>
        <w:tabs>
          <w:tab w:val="clear" w:pos="3270"/>
        </w:tabs>
        <w:ind w:left="709" w:hanging="709"/>
        <w:rPr>
          <w:lang w:val="en-AU"/>
        </w:rPr>
      </w:pPr>
      <w:r w:rsidRPr="00C44C00">
        <w:rPr>
          <w:lang w:val="en-AU"/>
        </w:rPr>
        <w:t>Clause 6.6A.1(a) of the NER provides that a DNSP may, in its regulatory proposal, include proposed contingent capital expenditure, which the DNSP considers is reasonably required for the purpose of undertaking a proposed contingent project.</w:t>
      </w:r>
    </w:p>
    <w:p w14:paraId="3E49C150" w14:textId="77777777" w:rsidR="00C44C00" w:rsidRPr="00C44C00" w:rsidRDefault="00C44C00" w:rsidP="00C44C00">
      <w:pPr>
        <w:pStyle w:val="NumberLevel2"/>
        <w:numPr>
          <w:ilvl w:val="1"/>
          <w:numId w:val="5"/>
        </w:numPr>
        <w:tabs>
          <w:tab w:val="clear" w:pos="3270"/>
        </w:tabs>
        <w:ind w:left="709" w:hanging="709"/>
        <w:rPr>
          <w:lang w:val="en-AU"/>
        </w:rPr>
      </w:pPr>
      <w:r w:rsidRPr="00C44C00">
        <w:rPr>
          <w:lang w:val="en-AU"/>
        </w:rPr>
        <w:t>Under clause 6.6A.1(b) of the NER, the AER is required to determine that a proposed contingent project is a contingent project for the purposes of a distribution determination if is it is satisfied that:</w:t>
      </w:r>
    </w:p>
    <w:p w14:paraId="2E89FEC4" w14:textId="77777777" w:rsidR="00C44C00" w:rsidRPr="00C44C00" w:rsidRDefault="00C44C00" w:rsidP="00C44C00">
      <w:pPr>
        <w:pStyle w:val="UtilComQuotationText"/>
        <w:ind w:left="1418" w:hanging="284"/>
      </w:pPr>
      <w:r w:rsidRPr="00C44C00">
        <w:t>(1)</w:t>
      </w:r>
      <w:r w:rsidRPr="00C44C00">
        <w:tab/>
        <w:t>the proposed contingent project is reasonably required to be undertaken in order to achieve any of the capital expenditure objectives;</w:t>
      </w:r>
    </w:p>
    <w:p w14:paraId="7EFF83D6" w14:textId="77777777" w:rsidR="00C44C00" w:rsidRPr="00C44C00" w:rsidRDefault="00C44C00" w:rsidP="00C44C00">
      <w:pPr>
        <w:pStyle w:val="UtilComQuotationText"/>
        <w:ind w:left="1418" w:hanging="284"/>
      </w:pPr>
      <w:r w:rsidRPr="00C44C00">
        <w:t>(2)</w:t>
      </w:r>
      <w:r w:rsidRPr="00C44C00">
        <w:tab/>
        <w:t>the proposed contingent capital expenditure:</w:t>
      </w:r>
    </w:p>
    <w:p w14:paraId="2B719265" w14:textId="77777777" w:rsidR="00C44C00" w:rsidRPr="00C44C00" w:rsidRDefault="00C44C00" w:rsidP="00C44C00">
      <w:pPr>
        <w:pStyle w:val="UtilComQuotationText"/>
        <w:ind w:left="1702" w:hanging="284"/>
      </w:pPr>
      <w:r w:rsidRPr="00C44C00">
        <w:t>(i)</w:t>
      </w:r>
      <w:r w:rsidRPr="00C44C00">
        <w:tab/>
        <w:t>is not otherwise provided for (either in part or in whole) in the total of the forecast capital expenditure for the relevant regulatory control period which is accepted in accordance with clause 6.5.7(c) or substituted in accordance with clause 6.12.1(3)(ii) (as the case may be);</w:t>
      </w:r>
    </w:p>
    <w:p w14:paraId="3F09E483" w14:textId="77777777" w:rsidR="00C44C00" w:rsidRPr="00C44C00" w:rsidRDefault="00C44C00" w:rsidP="00C44C00">
      <w:pPr>
        <w:pStyle w:val="UtilComQuotationText"/>
        <w:ind w:left="1702" w:hanging="284"/>
      </w:pPr>
      <w:r w:rsidRPr="00C44C00">
        <w:t>(ii)</w:t>
      </w:r>
      <w:r w:rsidRPr="00C44C00">
        <w:tab/>
        <w:t>reasonably reflects the capital expenditure criteria, taking into account the capital expenditure factors, in the context of the proposed contingent project as described in the regulatory proposal; and</w:t>
      </w:r>
    </w:p>
    <w:p w14:paraId="79905BCA" w14:textId="6F34A224" w:rsidR="00C44C00" w:rsidRPr="00C44C00" w:rsidRDefault="00C44C00" w:rsidP="00C44C00">
      <w:pPr>
        <w:pStyle w:val="UtilComQuotationText"/>
        <w:ind w:left="1702" w:hanging="284"/>
      </w:pPr>
      <w:r w:rsidRPr="00C44C00">
        <w:t>(iii)</w:t>
      </w:r>
      <w:r w:rsidRPr="00C44C00">
        <w:tab/>
        <w:t>exceeds either $30 million or 5</w:t>
      </w:r>
      <w:r w:rsidR="001D7CF6">
        <w:t xml:space="preserve"> per cent</w:t>
      </w:r>
      <w:r w:rsidRPr="00C44C00">
        <w:t xml:space="preserve"> of the value of the annual revenue requirement for the relevant Distribution Network Service Provider for the first year of the relevant regulatory control period, whichever is the larger amount;</w:t>
      </w:r>
    </w:p>
    <w:p w14:paraId="321E4B4C" w14:textId="77777777" w:rsidR="00C44C00" w:rsidRPr="00C44C00" w:rsidRDefault="00C44C00" w:rsidP="00C44C00">
      <w:pPr>
        <w:pStyle w:val="UtilComQuotationText"/>
        <w:ind w:left="1418" w:hanging="284"/>
      </w:pPr>
      <w:r w:rsidRPr="00C44C00">
        <w:t>(3)</w:t>
      </w:r>
      <w:r w:rsidRPr="00C44C00">
        <w:tab/>
        <w:t>the proposed contingent project and the proposed contingent capital expenditure, as described or set out in the regulatory proposal, and the information provided in relation to these matters, complies with the relevant requirements of any relevant regulatory information instrument; and</w:t>
      </w:r>
    </w:p>
    <w:p w14:paraId="4F3B6046" w14:textId="77777777" w:rsidR="00C44C00" w:rsidRPr="00C44C00" w:rsidRDefault="00C44C00" w:rsidP="00C44C00">
      <w:pPr>
        <w:pStyle w:val="UtilComQuotationText"/>
        <w:ind w:left="1418" w:hanging="284"/>
      </w:pPr>
      <w:r w:rsidRPr="00C44C00">
        <w:t>(4)</w:t>
      </w:r>
      <w:r w:rsidRPr="00C44C00">
        <w:tab/>
        <w:t>the trigger events in relation to the proposed contingent project which are proposed by the Distribution Network Service Provider in its regulatory proposal are appropriate.</w:t>
      </w:r>
    </w:p>
    <w:p w14:paraId="33E94A14" w14:textId="77777777" w:rsidR="00C44C00" w:rsidRPr="00C44C00" w:rsidRDefault="00C44C00" w:rsidP="00C44C00">
      <w:pPr>
        <w:pStyle w:val="NumberLevel2"/>
        <w:numPr>
          <w:ilvl w:val="1"/>
          <w:numId w:val="5"/>
        </w:numPr>
        <w:tabs>
          <w:tab w:val="clear" w:pos="3270"/>
        </w:tabs>
        <w:ind w:left="709" w:hanging="709"/>
        <w:rPr>
          <w:lang w:val="en-AU"/>
        </w:rPr>
      </w:pPr>
      <w:r w:rsidRPr="00C44C00">
        <w:rPr>
          <w:lang w:val="en-AU"/>
        </w:rPr>
        <w:t>The NER also sets out a number of specific factors that the AER must have regard to in determining whether a trigger event in relation to a proposed contingent project is appropriate.</w:t>
      </w:r>
    </w:p>
    <w:p w14:paraId="6DC11DE0" w14:textId="70FF1E3D" w:rsidR="001F0A6B" w:rsidRPr="007403D9" w:rsidRDefault="001F0A6B" w:rsidP="00B431D0">
      <w:pPr>
        <w:pStyle w:val="NumberLevel2"/>
        <w:numPr>
          <w:ilvl w:val="1"/>
          <w:numId w:val="5"/>
        </w:numPr>
        <w:tabs>
          <w:tab w:val="clear" w:pos="3270"/>
        </w:tabs>
        <w:ind w:left="709" w:hanging="709"/>
        <w:rPr>
          <w:lang w:val="en-AU"/>
        </w:rPr>
      </w:pPr>
      <w:r w:rsidRPr="007403D9">
        <w:rPr>
          <w:lang w:val="en-AU"/>
        </w:rPr>
        <w:t>Clause 6.6</w:t>
      </w:r>
      <w:r>
        <w:rPr>
          <w:lang w:val="en-AU"/>
        </w:rPr>
        <w:t>A</w:t>
      </w:r>
      <w:r w:rsidRPr="007403D9">
        <w:rPr>
          <w:lang w:val="en-AU"/>
        </w:rPr>
        <w:t>.</w:t>
      </w:r>
      <w:r w:rsidR="00C44C00">
        <w:rPr>
          <w:lang w:val="en-AU"/>
        </w:rPr>
        <w:t>2</w:t>
      </w:r>
      <w:r w:rsidR="00C44C00" w:rsidRPr="007403D9">
        <w:rPr>
          <w:lang w:val="en-AU"/>
        </w:rPr>
        <w:t xml:space="preserve"> </w:t>
      </w:r>
      <w:r w:rsidRPr="007403D9">
        <w:rPr>
          <w:lang w:val="en-AU"/>
        </w:rPr>
        <w:t xml:space="preserve">of the NER outlines the procedure for </w:t>
      </w:r>
      <w:r>
        <w:rPr>
          <w:lang w:val="en-AU"/>
        </w:rPr>
        <w:t>amending a distribution determination for a contingent project</w:t>
      </w:r>
      <w:r w:rsidR="00C44C00">
        <w:rPr>
          <w:lang w:val="en-AU"/>
        </w:rPr>
        <w:t xml:space="preserve"> if the trigger event for that contingent project occurs</w:t>
      </w:r>
      <w:r w:rsidRPr="007403D9">
        <w:rPr>
          <w:lang w:val="en-AU"/>
        </w:rPr>
        <w:t>.</w:t>
      </w:r>
    </w:p>
    <w:p w14:paraId="5F8EFD81" w14:textId="6FFF59FF" w:rsidR="00C44C00" w:rsidRPr="00C44C00" w:rsidRDefault="00C44C00" w:rsidP="00C44C00">
      <w:pPr>
        <w:pStyle w:val="UtilComHeading4"/>
        <w:spacing w:before="120"/>
        <w:rPr>
          <w:b/>
          <w:i w:val="0"/>
          <w:lang w:val="en-AU"/>
        </w:rPr>
      </w:pPr>
      <w:r w:rsidRPr="00C44C00">
        <w:rPr>
          <w:b/>
          <w:i w:val="0"/>
          <w:lang w:val="en-AU"/>
        </w:rPr>
        <w:t>Reopening of 2014 Network Price Determination for unexpected capex</w:t>
      </w:r>
    </w:p>
    <w:p w14:paraId="6466C540" w14:textId="513D370A" w:rsidR="00C44C00" w:rsidRPr="00C44C00" w:rsidRDefault="00C44C00" w:rsidP="00C44C00">
      <w:pPr>
        <w:pStyle w:val="ListParagraph"/>
        <w:numPr>
          <w:ilvl w:val="1"/>
          <w:numId w:val="5"/>
        </w:numPr>
        <w:tabs>
          <w:tab w:val="clear" w:pos="3270"/>
          <w:tab w:val="num" w:pos="709"/>
        </w:tabs>
        <w:ind w:left="709" w:hanging="709"/>
        <w:rPr>
          <w:lang w:val="en-AU"/>
        </w:rPr>
      </w:pPr>
      <w:r w:rsidRPr="00C44C00">
        <w:rPr>
          <w:lang w:val="en-AU"/>
        </w:rPr>
        <w:t>Clause 6.6.5 of the NER allows the AER to reopen a distribution determination where an event beyond the reasonable control of a DNSP occurs during a regulatory control period that could not have been foreseen at the time of making the distribution determination, no forecast capital expenditure was included in the distribution determination by the AER on account of that event and a number of other criteria are satisfied.</w:t>
      </w:r>
    </w:p>
    <w:p w14:paraId="3451AAF0" w14:textId="74BDD518" w:rsidR="00074946" w:rsidRPr="00FA7D1F" w:rsidRDefault="00074946" w:rsidP="00C44C00">
      <w:pPr>
        <w:pStyle w:val="UtilComHeading3"/>
      </w:pPr>
      <w:r>
        <w:t xml:space="preserve">Framework </w:t>
      </w:r>
      <w:r w:rsidR="00C44C00">
        <w:t>Statement</w:t>
      </w:r>
    </w:p>
    <w:p w14:paraId="3C179679" w14:textId="34754D21" w:rsidR="00074946" w:rsidRPr="00074946" w:rsidRDefault="00074946" w:rsidP="00B431D0">
      <w:pPr>
        <w:pStyle w:val="ListParagraph"/>
        <w:numPr>
          <w:ilvl w:val="1"/>
          <w:numId w:val="5"/>
        </w:numPr>
        <w:tabs>
          <w:tab w:val="clear" w:pos="3270"/>
          <w:tab w:val="num" w:pos="709"/>
        </w:tabs>
        <w:ind w:left="709" w:hanging="709"/>
        <w:rPr>
          <w:lang w:val="en-AU"/>
        </w:rPr>
      </w:pPr>
      <w:r w:rsidRPr="00C8408A">
        <w:rPr>
          <w:lang w:val="en-AU"/>
        </w:rPr>
        <w:t xml:space="preserve">In its Framework </w:t>
      </w:r>
      <w:r>
        <w:rPr>
          <w:lang w:val="en-AU"/>
        </w:rPr>
        <w:t>Statement</w:t>
      </w:r>
      <w:r w:rsidRPr="00C8408A">
        <w:rPr>
          <w:lang w:val="en-AU"/>
        </w:rPr>
        <w:t xml:space="preserve">, the Commission </w:t>
      </w:r>
      <w:r w:rsidR="00A527A3">
        <w:rPr>
          <w:lang w:val="en-AU"/>
        </w:rPr>
        <w:t>stated that</w:t>
      </w:r>
      <w:r w:rsidRPr="00C8408A">
        <w:rPr>
          <w:lang w:val="en-AU"/>
        </w:rPr>
        <w:t xml:space="preserve"> its preferred approach </w:t>
      </w:r>
      <w:r w:rsidR="00A527A3">
        <w:rPr>
          <w:lang w:val="en-AU"/>
        </w:rPr>
        <w:t>was to</w:t>
      </w:r>
      <w:r w:rsidRPr="00074946">
        <w:rPr>
          <w:lang w:val="en-AU"/>
        </w:rPr>
        <w:t xml:space="preserve"> adopt the same list of allowable pass through events as applied </w:t>
      </w:r>
      <w:r w:rsidR="00A527A3">
        <w:rPr>
          <w:lang w:val="en-AU"/>
        </w:rPr>
        <w:t>in</w:t>
      </w:r>
      <w:r w:rsidR="00A527A3" w:rsidRPr="00074946">
        <w:rPr>
          <w:lang w:val="en-AU"/>
        </w:rPr>
        <w:t xml:space="preserve"> </w:t>
      </w:r>
      <w:r w:rsidRPr="00074946">
        <w:rPr>
          <w:lang w:val="en-AU"/>
        </w:rPr>
        <w:t xml:space="preserve">the </w:t>
      </w:r>
      <w:r w:rsidR="00D83DD0">
        <w:rPr>
          <w:lang w:val="en-AU"/>
        </w:rPr>
        <w:t>2009</w:t>
      </w:r>
      <w:r w:rsidR="001D7CF6">
        <w:rPr>
          <w:lang w:val="en-AU"/>
        </w:rPr>
        <w:t> </w:t>
      </w:r>
      <w:r w:rsidR="00D83DD0">
        <w:rPr>
          <w:lang w:val="en-AU"/>
        </w:rPr>
        <w:t>Network Price Determination</w:t>
      </w:r>
      <w:r>
        <w:rPr>
          <w:lang w:val="en-AU"/>
        </w:rPr>
        <w:t>,</w:t>
      </w:r>
      <w:r w:rsidRPr="00074946">
        <w:rPr>
          <w:lang w:val="en-AU"/>
        </w:rPr>
        <w:t xml:space="preserve"> but w</w:t>
      </w:r>
      <w:r>
        <w:rPr>
          <w:lang w:val="en-AU"/>
        </w:rPr>
        <w:t>ould</w:t>
      </w:r>
      <w:r w:rsidRPr="00074946">
        <w:rPr>
          <w:lang w:val="en-AU"/>
        </w:rPr>
        <w:t xml:space="preserve"> follow the processes and have regard to the factors set out in clause 6.6.1 of the NER when determining whether a particular cost pass through event </w:t>
      </w:r>
      <w:r w:rsidR="00A527A3">
        <w:rPr>
          <w:lang w:val="en-AU"/>
        </w:rPr>
        <w:t>had</w:t>
      </w:r>
      <w:r w:rsidR="00A527A3" w:rsidRPr="00074946">
        <w:rPr>
          <w:lang w:val="en-AU"/>
        </w:rPr>
        <w:t xml:space="preserve"> </w:t>
      </w:r>
      <w:r w:rsidRPr="00074946">
        <w:rPr>
          <w:lang w:val="en-AU"/>
        </w:rPr>
        <w:t xml:space="preserve">occurred. </w:t>
      </w:r>
    </w:p>
    <w:p w14:paraId="6FF47F43" w14:textId="49F376FB" w:rsidR="00074946" w:rsidRPr="00074946" w:rsidRDefault="00074946" w:rsidP="00B431D0">
      <w:pPr>
        <w:pStyle w:val="ListParagraph"/>
        <w:numPr>
          <w:ilvl w:val="1"/>
          <w:numId w:val="5"/>
        </w:numPr>
        <w:tabs>
          <w:tab w:val="clear" w:pos="3270"/>
          <w:tab w:val="num" w:pos="709"/>
        </w:tabs>
        <w:ind w:left="709" w:hanging="709"/>
        <w:rPr>
          <w:lang w:val="en-AU"/>
        </w:rPr>
      </w:pPr>
      <w:r w:rsidRPr="00074946">
        <w:rPr>
          <w:lang w:val="en-AU"/>
        </w:rPr>
        <w:t xml:space="preserve">The Commission </w:t>
      </w:r>
      <w:r w:rsidR="00902800">
        <w:rPr>
          <w:lang w:val="en-AU"/>
        </w:rPr>
        <w:t>also proposed to adop</w:t>
      </w:r>
      <w:r w:rsidRPr="00074946">
        <w:rPr>
          <w:lang w:val="en-AU"/>
        </w:rPr>
        <w:t>t the AER’s materiality thresholds</w:t>
      </w:r>
      <w:r w:rsidR="002A24BC">
        <w:rPr>
          <w:lang w:val="en-AU"/>
        </w:rPr>
        <w:t xml:space="preserve"> for pass through events</w:t>
      </w:r>
      <w:r w:rsidRPr="00074946">
        <w:rPr>
          <w:lang w:val="en-AU"/>
        </w:rPr>
        <w:t>.</w:t>
      </w:r>
    </w:p>
    <w:p w14:paraId="11C32F58" w14:textId="0EFAB618" w:rsidR="00855EC3" w:rsidRDefault="00855EC3" w:rsidP="00855EC3">
      <w:pPr>
        <w:pStyle w:val="UtilComHeading2"/>
      </w:pPr>
      <w:bookmarkStart w:id="273" w:name="_Toc385241559"/>
      <w:bookmarkStart w:id="274" w:name="_Toc386013112"/>
      <w:r>
        <w:t>PWC Networks</w:t>
      </w:r>
      <w:r w:rsidR="00D624BF">
        <w:t>’</w:t>
      </w:r>
      <w:r>
        <w:t xml:space="preserve"> </w:t>
      </w:r>
      <w:r w:rsidR="001D7CF6">
        <w:t xml:space="preserve">Initial Regulatory </w:t>
      </w:r>
      <w:bookmarkEnd w:id="273"/>
      <w:r w:rsidR="001D7CF6">
        <w:t>Proposal</w:t>
      </w:r>
      <w:bookmarkEnd w:id="274"/>
    </w:p>
    <w:p w14:paraId="07FBFC25" w14:textId="718BB496" w:rsidR="000964EE" w:rsidRPr="000964EE" w:rsidRDefault="000964EE" w:rsidP="00B431D0">
      <w:pPr>
        <w:pStyle w:val="NumberLevel2"/>
        <w:numPr>
          <w:ilvl w:val="1"/>
          <w:numId w:val="5"/>
        </w:numPr>
        <w:ind w:left="709" w:hanging="709"/>
        <w:rPr>
          <w:lang w:val="en-AU"/>
        </w:rPr>
      </w:pPr>
      <w:r w:rsidRPr="000964EE">
        <w:rPr>
          <w:lang w:val="en-AU"/>
        </w:rPr>
        <w:t xml:space="preserve">PWC </w:t>
      </w:r>
      <w:r w:rsidR="001652BB">
        <w:rPr>
          <w:lang w:val="en-AU"/>
        </w:rPr>
        <w:t xml:space="preserve">Networks </w:t>
      </w:r>
      <w:r w:rsidRPr="000964EE">
        <w:rPr>
          <w:lang w:val="en-AU"/>
        </w:rPr>
        <w:t xml:space="preserve">noted that the Commission decided to adopt the same set of pass through provisions for the </w:t>
      </w:r>
      <w:r w:rsidR="007669D5">
        <w:rPr>
          <w:lang w:val="en-AU"/>
        </w:rPr>
        <w:t>2014-19</w:t>
      </w:r>
      <w:r w:rsidR="007669D5" w:rsidRPr="000964EE">
        <w:rPr>
          <w:lang w:val="en-AU"/>
        </w:rPr>
        <w:t xml:space="preserve"> </w:t>
      </w:r>
      <w:r w:rsidRPr="000964EE">
        <w:rPr>
          <w:lang w:val="en-AU"/>
        </w:rPr>
        <w:t xml:space="preserve">regulatory control period as it adopted </w:t>
      </w:r>
      <w:r w:rsidR="00A527A3">
        <w:rPr>
          <w:lang w:val="en-AU"/>
        </w:rPr>
        <w:t>for the 2009-14 regulatory control period</w:t>
      </w:r>
      <w:r w:rsidRPr="000964EE">
        <w:rPr>
          <w:lang w:val="en-AU"/>
        </w:rPr>
        <w:t xml:space="preserve">, namely extraordinary events that were a consequence of change in tax or insurance events, force majeure events, regulatory compliance events, service standard events or such other events that satisfied the conditions that the occurrence </w:t>
      </w:r>
      <w:r w:rsidR="008E3DF9">
        <w:rPr>
          <w:lang w:val="en-AU"/>
        </w:rPr>
        <w:t xml:space="preserve">of which </w:t>
      </w:r>
      <w:r w:rsidRPr="000964EE">
        <w:rPr>
          <w:lang w:val="en-AU"/>
        </w:rPr>
        <w:t xml:space="preserve">was not anticipated at the time of the preceding determination or was not a result of the actions of PWC’s Board or management or the decisions of the </w:t>
      </w:r>
      <w:r w:rsidR="0030167B">
        <w:rPr>
          <w:lang w:val="en-AU"/>
        </w:rPr>
        <w:t xml:space="preserve">Territory </w:t>
      </w:r>
      <w:r w:rsidRPr="000964EE">
        <w:rPr>
          <w:lang w:val="en-AU"/>
        </w:rPr>
        <w:t>Government in its capacity as owner or shareholder or guarantor of PWC.</w:t>
      </w:r>
    </w:p>
    <w:p w14:paraId="6904BB41" w14:textId="41F5CCA0" w:rsidR="001652BB" w:rsidRDefault="000964EE" w:rsidP="00B431D0">
      <w:pPr>
        <w:pStyle w:val="NumberLevel2"/>
        <w:numPr>
          <w:ilvl w:val="1"/>
          <w:numId w:val="5"/>
        </w:numPr>
        <w:ind w:left="709" w:hanging="709"/>
        <w:rPr>
          <w:lang w:val="en-AU"/>
        </w:rPr>
      </w:pPr>
      <w:r w:rsidRPr="000964EE">
        <w:rPr>
          <w:lang w:val="en-AU"/>
        </w:rPr>
        <w:t xml:space="preserve">PWC </w:t>
      </w:r>
      <w:r w:rsidR="001652BB">
        <w:rPr>
          <w:lang w:val="en-AU"/>
        </w:rPr>
        <w:t xml:space="preserve">Networks </w:t>
      </w:r>
      <w:r w:rsidR="00A527A3">
        <w:rPr>
          <w:lang w:val="en-AU"/>
        </w:rPr>
        <w:t xml:space="preserve">also </w:t>
      </w:r>
      <w:r w:rsidRPr="000964EE">
        <w:rPr>
          <w:lang w:val="en-AU"/>
        </w:rPr>
        <w:t xml:space="preserve">noted </w:t>
      </w:r>
      <w:r w:rsidR="00A527A3">
        <w:rPr>
          <w:lang w:val="en-AU"/>
        </w:rPr>
        <w:t>that</w:t>
      </w:r>
      <w:r w:rsidR="00A527A3" w:rsidRPr="000964EE">
        <w:rPr>
          <w:lang w:val="en-AU"/>
        </w:rPr>
        <w:t xml:space="preserve"> </w:t>
      </w:r>
      <w:r w:rsidRPr="000964EE">
        <w:rPr>
          <w:lang w:val="en-AU"/>
        </w:rPr>
        <w:t xml:space="preserve">the </w:t>
      </w:r>
      <w:r w:rsidR="001652BB">
        <w:rPr>
          <w:lang w:val="en-AU"/>
        </w:rPr>
        <w:t xml:space="preserve">Commission proposed to adopt the AER’s </w:t>
      </w:r>
      <w:r w:rsidRPr="000964EE">
        <w:rPr>
          <w:lang w:val="en-AU"/>
        </w:rPr>
        <w:t>materiality threshold</w:t>
      </w:r>
      <w:r w:rsidR="001652BB">
        <w:rPr>
          <w:lang w:val="en-AU"/>
        </w:rPr>
        <w:t xml:space="preserve">. It </w:t>
      </w:r>
      <w:r w:rsidRPr="000964EE">
        <w:rPr>
          <w:lang w:val="en-AU"/>
        </w:rPr>
        <w:t>proposed to clarify the Commission’s adoption of the AER’s definition of the threshold</w:t>
      </w:r>
      <w:r w:rsidR="001652BB">
        <w:rPr>
          <w:lang w:val="en-AU"/>
        </w:rPr>
        <w:t xml:space="preserve"> by expressing </w:t>
      </w:r>
      <w:r w:rsidR="00A527A3">
        <w:rPr>
          <w:lang w:val="en-AU"/>
        </w:rPr>
        <w:t>it</w:t>
      </w:r>
      <w:r w:rsidR="001652BB">
        <w:rPr>
          <w:lang w:val="en-AU"/>
        </w:rPr>
        <w:t xml:space="preserve"> in the following way:</w:t>
      </w:r>
    </w:p>
    <w:p w14:paraId="7590A612" w14:textId="77777777" w:rsidR="001652BB" w:rsidRPr="00CA40DF" w:rsidRDefault="001652BB" w:rsidP="004B63D8">
      <w:pPr>
        <w:pStyle w:val="UtilComQuotationText"/>
        <w:ind w:left="1134"/>
      </w:pPr>
      <w:r w:rsidRPr="00CA40DF">
        <w:t>Operating costs: an additional cost of 1 per cent of the smoothed forecast revenue</w:t>
      </w:r>
      <w:r w:rsidR="00CA40DF" w:rsidRPr="00CA40DF">
        <w:t xml:space="preserve"> specified in the Commission’s final decision in the years of the regulatory control period that the costs are incurred; and</w:t>
      </w:r>
    </w:p>
    <w:p w14:paraId="493FEB3D" w14:textId="77777777" w:rsidR="00CA40DF" w:rsidRPr="00CA40DF" w:rsidRDefault="00CA40DF" w:rsidP="004B63D8">
      <w:pPr>
        <w:pStyle w:val="UtilComQuotationText"/>
        <w:ind w:left="1134"/>
      </w:pPr>
      <w:r w:rsidRPr="00CA40DF">
        <w:t>Capital costs: where the cost to provide the return on and return of the additional capital using the WACC of the Commission’s final decision and linear depreciation of the asset over its service life exceeds 1 per cent of the smoothed forecast revenue specified in the Commission’s final decision in the years of the regulatory control period that the costs are incurred</w:t>
      </w:r>
      <w:r>
        <w:t>. (page.149)</w:t>
      </w:r>
    </w:p>
    <w:p w14:paraId="34304FD0" w14:textId="64CB44E9" w:rsidR="000964EE" w:rsidRPr="000964EE" w:rsidRDefault="000964EE" w:rsidP="00B431D0">
      <w:pPr>
        <w:pStyle w:val="NumberLevel2"/>
        <w:numPr>
          <w:ilvl w:val="1"/>
          <w:numId w:val="5"/>
        </w:numPr>
        <w:ind w:left="709" w:hanging="709"/>
        <w:rPr>
          <w:lang w:val="en-AU"/>
        </w:rPr>
      </w:pPr>
      <w:r w:rsidRPr="000964EE">
        <w:rPr>
          <w:lang w:val="en-AU"/>
        </w:rPr>
        <w:t xml:space="preserve">PWC proposed </w:t>
      </w:r>
      <w:r w:rsidR="00A527A3">
        <w:rPr>
          <w:lang w:val="en-AU"/>
        </w:rPr>
        <w:t xml:space="preserve">that the following events should be </w:t>
      </w:r>
      <w:r w:rsidRPr="000964EE">
        <w:rPr>
          <w:lang w:val="en-AU"/>
        </w:rPr>
        <w:t>additional pass through events</w:t>
      </w:r>
      <w:r w:rsidR="00A527A3">
        <w:rPr>
          <w:lang w:val="en-AU"/>
        </w:rPr>
        <w:t>:</w:t>
      </w:r>
      <w:r w:rsidRPr="000964EE">
        <w:rPr>
          <w:lang w:val="en-AU"/>
        </w:rPr>
        <w:t xml:space="preserve"> </w:t>
      </w:r>
    </w:p>
    <w:p w14:paraId="3C72B16F" w14:textId="77777777" w:rsidR="000964EE" w:rsidRPr="0025706B" w:rsidRDefault="000964EE" w:rsidP="00B431D0">
      <w:pPr>
        <w:pStyle w:val="UtilComBulletText"/>
        <w:tabs>
          <w:tab w:val="clear" w:pos="964"/>
          <w:tab w:val="num" w:pos="1134"/>
        </w:tabs>
        <w:ind w:left="1134" w:hanging="425"/>
      </w:pPr>
      <w:r w:rsidRPr="0025706B">
        <w:t>cha</w:t>
      </w:r>
      <w:r w:rsidR="0025706B">
        <w:t>nge in insurance and tax events;</w:t>
      </w:r>
    </w:p>
    <w:p w14:paraId="170DC51F" w14:textId="77777777" w:rsidR="000964EE" w:rsidRPr="0025706B" w:rsidRDefault="000964EE" w:rsidP="00B431D0">
      <w:pPr>
        <w:pStyle w:val="UtilComBulletText"/>
        <w:tabs>
          <w:tab w:val="clear" w:pos="964"/>
          <w:tab w:val="num" w:pos="1134"/>
        </w:tabs>
        <w:ind w:left="1134" w:hanging="425"/>
      </w:pPr>
      <w:r w:rsidRPr="0025706B">
        <w:t>a retailer insolvency event</w:t>
      </w:r>
      <w:r w:rsidR="0025706B">
        <w:t>;</w:t>
      </w:r>
      <w:r w:rsidRPr="0025706B">
        <w:t xml:space="preserve"> and</w:t>
      </w:r>
    </w:p>
    <w:p w14:paraId="064FE8EB" w14:textId="77777777" w:rsidR="000964EE" w:rsidRPr="0025706B" w:rsidRDefault="000964EE" w:rsidP="00B431D0">
      <w:pPr>
        <w:pStyle w:val="UtilComBulletText"/>
        <w:tabs>
          <w:tab w:val="clear" w:pos="964"/>
          <w:tab w:val="num" w:pos="1134"/>
        </w:tabs>
        <w:ind w:left="1134" w:hanging="425"/>
      </w:pPr>
      <w:r w:rsidRPr="0025706B">
        <w:t>a major network augmentation event.</w:t>
      </w:r>
    </w:p>
    <w:p w14:paraId="42A72AC1" w14:textId="50D608ED" w:rsidR="00855EC3" w:rsidRDefault="00855EC3" w:rsidP="00855EC3">
      <w:pPr>
        <w:pStyle w:val="UtilComHeading2"/>
      </w:pPr>
      <w:bookmarkStart w:id="275" w:name="_Toc385241560"/>
      <w:bookmarkStart w:id="276" w:name="_Toc386013113"/>
      <w:r>
        <w:t>Submissions</w:t>
      </w:r>
      <w:r w:rsidR="00CF0A04">
        <w:t xml:space="preserve"> on </w:t>
      </w:r>
      <w:r w:rsidR="0043071F">
        <w:t xml:space="preserve">Initial Regulatory </w:t>
      </w:r>
      <w:bookmarkEnd w:id="275"/>
      <w:r w:rsidR="0043071F">
        <w:t>Proposal</w:t>
      </w:r>
      <w:bookmarkEnd w:id="276"/>
    </w:p>
    <w:p w14:paraId="22200E79" w14:textId="7B18E1EF" w:rsidR="000964EE" w:rsidRDefault="008E3DF9" w:rsidP="00B431D0">
      <w:pPr>
        <w:pStyle w:val="NumberLevel2"/>
        <w:numPr>
          <w:ilvl w:val="1"/>
          <w:numId w:val="5"/>
        </w:numPr>
        <w:ind w:left="709" w:hanging="709"/>
        <w:rPr>
          <w:lang w:val="en-AU"/>
        </w:rPr>
      </w:pPr>
      <w:r>
        <w:rPr>
          <w:lang w:val="en-AU"/>
        </w:rPr>
        <w:t xml:space="preserve">The </w:t>
      </w:r>
      <w:r w:rsidR="000964EE" w:rsidRPr="000964EE">
        <w:rPr>
          <w:lang w:val="en-AU"/>
        </w:rPr>
        <w:t xml:space="preserve">NTMEU expressed concerns </w:t>
      </w:r>
      <w:r w:rsidR="00274F90">
        <w:rPr>
          <w:lang w:val="en-AU"/>
        </w:rPr>
        <w:t>that</w:t>
      </w:r>
      <w:r w:rsidR="00274F90" w:rsidRPr="000964EE">
        <w:rPr>
          <w:lang w:val="en-AU"/>
        </w:rPr>
        <w:t xml:space="preserve"> </w:t>
      </w:r>
      <w:r w:rsidR="000964EE" w:rsidRPr="000964EE">
        <w:rPr>
          <w:lang w:val="en-AU"/>
        </w:rPr>
        <w:t xml:space="preserve">the pass through provisions sought </w:t>
      </w:r>
      <w:r w:rsidR="00274F90">
        <w:rPr>
          <w:lang w:val="en-AU"/>
        </w:rPr>
        <w:t>by PWC Networks exceeded</w:t>
      </w:r>
      <w:r w:rsidR="000964EE" w:rsidRPr="000964EE">
        <w:rPr>
          <w:lang w:val="en-AU"/>
        </w:rPr>
        <w:t xml:space="preserve"> those allowed </w:t>
      </w:r>
      <w:r w:rsidR="00274F90">
        <w:rPr>
          <w:lang w:val="en-AU"/>
        </w:rPr>
        <w:t xml:space="preserve">by the Commission </w:t>
      </w:r>
      <w:r w:rsidR="000964EE" w:rsidRPr="000964EE">
        <w:rPr>
          <w:lang w:val="en-AU"/>
        </w:rPr>
        <w:t xml:space="preserve">in </w:t>
      </w:r>
      <w:r w:rsidR="00CA40DF">
        <w:rPr>
          <w:lang w:val="en-AU"/>
        </w:rPr>
        <w:t>the</w:t>
      </w:r>
      <w:r w:rsidR="00CA40DF" w:rsidRPr="000964EE">
        <w:rPr>
          <w:lang w:val="en-AU"/>
        </w:rPr>
        <w:t xml:space="preserve"> </w:t>
      </w:r>
      <w:r w:rsidR="00D83DD0">
        <w:rPr>
          <w:lang w:val="en-AU"/>
        </w:rPr>
        <w:t>2009 Network Price Determination</w:t>
      </w:r>
      <w:r w:rsidR="00274F90">
        <w:rPr>
          <w:lang w:val="en-AU"/>
        </w:rPr>
        <w:t>.</w:t>
      </w:r>
      <w:r w:rsidR="005276EC">
        <w:rPr>
          <w:lang w:val="en-AU"/>
        </w:rPr>
        <w:t xml:space="preserve"> </w:t>
      </w:r>
      <w:r w:rsidR="00274F90">
        <w:rPr>
          <w:lang w:val="en-AU"/>
        </w:rPr>
        <w:t>T</w:t>
      </w:r>
      <w:r w:rsidR="000964EE" w:rsidRPr="000964EE">
        <w:rPr>
          <w:lang w:val="en-AU"/>
        </w:rPr>
        <w:t xml:space="preserve">he proposed additional pass through events sought </w:t>
      </w:r>
      <w:r w:rsidR="00CA40DF">
        <w:rPr>
          <w:lang w:val="en-AU"/>
        </w:rPr>
        <w:t xml:space="preserve">by PWC Networks </w:t>
      </w:r>
      <w:r w:rsidR="000964EE" w:rsidRPr="000964EE">
        <w:rPr>
          <w:lang w:val="en-AU"/>
        </w:rPr>
        <w:t xml:space="preserve">for the </w:t>
      </w:r>
      <w:r w:rsidR="007669D5">
        <w:rPr>
          <w:lang w:val="en-AU"/>
        </w:rPr>
        <w:t>2014-19</w:t>
      </w:r>
      <w:r w:rsidR="007669D5" w:rsidRPr="000964EE">
        <w:rPr>
          <w:lang w:val="en-AU"/>
        </w:rPr>
        <w:t xml:space="preserve"> </w:t>
      </w:r>
      <w:r w:rsidR="000964EE" w:rsidRPr="000964EE">
        <w:rPr>
          <w:lang w:val="en-AU"/>
        </w:rPr>
        <w:t xml:space="preserve">regulatory </w:t>
      </w:r>
      <w:r w:rsidR="001F0FFB">
        <w:rPr>
          <w:lang w:val="en-AU"/>
        </w:rPr>
        <w:t xml:space="preserve">control </w:t>
      </w:r>
      <w:r w:rsidR="000964EE" w:rsidRPr="000964EE">
        <w:rPr>
          <w:lang w:val="en-AU"/>
        </w:rPr>
        <w:t>period would have the effect of reducing the risk</w:t>
      </w:r>
      <w:r w:rsidR="00274F90">
        <w:rPr>
          <w:lang w:val="en-AU"/>
        </w:rPr>
        <w:t>s</w:t>
      </w:r>
      <w:r w:rsidR="000964EE" w:rsidRPr="000964EE">
        <w:rPr>
          <w:lang w:val="en-AU"/>
        </w:rPr>
        <w:t xml:space="preserve"> </w:t>
      </w:r>
      <w:r w:rsidR="00CA40DF">
        <w:rPr>
          <w:lang w:val="en-AU"/>
        </w:rPr>
        <w:t xml:space="preserve">it </w:t>
      </w:r>
      <w:r w:rsidR="000964EE" w:rsidRPr="000964EE">
        <w:rPr>
          <w:lang w:val="en-AU"/>
        </w:rPr>
        <w:t>faced</w:t>
      </w:r>
      <w:r w:rsidR="00CA40DF">
        <w:rPr>
          <w:lang w:val="en-AU"/>
        </w:rPr>
        <w:t>.</w:t>
      </w:r>
      <w:r w:rsidR="000964EE" w:rsidRPr="000964EE">
        <w:rPr>
          <w:lang w:val="en-AU"/>
        </w:rPr>
        <w:t xml:space="preserve"> </w:t>
      </w:r>
      <w:r w:rsidR="00CA40DF">
        <w:rPr>
          <w:lang w:val="en-AU"/>
        </w:rPr>
        <w:t>C</w:t>
      </w:r>
      <w:r w:rsidR="000964EE" w:rsidRPr="000964EE">
        <w:rPr>
          <w:lang w:val="en-AU"/>
        </w:rPr>
        <w:t xml:space="preserve">onsequently, if the Commission allowed those pass through events, there should be a compensating reduction in </w:t>
      </w:r>
      <w:r w:rsidR="00CA40DF" w:rsidRPr="000964EE">
        <w:rPr>
          <w:lang w:val="en-AU"/>
        </w:rPr>
        <w:t>PWC</w:t>
      </w:r>
      <w:r w:rsidR="00CA40DF">
        <w:rPr>
          <w:lang w:val="en-AU"/>
        </w:rPr>
        <w:t xml:space="preserve"> Networks’</w:t>
      </w:r>
      <w:r w:rsidR="00CA40DF" w:rsidRPr="000964EE">
        <w:rPr>
          <w:lang w:val="en-AU"/>
        </w:rPr>
        <w:t xml:space="preserve"> </w:t>
      </w:r>
      <w:r w:rsidR="000964EE" w:rsidRPr="000964EE">
        <w:rPr>
          <w:lang w:val="en-AU"/>
        </w:rPr>
        <w:t xml:space="preserve">risk profile, that is the equity beta parameter in the WACC. </w:t>
      </w:r>
    </w:p>
    <w:p w14:paraId="42D80210" w14:textId="77777777" w:rsidR="0075053D" w:rsidRPr="001911C2" w:rsidRDefault="0075053D" w:rsidP="00B431D0">
      <w:pPr>
        <w:pStyle w:val="NumberLevel2"/>
        <w:numPr>
          <w:ilvl w:val="1"/>
          <w:numId w:val="5"/>
        </w:numPr>
        <w:tabs>
          <w:tab w:val="clear" w:pos="3270"/>
          <w:tab w:val="num" w:pos="709"/>
          <w:tab w:val="left" w:pos="3119"/>
        </w:tabs>
        <w:ind w:hanging="3270"/>
        <w:rPr>
          <w:lang w:val="en-AU"/>
        </w:rPr>
      </w:pPr>
      <w:r w:rsidRPr="001911C2">
        <w:rPr>
          <w:lang w:val="en-AU"/>
        </w:rPr>
        <w:t xml:space="preserve">No </w:t>
      </w:r>
      <w:r>
        <w:rPr>
          <w:lang w:val="en-AU"/>
        </w:rPr>
        <w:t xml:space="preserve">other </w:t>
      </w:r>
      <w:r w:rsidRPr="001911C2">
        <w:rPr>
          <w:lang w:val="en-AU"/>
        </w:rPr>
        <w:t xml:space="preserve">submissions were received on </w:t>
      </w:r>
      <w:r>
        <w:rPr>
          <w:lang w:val="en-AU"/>
        </w:rPr>
        <w:t>cost pass through arrangements.</w:t>
      </w:r>
    </w:p>
    <w:p w14:paraId="73D3EBF0" w14:textId="1C9C0456" w:rsidR="00855EC3" w:rsidRDefault="00855EC3" w:rsidP="00855EC3">
      <w:pPr>
        <w:pStyle w:val="UtilComHeading2"/>
      </w:pPr>
      <w:bookmarkStart w:id="277" w:name="_Toc385241561"/>
      <w:bookmarkStart w:id="278" w:name="_Toc386013114"/>
      <w:r>
        <w:t xml:space="preserve">Issues and Commission’s </w:t>
      </w:r>
      <w:r w:rsidR="0043071F">
        <w:t xml:space="preserve">Initial </w:t>
      </w:r>
      <w:bookmarkEnd w:id="277"/>
      <w:r w:rsidR="0043071F">
        <w:t>Considerations</w:t>
      </w:r>
      <w:bookmarkEnd w:id="278"/>
    </w:p>
    <w:p w14:paraId="240F4502" w14:textId="77777777" w:rsidR="00CA40DF" w:rsidRDefault="00CA40DF" w:rsidP="00B431D0">
      <w:pPr>
        <w:pStyle w:val="NumberLevel2"/>
        <w:numPr>
          <w:ilvl w:val="1"/>
          <w:numId w:val="5"/>
        </w:numPr>
        <w:tabs>
          <w:tab w:val="clear" w:pos="3270"/>
          <w:tab w:val="num" w:pos="709"/>
        </w:tabs>
        <w:ind w:left="709" w:hanging="709"/>
        <w:rPr>
          <w:lang w:val="en-AU"/>
        </w:rPr>
      </w:pPr>
      <w:r>
        <w:rPr>
          <w:lang w:val="en-AU"/>
        </w:rPr>
        <w:t>In relation to the concerns raised by the NTMEU, t</w:t>
      </w:r>
      <w:r w:rsidRPr="000964EE">
        <w:rPr>
          <w:lang w:val="en-AU"/>
        </w:rPr>
        <w:t xml:space="preserve">he Commission </w:t>
      </w:r>
      <w:r w:rsidR="00124423" w:rsidRPr="000964EE">
        <w:rPr>
          <w:lang w:val="en-AU"/>
        </w:rPr>
        <w:t>note</w:t>
      </w:r>
      <w:r w:rsidR="00124423">
        <w:rPr>
          <w:lang w:val="en-AU"/>
        </w:rPr>
        <w:t>d</w:t>
      </w:r>
      <w:r w:rsidR="00124423" w:rsidRPr="000964EE">
        <w:rPr>
          <w:lang w:val="en-AU"/>
        </w:rPr>
        <w:t xml:space="preserve"> </w:t>
      </w:r>
      <w:r w:rsidRPr="000964EE">
        <w:rPr>
          <w:lang w:val="en-AU"/>
        </w:rPr>
        <w:t>that it has reduced the equity beta to reflect the lower risk faced by PWC</w:t>
      </w:r>
      <w:r w:rsidR="00987C54">
        <w:rPr>
          <w:lang w:val="en-AU"/>
        </w:rPr>
        <w:t xml:space="preserve"> Networks</w:t>
      </w:r>
      <w:r w:rsidRPr="000964EE">
        <w:rPr>
          <w:lang w:val="en-AU"/>
        </w:rPr>
        <w:t>.</w:t>
      </w:r>
    </w:p>
    <w:p w14:paraId="78D72A13" w14:textId="590B608B" w:rsidR="003448B5" w:rsidRDefault="003448B5" w:rsidP="00B431D0">
      <w:pPr>
        <w:pStyle w:val="NumberLevel2"/>
        <w:numPr>
          <w:ilvl w:val="1"/>
          <w:numId w:val="5"/>
        </w:numPr>
        <w:tabs>
          <w:tab w:val="clear" w:pos="3270"/>
          <w:tab w:val="num" w:pos="709"/>
        </w:tabs>
        <w:ind w:left="709" w:hanging="709"/>
        <w:rPr>
          <w:lang w:val="en-AU"/>
        </w:rPr>
      </w:pPr>
      <w:r>
        <w:rPr>
          <w:lang w:val="en-AU"/>
        </w:rPr>
        <w:t xml:space="preserve">In the absence of specific provisions in the </w:t>
      </w:r>
      <w:r w:rsidR="00FB2EC5">
        <w:rPr>
          <w:lang w:val="en-AU"/>
        </w:rPr>
        <w:t>Network Access Code</w:t>
      </w:r>
      <w:r>
        <w:rPr>
          <w:lang w:val="en-AU"/>
        </w:rPr>
        <w:t xml:space="preserve"> relating to pass through events and contingent projects, the Commission </w:t>
      </w:r>
      <w:r w:rsidR="00124423">
        <w:rPr>
          <w:lang w:val="en-AU"/>
        </w:rPr>
        <w:t xml:space="preserve">advised that it was </w:t>
      </w:r>
      <w:r>
        <w:rPr>
          <w:lang w:val="en-AU"/>
        </w:rPr>
        <w:t xml:space="preserve">seeking legal </w:t>
      </w:r>
      <w:r w:rsidRPr="003448B5">
        <w:rPr>
          <w:lang w:val="en-AU"/>
        </w:rPr>
        <w:t>clarification o</w:t>
      </w:r>
      <w:r w:rsidR="0030167B">
        <w:rPr>
          <w:lang w:val="en-AU"/>
        </w:rPr>
        <w:t>n</w:t>
      </w:r>
      <w:r w:rsidRPr="003448B5">
        <w:rPr>
          <w:lang w:val="en-AU"/>
        </w:rPr>
        <w:t xml:space="preserve"> the scope for </w:t>
      </w:r>
      <w:r>
        <w:rPr>
          <w:lang w:val="en-AU"/>
        </w:rPr>
        <w:t xml:space="preserve">authorising such </w:t>
      </w:r>
      <w:r w:rsidRPr="003448B5">
        <w:rPr>
          <w:lang w:val="en-AU"/>
        </w:rPr>
        <w:t xml:space="preserve">arrangements </w:t>
      </w:r>
      <w:r>
        <w:rPr>
          <w:lang w:val="en-AU"/>
        </w:rPr>
        <w:t xml:space="preserve">through the </w:t>
      </w:r>
      <w:r w:rsidR="00274F90">
        <w:rPr>
          <w:lang w:val="en-AU"/>
        </w:rPr>
        <w:t>2014 Network Price Determination</w:t>
      </w:r>
      <w:r>
        <w:rPr>
          <w:lang w:val="en-AU"/>
        </w:rPr>
        <w:t>.</w:t>
      </w:r>
    </w:p>
    <w:p w14:paraId="71761EA0" w14:textId="5236BEC6" w:rsidR="00AE4836" w:rsidRDefault="003448B5" w:rsidP="00B431D0">
      <w:pPr>
        <w:pStyle w:val="NumberLevel2"/>
        <w:numPr>
          <w:ilvl w:val="1"/>
          <w:numId w:val="5"/>
        </w:numPr>
        <w:tabs>
          <w:tab w:val="clear" w:pos="3270"/>
          <w:tab w:val="num" w:pos="709"/>
        </w:tabs>
        <w:ind w:left="709" w:hanging="709"/>
        <w:rPr>
          <w:lang w:val="en-AU"/>
        </w:rPr>
      </w:pPr>
      <w:r w:rsidRPr="000C4A86">
        <w:rPr>
          <w:lang w:val="en-AU"/>
        </w:rPr>
        <w:t xml:space="preserve">The Commission’s considerations </w:t>
      </w:r>
      <w:r w:rsidR="00CF0A04">
        <w:rPr>
          <w:lang w:val="en-AU"/>
        </w:rPr>
        <w:t>were</w:t>
      </w:r>
      <w:r w:rsidR="00CF0A04" w:rsidRPr="000C4A86">
        <w:rPr>
          <w:lang w:val="en-AU"/>
        </w:rPr>
        <w:t xml:space="preserve"> </w:t>
      </w:r>
      <w:r w:rsidR="000C4A86" w:rsidRPr="000C4A86">
        <w:rPr>
          <w:lang w:val="en-AU"/>
        </w:rPr>
        <w:t xml:space="preserve">predicated on the assumption </w:t>
      </w:r>
      <w:r w:rsidR="008E3DF9">
        <w:rPr>
          <w:lang w:val="en-AU"/>
        </w:rPr>
        <w:t xml:space="preserve">that </w:t>
      </w:r>
      <w:r w:rsidR="00274F90">
        <w:rPr>
          <w:lang w:val="en-AU"/>
        </w:rPr>
        <w:t xml:space="preserve">the Commission was authorised to include </w:t>
      </w:r>
      <w:r w:rsidR="000C4A86" w:rsidRPr="000C4A86">
        <w:rPr>
          <w:lang w:val="en-AU"/>
        </w:rPr>
        <w:t xml:space="preserve">processes for </w:t>
      </w:r>
      <w:r w:rsidR="000C4A86" w:rsidRPr="0036583B">
        <w:rPr>
          <w:lang w:val="en-AU"/>
        </w:rPr>
        <w:t xml:space="preserve">dealing with cost pass throughs and contingent projects </w:t>
      </w:r>
      <w:r w:rsidR="00274F90">
        <w:rPr>
          <w:lang w:val="en-AU"/>
        </w:rPr>
        <w:t>in the Final Determination</w:t>
      </w:r>
      <w:r w:rsidR="000C4A86" w:rsidRPr="003C42A5">
        <w:rPr>
          <w:lang w:val="en-AU"/>
        </w:rPr>
        <w:t xml:space="preserve">. </w:t>
      </w:r>
      <w:r w:rsidR="00D339E3">
        <w:rPr>
          <w:lang w:val="en-AU"/>
        </w:rPr>
        <w:t>T</w:t>
      </w:r>
      <w:r w:rsidR="00AE4836">
        <w:rPr>
          <w:lang w:val="en-AU"/>
        </w:rPr>
        <w:t>he Commission</w:t>
      </w:r>
      <w:r w:rsidR="00CF0A04">
        <w:rPr>
          <w:lang w:val="en-AU"/>
        </w:rPr>
        <w:t xml:space="preserve"> advised that its</w:t>
      </w:r>
      <w:r w:rsidR="00AE4836">
        <w:rPr>
          <w:lang w:val="en-AU"/>
        </w:rPr>
        <w:t xml:space="preserve"> preferred approach </w:t>
      </w:r>
      <w:r w:rsidR="00274F90">
        <w:rPr>
          <w:lang w:val="en-AU"/>
        </w:rPr>
        <w:t xml:space="preserve">was </w:t>
      </w:r>
      <w:r w:rsidR="00AE4836">
        <w:rPr>
          <w:lang w:val="en-AU"/>
        </w:rPr>
        <w:t xml:space="preserve">to set out processes and procedures in the </w:t>
      </w:r>
      <w:r w:rsidR="00274F90">
        <w:rPr>
          <w:lang w:val="en-AU"/>
        </w:rPr>
        <w:t xml:space="preserve">Final Determination </w:t>
      </w:r>
      <w:r w:rsidR="00AE4836">
        <w:rPr>
          <w:lang w:val="en-AU"/>
        </w:rPr>
        <w:t>that mirror</w:t>
      </w:r>
      <w:r w:rsidR="00274F90">
        <w:rPr>
          <w:lang w:val="en-AU"/>
        </w:rPr>
        <w:t>ed</w:t>
      </w:r>
      <w:r w:rsidR="00AE4836">
        <w:rPr>
          <w:lang w:val="en-AU"/>
        </w:rPr>
        <w:t xml:space="preserve"> the arrangements in the NER, with the exception of setting a lower threshold of $15 million for contingent projects.</w:t>
      </w:r>
    </w:p>
    <w:p w14:paraId="5B81C667" w14:textId="194199EF" w:rsidR="000964EE" w:rsidRDefault="000964EE" w:rsidP="00B431D0">
      <w:pPr>
        <w:pStyle w:val="NumberLevel2"/>
        <w:numPr>
          <w:ilvl w:val="1"/>
          <w:numId w:val="5"/>
        </w:numPr>
        <w:tabs>
          <w:tab w:val="clear" w:pos="3270"/>
          <w:tab w:val="num" w:pos="709"/>
        </w:tabs>
        <w:ind w:left="709" w:hanging="709"/>
        <w:rPr>
          <w:lang w:val="en-AU"/>
        </w:rPr>
      </w:pPr>
      <w:r w:rsidRPr="000964EE">
        <w:rPr>
          <w:lang w:val="en-AU"/>
        </w:rPr>
        <w:t xml:space="preserve">The Commission agreed to adopt the pass through provisions determined for the </w:t>
      </w:r>
      <w:r w:rsidR="007669D5">
        <w:rPr>
          <w:lang w:val="en-AU"/>
        </w:rPr>
        <w:t>2009-14</w:t>
      </w:r>
      <w:r w:rsidR="007669D5" w:rsidRPr="000964EE">
        <w:rPr>
          <w:lang w:val="en-AU"/>
        </w:rPr>
        <w:t xml:space="preserve"> </w:t>
      </w:r>
      <w:r w:rsidRPr="000964EE">
        <w:rPr>
          <w:lang w:val="en-AU"/>
        </w:rPr>
        <w:t xml:space="preserve">regulatory control period and the AER consistent threshold of </w:t>
      </w:r>
      <w:r w:rsidR="00274F90" w:rsidRPr="000964EE">
        <w:rPr>
          <w:lang w:val="en-AU"/>
        </w:rPr>
        <w:t>1</w:t>
      </w:r>
      <w:r w:rsidR="00274F90">
        <w:rPr>
          <w:lang w:val="en-AU"/>
        </w:rPr>
        <w:t> </w:t>
      </w:r>
      <w:r w:rsidR="00274F90" w:rsidRPr="000964EE">
        <w:rPr>
          <w:lang w:val="en-AU"/>
        </w:rPr>
        <w:t>per</w:t>
      </w:r>
      <w:r w:rsidR="00274F90">
        <w:rPr>
          <w:lang w:val="en-AU"/>
        </w:rPr>
        <w:t> </w:t>
      </w:r>
      <w:r w:rsidRPr="000964EE">
        <w:rPr>
          <w:lang w:val="en-AU"/>
        </w:rPr>
        <w:t xml:space="preserve">cent of smoothed forecast revenue specified in the final decision in the </w:t>
      </w:r>
      <w:r w:rsidR="008E3DF9">
        <w:rPr>
          <w:lang w:val="en-AU"/>
        </w:rPr>
        <w:t xml:space="preserve">regulatory </w:t>
      </w:r>
      <w:r w:rsidRPr="000964EE">
        <w:rPr>
          <w:lang w:val="en-AU"/>
        </w:rPr>
        <w:t xml:space="preserve">years of the regulatory control period that the costs are incurred. The Commission </w:t>
      </w:r>
      <w:r w:rsidR="00CF0A04" w:rsidRPr="000964EE">
        <w:rPr>
          <w:lang w:val="en-AU"/>
        </w:rPr>
        <w:t>note</w:t>
      </w:r>
      <w:r w:rsidR="00CF0A04">
        <w:rPr>
          <w:lang w:val="en-AU"/>
        </w:rPr>
        <w:t>d</w:t>
      </w:r>
      <w:r w:rsidR="00CF0A04" w:rsidRPr="000964EE">
        <w:rPr>
          <w:lang w:val="en-AU"/>
        </w:rPr>
        <w:t xml:space="preserve"> </w:t>
      </w:r>
      <w:r w:rsidR="00274F90">
        <w:rPr>
          <w:lang w:val="en-AU"/>
        </w:rPr>
        <w:t>that</w:t>
      </w:r>
      <w:r w:rsidRPr="000964EE">
        <w:rPr>
          <w:lang w:val="en-AU"/>
        </w:rPr>
        <w:t xml:space="preserve"> in </w:t>
      </w:r>
      <w:r w:rsidR="00CA40DF">
        <w:rPr>
          <w:lang w:val="en-AU"/>
        </w:rPr>
        <w:t>its Framework Statement</w:t>
      </w:r>
      <w:r w:rsidRPr="000964EE">
        <w:rPr>
          <w:lang w:val="en-AU"/>
        </w:rPr>
        <w:t xml:space="preserve"> </w:t>
      </w:r>
      <w:r w:rsidR="00274F90">
        <w:rPr>
          <w:lang w:val="en-AU"/>
        </w:rPr>
        <w:t>it had state</w:t>
      </w:r>
      <w:r w:rsidR="0030167B">
        <w:rPr>
          <w:lang w:val="en-AU"/>
        </w:rPr>
        <w:t>d</w:t>
      </w:r>
      <w:r w:rsidR="00274F90">
        <w:rPr>
          <w:lang w:val="en-AU"/>
        </w:rPr>
        <w:t xml:space="preserve"> that </w:t>
      </w:r>
      <w:r w:rsidRPr="000964EE">
        <w:rPr>
          <w:lang w:val="en-AU"/>
        </w:rPr>
        <w:t xml:space="preserve">structural separation, new technology and emissions trading scheme events </w:t>
      </w:r>
      <w:r w:rsidR="00274F90">
        <w:rPr>
          <w:lang w:val="en-AU"/>
        </w:rPr>
        <w:t>were</w:t>
      </w:r>
      <w:r w:rsidRPr="000964EE">
        <w:rPr>
          <w:lang w:val="en-AU"/>
        </w:rPr>
        <w:t xml:space="preserve"> covered by existing pass through </w:t>
      </w:r>
      <w:r w:rsidR="00274F90">
        <w:rPr>
          <w:lang w:val="en-AU"/>
        </w:rPr>
        <w:t>events</w:t>
      </w:r>
      <w:r w:rsidRPr="000964EE">
        <w:rPr>
          <w:lang w:val="en-AU"/>
        </w:rPr>
        <w:t>.</w:t>
      </w:r>
    </w:p>
    <w:p w14:paraId="08EF7488" w14:textId="551EBB73" w:rsidR="000704CE" w:rsidRPr="00A6684B" w:rsidRDefault="000704CE" w:rsidP="00B431D0">
      <w:pPr>
        <w:pStyle w:val="NumberLevel2"/>
        <w:numPr>
          <w:ilvl w:val="1"/>
          <w:numId w:val="5"/>
        </w:numPr>
        <w:ind w:left="709" w:hanging="709"/>
        <w:rPr>
          <w:lang w:val="en-AU"/>
        </w:rPr>
      </w:pPr>
      <w:r>
        <w:rPr>
          <w:lang w:val="en-AU"/>
        </w:rPr>
        <w:t xml:space="preserve">The Commission </w:t>
      </w:r>
      <w:r w:rsidR="00274F90">
        <w:rPr>
          <w:lang w:val="en-AU"/>
        </w:rPr>
        <w:t xml:space="preserve">did </w:t>
      </w:r>
      <w:r>
        <w:rPr>
          <w:lang w:val="en-AU"/>
        </w:rPr>
        <w:t>not accept PWC Networks</w:t>
      </w:r>
      <w:r w:rsidR="00CA40DF">
        <w:rPr>
          <w:lang w:val="en-AU"/>
        </w:rPr>
        <w:t>’</w:t>
      </w:r>
      <w:r>
        <w:rPr>
          <w:lang w:val="en-AU"/>
        </w:rPr>
        <w:t xml:space="preserve"> proposal </w:t>
      </w:r>
      <w:r w:rsidR="00274F90">
        <w:rPr>
          <w:lang w:val="en-AU"/>
        </w:rPr>
        <w:t>that the materiality threshold be assessed separately for operating costs and capital costs because, in</w:t>
      </w:r>
      <w:r>
        <w:rPr>
          <w:lang w:val="en-AU"/>
        </w:rPr>
        <w:t xml:space="preserve"> the Commission’s view, this would add additional complexity for little material gain.</w:t>
      </w:r>
    </w:p>
    <w:p w14:paraId="390779CF" w14:textId="68B4D71B" w:rsidR="00085AF3" w:rsidRPr="001751D3" w:rsidRDefault="00085AF3" w:rsidP="00B431D0">
      <w:pPr>
        <w:pStyle w:val="NumberLevel2"/>
        <w:numPr>
          <w:ilvl w:val="1"/>
          <w:numId w:val="5"/>
        </w:numPr>
        <w:ind w:left="709" w:hanging="709"/>
        <w:rPr>
          <w:lang w:val="en-AU"/>
        </w:rPr>
      </w:pPr>
      <w:r w:rsidRPr="00085AF3">
        <w:rPr>
          <w:lang w:val="en-AU"/>
        </w:rPr>
        <w:t xml:space="preserve">The Commission </w:t>
      </w:r>
      <w:r w:rsidR="00E60A6A" w:rsidRPr="00085AF3">
        <w:rPr>
          <w:lang w:val="en-AU"/>
        </w:rPr>
        <w:t>accept</w:t>
      </w:r>
      <w:r w:rsidR="00E60A6A">
        <w:rPr>
          <w:lang w:val="en-AU"/>
        </w:rPr>
        <w:t>ed</w:t>
      </w:r>
      <w:r w:rsidR="00E60A6A" w:rsidRPr="00085AF3">
        <w:rPr>
          <w:lang w:val="en-AU"/>
        </w:rPr>
        <w:t xml:space="preserve"> </w:t>
      </w:r>
      <w:r w:rsidRPr="00085AF3">
        <w:rPr>
          <w:lang w:val="en-AU"/>
        </w:rPr>
        <w:t>liability above insurance cap and insurer</w:t>
      </w:r>
      <w:r w:rsidRPr="001751D3">
        <w:rPr>
          <w:lang w:val="en-AU"/>
        </w:rPr>
        <w:t xml:space="preserve"> credit risk events </w:t>
      </w:r>
      <w:r w:rsidR="00E60A6A">
        <w:rPr>
          <w:lang w:val="en-AU"/>
        </w:rPr>
        <w:t xml:space="preserve">proposed by PWC Networks </w:t>
      </w:r>
      <w:r w:rsidRPr="001751D3">
        <w:rPr>
          <w:lang w:val="en-AU"/>
        </w:rPr>
        <w:t xml:space="preserve">as pass through events within the category of insurance event. The Commission </w:t>
      </w:r>
      <w:r w:rsidR="00E60A6A" w:rsidRPr="001751D3">
        <w:rPr>
          <w:lang w:val="en-AU"/>
        </w:rPr>
        <w:t>consider</w:t>
      </w:r>
      <w:r w:rsidR="00E60A6A">
        <w:rPr>
          <w:lang w:val="en-AU"/>
        </w:rPr>
        <w:t>ed</w:t>
      </w:r>
      <w:r w:rsidR="00E60A6A" w:rsidRPr="001751D3">
        <w:rPr>
          <w:lang w:val="en-AU"/>
        </w:rPr>
        <w:t xml:space="preserve"> </w:t>
      </w:r>
      <w:r w:rsidRPr="001751D3">
        <w:rPr>
          <w:lang w:val="en-AU"/>
        </w:rPr>
        <w:t xml:space="preserve">that these </w:t>
      </w:r>
      <w:r w:rsidR="00E60A6A">
        <w:rPr>
          <w:lang w:val="en-AU"/>
        </w:rPr>
        <w:t>were</w:t>
      </w:r>
      <w:r w:rsidR="00E60A6A" w:rsidRPr="001751D3">
        <w:rPr>
          <w:lang w:val="en-AU"/>
        </w:rPr>
        <w:t xml:space="preserve"> </w:t>
      </w:r>
      <w:r w:rsidRPr="001751D3">
        <w:rPr>
          <w:lang w:val="en-AU"/>
        </w:rPr>
        <w:t xml:space="preserve">both events for which the effect </w:t>
      </w:r>
      <w:r w:rsidR="00E60A6A">
        <w:rPr>
          <w:lang w:val="en-AU"/>
        </w:rPr>
        <w:t>could not</w:t>
      </w:r>
      <w:r w:rsidR="00E60A6A" w:rsidRPr="001751D3">
        <w:rPr>
          <w:lang w:val="en-AU"/>
        </w:rPr>
        <w:t xml:space="preserve"> </w:t>
      </w:r>
      <w:r w:rsidRPr="001751D3">
        <w:rPr>
          <w:lang w:val="en-AU"/>
        </w:rPr>
        <w:t xml:space="preserve">be prevented or mitigated by prudent operational risk management. The Commission </w:t>
      </w:r>
      <w:r w:rsidR="00E60A6A">
        <w:rPr>
          <w:lang w:val="en-AU"/>
        </w:rPr>
        <w:t>did</w:t>
      </w:r>
      <w:r w:rsidR="00E60A6A" w:rsidRPr="001751D3">
        <w:rPr>
          <w:lang w:val="en-AU"/>
        </w:rPr>
        <w:t xml:space="preserve"> </w:t>
      </w:r>
      <w:r w:rsidRPr="001751D3">
        <w:rPr>
          <w:lang w:val="en-AU"/>
        </w:rPr>
        <w:t xml:space="preserve">not consider that insurance deductible </w:t>
      </w:r>
      <w:r w:rsidR="00E60A6A">
        <w:rPr>
          <w:lang w:val="en-AU"/>
        </w:rPr>
        <w:t>met</w:t>
      </w:r>
      <w:r w:rsidR="00E60A6A" w:rsidRPr="001751D3">
        <w:rPr>
          <w:lang w:val="en-AU"/>
        </w:rPr>
        <w:t xml:space="preserve"> </w:t>
      </w:r>
      <w:r w:rsidRPr="001751D3">
        <w:rPr>
          <w:lang w:val="en-AU"/>
        </w:rPr>
        <w:t xml:space="preserve">the criteria for a pass through event. </w:t>
      </w:r>
    </w:p>
    <w:p w14:paraId="6ED8BC82" w14:textId="06411395" w:rsidR="00AF3858" w:rsidRDefault="00D339E3" w:rsidP="00B431D0">
      <w:pPr>
        <w:pStyle w:val="NumberLevel2"/>
        <w:numPr>
          <w:ilvl w:val="1"/>
          <w:numId w:val="5"/>
        </w:numPr>
        <w:ind w:left="709" w:hanging="709"/>
        <w:rPr>
          <w:lang w:val="en-AU"/>
        </w:rPr>
      </w:pPr>
      <w:r>
        <w:rPr>
          <w:lang w:val="en-AU"/>
        </w:rPr>
        <w:t xml:space="preserve">The Commission </w:t>
      </w:r>
      <w:r w:rsidR="00E60A6A">
        <w:rPr>
          <w:lang w:val="en-AU"/>
        </w:rPr>
        <w:t xml:space="preserve">did </w:t>
      </w:r>
      <w:r>
        <w:rPr>
          <w:lang w:val="en-AU"/>
        </w:rPr>
        <w:t xml:space="preserve">not consider that a retailer insolvency event met the criteria for a pass through event. </w:t>
      </w:r>
    </w:p>
    <w:p w14:paraId="5FB486BD" w14:textId="07D7D719" w:rsidR="00E60A6A" w:rsidRDefault="00AF3858" w:rsidP="00B431D0">
      <w:pPr>
        <w:pStyle w:val="NumberLevel2"/>
        <w:numPr>
          <w:ilvl w:val="1"/>
          <w:numId w:val="5"/>
        </w:numPr>
        <w:ind w:left="709" w:hanging="709"/>
        <w:rPr>
          <w:lang w:val="en-AU"/>
        </w:rPr>
      </w:pPr>
      <w:r>
        <w:rPr>
          <w:lang w:val="en-AU"/>
        </w:rPr>
        <w:t xml:space="preserve">The Commission </w:t>
      </w:r>
      <w:r w:rsidR="00E60A6A">
        <w:rPr>
          <w:lang w:val="en-AU"/>
        </w:rPr>
        <w:t xml:space="preserve">did </w:t>
      </w:r>
      <w:r>
        <w:rPr>
          <w:lang w:val="en-AU"/>
        </w:rPr>
        <w:t xml:space="preserve">not consider that a major network augmentation event </w:t>
      </w:r>
      <w:r w:rsidR="00E60A6A">
        <w:rPr>
          <w:lang w:val="en-AU"/>
        </w:rPr>
        <w:t xml:space="preserve">met </w:t>
      </w:r>
      <w:r>
        <w:rPr>
          <w:lang w:val="en-AU"/>
        </w:rPr>
        <w:t xml:space="preserve">the criteria for a pass through event. </w:t>
      </w:r>
    </w:p>
    <w:p w14:paraId="0BC4BDEB" w14:textId="4F015FAD" w:rsidR="00AF3858" w:rsidRDefault="00AF3858" w:rsidP="00B431D0">
      <w:pPr>
        <w:pStyle w:val="NumberLevel2"/>
        <w:numPr>
          <w:ilvl w:val="1"/>
          <w:numId w:val="5"/>
        </w:numPr>
        <w:ind w:left="709" w:hanging="709"/>
        <w:rPr>
          <w:lang w:val="en-AU"/>
        </w:rPr>
      </w:pPr>
      <w:r>
        <w:rPr>
          <w:lang w:val="en-AU"/>
        </w:rPr>
        <w:t xml:space="preserve">For projects such as the </w:t>
      </w:r>
      <w:r w:rsidR="00E60A6A">
        <w:rPr>
          <w:lang w:val="en-AU"/>
        </w:rPr>
        <w:t xml:space="preserve">new </w:t>
      </w:r>
      <w:r>
        <w:rPr>
          <w:lang w:val="en-AU"/>
        </w:rPr>
        <w:t xml:space="preserve">Mitchell Street </w:t>
      </w:r>
      <w:r w:rsidR="00E60A6A">
        <w:rPr>
          <w:lang w:val="en-AU"/>
        </w:rPr>
        <w:t>Switching Station</w:t>
      </w:r>
      <w:r>
        <w:rPr>
          <w:lang w:val="en-AU"/>
        </w:rPr>
        <w:t xml:space="preserve">, the Commission’s preference </w:t>
      </w:r>
      <w:r w:rsidR="00E60A6A">
        <w:rPr>
          <w:lang w:val="en-AU"/>
        </w:rPr>
        <w:t xml:space="preserve">was </w:t>
      </w:r>
      <w:r>
        <w:rPr>
          <w:lang w:val="en-AU"/>
        </w:rPr>
        <w:t xml:space="preserve">to deal with such matters as contingent projects. To facilitate this, the Commission </w:t>
      </w:r>
      <w:r w:rsidR="00E60A6A">
        <w:rPr>
          <w:lang w:val="en-AU"/>
        </w:rPr>
        <w:t xml:space="preserve">considered </w:t>
      </w:r>
      <w:r>
        <w:rPr>
          <w:lang w:val="en-AU"/>
        </w:rPr>
        <w:t xml:space="preserve">that it </w:t>
      </w:r>
      <w:r w:rsidR="00E60A6A">
        <w:rPr>
          <w:lang w:val="en-AU"/>
        </w:rPr>
        <w:t xml:space="preserve">was </w:t>
      </w:r>
      <w:r>
        <w:rPr>
          <w:lang w:val="en-AU"/>
        </w:rPr>
        <w:t xml:space="preserve">appropriate to set a lower threshold under the Territory regulatory framework than </w:t>
      </w:r>
      <w:r w:rsidR="00E60A6A">
        <w:rPr>
          <w:lang w:val="en-AU"/>
        </w:rPr>
        <w:t xml:space="preserve">is </w:t>
      </w:r>
      <w:r>
        <w:rPr>
          <w:lang w:val="en-AU"/>
        </w:rPr>
        <w:t>set in the NER.</w:t>
      </w:r>
    </w:p>
    <w:p w14:paraId="15B6890F" w14:textId="2675CF80" w:rsidR="00855EC3" w:rsidRDefault="00855EC3" w:rsidP="00855EC3">
      <w:pPr>
        <w:pStyle w:val="UtilComHeading2"/>
      </w:pPr>
      <w:bookmarkStart w:id="279" w:name="_Toc385241562"/>
      <w:bookmarkStart w:id="280" w:name="_Toc386013115"/>
      <w:r>
        <w:t xml:space="preserve">Commission’s </w:t>
      </w:r>
      <w:bookmarkEnd w:id="279"/>
      <w:r w:rsidR="00E60A6A">
        <w:t>Draft Determination</w:t>
      </w:r>
      <w:bookmarkEnd w:id="280"/>
    </w:p>
    <w:p w14:paraId="16B4D021" w14:textId="4906B18B" w:rsidR="00CF0A04" w:rsidRPr="00CF0A04" w:rsidRDefault="00205386" w:rsidP="00CF0A04">
      <w:pPr>
        <w:pStyle w:val="NumberLevel2"/>
        <w:numPr>
          <w:ilvl w:val="1"/>
          <w:numId w:val="4"/>
        </w:numPr>
        <w:tabs>
          <w:tab w:val="clear" w:pos="3270"/>
          <w:tab w:val="num" w:pos="709"/>
        </w:tabs>
        <w:ind w:left="709" w:hanging="709"/>
        <w:rPr>
          <w:lang w:val="en-AU"/>
        </w:rPr>
      </w:pPr>
      <w:r>
        <w:rPr>
          <w:lang w:val="en-AU"/>
        </w:rPr>
        <w:t>T</w:t>
      </w:r>
      <w:r w:rsidR="00CF0A04">
        <w:rPr>
          <w:lang w:val="en-AU"/>
        </w:rPr>
        <w:t xml:space="preserve">he Commission accepted the following events as pass through events for the </w:t>
      </w:r>
      <w:r w:rsidR="005276EC">
        <w:rPr>
          <w:lang w:val="en-AU"/>
        </w:rPr>
        <w:br/>
      </w:r>
      <w:r w:rsidR="007669D5">
        <w:rPr>
          <w:lang w:val="en-AU"/>
        </w:rPr>
        <w:t xml:space="preserve">2014-19 </w:t>
      </w:r>
      <w:r w:rsidR="00CF0A04">
        <w:rPr>
          <w:lang w:val="en-AU"/>
        </w:rPr>
        <w:t>regulatory control period:</w:t>
      </w:r>
    </w:p>
    <w:p w14:paraId="31A14700" w14:textId="28AE7550" w:rsidR="00CF0A04" w:rsidRDefault="00CF0A04" w:rsidP="00DD200F">
      <w:pPr>
        <w:pStyle w:val="UtilComBulletText"/>
        <w:numPr>
          <w:ilvl w:val="0"/>
          <w:numId w:val="6"/>
        </w:numPr>
        <w:tabs>
          <w:tab w:val="clear" w:pos="964"/>
          <w:tab w:val="num" w:pos="1134"/>
        </w:tabs>
        <w:ind w:left="1134" w:hanging="425"/>
      </w:pPr>
      <w:r w:rsidRPr="002027B1">
        <w:t>the pass through events specified in the NER</w:t>
      </w:r>
      <w:r w:rsidR="00E60A6A">
        <w:t xml:space="preserve"> including</w:t>
      </w:r>
      <w:r w:rsidRPr="002027B1">
        <w:t>:</w:t>
      </w:r>
    </w:p>
    <w:p w14:paraId="132D89A5" w14:textId="77777777" w:rsidR="00CF0A04" w:rsidRDefault="00CF0A04" w:rsidP="00DD200F">
      <w:pPr>
        <w:pStyle w:val="UtilComBulletText"/>
        <w:numPr>
          <w:ilvl w:val="1"/>
          <w:numId w:val="13"/>
        </w:numPr>
        <w:tabs>
          <w:tab w:val="clear" w:pos="1134"/>
          <w:tab w:val="left" w:pos="1418"/>
        </w:tabs>
        <w:ind w:left="1418" w:hanging="425"/>
      </w:pPr>
      <w:r>
        <w:t>a regulatory change event;</w:t>
      </w:r>
    </w:p>
    <w:p w14:paraId="55062CB9" w14:textId="77777777" w:rsidR="00CF0A04" w:rsidRDefault="00CF0A04" w:rsidP="00DD200F">
      <w:pPr>
        <w:pStyle w:val="UtilComBulletText"/>
        <w:numPr>
          <w:ilvl w:val="1"/>
          <w:numId w:val="13"/>
        </w:numPr>
        <w:tabs>
          <w:tab w:val="clear" w:pos="1134"/>
          <w:tab w:val="left" w:pos="1418"/>
        </w:tabs>
        <w:ind w:left="1418" w:hanging="425"/>
      </w:pPr>
      <w:r>
        <w:t xml:space="preserve">a service standard event; </w:t>
      </w:r>
    </w:p>
    <w:p w14:paraId="68EE8E5F" w14:textId="77777777" w:rsidR="00CF0A04" w:rsidRDefault="00CF0A04" w:rsidP="00DD200F">
      <w:pPr>
        <w:pStyle w:val="UtilComBulletText"/>
        <w:numPr>
          <w:ilvl w:val="1"/>
          <w:numId w:val="13"/>
        </w:numPr>
        <w:tabs>
          <w:tab w:val="clear" w:pos="1134"/>
          <w:tab w:val="left" w:pos="1418"/>
        </w:tabs>
        <w:ind w:left="1418" w:hanging="425"/>
      </w:pPr>
      <w:r>
        <w:t>a tax change event; and</w:t>
      </w:r>
    </w:p>
    <w:p w14:paraId="22D8B232" w14:textId="47D756C7" w:rsidR="00CF0A04" w:rsidRDefault="00CF0A04" w:rsidP="00DD200F">
      <w:pPr>
        <w:pStyle w:val="UtilComBulletText"/>
        <w:numPr>
          <w:ilvl w:val="1"/>
          <w:numId w:val="13"/>
        </w:numPr>
        <w:tabs>
          <w:tab w:val="clear" w:pos="1134"/>
          <w:tab w:val="left" w:pos="1418"/>
        </w:tabs>
        <w:ind w:left="1418" w:hanging="425"/>
      </w:pPr>
      <w:r>
        <w:t>a terrorism event</w:t>
      </w:r>
      <w:r w:rsidR="00E60A6A">
        <w:t xml:space="preserve">; and </w:t>
      </w:r>
    </w:p>
    <w:p w14:paraId="6E390047" w14:textId="30120B7D" w:rsidR="00CF0A04" w:rsidRDefault="00E60A6A" w:rsidP="00DD200F">
      <w:pPr>
        <w:pStyle w:val="UtilComBulletText"/>
        <w:numPr>
          <w:ilvl w:val="0"/>
          <w:numId w:val="6"/>
        </w:numPr>
        <w:tabs>
          <w:tab w:val="clear" w:pos="964"/>
          <w:tab w:val="num" w:pos="1134"/>
        </w:tabs>
        <w:ind w:left="1134" w:hanging="425"/>
      </w:pPr>
      <w:r>
        <w:t xml:space="preserve">the following </w:t>
      </w:r>
      <w:r w:rsidR="00CF0A04">
        <w:t>additional pass through events:</w:t>
      </w:r>
    </w:p>
    <w:p w14:paraId="1BCC9503" w14:textId="77777777" w:rsidR="00CF0A04" w:rsidRDefault="00CF0A04" w:rsidP="00DD200F">
      <w:pPr>
        <w:pStyle w:val="UtilComBulletText"/>
        <w:numPr>
          <w:ilvl w:val="1"/>
          <w:numId w:val="13"/>
        </w:numPr>
        <w:tabs>
          <w:tab w:val="clear" w:pos="1134"/>
          <w:tab w:val="left" w:pos="1418"/>
        </w:tabs>
        <w:ind w:left="1418" w:hanging="425"/>
      </w:pPr>
      <w:r>
        <w:t>an insurance event;</w:t>
      </w:r>
    </w:p>
    <w:p w14:paraId="127D5940" w14:textId="77777777" w:rsidR="00CF0A04" w:rsidRDefault="00CF0A04" w:rsidP="00DD200F">
      <w:pPr>
        <w:pStyle w:val="UtilComBulletText"/>
        <w:numPr>
          <w:ilvl w:val="1"/>
          <w:numId w:val="13"/>
        </w:numPr>
        <w:tabs>
          <w:tab w:val="clear" w:pos="1134"/>
          <w:tab w:val="left" w:pos="1418"/>
        </w:tabs>
        <w:ind w:left="1418" w:hanging="425"/>
      </w:pPr>
      <w:r>
        <w:t>a force majeure event; and</w:t>
      </w:r>
    </w:p>
    <w:p w14:paraId="6DD5B8D3" w14:textId="488B3E90" w:rsidR="00CF0A04" w:rsidRPr="002027B1" w:rsidRDefault="00CF0A04" w:rsidP="00DD200F">
      <w:pPr>
        <w:pStyle w:val="UtilComBulletText"/>
        <w:numPr>
          <w:ilvl w:val="1"/>
          <w:numId w:val="13"/>
        </w:numPr>
        <w:tabs>
          <w:tab w:val="clear" w:pos="1134"/>
          <w:tab w:val="left" w:pos="1418"/>
        </w:tabs>
        <w:ind w:left="1418" w:hanging="425"/>
      </w:pPr>
      <w:r w:rsidRPr="004A56DF">
        <w:t xml:space="preserve">such other events that satisfy the following requirements: (i) the occurrence was not anticipated at the time of the </w:t>
      </w:r>
      <w:r>
        <w:t>network price determination was made,</w:t>
      </w:r>
      <w:r w:rsidRPr="004A56DF">
        <w:t xml:space="preserve"> or were, while allowable, explicitly excluded from affecting the outcome of that </w:t>
      </w:r>
      <w:r>
        <w:t>determination</w:t>
      </w:r>
      <w:r w:rsidRPr="004A56DF">
        <w:t xml:space="preserve"> on the grounds that the likely impact on </w:t>
      </w:r>
      <w:r>
        <w:t>PWC Networks</w:t>
      </w:r>
      <w:r w:rsidRPr="004A56DF">
        <w:t xml:space="preserve"> was unknown or too difficult to quantify at the time</w:t>
      </w:r>
      <w:r w:rsidR="00064016">
        <w:t>;</w:t>
      </w:r>
      <w:r w:rsidRPr="004A56DF">
        <w:t xml:space="preserve"> and (ii) the occurrence is not a result of actions of </w:t>
      </w:r>
      <w:r>
        <w:t>PWC</w:t>
      </w:r>
      <w:r w:rsidRPr="004A56DF">
        <w:t xml:space="preserve">’s board or management or of decisions of the </w:t>
      </w:r>
      <w:r>
        <w:t xml:space="preserve">Territory </w:t>
      </w:r>
      <w:r w:rsidRPr="004A56DF">
        <w:t xml:space="preserve">Government in its capacity as owner or shareholder or guarantor of </w:t>
      </w:r>
      <w:r>
        <w:t>PWC</w:t>
      </w:r>
      <w:r w:rsidRPr="004A56DF">
        <w:t>.</w:t>
      </w:r>
    </w:p>
    <w:p w14:paraId="3B2068EB" w14:textId="3186C93B" w:rsidR="00CF0A04" w:rsidRPr="00D339E3" w:rsidRDefault="00CF0A04" w:rsidP="00E60A6A">
      <w:pPr>
        <w:pStyle w:val="NumberLevel2"/>
        <w:numPr>
          <w:ilvl w:val="1"/>
          <w:numId w:val="4"/>
        </w:numPr>
        <w:tabs>
          <w:tab w:val="clear" w:pos="3270"/>
          <w:tab w:val="num" w:pos="709"/>
        </w:tabs>
        <w:ind w:left="709" w:hanging="709"/>
        <w:rPr>
          <w:lang w:val="en-AU"/>
        </w:rPr>
      </w:pPr>
      <w:r w:rsidRPr="00D339E3">
        <w:rPr>
          <w:lang w:val="en-AU"/>
        </w:rPr>
        <w:t>The Commission accept</w:t>
      </w:r>
      <w:r>
        <w:rPr>
          <w:lang w:val="en-AU"/>
        </w:rPr>
        <w:t>ed</w:t>
      </w:r>
      <w:r w:rsidRPr="00D339E3">
        <w:rPr>
          <w:lang w:val="en-AU"/>
        </w:rPr>
        <w:t xml:space="preserve"> the </w:t>
      </w:r>
      <w:r w:rsidR="00E60A6A" w:rsidRPr="00E60A6A">
        <w:rPr>
          <w:lang w:val="en-AU"/>
        </w:rPr>
        <w:t xml:space="preserve">PRD30600 – New Mitchell Street Switching Station project (for which the trigger event was a decision by City of Darwin Council not to extend the lease on the Mitchell Street site) </w:t>
      </w:r>
      <w:r w:rsidR="00E60A6A">
        <w:rPr>
          <w:lang w:val="en-AU"/>
        </w:rPr>
        <w:t>as a</w:t>
      </w:r>
      <w:r w:rsidR="00E60A6A" w:rsidRPr="00D339E3">
        <w:rPr>
          <w:lang w:val="en-AU"/>
        </w:rPr>
        <w:t xml:space="preserve"> </w:t>
      </w:r>
      <w:r w:rsidRPr="00D339E3">
        <w:rPr>
          <w:lang w:val="en-AU"/>
        </w:rPr>
        <w:t>contingent project</w:t>
      </w:r>
      <w:r w:rsidR="00E60A6A">
        <w:rPr>
          <w:lang w:val="en-AU"/>
        </w:rPr>
        <w:t xml:space="preserve"> for the purposes of the 2014 Network Price Determination.</w:t>
      </w:r>
    </w:p>
    <w:p w14:paraId="0F507E09" w14:textId="285F252B" w:rsidR="00CF0A04" w:rsidRPr="000C4A86" w:rsidRDefault="00CF0A04" w:rsidP="00CF0A04">
      <w:pPr>
        <w:pStyle w:val="NumberLevel2"/>
        <w:numPr>
          <w:ilvl w:val="1"/>
          <w:numId w:val="4"/>
        </w:numPr>
        <w:tabs>
          <w:tab w:val="clear" w:pos="3270"/>
          <w:tab w:val="num" w:pos="709"/>
        </w:tabs>
        <w:ind w:left="709" w:hanging="709"/>
        <w:rPr>
          <w:lang w:val="en-AU"/>
        </w:rPr>
      </w:pPr>
      <w:r w:rsidRPr="003C42A5">
        <w:rPr>
          <w:lang w:val="en-AU"/>
        </w:rPr>
        <w:t xml:space="preserve">If </w:t>
      </w:r>
      <w:r w:rsidR="00E60A6A">
        <w:rPr>
          <w:lang w:val="en-AU"/>
        </w:rPr>
        <w:t>the Commission was not</w:t>
      </w:r>
      <w:r w:rsidRPr="003C42A5">
        <w:rPr>
          <w:lang w:val="en-AU"/>
        </w:rPr>
        <w:t xml:space="preserve"> authorised </w:t>
      </w:r>
      <w:r w:rsidR="00E60A6A">
        <w:rPr>
          <w:lang w:val="en-AU"/>
        </w:rPr>
        <w:t>to incorporate cost pass through arrangements and contingent projects in the F</w:t>
      </w:r>
      <w:r w:rsidR="00E60A6A" w:rsidRPr="003C42A5">
        <w:rPr>
          <w:lang w:val="en-AU"/>
        </w:rPr>
        <w:t xml:space="preserve">inal </w:t>
      </w:r>
      <w:r w:rsidR="00E60A6A">
        <w:rPr>
          <w:lang w:val="en-AU"/>
        </w:rPr>
        <w:t>D</w:t>
      </w:r>
      <w:r w:rsidR="00E60A6A" w:rsidRPr="003C42A5">
        <w:rPr>
          <w:lang w:val="en-AU"/>
        </w:rPr>
        <w:t>etermination</w:t>
      </w:r>
      <w:r w:rsidR="00E60A6A">
        <w:rPr>
          <w:lang w:val="en-AU"/>
        </w:rPr>
        <w:t>, the Commission proposed that</w:t>
      </w:r>
      <w:r w:rsidRPr="003C42A5">
        <w:rPr>
          <w:lang w:val="en-AU"/>
        </w:rPr>
        <w:t xml:space="preserve"> </w:t>
      </w:r>
      <w:r>
        <w:rPr>
          <w:lang w:val="en-AU"/>
        </w:rPr>
        <w:t>cost pass through events and contingent projects accepted by the Commission</w:t>
      </w:r>
      <w:r w:rsidRPr="003C42A5">
        <w:rPr>
          <w:lang w:val="en-AU"/>
        </w:rPr>
        <w:t xml:space="preserve"> should be taken to be guidance</w:t>
      </w:r>
      <w:r w:rsidRPr="002027B1">
        <w:rPr>
          <w:lang w:val="en-AU"/>
        </w:rPr>
        <w:t xml:space="preserve">, by way of </w:t>
      </w:r>
      <w:r w:rsidR="00E60A6A">
        <w:rPr>
          <w:lang w:val="en-AU"/>
        </w:rPr>
        <w:t xml:space="preserve">an </w:t>
      </w:r>
      <w:r w:rsidRPr="002027B1">
        <w:rPr>
          <w:lang w:val="en-AU"/>
        </w:rPr>
        <w:t>example</w:t>
      </w:r>
      <w:r w:rsidRPr="002B2BEF">
        <w:rPr>
          <w:lang w:val="en-AU"/>
        </w:rPr>
        <w:t>,</w:t>
      </w:r>
      <w:r w:rsidRPr="004A56DF">
        <w:rPr>
          <w:lang w:val="en-AU"/>
        </w:rPr>
        <w:t xml:space="preserve"> of the type</w:t>
      </w:r>
      <w:r w:rsidR="00E60A6A">
        <w:rPr>
          <w:lang w:val="en-AU"/>
        </w:rPr>
        <w:t>s</w:t>
      </w:r>
      <w:r w:rsidRPr="004A56DF">
        <w:rPr>
          <w:lang w:val="en-AU"/>
        </w:rPr>
        <w:t xml:space="preserve"> of circumstances in which clause 71</w:t>
      </w:r>
      <w:r>
        <w:rPr>
          <w:lang w:val="en-AU"/>
        </w:rPr>
        <w:t>(c)</w:t>
      </w:r>
      <w:r w:rsidRPr="004A56DF">
        <w:rPr>
          <w:lang w:val="en-AU"/>
        </w:rPr>
        <w:t xml:space="preserve"> of the </w:t>
      </w:r>
      <w:r w:rsidR="00FB2EC5">
        <w:rPr>
          <w:lang w:val="en-AU"/>
        </w:rPr>
        <w:t>Network Access Code</w:t>
      </w:r>
      <w:r w:rsidRPr="000C4A86">
        <w:rPr>
          <w:lang w:val="en-AU"/>
        </w:rPr>
        <w:t xml:space="preserve"> </w:t>
      </w:r>
      <w:r w:rsidR="00E60A6A">
        <w:rPr>
          <w:lang w:val="en-AU"/>
        </w:rPr>
        <w:t>could potentially</w:t>
      </w:r>
      <w:r w:rsidR="00E60A6A" w:rsidRPr="000C4A86">
        <w:rPr>
          <w:lang w:val="en-AU"/>
        </w:rPr>
        <w:t xml:space="preserve"> </w:t>
      </w:r>
      <w:r w:rsidRPr="000C4A86">
        <w:rPr>
          <w:lang w:val="en-AU"/>
        </w:rPr>
        <w:t>be</w:t>
      </w:r>
      <w:r>
        <w:rPr>
          <w:lang w:val="en-AU"/>
        </w:rPr>
        <w:t xml:space="preserve"> </w:t>
      </w:r>
      <w:r w:rsidRPr="000C4A86">
        <w:rPr>
          <w:lang w:val="en-AU"/>
        </w:rPr>
        <w:t>applied</w:t>
      </w:r>
      <w:r>
        <w:rPr>
          <w:lang w:val="en-AU"/>
        </w:rPr>
        <w:t>.</w:t>
      </w:r>
    </w:p>
    <w:p w14:paraId="1DFFCA0E" w14:textId="7E6392CD" w:rsidR="006350F2" w:rsidRDefault="006350F2" w:rsidP="00334767">
      <w:pPr>
        <w:pStyle w:val="NumberLevel2"/>
        <w:numPr>
          <w:ilvl w:val="1"/>
          <w:numId w:val="4"/>
        </w:numPr>
        <w:tabs>
          <w:tab w:val="clear" w:pos="3270"/>
          <w:tab w:val="num" w:pos="709"/>
        </w:tabs>
        <w:ind w:left="709" w:hanging="709"/>
        <w:rPr>
          <w:lang w:val="en-AU"/>
        </w:rPr>
      </w:pPr>
      <w:r>
        <w:rPr>
          <w:lang w:val="en-AU"/>
        </w:rPr>
        <w:t xml:space="preserve">If a pass through event occurs or a contingent project </w:t>
      </w:r>
      <w:r w:rsidR="00E60A6A">
        <w:rPr>
          <w:lang w:val="en-AU"/>
        </w:rPr>
        <w:t xml:space="preserve">was </w:t>
      </w:r>
      <w:r>
        <w:rPr>
          <w:lang w:val="en-AU"/>
        </w:rPr>
        <w:t xml:space="preserve">required to be undertaken, PWC Networks </w:t>
      </w:r>
      <w:r w:rsidR="00E60A6A">
        <w:rPr>
          <w:lang w:val="en-AU"/>
        </w:rPr>
        <w:t xml:space="preserve">would be able to apply to </w:t>
      </w:r>
      <w:r w:rsidR="0030167B">
        <w:rPr>
          <w:lang w:val="en-AU"/>
        </w:rPr>
        <w:t>t</w:t>
      </w:r>
      <w:r>
        <w:rPr>
          <w:lang w:val="en-AU"/>
        </w:rPr>
        <w:t>he Commission</w:t>
      </w:r>
      <w:r w:rsidR="00E60A6A">
        <w:rPr>
          <w:lang w:val="en-AU"/>
        </w:rPr>
        <w:t xml:space="preserve"> to approve</w:t>
      </w:r>
      <w:r>
        <w:rPr>
          <w:lang w:val="en-AU"/>
        </w:rPr>
        <w:t xml:space="preserve"> a pass through amount </w:t>
      </w:r>
      <w:r w:rsidR="00E60A6A">
        <w:rPr>
          <w:lang w:val="en-AU"/>
        </w:rPr>
        <w:t>or adjust the 2014 Network Price Determination to accommodate the amount of capital expenditure reasonably required for the purpose of undertaking the</w:t>
      </w:r>
      <w:r>
        <w:rPr>
          <w:lang w:val="en-AU"/>
        </w:rPr>
        <w:t xml:space="preserve"> contingent project. </w:t>
      </w:r>
    </w:p>
    <w:p w14:paraId="78F74A0F" w14:textId="624AC8C5" w:rsidR="004A1321" w:rsidRPr="00083FAA" w:rsidRDefault="004A1321" w:rsidP="004A1321">
      <w:pPr>
        <w:pStyle w:val="UtilComHeading2"/>
      </w:pPr>
      <w:bookmarkStart w:id="281" w:name="_Toc385241563"/>
      <w:bookmarkStart w:id="282" w:name="_Toc386013116"/>
      <w:r w:rsidRPr="00083FAA">
        <w:t xml:space="preserve">PWC Networks’ </w:t>
      </w:r>
      <w:r w:rsidR="0043071F">
        <w:t>R</w:t>
      </w:r>
      <w:r w:rsidR="0043071F" w:rsidRPr="00083FAA">
        <w:t xml:space="preserve">evised </w:t>
      </w:r>
      <w:r w:rsidR="0043071F">
        <w:t>R</w:t>
      </w:r>
      <w:r w:rsidR="0043071F" w:rsidRPr="00083FAA">
        <w:t xml:space="preserve">egulatory </w:t>
      </w:r>
      <w:bookmarkEnd w:id="281"/>
      <w:r w:rsidR="0043071F">
        <w:t>P</w:t>
      </w:r>
      <w:r w:rsidR="0043071F" w:rsidRPr="00083FAA">
        <w:t>roposal</w:t>
      </w:r>
      <w:bookmarkEnd w:id="282"/>
    </w:p>
    <w:p w14:paraId="41E10C86" w14:textId="0D568FC7" w:rsidR="004A1321" w:rsidRDefault="004A1321" w:rsidP="004A1321">
      <w:pPr>
        <w:pStyle w:val="NumberLevel2"/>
        <w:numPr>
          <w:ilvl w:val="1"/>
          <w:numId w:val="5"/>
        </w:numPr>
        <w:tabs>
          <w:tab w:val="num" w:pos="709"/>
        </w:tabs>
        <w:ind w:left="709" w:hanging="709"/>
        <w:rPr>
          <w:lang w:val="en-AU"/>
        </w:rPr>
      </w:pPr>
      <w:r>
        <w:rPr>
          <w:lang w:val="en-AU"/>
        </w:rPr>
        <w:t xml:space="preserve">PWC Networks </w:t>
      </w:r>
      <w:r w:rsidR="004662B1">
        <w:rPr>
          <w:lang w:val="en-AU"/>
        </w:rPr>
        <w:t>re</w:t>
      </w:r>
      <w:r>
        <w:rPr>
          <w:lang w:val="en-AU"/>
        </w:rPr>
        <w:t xml:space="preserve">submitted that an insurance deductible amount should be included </w:t>
      </w:r>
      <w:r w:rsidR="004662B1">
        <w:rPr>
          <w:lang w:val="en-AU"/>
        </w:rPr>
        <w:t xml:space="preserve">within </w:t>
      </w:r>
      <w:r>
        <w:rPr>
          <w:lang w:val="en-AU"/>
        </w:rPr>
        <w:t xml:space="preserve">the insurance </w:t>
      </w:r>
      <w:r w:rsidR="004662B1">
        <w:rPr>
          <w:lang w:val="en-AU"/>
        </w:rPr>
        <w:t>event</w:t>
      </w:r>
      <w:r>
        <w:rPr>
          <w:lang w:val="en-AU"/>
        </w:rPr>
        <w:t xml:space="preserve"> and that a retailer insolvency event should be included as it is allowed for in the NER.</w:t>
      </w:r>
    </w:p>
    <w:p w14:paraId="71AA39E2" w14:textId="4D03AF91" w:rsidR="004A1321" w:rsidRDefault="004A1321" w:rsidP="00563F5A">
      <w:pPr>
        <w:pStyle w:val="NumberLevel2"/>
        <w:numPr>
          <w:ilvl w:val="1"/>
          <w:numId w:val="5"/>
        </w:numPr>
        <w:tabs>
          <w:tab w:val="num" w:pos="709"/>
        </w:tabs>
        <w:ind w:left="709" w:hanging="709"/>
        <w:rPr>
          <w:lang w:val="en-AU"/>
        </w:rPr>
      </w:pPr>
      <w:r>
        <w:rPr>
          <w:lang w:val="en-AU"/>
        </w:rPr>
        <w:t xml:space="preserve">PWC Networks </w:t>
      </w:r>
      <w:r w:rsidR="00563F5A">
        <w:rPr>
          <w:lang w:val="en-AU"/>
        </w:rPr>
        <w:t>noted</w:t>
      </w:r>
      <w:r>
        <w:rPr>
          <w:lang w:val="en-AU"/>
        </w:rPr>
        <w:t xml:space="preserve"> the package of regulatory reform announced by the Treas</w:t>
      </w:r>
      <w:r w:rsidR="00563F5A">
        <w:rPr>
          <w:lang w:val="en-AU"/>
        </w:rPr>
        <w:t>urer in November 2013, including application of relevant parts of the NEL and NER</w:t>
      </w:r>
      <w:r w:rsidR="0030167B">
        <w:rPr>
          <w:lang w:val="en-AU"/>
        </w:rPr>
        <w:t>,</w:t>
      </w:r>
      <w:r w:rsidR="00563F5A">
        <w:rPr>
          <w:lang w:val="en-AU"/>
        </w:rPr>
        <w:t xml:space="preserve"> and sought confirmation from the Commission that the costs incurred in negotiating transitional arrangements would be considered a regulatory change event.</w:t>
      </w:r>
    </w:p>
    <w:p w14:paraId="2A7B7EB3" w14:textId="20EBE9BD" w:rsidR="00563F5A" w:rsidRDefault="00563F5A" w:rsidP="00563F5A">
      <w:pPr>
        <w:pStyle w:val="NumberLevel2"/>
        <w:numPr>
          <w:ilvl w:val="1"/>
          <w:numId w:val="5"/>
        </w:numPr>
        <w:tabs>
          <w:tab w:val="num" w:pos="709"/>
        </w:tabs>
        <w:ind w:left="709" w:hanging="709"/>
        <w:rPr>
          <w:lang w:val="en-AU"/>
        </w:rPr>
      </w:pPr>
      <w:r>
        <w:rPr>
          <w:lang w:val="en-AU"/>
        </w:rPr>
        <w:t xml:space="preserve">PWC Networks also sought clarification from the Commission that costs arising from </w:t>
      </w:r>
      <w:r w:rsidR="00064016">
        <w:rPr>
          <w:lang w:val="en-AU"/>
        </w:rPr>
        <w:t xml:space="preserve">the </w:t>
      </w:r>
      <w:r>
        <w:rPr>
          <w:lang w:val="en-AU"/>
        </w:rPr>
        <w:t xml:space="preserve">structural separation of PWC Generation and PWC Retail into separate stand-alone government owned corporations would be included in the ‘such other events’ category and that these costs </w:t>
      </w:r>
      <w:r w:rsidR="004662B1">
        <w:rPr>
          <w:lang w:val="en-AU"/>
        </w:rPr>
        <w:t>would be</w:t>
      </w:r>
      <w:r>
        <w:rPr>
          <w:lang w:val="en-AU"/>
        </w:rPr>
        <w:t xml:space="preserve"> explicitly excluded from the 2014 Network Price Determination </w:t>
      </w:r>
    </w:p>
    <w:p w14:paraId="6129BC0A" w14:textId="29182CFD" w:rsidR="004662B1" w:rsidRPr="004662B1" w:rsidRDefault="004662B1" w:rsidP="004662B1">
      <w:pPr>
        <w:pStyle w:val="NumberLevel2"/>
        <w:numPr>
          <w:ilvl w:val="1"/>
          <w:numId w:val="5"/>
        </w:numPr>
        <w:tabs>
          <w:tab w:val="num" w:pos="709"/>
        </w:tabs>
        <w:ind w:left="709" w:hanging="709"/>
        <w:rPr>
          <w:lang w:val="en-AU"/>
        </w:rPr>
      </w:pPr>
      <w:r w:rsidRPr="004662B1">
        <w:rPr>
          <w:lang w:val="en-AU"/>
        </w:rPr>
        <w:t>PWC Networks proposed that the PRD 30309 – Darwin – Construction Stage 2 of East Arm Zone project should be a contingent project if it</w:t>
      </w:r>
      <w:r w:rsidR="00064016">
        <w:rPr>
          <w:lang w:val="en-AU"/>
        </w:rPr>
        <w:t xml:space="preserve"> was </w:t>
      </w:r>
      <w:r w:rsidRPr="004662B1">
        <w:rPr>
          <w:lang w:val="en-AU"/>
        </w:rPr>
        <w:t>excluded from the forecast capital expenditure accepted by the Commission for the 2014</w:t>
      </w:r>
      <w:r>
        <w:rPr>
          <w:lang w:val="en-AU"/>
        </w:rPr>
        <w:t>-</w:t>
      </w:r>
      <w:r w:rsidRPr="004662B1">
        <w:rPr>
          <w:lang w:val="en-AU"/>
        </w:rPr>
        <w:t>19 regulatory control period.</w:t>
      </w:r>
    </w:p>
    <w:p w14:paraId="5EB86C92" w14:textId="1CECA0C7" w:rsidR="004A1321" w:rsidRPr="007B064D" w:rsidRDefault="004A1321" w:rsidP="004A1321">
      <w:pPr>
        <w:pStyle w:val="UtilComHeading2"/>
      </w:pPr>
      <w:bookmarkStart w:id="283" w:name="_Toc385241564"/>
      <w:bookmarkStart w:id="284" w:name="_Toc386013117"/>
      <w:r w:rsidRPr="007B064D">
        <w:t xml:space="preserve">Submissions on </w:t>
      </w:r>
      <w:r w:rsidR="0043071F">
        <w:t>D</w:t>
      </w:r>
      <w:r w:rsidR="0043071F" w:rsidRPr="007B064D">
        <w:t xml:space="preserve">raft </w:t>
      </w:r>
      <w:r w:rsidR="0043071F">
        <w:t>D</w:t>
      </w:r>
      <w:r w:rsidR="0043071F" w:rsidRPr="007B064D">
        <w:t xml:space="preserve">etermination </w:t>
      </w:r>
      <w:r w:rsidRPr="007B064D">
        <w:t xml:space="preserve">and </w:t>
      </w:r>
      <w:r w:rsidR="0043071F">
        <w:t>R</w:t>
      </w:r>
      <w:r w:rsidR="0043071F" w:rsidRPr="007B064D">
        <w:t xml:space="preserve">evised </w:t>
      </w:r>
      <w:r w:rsidR="0043071F">
        <w:t>R</w:t>
      </w:r>
      <w:r w:rsidR="0043071F" w:rsidRPr="007B064D">
        <w:t xml:space="preserve">egulatory </w:t>
      </w:r>
      <w:bookmarkEnd w:id="283"/>
      <w:r w:rsidR="0043071F">
        <w:t>P</w:t>
      </w:r>
      <w:r w:rsidR="0043071F" w:rsidRPr="007B064D">
        <w:t>roposal</w:t>
      </w:r>
      <w:bookmarkEnd w:id="284"/>
    </w:p>
    <w:p w14:paraId="040F92AB" w14:textId="6089C001" w:rsidR="000775D1" w:rsidRDefault="000775D1" w:rsidP="004A1321">
      <w:pPr>
        <w:pStyle w:val="ListParagraph"/>
        <w:numPr>
          <w:ilvl w:val="1"/>
          <w:numId w:val="5"/>
        </w:numPr>
        <w:tabs>
          <w:tab w:val="num" w:pos="709"/>
        </w:tabs>
        <w:ind w:left="709" w:hanging="709"/>
        <w:rPr>
          <w:lang w:val="en-AU"/>
        </w:rPr>
      </w:pPr>
      <w:r>
        <w:rPr>
          <w:lang w:val="en-AU"/>
        </w:rPr>
        <w:t xml:space="preserve">The NTMEU </w:t>
      </w:r>
      <w:r w:rsidR="004662B1">
        <w:rPr>
          <w:lang w:val="en-AU"/>
        </w:rPr>
        <w:t xml:space="preserve">again </w:t>
      </w:r>
      <w:r>
        <w:rPr>
          <w:lang w:val="en-AU"/>
        </w:rPr>
        <w:t>expressed concern at the extent of pass through provisions that were sought by PWC Networks over those allowed in the 2009-14 regulatory control period. The NTMEU considered that the only additional pass through provision that should be allowed</w:t>
      </w:r>
      <w:r w:rsidR="00064016">
        <w:rPr>
          <w:lang w:val="en-AU"/>
        </w:rPr>
        <w:t xml:space="preserve"> was </w:t>
      </w:r>
      <w:r>
        <w:rPr>
          <w:lang w:val="en-AU"/>
        </w:rPr>
        <w:t xml:space="preserve">if and when the </w:t>
      </w:r>
      <w:r w:rsidR="0030167B">
        <w:rPr>
          <w:lang w:val="en-AU"/>
        </w:rPr>
        <w:t xml:space="preserve">Territory </w:t>
      </w:r>
      <w:r>
        <w:rPr>
          <w:lang w:val="en-AU"/>
        </w:rPr>
        <w:t xml:space="preserve">Government </w:t>
      </w:r>
      <w:r w:rsidR="00A31632">
        <w:rPr>
          <w:lang w:val="en-AU"/>
        </w:rPr>
        <w:t>separates</w:t>
      </w:r>
      <w:r>
        <w:rPr>
          <w:lang w:val="en-AU"/>
        </w:rPr>
        <w:t xml:space="preserve"> retail and generation from PWC Networks.</w:t>
      </w:r>
    </w:p>
    <w:p w14:paraId="1FAD87EE" w14:textId="24186DB4" w:rsidR="000775D1" w:rsidRDefault="000775D1" w:rsidP="004A1321">
      <w:pPr>
        <w:pStyle w:val="ListParagraph"/>
        <w:numPr>
          <w:ilvl w:val="1"/>
          <w:numId w:val="5"/>
        </w:numPr>
        <w:tabs>
          <w:tab w:val="num" w:pos="709"/>
        </w:tabs>
        <w:ind w:left="709" w:hanging="709"/>
        <w:rPr>
          <w:lang w:val="en-AU"/>
        </w:rPr>
      </w:pPr>
      <w:r>
        <w:rPr>
          <w:lang w:val="en-AU"/>
        </w:rPr>
        <w:t xml:space="preserve">The NTMEU also noted the Commission’s introduction of the concept of contingent projects. </w:t>
      </w:r>
    </w:p>
    <w:p w14:paraId="642A0B2F" w14:textId="1ECB8540" w:rsidR="004A1321" w:rsidRDefault="004A1321" w:rsidP="004A1321">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w:t>
      </w:r>
      <w:r>
        <w:rPr>
          <w:lang w:val="en-AU"/>
        </w:rPr>
        <w:t xml:space="preserve"> cost pass throughs </w:t>
      </w:r>
      <w:r w:rsidR="004662B1">
        <w:rPr>
          <w:lang w:val="en-AU"/>
        </w:rPr>
        <w:t xml:space="preserve">or contingent projects </w:t>
      </w:r>
      <w:r>
        <w:rPr>
          <w:lang w:val="en-AU"/>
        </w:rPr>
        <w:t>from interested parties.</w:t>
      </w:r>
    </w:p>
    <w:p w14:paraId="3BFBE45D" w14:textId="43CCE8F1" w:rsidR="004A1321" w:rsidRPr="00BB4EB2" w:rsidRDefault="004A1321" w:rsidP="004A1321">
      <w:pPr>
        <w:pStyle w:val="UtilComHeading2"/>
      </w:pPr>
      <w:bookmarkStart w:id="285" w:name="_Toc385241565"/>
      <w:bookmarkStart w:id="286" w:name="_Toc386013118"/>
      <w:r w:rsidRPr="00BB4EB2">
        <w:t xml:space="preserve">Issues and Commission’s </w:t>
      </w:r>
      <w:r w:rsidR="001D7CF6">
        <w:t>Further</w:t>
      </w:r>
      <w:r w:rsidR="001D7CF6" w:rsidRPr="00BB4EB2">
        <w:t xml:space="preserve"> </w:t>
      </w:r>
      <w:bookmarkEnd w:id="285"/>
      <w:r w:rsidR="001D7CF6">
        <w:t>C</w:t>
      </w:r>
      <w:r w:rsidR="001D7CF6" w:rsidRPr="00BB4EB2">
        <w:t>onsiderations</w:t>
      </w:r>
      <w:bookmarkEnd w:id="286"/>
    </w:p>
    <w:p w14:paraId="45D8DFF1" w14:textId="59E52614" w:rsidR="003B4F98" w:rsidRPr="003B4F98" w:rsidRDefault="003B4F98" w:rsidP="003B4F98">
      <w:pPr>
        <w:pStyle w:val="UtilComHeading3"/>
      </w:pPr>
      <w:r w:rsidRPr="003B4F98">
        <w:t xml:space="preserve">Cost </w:t>
      </w:r>
      <w:r w:rsidR="001D7CF6">
        <w:t>P</w:t>
      </w:r>
      <w:r w:rsidR="001D7CF6" w:rsidRPr="003B4F98">
        <w:t xml:space="preserve">ass </w:t>
      </w:r>
      <w:r w:rsidR="001D7CF6">
        <w:t>T</w:t>
      </w:r>
      <w:r w:rsidR="001D7CF6" w:rsidRPr="003B4F98">
        <w:t>hrough</w:t>
      </w:r>
    </w:p>
    <w:p w14:paraId="2C13F273" w14:textId="46F2BA36" w:rsidR="003B4F98" w:rsidRPr="003B4F98" w:rsidRDefault="003B4F98" w:rsidP="003B4F98">
      <w:pPr>
        <w:pStyle w:val="ListParagraph"/>
        <w:numPr>
          <w:ilvl w:val="1"/>
          <w:numId w:val="5"/>
        </w:numPr>
        <w:tabs>
          <w:tab w:val="num" w:pos="709"/>
        </w:tabs>
        <w:ind w:left="709" w:hanging="709"/>
        <w:rPr>
          <w:lang w:val="en-AU"/>
        </w:rPr>
      </w:pPr>
      <w:r w:rsidRPr="003B4F98">
        <w:rPr>
          <w:lang w:val="en-AU"/>
        </w:rPr>
        <w:t>In determining whether to accept or reject the pass through events proposed by PWC Networks, and in defining the accepted pass through events for the purposes of the 2014 Network Price Determination, the Commission has had regard to:</w:t>
      </w:r>
    </w:p>
    <w:p w14:paraId="1448EDB6" w14:textId="77777777" w:rsidR="003B4F98" w:rsidRPr="003B4F98" w:rsidRDefault="003B4F98" w:rsidP="003B4F98">
      <w:pPr>
        <w:pStyle w:val="UtilComBulletText"/>
        <w:numPr>
          <w:ilvl w:val="0"/>
          <w:numId w:val="6"/>
        </w:numPr>
        <w:tabs>
          <w:tab w:val="clear" w:pos="964"/>
          <w:tab w:val="num" w:pos="1134"/>
        </w:tabs>
        <w:ind w:left="1134" w:hanging="425"/>
      </w:pPr>
      <w:r w:rsidRPr="003B4F98">
        <w:t>the events that are prescribed to be pass through events under Chapter 6 of the NER;</w:t>
      </w:r>
    </w:p>
    <w:p w14:paraId="4CD420FB" w14:textId="77777777" w:rsidR="003B4F98" w:rsidRPr="003B4F98" w:rsidRDefault="003B4F98" w:rsidP="003B4F98">
      <w:pPr>
        <w:pStyle w:val="UtilComBulletText"/>
        <w:numPr>
          <w:ilvl w:val="0"/>
          <w:numId w:val="6"/>
        </w:numPr>
        <w:tabs>
          <w:tab w:val="clear" w:pos="964"/>
          <w:tab w:val="num" w:pos="1134"/>
        </w:tabs>
        <w:ind w:left="1134" w:hanging="425"/>
      </w:pPr>
      <w:r w:rsidRPr="003B4F98">
        <w:t>the approach taken by the AER in accepting or rejecting pass through events in recent distribution determinations; and</w:t>
      </w:r>
    </w:p>
    <w:p w14:paraId="01020A10" w14:textId="1BEED9FA" w:rsidR="003B4F98" w:rsidRPr="003B4F98" w:rsidRDefault="003B4F98" w:rsidP="003B4F98">
      <w:pPr>
        <w:pStyle w:val="UtilComBulletText"/>
        <w:numPr>
          <w:ilvl w:val="0"/>
          <w:numId w:val="6"/>
        </w:numPr>
        <w:tabs>
          <w:tab w:val="clear" w:pos="964"/>
          <w:tab w:val="num" w:pos="1134"/>
        </w:tabs>
        <w:ind w:left="1134" w:hanging="425"/>
      </w:pPr>
      <w:r w:rsidRPr="003B4F98">
        <w:t>the nominated pass through event considerations set out in Chapter 6 of the NER (as repeated in paragraph</w:t>
      </w:r>
      <w:r>
        <w:t> 13.</w:t>
      </w:r>
      <w:r w:rsidR="00064016">
        <w:t>10</w:t>
      </w:r>
      <w:r w:rsidRPr="003B4F98">
        <w:t xml:space="preserve"> above).</w:t>
      </w:r>
    </w:p>
    <w:p w14:paraId="4648C93A" w14:textId="68DE8780" w:rsidR="003B4F98" w:rsidRPr="003B4F98" w:rsidRDefault="003B4F98" w:rsidP="003B4F98">
      <w:pPr>
        <w:pStyle w:val="ListParagraph"/>
        <w:numPr>
          <w:ilvl w:val="1"/>
          <w:numId w:val="5"/>
        </w:numPr>
        <w:tabs>
          <w:tab w:val="num" w:pos="709"/>
        </w:tabs>
        <w:ind w:left="709" w:hanging="709"/>
        <w:rPr>
          <w:lang w:val="en-AU"/>
        </w:rPr>
      </w:pPr>
      <w:r w:rsidRPr="003B4F98">
        <w:rPr>
          <w:lang w:val="en-AU"/>
        </w:rPr>
        <w:t xml:space="preserve">A regulatory change event, service standard event and tax change event are prescribed pass through event under clause 6.6.1 of the NER and therefore the Commission is of the view that it is appropriate for those events to be included as pass through events during the </w:t>
      </w:r>
      <w:r w:rsidR="001D7CF6">
        <w:rPr>
          <w:lang w:val="en-AU"/>
        </w:rPr>
        <w:t>2014-19</w:t>
      </w:r>
      <w:r w:rsidRPr="003B4F98">
        <w:rPr>
          <w:lang w:val="en-AU"/>
        </w:rPr>
        <w:t xml:space="preserve"> regulatory control period.</w:t>
      </w:r>
    </w:p>
    <w:p w14:paraId="715C7F80" w14:textId="1F1EE0AC" w:rsidR="003B4F98" w:rsidRPr="003B4F98" w:rsidRDefault="003B4F98" w:rsidP="003B4F98">
      <w:pPr>
        <w:pStyle w:val="ListParagraph"/>
        <w:numPr>
          <w:ilvl w:val="1"/>
          <w:numId w:val="5"/>
        </w:numPr>
        <w:tabs>
          <w:tab w:val="num" w:pos="709"/>
        </w:tabs>
        <w:ind w:left="709" w:hanging="709"/>
        <w:rPr>
          <w:lang w:val="en-AU"/>
        </w:rPr>
      </w:pPr>
      <w:r w:rsidRPr="003B4F98">
        <w:rPr>
          <w:lang w:val="en-AU"/>
        </w:rPr>
        <w:t>A retailer insolvency event was not a prescribed pass through event under the NER at the time that the Framework Statement was published by the Commission.</w:t>
      </w:r>
      <w:r>
        <w:rPr>
          <w:rStyle w:val="FootnoteReference"/>
          <w:lang w:val="en-AU"/>
        </w:rPr>
        <w:footnoteReference w:id="62"/>
      </w:r>
      <w:r w:rsidRPr="003B4F98">
        <w:rPr>
          <w:lang w:val="en-AU"/>
        </w:rPr>
        <w:t xml:space="preserve"> However, it is a prescribed pass through event</w:t>
      </w:r>
      <w:r w:rsidR="00064016">
        <w:rPr>
          <w:lang w:val="en-AU"/>
        </w:rPr>
        <w:t>s</w:t>
      </w:r>
      <w:r w:rsidRPr="003B4F98">
        <w:rPr>
          <w:lang w:val="en-AU"/>
        </w:rPr>
        <w:t xml:space="preserve"> under the current clause 6.6.1 of the NER.</w:t>
      </w:r>
      <w:r>
        <w:rPr>
          <w:rStyle w:val="FootnoteReference"/>
          <w:lang w:val="en-AU"/>
        </w:rPr>
        <w:footnoteReference w:id="63"/>
      </w:r>
      <w:r>
        <w:rPr>
          <w:lang w:val="en-AU"/>
        </w:rPr>
        <w:t xml:space="preserve"> </w:t>
      </w:r>
      <w:r w:rsidRPr="003B4F98">
        <w:rPr>
          <w:lang w:val="en-AU"/>
        </w:rPr>
        <w:t>As such the Commission has decided that a retailer insolvency event should be a pass through event for the purposes of the 2014 Network Price Determination even though there are other protection</w:t>
      </w:r>
      <w:r w:rsidR="000C17AE">
        <w:rPr>
          <w:lang w:val="en-AU"/>
        </w:rPr>
        <w:t>s</w:t>
      </w:r>
      <w:r w:rsidRPr="003B4F98">
        <w:rPr>
          <w:lang w:val="en-AU"/>
        </w:rPr>
        <w:t xml:space="preserve"> in place under Territory laws to protect PWC Networks from the insolvency of a retailer (</w:t>
      </w:r>
      <w:r w:rsidR="00064016">
        <w:rPr>
          <w:lang w:val="en-AU"/>
        </w:rPr>
        <w:t xml:space="preserve">as </w:t>
      </w:r>
      <w:r w:rsidRPr="003B4F98">
        <w:rPr>
          <w:lang w:val="en-AU"/>
        </w:rPr>
        <w:t>similar protections are also in place under the NER).</w:t>
      </w:r>
    </w:p>
    <w:p w14:paraId="0494371B" w14:textId="42D4633B" w:rsidR="003B4F98" w:rsidRPr="003B4F98" w:rsidRDefault="003B4F98" w:rsidP="003B4F98">
      <w:pPr>
        <w:pStyle w:val="ListParagraph"/>
        <w:numPr>
          <w:ilvl w:val="1"/>
          <w:numId w:val="5"/>
        </w:numPr>
        <w:tabs>
          <w:tab w:val="num" w:pos="709"/>
        </w:tabs>
        <w:ind w:left="709" w:hanging="709"/>
        <w:rPr>
          <w:lang w:val="en-AU"/>
        </w:rPr>
      </w:pPr>
      <w:r w:rsidRPr="003B4F98">
        <w:rPr>
          <w:lang w:val="en-AU"/>
        </w:rPr>
        <w:t>A terrorism event was a prescribed pass through event under the NER at the time that the Framework Statement was published by the Commission.</w:t>
      </w:r>
      <w:r>
        <w:rPr>
          <w:rStyle w:val="FootnoteReference"/>
          <w:lang w:val="en-AU"/>
        </w:rPr>
        <w:footnoteReference w:id="64"/>
      </w:r>
      <w:r>
        <w:rPr>
          <w:lang w:val="en-AU"/>
        </w:rPr>
        <w:t xml:space="preserve"> </w:t>
      </w:r>
      <w:r w:rsidRPr="003B4F98">
        <w:rPr>
          <w:lang w:val="en-AU"/>
        </w:rPr>
        <w:t>However, it is no longer a prescribed pass through event under the NER. Despite this, taking into account the nominated pass through event considerations, the Commission is of the view that a terrorism event, as previously defined under the NER, should be a pass through event for the purposes of the 2014 Network Price Determination.</w:t>
      </w:r>
    </w:p>
    <w:p w14:paraId="4512C5F9" w14:textId="1E804BE0" w:rsidR="003B4F98" w:rsidRPr="003B4F98" w:rsidRDefault="003B4F98" w:rsidP="003B4F98">
      <w:pPr>
        <w:pStyle w:val="ListParagraph"/>
        <w:numPr>
          <w:ilvl w:val="1"/>
          <w:numId w:val="5"/>
        </w:numPr>
        <w:tabs>
          <w:tab w:val="num" w:pos="709"/>
        </w:tabs>
        <w:ind w:left="709" w:hanging="709"/>
        <w:rPr>
          <w:lang w:val="en-AU"/>
        </w:rPr>
      </w:pPr>
      <w:r w:rsidRPr="003B4F98">
        <w:rPr>
          <w:lang w:val="en-AU"/>
        </w:rPr>
        <w:t>An insurance event has been included as a pass through event in the AER's recent revenue determinations for SP AusNet's 2014</w:t>
      </w:r>
      <w:r w:rsidR="00064016">
        <w:rPr>
          <w:lang w:val="en-AU"/>
        </w:rPr>
        <w:t>-</w:t>
      </w:r>
      <w:r w:rsidRPr="003B4F98">
        <w:rPr>
          <w:lang w:val="en-AU"/>
        </w:rPr>
        <w:t>17 regulatory control period (for</w:t>
      </w:r>
      <w:r w:rsidR="00064016">
        <w:rPr>
          <w:lang w:val="en-AU"/>
        </w:rPr>
        <w:t> </w:t>
      </w:r>
      <w:r w:rsidRPr="003B4F98">
        <w:rPr>
          <w:lang w:val="en-AU"/>
        </w:rPr>
        <w:t>transmission services), Aurora Energy's 2012</w:t>
      </w:r>
      <w:r w:rsidR="00064016">
        <w:rPr>
          <w:lang w:val="en-AU"/>
        </w:rPr>
        <w:t>-</w:t>
      </w:r>
      <w:r w:rsidRPr="003B4F98">
        <w:rPr>
          <w:lang w:val="en-AU"/>
        </w:rPr>
        <w:t>17 regulatory control period (for</w:t>
      </w:r>
      <w:r w:rsidR="00064016">
        <w:rPr>
          <w:lang w:val="en-AU"/>
        </w:rPr>
        <w:t> </w:t>
      </w:r>
      <w:r w:rsidRPr="003B4F98">
        <w:rPr>
          <w:lang w:val="en-AU"/>
        </w:rPr>
        <w:t>distribution services) and the Victorian DNSPs' 2011</w:t>
      </w:r>
      <w:r w:rsidR="00064016">
        <w:rPr>
          <w:lang w:val="en-AU"/>
        </w:rPr>
        <w:t>-</w:t>
      </w:r>
      <w:r w:rsidRPr="003B4F98">
        <w:rPr>
          <w:lang w:val="en-AU"/>
        </w:rPr>
        <w:t>15 regulatory control periods. However, for DNSPs, an insurance event has been limited to a liability over the insurance cap event and an insurer credit risk event.</w:t>
      </w:r>
    </w:p>
    <w:p w14:paraId="7C41C003" w14:textId="3AEB9995" w:rsidR="003B4F98" w:rsidRPr="003B4F98" w:rsidRDefault="003B4F98" w:rsidP="003B4F98">
      <w:pPr>
        <w:pStyle w:val="ListParagraph"/>
        <w:numPr>
          <w:ilvl w:val="1"/>
          <w:numId w:val="5"/>
        </w:numPr>
        <w:tabs>
          <w:tab w:val="num" w:pos="709"/>
        </w:tabs>
        <w:ind w:left="709" w:hanging="709"/>
        <w:rPr>
          <w:lang w:val="en-AU"/>
        </w:rPr>
      </w:pPr>
      <w:r w:rsidRPr="003B4F98">
        <w:rPr>
          <w:lang w:val="en-AU"/>
        </w:rPr>
        <w:t>As such, having regard to the approach currently taken by the AER and the nominated pass through event considerations, the Commission has decided to reject PWC Networks' proposal that an insurance deductible amount be included as a pass through event and has defined an insurance event to include the liability over the insurance cap event and the insurer credit risk event included by the AER in</w:t>
      </w:r>
      <w:r w:rsidR="00064016">
        <w:rPr>
          <w:lang w:val="en-AU"/>
        </w:rPr>
        <w:t xml:space="preserve"> its</w:t>
      </w:r>
      <w:r w:rsidRPr="003B4F98">
        <w:rPr>
          <w:lang w:val="en-AU"/>
        </w:rPr>
        <w:t xml:space="preserve"> recent distribution determinations.</w:t>
      </w:r>
    </w:p>
    <w:p w14:paraId="01703C23" w14:textId="245FE64B" w:rsidR="003B4F98" w:rsidRPr="003B4F98" w:rsidRDefault="003B4F98" w:rsidP="003B4F98">
      <w:pPr>
        <w:pStyle w:val="ListParagraph"/>
        <w:numPr>
          <w:ilvl w:val="1"/>
          <w:numId w:val="5"/>
        </w:numPr>
        <w:tabs>
          <w:tab w:val="num" w:pos="709"/>
        </w:tabs>
        <w:ind w:left="709" w:hanging="709"/>
        <w:rPr>
          <w:lang w:val="en-AU"/>
        </w:rPr>
      </w:pPr>
      <w:r w:rsidRPr="003B4F98">
        <w:rPr>
          <w:lang w:val="en-AU"/>
        </w:rPr>
        <w:t>A force majeure event has been included in the AER's recent revenue determinations for SP AusNet's 2014</w:t>
      </w:r>
      <w:r w:rsidR="00064016">
        <w:rPr>
          <w:lang w:val="en-AU"/>
        </w:rPr>
        <w:t>-</w:t>
      </w:r>
      <w:r w:rsidRPr="003B4F98">
        <w:rPr>
          <w:lang w:val="en-AU"/>
        </w:rPr>
        <w:t>17 regulatory control period (for transmission services), Aurora Energy's 2012</w:t>
      </w:r>
      <w:r w:rsidR="00064016">
        <w:rPr>
          <w:lang w:val="en-AU"/>
        </w:rPr>
        <w:t>-</w:t>
      </w:r>
      <w:r w:rsidRPr="003B4F98">
        <w:rPr>
          <w:lang w:val="en-AU"/>
        </w:rPr>
        <w:t xml:space="preserve"> 17 regulatory control period (for distribution services) and the Victorian DNSPs' 2011</w:t>
      </w:r>
      <w:r w:rsidR="00064016">
        <w:rPr>
          <w:lang w:val="en-AU"/>
        </w:rPr>
        <w:t>-</w:t>
      </w:r>
      <w:r w:rsidRPr="003B4F98">
        <w:rPr>
          <w:lang w:val="en-AU"/>
        </w:rPr>
        <w:t xml:space="preserve">15 regulatory control periods. However, the term 'natural disaster event' has been used to describe this type of event. The Commission has decided to include a 'natural disaster event' as defined by the AER in its recent revenue determinations in the 2014 Network Price Determination. </w:t>
      </w:r>
    </w:p>
    <w:p w14:paraId="49BFC6BB" w14:textId="77777777" w:rsidR="003B4F98" w:rsidRPr="003B4F98" w:rsidRDefault="003B4F98" w:rsidP="003B4F98">
      <w:pPr>
        <w:pStyle w:val="ListParagraph"/>
        <w:numPr>
          <w:ilvl w:val="1"/>
          <w:numId w:val="5"/>
        </w:numPr>
        <w:tabs>
          <w:tab w:val="num" w:pos="709"/>
        </w:tabs>
        <w:ind w:left="709" w:hanging="709"/>
        <w:rPr>
          <w:lang w:val="en-AU"/>
        </w:rPr>
      </w:pPr>
      <w:r w:rsidRPr="003B4F98">
        <w:rPr>
          <w:lang w:val="en-AU"/>
        </w:rPr>
        <w:t>In the Draft Determination the Commission included a pass through event that is essentially a 'general pass through event'. However, it has come to the attention of the Commission that it is no longer generally accepted regulatory practice to include this type of general pass through event within a revenue determination. Rather, the AER requires that specific and clearly definable pass through events must be proposed and then assessed against the nominated pass through event considerations.</w:t>
      </w:r>
    </w:p>
    <w:p w14:paraId="7BB192F3" w14:textId="116B51DB" w:rsidR="00731BF6" w:rsidRDefault="00731BF6" w:rsidP="00731BF6">
      <w:pPr>
        <w:pStyle w:val="NumberLevel2"/>
        <w:numPr>
          <w:ilvl w:val="1"/>
          <w:numId w:val="5"/>
        </w:numPr>
        <w:tabs>
          <w:tab w:val="clear" w:pos="3270"/>
          <w:tab w:val="num" w:pos="709"/>
        </w:tabs>
        <w:ind w:left="709" w:hanging="709"/>
        <w:rPr>
          <w:lang w:val="en-AU"/>
        </w:rPr>
      </w:pPr>
      <w:r>
        <w:rPr>
          <w:lang w:val="en-AU"/>
        </w:rPr>
        <w:t xml:space="preserve">In </w:t>
      </w:r>
      <w:r w:rsidR="0026697E">
        <w:rPr>
          <w:lang w:val="en-AU"/>
        </w:rPr>
        <w:t xml:space="preserve">the AER’s </w:t>
      </w:r>
      <w:r>
        <w:rPr>
          <w:lang w:val="en-AU"/>
        </w:rPr>
        <w:t>draft distribution determination for Victoria</w:t>
      </w:r>
      <w:r w:rsidR="0026697E">
        <w:rPr>
          <w:lang w:val="en-AU"/>
        </w:rPr>
        <w:t>n DNSPs 2011-2015 regulatory control period</w:t>
      </w:r>
      <w:r>
        <w:rPr>
          <w:lang w:val="en-AU"/>
        </w:rPr>
        <w:t>, the AER advised that:</w:t>
      </w:r>
    </w:p>
    <w:p w14:paraId="665F5E13" w14:textId="77777777" w:rsidR="00E37511" w:rsidRPr="00731BF6" w:rsidRDefault="00E37511" w:rsidP="00731BF6">
      <w:pPr>
        <w:pStyle w:val="UtilComQuotationText"/>
        <w:ind w:left="1134"/>
      </w:pPr>
      <w:r w:rsidRPr="00731BF6">
        <w:t>the AER no longer considers it appropriate to include a</w:t>
      </w:r>
      <w:r w:rsidR="00731BF6" w:rsidRPr="00731BF6">
        <w:t xml:space="preserve"> </w:t>
      </w:r>
      <w:r w:rsidRPr="00731BF6">
        <w:t>general nominated pass through event for DNSPs as the general pass through event</w:t>
      </w:r>
      <w:r w:rsidR="00731BF6" w:rsidRPr="00731BF6">
        <w:t xml:space="preserve"> </w:t>
      </w:r>
      <w:r w:rsidRPr="00731BF6">
        <w:t>does not meet the following assessment criteria:</w:t>
      </w:r>
    </w:p>
    <w:p w14:paraId="73A8EB05" w14:textId="0D863AE1" w:rsidR="00E37511" w:rsidRPr="00731BF6" w:rsidRDefault="00E37511" w:rsidP="001209C6">
      <w:pPr>
        <w:pStyle w:val="UtilComQuotationText"/>
        <w:numPr>
          <w:ilvl w:val="0"/>
          <w:numId w:val="50"/>
        </w:numPr>
      </w:pPr>
      <w:r w:rsidRPr="00731BF6">
        <w:t>the passing through of the costs associated with the event would not undermine</w:t>
      </w:r>
      <w:r w:rsidR="00731BF6">
        <w:t xml:space="preserve"> </w:t>
      </w:r>
      <w:r w:rsidRPr="00731BF6">
        <w:t>the incentive arrangements within the regulatory regime (refer discussion of the</w:t>
      </w:r>
      <w:r w:rsidR="00731BF6">
        <w:t xml:space="preserve"> </w:t>
      </w:r>
      <w:r w:rsidRPr="00731BF6">
        <w:t>ESCV's concerns with information asymmetry, and SCO policy positions</w:t>
      </w:r>
      <w:r w:rsidR="00731BF6">
        <w:t xml:space="preserve"> </w:t>
      </w:r>
      <w:r w:rsidRPr="00731BF6">
        <w:t>discussed above)</w:t>
      </w:r>
    </w:p>
    <w:p w14:paraId="324D2324" w14:textId="718D71E6" w:rsidR="00E37511" w:rsidRPr="00731BF6" w:rsidRDefault="00E37511" w:rsidP="001209C6">
      <w:pPr>
        <w:pStyle w:val="UtilComQuotationText"/>
        <w:numPr>
          <w:ilvl w:val="0"/>
          <w:numId w:val="50"/>
        </w:numPr>
      </w:pPr>
      <w:r w:rsidRPr="00731BF6">
        <w:t>the event is foreseeable in that the nature or type of event can be clearly identified</w:t>
      </w:r>
      <w:r w:rsidR="00731BF6">
        <w:t xml:space="preserve"> </w:t>
      </w:r>
      <w:r w:rsidRPr="00731BF6">
        <w:t>(see discussion of AER's transmission guideline above).</w:t>
      </w:r>
    </w:p>
    <w:p w14:paraId="5449ED60" w14:textId="77777777" w:rsidR="00E37511" w:rsidRDefault="00731BF6" w:rsidP="00731BF6">
      <w:pPr>
        <w:pStyle w:val="UtilComQuotationText"/>
        <w:ind w:left="1134"/>
      </w:pPr>
      <w:r>
        <w:t>T</w:t>
      </w:r>
      <w:r w:rsidR="00E37511" w:rsidRPr="00731BF6">
        <w:t>he AER considers that events of this nature can be captured through the inclusion of</w:t>
      </w:r>
      <w:r>
        <w:t xml:space="preserve"> </w:t>
      </w:r>
      <w:r w:rsidR="00E37511" w:rsidRPr="00731BF6">
        <w:t>a nominated pass through event, that is, the 'natural disaster' pass through event</w:t>
      </w:r>
      <w:r>
        <w:t xml:space="preserve"> (p.722)</w:t>
      </w:r>
    </w:p>
    <w:p w14:paraId="332458CA" w14:textId="5D2FEA64" w:rsidR="00731BF6" w:rsidRDefault="00731BF6" w:rsidP="00731BF6">
      <w:pPr>
        <w:pStyle w:val="NumberLevel2"/>
        <w:numPr>
          <w:ilvl w:val="1"/>
          <w:numId w:val="5"/>
        </w:numPr>
        <w:tabs>
          <w:tab w:val="clear" w:pos="3270"/>
          <w:tab w:val="num" w:pos="709"/>
        </w:tabs>
        <w:ind w:left="709" w:hanging="709"/>
        <w:rPr>
          <w:lang w:val="en-AU"/>
        </w:rPr>
      </w:pPr>
      <w:r>
        <w:rPr>
          <w:lang w:val="en-AU"/>
        </w:rPr>
        <w:t>Further, although couched in general terms, the inclusion of the general pass through event in the 2009 Network Price Determination was a direct response</w:t>
      </w:r>
      <w:r w:rsidRPr="00731BF6">
        <w:rPr>
          <w:lang w:val="en-AU"/>
        </w:rPr>
        <w:t xml:space="preserve"> </w:t>
      </w:r>
      <w:r>
        <w:rPr>
          <w:lang w:val="en-AU"/>
        </w:rPr>
        <w:t xml:space="preserve">to the Casuarina zone substation incident in late 2008, </w:t>
      </w:r>
      <w:r w:rsidRPr="00731BF6">
        <w:rPr>
          <w:lang w:val="en-AU"/>
        </w:rPr>
        <w:t xml:space="preserve">where costs were not settled </w:t>
      </w:r>
      <w:r>
        <w:rPr>
          <w:lang w:val="en-AU"/>
        </w:rPr>
        <w:t xml:space="preserve">in time for inclusion in the 2009 Network Price Determination. </w:t>
      </w:r>
    </w:p>
    <w:p w14:paraId="0A6170E7" w14:textId="39C53147" w:rsidR="001209C6" w:rsidRDefault="001209C6" w:rsidP="00731BF6">
      <w:pPr>
        <w:pStyle w:val="NumberLevel2"/>
        <w:numPr>
          <w:ilvl w:val="1"/>
          <w:numId w:val="5"/>
        </w:numPr>
        <w:tabs>
          <w:tab w:val="clear" w:pos="3270"/>
          <w:tab w:val="num" w:pos="709"/>
        </w:tabs>
        <w:ind w:left="709" w:hanging="709"/>
        <w:rPr>
          <w:lang w:val="en-AU"/>
        </w:rPr>
      </w:pPr>
      <w:r>
        <w:rPr>
          <w:lang w:val="en-AU"/>
        </w:rPr>
        <w:t>As such, the Commission has decided not to include a ‘general pass through event’ in the 2014 Network Price Determination.</w:t>
      </w:r>
    </w:p>
    <w:p w14:paraId="146EF9DA" w14:textId="4ACC6294" w:rsidR="00731BF6" w:rsidRPr="00731BF6" w:rsidRDefault="00713C69" w:rsidP="00731BF6">
      <w:pPr>
        <w:pStyle w:val="NumberLevel2"/>
        <w:numPr>
          <w:ilvl w:val="1"/>
          <w:numId w:val="5"/>
        </w:numPr>
        <w:tabs>
          <w:tab w:val="clear" w:pos="3270"/>
          <w:tab w:val="num" w:pos="709"/>
        </w:tabs>
        <w:ind w:left="709" w:hanging="709"/>
        <w:rPr>
          <w:lang w:val="en-AU"/>
        </w:rPr>
      </w:pPr>
      <w:r>
        <w:rPr>
          <w:lang w:val="en-AU"/>
        </w:rPr>
        <w:t xml:space="preserve">In removing the general provision, however, the Commission </w:t>
      </w:r>
      <w:r w:rsidR="001209C6">
        <w:rPr>
          <w:lang w:val="en-AU"/>
        </w:rPr>
        <w:t xml:space="preserve">has accepted </w:t>
      </w:r>
      <w:r w:rsidR="00403265">
        <w:rPr>
          <w:lang w:val="en-AU"/>
        </w:rPr>
        <w:t xml:space="preserve">a </w:t>
      </w:r>
      <w:r>
        <w:rPr>
          <w:lang w:val="en-AU"/>
        </w:rPr>
        <w:t xml:space="preserve">structural separation </w:t>
      </w:r>
      <w:r w:rsidR="00403265">
        <w:rPr>
          <w:lang w:val="en-AU"/>
        </w:rPr>
        <w:t>event</w:t>
      </w:r>
      <w:r w:rsidR="001209C6">
        <w:rPr>
          <w:lang w:val="en-AU"/>
        </w:rPr>
        <w:t xml:space="preserve"> should be separately defined in the 2014 Network Price Determination as a pass through event</w:t>
      </w:r>
      <w:r w:rsidR="00D85822">
        <w:rPr>
          <w:lang w:val="en-AU"/>
        </w:rPr>
        <w:t>.</w:t>
      </w:r>
      <w:r w:rsidR="00403265">
        <w:rPr>
          <w:lang w:val="en-AU"/>
        </w:rPr>
        <w:t xml:space="preserve"> </w:t>
      </w:r>
    </w:p>
    <w:p w14:paraId="79E7B87C" w14:textId="051EA40C" w:rsidR="00713C69" w:rsidRDefault="001209C6" w:rsidP="001209C6">
      <w:pPr>
        <w:pStyle w:val="ListParagraph"/>
        <w:numPr>
          <w:ilvl w:val="1"/>
          <w:numId w:val="5"/>
        </w:numPr>
        <w:tabs>
          <w:tab w:val="num" w:pos="709"/>
        </w:tabs>
        <w:ind w:left="709" w:hanging="709"/>
        <w:rPr>
          <w:lang w:val="en-AU"/>
        </w:rPr>
      </w:pPr>
      <w:r>
        <w:rPr>
          <w:lang w:val="en-AU"/>
        </w:rPr>
        <w:t xml:space="preserve">In its revised regulatory proposal, </w:t>
      </w:r>
      <w:r w:rsidR="00713C69">
        <w:rPr>
          <w:lang w:val="en-AU"/>
        </w:rPr>
        <w:t xml:space="preserve">PWC Networks sought clarification from the Commission as to whether certain specific activities would </w:t>
      </w:r>
      <w:r>
        <w:rPr>
          <w:lang w:val="en-AU"/>
        </w:rPr>
        <w:t xml:space="preserve">fall </w:t>
      </w:r>
      <w:r w:rsidR="00713C69">
        <w:rPr>
          <w:lang w:val="en-AU"/>
        </w:rPr>
        <w:t xml:space="preserve">within the </w:t>
      </w:r>
      <w:r>
        <w:rPr>
          <w:lang w:val="en-AU"/>
        </w:rPr>
        <w:t>accepted</w:t>
      </w:r>
      <w:r w:rsidR="00713C69">
        <w:rPr>
          <w:lang w:val="en-AU"/>
        </w:rPr>
        <w:t xml:space="preserve"> pass through events. The Commission has </w:t>
      </w:r>
      <w:r>
        <w:rPr>
          <w:lang w:val="en-AU"/>
        </w:rPr>
        <w:t>defined the pass through events for the 2014 Network Price Determination</w:t>
      </w:r>
      <w:r w:rsidR="00713C69">
        <w:rPr>
          <w:lang w:val="en-AU"/>
        </w:rPr>
        <w:t xml:space="preserve"> </w:t>
      </w:r>
      <w:r>
        <w:rPr>
          <w:lang w:val="en-AU"/>
        </w:rPr>
        <w:t>and</w:t>
      </w:r>
      <w:r w:rsidR="00713C69">
        <w:rPr>
          <w:lang w:val="en-AU"/>
        </w:rPr>
        <w:t xml:space="preserve"> considers that the definitions are sufficiently clear for PWC Networks to determine whether a particular event </w:t>
      </w:r>
      <w:r>
        <w:rPr>
          <w:lang w:val="en-AU"/>
        </w:rPr>
        <w:t>would in fact be</w:t>
      </w:r>
      <w:r w:rsidR="00713C69">
        <w:rPr>
          <w:lang w:val="en-AU"/>
        </w:rPr>
        <w:t xml:space="preserve"> a pass through event. </w:t>
      </w:r>
      <w:r w:rsidRPr="001209C6">
        <w:rPr>
          <w:lang w:val="en-AU"/>
        </w:rPr>
        <w:t>However, whether a particular event satisfies the requirements for a pass through event will depend upon the circumstances and characteristics of the event and can only be conclusively determined at the relevant time</w:t>
      </w:r>
      <w:r>
        <w:rPr>
          <w:lang w:val="en-AU"/>
        </w:rPr>
        <w:t>.</w:t>
      </w:r>
    </w:p>
    <w:p w14:paraId="06878BEF" w14:textId="13BC7AD6" w:rsidR="0025718D" w:rsidRPr="000022D0" w:rsidRDefault="0025718D" w:rsidP="000022D0">
      <w:pPr>
        <w:pStyle w:val="UtilComHeading3"/>
      </w:pPr>
      <w:r w:rsidRPr="000022D0">
        <w:t xml:space="preserve">Contingent </w:t>
      </w:r>
      <w:r w:rsidR="001D7CF6">
        <w:t>P</w:t>
      </w:r>
      <w:r w:rsidR="001D7CF6" w:rsidRPr="000022D0">
        <w:t>rojects</w:t>
      </w:r>
    </w:p>
    <w:p w14:paraId="190FF777" w14:textId="7B6FAE5C"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 xml:space="preserve">The Commission </w:t>
      </w:r>
      <w:r w:rsidR="00064016">
        <w:rPr>
          <w:lang w:val="en-AU"/>
        </w:rPr>
        <w:t xml:space="preserve">has </w:t>
      </w:r>
      <w:r w:rsidRPr="0025718D">
        <w:rPr>
          <w:lang w:val="en-AU"/>
        </w:rPr>
        <w:t xml:space="preserve">considered the criteria in clause 6.6A.1(b) of the NER when determining whether the projects proposed by PWC Networks should be contingent projects for the purposes of the 2014 Network Price Determination. </w:t>
      </w:r>
    </w:p>
    <w:p w14:paraId="14954715" w14:textId="0680F956"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However, the Commission</w:t>
      </w:r>
      <w:r w:rsidR="00064016">
        <w:rPr>
          <w:lang w:val="en-AU"/>
        </w:rPr>
        <w:t xml:space="preserve"> has</w:t>
      </w:r>
      <w:r w:rsidRPr="0025718D">
        <w:rPr>
          <w:lang w:val="en-AU"/>
        </w:rPr>
        <w:t xml:space="preserve"> decided that the contingent project threshold should be lower than the threshold set out in clause 6.6A.1(b)(2)(iii) of the NER because of the lack of economies of scale in the Northern Territory.</w:t>
      </w:r>
    </w:p>
    <w:p w14:paraId="3DD4A29B" w14:textId="77777777"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On this basis, the Commission has considered whether the PRD30600 – New Mitchell Street Switching Station project and the PRD 30309 – Darwin – Construction Stage 2 of East Arm Zone Substation project should be contingent projects for the purposes of the 2014 Network Price Determination.</w:t>
      </w:r>
    </w:p>
    <w:p w14:paraId="38960F43" w14:textId="77777777" w:rsidR="0025718D" w:rsidRPr="000022D0" w:rsidRDefault="0025718D" w:rsidP="000022D0">
      <w:pPr>
        <w:pStyle w:val="UtilComHeading4"/>
        <w:spacing w:before="120"/>
        <w:rPr>
          <w:b/>
          <w:i w:val="0"/>
          <w:lang w:val="en-AU"/>
        </w:rPr>
      </w:pPr>
      <w:r w:rsidRPr="000022D0">
        <w:rPr>
          <w:b/>
          <w:i w:val="0"/>
          <w:lang w:val="en-AU"/>
        </w:rPr>
        <w:t>PRD30600 – New Mitchell Street Switching Station project</w:t>
      </w:r>
    </w:p>
    <w:p w14:paraId="6FD44412" w14:textId="77777777"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driver for the New Mitchell Street Switching Station project is the possibility that PWC Networks will need to vacate the existing Mitchell Street Switching Station site if the Darwin City Council does not agree to extend the term of the lease which PWC Networks has over this site for at least five years (to 2023). The Mitchell Street Switching Station is used by PWC Networks to supply electricity to the Darwin CBD.</w:t>
      </w:r>
    </w:p>
    <w:p w14:paraId="3D44525D" w14:textId="1F91CAE8"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scope of the proposed contingent project involves the construction of a new switching station on a block of land owned by PWC Networks adjacent to the existing Mitchell Street Switching Station site. PWC Network's current forecast of the total capital expenditure for this contingent project is $15</w:t>
      </w:r>
      <w:r w:rsidR="000022D0">
        <w:rPr>
          <w:lang w:val="en-AU"/>
        </w:rPr>
        <w:t>.2 </w:t>
      </w:r>
      <w:r w:rsidRPr="0025718D">
        <w:rPr>
          <w:lang w:val="en-AU"/>
        </w:rPr>
        <w:t>million (nominal).</w:t>
      </w:r>
    </w:p>
    <w:p w14:paraId="01187BF3" w14:textId="77777777"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trigger event for this proposed contingent project is PWC Networks receiving a formal notification from Darwin City Council that it will not agree to extend the term of the current lease until at least 2023 having exhausted all other reasonable avenues for securing the necessary tenure for the Mitchell Street Switching Station site.</w:t>
      </w:r>
    </w:p>
    <w:p w14:paraId="2357DBAA" w14:textId="77777777"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Commission is of the view that the New Mitchell Street Switching Station project is reasonably required to be undertaken in order to achieve the capital expenditure, the trigger event is appropriate and the contingent project satisfies all of the criteria under clause 6.6A.1 of the NER.</w:t>
      </w:r>
    </w:p>
    <w:p w14:paraId="31CCEBC1" w14:textId="77777777" w:rsidR="00AF25B5" w:rsidRDefault="00AF25B5" w:rsidP="00AF25B5">
      <w:pPr>
        <w:spacing w:before="0" w:after="0" w:line="240" w:lineRule="auto"/>
        <w:rPr>
          <w:b/>
          <w:i/>
          <w:lang w:val="en-AU"/>
        </w:rPr>
      </w:pPr>
    </w:p>
    <w:p w14:paraId="571E828D" w14:textId="77777777" w:rsidR="00064016" w:rsidRDefault="00064016">
      <w:pPr>
        <w:spacing w:before="0" w:after="0" w:line="240" w:lineRule="auto"/>
        <w:rPr>
          <w:b/>
          <w:i/>
          <w:lang w:val="en-AU"/>
        </w:rPr>
      </w:pPr>
      <w:r>
        <w:rPr>
          <w:b/>
          <w:i/>
          <w:lang w:val="en-AU"/>
        </w:rPr>
        <w:br w:type="page"/>
      </w:r>
    </w:p>
    <w:p w14:paraId="7C92E00C" w14:textId="1CE9F9BD" w:rsidR="0025718D" w:rsidRPr="000022D0" w:rsidRDefault="0025718D" w:rsidP="00AF25B5">
      <w:pPr>
        <w:spacing w:before="0" w:after="0" w:line="240" w:lineRule="auto"/>
        <w:rPr>
          <w:b/>
          <w:i/>
          <w:lang w:val="en-AU"/>
        </w:rPr>
      </w:pPr>
      <w:r w:rsidRPr="000022D0">
        <w:rPr>
          <w:b/>
          <w:i/>
          <w:lang w:val="en-AU"/>
        </w:rPr>
        <w:t>PRD 30309 – Darwin – Construction Stage 2 of East Arm Zone Substation</w:t>
      </w:r>
    </w:p>
    <w:p w14:paraId="29AA2927" w14:textId="7B5A6803"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driver for this contingent project is that following completion of Stage One Works</w:t>
      </w:r>
      <w:r w:rsidR="000022D0">
        <w:rPr>
          <w:rStyle w:val="FootnoteReference"/>
          <w:lang w:val="en-AU"/>
        </w:rPr>
        <w:footnoteReference w:id="65"/>
      </w:r>
      <w:r w:rsidRPr="0025718D">
        <w:rPr>
          <w:lang w:val="en-AU"/>
        </w:rPr>
        <w:t xml:space="preserve">  (including installation of a Nomad or equivalent substation and design of Stage Two Works</w:t>
      </w:r>
      <w:r w:rsidR="000022D0">
        <w:rPr>
          <w:rStyle w:val="FootnoteReference"/>
          <w:lang w:val="en-AU"/>
        </w:rPr>
        <w:footnoteReference w:id="66"/>
      </w:r>
      <w:r w:rsidRPr="0025718D">
        <w:rPr>
          <w:lang w:val="en-AU"/>
        </w:rPr>
        <w:t xml:space="preserve">), Berrimah Zone Substation, Palmerston Zone Substation and high voltage feeders in the East Arm area </w:t>
      </w:r>
      <w:r w:rsidR="00064016">
        <w:rPr>
          <w:lang w:val="en-AU"/>
        </w:rPr>
        <w:t xml:space="preserve">may be </w:t>
      </w:r>
      <w:r w:rsidRPr="0025718D">
        <w:rPr>
          <w:lang w:val="en-AU"/>
        </w:rPr>
        <w:t>unable to meet the projected growth in the areas of East Arm, Rober</w:t>
      </w:r>
      <w:r w:rsidR="000022D0">
        <w:rPr>
          <w:lang w:val="en-AU"/>
        </w:rPr>
        <w:t>t</w:t>
      </w:r>
      <w:r w:rsidRPr="0025718D">
        <w:rPr>
          <w:lang w:val="en-AU"/>
        </w:rPr>
        <w:t>son Barracks, Wishart and Berrimah.</w:t>
      </w:r>
    </w:p>
    <w:p w14:paraId="7FF997E7" w14:textId="29806F94"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scope of this proposed contingent project involves the construction of a new zone substation in the East Arm area. PWC Networks' current forecast of the total capital expenditure for this contingent project is $</w:t>
      </w:r>
      <w:r w:rsidR="00644CBA">
        <w:rPr>
          <w:lang w:val="en-AU"/>
        </w:rPr>
        <w:t>15.8</w:t>
      </w:r>
      <w:r w:rsidR="000022D0">
        <w:rPr>
          <w:lang w:val="en-AU"/>
        </w:rPr>
        <w:t> </w:t>
      </w:r>
      <w:r w:rsidRPr="0025718D">
        <w:rPr>
          <w:lang w:val="en-AU"/>
        </w:rPr>
        <w:t>million (nominal).</w:t>
      </w:r>
    </w:p>
    <w:p w14:paraId="254577D9" w14:textId="4B020158"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 xml:space="preserve">The trigger event for this proposed contingent project is PWC Networks having completed the Stage One </w:t>
      </w:r>
      <w:r w:rsidR="00564B3F">
        <w:rPr>
          <w:lang w:val="en-AU"/>
        </w:rPr>
        <w:t>w</w:t>
      </w:r>
      <w:r w:rsidRPr="0025718D">
        <w:rPr>
          <w:lang w:val="en-AU"/>
        </w:rPr>
        <w:t>orks including:</w:t>
      </w:r>
    </w:p>
    <w:p w14:paraId="75138E21" w14:textId="05660BDB" w:rsidR="0025718D" w:rsidRPr="000022D0" w:rsidRDefault="0025718D" w:rsidP="000022D0">
      <w:pPr>
        <w:pStyle w:val="UtilComBulletText"/>
        <w:numPr>
          <w:ilvl w:val="0"/>
          <w:numId w:val="6"/>
        </w:numPr>
        <w:tabs>
          <w:tab w:val="clear" w:pos="964"/>
          <w:tab w:val="num" w:pos="1134"/>
        </w:tabs>
        <w:ind w:left="1134" w:hanging="425"/>
      </w:pPr>
      <w:r w:rsidRPr="000022D0">
        <w:t xml:space="preserve">installation of a Nomad or equivalent substation; </w:t>
      </w:r>
    </w:p>
    <w:p w14:paraId="0A408113" w14:textId="2475DE87" w:rsidR="0025718D" w:rsidRPr="000022D0" w:rsidRDefault="0025718D" w:rsidP="000022D0">
      <w:pPr>
        <w:pStyle w:val="UtilComBulletText"/>
        <w:numPr>
          <w:ilvl w:val="0"/>
          <w:numId w:val="6"/>
        </w:numPr>
        <w:tabs>
          <w:tab w:val="clear" w:pos="964"/>
          <w:tab w:val="num" w:pos="1134"/>
        </w:tabs>
        <w:ind w:left="1134" w:hanging="425"/>
      </w:pPr>
      <w:r w:rsidRPr="000022D0">
        <w:t xml:space="preserve">detailed design for the Stage Two new Zone Substation, </w:t>
      </w:r>
      <w:r w:rsidR="000022D0">
        <w:t>and</w:t>
      </w:r>
    </w:p>
    <w:p w14:paraId="67A47DC2" w14:textId="4B5F0805" w:rsidR="0025718D" w:rsidRPr="000022D0" w:rsidRDefault="0025718D" w:rsidP="000022D0">
      <w:pPr>
        <w:pStyle w:val="UtilComBulletText"/>
        <w:numPr>
          <w:ilvl w:val="0"/>
          <w:numId w:val="6"/>
        </w:numPr>
        <w:tabs>
          <w:tab w:val="clear" w:pos="964"/>
          <w:tab w:val="num" w:pos="1134"/>
        </w:tabs>
        <w:ind w:left="1134" w:hanging="425"/>
      </w:pPr>
      <w:r w:rsidRPr="000022D0">
        <w:t>Berrimah Zone Substation, Palmerston Zone Substation and high voltage feeders in the East Arm area being unable to meet the projected load growth, based on demand projections developed in accordance with good electricity industry practice, in the areas of East Arm, Rober</w:t>
      </w:r>
      <w:r w:rsidR="000022D0">
        <w:t>t</w:t>
      </w:r>
      <w:r w:rsidRPr="000022D0">
        <w:t>son Barracks, Wishart and Berrimah, which confirm that the cyclic rating of the modular transformer installed in Stage One will be exceeded.</w:t>
      </w:r>
    </w:p>
    <w:p w14:paraId="2C795CBC" w14:textId="3C64EAE2"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 xml:space="preserve">The Commission is of the view that </w:t>
      </w:r>
      <w:r w:rsidR="000C17AE">
        <w:rPr>
          <w:lang w:val="en-AU"/>
        </w:rPr>
        <w:t>c</w:t>
      </w:r>
      <w:r w:rsidRPr="0025718D">
        <w:rPr>
          <w:lang w:val="en-AU"/>
        </w:rPr>
        <w:t>onstruction</w:t>
      </w:r>
      <w:r w:rsidR="000C17AE">
        <w:rPr>
          <w:lang w:val="en-AU"/>
        </w:rPr>
        <w:t xml:space="preserve"> of</w:t>
      </w:r>
      <w:r w:rsidRPr="0025718D">
        <w:rPr>
          <w:lang w:val="en-AU"/>
        </w:rPr>
        <w:t xml:space="preserve"> Stage 2 of the East Arm Zone Substation project is reasonably required to be undertaken in order to achieve the capital expenditure, the trigger event is appropriate and the contingent project satisfies all of the criteria under clause 6.6A.1 of the NER.</w:t>
      </w:r>
    </w:p>
    <w:p w14:paraId="46E7694B" w14:textId="77777777" w:rsidR="0025718D" w:rsidRPr="000022D0" w:rsidRDefault="0025718D" w:rsidP="000022D0">
      <w:pPr>
        <w:pStyle w:val="UtilComHeading3"/>
      </w:pPr>
      <w:r w:rsidRPr="000022D0">
        <w:t>Reopening of 2014 Network Price Determination for unexpected capex</w:t>
      </w:r>
    </w:p>
    <w:p w14:paraId="36BF49A6" w14:textId="79A7E5DA"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The Commission has considered that in order to determine the 2014 Network Price Determination in a manner that is consistent with generally accepted regulatory practice as required by clause 66(3) of the Network Access Code, it must adopt Chapter 6 of the NER.</w:t>
      </w:r>
    </w:p>
    <w:p w14:paraId="63793241" w14:textId="77777777"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To ensure that the Commission can properly apply the procedures and rules set out in Chapter 6 of the NER it has decided to include a provision in the 2014 Network Price Determination which allows the Commission to reopen the 2014 Network Price Determination in accordance with clause 6.6.5 of the NER.</w:t>
      </w:r>
    </w:p>
    <w:p w14:paraId="3B89D65C" w14:textId="3929C519"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 xml:space="preserve">The Commission is of the view that this is not inconsistent with other applicable Territory laws provided that it appears to the Commission that the event otherwise satisfies the requirements of clause 71(c) of the Network Access Code. The Commission has drafted the 2014 Network Price Determination on the basis that this condition must be satisfied before the Commission can exercise any discretion to reopen the 2014 Network Price Determination for capex. </w:t>
      </w:r>
    </w:p>
    <w:p w14:paraId="31F14CBB" w14:textId="77777777" w:rsidR="0025718D" w:rsidRPr="000022D0" w:rsidRDefault="0025718D" w:rsidP="000022D0">
      <w:pPr>
        <w:pStyle w:val="UtilComHeading3"/>
      </w:pPr>
      <w:r w:rsidRPr="000022D0">
        <w:t>Changes in applicable regulatory instruments and generally accepted regulatory practice</w:t>
      </w:r>
    </w:p>
    <w:p w14:paraId="11197C73" w14:textId="77777777"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 xml:space="preserve">As noted above, the 2014 Network Price Determination adopts a number of administrative and procedural rules contained within Chapter 6 of the NER. </w:t>
      </w:r>
    </w:p>
    <w:p w14:paraId="19C80B71" w14:textId="4BEF2225"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However unlike the NEL, the Network Access Code does not contain any provisions which expressly allow for these administrative and procedural rules to be modified during the term of the 2014 Network Price Determination to reflect changes to applicable regulatory instruments or generally accepted regulatory practice.</w:t>
      </w:r>
    </w:p>
    <w:p w14:paraId="2A6BA25A" w14:textId="138574F2"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It is likely that a number of changes will be required to the administrative and procedural rules set out in the 2014 Network Price Determination during the 2014-19 regulatory control period</w:t>
      </w:r>
      <w:r w:rsidR="001D7CF6">
        <w:rPr>
          <w:lang w:val="en-AU"/>
        </w:rPr>
        <w:t>,</w:t>
      </w:r>
      <w:r w:rsidRPr="0025718D">
        <w:rPr>
          <w:lang w:val="en-AU"/>
        </w:rPr>
        <w:t xml:space="preserve"> particular</w:t>
      </w:r>
      <w:r w:rsidR="001D7CF6">
        <w:rPr>
          <w:lang w:val="en-AU"/>
        </w:rPr>
        <w:t>ly</w:t>
      </w:r>
      <w:r w:rsidRPr="0025718D">
        <w:rPr>
          <w:lang w:val="en-AU"/>
        </w:rPr>
        <w:t xml:space="preserve"> given the current intention of the Territory Government to further align the Territory</w:t>
      </w:r>
      <w:r w:rsidR="00564B3F">
        <w:rPr>
          <w:lang w:val="en-AU"/>
        </w:rPr>
        <w:t>’s</w:t>
      </w:r>
      <w:r w:rsidRPr="0025718D">
        <w:rPr>
          <w:lang w:val="en-AU"/>
        </w:rPr>
        <w:t xml:space="preserve"> regulatory arrangements with the NER. </w:t>
      </w:r>
    </w:p>
    <w:p w14:paraId="7E40284A" w14:textId="2FFDB145" w:rsidR="0025718D" w:rsidRPr="0025718D" w:rsidRDefault="0025718D" w:rsidP="0025718D">
      <w:pPr>
        <w:pStyle w:val="NumberLevel2"/>
        <w:numPr>
          <w:ilvl w:val="1"/>
          <w:numId w:val="5"/>
        </w:numPr>
        <w:tabs>
          <w:tab w:val="clear" w:pos="3270"/>
          <w:tab w:val="num" w:pos="709"/>
        </w:tabs>
        <w:ind w:left="709" w:hanging="709"/>
        <w:rPr>
          <w:lang w:val="en-AU"/>
        </w:rPr>
      </w:pPr>
      <w:r w:rsidRPr="0025718D">
        <w:rPr>
          <w:lang w:val="en-AU"/>
        </w:rPr>
        <w:t>For this reason the Commission has included a general amendment power in the 2014 Network Price Determination. This power requires the Commission to consult with stakeholders in the normal way before modifying the 2014 Network Price Determination and limits the extent to which the Commission can modify the 2014</w:t>
      </w:r>
      <w:r w:rsidR="001D7CF6">
        <w:rPr>
          <w:lang w:val="en-AU"/>
        </w:rPr>
        <w:t> </w:t>
      </w:r>
      <w:r w:rsidRPr="0025718D">
        <w:rPr>
          <w:lang w:val="en-AU"/>
        </w:rPr>
        <w:t xml:space="preserve">Network Price Determination in response to various regulatory changes. </w:t>
      </w:r>
    </w:p>
    <w:p w14:paraId="499D683B" w14:textId="6B908AD9" w:rsidR="004A1321" w:rsidRPr="00BB4EB2" w:rsidRDefault="004A1321" w:rsidP="004A1321">
      <w:pPr>
        <w:pStyle w:val="UtilComHeading2"/>
      </w:pPr>
      <w:bookmarkStart w:id="287" w:name="_Toc385241566"/>
      <w:bookmarkStart w:id="288" w:name="_Toc386013119"/>
      <w:r w:rsidRPr="00BB4EB2">
        <w:t xml:space="preserve">Commission’s </w:t>
      </w:r>
      <w:r w:rsidR="001D7CF6">
        <w:t>F</w:t>
      </w:r>
      <w:r w:rsidR="001D7CF6" w:rsidRPr="00BB4EB2">
        <w:t xml:space="preserve">inal </w:t>
      </w:r>
      <w:bookmarkEnd w:id="287"/>
      <w:r w:rsidR="001D7CF6">
        <w:t>D</w:t>
      </w:r>
      <w:r w:rsidR="001D7CF6" w:rsidRPr="00BB4EB2">
        <w:t>ecision</w:t>
      </w:r>
      <w:bookmarkEnd w:id="288"/>
    </w:p>
    <w:p w14:paraId="478A8240" w14:textId="27B3A1CD" w:rsidR="009F6B4D" w:rsidRPr="009F6B4D" w:rsidRDefault="009F6B4D" w:rsidP="009F6B4D">
      <w:pPr>
        <w:pStyle w:val="UtilComHeading3"/>
      </w:pPr>
      <w:r w:rsidRPr="009F6B4D">
        <w:t>Cost pass throughs</w:t>
      </w:r>
    </w:p>
    <w:p w14:paraId="36B47620" w14:textId="18EBEDB5" w:rsidR="004A1321" w:rsidRPr="004A1321" w:rsidRDefault="004A1321" w:rsidP="004A1321">
      <w:pPr>
        <w:pStyle w:val="ListParagraph"/>
        <w:numPr>
          <w:ilvl w:val="1"/>
          <w:numId w:val="5"/>
        </w:numPr>
        <w:tabs>
          <w:tab w:val="num" w:pos="709"/>
        </w:tabs>
        <w:ind w:left="709" w:hanging="709"/>
        <w:rPr>
          <w:lang w:val="en-AU"/>
        </w:rPr>
      </w:pPr>
      <w:r>
        <w:rPr>
          <w:lang w:val="en-AU"/>
        </w:rPr>
        <w:t xml:space="preserve">The Commission accepts the following events as </w:t>
      </w:r>
      <w:r w:rsidRPr="004A1321">
        <w:rPr>
          <w:lang w:val="en-AU"/>
        </w:rPr>
        <w:t>pass through event</w:t>
      </w:r>
      <w:r>
        <w:rPr>
          <w:lang w:val="en-AU"/>
        </w:rPr>
        <w:t>s</w:t>
      </w:r>
      <w:r w:rsidRPr="004A1321">
        <w:rPr>
          <w:lang w:val="en-AU"/>
        </w:rPr>
        <w:t xml:space="preserve"> </w:t>
      </w:r>
      <w:r w:rsidR="009F6B4D">
        <w:rPr>
          <w:lang w:val="en-AU"/>
        </w:rPr>
        <w:t>for the purposes of the 2014 Network Price Determination</w:t>
      </w:r>
      <w:r w:rsidRPr="004A1321">
        <w:rPr>
          <w:lang w:val="en-AU"/>
        </w:rPr>
        <w:t>:</w:t>
      </w:r>
    </w:p>
    <w:p w14:paraId="44248989" w14:textId="77777777" w:rsidR="004A1321" w:rsidRPr="004A1321" w:rsidRDefault="004A1321" w:rsidP="005E507E">
      <w:pPr>
        <w:pStyle w:val="UtilComBulletText"/>
        <w:numPr>
          <w:ilvl w:val="0"/>
          <w:numId w:val="6"/>
        </w:numPr>
        <w:tabs>
          <w:tab w:val="clear" w:pos="964"/>
          <w:tab w:val="num" w:pos="1134"/>
        </w:tabs>
        <w:ind w:left="1134" w:hanging="425"/>
      </w:pPr>
      <w:r w:rsidRPr="004A1321">
        <w:t>a regulatory change event;</w:t>
      </w:r>
    </w:p>
    <w:p w14:paraId="48BD136D" w14:textId="77777777" w:rsidR="004A1321" w:rsidRPr="004A1321" w:rsidRDefault="004A1321" w:rsidP="005E507E">
      <w:pPr>
        <w:pStyle w:val="UtilComBulletText"/>
        <w:numPr>
          <w:ilvl w:val="0"/>
          <w:numId w:val="6"/>
        </w:numPr>
        <w:tabs>
          <w:tab w:val="clear" w:pos="964"/>
          <w:tab w:val="num" w:pos="1134"/>
        </w:tabs>
        <w:ind w:left="1134" w:hanging="425"/>
      </w:pPr>
      <w:r w:rsidRPr="004A1321">
        <w:t>a service standard event;</w:t>
      </w:r>
    </w:p>
    <w:p w14:paraId="189F2174" w14:textId="77777777" w:rsidR="004A1321" w:rsidRPr="004A1321" w:rsidRDefault="004A1321" w:rsidP="005E507E">
      <w:pPr>
        <w:pStyle w:val="UtilComBulletText"/>
        <w:numPr>
          <w:ilvl w:val="0"/>
          <w:numId w:val="6"/>
        </w:numPr>
        <w:tabs>
          <w:tab w:val="clear" w:pos="964"/>
          <w:tab w:val="num" w:pos="1134"/>
        </w:tabs>
        <w:ind w:left="1134" w:hanging="425"/>
      </w:pPr>
      <w:r w:rsidRPr="004A1321">
        <w:t>a tax change event;</w:t>
      </w:r>
    </w:p>
    <w:p w14:paraId="2BD3255A" w14:textId="77777777" w:rsidR="004A1321" w:rsidRPr="004A1321" w:rsidRDefault="004A1321" w:rsidP="005E507E">
      <w:pPr>
        <w:pStyle w:val="UtilComBulletText"/>
        <w:numPr>
          <w:ilvl w:val="0"/>
          <w:numId w:val="6"/>
        </w:numPr>
        <w:tabs>
          <w:tab w:val="clear" w:pos="964"/>
          <w:tab w:val="num" w:pos="1134"/>
        </w:tabs>
        <w:ind w:left="1134" w:hanging="425"/>
      </w:pPr>
      <w:r w:rsidRPr="004A1321">
        <w:t>a retailer insolvency event;</w:t>
      </w:r>
    </w:p>
    <w:p w14:paraId="5E4CA8BD" w14:textId="77777777" w:rsidR="004A1321" w:rsidRPr="004A1321" w:rsidRDefault="004A1321" w:rsidP="005E507E">
      <w:pPr>
        <w:pStyle w:val="UtilComBulletText"/>
        <w:numPr>
          <w:ilvl w:val="0"/>
          <w:numId w:val="6"/>
        </w:numPr>
        <w:tabs>
          <w:tab w:val="clear" w:pos="964"/>
          <w:tab w:val="num" w:pos="1134"/>
        </w:tabs>
        <w:ind w:left="1134" w:hanging="425"/>
      </w:pPr>
      <w:r w:rsidRPr="004A1321">
        <w:t>a terrorism event;</w:t>
      </w:r>
    </w:p>
    <w:p w14:paraId="3DF23998" w14:textId="77777777" w:rsidR="004A1321" w:rsidRPr="004A1321" w:rsidRDefault="004A1321" w:rsidP="005E507E">
      <w:pPr>
        <w:pStyle w:val="UtilComBulletText"/>
        <w:numPr>
          <w:ilvl w:val="0"/>
          <w:numId w:val="6"/>
        </w:numPr>
        <w:tabs>
          <w:tab w:val="clear" w:pos="964"/>
          <w:tab w:val="num" w:pos="1134"/>
        </w:tabs>
        <w:ind w:left="1134" w:hanging="425"/>
      </w:pPr>
      <w:r w:rsidRPr="004A1321">
        <w:t xml:space="preserve">an insurance event; </w:t>
      </w:r>
    </w:p>
    <w:p w14:paraId="10985B62" w14:textId="7B51E3D9" w:rsidR="004A1321" w:rsidRPr="004A1321" w:rsidRDefault="004A1321" w:rsidP="005E507E">
      <w:pPr>
        <w:pStyle w:val="UtilComBulletText"/>
        <w:numPr>
          <w:ilvl w:val="0"/>
          <w:numId w:val="6"/>
        </w:numPr>
        <w:tabs>
          <w:tab w:val="clear" w:pos="964"/>
          <w:tab w:val="num" w:pos="1134"/>
        </w:tabs>
        <w:ind w:left="1134" w:hanging="425"/>
      </w:pPr>
      <w:r w:rsidRPr="004A1321">
        <w:t xml:space="preserve">a natural disaster event; </w:t>
      </w:r>
      <w:r w:rsidR="00D638A5">
        <w:t>and</w:t>
      </w:r>
    </w:p>
    <w:p w14:paraId="3FF665F0" w14:textId="77777777" w:rsidR="004A1321" w:rsidRDefault="004A1321" w:rsidP="005E507E">
      <w:pPr>
        <w:pStyle w:val="UtilComBulletText"/>
        <w:numPr>
          <w:ilvl w:val="0"/>
          <w:numId w:val="6"/>
        </w:numPr>
        <w:tabs>
          <w:tab w:val="clear" w:pos="964"/>
          <w:tab w:val="num" w:pos="1134"/>
        </w:tabs>
        <w:ind w:left="1134" w:hanging="425"/>
      </w:pPr>
      <w:r w:rsidRPr="004A1321">
        <w:t>a structural separation event.</w:t>
      </w:r>
    </w:p>
    <w:p w14:paraId="01E410D4" w14:textId="77777777" w:rsidR="00564B3F" w:rsidRPr="004A1321" w:rsidRDefault="00564B3F" w:rsidP="00564B3F">
      <w:pPr>
        <w:pStyle w:val="UtilComBulletText"/>
        <w:numPr>
          <w:ilvl w:val="0"/>
          <w:numId w:val="0"/>
        </w:numPr>
        <w:tabs>
          <w:tab w:val="clear" w:pos="1134"/>
        </w:tabs>
        <w:ind w:left="1134"/>
      </w:pPr>
    </w:p>
    <w:p w14:paraId="5AA7F6B8" w14:textId="232BA217" w:rsidR="009F6B4D" w:rsidRPr="009F6B4D" w:rsidRDefault="009F6B4D" w:rsidP="009F6B4D">
      <w:pPr>
        <w:pStyle w:val="UtilComHeading3"/>
      </w:pPr>
      <w:r w:rsidRPr="009F6B4D">
        <w:t xml:space="preserve">Contingent </w:t>
      </w:r>
      <w:r w:rsidR="001D7CF6">
        <w:t>P</w:t>
      </w:r>
      <w:r w:rsidR="001D7CF6" w:rsidRPr="009F6B4D">
        <w:t>rojects</w:t>
      </w:r>
    </w:p>
    <w:p w14:paraId="6AB18FE3" w14:textId="2E0AF1A0" w:rsidR="004A1321" w:rsidRDefault="00574BF3" w:rsidP="004A1321">
      <w:pPr>
        <w:pStyle w:val="NumberLevel2"/>
        <w:numPr>
          <w:ilvl w:val="1"/>
          <w:numId w:val="5"/>
        </w:numPr>
        <w:tabs>
          <w:tab w:val="clear" w:pos="3270"/>
          <w:tab w:val="num" w:pos="709"/>
        </w:tabs>
        <w:ind w:left="709" w:hanging="709"/>
        <w:rPr>
          <w:lang w:val="en-AU"/>
        </w:rPr>
      </w:pPr>
      <w:r>
        <w:rPr>
          <w:lang w:val="en-AU"/>
        </w:rPr>
        <w:t>T</w:t>
      </w:r>
      <w:r w:rsidR="00D85822">
        <w:rPr>
          <w:lang w:val="en-AU"/>
        </w:rPr>
        <w:t xml:space="preserve">he Commission accepts the following </w:t>
      </w:r>
      <w:r>
        <w:rPr>
          <w:lang w:val="en-AU"/>
        </w:rPr>
        <w:t xml:space="preserve">projects </w:t>
      </w:r>
      <w:r w:rsidR="00D85822">
        <w:rPr>
          <w:lang w:val="en-AU"/>
        </w:rPr>
        <w:t>as contingent projects</w:t>
      </w:r>
      <w:r>
        <w:rPr>
          <w:lang w:val="en-AU"/>
        </w:rPr>
        <w:t xml:space="preserve"> for the purposes of the 2014 Network Price Determination</w:t>
      </w:r>
      <w:r w:rsidR="00D85822">
        <w:rPr>
          <w:lang w:val="en-AU"/>
        </w:rPr>
        <w:t>:</w:t>
      </w:r>
    </w:p>
    <w:p w14:paraId="786385D5" w14:textId="5837F99E" w:rsidR="00D85822" w:rsidRPr="00D85822" w:rsidRDefault="00574BF3" w:rsidP="005E507E">
      <w:pPr>
        <w:pStyle w:val="UtilComBulletText"/>
        <w:numPr>
          <w:ilvl w:val="0"/>
          <w:numId w:val="6"/>
        </w:numPr>
        <w:tabs>
          <w:tab w:val="clear" w:pos="964"/>
          <w:tab w:val="num" w:pos="1134"/>
        </w:tabs>
        <w:ind w:left="1134" w:hanging="425"/>
      </w:pPr>
      <w:r>
        <w:t xml:space="preserve">PRD30600 - </w:t>
      </w:r>
      <w:r w:rsidR="00D85822" w:rsidRPr="00D85822">
        <w:t>New Mitchell Street Switching Station</w:t>
      </w:r>
      <w:r>
        <w:t xml:space="preserve"> project; and</w:t>
      </w:r>
    </w:p>
    <w:p w14:paraId="23C4AF64" w14:textId="54F7D8BA" w:rsidR="00D85822" w:rsidRPr="00D85822" w:rsidRDefault="00574BF3" w:rsidP="005E507E">
      <w:pPr>
        <w:pStyle w:val="UtilComBulletText"/>
        <w:numPr>
          <w:ilvl w:val="0"/>
          <w:numId w:val="6"/>
        </w:numPr>
        <w:tabs>
          <w:tab w:val="clear" w:pos="964"/>
          <w:tab w:val="num" w:pos="1134"/>
        </w:tabs>
        <w:ind w:left="1134" w:hanging="425"/>
      </w:pPr>
      <w:r>
        <w:t xml:space="preserve">PRD30309 – Darwin - </w:t>
      </w:r>
      <w:r w:rsidR="000C17AE">
        <w:t>c</w:t>
      </w:r>
      <w:r w:rsidR="00D85822" w:rsidRPr="00D85822">
        <w:t>onstruct</w:t>
      </w:r>
      <w:r>
        <w:t>ion</w:t>
      </w:r>
      <w:r w:rsidR="00D85822" w:rsidRPr="00D85822">
        <w:t xml:space="preserve"> Stage 2 of East Arm Zone Substation </w:t>
      </w:r>
      <w:r>
        <w:t>project.</w:t>
      </w:r>
    </w:p>
    <w:p w14:paraId="0BDF12E3" w14:textId="5BF61E8D" w:rsidR="001D7CF6" w:rsidRDefault="001D7CF6" w:rsidP="00574BF3">
      <w:pPr>
        <w:pStyle w:val="UtilComHeading3"/>
      </w:pPr>
    </w:p>
    <w:p w14:paraId="7A7EE645" w14:textId="4D8B4349" w:rsidR="00574BF3" w:rsidRPr="00574BF3" w:rsidRDefault="00574BF3" w:rsidP="00574BF3">
      <w:pPr>
        <w:pStyle w:val="UtilComHeading3"/>
      </w:pPr>
      <w:r w:rsidRPr="00574BF3">
        <w:t xml:space="preserve">Reopening of 2014 Network Price Determination for </w:t>
      </w:r>
      <w:r w:rsidR="001D7CF6">
        <w:t>U</w:t>
      </w:r>
      <w:r w:rsidR="001D7CF6" w:rsidRPr="00574BF3">
        <w:t xml:space="preserve">nexpected </w:t>
      </w:r>
      <w:r w:rsidR="001D7CF6">
        <w:t>C</w:t>
      </w:r>
      <w:r w:rsidR="001D7CF6" w:rsidRPr="00574BF3">
        <w:t>apex</w:t>
      </w:r>
    </w:p>
    <w:p w14:paraId="38E9E04A" w14:textId="3A6CB71F" w:rsidR="004A1321" w:rsidRPr="004A1321" w:rsidRDefault="00574BF3" w:rsidP="00574BF3">
      <w:pPr>
        <w:pStyle w:val="NumberLevel2"/>
        <w:numPr>
          <w:ilvl w:val="1"/>
          <w:numId w:val="5"/>
        </w:numPr>
        <w:tabs>
          <w:tab w:val="clear" w:pos="3270"/>
          <w:tab w:val="num" w:pos="709"/>
        </w:tabs>
        <w:ind w:left="709" w:hanging="709"/>
        <w:rPr>
          <w:lang w:val="en-AU"/>
        </w:rPr>
      </w:pPr>
      <w:r w:rsidRPr="00574BF3">
        <w:rPr>
          <w:lang w:val="en-AU"/>
        </w:rPr>
        <w:t xml:space="preserve">The Commission has the discretion to reopen the 2014 Network Price Determination for </w:t>
      </w:r>
      <w:r w:rsidR="005F3A85">
        <w:rPr>
          <w:lang w:val="en-AU"/>
        </w:rPr>
        <w:t xml:space="preserve">unexpected </w:t>
      </w:r>
      <w:r w:rsidRPr="00574BF3">
        <w:rPr>
          <w:lang w:val="en-AU"/>
        </w:rPr>
        <w:t>capex in accordance with Chapter 3 of the Network Price Determination.</w:t>
      </w:r>
    </w:p>
    <w:tbl>
      <w:tblPr>
        <w:tblW w:w="0" w:type="auto"/>
        <w:tblLayout w:type="fixed"/>
        <w:tblLook w:val="01E0" w:firstRow="1" w:lastRow="1" w:firstColumn="1" w:lastColumn="1" w:noHBand="0" w:noVBand="0"/>
      </w:tblPr>
      <w:tblGrid>
        <w:gridCol w:w="9288"/>
      </w:tblGrid>
      <w:tr w:rsidR="00215068" w14:paraId="7B25333F" w14:textId="77777777" w:rsidTr="00215068">
        <w:tc>
          <w:tcPr>
            <w:tcW w:w="9288" w:type="dxa"/>
          </w:tcPr>
          <w:p w14:paraId="7F4E5524" w14:textId="77777777" w:rsidR="00215068" w:rsidRDefault="00215068" w:rsidP="00EF320F">
            <w:pPr>
              <w:pStyle w:val="NumberLevel1"/>
              <w:pageBreakBefore/>
              <w:numPr>
                <w:ilvl w:val="0"/>
                <w:numId w:val="4"/>
              </w:numPr>
              <w:ind w:left="431" w:hanging="431"/>
            </w:pPr>
            <w:r>
              <w:br w:type="page"/>
            </w:r>
          </w:p>
        </w:tc>
      </w:tr>
      <w:tr w:rsidR="00215068" w14:paraId="78D9B31E" w14:textId="77777777" w:rsidTr="00215068">
        <w:tc>
          <w:tcPr>
            <w:tcW w:w="9288" w:type="dxa"/>
          </w:tcPr>
          <w:p w14:paraId="5D2BEAC0" w14:textId="138760EA" w:rsidR="00215068" w:rsidRDefault="00215068">
            <w:pPr>
              <w:pStyle w:val="UtilComChapterHeading"/>
              <w:outlineLvl w:val="0"/>
            </w:pPr>
            <w:bookmarkStart w:id="289" w:name="_Toc385241567"/>
            <w:bookmarkStart w:id="290" w:name="_Toc386013120"/>
            <w:r>
              <w:t xml:space="preserve">Building </w:t>
            </w:r>
            <w:r w:rsidR="0043071F">
              <w:t xml:space="preserve">Block Revenue </w:t>
            </w:r>
            <w:bookmarkEnd w:id="289"/>
            <w:r w:rsidR="0043071F">
              <w:t>Requirements</w:t>
            </w:r>
            <w:bookmarkEnd w:id="290"/>
          </w:p>
        </w:tc>
      </w:tr>
    </w:tbl>
    <w:p w14:paraId="52B99144" w14:textId="77777777" w:rsidR="00215068" w:rsidRDefault="008E4B9F" w:rsidP="00215068">
      <w:pPr>
        <w:pStyle w:val="UtilComHeading2"/>
      </w:pPr>
      <w:bookmarkStart w:id="291" w:name="_Toc385241568"/>
      <w:bookmarkStart w:id="292" w:name="_Toc386013121"/>
      <w:r>
        <w:t>Introduction</w:t>
      </w:r>
      <w:bookmarkEnd w:id="291"/>
      <w:bookmarkEnd w:id="292"/>
    </w:p>
    <w:p w14:paraId="4140A0E3" w14:textId="77777777" w:rsidR="009B6043" w:rsidRDefault="008E4B9F" w:rsidP="00E32188">
      <w:pPr>
        <w:pStyle w:val="NumberLevel2"/>
        <w:numPr>
          <w:ilvl w:val="1"/>
          <w:numId w:val="5"/>
        </w:numPr>
        <w:ind w:left="709" w:hanging="709"/>
        <w:rPr>
          <w:lang w:val="en-AU"/>
        </w:rPr>
      </w:pPr>
      <w:r w:rsidRPr="00AE64C5">
        <w:rPr>
          <w:lang w:val="en-AU"/>
        </w:rPr>
        <w:t xml:space="preserve">This chapter sets out the Commission’s calculation of annual revenue requirements for PWC Networks for the provision of </w:t>
      </w:r>
      <w:r w:rsidR="00D47264">
        <w:rPr>
          <w:lang w:val="en-AU"/>
        </w:rPr>
        <w:t>regulated network access</w:t>
      </w:r>
      <w:r w:rsidRPr="00AE64C5">
        <w:rPr>
          <w:lang w:val="en-AU"/>
        </w:rPr>
        <w:t xml:space="preserve"> services for each </w:t>
      </w:r>
      <w:r w:rsidR="009B6043">
        <w:rPr>
          <w:lang w:val="en-AU"/>
        </w:rPr>
        <w:t xml:space="preserve">regulatory </w:t>
      </w:r>
      <w:r w:rsidRPr="00AE64C5">
        <w:rPr>
          <w:lang w:val="en-AU"/>
        </w:rPr>
        <w:t xml:space="preserve">year of the </w:t>
      </w:r>
      <w:r w:rsidR="00D47264">
        <w:rPr>
          <w:lang w:val="en-AU"/>
        </w:rPr>
        <w:t>2014-19</w:t>
      </w:r>
      <w:r w:rsidR="00D47264" w:rsidRPr="00AE64C5">
        <w:rPr>
          <w:lang w:val="en-AU"/>
        </w:rPr>
        <w:t xml:space="preserve"> </w:t>
      </w:r>
      <w:r w:rsidRPr="00AE64C5">
        <w:rPr>
          <w:lang w:val="en-AU"/>
        </w:rPr>
        <w:t xml:space="preserve">regulatory control period. </w:t>
      </w:r>
    </w:p>
    <w:p w14:paraId="3406B1D9" w14:textId="77B9F72D" w:rsidR="00215068" w:rsidRPr="00AE64C5" w:rsidRDefault="008E4B9F" w:rsidP="00E32188">
      <w:pPr>
        <w:pStyle w:val="NumberLevel2"/>
        <w:numPr>
          <w:ilvl w:val="1"/>
          <w:numId w:val="5"/>
        </w:numPr>
        <w:ind w:left="709" w:hanging="709"/>
        <w:rPr>
          <w:lang w:val="en-AU"/>
        </w:rPr>
      </w:pPr>
      <w:r w:rsidRPr="00AE64C5">
        <w:rPr>
          <w:lang w:val="en-AU"/>
        </w:rPr>
        <w:t xml:space="preserve">This chapter also sets out X factor values </w:t>
      </w:r>
      <w:r w:rsidR="009B6043">
        <w:rPr>
          <w:lang w:val="en-AU"/>
        </w:rPr>
        <w:t>forming</w:t>
      </w:r>
      <w:r w:rsidRPr="00AE64C5">
        <w:rPr>
          <w:lang w:val="en-AU"/>
        </w:rPr>
        <w:t xml:space="preserve"> part of the revenue cap apply</w:t>
      </w:r>
      <w:r w:rsidR="009B6043">
        <w:rPr>
          <w:lang w:val="en-AU"/>
        </w:rPr>
        <w:t>ing</w:t>
      </w:r>
      <w:r w:rsidRPr="00AE64C5">
        <w:rPr>
          <w:lang w:val="en-AU"/>
        </w:rPr>
        <w:t xml:space="preserve"> to the </w:t>
      </w:r>
      <w:r w:rsidR="00D47264">
        <w:rPr>
          <w:lang w:val="en-AU"/>
        </w:rPr>
        <w:t>regulated network access</w:t>
      </w:r>
      <w:r w:rsidRPr="00AE64C5">
        <w:rPr>
          <w:lang w:val="en-AU"/>
        </w:rPr>
        <w:t xml:space="preserve"> services provided by PWC Networks</w:t>
      </w:r>
      <w:r w:rsidR="009B6043">
        <w:rPr>
          <w:lang w:val="en-AU"/>
        </w:rPr>
        <w:t xml:space="preserve"> during the </w:t>
      </w:r>
      <w:r w:rsidR="005F3A85">
        <w:rPr>
          <w:lang w:val="en-AU"/>
        </w:rPr>
        <w:br/>
      </w:r>
      <w:r w:rsidR="009B6043">
        <w:rPr>
          <w:lang w:val="en-AU"/>
        </w:rPr>
        <w:t>2014-19 regulatory control period</w:t>
      </w:r>
      <w:r w:rsidRPr="00AE64C5">
        <w:rPr>
          <w:lang w:val="en-AU"/>
        </w:rPr>
        <w:t>.</w:t>
      </w:r>
    </w:p>
    <w:p w14:paraId="7FE1AAFE" w14:textId="4B9DB33E" w:rsidR="008E4B9F" w:rsidRDefault="008E4B9F" w:rsidP="008E4B9F">
      <w:pPr>
        <w:pStyle w:val="UtilComHeading2"/>
      </w:pPr>
      <w:bookmarkStart w:id="293" w:name="_Toc385241569"/>
      <w:bookmarkStart w:id="294" w:name="_Toc386013122"/>
      <w:r>
        <w:t xml:space="preserve">Regulatory </w:t>
      </w:r>
      <w:bookmarkEnd w:id="293"/>
      <w:r w:rsidR="0043071F">
        <w:t>Requirements</w:t>
      </w:r>
      <w:bookmarkEnd w:id="294"/>
    </w:p>
    <w:p w14:paraId="0F69D853" w14:textId="41065392" w:rsidR="008E4B9F" w:rsidRDefault="00FB2EC5" w:rsidP="00AF2B7B">
      <w:pPr>
        <w:pStyle w:val="UtilComHeading3"/>
        <w:rPr>
          <w:lang w:val="en-AU"/>
        </w:rPr>
      </w:pPr>
      <w:r>
        <w:rPr>
          <w:lang w:val="en-AU"/>
        </w:rPr>
        <w:t>Network Access Code</w:t>
      </w:r>
    </w:p>
    <w:p w14:paraId="6A9C99FA" w14:textId="591A16A6" w:rsidR="00AF2B7B" w:rsidRDefault="002F528B" w:rsidP="00E32188">
      <w:pPr>
        <w:pStyle w:val="NumberLevel2"/>
        <w:numPr>
          <w:ilvl w:val="1"/>
          <w:numId w:val="5"/>
        </w:numPr>
        <w:ind w:left="709" w:hanging="709"/>
        <w:rPr>
          <w:lang w:val="en-AU"/>
        </w:rPr>
      </w:pPr>
      <w:r>
        <w:rPr>
          <w:lang w:val="en-AU"/>
        </w:rPr>
        <w:t xml:space="preserve">Clause </w:t>
      </w:r>
      <w:r w:rsidR="009B6043">
        <w:rPr>
          <w:lang w:val="en-AU"/>
        </w:rPr>
        <w:t>1A</w:t>
      </w:r>
      <w:r>
        <w:rPr>
          <w:lang w:val="en-AU"/>
        </w:rPr>
        <w:t xml:space="preserve">of schedule 6 of the </w:t>
      </w:r>
      <w:r w:rsidR="00FB2EC5">
        <w:rPr>
          <w:lang w:val="en-AU"/>
        </w:rPr>
        <w:t>Network Access Code</w:t>
      </w:r>
      <w:r>
        <w:rPr>
          <w:lang w:val="en-AU"/>
        </w:rPr>
        <w:t xml:space="preserve"> </w:t>
      </w:r>
      <w:r w:rsidR="009B6043">
        <w:rPr>
          <w:lang w:val="en-AU"/>
        </w:rPr>
        <w:t xml:space="preserve">provides </w:t>
      </w:r>
      <w:r>
        <w:rPr>
          <w:lang w:val="en-AU"/>
        </w:rPr>
        <w:t>that:</w:t>
      </w:r>
    </w:p>
    <w:p w14:paraId="12F6C44F" w14:textId="2FD23FB1" w:rsidR="00AF2B7B" w:rsidRPr="00024444" w:rsidRDefault="009B6043" w:rsidP="000C17AE">
      <w:pPr>
        <w:pStyle w:val="UtilComQuotationText"/>
        <w:ind w:left="1418" w:hanging="709"/>
      </w:pPr>
      <w:r w:rsidRPr="00024444" w:rsidDel="009B6043">
        <w:t xml:space="preserve"> </w:t>
      </w:r>
      <w:r w:rsidR="002F528B" w:rsidRPr="00024444">
        <w:t>(1A)</w:t>
      </w:r>
      <w:r w:rsidR="002F528B" w:rsidRPr="00024444">
        <w:tab/>
        <w:t>The methodology for determining revenue or price caps in the second and subsequent regulatory control periods is to be determined by the regulator in a manner that most effectively achieves the outcomes in clause 63 and is consistent with generally accepted regulatory practice at the time.</w:t>
      </w:r>
    </w:p>
    <w:p w14:paraId="1FD5D422" w14:textId="77777777" w:rsidR="00AF2B7B" w:rsidRDefault="00AF2B7B" w:rsidP="00AF2B7B">
      <w:pPr>
        <w:pStyle w:val="UtilComHeading3"/>
        <w:rPr>
          <w:lang w:val="en-AU"/>
        </w:rPr>
      </w:pPr>
      <w:r>
        <w:rPr>
          <w:lang w:val="en-AU"/>
        </w:rPr>
        <w:t>National Electricity Rules</w:t>
      </w:r>
    </w:p>
    <w:p w14:paraId="6937D020" w14:textId="77777777" w:rsidR="001952ED" w:rsidRPr="00913508" w:rsidRDefault="001952ED" w:rsidP="00913508">
      <w:pPr>
        <w:pStyle w:val="UtilComHeading4"/>
        <w:spacing w:before="120"/>
        <w:rPr>
          <w:b/>
          <w:i w:val="0"/>
          <w:lang w:val="en-AU"/>
        </w:rPr>
      </w:pPr>
      <w:r w:rsidRPr="00913508">
        <w:rPr>
          <w:b/>
          <w:i w:val="0"/>
          <w:lang w:val="en-AU"/>
        </w:rPr>
        <w:t>Building block</w:t>
      </w:r>
    </w:p>
    <w:p w14:paraId="1D38492C" w14:textId="77777777" w:rsidR="0001087C" w:rsidRPr="0001087C" w:rsidRDefault="0001087C" w:rsidP="00E32188">
      <w:pPr>
        <w:pStyle w:val="NumberLevel2"/>
        <w:numPr>
          <w:ilvl w:val="1"/>
          <w:numId w:val="5"/>
        </w:numPr>
        <w:tabs>
          <w:tab w:val="left" w:pos="709"/>
        </w:tabs>
        <w:ind w:left="709" w:hanging="709"/>
        <w:rPr>
          <w:lang w:val="en-AU"/>
        </w:rPr>
      </w:pPr>
      <w:r w:rsidRPr="0001087C">
        <w:rPr>
          <w:lang w:val="en-AU"/>
        </w:rPr>
        <w:t>Clause 6.3.2(a) of the NER states that the AER’s building block determination must specify:</w:t>
      </w:r>
    </w:p>
    <w:p w14:paraId="135BE5E5" w14:textId="77777777" w:rsidR="0001087C" w:rsidRPr="0001087C" w:rsidRDefault="0001087C" w:rsidP="00DD200F">
      <w:pPr>
        <w:pStyle w:val="UtilComBulletText"/>
        <w:numPr>
          <w:ilvl w:val="0"/>
          <w:numId w:val="6"/>
        </w:numPr>
        <w:tabs>
          <w:tab w:val="clear" w:pos="964"/>
          <w:tab w:val="num" w:pos="1276"/>
        </w:tabs>
        <w:ind w:left="1134" w:hanging="425"/>
      </w:pPr>
      <w:r w:rsidRPr="0001087C">
        <w:t>the DNSP’s annual revenue requirement for each regulatory year of the regulatory control period;</w:t>
      </w:r>
    </w:p>
    <w:p w14:paraId="478F2B8D" w14:textId="2FE22818" w:rsidR="0001087C" w:rsidRPr="0001087C" w:rsidRDefault="0001087C" w:rsidP="00DD200F">
      <w:pPr>
        <w:pStyle w:val="UtilComBulletText"/>
        <w:numPr>
          <w:ilvl w:val="0"/>
          <w:numId w:val="6"/>
        </w:numPr>
        <w:tabs>
          <w:tab w:val="clear" w:pos="964"/>
          <w:tab w:val="num" w:pos="1276"/>
        </w:tabs>
        <w:ind w:left="1134" w:hanging="425"/>
      </w:pPr>
      <w:r w:rsidRPr="0001087C">
        <w:t xml:space="preserve">appropriate methods for the indexation of the </w:t>
      </w:r>
      <w:r w:rsidR="009B6043">
        <w:t>RAB</w:t>
      </w:r>
      <w:r w:rsidRPr="0001087C">
        <w:t>;</w:t>
      </w:r>
    </w:p>
    <w:p w14:paraId="5A86A440" w14:textId="1228DC71" w:rsidR="0001087C" w:rsidRPr="0001087C" w:rsidRDefault="0001087C" w:rsidP="00DD200F">
      <w:pPr>
        <w:pStyle w:val="UtilComBulletText"/>
        <w:numPr>
          <w:ilvl w:val="0"/>
          <w:numId w:val="6"/>
        </w:numPr>
        <w:tabs>
          <w:tab w:val="clear" w:pos="964"/>
          <w:tab w:val="num" w:pos="1276"/>
        </w:tabs>
        <w:ind w:left="1134" w:hanging="425"/>
      </w:pPr>
      <w:r w:rsidRPr="0001087C">
        <w:t xml:space="preserve">how any applicable efficiency benefit sharing scheme, </w:t>
      </w:r>
      <w:r w:rsidR="00D47264">
        <w:t xml:space="preserve">capital expenditure sharing scheme, </w:t>
      </w:r>
      <w:r w:rsidRPr="0001087C">
        <w:t>service target performance incentive scheme</w:t>
      </w:r>
      <w:r w:rsidR="00D47264">
        <w:t>,</w:t>
      </w:r>
      <w:r w:rsidRPr="0001087C">
        <w:t xml:space="preserve"> demand management </w:t>
      </w:r>
      <w:r w:rsidR="00D47264">
        <w:t xml:space="preserve">and embedded generation </w:t>
      </w:r>
      <w:r w:rsidRPr="0001087C">
        <w:t xml:space="preserve">incentive scheme </w:t>
      </w:r>
      <w:r w:rsidR="00D47264">
        <w:t xml:space="preserve">or small-scale incentive scheme </w:t>
      </w:r>
      <w:r w:rsidR="009B6043">
        <w:t>is</w:t>
      </w:r>
      <w:r w:rsidR="009B6043" w:rsidRPr="0001087C">
        <w:t xml:space="preserve"> </w:t>
      </w:r>
      <w:r w:rsidRPr="0001087C">
        <w:t>to apply to the DNSP;</w:t>
      </w:r>
    </w:p>
    <w:p w14:paraId="7A5817E5" w14:textId="77777777" w:rsidR="0001087C" w:rsidRPr="0001087C" w:rsidRDefault="0001087C" w:rsidP="00DD200F">
      <w:pPr>
        <w:pStyle w:val="UtilComBulletText"/>
        <w:numPr>
          <w:ilvl w:val="0"/>
          <w:numId w:val="6"/>
        </w:numPr>
        <w:tabs>
          <w:tab w:val="clear" w:pos="964"/>
          <w:tab w:val="num" w:pos="1276"/>
        </w:tabs>
        <w:ind w:left="1134" w:hanging="425"/>
      </w:pPr>
      <w:r w:rsidRPr="0001087C">
        <w:t>the commencement and length of the regulatory control period;</w:t>
      </w:r>
      <w:r w:rsidR="00913508">
        <w:t xml:space="preserve"> and</w:t>
      </w:r>
    </w:p>
    <w:p w14:paraId="20999492" w14:textId="77777777" w:rsidR="0001087C" w:rsidRPr="0001087C" w:rsidRDefault="0001087C" w:rsidP="00DD200F">
      <w:pPr>
        <w:pStyle w:val="UtilComBulletText"/>
        <w:numPr>
          <w:ilvl w:val="0"/>
          <w:numId w:val="6"/>
        </w:numPr>
        <w:tabs>
          <w:tab w:val="clear" w:pos="964"/>
          <w:tab w:val="num" w:pos="1276"/>
        </w:tabs>
        <w:ind w:left="1134" w:hanging="425"/>
      </w:pPr>
      <w:r w:rsidRPr="0001087C">
        <w:t>any other amounts, value or inputs on which the building block determination is based.</w:t>
      </w:r>
    </w:p>
    <w:p w14:paraId="38034981" w14:textId="7BF2413D" w:rsidR="009B6043" w:rsidRDefault="009B6043" w:rsidP="00E32188">
      <w:pPr>
        <w:pStyle w:val="NumberLevel2"/>
        <w:numPr>
          <w:ilvl w:val="1"/>
          <w:numId w:val="5"/>
        </w:numPr>
        <w:tabs>
          <w:tab w:val="left" w:pos="709"/>
        </w:tabs>
        <w:ind w:left="709" w:hanging="709"/>
        <w:rPr>
          <w:lang w:val="en-AU"/>
        </w:rPr>
      </w:pPr>
      <w:r>
        <w:rPr>
          <w:lang w:val="en-AU"/>
        </w:rPr>
        <w:t xml:space="preserve">Clause 6.4.3 of the NER then goes on </w:t>
      </w:r>
      <w:r w:rsidR="005F3A85">
        <w:rPr>
          <w:lang w:val="en-AU"/>
        </w:rPr>
        <w:t xml:space="preserve">to </w:t>
      </w:r>
      <w:r>
        <w:rPr>
          <w:lang w:val="en-AU"/>
        </w:rPr>
        <w:t>specify the details relating to each of those building blocks.</w:t>
      </w:r>
    </w:p>
    <w:p w14:paraId="63E0AD7B" w14:textId="6A1B921A" w:rsidR="009B6043" w:rsidRDefault="0001087C" w:rsidP="00E32188">
      <w:pPr>
        <w:pStyle w:val="NumberLevel2"/>
        <w:numPr>
          <w:ilvl w:val="1"/>
          <w:numId w:val="5"/>
        </w:numPr>
        <w:tabs>
          <w:tab w:val="left" w:pos="709"/>
        </w:tabs>
        <w:ind w:left="709" w:hanging="709"/>
        <w:rPr>
          <w:lang w:val="en-AU"/>
        </w:rPr>
      </w:pPr>
      <w:r w:rsidRPr="0001087C">
        <w:rPr>
          <w:lang w:val="en-AU"/>
        </w:rPr>
        <w:t xml:space="preserve">A DNSP’s building block proposal must be prepared in accordance with the PTRM and the requirements of </w:t>
      </w:r>
      <w:r w:rsidR="00913508">
        <w:rPr>
          <w:lang w:val="en-AU"/>
        </w:rPr>
        <w:t>P</w:t>
      </w:r>
      <w:r w:rsidR="00913508" w:rsidRPr="0001087C">
        <w:rPr>
          <w:lang w:val="en-AU"/>
        </w:rPr>
        <w:t xml:space="preserve">art </w:t>
      </w:r>
      <w:r w:rsidRPr="0001087C">
        <w:rPr>
          <w:lang w:val="en-AU"/>
        </w:rPr>
        <w:t xml:space="preserve">C </w:t>
      </w:r>
      <w:r w:rsidR="009B6043">
        <w:rPr>
          <w:lang w:val="en-AU"/>
        </w:rPr>
        <w:t xml:space="preserve">of Chapter 6 </w:t>
      </w:r>
      <w:r w:rsidRPr="0001087C">
        <w:rPr>
          <w:lang w:val="en-AU"/>
        </w:rPr>
        <w:t xml:space="preserve">of </w:t>
      </w:r>
      <w:r w:rsidR="009B6043">
        <w:rPr>
          <w:lang w:val="en-AU"/>
        </w:rPr>
        <w:t xml:space="preserve">the </w:t>
      </w:r>
      <w:r w:rsidRPr="0001087C">
        <w:rPr>
          <w:lang w:val="en-AU"/>
        </w:rPr>
        <w:t xml:space="preserve">NER. </w:t>
      </w:r>
    </w:p>
    <w:p w14:paraId="7FA9CFD0" w14:textId="30E9DF01" w:rsidR="0001087C" w:rsidRPr="0001087C" w:rsidRDefault="0001087C" w:rsidP="00E32188">
      <w:pPr>
        <w:pStyle w:val="NumberLevel2"/>
        <w:numPr>
          <w:ilvl w:val="1"/>
          <w:numId w:val="5"/>
        </w:numPr>
        <w:tabs>
          <w:tab w:val="left" w:pos="709"/>
        </w:tabs>
        <w:ind w:left="709" w:hanging="709"/>
        <w:rPr>
          <w:lang w:val="en-AU"/>
        </w:rPr>
      </w:pPr>
      <w:r w:rsidRPr="0001087C">
        <w:rPr>
          <w:lang w:val="en-AU"/>
        </w:rPr>
        <w:t>The building block proposal must also comply with the requirements of any relevant regulatory information instrument</w:t>
      </w:r>
      <w:r>
        <w:rPr>
          <w:lang w:val="en-AU"/>
        </w:rPr>
        <w:t>.</w:t>
      </w:r>
    </w:p>
    <w:p w14:paraId="30964AFC" w14:textId="58E5DAD9" w:rsidR="00AF2B7B" w:rsidRDefault="0001087C" w:rsidP="00E32188">
      <w:pPr>
        <w:pStyle w:val="NumberLevel2"/>
        <w:numPr>
          <w:ilvl w:val="1"/>
          <w:numId w:val="5"/>
        </w:numPr>
        <w:tabs>
          <w:tab w:val="left" w:pos="709"/>
        </w:tabs>
        <w:ind w:left="709" w:hanging="709"/>
        <w:rPr>
          <w:lang w:val="en-AU"/>
        </w:rPr>
      </w:pPr>
      <w:r w:rsidRPr="0001087C">
        <w:rPr>
          <w:lang w:val="en-AU"/>
        </w:rPr>
        <w:t xml:space="preserve">Under clause 6.12.3(d) of the NER, the AER must approve </w:t>
      </w:r>
      <w:r w:rsidR="009B6043">
        <w:rPr>
          <w:lang w:val="en-AU"/>
        </w:rPr>
        <w:t xml:space="preserve">the total revenue requirement for a DNSP for a regulatory control period, and the </w:t>
      </w:r>
      <w:r w:rsidRPr="0001087C">
        <w:rPr>
          <w:lang w:val="en-AU"/>
        </w:rPr>
        <w:t xml:space="preserve">annual revenue </w:t>
      </w:r>
      <w:r w:rsidR="009B6043" w:rsidRPr="0001087C">
        <w:rPr>
          <w:lang w:val="en-AU"/>
        </w:rPr>
        <w:t>requirement</w:t>
      </w:r>
      <w:r w:rsidR="009B6043">
        <w:rPr>
          <w:lang w:val="en-AU"/>
        </w:rPr>
        <w:t xml:space="preserve"> for each regulatory year of a regulatory control period, as set out in the DNSP’s building block proposal,</w:t>
      </w:r>
      <w:r w:rsidR="009B6043" w:rsidRPr="0001087C">
        <w:rPr>
          <w:lang w:val="en-AU"/>
        </w:rPr>
        <w:t xml:space="preserve"> </w:t>
      </w:r>
      <w:r w:rsidRPr="0001087C">
        <w:rPr>
          <w:lang w:val="en-AU"/>
        </w:rPr>
        <w:t xml:space="preserve">if it is satisfied that </w:t>
      </w:r>
      <w:r w:rsidR="009B6043">
        <w:rPr>
          <w:lang w:val="en-AU"/>
        </w:rPr>
        <w:t>those amounts</w:t>
      </w:r>
      <w:r w:rsidR="009B6043" w:rsidRPr="0001087C">
        <w:rPr>
          <w:lang w:val="en-AU"/>
        </w:rPr>
        <w:t xml:space="preserve"> </w:t>
      </w:r>
      <w:r w:rsidRPr="0001087C">
        <w:rPr>
          <w:lang w:val="en-AU"/>
        </w:rPr>
        <w:t xml:space="preserve">have been </w:t>
      </w:r>
      <w:r w:rsidR="009B6043">
        <w:rPr>
          <w:lang w:val="en-AU"/>
        </w:rPr>
        <w:t xml:space="preserve">properly </w:t>
      </w:r>
      <w:r w:rsidRPr="0001087C">
        <w:rPr>
          <w:lang w:val="en-AU"/>
        </w:rPr>
        <w:t xml:space="preserve">calculated using the PTRM on the basis of amounts </w:t>
      </w:r>
      <w:r w:rsidR="009B6043">
        <w:rPr>
          <w:lang w:val="en-AU"/>
        </w:rPr>
        <w:t>calculated, determined or forecast in</w:t>
      </w:r>
      <w:r w:rsidRPr="0001087C">
        <w:rPr>
          <w:lang w:val="en-AU"/>
        </w:rPr>
        <w:t xml:space="preserve"> </w:t>
      </w:r>
      <w:r w:rsidR="00913508">
        <w:rPr>
          <w:lang w:val="en-AU"/>
        </w:rPr>
        <w:t>P</w:t>
      </w:r>
      <w:r w:rsidR="00913508" w:rsidRPr="0001087C">
        <w:rPr>
          <w:lang w:val="en-AU"/>
        </w:rPr>
        <w:t xml:space="preserve">art </w:t>
      </w:r>
      <w:r w:rsidRPr="0001087C">
        <w:rPr>
          <w:lang w:val="en-AU"/>
        </w:rPr>
        <w:t xml:space="preserve">C </w:t>
      </w:r>
      <w:r w:rsidR="009B6043">
        <w:rPr>
          <w:lang w:val="en-AU"/>
        </w:rPr>
        <w:t xml:space="preserve">of Chapter 6 </w:t>
      </w:r>
      <w:r w:rsidRPr="0001087C">
        <w:rPr>
          <w:lang w:val="en-AU"/>
        </w:rPr>
        <w:t>of the NER</w:t>
      </w:r>
      <w:r w:rsidR="001952ED">
        <w:rPr>
          <w:lang w:val="en-AU"/>
        </w:rPr>
        <w:t>.</w:t>
      </w:r>
    </w:p>
    <w:p w14:paraId="10C77918" w14:textId="17BDBAB2" w:rsidR="001952ED" w:rsidRPr="00913508" w:rsidRDefault="001952ED" w:rsidP="00913508">
      <w:pPr>
        <w:pStyle w:val="UtilComHeading4"/>
        <w:spacing w:before="120"/>
        <w:rPr>
          <w:b/>
          <w:i w:val="0"/>
          <w:lang w:val="en-AU"/>
        </w:rPr>
      </w:pPr>
      <w:r w:rsidRPr="00913508">
        <w:rPr>
          <w:b/>
          <w:i w:val="0"/>
          <w:lang w:val="en-AU"/>
        </w:rPr>
        <w:t>X</w:t>
      </w:r>
      <w:r w:rsidR="005F3A85">
        <w:rPr>
          <w:b/>
          <w:i w:val="0"/>
          <w:lang w:val="en-AU"/>
        </w:rPr>
        <w:t xml:space="preserve"> F</w:t>
      </w:r>
      <w:r w:rsidRPr="00913508">
        <w:rPr>
          <w:b/>
          <w:i w:val="0"/>
          <w:lang w:val="en-AU"/>
        </w:rPr>
        <w:t>actors</w:t>
      </w:r>
    </w:p>
    <w:p w14:paraId="4B9B1392" w14:textId="77D68579" w:rsidR="008C665D" w:rsidRDefault="001952ED" w:rsidP="00E32188">
      <w:pPr>
        <w:pStyle w:val="NumberLevel2"/>
        <w:numPr>
          <w:ilvl w:val="1"/>
          <w:numId w:val="5"/>
        </w:numPr>
        <w:ind w:left="709" w:hanging="709"/>
        <w:rPr>
          <w:lang w:val="en-AU"/>
        </w:rPr>
      </w:pPr>
      <w:r w:rsidRPr="001952ED">
        <w:rPr>
          <w:lang w:val="en-AU"/>
        </w:rPr>
        <w:t>The AER</w:t>
      </w:r>
      <w:r w:rsidR="008C665D">
        <w:rPr>
          <w:lang w:val="en-AU"/>
        </w:rPr>
        <w:t>’s building block determination</w:t>
      </w:r>
      <w:r w:rsidRPr="001952ED">
        <w:rPr>
          <w:lang w:val="en-AU"/>
        </w:rPr>
        <w:t xml:space="preserve"> must </w:t>
      </w:r>
      <w:r w:rsidR="008C665D">
        <w:rPr>
          <w:lang w:val="en-AU"/>
        </w:rPr>
        <w:t>also include the</w:t>
      </w:r>
      <w:r w:rsidR="008C665D" w:rsidRPr="001952ED">
        <w:rPr>
          <w:lang w:val="en-AU"/>
        </w:rPr>
        <w:t xml:space="preserve"> </w:t>
      </w:r>
      <w:r w:rsidRPr="001952ED">
        <w:rPr>
          <w:lang w:val="en-AU"/>
        </w:rPr>
        <w:t xml:space="preserve">X </w:t>
      </w:r>
      <w:r w:rsidR="008C665D" w:rsidRPr="001952ED">
        <w:rPr>
          <w:lang w:val="en-AU"/>
        </w:rPr>
        <w:t>factor</w:t>
      </w:r>
      <w:r w:rsidR="008C665D">
        <w:rPr>
          <w:lang w:val="en-AU"/>
        </w:rPr>
        <w:t xml:space="preserve"> for each regulatory control mechanism for each regulatory year of the regulatory control period,</w:t>
      </w:r>
      <w:r w:rsidR="008C665D" w:rsidRPr="001952ED">
        <w:rPr>
          <w:lang w:val="en-AU"/>
        </w:rPr>
        <w:t xml:space="preserve"> </w:t>
      </w:r>
      <w:r w:rsidRPr="001952ED">
        <w:rPr>
          <w:lang w:val="en-AU"/>
        </w:rPr>
        <w:t xml:space="preserve">subject to the requirements of clause 6.5.9 of the NER. </w:t>
      </w:r>
    </w:p>
    <w:p w14:paraId="4F7D5580" w14:textId="174AAE2B" w:rsidR="001952ED" w:rsidRPr="001952ED" w:rsidRDefault="001952ED" w:rsidP="00E32188">
      <w:pPr>
        <w:pStyle w:val="NumberLevel2"/>
        <w:numPr>
          <w:ilvl w:val="1"/>
          <w:numId w:val="5"/>
        </w:numPr>
        <w:ind w:left="709" w:hanging="709"/>
        <w:rPr>
          <w:lang w:val="en-AU"/>
        </w:rPr>
      </w:pPr>
      <w:r w:rsidRPr="001952ED">
        <w:rPr>
          <w:lang w:val="en-AU"/>
        </w:rPr>
        <w:t>In particular, the X factors must:</w:t>
      </w:r>
    </w:p>
    <w:p w14:paraId="1645E9CB" w14:textId="0509A7E7" w:rsidR="001952ED" w:rsidRPr="001952ED" w:rsidRDefault="001952ED" w:rsidP="00DD200F">
      <w:pPr>
        <w:pStyle w:val="UtilComBulletText"/>
        <w:numPr>
          <w:ilvl w:val="0"/>
          <w:numId w:val="6"/>
        </w:numPr>
        <w:tabs>
          <w:tab w:val="clear" w:pos="964"/>
          <w:tab w:val="clear" w:pos="1134"/>
          <w:tab w:val="num" w:pos="1276"/>
        </w:tabs>
        <w:ind w:left="1134" w:hanging="425"/>
      </w:pPr>
      <w:r w:rsidRPr="001952ED">
        <w:rPr>
          <w:lang w:val="en-AU"/>
        </w:rPr>
        <w:t xml:space="preserve">have regard to each DNSPs’ total revenue requirement for the regulatory control </w:t>
      </w:r>
      <w:r w:rsidRPr="001952ED">
        <w:t>period</w:t>
      </w:r>
      <w:r w:rsidR="002C1CF3">
        <w:t>;</w:t>
      </w:r>
    </w:p>
    <w:p w14:paraId="1326BF81" w14:textId="5E7B0010" w:rsidR="001952ED" w:rsidRPr="001952ED" w:rsidRDefault="001952ED" w:rsidP="00DD200F">
      <w:pPr>
        <w:pStyle w:val="UtilComBulletText"/>
        <w:numPr>
          <w:ilvl w:val="0"/>
          <w:numId w:val="6"/>
        </w:numPr>
        <w:tabs>
          <w:tab w:val="clear" w:pos="964"/>
          <w:tab w:val="clear" w:pos="1134"/>
          <w:tab w:val="num" w:pos="1276"/>
        </w:tabs>
        <w:ind w:left="1134" w:hanging="425"/>
      </w:pPr>
      <w:r w:rsidRPr="001952ED">
        <w:t xml:space="preserve">minimise, as far as </w:t>
      </w:r>
      <w:r w:rsidR="008C665D">
        <w:t xml:space="preserve">reasonably </w:t>
      </w:r>
      <w:r w:rsidRPr="001952ED">
        <w:t xml:space="preserve">possible, the difference between the annual revenue requirement and expected revenue </w:t>
      </w:r>
      <w:r w:rsidR="008C665D">
        <w:t>for</w:t>
      </w:r>
      <w:r w:rsidR="008C665D" w:rsidRPr="001952ED">
        <w:t xml:space="preserve"> </w:t>
      </w:r>
      <w:r w:rsidRPr="001952ED">
        <w:t xml:space="preserve">the </w:t>
      </w:r>
      <w:r w:rsidR="008C665D">
        <w:t>last regulatory</w:t>
      </w:r>
      <w:r w:rsidR="008C665D" w:rsidRPr="001952ED">
        <w:t xml:space="preserve"> </w:t>
      </w:r>
      <w:r w:rsidRPr="001952ED">
        <w:t>year of the regulatory control period</w:t>
      </w:r>
      <w:r w:rsidR="002C1CF3">
        <w:t>; and</w:t>
      </w:r>
    </w:p>
    <w:p w14:paraId="508D7887" w14:textId="4DF2F26F" w:rsidR="001952ED" w:rsidRPr="001952ED" w:rsidRDefault="001952ED" w:rsidP="00DD200F">
      <w:pPr>
        <w:pStyle w:val="UtilComBulletText"/>
        <w:numPr>
          <w:ilvl w:val="0"/>
          <w:numId w:val="6"/>
        </w:numPr>
        <w:tabs>
          <w:tab w:val="clear" w:pos="964"/>
          <w:tab w:val="clear" w:pos="1134"/>
          <w:tab w:val="num" w:pos="1276"/>
        </w:tabs>
        <w:ind w:left="1134" w:hanging="425"/>
      </w:pPr>
      <w:r w:rsidRPr="001952ED">
        <w:t>equalise, in NPV terms, the total revenue requirement and expected revenues over the regulatory control period under the applicable form of control.</w:t>
      </w:r>
    </w:p>
    <w:p w14:paraId="5E55A384" w14:textId="4D64BB82" w:rsidR="001952ED" w:rsidRPr="001952ED" w:rsidRDefault="001952ED" w:rsidP="00E32188">
      <w:pPr>
        <w:pStyle w:val="NumberLevel2"/>
        <w:numPr>
          <w:ilvl w:val="1"/>
          <w:numId w:val="5"/>
        </w:numPr>
        <w:tabs>
          <w:tab w:val="left" w:pos="709"/>
        </w:tabs>
        <w:ind w:left="709" w:hanging="709"/>
        <w:rPr>
          <w:lang w:val="en-AU"/>
        </w:rPr>
      </w:pPr>
      <w:r w:rsidRPr="001952ED">
        <w:rPr>
          <w:lang w:val="en-AU"/>
        </w:rPr>
        <w:t>Clause 6.5.9(c) of the NER also provides for different X factors to be set for each regulatory year</w:t>
      </w:r>
      <w:r w:rsidR="006C5C1F">
        <w:rPr>
          <w:lang w:val="en-AU"/>
        </w:rPr>
        <w:t xml:space="preserve"> of the regulatory control period</w:t>
      </w:r>
      <w:r w:rsidRPr="001952ED">
        <w:rPr>
          <w:lang w:val="en-AU"/>
        </w:rPr>
        <w:t>.</w:t>
      </w:r>
    </w:p>
    <w:p w14:paraId="166EDBF1" w14:textId="7C4B6BDB" w:rsidR="00AF2B7B" w:rsidRDefault="00D83772" w:rsidP="00D83772">
      <w:pPr>
        <w:pStyle w:val="UtilComHeading3"/>
        <w:rPr>
          <w:lang w:val="en-AU"/>
        </w:rPr>
      </w:pPr>
      <w:r>
        <w:rPr>
          <w:lang w:val="en-AU"/>
        </w:rPr>
        <w:t xml:space="preserve">Framework </w:t>
      </w:r>
      <w:r w:rsidR="006C5C1F">
        <w:rPr>
          <w:lang w:val="en-AU"/>
        </w:rPr>
        <w:t>Statement</w:t>
      </w:r>
    </w:p>
    <w:p w14:paraId="35F86FFD" w14:textId="77777777" w:rsidR="004062DB" w:rsidRPr="004062DB" w:rsidRDefault="00D83772" w:rsidP="00E32188">
      <w:pPr>
        <w:pStyle w:val="ListParagraph"/>
        <w:numPr>
          <w:ilvl w:val="1"/>
          <w:numId w:val="5"/>
        </w:numPr>
        <w:tabs>
          <w:tab w:val="clear" w:pos="3270"/>
          <w:tab w:val="num" w:pos="709"/>
        </w:tabs>
        <w:ind w:left="709" w:hanging="709"/>
        <w:rPr>
          <w:lang w:val="en-AU"/>
        </w:rPr>
      </w:pPr>
      <w:r w:rsidRPr="004062DB">
        <w:rPr>
          <w:lang w:val="en-AU"/>
        </w:rPr>
        <w:t xml:space="preserve">The Commission’s </w:t>
      </w:r>
      <w:r w:rsidR="004062DB" w:rsidRPr="004062DB">
        <w:rPr>
          <w:lang w:val="en-AU"/>
        </w:rPr>
        <w:t>Framework Statement</w:t>
      </w:r>
      <w:r w:rsidRPr="004062DB">
        <w:rPr>
          <w:lang w:val="en-AU"/>
        </w:rPr>
        <w:t xml:space="preserve"> </w:t>
      </w:r>
      <w:r w:rsidR="004062DB">
        <w:rPr>
          <w:lang w:val="en-AU"/>
        </w:rPr>
        <w:t>provided that it</w:t>
      </w:r>
      <w:r w:rsidRPr="004062DB">
        <w:rPr>
          <w:lang w:val="en-AU"/>
        </w:rPr>
        <w:t xml:space="preserve"> </w:t>
      </w:r>
      <w:r w:rsidR="004062DB">
        <w:rPr>
          <w:lang w:val="en-AU"/>
        </w:rPr>
        <w:t>would</w:t>
      </w:r>
      <w:r w:rsidR="004062DB" w:rsidRPr="004062DB">
        <w:rPr>
          <w:lang w:val="en-AU"/>
        </w:rPr>
        <w:t xml:space="preserve"> adopt a forward</w:t>
      </w:r>
      <w:r w:rsidR="00913508">
        <w:rPr>
          <w:lang w:val="en-AU"/>
        </w:rPr>
        <w:noBreakHyphen/>
      </w:r>
      <w:r w:rsidR="004062DB" w:rsidRPr="004062DB">
        <w:rPr>
          <w:lang w:val="en-AU"/>
        </w:rPr>
        <w:t xml:space="preserve">looking building block approach using similar processes and practices as applied by the AER, but noting that full adoption of the AER processes may not be possible and variations may be required. </w:t>
      </w:r>
    </w:p>
    <w:p w14:paraId="16ED02AC" w14:textId="2FBE5A07" w:rsidR="00D83772" w:rsidRPr="00D83772" w:rsidRDefault="004062DB" w:rsidP="00E32188">
      <w:pPr>
        <w:pStyle w:val="NumberLevel2"/>
        <w:numPr>
          <w:ilvl w:val="1"/>
          <w:numId w:val="5"/>
        </w:numPr>
        <w:tabs>
          <w:tab w:val="clear" w:pos="3270"/>
          <w:tab w:val="num" w:pos="709"/>
        </w:tabs>
        <w:ind w:left="709" w:hanging="709"/>
        <w:rPr>
          <w:lang w:val="en-AU"/>
        </w:rPr>
      </w:pPr>
      <w:r>
        <w:rPr>
          <w:lang w:val="en-AU"/>
        </w:rPr>
        <w:t xml:space="preserve">The Commission also proposed </w:t>
      </w:r>
      <w:r w:rsidR="00F02028">
        <w:rPr>
          <w:lang w:val="en-AU"/>
        </w:rPr>
        <w:t xml:space="preserve">in the Framework Statement </w:t>
      </w:r>
      <w:r>
        <w:rPr>
          <w:lang w:val="en-AU"/>
        </w:rPr>
        <w:t>to</w:t>
      </w:r>
      <w:r w:rsidR="00D83772" w:rsidRPr="00D83772">
        <w:rPr>
          <w:lang w:val="en-AU"/>
        </w:rPr>
        <w:t xml:space="preserve"> adopt a pre</w:t>
      </w:r>
      <w:r w:rsidR="006C5C1F">
        <w:rPr>
          <w:lang w:val="en-AU"/>
        </w:rPr>
        <w:noBreakHyphen/>
      </w:r>
      <w:r w:rsidR="00D83772" w:rsidRPr="00D83772">
        <w:rPr>
          <w:lang w:val="en-AU"/>
        </w:rPr>
        <w:t xml:space="preserve">tax revenue model for use by </w:t>
      </w:r>
      <w:r w:rsidR="006C5C1F">
        <w:rPr>
          <w:lang w:val="en-AU"/>
        </w:rPr>
        <w:t>PWC Networks</w:t>
      </w:r>
      <w:r w:rsidR="00D83772" w:rsidRPr="00D83772">
        <w:rPr>
          <w:lang w:val="en-AU"/>
        </w:rPr>
        <w:t xml:space="preserve"> in the 20</w:t>
      </w:r>
      <w:r w:rsidR="00D83772">
        <w:rPr>
          <w:lang w:val="en-AU"/>
        </w:rPr>
        <w:t>14 Network Price Determination, as a post-tax approach</w:t>
      </w:r>
      <w:r w:rsidR="00D83772" w:rsidRPr="00D83772">
        <w:rPr>
          <w:lang w:val="en-AU"/>
        </w:rPr>
        <w:t xml:space="preserve"> cannot currently be met by PWC</w:t>
      </w:r>
      <w:r w:rsidR="007A729A">
        <w:rPr>
          <w:lang w:val="en-AU"/>
        </w:rPr>
        <w:t> Networks</w:t>
      </w:r>
      <w:r w:rsidR="00D83772" w:rsidRPr="00D83772">
        <w:rPr>
          <w:lang w:val="en-AU"/>
        </w:rPr>
        <w:t xml:space="preserve"> without introducing unwarranted complexity</w:t>
      </w:r>
      <w:r w:rsidR="002C1CF3">
        <w:rPr>
          <w:lang w:val="en-AU"/>
        </w:rPr>
        <w:t>.</w:t>
      </w:r>
    </w:p>
    <w:p w14:paraId="1D8C3815" w14:textId="4B6A25EC" w:rsidR="00AF2B7B" w:rsidRDefault="002F528B" w:rsidP="00E32188">
      <w:pPr>
        <w:pStyle w:val="NumberLevel2"/>
        <w:numPr>
          <w:ilvl w:val="1"/>
          <w:numId w:val="5"/>
        </w:numPr>
        <w:ind w:left="709" w:hanging="709"/>
        <w:rPr>
          <w:lang w:val="en-AU"/>
        </w:rPr>
      </w:pPr>
      <w:r w:rsidRPr="002F528B">
        <w:rPr>
          <w:lang w:val="en-AU"/>
        </w:rPr>
        <w:t>The Commission, in consultation with PWC</w:t>
      </w:r>
      <w:r w:rsidR="007A729A">
        <w:rPr>
          <w:lang w:val="en-AU"/>
        </w:rPr>
        <w:t> Networks</w:t>
      </w:r>
      <w:r w:rsidRPr="002F528B">
        <w:rPr>
          <w:lang w:val="en-AU"/>
        </w:rPr>
        <w:t xml:space="preserve"> and seeking assistance from the AER where necessary, </w:t>
      </w:r>
      <w:r w:rsidR="00913508">
        <w:rPr>
          <w:lang w:val="en-AU"/>
        </w:rPr>
        <w:t xml:space="preserve">proposed to </w:t>
      </w:r>
      <w:r w:rsidR="00C05748" w:rsidRPr="002F528B">
        <w:rPr>
          <w:lang w:val="en-AU"/>
        </w:rPr>
        <w:t>modif</w:t>
      </w:r>
      <w:r w:rsidR="00C05748">
        <w:rPr>
          <w:lang w:val="en-AU"/>
        </w:rPr>
        <w:t>y</w:t>
      </w:r>
      <w:r w:rsidR="00C05748" w:rsidRPr="002F528B">
        <w:rPr>
          <w:lang w:val="en-AU"/>
        </w:rPr>
        <w:t xml:space="preserve"> </w:t>
      </w:r>
      <w:r w:rsidRPr="002F528B">
        <w:rPr>
          <w:lang w:val="en-AU"/>
        </w:rPr>
        <w:t>the PTRM to accommodate a pre</w:t>
      </w:r>
      <w:r w:rsidR="00913508">
        <w:rPr>
          <w:lang w:val="en-AU"/>
        </w:rPr>
        <w:noBreakHyphen/>
      </w:r>
      <w:r w:rsidRPr="002F528B">
        <w:rPr>
          <w:lang w:val="en-AU"/>
        </w:rPr>
        <w:t>tax approach</w:t>
      </w:r>
      <w:r w:rsidR="00F02028">
        <w:rPr>
          <w:lang w:val="en-AU"/>
        </w:rPr>
        <w:t xml:space="preserve"> for the purposes of the </w:t>
      </w:r>
      <w:r w:rsidR="006C5C1F">
        <w:rPr>
          <w:lang w:val="en-AU"/>
        </w:rPr>
        <w:t>2014 Network Price Determination</w:t>
      </w:r>
      <w:r w:rsidRPr="002F528B">
        <w:rPr>
          <w:lang w:val="en-AU"/>
        </w:rPr>
        <w:t xml:space="preserve">. All other information requirements underlying the PTRM </w:t>
      </w:r>
      <w:r w:rsidR="002C1CF3">
        <w:rPr>
          <w:lang w:val="en-AU"/>
        </w:rPr>
        <w:t xml:space="preserve">would </w:t>
      </w:r>
      <w:r w:rsidRPr="002F528B">
        <w:rPr>
          <w:lang w:val="en-AU"/>
        </w:rPr>
        <w:t xml:space="preserve">remain unchanged, and a modified pre-tax model suitable for publication </w:t>
      </w:r>
      <w:r w:rsidR="00485AF0">
        <w:rPr>
          <w:lang w:val="en-AU"/>
        </w:rPr>
        <w:t xml:space="preserve">would </w:t>
      </w:r>
      <w:r w:rsidRPr="002F528B">
        <w:rPr>
          <w:lang w:val="en-AU"/>
        </w:rPr>
        <w:t xml:space="preserve">form part of </w:t>
      </w:r>
      <w:r w:rsidR="006C5C1F">
        <w:rPr>
          <w:lang w:val="en-AU"/>
        </w:rPr>
        <w:t>PWC Networks’</w:t>
      </w:r>
      <w:r w:rsidR="006C5C1F" w:rsidRPr="002F528B">
        <w:rPr>
          <w:lang w:val="en-AU"/>
        </w:rPr>
        <w:t xml:space="preserve"> </w:t>
      </w:r>
      <w:r w:rsidRPr="002F528B">
        <w:rPr>
          <w:lang w:val="en-AU"/>
        </w:rPr>
        <w:t>regulatory proposal, consistent with requirements in the NE</w:t>
      </w:r>
      <w:r w:rsidR="00F02028">
        <w:rPr>
          <w:lang w:val="en-AU"/>
        </w:rPr>
        <w:t>R</w:t>
      </w:r>
      <w:r w:rsidR="00D83772" w:rsidRPr="00D83772">
        <w:rPr>
          <w:lang w:val="en-AU"/>
        </w:rPr>
        <w:t>.</w:t>
      </w:r>
    </w:p>
    <w:p w14:paraId="27504EEE" w14:textId="11B04DC2" w:rsidR="008E4B9F" w:rsidRDefault="008E4B9F" w:rsidP="008E4B9F">
      <w:pPr>
        <w:pStyle w:val="UtilComHeading2"/>
      </w:pPr>
      <w:bookmarkStart w:id="295" w:name="_Toc385241570"/>
      <w:bookmarkStart w:id="296" w:name="_Toc386013123"/>
      <w:r>
        <w:t>PWC Networks</w:t>
      </w:r>
      <w:r w:rsidR="00D624BF">
        <w:t>’</w:t>
      </w:r>
      <w:r>
        <w:t xml:space="preserve"> </w:t>
      </w:r>
      <w:r w:rsidR="00C05748">
        <w:t xml:space="preserve">Initial Regulatory </w:t>
      </w:r>
      <w:bookmarkEnd w:id="295"/>
      <w:r w:rsidR="00C05748">
        <w:t>Proposal</w:t>
      </w:r>
      <w:bookmarkEnd w:id="296"/>
    </w:p>
    <w:p w14:paraId="4EF0B702" w14:textId="723069B0" w:rsidR="008E4B9F" w:rsidRDefault="006A402B" w:rsidP="00E32188">
      <w:pPr>
        <w:pStyle w:val="NumberLevel2"/>
        <w:numPr>
          <w:ilvl w:val="1"/>
          <w:numId w:val="5"/>
        </w:numPr>
        <w:tabs>
          <w:tab w:val="clear" w:pos="3270"/>
          <w:tab w:val="num" w:pos="709"/>
        </w:tabs>
        <w:ind w:left="709" w:hanging="709"/>
        <w:rPr>
          <w:lang w:val="en-AU"/>
        </w:rPr>
      </w:pPr>
      <w:r>
        <w:rPr>
          <w:lang w:val="en-AU"/>
        </w:rPr>
        <w:t>PWC Networks’</w:t>
      </w:r>
      <w:r w:rsidRPr="006A402B">
        <w:rPr>
          <w:lang w:val="en-AU"/>
        </w:rPr>
        <w:t xml:space="preserve"> calculation of annual revenue requirements and X factors is contained in its </w:t>
      </w:r>
      <w:r>
        <w:rPr>
          <w:lang w:val="en-AU"/>
        </w:rPr>
        <w:t xml:space="preserve">NTRM </w:t>
      </w:r>
      <w:r w:rsidRPr="006A402B">
        <w:rPr>
          <w:lang w:val="en-AU"/>
        </w:rPr>
        <w:t xml:space="preserve">and summarised in </w:t>
      </w:r>
      <w:r w:rsidR="00114B1D">
        <w:rPr>
          <w:lang w:val="en-AU"/>
        </w:rPr>
        <w:t>T</w:t>
      </w:r>
      <w:r w:rsidRPr="006A402B">
        <w:rPr>
          <w:lang w:val="en-AU"/>
        </w:rPr>
        <w:t>able</w:t>
      </w:r>
      <w:r w:rsidR="00114B1D">
        <w:rPr>
          <w:lang w:val="en-AU"/>
        </w:rPr>
        <w:t xml:space="preserve"> </w:t>
      </w:r>
      <w:r w:rsidR="00036DA7" w:rsidRPr="006A402B">
        <w:rPr>
          <w:lang w:val="en-AU"/>
        </w:rPr>
        <w:t>1</w:t>
      </w:r>
      <w:r w:rsidR="00036DA7">
        <w:rPr>
          <w:lang w:val="en-AU"/>
        </w:rPr>
        <w:t>4</w:t>
      </w:r>
      <w:r w:rsidRPr="006A402B">
        <w:rPr>
          <w:lang w:val="en-AU"/>
        </w:rPr>
        <w:t>.1</w:t>
      </w:r>
      <w:r w:rsidR="00FF15EF">
        <w:rPr>
          <w:lang w:val="en-AU"/>
        </w:rPr>
        <w:t xml:space="preserve"> and</w:t>
      </w:r>
      <w:r w:rsidR="00114B1D">
        <w:rPr>
          <w:lang w:val="en-AU"/>
        </w:rPr>
        <w:t xml:space="preserve"> Table</w:t>
      </w:r>
      <w:r w:rsidR="00FF15EF">
        <w:rPr>
          <w:lang w:val="en-AU"/>
        </w:rPr>
        <w:t xml:space="preserve"> </w:t>
      </w:r>
      <w:r w:rsidR="00036DA7">
        <w:rPr>
          <w:lang w:val="en-AU"/>
        </w:rPr>
        <w:t>14</w:t>
      </w:r>
      <w:r w:rsidR="00FF15EF">
        <w:rPr>
          <w:lang w:val="en-AU"/>
        </w:rPr>
        <w:t>.2</w:t>
      </w:r>
      <w:r w:rsidRPr="006A402B">
        <w:rPr>
          <w:lang w:val="en-AU"/>
        </w:rPr>
        <w:t>.</w:t>
      </w:r>
    </w:p>
    <w:p w14:paraId="0BDFD692" w14:textId="77777777" w:rsidR="00114B1D" w:rsidRDefault="00114B1D">
      <w:pPr>
        <w:spacing w:before="0" w:after="0" w:line="240" w:lineRule="auto"/>
        <w:rPr>
          <w:rFonts w:cs="Arial"/>
          <w:spacing w:val="-14"/>
          <w:szCs w:val="22"/>
          <w:lang w:val="en-AU"/>
        </w:rPr>
      </w:pPr>
      <w:r>
        <w:br w:type="page"/>
      </w:r>
    </w:p>
    <w:p w14:paraId="03A9AA90" w14:textId="46537C99" w:rsidR="00FF15EF" w:rsidRPr="00A139AD" w:rsidRDefault="00FF15EF" w:rsidP="00485AF0">
      <w:pPr>
        <w:pStyle w:val="UtilComTableTitle"/>
        <w:keepNext/>
        <w:spacing w:before="120" w:after="0" w:line="240" w:lineRule="exact"/>
      </w:pPr>
      <w:r>
        <w:t xml:space="preserve">Table </w:t>
      </w:r>
      <w:r w:rsidR="00036DA7">
        <w:t>14</w:t>
      </w:r>
      <w:r>
        <w:t>.1: PWC Networks</w:t>
      </w:r>
      <w:r w:rsidR="00D638A5">
        <w:t>’</w:t>
      </w:r>
      <w:r>
        <w:t xml:space="preserve"> roll</w:t>
      </w:r>
      <w:r w:rsidR="0075053D">
        <w:t xml:space="preserve"> </w:t>
      </w:r>
      <w:r>
        <w:t>forward of regulatory asset base</w:t>
      </w:r>
      <w:r w:rsidRPr="006A402B">
        <w:t xml:space="preserve"> ($</w:t>
      </w:r>
      <w:r w:rsidR="00145AAB">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3544"/>
        <w:gridCol w:w="1134"/>
        <w:gridCol w:w="1134"/>
        <w:gridCol w:w="1134"/>
        <w:gridCol w:w="1134"/>
        <w:gridCol w:w="1134"/>
      </w:tblGrid>
      <w:tr w:rsidR="00EF13C2" w:rsidRPr="008A4655" w14:paraId="1ED5A5F7" w14:textId="77777777" w:rsidTr="00AF6E6D">
        <w:trPr>
          <w:cantSplit/>
          <w:trHeight w:val="360"/>
        </w:trPr>
        <w:tc>
          <w:tcPr>
            <w:tcW w:w="3544" w:type="dxa"/>
            <w:tcBorders>
              <w:top w:val="single" w:sz="4" w:space="0" w:color="999999"/>
              <w:bottom w:val="single" w:sz="4" w:space="0" w:color="auto"/>
            </w:tcBorders>
          </w:tcPr>
          <w:p w14:paraId="1F00F9D5" w14:textId="77777777" w:rsidR="00EF13C2" w:rsidRPr="00EE5A08" w:rsidRDefault="00EF13C2" w:rsidP="00EF13C2">
            <w:pPr>
              <w:pStyle w:val="UtilComTabletext"/>
              <w:rPr>
                <w:b/>
              </w:rPr>
            </w:pPr>
          </w:p>
        </w:tc>
        <w:tc>
          <w:tcPr>
            <w:tcW w:w="1134" w:type="dxa"/>
            <w:tcBorders>
              <w:top w:val="single" w:sz="4" w:space="0" w:color="999999"/>
              <w:bottom w:val="single" w:sz="4" w:space="0" w:color="auto"/>
            </w:tcBorders>
          </w:tcPr>
          <w:p w14:paraId="037D179B" w14:textId="77777777" w:rsidR="00EF13C2" w:rsidRPr="00EE5A08" w:rsidRDefault="00EF13C2" w:rsidP="00AF6E6D">
            <w:pPr>
              <w:pStyle w:val="UtilComTabletext"/>
              <w:jc w:val="right"/>
              <w:rPr>
                <w:b/>
              </w:rPr>
            </w:pPr>
            <w:r>
              <w:rPr>
                <w:b/>
              </w:rPr>
              <w:t>2014-15</w:t>
            </w:r>
          </w:p>
        </w:tc>
        <w:tc>
          <w:tcPr>
            <w:tcW w:w="1134" w:type="dxa"/>
            <w:tcBorders>
              <w:top w:val="single" w:sz="4" w:space="0" w:color="999999"/>
              <w:bottom w:val="single" w:sz="4" w:space="0" w:color="auto"/>
            </w:tcBorders>
          </w:tcPr>
          <w:p w14:paraId="70FF43C3" w14:textId="77777777" w:rsidR="00EF13C2" w:rsidRPr="00EE5A08" w:rsidRDefault="00EF13C2" w:rsidP="00AF6E6D">
            <w:pPr>
              <w:pStyle w:val="UtilComTabletext"/>
              <w:jc w:val="right"/>
              <w:rPr>
                <w:b/>
              </w:rPr>
            </w:pPr>
            <w:r>
              <w:rPr>
                <w:b/>
              </w:rPr>
              <w:t>2015-16</w:t>
            </w:r>
          </w:p>
        </w:tc>
        <w:tc>
          <w:tcPr>
            <w:tcW w:w="1134" w:type="dxa"/>
            <w:tcBorders>
              <w:top w:val="single" w:sz="4" w:space="0" w:color="999999"/>
              <w:bottom w:val="single" w:sz="4" w:space="0" w:color="auto"/>
            </w:tcBorders>
          </w:tcPr>
          <w:p w14:paraId="0BD7815C" w14:textId="77777777" w:rsidR="00EF13C2" w:rsidRDefault="00EF13C2" w:rsidP="00AF6E6D">
            <w:pPr>
              <w:pStyle w:val="UtilComTabletext"/>
              <w:jc w:val="right"/>
              <w:rPr>
                <w:b/>
              </w:rPr>
            </w:pPr>
            <w:r>
              <w:rPr>
                <w:b/>
              </w:rPr>
              <w:t>2016-17</w:t>
            </w:r>
          </w:p>
        </w:tc>
        <w:tc>
          <w:tcPr>
            <w:tcW w:w="1134" w:type="dxa"/>
            <w:tcBorders>
              <w:top w:val="single" w:sz="4" w:space="0" w:color="999999"/>
              <w:bottom w:val="single" w:sz="4" w:space="0" w:color="auto"/>
            </w:tcBorders>
          </w:tcPr>
          <w:p w14:paraId="658A6117" w14:textId="77777777" w:rsidR="00EF13C2" w:rsidRDefault="00EF13C2" w:rsidP="00AF6E6D">
            <w:pPr>
              <w:pStyle w:val="UtilComTabletext"/>
              <w:jc w:val="right"/>
              <w:rPr>
                <w:b/>
              </w:rPr>
            </w:pPr>
            <w:r>
              <w:rPr>
                <w:b/>
              </w:rPr>
              <w:t>2017-18</w:t>
            </w:r>
          </w:p>
        </w:tc>
        <w:tc>
          <w:tcPr>
            <w:tcW w:w="1134" w:type="dxa"/>
            <w:tcBorders>
              <w:top w:val="single" w:sz="4" w:space="0" w:color="999999"/>
              <w:bottom w:val="single" w:sz="4" w:space="0" w:color="auto"/>
            </w:tcBorders>
          </w:tcPr>
          <w:p w14:paraId="08BB91D1" w14:textId="77777777" w:rsidR="00EF13C2" w:rsidRPr="00EE5A08" w:rsidRDefault="00EF13C2" w:rsidP="00AF6E6D">
            <w:pPr>
              <w:pStyle w:val="UtilComTabletext"/>
              <w:jc w:val="right"/>
              <w:rPr>
                <w:b/>
              </w:rPr>
            </w:pPr>
            <w:r>
              <w:rPr>
                <w:b/>
              </w:rPr>
              <w:t>2018-19</w:t>
            </w:r>
          </w:p>
        </w:tc>
      </w:tr>
      <w:tr w:rsidR="00EF13C2" w:rsidRPr="008A4655" w14:paraId="59DB779E" w14:textId="77777777" w:rsidTr="00AF6E6D">
        <w:trPr>
          <w:cantSplit/>
          <w:trHeight w:val="360"/>
        </w:trPr>
        <w:tc>
          <w:tcPr>
            <w:tcW w:w="3544" w:type="dxa"/>
            <w:tcBorders>
              <w:top w:val="single" w:sz="4" w:space="0" w:color="auto"/>
              <w:bottom w:val="single" w:sz="4" w:space="0" w:color="999999"/>
            </w:tcBorders>
          </w:tcPr>
          <w:p w14:paraId="054CC090" w14:textId="77777777" w:rsidR="00EF13C2" w:rsidRDefault="00EF13C2" w:rsidP="00EF13C2">
            <w:pPr>
              <w:pStyle w:val="UtilComTabletext"/>
            </w:pPr>
            <w:r>
              <w:t>Opening RAB</w:t>
            </w:r>
          </w:p>
        </w:tc>
        <w:tc>
          <w:tcPr>
            <w:tcW w:w="1134" w:type="dxa"/>
            <w:tcBorders>
              <w:top w:val="single" w:sz="4" w:space="0" w:color="auto"/>
              <w:bottom w:val="single" w:sz="4" w:space="0" w:color="999999"/>
            </w:tcBorders>
          </w:tcPr>
          <w:p w14:paraId="6C8400E4" w14:textId="77777777" w:rsidR="00EF13C2" w:rsidRDefault="00EF13C2" w:rsidP="00AF6E6D">
            <w:pPr>
              <w:pStyle w:val="UtilComTabletext"/>
              <w:jc w:val="right"/>
            </w:pPr>
            <w:r>
              <w:t>930.06</w:t>
            </w:r>
          </w:p>
        </w:tc>
        <w:tc>
          <w:tcPr>
            <w:tcW w:w="1134" w:type="dxa"/>
            <w:tcBorders>
              <w:top w:val="single" w:sz="4" w:space="0" w:color="auto"/>
              <w:bottom w:val="single" w:sz="4" w:space="0" w:color="999999"/>
            </w:tcBorders>
          </w:tcPr>
          <w:p w14:paraId="1F232DF4" w14:textId="77777777" w:rsidR="00EF13C2" w:rsidRDefault="00EF13C2" w:rsidP="00AF6E6D">
            <w:pPr>
              <w:pStyle w:val="UtilComTabletext"/>
              <w:jc w:val="right"/>
            </w:pPr>
            <w:r>
              <w:t>988.21</w:t>
            </w:r>
          </w:p>
        </w:tc>
        <w:tc>
          <w:tcPr>
            <w:tcW w:w="1134" w:type="dxa"/>
            <w:tcBorders>
              <w:top w:val="single" w:sz="4" w:space="0" w:color="auto"/>
              <w:bottom w:val="single" w:sz="4" w:space="0" w:color="999999"/>
            </w:tcBorders>
          </w:tcPr>
          <w:p w14:paraId="23A6BE89" w14:textId="77777777" w:rsidR="00EF13C2" w:rsidRDefault="00EF13C2" w:rsidP="00AF6E6D">
            <w:pPr>
              <w:pStyle w:val="UtilComTabletext"/>
              <w:jc w:val="right"/>
            </w:pPr>
            <w:r>
              <w:t>1,035.18</w:t>
            </w:r>
          </w:p>
        </w:tc>
        <w:tc>
          <w:tcPr>
            <w:tcW w:w="1134" w:type="dxa"/>
            <w:tcBorders>
              <w:top w:val="single" w:sz="4" w:space="0" w:color="auto"/>
              <w:bottom w:val="single" w:sz="4" w:space="0" w:color="999999"/>
            </w:tcBorders>
          </w:tcPr>
          <w:p w14:paraId="4EE85FE4" w14:textId="77777777" w:rsidR="00EF13C2" w:rsidRDefault="00EF13C2" w:rsidP="00AF6E6D">
            <w:pPr>
              <w:pStyle w:val="UtilComTabletext"/>
              <w:jc w:val="right"/>
            </w:pPr>
            <w:r>
              <w:t>1,068.93</w:t>
            </w:r>
          </w:p>
        </w:tc>
        <w:tc>
          <w:tcPr>
            <w:tcW w:w="1134" w:type="dxa"/>
            <w:tcBorders>
              <w:top w:val="single" w:sz="4" w:space="0" w:color="auto"/>
              <w:bottom w:val="single" w:sz="4" w:space="0" w:color="999999"/>
            </w:tcBorders>
          </w:tcPr>
          <w:p w14:paraId="43B38AAA" w14:textId="77777777" w:rsidR="00EF13C2" w:rsidRDefault="00EF13C2" w:rsidP="00AF6E6D">
            <w:pPr>
              <w:pStyle w:val="UtilComTabletext"/>
              <w:jc w:val="right"/>
            </w:pPr>
            <w:r>
              <w:t>1,092.09</w:t>
            </w:r>
          </w:p>
        </w:tc>
      </w:tr>
      <w:tr w:rsidR="00EF13C2" w:rsidRPr="008A4655" w14:paraId="2A6246E2" w14:textId="77777777" w:rsidTr="00AF6E6D">
        <w:trPr>
          <w:cantSplit/>
          <w:trHeight w:val="360"/>
        </w:trPr>
        <w:tc>
          <w:tcPr>
            <w:tcW w:w="3544" w:type="dxa"/>
            <w:tcBorders>
              <w:top w:val="single" w:sz="4" w:space="0" w:color="999999"/>
              <w:bottom w:val="single" w:sz="4" w:space="0" w:color="999999"/>
            </w:tcBorders>
          </w:tcPr>
          <w:p w14:paraId="5388DCC3" w14:textId="77777777" w:rsidR="00EF13C2" w:rsidRDefault="00EF13C2" w:rsidP="00EF13C2">
            <w:pPr>
              <w:pStyle w:val="UtilComTabletext"/>
            </w:pPr>
            <w:r>
              <w:t xml:space="preserve">Net capex </w:t>
            </w:r>
            <w:r w:rsidRPr="00FF15EF">
              <w:rPr>
                <w:vertAlign w:val="superscript"/>
              </w:rPr>
              <w:t>(a)</w:t>
            </w:r>
          </w:p>
        </w:tc>
        <w:tc>
          <w:tcPr>
            <w:tcW w:w="1134" w:type="dxa"/>
            <w:tcBorders>
              <w:top w:val="single" w:sz="4" w:space="0" w:color="999999"/>
              <w:bottom w:val="single" w:sz="4" w:space="0" w:color="999999"/>
            </w:tcBorders>
          </w:tcPr>
          <w:p w14:paraId="448A020D" w14:textId="77777777" w:rsidR="00EF13C2" w:rsidRDefault="00EF13C2" w:rsidP="00AF6E6D">
            <w:pPr>
              <w:pStyle w:val="UtilComTabletext"/>
              <w:jc w:val="right"/>
            </w:pPr>
            <w:r>
              <w:t>85.88</w:t>
            </w:r>
          </w:p>
        </w:tc>
        <w:tc>
          <w:tcPr>
            <w:tcW w:w="1134" w:type="dxa"/>
            <w:tcBorders>
              <w:top w:val="single" w:sz="4" w:space="0" w:color="999999"/>
              <w:bottom w:val="single" w:sz="4" w:space="0" w:color="999999"/>
            </w:tcBorders>
          </w:tcPr>
          <w:p w14:paraId="7D7D850F" w14:textId="77777777" w:rsidR="00EF13C2" w:rsidRPr="00296E5E" w:rsidRDefault="00EF13C2" w:rsidP="00AF6E6D">
            <w:pPr>
              <w:pStyle w:val="UtilComTabletext"/>
              <w:jc w:val="right"/>
            </w:pPr>
            <w:r w:rsidRPr="00296E5E">
              <w:t xml:space="preserve"> 77.34 </w:t>
            </w:r>
          </w:p>
        </w:tc>
        <w:tc>
          <w:tcPr>
            <w:tcW w:w="1134" w:type="dxa"/>
            <w:tcBorders>
              <w:top w:val="single" w:sz="4" w:space="0" w:color="999999"/>
              <w:bottom w:val="single" w:sz="4" w:space="0" w:color="999999"/>
            </w:tcBorders>
          </w:tcPr>
          <w:p w14:paraId="53669692" w14:textId="77777777" w:rsidR="00EF13C2" w:rsidRPr="00296E5E" w:rsidRDefault="00EF13C2" w:rsidP="00AF6E6D">
            <w:pPr>
              <w:pStyle w:val="UtilComTabletext"/>
              <w:jc w:val="right"/>
            </w:pPr>
            <w:r w:rsidRPr="00296E5E">
              <w:t xml:space="preserve"> 59.99 </w:t>
            </w:r>
          </w:p>
        </w:tc>
        <w:tc>
          <w:tcPr>
            <w:tcW w:w="1134" w:type="dxa"/>
            <w:tcBorders>
              <w:top w:val="single" w:sz="4" w:space="0" w:color="999999"/>
              <w:bottom w:val="single" w:sz="4" w:space="0" w:color="999999"/>
            </w:tcBorders>
          </w:tcPr>
          <w:p w14:paraId="21AB3E20" w14:textId="77777777" w:rsidR="00EF13C2" w:rsidRPr="00296E5E" w:rsidRDefault="00EF13C2" w:rsidP="00AF6E6D">
            <w:pPr>
              <w:pStyle w:val="UtilComTabletext"/>
              <w:jc w:val="right"/>
            </w:pPr>
            <w:r w:rsidRPr="00296E5E">
              <w:t xml:space="preserve"> 51.17 </w:t>
            </w:r>
          </w:p>
        </w:tc>
        <w:tc>
          <w:tcPr>
            <w:tcW w:w="1134" w:type="dxa"/>
            <w:tcBorders>
              <w:top w:val="single" w:sz="4" w:space="0" w:color="999999"/>
              <w:bottom w:val="single" w:sz="4" w:space="0" w:color="999999"/>
            </w:tcBorders>
          </w:tcPr>
          <w:p w14:paraId="417B185C" w14:textId="77777777" w:rsidR="00EF13C2" w:rsidRDefault="00EF13C2" w:rsidP="00AF6E6D">
            <w:pPr>
              <w:pStyle w:val="UtilComTabletext"/>
              <w:jc w:val="right"/>
            </w:pPr>
            <w:r w:rsidRPr="00296E5E">
              <w:t xml:space="preserve"> 63.21 </w:t>
            </w:r>
          </w:p>
        </w:tc>
      </w:tr>
      <w:tr w:rsidR="00EF13C2" w:rsidRPr="008A4655" w14:paraId="4A039BE4" w14:textId="77777777" w:rsidTr="00AF6E6D">
        <w:trPr>
          <w:cantSplit/>
          <w:trHeight w:val="360"/>
        </w:trPr>
        <w:tc>
          <w:tcPr>
            <w:tcW w:w="3544" w:type="dxa"/>
            <w:tcBorders>
              <w:top w:val="single" w:sz="4" w:space="0" w:color="999999"/>
              <w:bottom w:val="single" w:sz="4" w:space="0" w:color="999999"/>
            </w:tcBorders>
          </w:tcPr>
          <w:p w14:paraId="17460E31" w14:textId="77777777" w:rsidR="00EF13C2" w:rsidRDefault="00EF13C2" w:rsidP="00EF13C2">
            <w:pPr>
              <w:pStyle w:val="UtilComTabletext"/>
            </w:pPr>
            <w:r>
              <w:t>Indexation of the opening RAB</w:t>
            </w:r>
          </w:p>
        </w:tc>
        <w:tc>
          <w:tcPr>
            <w:tcW w:w="1134" w:type="dxa"/>
            <w:tcBorders>
              <w:top w:val="single" w:sz="4" w:space="0" w:color="999999"/>
              <w:bottom w:val="single" w:sz="4" w:space="0" w:color="999999"/>
            </w:tcBorders>
          </w:tcPr>
          <w:p w14:paraId="759B2937" w14:textId="77777777" w:rsidR="00EF13C2" w:rsidRDefault="00EF13C2" w:rsidP="00AF6E6D">
            <w:pPr>
              <w:pStyle w:val="UtilComTabletext"/>
              <w:jc w:val="right"/>
            </w:pPr>
            <w:r>
              <w:t>24.18</w:t>
            </w:r>
          </w:p>
        </w:tc>
        <w:tc>
          <w:tcPr>
            <w:tcW w:w="1134" w:type="dxa"/>
            <w:tcBorders>
              <w:top w:val="single" w:sz="4" w:space="0" w:color="999999"/>
              <w:bottom w:val="single" w:sz="4" w:space="0" w:color="999999"/>
            </w:tcBorders>
          </w:tcPr>
          <w:p w14:paraId="5C8924C1" w14:textId="77777777" w:rsidR="00EF13C2" w:rsidRDefault="00EF13C2" w:rsidP="00AF6E6D">
            <w:pPr>
              <w:pStyle w:val="UtilComTabletext"/>
              <w:jc w:val="right"/>
            </w:pPr>
            <w:r>
              <w:t>25.69</w:t>
            </w:r>
          </w:p>
        </w:tc>
        <w:tc>
          <w:tcPr>
            <w:tcW w:w="1134" w:type="dxa"/>
            <w:tcBorders>
              <w:top w:val="single" w:sz="4" w:space="0" w:color="999999"/>
              <w:bottom w:val="single" w:sz="4" w:space="0" w:color="999999"/>
            </w:tcBorders>
          </w:tcPr>
          <w:p w14:paraId="1453F109" w14:textId="77777777" w:rsidR="00EF13C2" w:rsidRDefault="00EF13C2" w:rsidP="00AF6E6D">
            <w:pPr>
              <w:pStyle w:val="UtilComTabletext"/>
              <w:jc w:val="right"/>
            </w:pPr>
            <w:r>
              <w:t>26.91</w:t>
            </w:r>
          </w:p>
        </w:tc>
        <w:tc>
          <w:tcPr>
            <w:tcW w:w="1134" w:type="dxa"/>
            <w:tcBorders>
              <w:top w:val="single" w:sz="4" w:space="0" w:color="999999"/>
              <w:bottom w:val="single" w:sz="4" w:space="0" w:color="999999"/>
            </w:tcBorders>
          </w:tcPr>
          <w:p w14:paraId="73528F7A" w14:textId="77777777" w:rsidR="00EF13C2" w:rsidRDefault="00EF13C2" w:rsidP="00AF6E6D">
            <w:pPr>
              <w:pStyle w:val="UtilComTabletext"/>
              <w:jc w:val="right"/>
            </w:pPr>
            <w:r>
              <w:t>27.79</w:t>
            </w:r>
          </w:p>
        </w:tc>
        <w:tc>
          <w:tcPr>
            <w:tcW w:w="1134" w:type="dxa"/>
            <w:tcBorders>
              <w:top w:val="single" w:sz="4" w:space="0" w:color="999999"/>
              <w:bottom w:val="single" w:sz="4" w:space="0" w:color="999999"/>
            </w:tcBorders>
          </w:tcPr>
          <w:p w14:paraId="415737C7" w14:textId="77777777" w:rsidR="00EF13C2" w:rsidRDefault="00EF13C2" w:rsidP="00AF6E6D">
            <w:pPr>
              <w:pStyle w:val="UtilComTabletext"/>
              <w:jc w:val="right"/>
            </w:pPr>
            <w:r>
              <w:t>28.39</w:t>
            </w:r>
          </w:p>
        </w:tc>
      </w:tr>
      <w:tr w:rsidR="00EF13C2" w:rsidRPr="008A4655" w14:paraId="14A10EBB" w14:textId="77777777" w:rsidTr="00AF6E6D">
        <w:trPr>
          <w:cantSplit/>
          <w:trHeight w:val="360"/>
        </w:trPr>
        <w:tc>
          <w:tcPr>
            <w:tcW w:w="3544" w:type="dxa"/>
            <w:tcBorders>
              <w:top w:val="single" w:sz="4" w:space="0" w:color="999999"/>
              <w:bottom w:val="single" w:sz="4" w:space="0" w:color="auto"/>
            </w:tcBorders>
          </w:tcPr>
          <w:p w14:paraId="0780686D" w14:textId="77777777" w:rsidR="00EF13C2" w:rsidRDefault="00EF13C2" w:rsidP="00EF13C2">
            <w:pPr>
              <w:pStyle w:val="UtilComTabletext"/>
            </w:pPr>
            <w:r>
              <w:t>Straight-line depreciation</w:t>
            </w:r>
          </w:p>
        </w:tc>
        <w:tc>
          <w:tcPr>
            <w:tcW w:w="1134" w:type="dxa"/>
            <w:tcBorders>
              <w:top w:val="single" w:sz="4" w:space="0" w:color="999999"/>
              <w:bottom w:val="single" w:sz="4" w:space="0" w:color="auto"/>
            </w:tcBorders>
          </w:tcPr>
          <w:p w14:paraId="6432D4F8" w14:textId="77777777" w:rsidR="00EF13C2" w:rsidRDefault="00EF13C2" w:rsidP="00AF6E6D">
            <w:pPr>
              <w:pStyle w:val="UtilComTabletext"/>
              <w:jc w:val="right"/>
            </w:pPr>
            <w:r>
              <w:t>51.91</w:t>
            </w:r>
          </w:p>
        </w:tc>
        <w:tc>
          <w:tcPr>
            <w:tcW w:w="1134" w:type="dxa"/>
            <w:tcBorders>
              <w:top w:val="single" w:sz="4" w:space="0" w:color="999999"/>
              <w:bottom w:val="single" w:sz="4" w:space="0" w:color="auto"/>
            </w:tcBorders>
          </w:tcPr>
          <w:p w14:paraId="0D2110DA" w14:textId="77777777" w:rsidR="00EF13C2" w:rsidRDefault="00EF13C2" w:rsidP="00AF6E6D">
            <w:pPr>
              <w:pStyle w:val="UtilComTabletext"/>
              <w:jc w:val="right"/>
            </w:pPr>
            <w:r>
              <w:t>56.06</w:t>
            </w:r>
          </w:p>
        </w:tc>
        <w:tc>
          <w:tcPr>
            <w:tcW w:w="1134" w:type="dxa"/>
            <w:tcBorders>
              <w:top w:val="single" w:sz="4" w:space="0" w:color="999999"/>
              <w:bottom w:val="single" w:sz="4" w:space="0" w:color="auto"/>
            </w:tcBorders>
          </w:tcPr>
          <w:p w14:paraId="48903E1B" w14:textId="77777777" w:rsidR="00EF13C2" w:rsidRDefault="00EF13C2" w:rsidP="00AF6E6D">
            <w:pPr>
              <w:pStyle w:val="UtilComTabletext"/>
              <w:jc w:val="right"/>
            </w:pPr>
            <w:r>
              <w:t>53.15</w:t>
            </w:r>
          </w:p>
        </w:tc>
        <w:tc>
          <w:tcPr>
            <w:tcW w:w="1134" w:type="dxa"/>
            <w:tcBorders>
              <w:top w:val="single" w:sz="4" w:space="0" w:color="999999"/>
              <w:bottom w:val="single" w:sz="4" w:space="0" w:color="auto"/>
            </w:tcBorders>
          </w:tcPr>
          <w:p w14:paraId="60AB7383" w14:textId="77777777" w:rsidR="00EF13C2" w:rsidRDefault="00EF13C2" w:rsidP="00AF6E6D">
            <w:pPr>
              <w:pStyle w:val="UtilComTabletext"/>
              <w:jc w:val="right"/>
            </w:pPr>
            <w:r>
              <w:t>55.81</w:t>
            </w:r>
          </w:p>
        </w:tc>
        <w:tc>
          <w:tcPr>
            <w:tcW w:w="1134" w:type="dxa"/>
            <w:tcBorders>
              <w:top w:val="single" w:sz="4" w:space="0" w:color="999999"/>
              <w:bottom w:val="single" w:sz="4" w:space="0" w:color="auto"/>
            </w:tcBorders>
          </w:tcPr>
          <w:p w14:paraId="2C7B6366" w14:textId="77777777" w:rsidR="00EF13C2" w:rsidRDefault="00EF13C2" w:rsidP="00AF6E6D">
            <w:pPr>
              <w:pStyle w:val="UtilComTabletext"/>
              <w:jc w:val="right"/>
            </w:pPr>
            <w:r>
              <w:t>58.78</w:t>
            </w:r>
          </w:p>
        </w:tc>
      </w:tr>
      <w:tr w:rsidR="00EF13C2" w:rsidRPr="008A4655" w14:paraId="260980E6" w14:textId="77777777" w:rsidTr="00AF6E6D">
        <w:trPr>
          <w:cantSplit/>
          <w:trHeight w:val="360"/>
        </w:trPr>
        <w:tc>
          <w:tcPr>
            <w:tcW w:w="3544" w:type="dxa"/>
            <w:tcBorders>
              <w:top w:val="single" w:sz="4" w:space="0" w:color="auto"/>
              <w:bottom w:val="single" w:sz="4" w:space="0" w:color="auto"/>
            </w:tcBorders>
          </w:tcPr>
          <w:p w14:paraId="01BEEB23" w14:textId="77777777" w:rsidR="00EF13C2" w:rsidRDefault="00EF13C2" w:rsidP="00EF13C2">
            <w:pPr>
              <w:pStyle w:val="UtilComTabletext"/>
            </w:pPr>
            <w:r>
              <w:t>Closing RAB</w:t>
            </w:r>
          </w:p>
        </w:tc>
        <w:tc>
          <w:tcPr>
            <w:tcW w:w="1134" w:type="dxa"/>
            <w:tcBorders>
              <w:top w:val="single" w:sz="4" w:space="0" w:color="auto"/>
              <w:bottom w:val="single" w:sz="4" w:space="0" w:color="auto"/>
            </w:tcBorders>
          </w:tcPr>
          <w:p w14:paraId="144F50F8" w14:textId="77777777" w:rsidR="00EF13C2" w:rsidRDefault="00EF13C2" w:rsidP="00AF6E6D">
            <w:pPr>
              <w:pStyle w:val="UtilComTabletext"/>
              <w:jc w:val="right"/>
            </w:pPr>
            <w:r>
              <w:t>988.21</w:t>
            </w:r>
          </w:p>
        </w:tc>
        <w:tc>
          <w:tcPr>
            <w:tcW w:w="1134" w:type="dxa"/>
            <w:tcBorders>
              <w:top w:val="single" w:sz="4" w:space="0" w:color="auto"/>
              <w:bottom w:val="single" w:sz="4" w:space="0" w:color="auto"/>
            </w:tcBorders>
          </w:tcPr>
          <w:p w14:paraId="41E1F6DD" w14:textId="77777777" w:rsidR="00EF13C2" w:rsidRDefault="00EF13C2" w:rsidP="00AF6E6D">
            <w:pPr>
              <w:pStyle w:val="UtilComTabletext"/>
              <w:jc w:val="right"/>
            </w:pPr>
            <w:r>
              <w:t>1,035.18</w:t>
            </w:r>
          </w:p>
        </w:tc>
        <w:tc>
          <w:tcPr>
            <w:tcW w:w="1134" w:type="dxa"/>
            <w:tcBorders>
              <w:top w:val="single" w:sz="4" w:space="0" w:color="auto"/>
              <w:bottom w:val="single" w:sz="4" w:space="0" w:color="auto"/>
            </w:tcBorders>
          </w:tcPr>
          <w:p w14:paraId="14C852AE" w14:textId="77777777" w:rsidR="00EF13C2" w:rsidRDefault="00EF13C2" w:rsidP="00AF6E6D">
            <w:pPr>
              <w:pStyle w:val="UtilComTabletext"/>
              <w:jc w:val="right"/>
            </w:pPr>
            <w:r>
              <w:t>1,068.93</w:t>
            </w:r>
          </w:p>
        </w:tc>
        <w:tc>
          <w:tcPr>
            <w:tcW w:w="1134" w:type="dxa"/>
            <w:tcBorders>
              <w:top w:val="single" w:sz="4" w:space="0" w:color="auto"/>
              <w:bottom w:val="single" w:sz="4" w:space="0" w:color="auto"/>
            </w:tcBorders>
          </w:tcPr>
          <w:p w14:paraId="6418A13E" w14:textId="77777777" w:rsidR="00EF13C2" w:rsidRDefault="00EF13C2" w:rsidP="00AF6E6D">
            <w:pPr>
              <w:pStyle w:val="UtilComTabletext"/>
              <w:jc w:val="right"/>
            </w:pPr>
            <w:r>
              <w:t>1,092.09</w:t>
            </w:r>
          </w:p>
        </w:tc>
        <w:tc>
          <w:tcPr>
            <w:tcW w:w="1134" w:type="dxa"/>
            <w:tcBorders>
              <w:top w:val="single" w:sz="4" w:space="0" w:color="auto"/>
              <w:bottom w:val="single" w:sz="4" w:space="0" w:color="auto"/>
            </w:tcBorders>
          </w:tcPr>
          <w:p w14:paraId="1FEEC508" w14:textId="77777777" w:rsidR="00EF13C2" w:rsidRDefault="00EF13C2" w:rsidP="00AF6E6D">
            <w:pPr>
              <w:pStyle w:val="UtilComTabletext"/>
              <w:jc w:val="right"/>
            </w:pPr>
            <w:r>
              <w:t>1,124.91</w:t>
            </w:r>
          </w:p>
        </w:tc>
      </w:tr>
    </w:tbl>
    <w:p w14:paraId="55A2CBD9" w14:textId="33A3C360" w:rsidR="00FF15EF" w:rsidRDefault="00FF15EF" w:rsidP="00FF15EF">
      <w:pPr>
        <w:pStyle w:val="UtilComReferenceSource"/>
        <w:rPr>
          <w:lang w:val="en-AU"/>
        </w:rPr>
      </w:pPr>
      <w:r>
        <w:rPr>
          <w:lang w:val="en-AU"/>
        </w:rPr>
        <w:t>Source: PWC Networks</w:t>
      </w:r>
      <w:r w:rsidR="00115DFD">
        <w:rPr>
          <w:lang w:val="en-AU"/>
        </w:rPr>
        <w:t>’ initial regulatory proposal</w:t>
      </w:r>
      <w:r>
        <w:rPr>
          <w:lang w:val="en-AU"/>
        </w:rPr>
        <w:t xml:space="preserve">, NTRM (ODRC) </w:t>
      </w:r>
      <w:r>
        <w:rPr>
          <w:lang w:val="en-AU"/>
        </w:rPr>
        <w:br/>
        <w:t xml:space="preserve">Note: the straight-line depreciation less the indexation of the opening RAB provides the regulatory depreciation allowance </w:t>
      </w:r>
      <w:r>
        <w:rPr>
          <w:lang w:val="en-AU"/>
        </w:rPr>
        <w:br/>
      </w:r>
      <w:r w:rsidRPr="00BB4311">
        <w:rPr>
          <w:rFonts w:cs="Arial"/>
          <w:vertAlign w:val="superscript"/>
          <w:lang w:val="en-AU"/>
        </w:rPr>
        <w:t>(a)</w:t>
      </w:r>
      <w:r>
        <w:rPr>
          <w:lang w:val="en-AU"/>
        </w:rPr>
        <w:t xml:space="preserve"> In accordance with the timing assumptions of the NTRM (and the PTRM), the nominal capex values include a half WACC allowance</w:t>
      </w:r>
      <w:r w:rsidR="00EF13C2">
        <w:rPr>
          <w:lang w:val="en-AU"/>
        </w:rPr>
        <w:t xml:space="preserve"> to compensate for the average six-month period before capex </w:t>
      </w:r>
      <w:r w:rsidR="006C5C1F">
        <w:rPr>
          <w:lang w:val="en-AU"/>
        </w:rPr>
        <w:t xml:space="preserve">is </w:t>
      </w:r>
      <w:r w:rsidR="00EF13C2">
        <w:rPr>
          <w:lang w:val="en-AU"/>
        </w:rPr>
        <w:t>added to the RAB for revenue modelling purposes.</w:t>
      </w:r>
    </w:p>
    <w:p w14:paraId="1A42EA45" w14:textId="7079664D" w:rsidR="006A402B" w:rsidRPr="00A139AD" w:rsidRDefault="006A402B" w:rsidP="00485AF0">
      <w:pPr>
        <w:pStyle w:val="UtilComTableTitle"/>
        <w:keepNext/>
        <w:spacing w:before="120" w:after="0" w:line="240" w:lineRule="exact"/>
      </w:pPr>
      <w:r>
        <w:t xml:space="preserve">Table </w:t>
      </w:r>
      <w:r w:rsidR="00036DA7">
        <w:t>14</w:t>
      </w:r>
      <w:r>
        <w:t>.</w:t>
      </w:r>
      <w:r w:rsidR="00FF15EF">
        <w:t>2</w:t>
      </w:r>
      <w:r>
        <w:t>: PWC Networks</w:t>
      </w:r>
      <w:r w:rsidR="00D638A5">
        <w:t>’</w:t>
      </w:r>
      <w:r>
        <w:t xml:space="preserve"> </w:t>
      </w:r>
      <w:r w:rsidRPr="006A402B">
        <w:t>proposed annual revenue requirements and X factors ($</w:t>
      </w:r>
      <w:r w:rsidR="00145AAB">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115DFD" w:rsidRPr="008A4655" w14:paraId="3B4E51CF" w14:textId="45B50E65" w:rsidTr="00115DFD">
        <w:trPr>
          <w:cantSplit/>
          <w:trHeight w:val="360"/>
        </w:trPr>
        <w:tc>
          <w:tcPr>
            <w:tcW w:w="2410" w:type="dxa"/>
            <w:tcBorders>
              <w:top w:val="single" w:sz="4" w:space="0" w:color="999999"/>
              <w:bottom w:val="single" w:sz="4" w:space="0" w:color="auto"/>
            </w:tcBorders>
          </w:tcPr>
          <w:p w14:paraId="14220B92" w14:textId="77777777" w:rsidR="00115DFD" w:rsidRPr="00EE5A08" w:rsidRDefault="00115DFD" w:rsidP="002C75A8">
            <w:pPr>
              <w:pStyle w:val="UtilComTabletext"/>
              <w:rPr>
                <w:b/>
              </w:rPr>
            </w:pPr>
          </w:p>
        </w:tc>
        <w:tc>
          <w:tcPr>
            <w:tcW w:w="964" w:type="dxa"/>
            <w:tcBorders>
              <w:top w:val="single" w:sz="4" w:space="0" w:color="999999"/>
              <w:bottom w:val="single" w:sz="4" w:space="0" w:color="auto"/>
            </w:tcBorders>
          </w:tcPr>
          <w:p w14:paraId="7922A3D9" w14:textId="77777777" w:rsidR="00115DFD" w:rsidRPr="00EE5A08" w:rsidRDefault="00115DFD" w:rsidP="00AF6E6D">
            <w:pPr>
              <w:pStyle w:val="UtilComTabletext"/>
              <w:jc w:val="right"/>
              <w:rPr>
                <w:b/>
              </w:rPr>
            </w:pPr>
            <w:r>
              <w:rPr>
                <w:b/>
              </w:rPr>
              <w:t>2013-14</w:t>
            </w:r>
          </w:p>
        </w:tc>
        <w:tc>
          <w:tcPr>
            <w:tcW w:w="964" w:type="dxa"/>
            <w:tcBorders>
              <w:top w:val="single" w:sz="4" w:space="0" w:color="999999"/>
              <w:bottom w:val="single" w:sz="4" w:space="0" w:color="auto"/>
            </w:tcBorders>
          </w:tcPr>
          <w:p w14:paraId="40F4A46F" w14:textId="77777777" w:rsidR="00115DFD" w:rsidRPr="00EE5A08" w:rsidRDefault="00115DFD" w:rsidP="00AF6E6D">
            <w:pPr>
              <w:pStyle w:val="UtilComTabletext"/>
              <w:jc w:val="right"/>
              <w:rPr>
                <w:b/>
              </w:rPr>
            </w:pPr>
            <w:r>
              <w:rPr>
                <w:b/>
              </w:rPr>
              <w:t>2014-15</w:t>
            </w:r>
          </w:p>
        </w:tc>
        <w:tc>
          <w:tcPr>
            <w:tcW w:w="964" w:type="dxa"/>
            <w:tcBorders>
              <w:top w:val="single" w:sz="4" w:space="0" w:color="999999"/>
              <w:bottom w:val="single" w:sz="4" w:space="0" w:color="auto"/>
            </w:tcBorders>
          </w:tcPr>
          <w:p w14:paraId="0454FFAF" w14:textId="77777777" w:rsidR="00115DFD" w:rsidRPr="00EE5A08" w:rsidRDefault="00115DFD" w:rsidP="00AF6E6D">
            <w:pPr>
              <w:pStyle w:val="UtilComTabletext"/>
              <w:jc w:val="right"/>
              <w:rPr>
                <w:b/>
              </w:rPr>
            </w:pPr>
            <w:r>
              <w:rPr>
                <w:b/>
              </w:rPr>
              <w:t>2015-16</w:t>
            </w:r>
          </w:p>
        </w:tc>
        <w:tc>
          <w:tcPr>
            <w:tcW w:w="964" w:type="dxa"/>
            <w:tcBorders>
              <w:top w:val="single" w:sz="4" w:space="0" w:color="999999"/>
              <w:bottom w:val="single" w:sz="4" w:space="0" w:color="auto"/>
            </w:tcBorders>
          </w:tcPr>
          <w:p w14:paraId="4BE18962" w14:textId="77777777" w:rsidR="00115DFD" w:rsidRDefault="00115DFD" w:rsidP="00AF6E6D">
            <w:pPr>
              <w:pStyle w:val="UtilComTabletext"/>
              <w:jc w:val="right"/>
              <w:rPr>
                <w:b/>
              </w:rPr>
            </w:pPr>
            <w:r>
              <w:rPr>
                <w:b/>
              </w:rPr>
              <w:t>2016-17</w:t>
            </w:r>
          </w:p>
        </w:tc>
        <w:tc>
          <w:tcPr>
            <w:tcW w:w="964" w:type="dxa"/>
            <w:tcBorders>
              <w:top w:val="single" w:sz="4" w:space="0" w:color="999999"/>
              <w:bottom w:val="single" w:sz="4" w:space="0" w:color="auto"/>
            </w:tcBorders>
          </w:tcPr>
          <w:p w14:paraId="26603FE8" w14:textId="77777777" w:rsidR="00115DFD" w:rsidRDefault="00115DFD" w:rsidP="00AF6E6D">
            <w:pPr>
              <w:pStyle w:val="UtilComTabletext"/>
              <w:jc w:val="right"/>
              <w:rPr>
                <w:b/>
              </w:rPr>
            </w:pPr>
            <w:r>
              <w:rPr>
                <w:b/>
              </w:rPr>
              <w:t>2017-18</w:t>
            </w:r>
          </w:p>
        </w:tc>
        <w:tc>
          <w:tcPr>
            <w:tcW w:w="964" w:type="dxa"/>
            <w:tcBorders>
              <w:top w:val="single" w:sz="4" w:space="0" w:color="999999"/>
              <w:bottom w:val="single" w:sz="4" w:space="0" w:color="auto"/>
            </w:tcBorders>
          </w:tcPr>
          <w:p w14:paraId="55806FD0" w14:textId="77777777" w:rsidR="00115DFD" w:rsidRPr="00EE5A08" w:rsidRDefault="00115DFD" w:rsidP="00AF6E6D">
            <w:pPr>
              <w:pStyle w:val="UtilComTabletext"/>
              <w:jc w:val="right"/>
              <w:rPr>
                <w:b/>
              </w:rPr>
            </w:pPr>
            <w:r>
              <w:rPr>
                <w:b/>
              </w:rPr>
              <w:t>2018-19</w:t>
            </w:r>
          </w:p>
        </w:tc>
        <w:tc>
          <w:tcPr>
            <w:tcW w:w="1021" w:type="dxa"/>
            <w:tcBorders>
              <w:top w:val="single" w:sz="4" w:space="0" w:color="999999"/>
              <w:bottom w:val="single" w:sz="4" w:space="0" w:color="auto"/>
            </w:tcBorders>
          </w:tcPr>
          <w:p w14:paraId="4DF61B26" w14:textId="1760773A" w:rsidR="00115DFD" w:rsidRDefault="00115DFD" w:rsidP="00AF6E6D">
            <w:pPr>
              <w:pStyle w:val="UtilComTabletext"/>
              <w:jc w:val="right"/>
              <w:rPr>
                <w:b/>
              </w:rPr>
            </w:pPr>
            <w:r>
              <w:rPr>
                <w:b/>
              </w:rPr>
              <w:t>Total</w:t>
            </w:r>
          </w:p>
        </w:tc>
      </w:tr>
      <w:tr w:rsidR="00115DFD" w:rsidRPr="009E57A2" w14:paraId="29C746FF" w14:textId="757C4E34" w:rsidTr="00115DFD">
        <w:trPr>
          <w:cantSplit/>
          <w:trHeight w:val="360"/>
        </w:trPr>
        <w:tc>
          <w:tcPr>
            <w:tcW w:w="2410" w:type="dxa"/>
            <w:tcBorders>
              <w:top w:val="single" w:sz="4" w:space="0" w:color="auto"/>
              <w:bottom w:val="single" w:sz="4" w:space="0" w:color="999999"/>
            </w:tcBorders>
          </w:tcPr>
          <w:p w14:paraId="46A54478" w14:textId="77777777" w:rsidR="00115DFD" w:rsidRPr="009E57A2" w:rsidRDefault="00115DFD" w:rsidP="002C75A8">
            <w:pPr>
              <w:pStyle w:val="UtilComTabletext"/>
            </w:pPr>
            <w:r w:rsidRPr="009E57A2">
              <w:t>Return on capital</w:t>
            </w:r>
          </w:p>
        </w:tc>
        <w:tc>
          <w:tcPr>
            <w:tcW w:w="964" w:type="dxa"/>
            <w:tcBorders>
              <w:top w:val="single" w:sz="4" w:space="0" w:color="auto"/>
              <w:bottom w:val="single" w:sz="4" w:space="0" w:color="999999"/>
            </w:tcBorders>
          </w:tcPr>
          <w:p w14:paraId="4D409A5E" w14:textId="77777777" w:rsidR="00115DFD" w:rsidRPr="009E57A2" w:rsidRDefault="00115DFD" w:rsidP="00AF6E6D">
            <w:pPr>
              <w:pStyle w:val="UtilComTabletext"/>
              <w:jc w:val="right"/>
            </w:pPr>
          </w:p>
        </w:tc>
        <w:tc>
          <w:tcPr>
            <w:tcW w:w="964" w:type="dxa"/>
            <w:tcBorders>
              <w:top w:val="single" w:sz="4" w:space="0" w:color="auto"/>
              <w:bottom w:val="single" w:sz="4" w:space="0" w:color="999999"/>
            </w:tcBorders>
          </w:tcPr>
          <w:p w14:paraId="426EDBC5" w14:textId="77777777" w:rsidR="00115DFD" w:rsidRPr="009E57A2" w:rsidRDefault="00115DFD" w:rsidP="00AF6E6D">
            <w:pPr>
              <w:pStyle w:val="UtilComTabletext"/>
              <w:jc w:val="right"/>
            </w:pPr>
            <w:r w:rsidRPr="009E57A2">
              <w:t>81.85</w:t>
            </w:r>
          </w:p>
        </w:tc>
        <w:tc>
          <w:tcPr>
            <w:tcW w:w="964" w:type="dxa"/>
            <w:tcBorders>
              <w:top w:val="single" w:sz="4" w:space="0" w:color="auto"/>
              <w:bottom w:val="single" w:sz="4" w:space="0" w:color="999999"/>
            </w:tcBorders>
          </w:tcPr>
          <w:p w14:paraId="31F1E351" w14:textId="77777777" w:rsidR="00115DFD" w:rsidRPr="009E57A2" w:rsidRDefault="00115DFD" w:rsidP="00AF6E6D">
            <w:pPr>
              <w:pStyle w:val="UtilComTabletext"/>
              <w:jc w:val="right"/>
            </w:pPr>
            <w:r w:rsidRPr="009E57A2">
              <w:t>86.97</w:t>
            </w:r>
          </w:p>
        </w:tc>
        <w:tc>
          <w:tcPr>
            <w:tcW w:w="964" w:type="dxa"/>
            <w:tcBorders>
              <w:top w:val="single" w:sz="4" w:space="0" w:color="auto"/>
              <w:bottom w:val="single" w:sz="4" w:space="0" w:color="999999"/>
            </w:tcBorders>
          </w:tcPr>
          <w:p w14:paraId="27AA7098" w14:textId="77777777" w:rsidR="00115DFD" w:rsidRPr="009E57A2" w:rsidRDefault="00115DFD" w:rsidP="00AF6E6D">
            <w:pPr>
              <w:pStyle w:val="UtilComTabletext"/>
              <w:jc w:val="right"/>
            </w:pPr>
            <w:r w:rsidRPr="009E57A2">
              <w:t>91.10</w:t>
            </w:r>
          </w:p>
        </w:tc>
        <w:tc>
          <w:tcPr>
            <w:tcW w:w="964" w:type="dxa"/>
            <w:tcBorders>
              <w:top w:val="single" w:sz="4" w:space="0" w:color="auto"/>
              <w:bottom w:val="single" w:sz="4" w:space="0" w:color="999999"/>
            </w:tcBorders>
          </w:tcPr>
          <w:p w14:paraId="50AE4CB6" w14:textId="77777777" w:rsidR="00115DFD" w:rsidRPr="009E57A2" w:rsidRDefault="00115DFD" w:rsidP="00AF6E6D">
            <w:pPr>
              <w:pStyle w:val="UtilComTabletext"/>
              <w:jc w:val="right"/>
            </w:pPr>
            <w:r w:rsidRPr="009E57A2">
              <w:t>94.07</w:t>
            </w:r>
          </w:p>
        </w:tc>
        <w:tc>
          <w:tcPr>
            <w:tcW w:w="964" w:type="dxa"/>
            <w:tcBorders>
              <w:top w:val="single" w:sz="4" w:space="0" w:color="auto"/>
              <w:bottom w:val="single" w:sz="4" w:space="0" w:color="999999"/>
            </w:tcBorders>
          </w:tcPr>
          <w:p w14:paraId="49C1C59F" w14:textId="77777777" w:rsidR="00115DFD" w:rsidRPr="009E57A2" w:rsidRDefault="00115DFD" w:rsidP="00AF6E6D">
            <w:pPr>
              <w:pStyle w:val="UtilComTabletext"/>
              <w:jc w:val="right"/>
            </w:pPr>
            <w:r w:rsidRPr="009E57A2">
              <w:t>96.11</w:t>
            </w:r>
          </w:p>
        </w:tc>
        <w:tc>
          <w:tcPr>
            <w:tcW w:w="1021" w:type="dxa"/>
            <w:tcBorders>
              <w:top w:val="single" w:sz="4" w:space="0" w:color="auto"/>
              <w:bottom w:val="single" w:sz="4" w:space="0" w:color="999999"/>
            </w:tcBorders>
          </w:tcPr>
          <w:p w14:paraId="3CD11315" w14:textId="6ACAB0A1" w:rsidR="00115DFD" w:rsidRPr="009E57A2" w:rsidRDefault="00115DFD" w:rsidP="00AF6E6D">
            <w:pPr>
              <w:pStyle w:val="UtilComTabletext"/>
              <w:jc w:val="right"/>
            </w:pPr>
            <w:r>
              <w:t>450.10</w:t>
            </w:r>
          </w:p>
        </w:tc>
      </w:tr>
      <w:tr w:rsidR="00115DFD" w:rsidRPr="008A4655" w14:paraId="63599CA1" w14:textId="3BD5DF93" w:rsidTr="00115DFD">
        <w:trPr>
          <w:cantSplit/>
          <w:trHeight w:val="360"/>
        </w:trPr>
        <w:tc>
          <w:tcPr>
            <w:tcW w:w="2410" w:type="dxa"/>
            <w:tcBorders>
              <w:bottom w:val="single" w:sz="4" w:space="0" w:color="999999"/>
            </w:tcBorders>
          </w:tcPr>
          <w:p w14:paraId="5CFB5D22" w14:textId="77777777" w:rsidR="00115DFD" w:rsidRDefault="00115DFD" w:rsidP="002C75A8">
            <w:pPr>
              <w:pStyle w:val="UtilComTabletext"/>
            </w:pPr>
            <w:r>
              <w:t>Regulatory depreciation</w:t>
            </w:r>
          </w:p>
        </w:tc>
        <w:tc>
          <w:tcPr>
            <w:tcW w:w="964" w:type="dxa"/>
            <w:tcBorders>
              <w:bottom w:val="single" w:sz="4" w:space="0" w:color="999999"/>
            </w:tcBorders>
          </w:tcPr>
          <w:p w14:paraId="3230B98B" w14:textId="77777777" w:rsidR="00115DFD" w:rsidRDefault="00115DFD" w:rsidP="00AF6E6D">
            <w:pPr>
              <w:pStyle w:val="UtilComTabletext"/>
              <w:jc w:val="right"/>
            </w:pPr>
          </w:p>
        </w:tc>
        <w:tc>
          <w:tcPr>
            <w:tcW w:w="964" w:type="dxa"/>
            <w:tcBorders>
              <w:bottom w:val="single" w:sz="4" w:space="0" w:color="999999"/>
            </w:tcBorders>
          </w:tcPr>
          <w:p w14:paraId="124ADB52" w14:textId="77777777" w:rsidR="00115DFD" w:rsidRDefault="00115DFD" w:rsidP="00AF6E6D">
            <w:pPr>
              <w:pStyle w:val="UtilComTabletext"/>
              <w:jc w:val="right"/>
            </w:pPr>
            <w:r>
              <w:t>27.73</w:t>
            </w:r>
          </w:p>
        </w:tc>
        <w:tc>
          <w:tcPr>
            <w:tcW w:w="964" w:type="dxa"/>
            <w:tcBorders>
              <w:bottom w:val="single" w:sz="4" w:space="0" w:color="999999"/>
            </w:tcBorders>
          </w:tcPr>
          <w:p w14:paraId="5CCC99C0" w14:textId="77777777" w:rsidR="00115DFD" w:rsidRDefault="00115DFD" w:rsidP="00AF6E6D">
            <w:pPr>
              <w:pStyle w:val="UtilComTabletext"/>
              <w:jc w:val="right"/>
            </w:pPr>
            <w:r>
              <w:t>30.37</w:t>
            </w:r>
          </w:p>
        </w:tc>
        <w:tc>
          <w:tcPr>
            <w:tcW w:w="964" w:type="dxa"/>
            <w:tcBorders>
              <w:bottom w:val="single" w:sz="4" w:space="0" w:color="999999"/>
            </w:tcBorders>
          </w:tcPr>
          <w:p w14:paraId="30334719" w14:textId="77777777" w:rsidR="00115DFD" w:rsidRDefault="00115DFD" w:rsidP="00AF6E6D">
            <w:pPr>
              <w:pStyle w:val="UtilComTabletext"/>
              <w:jc w:val="right"/>
            </w:pPr>
            <w:r>
              <w:t>26.24</w:t>
            </w:r>
          </w:p>
        </w:tc>
        <w:tc>
          <w:tcPr>
            <w:tcW w:w="964" w:type="dxa"/>
            <w:tcBorders>
              <w:bottom w:val="single" w:sz="4" w:space="0" w:color="999999"/>
            </w:tcBorders>
          </w:tcPr>
          <w:p w14:paraId="3A3B5696" w14:textId="77777777" w:rsidR="00115DFD" w:rsidRDefault="00115DFD" w:rsidP="00AF6E6D">
            <w:pPr>
              <w:pStyle w:val="UtilComTabletext"/>
              <w:jc w:val="right"/>
            </w:pPr>
            <w:r>
              <w:t>28.01</w:t>
            </w:r>
          </w:p>
        </w:tc>
        <w:tc>
          <w:tcPr>
            <w:tcW w:w="964" w:type="dxa"/>
            <w:tcBorders>
              <w:bottom w:val="single" w:sz="4" w:space="0" w:color="999999"/>
            </w:tcBorders>
          </w:tcPr>
          <w:p w14:paraId="11757D6E" w14:textId="77777777" w:rsidR="00115DFD" w:rsidRDefault="00115DFD" w:rsidP="00AF6E6D">
            <w:pPr>
              <w:pStyle w:val="UtilComTabletext"/>
              <w:jc w:val="right"/>
            </w:pPr>
            <w:r>
              <w:t>30.39</w:t>
            </w:r>
          </w:p>
        </w:tc>
        <w:tc>
          <w:tcPr>
            <w:tcW w:w="1021" w:type="dxa"/>
            <w:tcBorders>
              <w:bottom w:val="single" w:sz="4" w:space="0" w:color="999999"/>
            </w:tcBorders>
          </w:tcPr>
          <w:p w14:paraId="16EEE72B" w14:textId="7CE6F20B" w:rsidR="00115DFD" w:rsidRDefault="00115DFD" w:rsidP="00AF6E6D">
            <w:pPr>
              <w:pStyle w:val="UtilComTabletext"/>
              <w:jc w:val="right"/>
            </w:pPr>
            <w:r>
              <w:t>142.74</w:t>
            </w:r>
          </w:p>
        </w:tc>
      </w:tr>
      <w:tr w:rsidR="00115DFD" w:rsidRPr="008A4655" w14:paraId="311A42E0" w14:textId="66270B26" w:rsidTr="00115DFD">
        <w:trPr>
          <w:cantSplit/>
          <w:trHeight w:val="360"/>
        </w:trPr>
        <w:tc>
          <w:tcPr>
            <w:tcW w:w="2410" w:type="dxa"/>
            <w:tcBorders>
              <w:bottom w:val="single" w:sz="4" w:space="0" w:color="999999"/>
            </w:tcBorders>
          </w:tcPr>
          <w:p w14:paraId="7FDACB1D" w14:textId="77777777" w:rsidR="00115DFD" w:rsidRDefault="00115DFD" w:rsidP="002C75A8">
            <w:pPr>
              <w:pStyle w:val="UtilComTabletext"/>
            </w:pPr>
            <w:r>
              <w:t>Operating and maintenance expenditure</w:t>
            </w:r>
          </w:p>
        </w:tc>
        <w:tc>
          <w:tcPr>
            <w:tcW w:w="964" w:type="dxa"/>
            <w:tcBorders>
              <w:bottom w:val="single" w:sz="4" w:space="0" w:color="999999"/>
            </w:tcBorders>
          </w:tcPr>
          <w:p w14:paraId="07AF16B1" w14:textId="77777777" w:rsidR="00115DFD" w:rsidRDefault="00115DFD" w:rsidP="00AF6E6D">
            <w:pPr>
              <w:pStyle w:val="UtilComTabletext"/>
              <w:jc w:val="right"/>
            </w:pPr>
          </w:p>
        </w:tc>
        <w:tc>
          <w:tcPr>
            <w:tcW w:w="964" w:type="dxa"/>
            <w:tcBorders>
              <w:bottom w:val="single" w:sz="4" w:space="0" w:color="999999"/>
            </w:tcBorders>
          </w:tcPr>
          <w:p w14:paraId="63064137" w14:textId="77777777" w:rsidR="00115DFD" w:rsidRDefault="00115DFD" w:rsidP="00AF6E6D">
            <w:pPr>
              <w:pStyle w:val="UtilComTabletext"/>
              <w:jc w:val="right"/>
            </w:pPr>
            <w:r>
              <w:t>113.63</w:t>
            </w:r>
          </w:p>
        </w:tc>
        <w:tc>
          <w:tcPr>
            <w:tcW w:w="964" w:type="dxa"/>
            <w:tcBorders>
              <w:bottom w:val="single" w:sz="4" w:space="0" w:color="999999"/>
            </w:tcBorders>
          </w:tcPr>
          <w:p w14:paraId="0200CEAD" w14:textId="77777777" w:rsidR="00115DFD" w:rsidRDefault="00115DFD" w:rsidP="00AF6E6D">
            <w:pPr>
              <w:pStyle w:val="UtilComTabletext"/>
              <w:jc w:val="right"/>
            </w:pPr>
            <w:r>
              <w:t>114.39</w:t>
            </w:r>
          </w:p>
        </w:tc>
        <w:tc>
          <w:tcPr>
            <w:tcW w:w="964" w:type="dxa"/>
            <w:tcBorders>
              <w:bottom w:val="single" w:sz="4" w:space="0" w:color="999999"/>
            </w:tcBorders>
          </w:tcPr>
          <w:p w14:paraId="74056157" w14:textId="77777777" w:rsidR="00115DFD" w:rsidRDefault="00115DFD" w:rsidP="00AF6E6D">
            <w:pPr>
              <w:pStyle w:val="UtilComTabletext"/>
              <w:jc w:val="right"/>
            </w:pPr>
            <w:r>
              <w:t>118.92</w:t>
            </w:r>
          </w:p>
        </w:tc>
        <w:tc>
          <w:tcPr>
            <w:tcW w:w="964" w:type="dxa"/>
            <w:tcBorders>
              <w:bottom w:val="single" w:sz="4" w:space="0" w:color="999999"/>
            </w:tcBorders>
          </w:tcPr>
          <w:p w14:paraId="0D74440B" w14:textId="77777777" w:rsidR="00115DFD" w:rsidRDefault="00115DFD" w:rsidP="00AF6E6D">
            <w:pPr>
              <w:pStyle w:val="UtilComTabletext"/>
              <w:jc w:val="right"/>
            </w:pPr>
            <w:r>
              <w:t>120.69</w:t>
            </w:r>
          </w:p>
        </w:tc>
        <w:tc>
          <w:tcPr>
            <w:tcW w:w="964" w:type="dxa"/>
            <w:tcBorders>
              <w:bottom w:val="single" w:sz="4" w:space="0" w:color="999999"/>
            </w:tcBorders>
          </w:tcPr>
          <w:p w14:paraId="40630096" w14:textId="77777777" w:rsidR="00115DFD" w:rsidRDefault="00115DFD" w:rsidP="00AF6E6D">
            <w:pPr>
              <w:pStyle w:val="UtilComTabletext"/>
              <w:jc w:val="right"/>
            </w:pPr>
            <w:r>
              <w:t>123.25</w:t>
            </w:r>
          </w:p>
        </w:tc>
        <w:tc>
          <w:tcPr>
            <w:tcW w:w="1021" w:type="dxa"/>
            <w:tcBorders>
              <w:bottom w:val="single" w:sz="4" w:space="0" w:color="999999"/>
            </w:tcBorders>
          </w:tcPr>
          <w:p w14:paraId="02E3A94B" w14:textId="42E07CDE" w:rsidR="00115DFD" w:rsidRDefault="00115DFD" w:rsidP="00AF6E6D">
            <w:pPr>
              <w:pStyle w:val="UtilComTabletext"/>
              <w:jc w:val="right"/>
            </w:pPr>
            <w:r>
              <w:t>590.90</w:t>
            </w:r>
          </w:p>
        </w:tc>
      </w:tr>
      <w:tr w:rsidR="00115DFD" w:rsidRPr="008A4655" w14:paraId="6507C8E0" w14:textId="72E258B7" w:rsidTr="00115DFD">
        <w:trPr>
          <w:cantSplit/>
          <w:trHeight w:val="360"/>
        </w:trPr>
        <w:tc>
          <w:tcPr>
            <w:tcW w:w="2410" w:type="dxa"/>
            <w:tcBorders>
              <w:top w:val="single" w:sz="4" w:space="0" w:color="auto"/>
              <w:bottom w:val="single" w:sz="4" w:space="0" w:color="999999"/>
            </w:tcBorders>
          </w:tcPr>
          <w:p w14:paraId="578450AF" w14:textId="77777777" w:rsidR="00115DFD" w:rsidRDefault="00115DFD" w:rsidP="002C75A8">
            <w:pPr>
              <w:pStyle w:val="UtilComTabletext"/>
            </w:pPr>
            <w:r>
              <w:t>Unsmoothed annual revenue requirement</w:t>
            </w:r>
          </w:p>
        </w:tc>
        <w:tc>
          <w:tcPr>
            <w:tcW w:w="964" w:type="dxa"/>
            <w:tcBorders>
              <w:top w:val="single" w:sz="4" w:space="0" w:color="auto"/>
              <w:bottom w:val="single" w:sz="4" w:space="0" w:color="999999"/>
            </w:tcBorders>
          </w:tcPr>
          <w:p w14:paraId="0A182417" w14:textId="77777777" w:rsidR="00115DFD" w:rsidRDefault="00115DFD" w:rsidP="00AF6E6D">
            <w:pPr>
              <w:pStyle w:val="UtilComTabletext"/>
              <w:jc w:val="right"/>
            </w:pPr>
          </w:p>
        </w:tc>
        <w:tc>
          <w:tcPr>
            <w:tcW w:w="964" w:type="dxa"/>
            <w:tcBorders>
              <w:top w:val="single" w:sz="4" w:space="0" w:color="auto"/>
              <w:bottom w:val="single" w:sz="4" w:space="0" w:color="999999"/>
            </w:tcBorders>
          </w:tcPr>
          <w:p w14:paraId="5B2D4A04" w14:textId="77777777" w:rsidR="00115DFD" w:rsidRDefault="00115DFD" w:rsidP="00AF6E6D">
            <w:pPr>
              <w:pStyle w:val="UtilComTabletext"/>
              <w:jc w:val="right"/>
            </w:pPr>
            <w:r>
              <w:t>223.22</w:t>
            </w:r>
          </w:p>
        </w:tc>
        <w:tc>
          <w:tcPr>
            <w:tcW w:w="964" w:type="dxa"/>
            <w:tcBorders>
              <w:top w:val="single" w:sz="4" w:space="0" w:color="auto"/>
              <w:bottom w:val="single" w:sz="4" w:space="0" w:color="999999"/>
            </w:tcBorders>
          </w:tcPr>
          <w:p w14:paraId="737D561D" w14:textId="77777777" w:rsidR="00115DFD" w:rsidRDefault="00115DFD" w:rsidP="00AF6E6D">
            <w:pPr>
              <w:pStyle w:val="UtilComTabletext"/>
              <w:jc w:val="right"/>
            </w:pPr>
            <w:r>
              <w:t>231.73</w:t>
            </w:r>
          </w:p>
        </w:tc>
        <w:tc>
          <w:tcPr>
            <w:tcW w:w="964" w:type="dxa"/>
            <w:tcBorders>
              <w:top w:val="single" w:sz="4" w:space="0" w:color="auto"/>
              <w:bottom w:val="single" w:sz="4" w:space="0" w:color="999999"/>
            </w:tcBorders>
          </w:tcPr>
          <w:p w14:paraId="2A5D8E7F" w14:textId="77777777" w:rsidR="00115DFD" w:rsidRDefault="00115DFD" w:rsidP="00AF6E6D">
            <w:pPr>
              <w:pStyle w:val="UtilComTabletext"/>
              <w:jc w:val="right"/>
            </w:pPr>
            <w:r>
              <w:t>236.26</w:t>
            </w:r>
          </w:p>
        </w:tc>
        <w:tc>
          <w:tcPr>
            <w:tcW w:w="964" w:type="dxa"/>
            <w:tcBorders>
              <w:top w:val="single" w:sz="4" w:space="0" w:color="auto"/>
              <w:bottom w:val="single" w:sz="4" w:space="0" w:color="999999"/>
            </w:tcBorders>
          </w:tcPr>
          <w:p w14:paraId="623070A2" w14:textId="77777777" w:rsidR="00115DFD" w:rsidRDefault="00115DFD" w:rsidP="00AF6E6D">
            <w:pPr>
              <w:pStyle w:val="UtilComTabletext"/>
              <w:jc w:val="right"/>
            </w:pPr>
            <w:r>
              <w:t>242.78</w:t>
            </w:r>
          </w:p>
        </w:tc>
        <w:tc>
          <w:tcPr>
            <w:tcW w:w="964" w:type="dxa"/>
            <w:tcBorders>
              <w:top w:val="single" w:sz="4" w:space="0" w:color="auto"/>
              <w:bottom w:val="single" w:sz="4" w:space="0" w:color="999999"/>
            </w:tcBorders>
          </w:tcPr>
          <w:p w14:paraId="775DD02A" w14:textId="77777777" w:rsidR="00115DFD" w:rsidRDefault="00115DFD" w:rsidP="00AF6E6D">
            <w:pPr>
              <w:pStyle w:val="UtilComTabletext"/>
              <w:jc w:val="right"/>
            </w:pPr>
            <w:r>
              <w:t>249.75</w:t>
            </w:r>
          </w:p>
        </w:tc>
        <w:tc>
          <w:tcPr>
            <w:tcW w:w="1021" w:type="dxa"/>
            <w:tcBorders>
              <w:top w:val="single" w:sz="4" w:space="0" w:color="auto"/>
              <w:bottom w:val="single" w:sz="4" w:space="0" w:color="999999"/>
            </w:tcBorders>
          </w:tcPr>
          <w:p w14:paraId="707266B5" w14:textId="392327A4" w:rsidR="00115DFD" w:rsidRDefault="00115DFD" w:rsidP="00AF6E6D">
            <w:pPr>
              <w:pStyle w:val="UtilComTabletext"/>
              <w:jc w:val="right"/>
            </w:pPr>
            <w:r>
              <w:t>1 183.74</w:t>
            </w:r>
          </w:p>
        </w:tc>
      </w:tr>
      <w:tr w:rsidR="00115DFD" w:rsidRPr="008A4655" w14:paraId="603E68B2" w14:textId="6FDB12AE" w:rsidTr="00115DFD">
        <w:trPr>
          <w:cantSplit/>
          <w:trHeight w:val="360"/>
        </w:trPr>
        <w:tc>
          <w:tcPr>
            <w:tcW w:w="2410" w:type="dxa"/>
            <w:tcBorders>
              <w:bottom w:val="single" w:sz="4" w:space="0" w:color="999999"/>
            </w:tcBorders>
          </w:tcPr>
          <w:p w14:paraId="76B22FAF" w14:textId="77777777" w:rsidR="00115DFD" w:rsidRDefault="00115DFD" w:rsidP="002C75A8">
            <w:pPr>
              <w:pStyle w:val="UtilComTabletext"/>
            </w:pPr>
            <w:r>
              <w:t>Expected revenues (smoothed revenue)</w:t>
            </w:r>
          </w:p>
        </w:tc>
        <w:tc>
          <w:tcPr>
            <w:tcW w:w="964" w:type="dxa"/>
            <w:tcBorders>
              <w:bottom w:val="single" w:sz="4" w:space="0" w:color="999999"/>
            </w:tcBorders>
          </w:tcPr>
          <w:p w14:paraId="2CDC4583" w14:textId="77777777" w:rsidR="00115DFD" w:rsidRDefault="00115DFD" w:rsidP="00AF6E6D">
            <w:pPr>
              <w:pStyle w:val="UtilComTabletext"/>
              <w:jc w:val="right"/>
            </w:pPr>
            <w:r>
              <w:t>142.01</w:t>
            </w:r>
          </w:p>
        </w:tc>
        <w:tc>
          <w:tcPr>
            <w:tcW w:w="964" w:type="dxa"/>
            <w:tcBorders>
              <w:bottom w:val="single" w:sz="4" w:space="0" w:color="999999"/>
            </w:tcBorders>
          </w:tcPr>
          <w:p w14:paraId="19636C83" w14:textId="77777777" w:rsidR="00115DFD" w:rsidRDefault="00115DFD" w:rsidP="00AF6E6D">
            <w:pPr>
              <w:pStyle w:val="UtilComTabletext"/>
              <w:jc w:val="right"/>
            </w:pPr>
            <w:r>
              <w:t>220.50</w:t>
            </w:r>
          </w:p>
        </w:tc>
        <w:tc>
          <w:tcPr>
            <w:tcW w:w="964" w:type="dxa"/>
            <w:tcBorders>
              <w:bottom w:val="single" w:sz="4" w:space="0" w:color="999999"/>
            </w:tcBorders>
          </w:tcPr>
          <w:p w14:paraId="1646A0BA" w14:textId="77777777" w:rsidR="00115DFD" w:rsidRDefault="00115DFD" w:rsidP="00AF6E6D">
            <w:pPr>
              <w:pStyle w:val="UtilComTabletext"/>
              <w:jc w:val="right"/>
            </w:pPr>
            <w:r>
              <w:t>228.50</w:t>
            </w:r>
          </w:p>
        </w:tc>
        <w:tc>
          <w:tcPr>
            <w:tcW w:w="964" w:type="dxa"/>
            <w:tcBorders>
              <w:bottom w:val="single" w:sz="4" w:space="0" w:color="999999"/>
            </w:tcBorders>
          </w:tcPr>
          <w:p w14:paraId="2E90CFD2" w14:textId="77777777" w:rsidR="00115DFD" w:rsidRDefault="00115DFD" w:rsidP="00AF6E6D">
            <w:pPr>
              <w:pStyle w:val="UtilComTabletext"/>
              <w:jc w:val="right"/>
            </w:pPr>
            <w:r>
              <w:t>236.79</w:t>
            </w:r>
          </w:p>
        </w:tc>
        <w:tc>
          <w:tcPr>
            <w:tcW w:w="964" w:type="dxa"/>
            <w:tcBorders>
              <w:bottom w:val="single" w:sz="4" w:space="0" w:color="999999"/>
            </w:tcBorders>
          </w:tcPr>
          <w:p w14:paraId="04817360" w14:textId="77777777" w:rsidR="00115DFD" w:rsidRDefault="00115DFD" w:rsidP="00AF6E6D">
            <w:pPr>
              <w:pStyle w:val="UtilComTabletext"/>
              <w:jc w:val="right"/>
            </w:pPr>
            <w:r>
              <w:t>245.37</w:t>
            </w:r>
          </w:p>
        </w:tc>
        <w:tc>
          <w:tcPr>
            <w:tcW w:w="964" w:type="dxa"/>
            <w:tcBorders>
              <w:bottom w:val="single" w:sz="4" w:space="0" w:color="999999"/>
            </w:tcBorders>
          </w:tcPr>
          <w:p w14:paraId="7533D34F" w14:textId="77777777" w:rsidR="00115DFD" w:rsidRDefault="00115DFD" w:rsidP="00AF6E6D">
            <w:pPr>
              <w:pStyle w:val="UtilComTabletext"/>
              <w:jc w:val="right"/>
            </w:pPr>
            <w:r>
              <w:t>254.27</w:t>
            </w:r>
          </w:p>
        </w:tc>
        <w:tc>
          <w:tcPr>
            <w:tcW w:w="1021" w:type="dxa"/>
            <w:tcBorders>
              <w:bottom w:val="single" w:sz="4" w:space="0" w:color="999999"/>
            </w:tcBorders>
          </w:tcPr>
          <w:p w14:paraId="426890D3" w14:textId="77777777" w:rsidR="00115DFD" w:rsidRDefault="00115DFD" w:rsidP="00AF6E6D">
            <w:pPr>
              <w:pStyle w:val="UtilComTabletext"/>
              <w:jc w:val="right"/>
            </w:pPr>
          </w:p>
        </w:tc>
      </w:tr>
      <w:tr w:rsidR="00115DFD" w:rsidRPr="008A4655" w14:paraId="7F2FD1EA" w14:textId="4088D2FB" w:rsidTr="00115DFD">
        <w:trPr>
          <w:cantSplit/>
          <w:trHeight w:val="360"/>
        </w:trPr>
        <w:tc>
          <w:tcPr>
            <w:tcW w:w="2410" w:type="dxa"/>
            <w:tcBorders>
              <w:bottom w:val="single" w:sz="4" w:space="0" w:color="999999"/>
            </w:tcBorders>
          </w:tcPr>
          <w:p w14:paraId="55435D30" w14:textId="77777777" w:rsidR="00115DFD" w:rsidRDefault="00115DFD" w:rsidP="002C75A8">
            <w:pPr>
              <w:pStyle w:val="UtilComTabletext"/>
            </w:pPr>
            <w:r>
              <w:t>Forecast CPI (%)</w:t>
            </w:r>
          </w:p>
        </w:tc>
        <w:tc>
          <w:tcPr>
            <w:tcW w:w="964" w:type="dxa"/>
            <w:tcBorders>
              <w:bottom w:val="single" w:sz="4" w:space="0" w:color="999999"/>
            </w:tcBorders>
          </w:tcPr>
          <w:p w14:paraId="145AE331" w14:textId="77777777" w:rsidR="00115DFD" w:rsidRDefault="00115DFD" w:rsidP="00AF6E6D">
            <w:pPr>
              <w:pStyle w:val="UtilComTabletext"/>
              <w:jc w:val="right"/>
            </w:pPr>
          </w:p>
        </w:tc>
        <w:tc>
          <w:tcPr>
            <w:tcW w:w="964" w:type="dxa"/>
            <w:tcBorders>
              <w:bottom w:val="single" w:sz="4" w:space="0" w:color="999999"/>
            </w:tcBorders>
          </w:tcPr>
          <w:p w14:paraId="7DCA7FBA" w14:textId="77777777" w:rsidR="00115DFD" w:rsidRDefault="00115DFD" w:rsidP="00AF6E6D">
            <w:pPr>
              <w:pStyle w:val="UtilComTabletext"/>
              <w:jc w:val="right"/>
            </w:pPr>
            <w:r>
              <w:t>2.60</w:t>
            </w:r>
          </w:p>
        </w:tc>
        <w:tc>
          <w:tcPr>
            <w:tcW w:w="964" w:type="dxa"/>
            <w:tcBorders>
              <w:bottom w:val="single" w:sz="4" w:space="0" w:color="999999"/>
            </w:tcBorders>
          </w:tcPr>
          <w:p w14:paraId="5C92F3DC" w14:textId="77777777" w:rsidR="00115DFD" w:rsidRDefault="00115DFD" w:rsidP="00AF6E6D">
            <w:pPr>
              <w:pStyle w:val="UtilComTabletext"/>
              <w:jc w:val="right"/>
            </w:pPr>
            <w:r>
              <w:t>2.60</w:t>
            </w:r>
          </w:p>
        </w:tc>
        <w:tc>
          <w:tcPr>
            <w:tcW w:w="964" w:type="dxa"/>
            <w:tcBorders>
              <w:bottom w:val="single" w:sz="4" w:space="0" w:color="999999"/>
            </w:tcBorders>
          </w:tcPr>
          <w:p w14:paraId="0CA23157" w14:textId="77777777" w:rsidR="00115DFD" w:rsidRDefault="00115DFD" w:rsidP="00AF6E6D">
            <w:pPr>
              <w:pStyle w:val="UtilComTabletext"/>
              <w:jc w:val="right"/>
            </w:pPr>
            <w:r>
              <w:t>2.60</w:t>
            </w:r>
          </w:p>
        </w:tc>
        <w:tc>
          <w:tcPr>
            <w:tcW w:w="964" w:type="dxa"/>
            <w:tcBorders>
              <w:bottom w:val="single" w:sz="4" w:space="0" w:color="999999"/>
            </w:tcBorders>
          </w:tcPr>
          <w:p w14:paraId="454B9818" w14:textId="77777777" w:rsidR="00115DFD" w:rsidRDefault="00115DFD" w:rsidP="00AF6E6D">
            <w:pPr>
              <w:pStyle w:val="UtilComTabletext"/>
              <w:jc w:val="right"/>
            </w:pPr>
            <w:r>
              <w:t>2.60</w:t>
            </w:r>
          </w:p>
        </w:tc>
        <w:tc>
          <w:tcPr>
            <w:tcW w:w="964" w:type="dxa"/>
            <w:tcBorders>
              <w:bottom w:val="single" w:sz="4" w:space="0" w:color="999999"/>
            </w:tcBorders>
          </w:tcPr>
          <w:p w14:paraId="0016A11F" w14:textId="77777777" w:rsidR="00115DFD" w:rsidRDefault="00115DFD" w:rsidP="00AF6E6D">
            <w:pPr>
              <w:pStyle w:val="UtilComTabletext"/>
              <w:jc w:val="right"/>
            </w:pPr>
            <w:r>
              <w:t>2.60</w:t>
            </w:r>
          </w:p>
        </w:tc>
        <w:tc>
          <w:tcPr>
            <w:tcW w:w="1021" w:type="dxa"/>
            <w:tcBorders>
              <w:bottom w:val="single" w:sz="4" w:space="0" w:color="999999"/>
            </w:tcBorders>
          </w:tcPr>
          <w:p w14:paraId="5C12C957" w14:textId="77777777" w:rsidR="00115DFD" w:rsidRDefault="00115DFD" w:rsidP="00AF6E6D">
            <w:pPr>
              <w:pStyle w:val="UtilComTabletext"/>
              <w:jc w:val="right"/>
            </w:pPr>
          </w:p>
        </w:tc>
      </w:tr>
      <w:tr w:rsidR="00115DFD" w:rsidRPr="007C4959" w14:paraId="1A831CBD" w14:textId="57C2E67F" w:rsidTr="00115DFD">
        <w:trPr>
          <w:cantSplit/>
          <w:trHeight w:val="360"/>
        </w:trPr>
        <w:tc>
          <w:tcPr>
            <w:tcW w:w="2410" w:type="dxa"/>
            <w:tcBorders>
              <w:bottom w:val="single" w:sz="4" w:space="0" w:color="auto"/>
            </w:tcBorders>
          </w:tcPr>
          <w:p w14:paraId="6894EBED" w14:textId="77777777" w:rsidR="00115DFD" w:rsidRPr="007C4959" w:rsidRDefault="00115DFD" w:rsidP="002C75A8">
            <w:pPr>
              <w:pStyle w:val="UtilComTabletext"/>
              <w:rPr>
                <w:b/>
              </w:rPr>
            </w:pPr>
            <w:r w:rsidRPr="007C4959">
              <w:rPr>
                <w:b/>
              </w:rPr>
              <w:t xml:space="preserve">X factors (%) </w:t>
            </w:r>
            <w:r w:rsidRPr="007C4959">
              <w:rPr>
                <w:b/>
                <w:vertAlign w:val="superscript"/>
              </w:rPr>
              <w:t>(a)</w:t>
            </w:r>
          </w:p>
        </w:tc>
        <w:tc>
          <w:tcPr>
            <w:tcW w:w="964" w:type="dxa"/>
            <w:tcBorders>
              <w:bottom w:val="single" w:sz="4" w:space="0" w:color="auto"/>
            </w:tcBorders>
          </w:tcPr>
          <w:p w14:paraId="342BDC8F" w14:textId="77777777" w:rsidR="00115DFD" w:rsidRPr="007C4959" w:rsidRDefault="00115DFD" w:rsidP="00AF6E6D">
            <w:pPr>
              <w:pStyle w:val="UtilComTabletext"/>
              <w:jc w:val="right"/>
              <w:rPr>
                <w:b/>
              </w:rPr>
            </w:pPr>
          </w:p>
        </w:tc>
        <w:tc>
          <w:tcPr>
            <w:tcW w:w="964" w:type="dxa"/>
            <w:tcBorders>
              <w:bottom w:val="single" w:sz="4" w:space="0" w:color="auto"/>
            </w:tcBorders>
          </w:tcPr>
          <w:p w14:paraId="11B91E49" w14:textId="77777777" w:rsidR="00115DFD" w:rsidRPr="007C4959" w:rsidRDefault="00115DFD" w:rsidP="00AF6E6D">
            <w:pPr>
              <w:pStyle w:val="UtilComTabletext"/>
              <w:jc w:val="right"/>
              <w:rPr>
                <w:b/>
              </w:rPr>
            </w:pPr>
            <w:r w:rsidRPr="007C4959">
              <w:rPr>
                <w:b/>
              </w:rPr>
              <w:t>-</w:t>
            </w:r>
            <w:r>
              <w:rPr>
                <w:b/>
              </w:rPr>
              <w:t xml:space="preserve"> </w:t>
            </w:r>
            <w:r w:rsidRPr="007C4959">
              <w:rPr>
                <w:b/>
              </w:rPr>
              <w:t>51.34</w:t>
            </w:r>
          </w:p>
        </w:tc>
        <w:tc>
          <w:tcPr>
            <w:tcW w:w="964" w:type="dxa"/>
            <w:tcBorders>
              <w:bottom w:val="single" w:sz="4" w:space="0" w:color="auto"/>
            </w:tcBorders>
          </w:tcPr>
          <w:p w14:paraId="05CBA32D" w14:textId="77777777" w:rsidR="00115DFD" w:rsidRPr="007C4959" w:rsidRDefault="00115DFD" w:rsidP="00AF6E6D">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703FA1DA" w14:textId="77777777" w:rsidR="00115DFD" w:rsidRPr="007C4959" w:rsidRDefault="00115DFD" w:rsidP="00AF6E6D">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5431245A" w14:textId="77777777" w:rsidR="00115DFD" w:rsidRPr="007C4959" w:rsidRDefault="00115DFD" w:rsidP="00AF6E6D">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7C4C69C8" w14:textId="77777777" w:rsidR="00115DFD" w:rsidRPr="007C4959" w:rsidRDefault="00115DFD" w:rsidP="005B2A4C">
            <w:pPr>
              <w:pStyle w:val="UtilComTabletext"/>
              <w:jc w:val="right"/>
              <w:rPr>
                <w:b/>
              </w:rPr>
            </w:pPr>
            <w:r w:rsidRPr="007C4959">
              <w:rPr>
                <w:b/>
              </w:rPr>
              <w:t>-</w:t>
            </w:r>
            <w:r>
              <w:rPr>
                <w:b/>
              </w:rPr>
              <w:t xml:space="preserve"> </w:t>
            </w:r>
            <w:r w:rsidRPr="007C4959">
              <w:rPr>
                <w:b/>
              </w:rPr>
              <w:t>1.00</w:t>
            </w:r>
          </w:p>
        </w:tc>
        <w:tc>
          <w:tcPr>
            <w:tcW w:w="1021" w:type="dxa"/>
            <w:tcBorders>
              <w:bottom w:val="single" w:sz="4" w:space="0" w:color="auto"/>
            </w:tcBorders>
          </w:tcPr>
          <w:p w14:paraId="6B117272" w14:textId="77777777" w:rsidR="00115DFD" w:rsidRPr="007C4959" w:rsidRDefault="00115DFD" w:rsidP="005B2A4C">
            <w:pPr>
              <w:pStyle w:val="UtilComTabletext"/>
              <w:jc w:val="right"/>
              <w:rPr>
                <w:b/>
              </w:rPr>
            </w:pPr>
          </w:p>
        </w:tc>
      </w:tr>
    </w:tbl>
    <w:p w14:paraId="32F23489" w14:textId="707A25D7" w:rsidR="00FF15EF" w:rsidRDefault="00FF15EF" w:rsidP="00FF15EF">
      <w:pPr>
        <w:pStyle w:val="UtilComReferenceSource"/>
        <w:rPr>
          <w:lang w:val="en-AU"/>
        </w:rPr>
      </w:pPr>
      <w:r>
        <w:rPr>
          <w:lang w:val="en-AU"/>
        </w:rPr>
        <w:t>Source: PWC Networks</w:t>
      </w:r>
      <w:r w:rsidR="00115DFD">
        <w:rPr>
          <w:lang w:val="en-AU"/>
        </w:rPr>
        <w:t>’ initial regulatory proposal</w:t>
      </w:r>
      <w:r>
        <w:rPr>
          <w:lang w:val="en-AU"/>
        </w:rPr>
        <w:t xml:space="preserve">, NTRM (ODRC) </w:t>
      </w:r>
      <w:r>
        <w:rPr>
          <w:lang w:val="en-AU"/>
        </w:rPr>
        <w:br/>
      </w:r>
      <w:r w:rsidRPr="004B63D8">
        <w:rPr>
          <w:rFonts w:cs="Arial"/>
          <w:lang w:val="en-AU"/>
        </w:rPr>
        <w:t>(a)</w:t>
      </w:r>
      <w:r>
        <w:rPr>
          <w:lang w:val="en-AU"/>
        </w:rPr>
        <w:t xml:space="preserve"> </w:t>
      </w:r>
      <w:r w:rsidRPr="004A7FDA">
        <w:rPr>
          <w:lang w:val="en-AU"/>
        </w:rPr>
        <w:t>Negative values for X indicate real revenue increases under the CPI</w:t>
      </w:r>
      <w:r w:rsidR="006C5C1F">
        <w:rPr>
          <w:lang w:val="en-AU"/>
        </w:rPr>
        <w:t xml:space="preserve"> minus </w:t>
      </w:r>
      <w:r w:rsidRPr="004A7FDA">
        <w:rPr>
          <w:lang w:val="en-AU"/>
        </w:rPr>
        <w:t>X formula.</w:t>
      </w:r>
    </w:p>
    <w:p w14:paraId="10D63640" w14:textId="4A66D231" w:rsidR="00FF15EF" w:rsidRDefault="00FF15EF" w:rsidP="00E32188">
      <w:pPr>
        <w:pStyle w:val="NumberLevel2"/>
        <w:numPr>
          <w:ilvl w:val="1"/>
          <w:numId w:val="5"/>
        </w:numPr>
        <w:ind w:left="709" w:hanging="709"/>
        <w:rPr>
          <w:lang w:val="en-AU"/>
        </w:rPr>
      </w:pPr>
      <w:r w:rsidRPr="0098191B">
        <w:rPr>
          <w:lang w:val="en-AU"/>
        </w:rPr>
        <w:t>The Commission</w:t>
      </w:r>
      <w:r>
        <w:rPr>
          <w:lang w:val="en-AU"/>
        </w:rPr>
        <w:t xml:space="preserve">’s </w:t>
      </w:r>
      <w:r w:rsidR="006C5C1F">
        <w:rPr>
          <w:lang w:val="en-AU"/>
        </w:rPr>
        <w:t xml:space="preserve">2013 </w:t>
      </w:r>
      <w:r>
        <w:rPr>
          <w:lang w:val="en-AU"/>
        </w:rPr>
        <w:t xml:space="preserve">Cost Pass </w:t>
      </w:r>
      <w:r w:rsidR="006C5C1F">
        <w:rPr>
          <w:lang w:val="en-AU"/>
        </w:rPr>
        <w:t xml:space="preserve">Through </w:t>
      </w:r>
      <w:r>
        <w:rPr>
          <w:lang w:val="en-AU"/>
        </w:rPr>
        <w:t>Determination</w:t>
      </w:r>
      <w:r>
        <w:rPr>
          <w:rStyle w:val="FootnoteReference"/>
          <w:lang w:val="en-AU"/>
        </w:rPr>
        <w:footnoteReference w:id="67"/>
      </w:r>
      <w:r w:rsidRPr="0098191B">
        <w:rPr>
          <w:lang w:val="en-AU"/>
        </w:rPr>
        <w:t xml:space="preserve"> </w:t>
      </w:r>
      <w:r>
        <w:rPr>
          <w:lang w:val="en-AU"/>
        </w:rPr>
        <w:t xml:space="preserve">provided for the approved cost pass through amount to be </w:t>
      </w:r>
      <w:r w:rsidR="006C5C1F">
        <w:rPr>
          <w:lang w:val="en-AU"/>
        </w:rPr>
        <w:t xml:space="preserve">recovered </w:t>
      </w:r>
      <w:r w:rsidRPr="0098191B">
        <w:rPr>
          <w:lang w:val="en-AU"/>
        </w:rPr>
        <w:t>in two stages</w:t>
      </w:r>
      <w:r w:rsidR="006C5C1F">
        <w:rPr>
          <w:lang w:val="en-AU"/>
        </w:rPr>
        <w:t>:</w:t>
      </w:r>
      <w:r w:rsidR="006C5C1F" w:rsidRPr="0098191B">
        <w:rPr>
          <w:lang w:val="en-AU"/>
        </w:rPr>
        <w:t xml:space="preserve"> </w:t>
      </w:r>
      <w:r w:rsidRPr="0098191B">
        <w:rPr>
          <w:lang w:val="en-AU"/>
        </w:rPr>
        <w:t>$25 million to be recovered in</w:t>
      </w:r>
      <w:r w:rsidR="00D638A5">
        <w:rPr>
          <w:lang w:val="en-AU"/>
        </w:rPr>
        <w:t xml:space="preserve"> the </w:t>
      </w:r>
      <w:r w:rsidRPr="0098191B">
        <w:rPr>
          <w:lang w:val="en-AU"/>
        </w:rPr>
        <w:t>2013-14</w:t>
      </w:r>
      <w:r w:rsidR="006C5C1F">
        <w:rPr>
          <w:lang w:val="en-AU"/>
        </w:rPr>
        <w:t xml:space="preserve"> </w:t>
      </w:r>
      <w:r w:rsidR="00D638A5">
        <w:rPr>
          <w:lang w:val="en-AU"/>
        </w:rPr>
        <w:t xml:space="preserve">regulatory year </w:t>
      </w:r>
      <w:r w:rsidR="006C5C1F">
        <w:rPr>
          <w:lang w:val="en-AU"/>
        </w:rPr>
        <w:t>(</w:t>
      </w:r>
      <w:r w:rsidRPr="0098191B">
        <w:rPr>
          <w:lang w:val="en-AU"/>
        </w:rPr>
        <w:t xml:space="preserve">the final </w:t>
      </w:r>
      <w:r w:rsidR="006C5C1F">
        <w:rPr>
          <w:lang w:val="en-AU"/>
        </w:rPr>
        <w:t xml:space="preserve">regulatory </w:t>
      </w:r>
      <w:r w:rsidRPr="0098191B">
        <w:rPr>
          <w:lang w:val="en-AU"/>
        </w:rPr>
        <w:t xml:space="preserve">year of the </w:t>
      </w:r>
      <w:r w:rsidR="007669D5">
        <w:rPr>
          <w:lang w:val="en-AU"/>
        </w:rPr>
        <w:t>2009-14</w:t>
      </w:r>
      <w:r w:rsidR="007669D5" w:rsidRPr="0098191B">
        <w:rPr>
          <w:lang w:val="en-AU"/>
        </w:rPr>
        <w:t xml:space="preserve"> </w:t>
      </w:r>
      <w:r w:rsidRPr="0098191B">
        <w:rPr>
          <w:lang w:val="en-AU"/>
        </w:rPr>
        <w:t>regulatory control period</w:t>
      </w:r>
      <w:r w:rsidR="006C5C1F">
        <w:rPr>
          <w:lang w:val="en-AU"/>
        </w:rPr>
        <w:t>)</w:t>
      </w:r>
      <w:r w:rsidRPr="0098191B">
        <w:rPr>
          <w:lang w:val="en-AU"/>
        </w:rPr>
        <w:t>, and the remaining $29.92 million ($</w:t>
      </w:r>
      <w:r w:rsidR="00485AF0">
        <w:rPr>
          <w:lang w:val="en-AU"/>
        </w:rPr>
        <w:t>20</w:t>
      </w:r>
      <w:r w:rsidRPr="0098191B">
        <w:rPr>
          <w:lang w:val="en-AU"/>
        </w:rPr>
        <w:t>12</w:t>
      </w:r>
      <w:r w:rsidR="006C5C1F">
        <w:rPr>
          <w:lang w:val="en-AU"/>
        </w:rPr>
        <w:noBreakHyphen/>
      </w:r>
      <w:r w:rsidRPr="0098191B">
        <w:rPr>
          <w:lang w:val="en-AU"/>
        </w:rPr>
        <w:t xml:space="preserve">13) to be recovered over the </w:t>
      </w:r>
      <w:r w:rsidR="006C5C1F">
        <w:rPr>
          <w:lang w:val="en-AU"/>
        </w:rPr>
        <w:t>2014-19</w:t>
      </w:r>
      <w:r w:rsidR="006C5C1F" w:rsidRPr="0098191B">
        <w:rPr>
          <w:lang w:val="en-AU"/>
        </w:rPr>
        <w:t xml:space="preserve"> </w:t>
      </w:r>
      <w:r w:rsidRPr="0098191B">
        <w:rPr>
          <w:lang w:val="en-AU"/>
        </w:rPr>
        <w:t>regulatory control period.</w:t>
      </w:r>
      <w:r>
        <w:rPr>
          <w:lang w:val="en-AU"/>
        </w:rPr>
        <w:t xml:space="preserve"> PWC Networks proposed that the remaining $29.92</w:t>
      </w:r>
      <w:r w:rsidR="00C05748">
        <w:rPr>
          <w:lang w:val="en-AU"/>
        </w:rPr>
        <w:t> </w:t>
      </w:r>
      <w:r>
        <w:rPr>
          <w:lang w:val="en-AU"/>
        </w:rPr>
        <w:t xml:space="preserve">million be recovered in equal parts (adjusted for the time value of money) in each year of the </w:t>
      </w:r>
      <w:r w:rsidR="007669D5">
        <w:rPr>
          <w:lang w:val="en-AU"/>
        </w:rPr>
        <w:t xml:space="preserve">2014-19 </w:t>
      </w:r>
      <w:r>
        <w:rPr>
          <w:lang w:val="en-AU"/>
        </w:rPr>
        <w:t>regulatory control period.</w:t>
      </w:r>
    </w:p>
    <w:p w14:paraId="381D3809" w14:textId="77777777" w:rsidR="00033B04" w:rsidRDefault="00033B04">
      <w:pPr>
        <w:spacing w:before="0" w:after="0" w:line="240" w:lineRule="auto"/>
        <w:rPr>
          <w:rFonts w:cs="Arial"/>
          <w:spacing w:val="-14"/>
          <w:szCs w:val="22"/>
          <w:lang w:val="en-AU"/>
        </w:rPr>
      </w:pPr>
      <w:r>
        <w:br w:type="page"/>
      </w:r>
    </w:p>
    <w:p w14:paraId="04EBFDDC" w14:textId="48F9F448" w:rsidR="00FF15EF" w:rsidRPr="00A139AD" w:rsidRDefault="00FF15EF" w:rsidP="00485AF0">
      <w:pPr>
        <w:pStyle w:val="UtilComTableTitle"/>
        <w:keepNext/>
        <w:spacing w:before="120" w:after="0" w:line="240" w:lineRule="exact"/>
      </w:pPr>
      <w:r>
        <w:t xml:space="preserve">Table </w:t>
      </w:r>
      <w:r w:rsidR="00036DA7">
        <w:t>14</w:t>
      </w:r>
      <w:r>
        <w:t>.</w:t>
      </w:r>
      <w:r w:rsidR="001952ED">
        <w:t>3</w:t>
      </w:r>
      <w:r>
        <w:t>: PWC Networks</w:t>
      </w:r>
      <w:r w:rsidR="00D638A5">
        <w:t>’</w:t>
      </w:r>
      <w:r>
        <w:t xml:space="preserve"> </w:t>
      </w:r>
      <w:r w:rsidRPr="006A402B">
        <w:t>proposed annual revenue requirements and X factors</w:t>
      </w:r>
      <w:r>
        <w:t>, including</w:t>
      </w:r>
      <w:r w:rsidRPr="006A402B">
        <w:t xml:space="preserve"> </w:t>
      </w:r>
      <w:r>
        <w:t>carryover from cost pass through decision</w:t>
      </w:r>
      <w:r w:rsidR="00A665C3">
        <w:t xml:space="preserve"> </w:t>
      </w:r>
      <w:r w:rsidRPr="006A402B">
        <w:t>($</w:t>
      </w:r>
      <w:r w:rsidR="00145AAB">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115DFD" w:rsidRPr="00EE5A08" w14:paraId="202A774C" w14:textId="74E62848" w:rsidTr="00371524">
        <w:trPr>
          <w:cantSplit/>
          <w:trHeight w:val="360"/>
        </w:trPr>
        <w:tc>
          <w:tcPr>
            <w:tcW w:w="2410" w:type="dxa"/>
            <w:tcBorders>
              <w:top w:val="single" w:sz="4" w:space="0" w:color="999999"/>
              <w:bottom w:val="single" w:sz="4" w:space="0" w:color="auto"/>
            </w:tcBorders>
          </w:tcPr>
          <w:p w14:paraId="6C7694C5" w14:textId="77777777" w:rsidR="00115DFD" w:rsidRPr="00EE5A08" w:rsidRDefault="00115DFD" w:rsidP="005B2A4C">
            <w:pPr>
              <w:pStyle w:val="UtilComTabletext"/>
              <w:rPr>
                <w:b/>
              </w:rPr>
            </w:pPr>
          </w:p>
        </w:tc>
        <w:tc>
          <w:tcPr>
            <w:tcW w:w="964" w:type="dxa"/>
            <w:tcBorders>
              <w:top w:val="single" w:sz="4" w:space="0" w:color="999999"/>
              <w:bottom w:val="single" w:sz="4" w:space="0" w:color="auto"/>
            </w:tcBorders>
          </w:tcPr>
          <w:p w14:paraId="1C363E15" w14:textId="77777777" w:rsidR="00115DFD" w:rsidRPr="00EE5A08" w:rsidRDefault="00115DFD" w:rsidP="005B2A4C">
            <w:pPr>
              <w:pStyle w:val="UtilComTabletext"/>
              <w:jc w:val="right"/>
              <w:rPr>
                <w:b/>
              </w:rPr>
            </w:pPr>
            <w:r>
              <w:rPr>
                <w:b/>
              </w:rPr>
              <w:t>2013-14</w:t>
            </w:r>
          </w:p>
        </w:tc>
        <w:tc>
          <w:tcPr>
            <w:tcW w:w="964" w:type="dxa"/>
            <w:tcBorders>
              <w:top w:val="single" w:sz="4" w:space="0" w:color="999999"/>
              <w:bottom w:val="single" w:sz="4" w:space="0" w:color="auto"/>
            </w:tcBorders>
          </w:tcPr>
          <w:p w14:paraId="67F8707C" w14:textId="77777777" w:rsidR="00115DFD" w:rsidRPr="00EE5A08" w:rsidRDefault="00115DFD" w:rsidP="005B2A4C">
            <w:pPr>
              <w:pStyle w:val="UtilComTabletext"/>
              <w:jc w:val="right"/>
              <w:rPr>
                <w:b/>
              </w:rPr>
            </w:pPr>
            <w:r>
              <w:rPr>
                <w:b/>
              </w:rPr>
              <w:t>2014-15</w:t>
            </w:r>
          </w:p>
        </w:tc>
        <w:tc>
          <w:tcPr>
            <w:tcW w:w="964" w:type="dxa"/>
            <w:tcBorders>
              <w:top w:val="single" w:sz="4" w:space="0" w:color="999999"/>
              <w:bottom w:val="single" w:sz="4" w:space="0" w:color="auto"/>
            </w:tcBorders>
          </w:tcPr>
          <w:p w14:paraId="4100427A" w14:textId="77777777" w:rsidR="00115DFD" w:rsidRPr="00EE5A08" w:rsidRDefault="00115DFD" w:rsidP="005B2A4C">
            <w:pPr>
              <w:pStyle w:val="UtilComTabletext"/>
              <w:jc w:val="right"/>
              <w:rPr>
                <w:b/>
              </w:rPr>
            </w:pPr>
            <w:r>
              <w:rPr>
                <w:b/>
              </w:rPr>
              <w:t>2015-16</w:t>
            </w:r>
          </w:p>
        </w:tc>
        <w:tc>
          <w:tcPr>
            <w:tcW w:w="964" w:type="dxa"/>
            <w:tcBorders>
              <w:top w:val="single" w:sz="4" w:space="0" w:color="999999"/>
              <w:bottom w:val="single" w:sz="4" w:space="0" w:color="auto"/>
            </w:tcBorders>
          </w:tcPr>
          <w:p w14:paraId="42031EB5" w14:textId="77777777" w:rsidR="00115DFD" w:rsidRDefault="00115DFD" w:rsidP="005B2A4C">
            <w:pPr>
              <w:pStyle w:val="UtilComTabletext"/>
              <w:jc w:val="right"/>
              <w:rPr>
                <w:b/>
              </w:rPr>
            </w:pPr>
            <w:r>
              <w:rPr>
                <w:b/>
              </w:rPr>
              <w:t>2016-17</w:t>
            </w:r>
          </w:p>
        </w:tc>
        <w:tc>
          <w:tcPr>
            <w:tcW w:w="964" w:type="dxa"/>
            <w:tcBorders>
              <w:top w:val="single" w:sz="4" w:space="0" w:color="999999"/>
              <w:bottom w:val="single" w:sz="4" w:space="0" w:color="auto"/>
            </w:tcBorders>
          </w:tcPr>
          <w:p w14:paraId="0CBDDE2C" w14:textId="77777777" w:rsidR="00115DFD" w:rsidRDefault="00115DFD" w:rsidP="005B2A4C">
            <w:pPr>
              <w:pStyle w:val="UtilComTabletext"/>
              <w:jc w:val="right"/>
              <w:rPr>
                <w:b/>
              </w:rPr>
            </w:pPr>
            <w:r>
              <w:rPr>
                <w:b/>
              </w:rPr>
              <w:t>2017-18</w:t>
            </w:r>
          </w:p>
        </w:tc>
        <w:tc>
          <w:tcPr>
            <w:tcW w:w="964" w:type="dxa"/>
            <w:tcBorders>
              <w:top w:val="single" w:sz="4" w:space="0" w:color="999999"/>
              <w:bottom w:val="single" w:sz="4" w:space="0" w:color="auto"/>
            </w:tcBorders>
          </w:tcPr>
          <w:p w14:paraId="6B00FE58" w14:textId="77777777" w:rsidR="00115DFD" w:rsidRPr="00EE5A08" w:rsidRDefault="00115DFD" w:rsidP="005B2A4C">
            <w:pPr>
              <w:pStyle w:val="UtilComTabletext"/>
              <w:jc w:val="right"/>
              <w:rPr>
                <w:b/>
              </w:rPr>
            </w:pPr>
            <w:r>
              <w:rPr>
                <w:b/>
              </w:rPr>
              <w:t>2018-19</w:t>
            </w:r>
          </w:p>
        </w:tc>
        <w:tc>
          <w:tcPr>
            <w:tcW w:w="1021" w:type="dxa"/>
            <w:tcBorders>
              <w:top w:val="single" w:sz="4" w:space="0" w:color="999999"/>
              <w:bottom w:val="single" w:sz="4" w:space="0" w:color="auto"/>
            </w:tcBorders>
          </w:tcPr>
          <w:p w14:paraId="3CA43895" w14:textId="77777777" w:rsidR="00115DFD" w:rsidRDefault="00115DFD" w:rsidP="005B2A4C">
            <w:pPr>
              <w:pStyle w:val="UtilComTabletext"/>
              <w:jc w:val="right"/>
              <w:rPr>
                <w:b/>
              </w:rPr>
            </w:pPr>
          </w:p>
        </w:tc>
      </w:tr>
      <w:tr w:rsidR="00115DFD" w:rsidRPr="008A4655" w14:paraId="59D2846E" w14:textId="031B91A9" w:rsidTr="00371524">
        <w:trPr>
          <w:cantSplit/>
          <w:trHeight w:val="360"/>
        </w:trPr>
        <w:tc>
          <w:tcPr>
            <w:tcW w:w="2410" w:type="dxa"/>
            <w:tcBorders>
              <w:top w:val="single" w:sz="4" w:space="0" w:color="auto"/>
              <w:bottom w:val="single" w:sz="4" w:space="0" w:color="999999"/>
            </w:tcBorders>
          </w:tcPr>
          <w:p w14:paraId="182F65B8" w14:textId="77777777" w:rsidR="00115DFD" w:rsidRDefault="00115DFD" w:rsidP="00DB1A4E">
            <w:pPr>
              <w:pStyle w:val="UtilComTabletext"/>
            </w:pPr>
            <w:r>
              <w:t>Unsmoothed annual revenue requirement</w:t>
            </w:r>
          </w:p>
        </w:tc>
        <w:tc>
          <w:tcPr>
            <w:tcW w:w="964" w:type="dxa"/>
            <w:tcBorders>
              <w:top w:val="single" w:sz="4" w:space="0" w:color="auto"/>
              <w:bottom w:val="single" w:sz="4" w:space="0" w:color="999999"/>
            </w:tcBorders>
          </w:tcPr>
          <w:p w14:paraId="6D5E05C7" w14:textId="77777777" w:rsidR="00115DFD" w:rsidRDefault="00115DFD" w:rsidP="00DB1A4E">
            <w:pPr>
              <w:pStyle w:val="UtilComTabletext"/>
              <w:jc w:val="right"/>
            </w:pPr>
          </w:p>
        </w:tc>
        <w:tc>
          <w:tcPr>
            <w:tcW w:w="964" w:type="dxa"/>
            <w:tcBorders>
              <w:top w:val="single" w:sz="4" w:space="0" w:color="auto"/>
              <w:bottom w:val="single" w:sz="4" w:space="0" w:color="999999"/>
            </w:tcBorders>
          </w:tcPr>
          <w:p w14:paraId="4B109D80" w14:textId="77777777" w:rsidR="00115DFD" w:rsidRDefault="00115DFD" w:rsidP="00DB1A4E">
            <w:pPr>
              <w:pStyle w:val="UtilComTabletext"/>
              <w:jc w:val="right"/>
            </w:pPr>
            <w:r>
              <w:t>223.22</w:t>
            </w:r>
          </w:p>
        </w:tc>
        <w:tc>
          <w:tcPr>
            <w:tcW w:w="964" w:type="dxa"/>
            <w:tcBorders>
              <w:top w:val="single" w:sz="4" w:space="0" w:color="auto"/>
              <w:bottom w:val="single" w:sz="4" w:space="0" w:color="999999"/>
            </w:tcBorders>
          </w:tcPr>
          <w:p w14:paraId="57771B3A" w14:textId="77777777" w:rsidR="00115DFD" w:rsidRDefault="00115DFD" w:rsidP="00DB1A4E">
            <w:pPr>
              <w:pStyle w:val="UtilComTabletext"/>
              <w:jc w:val="right"/>
            </w:pPr>
            <w:r>
              <w:t>231.73</w:t>
            </w:r>
          </w:p>
        </w:tc>
        <w:tc>
          <w:tcPr>
            <w:tcW w:w="964" w:type="dxa"/>
            <w:tcBorders>
              <w:top w:val="single" w:sz="4" w:space="0" w:color="auto"/>
              <w:bottom w:val="single" w:sz="4" w:space="0" w:color="999999"/>
            </w:tcBorders>
          </w:tcPr>
          <w:p w14:paraId="0F5C7736" w14:textId="77777777" w:rsidR="00115DFD" w:rsidRDefault="00115DFD" w:rsidP="00DB1A4E">
            <w:pPr>
              <w:pStyle w:val="UtilComTabletext"/>
              <w:jc w:val="right"/>
            </w:pPr>
            <w:r>
              <w:t>236.26</w:t>
            </w:r>
          </w:p>
        </w:tc>
        <w:tc>
          <w:tcPr>
            <w:tcW w:w="964" w:type="dxa"/>
            <w:tcBorders>
              <w:top w:val="single" w:sz="4" w:space="0" w:color="auto"/>
              <w:bottom w:val="single" w:sz="4" w:space="0" w:color="999999"/>
            </w:tcBorders>
          </w:tcPr>
          <w:p w14:paraId="6955FEBF" w14:textId="77777777" w:rsidR="00115DFD" w:rsidRDefault="00115DFD" w:rsidP="00DB1A4E">
            <w:pPr>
              <w:pStyle w:val="UtilComTabletext"/>
              <w:jc w:val="right"/>
            </w:pPr>
            <w:r>
              <w:t>242.78</w:t>
            </w:r>
          </w:p>
        </w:tc>
        <w:tc>
          <w:tcPr>
            <w:tcW w:w="964" w:type="dxa"/>
            <w:tcBorders>
              <w:top w:val="single" w:sz="4" w:space="0" w:color="auto"/>
              <w:bottom w:val="single" w:sz="4" w:space="0" w:color="999999"/>
            </w:tcBorders>
          </w:tcPr>
          <w:p w14:paraId="231AE511" w14:textId="77777777" w:rsidR="00115DFD" w:rsidRDefault="00115DFD" w:rsidP="00DB1A4E">
            <w:pPr>
              <w:pStyle w:val="UtilComTabletext"/>
              <w:jc w:val="right"/>
            </w:pPr>
            <w:r>
              <w:t>249.75</w:t>
            </w:r>
          </w:p>
        </w:tc>
        <w:tc>
          <w:tcPr>
            <w:tcW w:w="1021" w:type="dxa"/>
            <w:tcBorders>
              <w:top w:val="single" w:sz="4" w:space="0" w:color="auto"/>
              <w:bottom w:val="single" w:sz="4" w:space="0" w:color="999999"/>
            </w:tcBorders>
          </w:tcPr>
          <w:p w14:paraId="53AFB897" w14:textId="6D266898" w:rsidR="00115DFD" w:rsidRDefault="00115DFD" w:rsidP="00DB1A4E">
            <w:pPr>
              <w:pStyle w:val="UtilComTabletext"/>
              <w:jc w:val="right"/>
            </w:pPr>
            <w:r>
              <w:t>1 183.74</w:t>
            </w:r>
          </w:p>
        </w:tc>
      </w:tr>
      <w:tr w:rsidR="00115DFD" w:rsidRPr="008A4655" w14:paraId="45B2C30F" w14:textId="17495B8B" w:rsidTr="00371524">
        <w:trPr>
          <w:cantSplit/>
          <w:trHeight w:val="360"/>
        </w:trPr>
        <w:tc>
          <w:tcPr>
            <w:tcW w:w="2410" w:type="dxa"/>
            <w:tcBorders>
              <w:bottom w:val="single" w:sz="4" w:space="0" w:color="auto"/>
            </w:tcBorders>
          </w:tcPr>
          <w:p w14:paraId="7C2F6632" w14:textId="77777777" w:rsidR="00115DFD" w:rsidRDefault="00115DFD" w:rsidP="00DB1A4E">
            <w:pPr>
              <w:pStyle w:val="UtilComTabletext"/>
            </w:pPr>
            <w:r>
              <w:t>Carryover adjustment (2013 cost pass through)</w:t>
            </w:r>
          </w:p>
        </w:tc>
        <w:tc>
          <w:tcPr>
            <w:tcW w:w="964" w:type="dxa"/>
            <w:tcBorders>
              <w:bottom w:val="single" w:sz="4" w:space="0" w:color="auto"/>
            </w:tcBorders>
          </w:tcPr>
          <w:p w14:paraId="41707E21" w14:textId="77777777" w:rsidR="00115DFD" w:rsidRDefault="00115DFD" w:rsidP="00DB1A4E">
            <w:pPr>
              <w:pStyle w:val="UtilComTabletext"/>
              <w:jc w:val="right"/>
            </w:pPr>
          </w:p>
        </w:tc>
        <w:tc>
          <w:tcPr>
            <w:tcW w:w="964" w:type="dxa"/>
            <w:tcBorders>
              <w:bottom w:val="single" w:sz="4" w:space="0" w:color="auto"/>
            </w:tcBorders>
          </w:tcPr>
          <w:p w14:paraId="13A39C78" w14:textId="77777777" w:rsidR="00115DFD" w:rsidRDefault="00115DFD" w:rsidP="00DB1A4E">
            <w:pPr>
              <w:pStyle w:val="UtilComTabletext"/>
              <w:jc w:val="right"/>
            </w:pPr>
            <w:r>
              <w:t>7.37</w:t>
            </w:r>
          </w:p>
        </w:tc>
        <w:tc>
          <w:tcPr>
            <w:tcW w:w="964" w:type="dxa"/>
            <w:tcBorders>
              <w:bottom w:val="single" w:sz="4" w:space="0" w:color="auto"/>
            </w:tcBorders>
          </w:tcPr>
          <w:p w14:paraId="06B67154" w14:textId="77777777" w:rsidR="00115DFD" w:rsidRDefault="00115DFD" w:rsidP="00DB1A4E">
            <w:pPr>
              <w:pStyle w:val="UtilComTabletext"/>
              <w:jc w:val="right"/>
            </w:pPr>
            <w:r>
              <w:t>8.23</w:t>
            </w:r>
          </w:p>
        </w:tc>
        <w:tc>
          <w:tcPr>
            <w:tcW w:w="964" w:type="dxa"/>
            <w:tcBorders>
              <w:bottom w:val="single" w:sz="4" w:space="0" w:color="auto"/>
            </w:tcBorders>
          </w:tcPr>
          <w:p w14:paraId="20264CCE" w14:textId="77777777" w:rsidR="00115DFD" w:rsidRDefault="00115DFD" w:rsidP="00DB1A4E">
            <w:pPr>
              <w:pStyle w:val="UtilComTabletext"/>
              <w:jc w:val="right"/>
            </w:pPr>
            <w:r>
              <w:t>9.28</w:t>
            </w:r>
          </w:p>
        </w:tc>
        <w:tc>
          <w:tcPr>
            <w:tcW w:w="964" w:type="dxa"/>
            <w:tcBorders>
              <w:bottom w:val="single" w:sz="4" w:space="0" w:color="auto"/>
            </w:tcBorders>
          </w:tcPr>
          <w:p w14:paraId="785D3188" w14:textId="77777777" w:rsidR="00115DFD" w:rsidRDefault="00115DFD" w:rsidP="00DB1A4E">
            <w:pPr>
              <w:pStyle w:val="UtilComTabletext"/>
              <w:jc w:val="right"/>
            </w:pPr>
            <w:r>
              <w:t>10.25</w:t>
            </w:r>
          </w:p>
        </w:tc>
        <w:tc>
          <w:tcPr>
            <w:tcW w:w="964" w:type="dxa"/>
            <w:tcBorders>
              <w:bottom w:val="single" w:sz="4" w:space="0" w:color="auto"/>
            </w:tcBorders>
          </w:tcPr>
          <w:p w14:paraId="2A421F2D" w14:textId="77777777" w:rsidR="00115DFD" w:rsidRDefault="00115DFD" w:rsidP="00DB1A4E">
            <w:pPr>
              <w:pStyle w:val="UtilComTabletext"/>
              <w:jc w:val="right"/>
            </w:pPr>
            <w:r>
              <w:t>11.44</w:t>
            </w:r>
          </w:p>
        </w:tc>
        <w:tc>
          <w:tcPr>
            <w:tcW w:w="1021" w:type="dxa"/>
            <w:tcBorders>
              <w:bottom w:val="single" w:sz="4" w:space="0" w:color="auto"/>
            </w:tcBorders>
          </w:tcPr>
          <w:p w14:paraId="74499013" w14:textId="75877545" w:rsidR="00115DFD" w:rsidRDefault="00115DFD" w:rsidP="00DB1A4E">
            <w:pPr>
              <w:pStyle w:val="UtilComTabletext"/>
              <w:jc w:val="right"/>
            </w:pPr>
            <w:r>
              <w:t>46.47</w:t>
            </w:r>
          </w:p>
        </w:tc>
      </w:tr>
      <w:tr w:rsidR="00115DFD" w:rsidRPr="008A4655" w14:paraId="53B4559E" w14:textId="45292C07" w:rsidTr="00371524">
        <w:trPr>
          <w:cantSplit/>
          <w:trHeight w:val="360"/>
        </w:trPr>
        <w:tc>
          <w:tcPr>
            <w:tcW w:w="2410" w:type="dxa"/>
          </w:tcPr>
          <w:p w14:paraId="75F1FBC0" w14:textId="77777777" w:rsidR="00115DFD" w:rsidRDefault="00115DFD" w:rsidP="009E57A2">
            <w:pPr>
              <w:pStyle w:val="UtilComTabletext"/>
            </w:pPr>
            <w:r>
              <w:t>Total unsmoothed annual revenue requirement</w:t>
            </w:r>
          </w:p>
        </w:tc>
        <w:tc>
          <w:tcPr>
            <w:tcW w:w="964" w:type="dxa"/>
          </w:tcPr>
          <w:p w14:paraId="5F53E4C4" w14:textId="77777777" w:rsidR="00115DFD" w:rsidRPr="00DB64A7" w:rsidRDefault="00115DFD" w:rsidP="002C75A8">
            <w:pPr>
              <w:pStyle w:val="UtilComTabletext"/>
              <w:jc w:val="right"/>
            </w:pPr>
          </w:p>
        </w:tc>
        <w:tc>
          <w:tcPr>
            <w:tcW w:w="964" w:type="dxa"/>
          </w:tcPr>
          <w:p w14:paraId="307C2253" w14:textId="77777777" w:rsidR="00115DFD" w:rsidRDefault="00115DFD" w:rsidP="002C75A8">
            <w:pPr>
              <w:pStyle w:val="UtilComTabletext"/>
              <w:jc w:val="right"/>
            </w:pPr>
            <w:r>
              <w:t>230.59</w:t>
            </w:r>
          </w:p>
        </w:tc>
        <w:tc>
          <w:tcPr>
            <w:tcW w:w="964" w:type="dxa"/>
          </w:tcPr>
          <w:p w14:paraId="253D8BF1" w14:textId="77777777" w:rsidR="00115DFD" w:rsidRDefault="00115DFD" w:rsidP="002C75A8">
            <w:pPr>
              <w:pStyle w:val="UtilComTabletext"/>
              <w:jc w:val="right"/>
            </w:pPr>
            <w:r>
              <w:t>239.95</w:t>
            </w:r>
          </w:p>
        </w:tc>
        <w:tc>
          <w:tcPr>
            <w:tcW w:w="964" w:type="dxa"/>
          </w:tcPr>
          <w:p w14:paraId="452E6275" w14:textId="77777777" w:rsidR="00115DFD" w:rsidRDefault="00115DFD" w:rsidP="002C75A8">
            <w:pPr>
              <w:pStyle w:val="UtilComTabletext"/>
              <w:jc w:val="right"/>
            </w:pPr>
            <w:r>
              <w:t>245.44</w:t>
            </w:r>
          </w:p>
        </w:tc>
        <w:tc>
          <w:tcPr>
            <w:tcW w:w="964" w:type="dxa"/>
          </w:tcPr>
          <w:p w14:paraId="1F840E67" w14:textId="77777777" w:rsidR="00115DFD" w:rsidRDefault="00115DFD" w:rsidP="002C75A8">
            <w:pPr>
              <w:pStyle w:val="UtilComTabletext"/>
              <w:jc w:val="right"/>
            </w:pPr>
            <w:r>
              <w:t>253.03</w:t>
            </w:r>
          </w:p>
        </w:tc>
        <w:tc>
          <w:tcPr>
            <w:tcW w:w="964" w:type="dxa"/>
          </w:tcPr>
          <w:p w14:paraId="28294E7A" w14:textId="77777777" w:rsidR="00115DFD" w:rsidRDefault="00115DFD" w:rsidP="002C75A8">
            <w:pPr>
              <w:pStyle w:val="UtilComTabletext"/>
              <w:jc w:val="right"/>
            </w:pPr>
            <w:r>
              <w:t>261.19</w:t>
            </w:r>
          </w:p>
        </w:tc>
        <w:tc>
          <w:tcPr>
            <w:tcW w:w="1021" w:type="dxa"/>
          </w:tcPr>
          <w:p w14:paraId="578ADD70" w14:textId="68AAC10A" w:rsidR="00115DFD" w:rsidRDefault="00115DFD" w:rsidP="002C75A8">
            <w:pPr>
              <w:pStyle w:val="UtilComTabletext"/>
              <w:jc w:val="right"/>
            </w:pPr>
            <w:r>
              <w:t>1 230.20</w:t>
            </w:r>
          </w:p>
        </w:tc>
      </w:tr>
      <w:tr w:rsidR="00115DFD" w:rsidRPr="008A4655" w14:paraId="35E41D7C" w14:textId="055DE3D0" w:rsidTr="00371524">
        <w:trPr>
          <w:cantSplit/>
          <w:trHeight w:val="360"/>
        </w:trPr>
        <w:tc>
          <w:tcPr>
            <w:tcW w:w="2410" w:type="dxa"/>
            <w:tcBorders>
              <w:bottom w:val="single" w:sz="4" w:space="0" w:color="999999"/>
            </w:tcBorders>
          </w:tcPr>
          <w:p w14:paraId="48456A2F" w14:textId="77777777" w:rsidR="00115DFD" w:rsidRDefault="00115DFD" w:rsidP="00DB1A4E">
            <w:pPr>
              <w:pStyle w:val="UtilComTabletext"/>
            </w:pPr>
            <w:r>
              <w:t>Expected revenues (smoothed revenue)</w:t>
            </w:r>
          </w:p>
        </w:tc>
        <w:tc>
          <w:tcPr>
            <w:tcW w:w="964" w:type="dxa"/>
            <w:tcBorders>
              <w:bottom w:val="single" w:sz="4" w:space="0" w:color="999999"/>
            </w:tcBorders>
          </w:tcPr>
          <w:p w14:paraId="2A077A79" w14:textId="77777777" w:rsidR="00115DFD" w:rsidRDefault="00115DFD" w:rsidP="00DB1A4E">
            <w:pPr>
              <w:pStyle w:val="UtilComTabletext"/>
              <w:jc w:val="right"/>
            </w:pPr>
            <w:r>
              <w:t>142.01</w:t>
            </w:r>
          </w:p>
        </w:tc>
        <w:tc>
          <w:tcPr>
            <w:tcW w:w="964" w:type="dxa"/>
            <w:tcBorders>
              <w:bottom w:val="single" w:sz="4" w:space="0" w:color="999999"/>
            </w:tcBorders>
          </w:tcPr>
          <w:p w14:paraId="7BF22EEC" w14:textId="77777777" w:rsidR="00115DFD" w:rsidRPr="003C1833" w:rsidRDefault="00115DFD" w:rsidP="00A665C3">
            <w:pPr>
              <w:pStyle w:val="UtilComTabletext"/>
              <w:jc w:val="right"/>
            </w:pPr>
            <w:r w:rsidRPr="003C1833">
              <w:t xml:space="preserve"> 229.03 </w:t>
            </w:r>
          </w:p>
        </w:tc>
        <w:tc>
          <w:tcPr>
            <w:tcW w:w="964" w:type="dxa"/>
            <w:tcBorders>
              <w:bottom w:val="single" w:sz="4" w:space="0" w:color="999999"/>
            </w:tcBorders>
          </w:tcPr>
          <w:p w14:paraId="14FF1211" w14:textId="77777777" w:rsidR="00115DFD" w:rsidRPr="003C1833" w:rsidRDefault="00115DFD" w:rsidP="009E57A2">
            <w:pPr>
              <w:pStyle w:val="UtilComTabletext"/>
              <w:jc w:val="right"/>
            </w:pPr>
            <w:r w:rsidRPr="003C1833">
              <w:t xml:space="preserve">237.33 </w:t>
            </w:r>
          </w:p>
        </w:tc>
        <w:tc>
          <w:tcPr>
            <w:tcW w:w="964" w:type="dxa"/>
            <w:tcBorders>
              <w:bottom w:val="single" w:sz="4" w:space="0" w:color="999999"/>
            </w:tcBorders>
          </w:tcPr>
          <w:p w14:paraId="1864D318" w14:textId="77777777" w:rsidR="00115DFD" w:rsidRPr="003C1833" w:rsidRDefault="00115DFD" w:rsidP="009E57A2">
            <w:pPr>
              <w:pStyle w:val="UtilComTabletext"/>
              <w:jc w:val="right"/>
            </w:pPr>
            <w:r w:rsidRPr="003C1833">
              <w:t xml:space="preserve">245.94 </w:t>
            </w:r>
          </w:p>
        </w:tc>
        <w:tc>
          <w:tcPr>
            <w:tcW w:w="964" w:type="dxa"/>
            <w:tcBorders>
              <w:bottom w:val="single" w:sz="4" w:space="0" w:color="999999"/>
            </w:tcBorders>
          </w:tcPr>
          <w:p w14:paraId="6F030D0B" w14:textId="77777777" w:rsidR="00115DFD" w:rsidRPr="003C1833" w:rsidRDefault="00115DFD" w:rsidP="009E57A2">
            <w:pPr>
              <w:pStyle w:val="UtilComTabletext"/>
              <w:jc w:val="right"/>
            </w:pPr>
            <w:r w:rsidRPr="003C1833">
              <w:t xml:space="preserve">254.86 </w:t>
            </w:r>
          </w:p>
        </w:tc>
        <w:tc>
          <w:tcPr>
            <w:tcW w:w="964" w:type="dxa"/>
            <w:tcBorders>
              <w:bottom w:val="single" w:sz="4" w:space="0" w:color="999999"/>
            </w:tcBorders>
          </w:tcPr>
          <w:p w14:paraId="63184A37" w14:textId="77777777" w:rsidR="00115DFD" w:rsidRDefault="00115DFD" w:rsidP="009E57A2">
            <w:pPr>
              <w:pStyle w:val="UtilComTabletext"/>
              <w:jc w:val="right"/>
            </w:pPr>
            <w:r w:rsidRPr="003C1833">
              <w:t xml:space="preserve">264.10 </w:t>
            </w:r>
          </w:p>
        </w:tc>
        <w:tc>
          <w:tcPr>
            <w:tcW w:w="1021" w:type="dxa"/>
            <w:tcBorders>
              <w:bottom w:val="single" w:sz="4" w:space="0" w:color="999999"/>
            </w:tcBorders>
          </w:tcPr>
          <w:p w14:paraId="7DF95908" w14:textId="77777777" w:rsidR="00115DFD" w:rsidRPr="003C1833" w:rsidRDefault="00115DFD" w:rsidP="009E57A2">
            <w:pPr>
              <w:pStyle w:val="UtilComTabletext"/>
              <w:jc w:val="right"/>
            </w:pPr>
          </w:p>
        </w:tc>
      </w:tr>
      <w:tr w:rsidR="00115DFD" w:rsidRPr="008A4655" w14:paraId="41F15943" w14:textId="61D98A21" w:rsidTr="00371524">
        <w:trPr>
          <w:cantSplit/>
          <w:trHeight w:val="360"/>
        </w:trPr>
        <w:tc>
          <w:tcPr>
            <w:tcW w:w="2410" w:type="dxa"/>
            <w:tcBorders>
              <w:bottom w:val="single" w:sz="4" w:space="0" w:color="999999"/>
            </w:tcBorders>
          </w:tcPr>
          <w:p w14:paraId="0B4C0168" w14:textId="77777777" w:rsidR="00115DFD" w:rsidRDefault="00115DFD" w:rsidP="00DB1A4E">
            <w:pPr>
              <w:pStyle w:val="UtilComTabletext"/>
            </w:pPr>
            <w:r>
              <w:t>Forecast CPI (%)</w:t>
            </w:r>
          </w:p>
        </w:tc>
        <w:tc>
          <w:tcPr>
            <w:tcW w:w="964" w:type="dxa"/>
            <w:tcBorders>
              <w:bottom w:val="single" w:sz="4" w:space="0" w:color="999999"/>
            </w:tcBorders>
          </w:tcPr>
          <w:p w14:paraId="7DDEA0B5" w14:textId="77777777" w:rsidR="00115DFD" w:rsidRDefault="00115DFD" w:rsidP="00DB1A4E">
            <w:pPr>
              <w:pStyle w:val="UtilComTabletext"/>
              <w:jc w:val="right"/>
            </w:pPr>
          </w:p>
        </w:tc>
        <w:tc>
          <w:tcPr>
            <w:tcW w:w="964" w:type="dxa"/>
            <w:tcBorders>
              <w:bottom w:val="single" w:sz="4" w:space="0" w:color="999999"/>
            </w:tcBorders>
          </w:tcPr>
          <w:p w14:paraId="60C84D38" w14:textId="77777777" w:rsidR="00115DFD" w:rsidRDefault="00115DFD" w:rsidP="00DB1A4E">
            <w:pPr>
              <w:pStyle w:val="UtilComTabletext"/>
              <w:jc w:val="right"/>
            </w:pPr>
            <w:r>
              <w:t>2.60</w:t>
            </w:r>
          </w:p>
        </w:tc>
        <w:tc>
          <w:tcPr>
            <w:tcW w:w="964" w:type="dxa"/>
            <w:tcBorders>
              <w:bottom w:val="single" w:sz="4" w:space="0" w:color="999999"/>
            </w:tcBorders>
          </w:tcPr>
          <w:p w14:paraId="7F4734C8" w14:textId="77777777" w:rsidR="00115DFD" w:rsidRDefault="00115DFD" w:rsidP="00DB1A4E">
            <w:pPr>
              <w:pStyle w:val="UtilComTabletext"/>
              <w:jc w:val="right"/>
            </w:pPr>
            <w:r>
              <w:t>2.60</w:t>
            </w:r>
          </w:p>
        </w:tc>
        <w:tc>
          <w:tcPr>
            <w:tcW w:w="964" w:type="dxa"/>
            <w:tcBorders>
              <w:bottom w:val="single" w:sz="4" w:space="0" w:color="999999"/>
            </w:tcBorders>
          </w:tcPr>
          <w:p w14:paraId="69C0DBE2" w14:textId="77777777" w:rsidR="00115DFD" w:rsidRDefault="00115DFD" w:rsidP="00DB1A4E">
            <w:pPr>
              <w:pStyle w:val="UtilComTabletext"/>
              <w:jc w:val="right"/>
            </w:pPr>
            <w:r>
              <w:t>2.60</w:t>
            </w:r>
          </w:p>
        </w:tc>
        <w:tc>
          <w:tcPr>
            <w:tcW w:w="964" w:type="dxa"/>
            <w:tcBorders>
              <w:bottom w:val="single" w:sz="4" w:space="0" w:color="999999"/>
            </w:tcBorders>
          </w:tcPr>
          <w:p w14:paraId="26C05747" w14:textId="77777777" w:rsidR="00115DFD" w:rsidRDefault="00115DFD" w:rsidP="00DB1A4E">
            <w:pPr>
              <w:pStyle w:val="UtilComTabletext"/>
              <w:jc w:val="right"/>
            </w:pPr>
            <w:r>
              <w:t>2.60</w:t>
            </w:r>
          </w:p>
        </w:tc>
        <w:tc>
          <w:tcPr>
            <w:tcW w:w="964" w:type="dxa"/>
            <w:tcBorders>
              <w:bottom w:val="single" w:sz="4" w:space="0" w:color="999999"/>
            </w:tcBorders>
          </w:tcPr>
          <w:p w14:paraId="3BE10108" w14:textId="77777777" w:rsidR="00115DFD" w:rsidRDefault="00115DFD" w:rsidP="00DB1A4E">
            <w:pPr>
              <w:pStyle w:val="UtilComTabletext"/>
              <w:jc w:val="right"/>
            </w:pPr>
            <w:r>
              <w:t>2.60</w:t>
            </w:r>
          </w:p>
        </w:tc>
        <w:tc>
          <w:tcPr>
            <w:tcW w:w="1021" w:type="dxa"/>
            <w:tcBorders>
              <w:bottom w:val="single" w:sz="4" w:space="0" w:color="999999"/>
            </w:tcBorders>
          </w:tcPr>
          <w:p w14:paraId="71950859" w14:textId="77777777" w:rsidR="00115DFD" w:rsidRDefault="00115DFD" w:rsidP="00DB1A4E">
            <w:pPr>
              <w:pStyle w:val="UtilComTabletext"/>
              <w:jc w:val="right"/>
            </w:pPr>
          </w:p>
        </w:tc>
      </w:tr>
      <w:tr w:rsidR="00115DFD" w:rsidRPr="007C4959" w14:paraId="74BE3B4B" w14:textId="7D6E41E7" w:rsidTr="00371524">
        <w:trPr>
          <w:cantSplit/>
          <w:trHeight w:val="360"/>
        </w:trPr>
        <w:tc>
          <w:tcPr>
            <w:tcW w:w="2410" w:type="dxa"/>
          </w:tcPr>
          <w:p w14:paraId="62FA3282" w14:textId="77777777" w:rsidR="00115DFD" w:rsidRPr="007C4959" w:rsidRDefault="00115DFD" w:rsidP="00DB1A4E">
            <w:pPr>
              <w:pStyle w:val="UtilComTabletext"/>
              <w:rPr>
                <w:b/>
              </w:rPr>
            </w:pPr>
            <w:r w:rsidRPr="007C4959">
              <w:rPr>
                <w:b/>
              </w:rPr>
              <w:t xml:space="preserve">X factors (%) </w:t>
            </w:r>
            <w:r w:rsidRPr="007C4959">
              <w:rPr>
                <w:b/>
                <w:vertAlign w:val="superscript"/>
              </w:rPr>
              <w:t>(a)</w:t>
            </w:r>
          </w:p>
        </w:tc>
        <w:tc>
          <w:tcPr>
            <w:tcW w:w="964" w:type="dxa"/>
          </w:tcPr>
          <w:p w14:paraId="337096E5" w14:textId="77777777" w:rsidR="00115DFD" w:rsidRPr="007C4959" w:rsidRDefault="00115DFD" w:rsidP="00DB1A4E">
            <w:pPr>
              <w:pStyle w:val="UtilComTabletext"/>
              <w:jc w:val="right"/>
              <w:rPr>
                <w:b/>
              </w:rPr>
            </w:pPr>
          </w:p>
        </w:tc>
        <w:tc>
          <w:tcPr>
            <w:tcW w:w="964" w:type="dxa"/>
          </w:tcPr>
          <w:p w14:paraId="015997BA" w14:textId="77777777" w:rsidR="00115DFD" w:rsidRPr="007C4959" w:rsidRDefault="00115DFD" w:rsidP="001952ED">
            <w:pPr>
              <w:pStyle w:val="UtilComTabletext"/>
              <w:jc w:val="right"/>
              <w:rPr>
                <w:b/>
              </w:rPr>
            </w:pPr>
            <w:r w:rsidRPr="007C4959">
              <w:rPr>
                <w:b/>
              </w:rPr>
              <w:t>-</w:t>
            </w:r>
            <w:r>
              <w:rPr>
                <w:b/>
              </w:rPr>
              <w:t xml:space="preserve"> </w:t>
            </w:r>
            <w:r w:rsidRPr="007C4959">
              <w:rPr>
                <w:b/>
              </w:rPr>
              <w:t>5</w:t>
            </w:r>
            <w:r>
              <w:rPr>
                <w:b/>
              </w:rPr>
              <w:t>7</w:t>
            </w:r>
            <w:r w:rsidRPr="007C4959">
              <w:rPr>
                <w:b/>
              </w:rPr>
              <w:t>.20</w:t>
            </w:r>
          </w:p>
        </w:tc>
        <w:tc>
          <w:tcPr>
            <w:tcW w:w="964" w:type="dxa"/>
          </w:tcPr>
          <w:p w14:paraId="651E6773" w14:textId="77777777" w:rsidR="00115DFD" w:rsidRPr="007C4959" w:rsidRDefault="00115DFD" w:rsidP="00DB1A4E">
            <w:pPr>
              <w:pStyle w:val="UtilComTabletext"/>
              <w:jc w:val="right"/>
              <w:rPr>
                <w:b/>
              </w:rPr>
            </w:pPr>
            <w:r w:rsidRPr="007C4959">
              <w:rPr>
                <w:b/>
              </w:rPr>
              <w:t>-</w:t>
            </w:r>
            <w:r>
              <w:rPr>
                <w:b/>
              </w:rPr>
              <w:t xml:space="preserve"> </w:t>
            </w:r>
            <w:r w:rsidRPr="007C4959">
              <w:rPr>
                <w:b/>
              </w:rPr>
              <w:t>1.00</w:t>
            </w:r>
          </w:p>
        </w:tc>
        <w:tc>
          <w:tcPr>
            <w:tcW w:w="964" w:type="dxa"/>
          </w:tcPr>
          <w:p w14:paraId="5A739F69" w14:textId="77777777" w:rsidR="00115DFD" w:rsidRPr="007C4959" w:rsidRDefault="00115DFD" w:rsidP="00DB1A4E">
            <w:pPr>
              <w:pStyle w:val="UtilComTabletext"/>
              <w:jc w:val="right"/>
              <w:rPr>
                <w:b/>
              </w:rPr>
            </w:pPr>
            <w:r w:rsidRPr="007C4959">
              <w:rPr>
                <w:b/>
              </w:rPr>
              <w:t>-</w:t>
            </w:r>
            <w:r>
              <w:rPr>
                <w:b/>
              </w:rPr>
              <w:t xml:space="preserve"> </w:t>
            </w:r>
            <w:r w:rsidRPr="007C4959">
              <w:rPr>
                <w:b/>
              </w:rPr>
              <w:t>1.00</w:t>
            </w:r>
          </w:p>
        </w:tc>
        <w:tc>
          <w:tcPr>
            <w:tcW w:w="964" w:type="dxa"/>
          </w:tcPr>
          <w:p w14:paraId="20B77562" w14:textId="77777777" w:rsidR="00115DFD" w:rsidRPr="007C4959" w:rsidRDefault="00115DFD" w:rsidP="00DB1A4E">
            <w:pPr>
              <w:pStyle w:val="UtilComTabletext"/>
              <w:jc w:val="right"/>
              <w:rPr>
                <w:b/>
              </w:rPr>
            </w:pPr>
            <w:r w:rsidRPr="007C4959">
              <w:rPr>
                <w:b/>
              </w:rPr>
              <w:t>-</w:t>
            </w:r>
            <w:r>
              <w:rPr>
                <w:b/>
              </w:rPr>
              <w:t xml:space="preserve"> </w:t>
            </w:r>
            <w:r w:rsidRPr="007C4959">
              <w:rPr>
                <w:b/>
              </w:rPr>
              <w:t>1.00</w:t>
            </w:r>
          </w:p>
        </w:tc>
        <w:tc>
          <w:tcPr>
            <w:tcW w:w="964" w:type="dxa"/>
          </w:tcPr>
          <w:p w14:paraId="391EFC34" w14:textId="77777777" w:rsidR="00115DFD" w:rsidRPr="007C4959" w:rsidRDefault="00115DFD" w:rsidP="00DB1A4E">
            <w:pPr>
              <w:pStyle w:val="UtilComTabletext"/>
              <w:jc w:val="right"/>
              <w:rPr>
                <w:b/>
              </w:rPr>
            </w:pPr>
            <w:r w:rsidRPr="007C4959">
              <w:rPr>
                <w:b/>
              </w:rPr>
              <w:t>-</w:t>
            </w:r>
            <w:r>
              <w:rPr>
                <w:b/>
              </w:rPr>
              <w:t xml:space="preserve"> </w:t>
            </w:r>
            <w:r w:rsidRPr="007C4959">
              <w:rPr>
                <w:b/>
              </w:rPr>
              <w:t>1.00</w:t>
            </w:r>
          </w:p>
        </w:tc>
        <w:tc>
          <w:tcPr>
            <w:tcW w:w="1021" w:type="dxa"/>
          </w:tcPr>
          <w:p w14:paraId="09E339A0" w14:textId="77777777" w:rsidR="00115DFD" w:rsidRPr="007C4959" w:rsidRDefault="00115DFD" w:rsidP="00DB1A4E">
            <w:pPr>
              <w:pStyle w:val="UtilComTabletext"/>
              <w:jc w:val="right"/>
              <w:rPr>
                <w:b/>
              </w:rPr>
            </w:pPr>
          </w:p>
        </w:tc>
      </w:tr>
    </w:tbl>
    <w:p w14:paraId="40F5955F" w14:textId="1E88123F" w:rsidR="006A402B" w:rsidRDefault="006A402B" w:rsidP="00AB1661">
      <w:pPr>
        <w:pStyle w:val="UtilComReferenceSource"/>
        <w:rPr>
          <w:lang w:val="en-AU"/>
        </w:rPr>
      </w:pPr>
      <w:r>
        <w:rPr>
          <w:lang w:val="en-AU"/>
        </w:rPr>
        <w:t>Source: PWC Networks</w:t>
      </w:r>
      <w:r w:rsidR="00115DFD">
        <w:rPr>
          <w:lang w:val="en-AU"/>
        </w:rPr>
        <w:t>’ initial regulatory proposal</w:t>
      </w:r>
      <w:r>
        <w:rPr>
          <w:lang w:val="en-AU"/>
        </w:rPr>
        <w:t xml:space="preserve">, NTRM (ODRC) </w:t>
      </w:r>
      <w:r w:rsidR="00AB1661">
        <w:rPr>
          <w:lang w:val="en-AU"/>
        </w:rPr>
        <w:br/>
      </w:r>
      <w:r w:rsidR="00AB1661" w:rsidRPr="00AB1661">
        <w:rPr>
          <w:rFonts w:cs="Arial"/>
          <w:vertAlign w:val="superscript"/>
          <w:lang w:val="en-AU"/>
        </w:rPr>
        <w:t>(a)</w:t>
      </w:r>
      <w:r w:rsidR="00AB1661">
        <w:rPr>
          <w:lang w:val="en-AU"/>
        </w:rPr>
        <w:t xml:space="preserve"> </w:t>
      </w:r>
      <w:r w:rsidR="004A7FDA" w:rsidRPr="004A7FDA">
        <w:rPr>
          <w:lang w:val="en-AU"/>
        </w:rPr>
        <w:t>Negative values for X indicate real revenue increases under the CPI</w:t>
      </w:r>
      <w:r w:rsidR="006C5C1F">
        <w:rPr>
          <w:lang w:val="en-AU"/>
        </w:rPr>
        <w:t xml:space="preserve"> minus </w:t>
      </w:r>
      <w:r w:rsidR="004A7FDA" w:rsidRPr="004A7FDA">
        <w:rPr>
          <w:lang w:val="en-AU"/>
        </w:rPr>
        <w:t>X formula.</w:t>
      </w:r>
    </w:p>
    <w:p w14:paraId="732253B6" w14:textId="65DFD79E" w:rsidR="00403E9D" w:rsidRDefault="004A7FDA" w:rsidP="00E32188">
      <w:pPr>
        <w:pStyle w:val="NumberLevel2"/>
        <w:numPr>
          <w:ilvl w:val="1"/>
          <w:numId w:val="5"/>
        </w:numPr>
        <w:ind w:left="709" w:hanging="709"/>
        <w:rPr>
          <w:lang w:val="en-AU"/>
        </w:rPr>
      </w:pPr>
      <w:r>
        <w:rPr>
          <w:lang w:val="en-AU"/>
        </w:rPr>
        <w:t>PWC Networks</w:t>
      </w:r>
      <w:r w:rsidRPr="004A7FDA">
        <w:rPr>
          <w:lang w:val="en-AU"/>
        </w:rPr>
        <w:t xml:space="preserve"> proposed an X factor of </w:t>
      </w:r>
      <w:r w:rsidR="00C05748">
        <w:rPr>
          <w:lang w:val="en-AU"/>
        </w:rPr>
        <w:t>-</w:t>
      </w:r>
      <w:r>
        <w:rPr>
          <w:lang w:val="en-AU"/>
        </w:rPr>
        <w:t>57</w:t>
      </w:r>
      <w:r w:rsidRPr="004A7FDA">
        <w:rPr>
          <w:lang w:val="en-AU"/>
        </w:rPr>
        <w:t>.</w:t>
      </w:r>
      <w:r>
        <w:rPr>
          <w:lang w:val="en-AU"/>
        </w:rPr>
        <w:t>20</w:t>
      </w:r>
      <w:r w:rsidRPr="004A7FDA">
        <w:rPr>
          <w:lang w:val="en-AU"/>
        </w:rPr>
        <w:t xml:space="preserve"> per cent (that is, a real increase) for the first </w:t>
      </w:r>
      <w:r w:rsidR="006C5C1F">
        <w:rPr>
          <w:lang w:val="en-AU"/>
        </w:rPr>
        <w:t xml:space="preserve">regulatory </w:t>
      </w:r>
      <w:r w:rsidRPr="004A7FDA">
        <w:rPr>
          <w:lang w:val="en-AU"/>
        </w:rPr>
        <w:t xml:space="preserve">year of the </w:t>
      </w:r>
      <w:r w:rsidR="007669D5">
        <w:rPr>
          <w:lang w:val="en-AU"/>
        </w:rPr>
        <w:t>2014-19</w:t>
      </w:r>
      <w:r w:rsidR="007669D5" w:rsidRPr="004A7FDA">
        <w:rPr>
          <w:lang w:val="en-AU"/>
        </w:rPr>
        <w:t xml:space="preserve"> </w:t>
      </w:r>
      <w:r w:rsidRPr="004A7FDA">
        <w:rPr>
          <w:lang w:val="en-AU"/>
        </w:rPr>
        <w:t xml:space="preserve">regulatory control period to account for the increase in </w:t>
      </w:r>
      <w:r w:rsidR="006C5C1F">
        <w:rPr>
          <w:lang w:val="en-AU"/>
        </w:rPr>
        <w:t xml:space="preserve">the annual </w:t>
      </w:r>
      <w:r w:rsidRPr="004A7FDA">
        <w:rPr>
          <w:lang w:val="en-AU"/>
        </w:rPr>
        <w:t xml:space="preserve">revenue requirement between </w:t>
      </w:r>
      <w:r w:rsidR="00B1237C">
        <w:rPr>
          <w:lang w:val="en-AU"/>
        </w:rPr>
        <w:t xml:space="preserve">the </w:t>
      </w:r>
      <w:r w:rsidRPr="004A7FDA">
        <w:rPr>
          <w:lang w:val="en-AU"/>
        </w:rPr>
        <w:t>20</w:t>
      </w:r>
      <w:r>
        <w:rPr>
          <w:lang w:val="en-AU"/>
        </w:rPr>
        <w:t>13</w:t>
      </w:r>
      <w:r w:rsidR="006C5C1F">
        <w:rPr>
          <w:lang w:val="en-AU"/>
        </w:rPr>
        <w:noBreakHyphen/>
      </w:r>
      <w:r w:rsidRPr="004A7FDA">
        <w:rPr>
          <w:lang w:val="en-AU"/>
        </w:rPr>
        <w:t>1</w:t>
      </w:r>
      <w:r>
        <w:rPr>
          <w:lang w:val="en-AU"/>
        </w:rPr>
        <w:t>4</w:t>
      </w:r>
      <w:r w:rsidRPr="004A7FDA">
        <w:rPr>
          <w:lang w:val="en-AU"/>
        </w:rPr>
        <w:t xml:space="preserve"> and 201</w:t>
      </w:r>
      <w:r>
        <w:rPr>
          <w:lang w:val="en-AU"/>
        </w:rPr>
        <w:t>4</w:t>
      </w:r>
      <w:r w:rsidR="00C05748">
        <w:rPr>
          <w:lang w:val="en-AU"/>
        </w:rPr>
        <w:t>-</w:t>
      </w:r>
      <w:r w:rsidRPr="004A7FDA">
        <w:rPr>
          <w:lang w:val="en-AU"/>
        </w:rPr>
        <w:t>1</w:t>
      </w:r>
      <w:r>
        <w:rPr>
          <w:lang w:val="en-AU"/>
        </w:rPr>
        <w:t>5</w:t>
      </w:r>
      <w:r w:rsidR="006C5C1F">
        <w:rPr>
          <w:lang w:val="en-AU"/>
        </w:rPr>
        <w:t xml:space="preserve"> regulatory year</w:t>
      </w:r>
      <w:r w:rsidR="00B1237C">
        <w:rPr>
          <w:lang w:val="en-AU"/>
        </w:rPr>
        <w:t>s</w:t>
      </w:r>
      <w:r w:rsidRPr="004A7FDA">
        <w:rPr>
          <w:lang w:val="en-AU"/>
        </w:rPr>
        <w:t>. It proposed an X factor of</w:t>
      </w:r>
      <w:r w:rsidR="006C5C1F">
        <w:rPr>
          <w:lang w:val="en-AU"/>
        </w:rPr>
        <w:t xml:space="preserve"> -1.00</w:t>
      </w:r>
      <w:r w:rsidR="00C05748">
        <w:rPr>
          <w:lang w:val="en-AU"/>
        </w:rPr>
        <w:t xml:space="preserve"> </w:t>
      </w:r>
      <w:r w:rsidR="006C5C1F" w:rsidRPr="004A7FDA">
        <w:rPr>
          <w:lang w:val="en-AU"/>
        </w:rPr>
        <w:t>per</w:t>
      </w:r>
      <w:r w:rsidR="006C5C1F">
        <w:rPr>
          <w:lang w:val="en-AU"/>
        </w:rPr>
        <w:t> </w:t>
      </w:r>
      <w:r w:rsidRPr="004A7FDA">
        <w:rPr>
          <w:lang w:val="en-AU"/>
        </w:rPr>
        <w:t xml:space="preserve">cent for </w:t>
      </w:r>
      <w:r w:rsidR="00B1237C">
        <w:rPr>
          <w:lang w:val="en-AU"/>
        </w:rPr>
        <w:t xml:space="preserve">the </w:t>
      </w:r>
      <w:r w:rsidRPr="004A7FDA">
        <w:rPr>
          <w:lang w:val="en-AU"/>
        </w:rPr>
        <w:t>201</w:t>
      </w:r>
      <w:r>
        <w:rPr>
          <w:lang w:val="en-AU"/>
        </w:rPr>
        <w:t>5</w:t>
      </w:r>
      <w:r w:rsidR="00C05748">
        <w:rPr>
          <w:lang w:val="en-AU"/>
        </w:rPr>
        <w:t>-</w:t>
      </w:r>
      <w:r w:rsidRPr="004A7FDA">
        <w:rPr>
          <w:lang w:val="en-AU"/>
        </w:rPr>
        <w:t>1</w:t>
      </w:r>
      <w:r>
        <w:rPr>
          <w:lang w:val="en-AU"/>
        </w:rPr>
        <w:t>6</w:t>
      </w:r>
      <w:r w:rsidRPr="004A7FDA">
        <w:rPr>
          <w:lang w:val="en-AU"/>
        </w:rPr>
        <w:t xml:space="preserve"> to 201</w:t>
      </w:r>
      <w:r>
        <w:rPr>
          <w:lang w:val="en-AU"/>
        </w:rPr>
        <w:t>8</w:t>
      </w:r>
      <w:r w:rsidR="00C05748">
        <w:rPr>
          <w:lang w:val="en-AU"/>
        </w:rPr>
        <w:t>-</w:t>
      </w:r>
      <w:r w:rsidRPr="004A7FDA">
        <w:rPr>
          <w:lang w:val="en-AU"/>
        </w:rPr>
        <w:t>1</w:t>
      </w:r>
      <w:r>
        <w:rPr>
          <w:lang w:val="en-AU"/>
        </w:rPr>
        <w:t>9</w:t>
      </w:r>
      <w:r w:rsidR="00B1237C">
        <w:rPr>
          <w:lang w:val="en-AU"/>
        </w:rPr>
        <w:t xml:space="preserve"> regulatory </w:t>
      </w:r>
      <w:r w:rsidR="00B1237C" w:rsidRPr="004A7FDA">
        <w:rPr>
          <w:lang w:val="en-AU"/>
        </w:rPr>
        <w:t>years</w:t>
      </w:r>
      <w:r w:rsidRPr="004A7FDA">
        <w:rPr>
          <w:lang w:val="en-AU"/>
        </w:rPr>
        <w:t xml:space="preserve">. </w:t>
      </w:r>
    </w:p>
    <w:p w14:paraId="06F25D4A" w14:textId="231E8391" w:rsidR="004A7FDA" w:rsidRDefault="00403E9D" w:rsidP="00E32188">
      <w:pPr>
        <w:pStyle w:val="NumberLevel2"/>
        <w:numPr>
          <w:ilvl w:val="1"/>
          <w:numId w:val="5"/>
        </w:numPr>
        <w:ind w:left="709" w:hanging="709"/>
        <w:rPr>
          <w:lang w:val="en-AU"/>
        </w:rPr>
      </w:pPr>
      <w:r>
        <w:rPr>
          <w:lang w:val="en-AU"/>
        </w:rPr>
        <w:t xml:space="preserve">As required under the NER, </w:t>
      </w:r>
      <w:r w:rsidR="004A7FDA" w:rsidRPr="004A7FDA">
        <w:rPr>
          <w:lang w:val="en-AU"/>
        </w:rPr>
        <w:t xml:space="preserve">the annual revenue requirements and expected revenues </w:t>
      </w:r>
      <w:r>
        <w:rPr>
          <w:lang w:val="en-AU"/>
        </w:rPr>
        <w:t xml:space="preserve">are </w:t>
      </w:r>
      <w:r w:rsidRPr="00403E9D">
        <w:rPr>
          <w:lang w:val="en-AU"/>
        </w:rPr>
        <w:t>equalise</w:t>
      </w:r>
      <w:r>
        <w:rPr>
          <w:lang w:val="en-AU"/>
        </w:rPr>
        <w:t>d</w:t>
      </w:r>
      <w:r w:rsidRPr="00403E9D">
        <w:rPr>
          <w:lang w:val="en-AU"/>
        </w:rPr>
        <w:t xml:space="preserve"> in NPV terms</w:t>
      </w:r>
      <w:r>
        <w:rPr>
          <w:lang w:val="en-AU"/>
        </w:rPr>
        <w:t>,</w:t>
      </w:r>
      <w:r w:rsidRPr="004A7FDA">
        <w:rPr>
          <w:lang w:val="en-AU"/>
        </w:rPr>
        <w:t xml:space="preserve"> </w:t>
      </w:r>
      <w:r>
        <w:rPr>
          <w:lang w:val="en-AU"/>
        </w:rPr>
        <w:t xml:space="preserve">and the </w:t>
      </w:r>
      <w:r w:rsidRPr="00403E9D">
        <w:rPr>
          <w:lang w:val="en-AU"/>
        </w:rPr>
        <w:t xml:space="preserve">difference between the annual revenue requirement and expected revenue in the final </w:t>
      </w:r>
      <w:r w:rsidR="006C5C1F">
        <w:rPr>
          <w:lang w:val="en-AU"/>
        </w:rPr>
        <w:t xml:space="preserve">regulatory </w:t>
      </w:r>
      <w:r w:rsidRPr="00403E9D">
        <w:rPr>
          <w:lang w:val="en-AU"/>
        </w:rPr>
        <w:t>year of the regulatory control period</w:t>
      </w:r>
      <w:r>
        <w:rPr>
          <w:lang w:val="en-AU"/>
        </w:rPr>
        <w:t xml:space="preserve"> is 1.12 per cent,</w:t>
      </w:r>
      <w:r w:rsidRPr="004A7FDA" w:rsidDel="00403E9D">
        <w:rPr>
          <w:lang w:val="en-AU"/>
        </w:rPr>
        <w:t xml:space="preserve"> </w:t>
      </w:r>
      <w:r w:rsidR="004A7FDA" w:rsidRPr="004A7FDA">
        <w:rPr>
          <w:lang w:val="en-AU"/>
        </w:rPr>
        <w:t xml:space="preserve">as shown in </w:t>
      </w:r>
      <w:r w:rsidR="00485AF0">
        <w:rPr>
          <w:lang w:val="en-AU"/>
        </w:rPr>
        <w:t>T</w:t>
      </w:r>
      <w:r w:rsidR="00485AF0" w:rsidRPr="004A7FDA">
        <w:rPr>
          <w:lang w:val="en-AU"/>
        </w:rPr>
        <w:t xml:space="preserve">able </w:t>
      </w:r>
      <w:r w:rsidR="00036DA7" w:rsidRPr="004A7FDA">
        <w:rPr>
          <w:lang w:val="en-AU"/>
        </w:rPr>
        <w:t>1</w:t>
      </w:r>
      <w:r w:rsidR="00036DA7">
        <w:rPr>
          <w:lang w:val="en-AU"/>
        </w:rPr>
        <w:t>4</w:t>
      </w:r>
      <w:r w:rsidR="004A7FDA" w:rsidRPr="004A7FDA">
        <w:rPr>
          <w:lang w:val="en-AU"/>
        </w:rPr>
        <w:t>.</w:t>
      </w:r>
      <w:r w:rsidR="00DB3B01">
        <w:rPr>
          <w:lang w:val="en-AU"/>
        </w:rPr>
        <w:t>4</w:t>
      </w:r>
      <w:r w:rsidR="004A7FDA" w:rsidRPr="004A7FDA">
        <w:rPr>
          <w:lang w:val="en-AU"/>
        </w:rPr>
        <w:t>.</w:t>
      </w:r>
    </w:p>
    <w:p w14:paraId="1AF19037" w14:textId="26D4E50A" w:rsidR="004A7FDA" w:rsidRPr="00A139AD" w:rsidRDefault="004A7FDA" w:rsidP="00485AF0">
      <w:pPr>
        <w:pStyle w:val="UtilComTableTitle"/>
        <w:keepNext/>
        <w:spacing w:before="120" w:after="0" w:line="240" w:lineRule="exact"/>
      </w:pPr>
      <w:r>
        <w:t xml:space="preserve">Table </w:t>
      </w:r>
      <w:r w:rsidR="00036DA7">
        <w:t>14</w:t>
      </w:r>
      <w:r>
        <w:t>.</w:t>
      </w:r>
      <w:r w:rsidR="001952ED">
        <w:t>4</w:t>
      </w:r>
      <w:r>
        <w:t>: PWC Networks</w:t>
      </w:r>
      <w:r w:rsidR="00B1237C">
        <w:t>’</w:t>
      </w:r>
      <w:r>
        <w:t xml:space="preserve"> </w:t>
      </w:r>
      <w:r w:rsidRPr="006A402B">
        <w:t xml:space="preserve">proposed annual revenue requirements and </w:t>
      </w:r>
      <w:r w:rsidR="0084241D">
        <w:t>expected revenue</w:t>
      </w:r>
      <w:r w:rsidR="006E7DB8">
        <w:t>, including cost pass through carryover</w:t>
      </w:r>
      <w:r w:rsidRPr="006A402B">
        <w:t xml:space="preserve"> ($</w:t>
      </w:r>
      <w:r w:rsidR="00145AAB">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10"/>
        <w:gridCol w:w="1134"/>
        <w:gridCol w:w="1134"/>
        <w:gridCol w:w="1134"/>
        <w:gridCol w:w="1134"/>
        <w:gridCol w:w="1134"/>
        <w:gridCol w:w="1134"/>
      </w:tblGrid>
      <w:tr w:rsidR="004A7FDA" w:rsidRPr="008A4655" w14:paraId="140C5DC7" w14:textId="77777777" w:rsidTr="00AF6E6D">
        <w:trPr>
          <w:cantSplit/>
          <w:trHeight w:val="360"/>
        </w:trPr>
        <w:tc>
          <w:tcPr>
            <w:tcW w:w="2410" w:type="dxa"/>
            <w:tcBorders>
              <w:top w:val="single" w:sz="4" w:space="0" w:color="999999"/>
              <w:bottom w:val="single" w:sz="4" w:space="0" w:color="auto"/>
            </w:tcBorders>
          </w:tcPr>
          <w:p w14:paraId="40364787" w14:textId="77777777" w:rsidR="004A7FDA" w:rsidRPr="00EE5A08" w:rsidRDefault="004A7FDA" w:rsidP="002C75A8">
            <w:pPr>
              <w:pStyle w:val="UtilComTabletext"/>
              <w:rPr>
                <w:b/>
              </w:rPr>
            </w:pPr>
          </w:p>
        </w:tc>
        <w:tc>
          <w:tcPr>
            <w:tcW w:w="1134" w:type="dxa"/>
            <w:tcBorders>
              <w:top w:val="single" w:sz="4" w:space="0" w:color="999999"/>
              <w:bottom w:val="single" w:sz="4" w:space="0" w:color="auto"/>
            </w:tcBorders>
          </w:tcPr>
          <w:p w14:paraId="7D62CCB2" w14:textId="77777777" w:rsidR="004A7FDA" w:rsidRPr="00EE5A08" w:rsidRDefault="0098191B" w:rsidP="00AF6E6D">
            <w:pPr>
              <w:pStyle w:val="UtilComTabletext"/>
              <w:jc w:val="right"/>
              <w:rPr>
                <w:b/>
              </w:rPr>
            </w:pPr>
            <w:r>
              <w:rPr>
                <w:b/>
              </w:rPr>
              <w:t>NPV</w:t>
            </w:r>
          </w:p>
        </w:tc>
        <w:tc>
          <w:tcPr>
            <w:tcW w:w="1134" w:type="dxa"/>
            <w:tcBorders>
              <w:top w:val="single" w:sz="4" w:space="0" w:color="999999"/>
              <w:bottom w:val="single" w:sz="4" w:space="0" w:color="auto"/>
            </w:tcBorders>
          </w:tcPr>
          <w:p w14:paraId="5253D3E1" w14:textId="77777777" w:rsidR="004A7FDA" w:rsidRPr="00EE5A08" w:rsidRDefault="004A7FDA" w:rsidP="00AF6E6D">
            <w:pPr>
              <w:pStyle w:val="UtilComTabletext"/>
              <w:jc w:val="right"/>
              <w:rPr>
                <w:b/>
              </w:rPr>
            </w:pPr>
            <w:r>
              <w:rPr>
                <w:b/>
              </w:rPr>
              <w:t>2014-15</w:t>
            </w:r>
          </w:p>
        </w:tc>
        <w:tc>
          <w:tcPr>
            <w:tcW w:w="1134" w:type="dxa"/>
            <w:tcBorders>
              <w:top w:val="single" w:sz="4" w:space="0" w:color="999999"/>
              <w:bottom w:val="single" w:sz="4" w:space="0" w:color="auto"/>
            </w:tcBorders>
          </w:tcPr>
          <w:p w14:paraId="74F44B4E" w14:textId="77777777" w:rsidR="004A7FDA" w:rsidRPr="00EE5A08" w:rsidRDefault="004A7FDA" w:rsidP="00AF6E6D">
            <w:pPr>
              <w:pStyle w:val="UtilComTabletext"/>
              <w:jc w:val="right"/>
              <w:rPr>
                <w:b/>
              </w:rPr>
            </w:pPr>
            <w:r>
              <w:rPr>
                <w:b/>
              </w:rPr>
              <w:t>2015-16</w:t>
            </w:r>
          </w:p>
        </w:tc>
        <w:tc>
          <w:tcPr>
            <w:tcW w:w="1134" w:type="dxa"/>
            <w:tcBorders>
              <w:top w:val="single" w:sz="4" w:space="0" w:color="999999"/>
              <w:bottom w:val="single" w:sz="4" w:space="0" w:color="auto"/>
            </w:tcBorders>
          </w:tcPr>
          <w:p w14:paraId="5AF9F71B" w14:textId="77777777" w:rsidR="004A7FDA" w:rsidRDefault="004A7FDA" w:rsidP="00AF6E6D">
            <w:pPr>
              <w:pStyle w:val="UtilComTabletext"/>
              <w:jc w:val="right"/>
              <w:rPr>
                <w:b/>
              </w:rPr>
            </w:pPr>
            <w:r>
              <w:rPr>
                <w:b/>
              </w:rPr>
              <w:t>2016-17</w:t>
            </w:r>
          </w:p>
        </w:tc>
        <w:tc>
          <w:tcPr>
            <w:tcW w:w="1134" w:type="dxa"/>
            <w:tcBorders>
              <w:top w:val="single" w:sz="4" w:space="0" w:color="999999"/>
              <w:bottom w:val="single" w:sz="4" w:space="0" w:color="auto"/>
            </w:tcBorders>
          </w:tcPr>
          <w:p w14:paraId="4289A5BE" w14:textId="77777777" w:rsidR="004A7FDA" w:rsidRDefault="004A7FDA" w:rsidP="00AF6E6D">
            <w:pPr>
              <w:pStyle w:val="UtilComTabletext"/>
              <w:jc w:val="right"/>
              <w:rPr>
                <w:b/>
              </w:rPr>
            </w:pPr>
            <w:r>
              <w:rPr>
                <w:b/>
              </w:rPr>
              <w:t>2017-18</w:t>
            </w:r>
          </w:p>
        </w:tc>
        <w:tc>
          <w:tcPr>
            <w:tcW w:w="1134" w:type="dxa"/>
            <w:tcBorders>
              <w:top w:val="single" w:sz="4" w:space="0" w:color="999999"/>
              <w:bottom w:val="single" w:sz="4" w:space="0" w:color="auto"/>
            </w:tcBorders>
          </w:tcPr>
          <w:p w14:paraId="35A8492F" w14:textId="77777777" w:rsidR="004A7FDA" w:rsidRPr="00EE5A08" w:rsidRDefault="004A7FDA" w:rsidP="00AF6E6D">
            <w:pPr>
              <w:pStyle w:val="UtilComTabletext"/>
              <w:jc w:val="right"/>
              <w:rPr>
                <w:b/>
              </w:rPr>
            </w:pPr>
            <w:r>
              <w:rPr>
                <w:b/>
              </w:rPr>
              <w:t>2018-19</w:t>
            </w:r>
          </w:p>
        </w:tc>
      </w:tr>
      <w:tr w:rsidR="004A7FDA" w:rsidRPr="008A4655" w14:paraId="40C76557" w14:textId="77777777" w:rsidTr="00AF6E6D">
        <w:trPr>
          <w:cantSplit/>
          <w:trHeight w:val="360"/>
        </w:trPr>
        <w:tc>
          <w:tcPr>
            <w:tcW w:w="2410" w:type="dxa"/>
            <w:tcBorders>
              <w:top w:val="single" w:sz="4" w:space="0" w:color="auto"/>
              <w:bottom w:val="single" w:sz="4" w:space="0" w:color="999999"/>
            </w:tcBorders>
          </w:tcPr>
          <w:p w14:paraId="39765CA2" w14:textId="77777777" w:rsidR="004A7FDA" w:rsidRDefault="004A7FDA" w:rsidP="002C75A8">
            <w:pPr>
              <w:pStyle w:val="UtilComTabletext"/>
            </w:pPr>
            <w:r>
              <w:t>Unsmoothed annual revenue requirement</w:t>
            </w:r>
          </w:p>
        </w:tc>
        <w:tc>
          <w:tcPr>
            <w:tcW w:w="1134" w:type="dxa"/>
            <w:tcBorders>
              <w:top w:val="single" w:sz="4" w:space="0" w:color="auto"/>
              <w:bottom w:val="single" w:sz="4" w:space="0" w:color="999999"/>
            </w:tcBorders>
          </w:tcPr>
          <w:p w14:paraId="0CCC7551" w14:textId="77777777" w:rsidR="004A7FDA" w:rsidRDefault="0098191B" w:rsidP="00AF6E6D">
            <w:pPr>
              <w:pStyle w:val="UtilComTabletext"/>
              <w:jc w:val="right"/>
            </w:pPr>
            <w:r>
              <w:t>957.10</w:t>
            </w:r>
          </w:p>
        </w:tc>
        <w:tc>
          <w:tcPr>
            <w:tcW w:w="1134" w:type="dxa"/>
            <w:tcBorders>
              <w:top w:val="single" w:sz="4" w:space="0" w:color="auto"/>
              <w:bottom w:val="single" w:sz="4" w:space="0" w:color="999999"/>
            </w:tcBorders>
          </w:tcPr>
          <w:p w14:paraId="1ABD5C53" w14:textId="77777777" w:rsidR="004A7FDA" w:rsidRDefault="004A7FDA" w:rsidP="00AF6E6D">
            <w:pPr>
              <w:pStyle w:val="UtilComTabletext"/>
              <w:jc w:val="right"/>
            </w:pPr>
            <w:r>
              <w:t>230.59</w:t>
            </w:r>
          </w:p>
        </w:tc>
        <w:tc>
          <w:tcPr>
            <w:tcW w:w="1134" w:type="dxa"/>
            <w:tcBorders>
              <w:top w:val="single" w:sz="4" w:space="0" w:color="auto"/>
              <w:bottom w:val="single" w:sz="4" w:space="0" w:color="999999"/>
            </w:tcBorders>
          </w:tcPr>
          <w:p w14:paraId="6D8BA2F5" w14:textId="77777777" w:rsidR="004A7FDA" w:rsidRDefault="004A7FDA" w:rsidP="00AF6E6D">
            <w:pPr>
              <w:pStyle w:val="UtilComTabletext"/>
              <w:jc w:val="right"/>
            </w:pPr>
            <w:r>
              <w:t>239.95</w:t>
            </w:r>
          </w:p>
        </w:tc>
        <w:tc>
          <w:tcPr>
            <w:tcW w:w="1134" w:type="dxa"/>
            <w:tcBorders>
              <w:top w:val="single" w:sz="4" w:space="0" w:color="auto"/>
              <w:bottom w:val="single" w:sz="4" w:space="0" w:color="999999"/>
            </w:tcBorders>
          </w:tcPr>
          <w:p w14:paraId="20F783CC" w14:textId="77777777" w:rsidR="004A7FDA" w:rsidRDefault="004A7FDA" w:rsidP="00AF6E6D">
            <w:pPr>
              <w:pStyle w:val="UtilComTabletext"/>
              <w:jc w:val="right"/>
            </w:pPr>
            <w:r>
              <w:t>245.44</w:t>
            </w:r>
          </w:p>
        </w:tc>
        <w:tc>
          <w:tcPr>
            <w:tcW w:w="1134" w:type="dxa"/>
            <w:tcBorders>
              <w:top w:val="single" w:sz="4" w:space="0" w:color="auto"/>
              <w:bottom w:val="single" w:sz="4" w:space="0" w:color="999999"/>
            </w:tcBorders>
          </w:tcPr>
          <w:p w14:paraId="5287E713" w14:textId="77777777" w:rsidR="004A7FDA" w:rsidRDefault="004A7FDA" w:rsidP="00AF6E6D">
            <w:pPr>
              <w:pStyle w:val="UtilComTabletext"/>
              <w:jc w:val="right"/>
            </w:pPr>
            <w:r>
              <w:t>253.03</w:t>
            </w:r>
          </w:p>
        </w:tc>
        <w:tc>
          <w:tcPr>
            <w:tcW w:w="1134" w:type="dxa"/>
            <w:tcBorders>
              <w:top w:val="single" w:sz="4" w:space="0" w:color="auto"/>
              <w:bottom w:val="single" w:sz="4" w:space="0" w:color="999999"/>
            </w:tcBorders>
          </w:tcPr>
          <w:p w14:paraId="42B8A60F" w14:textId="77777777" w:rsidR="004A7FDA" w:rsidRDefault="004A7FDA" w:rsidP="00AF6E6D">
            <w:pPr>
              <w:pStyle w:val="UtilComTabletext"/>
              <w:jc w:val="right"/>
            </w:pPr>
            <w:r>
              <w:t>261.19</w:t>
            </w:r>
          </w:p>
        </w:tc>
      </w:tr>
      <w:tr w:rsidR="004A7FDA" w:rsidRPr="008A4655" w14:paraId="4FE3D338" w14:textId="77777777" w:rsidTr="00AF6E6D">
        <w:trPr>
          <w:cantSplit/>
          <w:trHeight w:val="360"/>
        </w:trPr>
        <w:tc>
          <w:tcPr>
            <w:tcW w:w="2410" w:type="dxa"/>
            <w:tcBorders>
              <w:bottom w:val="single" w:sz="4" w:space="0" w:color="auto"/>
            </w:tcBorders>
          </w:tcPr>
          <w:p w14:paraId="3C8796EB" w14:textId="77777777" w:rsidR="004A7FDA" w:rsidRDefault="004A7FDA" w:rsidP="002C75A8">
            <w:pPr>
              <w:pStyle w:val="UtilComTabletext"/>
            </w:pPr>
            <w:r>
              <w:t>Expected revenues (smoothed revenue)</w:t>
            </w:r>
          </w:p>
        </w:tc>
        <w:tc>
          <w:tcPr>
            <w:tcW w:w="1134" w:type="dxa"/>
            <w:tcBorders>
              <w:bottom w:val="single" w:sz="4" w:space="0" w:color="auto"/>
            </w:tcBorders>
          </w:tcPr>
          <w:p w14:paraId="38B586D2" w14:textId="77777777" w:rsidR="004A7FDA" w:rsidRDefault="0098191B" w:rsidP="00AF6E6D">
            <w:pPr>
              <w:pStyle w:val="UtilComTabletext"/>
              <w:jc w:val="right"/>
            </w:pPr>
            <w:r>
              <w:t>957.10</w:t>
            </w:r>
          </w:p>
        </w:tc>
        <w:tc>
          <w:tcPr>
            <w:tcW w:w="1134" w:type="dxa"/>
            <w:tcBorders>
              <w:bottom w:val="single" w:sz="4" w:space="0" w:color="auto"/>
            </w:tcBorders>
          </w:tcPr>
          <w:p w14:paraId="2701EAC6" w14:textId="77777777" w:rsidR="004A7FDA" w:rsidRDefault="004A7FDA" w:rsidP="00AF6E6D">
            <w:pPr>
              <w:pStyle w:val="UtilComTabletext"/>
              <w:jc w:val="right"/>
            </w:pPr>
            <w:r>
              <w:t>229.0</w:t>
            </w:r>
            <w:r w:rsidR="00A665C3">
              <w:t>3</w:t>
            </w:r>
          </w:p>
        </w:tc>
        <w:tc>
          <w:tcPr>
            <w:tcW w:w="1134" w:type="dxa"/>
            <w:tcBorders>
              <w:bottom w:val="single" w:sz="4" w:space="0" w:color="auto"/>
            </w:tcBorders>
          </w:tcPr>
          <w:p w14:paraId="0F988885" w14:textId="77777777" w:rsidR="004A7FDA" w:rsidRDefault="004A7FDA" w:rsidP="00AF6E6D">
            <w:pPr>
              <w:pStyle w:val="UtilComTabletext"/>
              <w:jc w:val="right"/>
            </w:pPr>
            <w:r>
              <w:t>237.3</w:t>
            </w:r>
            <w:r w:rsidR="00A665C3">
              <w:t>3</w:t>
            </w:r>
          </w:p>
        </w:tc>
        <w:tc>
          <w:tcPr>
            <w:tcW w:w="1134" w:type="dxa"/>
            <w:tcBorders>
              <w:bottom w:val="single" w:sz="4" w:space="0" w:color="auto"/>
            </w:tcBorders>
          </w:tcPr>
          <w:p w14:paraId="69BA20F1" w14:textId="77777777" w:rsidR="004A7FDA" w:rsidRDefault="004A7FDA" w:rsidP="00AF6E6D">
            <w:pPr>
              <w:pStyle w:val="UtilComTabletext"/>
              <w:jc w:val="right"/>
            </w:pPr>
            <w:r>
              <w:t>245.9</w:t>
            </w:r>
            <w:r w:rsidR="00A665C3">
              <w:t>4</w:t>
            </w:r>
          </w:p>
        </w:tc>
        <w:tc>
          <w:tcPr>
            <w:tcW w:w="1134" w:type="dxa"/>
            <w:tcBorders>
              <w:bottom w:val="single" w:sz="4" w:space="0" w:color="auto"/>
            </w:tcBorders>
          </w:tcPr>
          <w:p w14:paraId="248EBA75" w14:textId="77777777" w:rsidR="004A7FDA" w:rsidRDefault="004A7FDA" w:rsidP="00AF6E6D">
            <w:pPr>
              <w:pStyle w:val="UtilComTabletext"/>
              <w:jc w:val="right"/>
            </w:pPr>
            <w:r>
              <w:t>254.8</w:t>
            </w:r>
            <w:r w:rsidR="00A665C3">
              <w:t>6</w:t>
            </w:r>
          </w:p>
        </w:tc>
        <w:tc>
          <w:tcPr>
            <w:tcW w:w="1134" w:type="dxa"/>
            <w:tcBorders>
              <w:bottom w:val="single" w:sz="4" w:space="0" w:color="auto"/>
            </w:tcBorders>
          </w:tcPr>
          <w:p w14:paraId="1293EC7B" w14:textId="77777777" w:rsidR="004A7FDA" w:rsidRDefault="004A7FDA" w:rsidP="00AF6E6D">
            <w:pPr>
              <w:pStyle w:val="UtilComTabletext"/>
              <w:jc w:val="right"/>
            </w:pPr>
            <w:r>
              <w:t>264.1</w:t>
            </w:r>
            <w:r w:rsidR="00A665C3">
              <w:t>0</w:t>
            </w:r>
          </w:p>
        </w:tc>
      </w:tr>
      <w:tr w:rsidR="004A7FDA" w:rsidRPr="008A4655" w14:paraId="0D192001" w14:textId="77777777" w:rsidTr="00AF6E6D">
        <w:trPr>
          <w:cantSplit/>
          <w:trHeight w:val="360"/>
        </w:trPr>
        <w:tc>
          <w:tcPr>
            <w:tcW w:w="2410" w:type="dxa"/>
            <w:tcBorders>
              <w:top w:val="single" w:sz="4" w:space="0" w:color="auto"/>
              <w:bottom w:val="single" w:sz="4" w:space="0" w:color="000000"/>
            </w:tcBorders>
          </w:tcPr>
          <w:p w14:paraId="722AEF72" w14:textId="77777777" w:rsidR="004A7FDA" w:rsidRDefault="0098191B" w:rsidP="002C75A8">
            <w:pPr>
              <w:pStyle w:val="UtilComTabletext"/>
            </w:pPr>
            <w:r>
              <w:t>Difference (%)</w:t>
            </w:r>
          </w:p>
        </w:tc>
        <w:tc>
          <w:tcPr>
            <w:tcW w:w="1134" w:type="dxa"/>
            <w:tcBorders>
              <w:top w:val="single" w:sz="4" w:space="0" w:color="auto"/>
              <w:bottom w:val="single" w:sz="4" w:space="0" w:color="000000"/>
            </w:tcBorders>
          </w:tcPr>
          <w:p w14:paraId="7430DC07" w14:textId="77777777" w:rsidR="004A7FDA" w:rsidRPr="00DB64A7" w:rsidRDefault="004A7FDA" w:rsidP="00AF6E6D">
            <w:pPr>
              <w:pStyle w:val="UtilComTabletext"/>
              <w:jc w:val="right"/>
            </w:pPr>
          </w:p>
        </w:tc>
        <w:tc>
          <w:tcPr>
            <w:tcW w:w="1134" w:type="dxa"/>
            <w:tcBorders>
              <w:top w:val="single" w:sz="4" w:space="0" w:color="auto"/>
              <w:bottom w:val="single" w:sz="4" w:space="0" w:color="000000"/>
            </w:tcBorders>
          </w:tcPr>
          <w:p w14:paraId="1175DCE0" w14:textId="77777777" w:rsidR="004A7FDA" w:rsidRPr="00DB64A7" w:rsidRDefault="0098191B" w:rsidP="00AF6E6D">
            <w:pPr>
              <w:pStyle w:val="UtilComTabletext"/>
              <w:jc w:val="right"/>
            </w:pPr>
            <w:r>
              <w:t>-</w:t>
            </w:r>
            <w:r w:rsidR="00485AF0">
              <w:t xml:space="preserve"> </w:t>
            </w:r>
            <w:r>
              <w:t>0.67</w:t>
            </w:r>
          </w:p>
        </w:tc>
        <w:tc>
          <w:tcPr>
            <w:tcW w:w="1134" w:type="dxa"/>
            <w:tcBorders>
              <w:top w:val="single" w:sz="4" w:space="0" w:color="auto"/>
              <w:bottom w:val="single" w:sz="4" w:space="0" w:color="000000"/>
            </w:tcBorders>
          </w:tcPr>
          <w:p w14:paraId="71A7393D" w14:textId="77777777" w:rsidR="004A7FDA" w:rsidRPr="00DB64A7" w:rsidRDefault="0098191B" w:rsidP="00AF6E6D">
            <w:pPr>
              <w:pStyle w:val="UtilComTabletext"/>
              <w:jc w:val="right"/>
            </w:pPr>
            <w:r>
              <w:t>-</w:t>
            </w:r>
            <w:r w:rsidR="00485AF0">
              <w:t xml:space="preserve"> </w:t>
            </w:r>
            <w:r>
              <w:t>1.10</w:t>
            </w:r>
          </w:p>
        </w:tc>
        <w:tc>
          <w:tcPr>
            <w:tcW w:w="1134" w:type="dxa"/>
            <w:tcBorders>
              <w:top w:val="single" w:sz="4" w:space="0" w:color="auto"/>
              <w:bottom w:val="single" w:sz="4" w:space="0" w:color="000000"/>
            </w:tcBorders>
          </w:tcPr>
          <w:p w14:paraId="374BDE62" w14:textId="77777777" w:rsidR="004A7FDA" w:rsidRPr="00DB64A7" w:rsidRDefault="0098191B" w:rsidP="00AF6E6D">
            <w:pPr>
              <w:pStyle w:val="UtilComTabletext"/>
              <w:jc w:val="right"/>
            </w:pPr>
            <w:r>
              <w:t>0.21</w:t>
            </w:r>
          </w:p>
        </w:tc>
        <w:tc>
          <w:tcPr>
            <w:tcW w:w="1134" w:type="dxa"/>
            <w:tcBorders>
              <w:top w:val="single" w:sz="4" w:space="0" w:color="auto"/>
              <w:bottom w:val="single" w:sz="4" w:space="0" w:color="000000"/>
            </w:tcBorders>
          </w:tcPr>
          <w:p w14:paraId="749F2DCA" w14:textId="77777777" w:rsidR="004A7FDA" w:rsidRPr="00DB64A7" w:rsidRDefault="0098191B" w:rsidP="00AF6E6D">
            <w:pPr>
              <w:pStyle w:val="UtilComTabletext"/>
              <w:jc w:val="right"/>
            </w:pPr>
            <w:r>
              <w:t>0.72</w:t>
            </w:r>
          </w:p>
        </w:tc>
        <w:tc>
          <w:tcPr>
            <w:tcW w:w="1134" w:type="dxa"/>
            <w:tcBorders>
              <w:top w:val="single" w:sz="4" w:space="0" w:color="auto"/>
              <w:bottom w:val="single" w:sz="4" w:space="0" w:color="000000"/>
            </w:tcBorders>
          </w:tcPr>
          <w:p w14:paraId="19AC9692" w14:textId="77777777" w:rsidR="004A7FDA" w:rsidRPr="00DB64A7" w:rsidRDefault="0098191B" w:rsidP="005B2A4C">
            <w:pPr>
              <w:pStyle w:val="UtilComTabletext"/>
              <w:jc w:val="right"/>
            </w:pPr>
            <w:r>
              <w:t>1.12</w:t>
            </w:r>
          </w:p>
        </w:tc>
      </w:tr>
    </w:tbl>
    <w:p w14:paraId="17ED8C59" w14:textId="51B300F2" w:rsidR="004A7FDA" w:rsidRPr="00E529C5" w:rsidRDefault="004A7FDA" w:rsidP="004A7FDA">
      <w:pPr>
        <w:pStyle w:val="UtilComReferenceSource"/>
        <w:rPr>
          <w:lang w:val="en-AU"/>
        </w:rPr>
      </w:pPr>
      <w:r>
        <w:rPr>
          <w:lang w:val="en-AU"/>
        </w:rPr>
        <w:t>Source: PWC Networks</w:t>
      </w:r>
      <w:r w:rsidR="00115DFD">
        <w:rPr>
          <w:lang w:val="en-AU"/>
        </w:rPr>
        <w:t>’ initial regulatory proposal</w:t>
      </w:r>
      <w:r>
        <w:rPr>
          <w:lang w:val="en-AU"/>
        </w:rPr>
        <w:t xml:space="preserve">, NTRM (ODRC) </w:t>
      </w:r>
    </w:p>
    <w:p w14:paraId="0F2DFED6" w14:textId="49DB5C4D" w:rsidR="008E4B9F" w:rsidRDefault="008E4B9F" w:rsidP="008E4B9F">
      <w:pPr>
        <w:pStyle w:val="UtilComHeading2"/>
      </w:pPr>
      <w:bookmarkStart w:id="297" w:name="_Toc385241571"/>
      <w:bookmarkStart w:id="298" w:name="_Toc386013124"/>
      <w:r>
        <w:t>Submissions</w:t>
      </w:r>
      <w:r w:rsidR="007A729A">
        <w:t xml:space="preserve"> on </w:t>
      </w:r>
      <w:r w:rsidR="0043071F">
        <w:t xml:space="preserve">Initial Regulatory </w:t>
      </w:r>
      <w:bookmarkEnd w:id="297"/>
      <w:r w:rsidR="0043071F">
        <w:t>Proposal</w:t>
      </w:r>
      <w:bookmarkEnd w:id="298"/>
    </w:p>
    <w:p w14:paraId="72961CAC" w14:textId="77777777" w:rsidR="008E4B9F" w:rsidRDefault="0000263C" w:rsidP="00E32188">
      <w:pPr>
        <w:pStyle w:val="NumberLevel2"/>
        <w:numPr>
          <w:ilvl w:val="1"/>
          <w:numId w:val="5"/>
        </w:numPr>
        <w:tabs>
          <w:tab w:val="clear" w:pos="3270"/>
          <w:tab w:val="num" w:pos="709"/>
        </w:tabs>
        <w:ind w:left="709" w:hanging="709"/>
        <w:rPr>
          <w:lang w:val="en-AU"/>
        </w:rPr>
      </w:pPr>
      <w:r w:rsidRPr="0000263C">
        <w:rPr>
          <w:lang w:val="en-AU"/>
        </w:rPr>
        <w:t xml:space="preserve">Submissions </w:t>
      </w:r>
      <w:r>
        <w:rPr>
          <w:lang w:val="en-AU"/>
        </w:rPr>
        <w:t>from both the NTMEU and NT</w:t>
      </w:r>
      <w:r w:rsidRPr="0000263C">
        <w:rPr>
          <w:lang w:val="en-AU"/>
        </w:rPr>
        <w:t xml:space="preserve">COSS expressed concern about the significant increases in prices resulting from </w:t>
      </w:r>
      <w:r w:rsidR="00AD57EE">
        <w:rPr>
          <w:lang w:val="en-AU"/>
        </w:rPr>
        <w:t xml:space="preserve">PWC </w:t>
      </w:r>
      <w:r>
        <w:rPr>
          <w:lang w:val="en-AU"/>
        </w:rPr>
        <w:t>Networks</w:t>
      </w:r>
      <w:r w:rsidRPr="0000263C">
        <w:rPr>
          <w:lang w:val="en-AU"/>
        </w:rPr>
        <w:t>’ regulatory proposal.</w:t>
      </w:r>
    </w:p>
    <w:p w14:paraId="03D6F6E3" w14:textId="1B550BA7" w:rsidR="00872C67" w:rsidRPr="00872C67" w:rsidRDefault="00107178" w:rsidP="00E32188">
      <w:pPr>
        <w:pStyle w:val="NumberLevel2"/>
        <w:numPr>
          <w:ilvl w:val="1"/>
          <w:numId w:val="5"/>
        </w:numPr>
        <w:tabs>
          <w:tab w:val="clear" w:pos="3270"/>
          <w:tab w:val="num" w:pos="709"/>
        </w:tabs>
        <w:ind w:left="709" w:hanging="709"/>
        <w:rPr>
          <w:lang w:val="en-AU"/>
        </w:rPr>
      </w:pPr>
      <w:r>
        <w:rPr>
          <w:lang w:val="en-AU"/>
        </w:rPr>
        <w:t>NTCOSS expresse</w:t>
      </w:r>
      <w:r w:rsidR="00E92638">
        <w:rPr>
          <w:lang w:val="en-AU"/>
        </w:rPr>
        <w:t>d</w:t>
      </w:r>
      <w:r>
        <w:rPr>
          <w:lang w:val="en-AU"/>
        </w:rPr>
        <w:t xml:space="preserve"> particular concern about</w:t>
      </w:r>
      <w:r w:rsidR="00872C67" w:rsidRPr="00872C67">
        <w:rPr>
          <w:lang w:val="en-AU"/>
        </w:rPr>
        <w:t xml:space="preserve"> detrimental social impacts on </w:t>
      </w:r>
      <w:r>
        <w:rPr>
          <w:lang w:val="en-AU"/>
        </w:rPr>
        <w:t xml:space="preserve">low income and disadvantaged </w:t>
      </w:r>
      <w:r w:rsidR="006C5C1F">
        <w:rPr>
          <w:lang w:val="en-AU"/>
        </w:rPr>
        <w:t>retail customers in the Territory</w:t>
      </w:r>
      <w:r>
        <w:rPr>
          <w:lang w:val="en-AU"/>
        </w:rPr>
        <w:t xml:space="preserve">. </w:t>
      </w:r>
    </w:p>
    <w:p w14:paraId="68CA1471" w14:textId="28ACB600" w:rsidR="0000263C" w:rsidRDefault="00AD57EE" w:rsidP="00E32188">
      <w:pPr>
        <w:pStyle w:val="NumberLevel2"/>
        <w:numPr>
          <w:ilvl w:val="1"/>
          <w:numId w:val="5"/>
        </w:numPr>
        <w:tabs>
          <w:tab w:val="clear" w:pos="3270"/>
          <w:tab w:val="num" w:pos="709"/>
        </w:tabs>
        <w:ind w:left="709" w:hanging="709"/>
        <w:rPr>
          <w:lang w:val="en-AU"/>
        </w:rPr>
      </w:pPr>
      <w:r>
        <w:rPr>
          <w:lang w:val="en-AU"/>
        </w:rPr>
        <w:t xml:space="preserve">The NTMEU noted that operating and maintenance costs comprised a larger proportion of the total revenue </w:t>
      </w:r>
      <w:r w:rsidR="006C5C1F">
        <w:rPr>
          <w:lang w:val="en-AU"/>
        </w:rPr>
        <w:t xml:space="preserve">requirement </w:t>
      </w:r>
      <w:r>
        <w:rPr>
          <w:lang w:val="en-AU"/>
        </w:rPr>
        <w:t xml:space="preserve">than is typical for most regulated </w:t>
      </w:r>
      <w:r w:rsidR="006C5C1F">
        <w:rPr>
          <w:lang w:val="en-AU"/>
        </w:rPr>
        <w:t>network service providers</w:t>
      </w:r>
      <w:r w:rsidR="00872C67">
        <w:rPr>
          <w:lang w:val="en-AU"/>
        </w:rPr>
        <w:t>:</w:t>
      </w:r>
      <w:r>
        <w:rPr>
          <w:lang w:val="en-AU"/>
        </w:rPr>
        <w:t xml:space="preserve"> </w:t>
      </w:r>
    </w:p>
    <w:p w14:paraId="2B7F12D0" w14:textId="77777777" w:rsidR="00AD57EE" w:rsidRPr="00485AF0" w:rsidRDefault="00AD57EE" w:rsidP="004B63D8">
      <w:pPr>
        <w:pStyle w:val="UtilComQuotationText"/>
        <w:ind w:left="1134" w:firstLine="11"/>
      </w:pPr>
      <w:r w:rsidRPr="00485AF0">
        <w:t>In most regulated networks, opex is typically ~30% of the required revenue with return on capital being typically 50</w:t>
      </w:r>
      <w:r w:rsidR="006C66DA">
        <w:t xml:space="preserve"> per cent </w:t>
      </w:r>
      <w:r w:rsidRPr="00485AF0">
        <w:t>or more and regulatory depreciation up to 20</w:t>
      </w:r>
      <w:r w:rsidR="006C66DA">
        <w:t xml:space="preserve"> per cent</w:t>
      </w:r>
      <w:r w:rsidRPr="00485AF0">
        <w:t>.</w:t>
      </w:r>
    </w:p>
    <w:p w14:paraId="45016E49" w14:textId="77777777" w:rsidR="00DB1A4E" w:rsidRPr="00485AF0" w:rsidRDefault="00AD57EE" w:rsidP="004B63D8">
      <w:pPr>
        <w:pStyle w:val="UtilComQuotationText"/>
        <w:ind w:left="1134" w:firstLine="11"/>
      </w:pPr>
      <w:r w:rsidRPr="00485AF0">
        <w:t>PWC forecasts for its break down are:</w:t>
      </w:r>
    </w:p>
    <w:p w14:paraId="62F0AD40" w14:textId="77777777" w:rsidR="00AD57EE" w:rsidRPr="00485AF0" w:rsidRDefault="00AD57EE" w:rsidP="004B63D8">
      <w:pPr>
        <w:pStyle w:val="UtilComQuotationText"/>
        <w:ind w:left="1134" w:firstLine="11"/>
      </w:pPr>
      <w:r w:rsidRPr="00485AF0">
        <w:t>•</w:t>
      </w:r>
      <w:r w:rsidRPr="00485AF0">
        <w:tab/>
        <w:t>opex ~50%,</w:t>
      </w:r>
      <w:r w:rsidRPr="00485AF0">
        <w:br/>
        <w:t>•</w:t>
      </w:r>
      <w:r w:rsidRPr="00485AF0">
        <w:tab/>
        <w:t>return on capital ~40% and</w:t>
      </w:r>
      <w:r w:rsidRPr="00485AF0">
        <w:br/>
        <w:t>•</w:t>
      </w:r>
      <w:r w:rsidRPr="00485AF0">
        <w:tab/>
        <w:t>regulatory deprecation ~10%. (p</w:t>
      </w:r>
      <w:r w:rsidR="00485AF0">
        <w:t>age</w:t>
      </w:r>
      <w:r w:rsidRPr="00485AF0">
        <w:t>.45)</w:t>
      </w:r>
    </w:p>
    <w:p w14:paraId="46335C12" w14:textId="77F9E7B9" w:rsidR="008E4B9F" w:rsidRDefault="008E4B9F" w:rsidP="008E4B9F">
      <w:pPr>
        <w:pStyle w:val="UtilComHeading2"/>
      </w:pPr>
      <w:bookmarkStart w:id="299" w:name="_Toc385241572"/>
      <w:bookmarkStart w:id="300" w:name="_Toc386013125"/>
      <w:r>
        <w:t xml:space="preserve">Issues and Commission’s </w:t>
      </w:r>
      <w:r w:rsidR="00C05748">
        <w:t xml:space="preserve">Initial </w:t>
      </w:r>
      <w:bookmarkEnd w:id="299"/>
      <w:r w:rsidR="00C05748">
        <w:t>Considerations</w:t>
      </w:r>
      <w:bookmarkEnd w:id="300"/>
    </w:p>
    <w:p w14:paraId="3B6006FD" w14:textId="0CE06758" w:rsidR="00DB1A4E" w:rsidRDefault="00080720" w:rsidP="00E32188">
      <w:pPr>
        <w:pStyle w:val="NumberLevel2"/>
        <w:numPr>
          <w:ilvl w:val="1"/>
          <w:numId w:val="5"/>
        </w:numPr>
        <w:tabs>
          <w:tab w:val="clear" w:pos="3270"/>
          <w:tab w:val="num" w:pos="709"/>
        </w:tabs>
        <w:ind w:left="709" w:hanging="709"/>
        <w:rPr>
          <w:lang w:val="en-AU"/>
        </w:rPr>
      </w:pPr>
      <w:r>
        <w:rPr>
          <w:lang w:val="en-AU"/>
        </w:rPr>
        <w:t xml:space="preserve">The Commission </w:t>
      </w:r>
      <w:r w:rsidR="007A729A">
        <w:rPr>
          <w:lang w:val="en-AU"/>
        </w:rPr>
        <w:t xml:space="preserve">advised that it was </w:t>
      </w:r>
      <w:r w:rsidR="002A24BC">
        <w:rPr>
          <w:lang w:val="en-AU"/>
        </w:rPr>
        <w:t>mindful</w:t>
      </w:r>
      <w:r>
        <w:rPr>
          <w:lang w:val="en-AU"/>
        </w:rPr>
        <w:t xml:space="preserve"> of the potential impact of price increases on low income </w:t>
      </w:r>
      <w:r w:rsidR="000A42CF">
        <w:rPr>
          <w:lang w:val="en-AU"/>
        </w:rPr>
        <w:t>retail customers</w:t>
      </w:r>
      <w:r>
        <w:rPr>
          <w:lang w:val="en-AU"/>
        </w:rPr>
        <w:t xml:space="preserve">. However, </w:t>
      </w:r>
      <w:r w:rsidR="00485AF0">
        <w:rPr>
          <w:lang w:val="en-AU"/>
        </w:rPr>
        <w:t xml:space="preserve">the </w:t>
      </w:r>
      <w:r w:rsidR="00FB2EC5">
        <w:rPr>
          <w:lang w:val="en-AU"/>
        </w:rPr>
        <w:t>Network Access Code</w:t>
      </w:r>
      <w:r w:rsidRPr="00080720">
        <w:rPr>
          <w:lang w:val="en-AU"/>
        </w:rPr>
        <w:t xml:space="preserve"> requires the Commission to determine efficient costs of supply and that these costs should be recovered from </w:t>
      </w:r>
      <w:r w:rsidR="000A42CF">
        <w:rPr>
          <w:lang w:val="en-AU"/>
        </w:rPr>
        <w:t xml:space="preserve">retail </w:t>
      </w:r>
      <w:r w:rsidRPr="00080720">
        <w:rPr>
          <w:lang w:val="en-AU"/>
        </w:rPr>
        <w:t xml:space="preserve">customers in a cost-reflective manner. It does not allow the Commission to take into account social policy matters. These are </w:t>
      </w:r>
      <w:r w:rsidR="002A24BC">
        <w:rPr>
          <w:lang w:val="en-AU"/>
        </w:rPr>
        <w:t xml:space="preserve">currently </w:t>
      </w:r>
      <w:r w:rsidRPr="00080720">
        <w:rPr>
          <w:lang w:val="en-AU"/>
        </w:rPr>
        <w:t xml:space="preserve">dealt with by </w:t>
      </w:r>
      <w:r w:rsidR="000A42CF">
        <w:rPr>
          <w:lang w:val="en-AU"/>
        </w:rPr>
        <w:t>the Territory Government</w:t>
      </w:r>
      <w:r w:rsidR="000A42CF" w:rsidRPr="00080720">
        <w:rPr>
          <w:lang w:val="en-AU"/>
        </w:rPr>
        <w:t xml:space="preserve"> </w:t>
      </w:r>
      <w:r w:rsidRPr="00080720">
        <w:rPr>
          <w:lang w:val="en-AU"/>
        </w:rPr>
        <w:t xml:space="preserve">through </w:t>
      </w:r>
      <w:r w:rsidR="000048D0">
        <w:rPr>
          <w:lang w:val="en-AU"/>
        </w:rPr>
        <w:t xml:space="preserve">regulated retail </w:t>
      </w:r>
      <w:r w:rsidR="00E23A17">
        <w:rPr>
          <w:lang w:val="en-AU"/>
        </w:rPr>
        <w:t>prices</w:t>
      </w:r>
      <w:r w:rsidR="00E23A17" w:rsidRPr="00080720">
        <w:rPr>
          <w:lang w:val="en-AU"/>
        </w:rPr>
        <w:t xml:space="preserve"> </w:t>
      </w:r>
      <w:r w:rsidRPr="00080720">
        <w:rPr>
          <w:lang w:val="en-AU"/>
        </w:rPr>
        <w:t>and pensioner concession schemes for which PWC</w:t>
      </w:r>
      <w:r w:rsidR="00BD61D5">
        <w:rPr>
          <w:lang w:val="en-AU"/>
        </w:rPr>
        <w:t> Retail</w:t>
      </w:r>
      <w:r w:rsidRPr="00080720">
        <w:rPr>
          <w:lang w:val="en-AU"/>
        </w:rPr>
        <w:t xml:space="preserve"> receives </w:t>
      </w:r>
      <w:r w:rsidR="00485AF0">
        <w:rPr>
          <w:lang w:val="en-AU"/>
        </w:rPr>
        <w:t xml:space="preserve">community service obligation </w:t>
      </w:r>
      <w:r w:rsidRPr="00080720">
        <w:rPr>
          <w:lang w:val="en-AU"/>
        </w:rPr>
        <w:t>funding.</w:t>
      </w:r>
    </w:p>
    <w:p w14:paraId="6DF8F9B0" w14:textId="42C282AF" w:rsidR="00DB1A4E" w:rsidRDefault="004019F1" w:rsidP="00E32188">
      <w:pPr>
        <w:pStyle w:val="NumberLevel2"/>
        <w:numPr>
          <w:ilvl w:val="1"/>
          <w:numId w:val="5"/>
        </w:numPr>
        <w:tabs>
          <w:tab w:val="clear" w:pos="3270"/>
          <w:tab w:val="num" w:pos="709"/>
        </w:tabs>
        <w:ind w:left="709" w:hanging="709"/>
        <w:rPr>
          <w:lang w:val="en-AU"/>
        </w:rPr>
      </w:pPr>
      <w:r>
        <w:rPr>
          <w:lang w:val="en-AU"/>
        </w:rPr>
        <w:t xml:space="preserve">The Commission </w:t>
      </w:r>
      <w:r w:rsidR="007A729A">
        <w:rPr>
          <w:lang w:val="en-AU"/>
        </w:rPr>
        <w:t xml:space="preserve">did </w:t>
      </w:r>
      <w:r>
        <w:rPr>
          <w:lang w:val="en-AU"/>
        </w:rPr>
        <w:t xml:space="preserve">not consider that the relative components of the building block analysis provide any relevant information on the </w:t>
      </w:r>
      <w:r w:rsidR="00BD61D5">
        <w:rPr>
          <w:lang w:val="en-AU"/>
        </w:rPr>
        <w:t xml:space="preserve">prudency </w:t>
      </w:r>
      <w:r>
        <w:rPr>
          <w:lang w:val="en-AU"/>
        </w:rPr>
        <w:t xml:space="preserve">or efficiency of the </w:t>
      </w:r>
      <w:r w:rsidR="00BD61D5">
        <w:rPr>
          <w:lang w:val="en-AU"/>
        </w:rPr>
        <w:t xml:space="preserve">building block </w:t>
      </w:r>
      <w:r>
        <w:rPr>
          <w:lang w:val="en-AU"/>
        </w:rPr>
        <w:t xml:space="preserve">determination as there </w:t>
      </w:r>
      <w:r w:rsidR="00BD61D5">
        <w:rPr>
          <w:lang w:val="en-AU"/>
        </w:rPr>
        <w:t xml:space="preserve">were </w:t>
      </w:r>
      <w:r>
        <w:rPr>
          <w:lang w:val="en-AU"/>
        </w:rPr>
        <w:t xml:space="preserve">a range of variables </w:t>
      </w:r>
      <w:r w:rsidR="003C4F98">
        <w:rPr>
          <w:lang w:val="en-AU"/>
        </w:rPr>
        <w:t xml:space="preserve">that </w:t>
      </w:r>
      <w:r w:rsidR="00BD61D5">
        <w:rPr>
          <w:lang w:val="en-AU"/>
        </w:rPr>
        <w:t xml:space="preserve">could </w:t>
      </w:r>
      <w:r>
        <w:rPr>
          <w:lang w:val="en-AU"/>
        </w:rPr>
        <w:t xml:space="preserve">impact on the revenue required by </w:t>
      </w:r>
      <w:r w:rsidR="00BD61D5">
        <w:rPr>
          <w:lang w:val="en-AU"/>
        </w:rPr>
        <w:t>PWC Networks</w:t>
      </w:r>
      <w:r>
        <w:rPr>
          <w:lang w:val="en-AU"/>
        </w:rPr>
        <w:t>.</w:t>
      </w:r>
    </w:p>
    <w:p w14:paraId="038FD6B8" w14:textId="69C9203C" w:rsidR="004019F1" w:rsidRDefault="004019F1" w:rsidP="00E32188">
      <w:pPr>
        <w:pStyle w:val="NumberLevel2"/>
        <w:numPr>
          <w:ilvl w:val="1"/>
          <w:numId w:val="5"/>
        </w:numPr>
        <w:tabs>
          <w:tab w:val="clear" w:pos="3270"/>
          <w:tab w:val="num" w:pos="709"/>
        </w:tabs>
        <w:ind w:left="709" w:hanging="709"/>
        <w:rPr>
          <w:lang w:val="en-AU"/>
        </w:rPr>
      </w:pPr>
      <w:r>
        <w:rPr>
          <w:lang w:val="en-AU"/>
        </w:rPr>
        <w:t xml:space="preserve">Given that </w:t>
      </w:r>
      <w:r w:rsidR="00BD61D5">
        <w:rPr>
          <w:lang w:val="en-AU"/>
        </w:rPr>
        <w:t xml:space="preserve">electricity </w:t>
      </w:r>
      <w:r>
        <w:rPr>
          <w:lang w:val="en-AU"/>
        </w:rPr>
        <w:t>networks have a significant proportion of fixed costs, smaller networks are likely to exhibit a relatively higher proportion of operating costs than larger networks. Further, there has been a significant fall in interest rates in Australia over recent years, so that the proportion of capital related costs will be lower.</w:t>
      </w:r>
    </w:p>
    <w:p w14:paraId="402CF509" w14:textId="63E67E87" w:rsidR="000A4188" w:rsidRPr="000A4188" w:rsidRDefault="000A4188" w:rsidP="00E32188">
      <w:pPr>
        <w:pStyle w:val="NumberLevel2"/>
        <w:numPr>
          <w:ilvl w:val="1"/>
          <w:numId w:val="5"/>
        </w:numPr>
        <w:tabs>
          <w:tab w:val="clear" w:pos="3270"/>
          <w:tab w:val="num" w:pos="709"/>
        </w:tabs>
        <w:ind w:left="709" w:hanging="709"/>
        <w:rPr>
          <w:lang w:val="en-AU"/>
        </w:rPr>
      </w:pPr>
      <w:r>
        <w:rPr>
          <w:lang w:val="en-AU"/>
        </w:rPr>
        <w:t xml:space="preserve">The Commission </w:t>
      </w:r>
      <w:r w:rsidR="007A729A">
        <w:rPr>
          <w:lang w:val="en-AU"/>
        </w:rPr>
        <w:t xml:space="preserve">accepted </w:t>
      </w:r>
      <w:r>
        <w:rPr>
          <w:lang w:val="en-AU"/>
        </w:rPr>
        <w:t xml:space="preserve">PWC Networks’ proposal that </w:t>
      </w:r>
      <w:r w:rsidRPr="000A4188">
        <w:rPr>
          <w:lang w:val="en-AU"/>
        </w:rPr>
        <w:t xml:space="preserve">the remaining </w:t>
      </w:r>
      <w:r>
        <w:rPr>
          <w:lang w:val="en-AU"/>
        </w:rPr>
        <w:t>cost pass through</w:t>
      </w:r>
      <w:r w:rsidRPr="000A4188">
        <w:rPr>
          <w:lang w:val="en-AU"/>
        </w:rPr>
        <w:t xml:space="preserve"> be recovered in equal parts (adjusted for the time value of money) in each </w:t>
      </w:r>
      <w:r w:rsidR="00BD61D5">
        <w:rPr>
          <w:lang w:val="en-AU"/>
        </w:rPr>
        <w:t xml:space="preserve">regulatory </w:t>
      </w:r>
      <w:r w:rsidRPr="000A4188">
        <w:rPr>
          <w:lang w:val="en-AU"/>
        </w:rPr>
        <w:t xml:space="preserve">year of the </w:t>
      </w:r>
      <w:r w:rsidR="007A729A">
        <w:rPr>
          <w:lang w:val="en-AU"/>
        </w:rPr>
        <w:t>2014-19</w:t>
      </w:r>
      <w:r w:rsidR="007A729A" w:rsidRPr="000A4188">
        <w:rPr>
          <w:lang w:val="en-AU"/>
        </w:rPr>
        <w:t xml:space="preserve"> </w:t>
      </w:r>
      <w:r w:rsidRPr="000A4188">
        <w:rPr>
          <w:lang w:val="en-AU"/>
        </w:rPr>
        <w:t>regulatory control period</w:t>
      </w:r>
      <w:r>
        <w:rPr>
          <w:lang w:val="en-AU"/>
        </w:rPr>
        <w:t xml:space="preserve">. However, the Commission </w:t>
      </w:r>
      <w:r w:rsidR="00CC7A8A">
        <w:rPr>
          <w:lang w:val="en-AU"/>
        </w:rPr>
        <w:t>corrected</w:t>
      </w:r>
      <w:r>
        <w:rPr>
          <w:lang w:val="en-AU"/>
        </w:rPr>
        <w:t xml:space="preserve"> an error in PWC Networks’ calculation which ha</w:t>
      </w:r>
      <w:r w:rsidR="00CC7A8A">
        <w:rPr>
          <w:lang w:val="en-AU"/>
        </w:rPr>
        <w:t>d</w:t>
      </w:r>
      <w:r>
        <w:rPr>
          <w:lang w:val="en-AU"/>
        </w:rPr>
        <w:t xml:space="preserve"> resulted in a double counting of indexation for inflation. </w:t>
      </w:r>
    </w:p>
    <w:p w14:paraId="17C129D9" w14:textId="0DD14631" w:rsidR="008E4B9F" w:rsidRDefault="008E4B9F" w:rsidP="008E4B9F">
      <w:pPr>
        <w:pStyle w:val="UtilComHeading2"/>
      </w:pPr>
      <w:bookmarkStart w:id="301" w:name="_Toc385241573"/>
      <w:bookmarkStart w:id="302" w:name="_Toc386013126"/>
      <w:r>
        <w:t xml:space="preserve">Commission’s </w:t>
      </w:r>
      <w:r w:rsidR="0043071F">
        <w:t xml:space="preserve">Draft </w:t>
      </w:r>
      <w:bookmarkEnd w:id="301"/>
      <w:r w:rsidR="0043071F">
        <w:t>Decision</w:t>
      </w:r>
      <w:bookmarkEnd w:id="302"/>
    </w:p>
    <w:p w14:paraId="686F198F" w14:textId="3B1C4000" w:rsidR="007A729A" w:rsidRPr="000B0B58" w:rsidRDefault="007A729A" w:rsidP="007A729A">
      <w:pPr>
        <w:pStyle w:val="NumberLevel2"/>
        <w:numPr>
          <w:ilvl w:val="1"/>
          <w:numId w:val="5"/>
        </w:numPr>
        <w:ind w:left="709" w:hanging="709"/>
        <w:rPr>
          <w:lang w:val="en-AU"/>
        </w:rPr>
      </w:pPr>
      <w:r w:rsidRPr="000B0B58">
        <w:rPr>
          <w:lang w:val="en-AU"/>
        </w:rPr>
        <w:t xml:space="preserve">The </w:t>
      </w:r>
      <w:r>
        <w:rPr>
          <w:lang w:val="en-AU"/>
        </w:rPr>
        <w:t>Commission</w:t>
      </w:r>
      <w:r w:rsidRPr="000B0B58">
        <w:rPr>
          <w:lang w:val="en-AU"/>
        </w:rPr>
        <w:t>’s decision</w:t>
      </w:r>
      <w:r w:rsidR="00BD61D5">
        <w:rPr>
          <w:lang w:val="en-AU"/>
        </w:rPr>
        <w:t xml:space="preserve"> in the Draft Determination</w:t>
      </w:r>
      <w:r w:rsidRPr="000B0B58">
        <w:rPr>
          <w:lang w:val="en-AU"/>
        </w:rPr>
        <w:t xml:space="preserve"> result</w:t>
      </w:r>
      <w:r>
        <w:rPr>
          <w:lang w:val="en-AU"/>
        </w:rPr>
        <w:t>ed</w:t>
      </w:r>
      <w:r w:rsidRPr="000B0B58">
        <w:rPr>
          <w:lang w:val="en-AU"/>
        </w:rPr>
        <w:t xml:space="preserve"> in a total revenue requirement </w:t>
      </w:r>
      <w:r>
        <w:rPr>
          <w:lang w:val="en-AU"/>
        </w:rPr>
        <w:t xml:space="preserve">(exclusive of cost pass through carryovers) </w:t>
      </w:r>
      <w:r w:rsidRPr="000B0B58">
        <w:rPr>
          <w:lang w:val="en-AU"/>
        </w:rPr>
        <w:t xml:space="preserve">over the </w:t>
      </w:r>
      <w:r w:rsidR="007669D5">
        <w:rPr>
          <w:lang w:val="en-AU"/>
        </w:rPr>
        <w:t>2014-19</w:t>
      </w:r>
      <w:r w:rsidR="007669D5" w:rsidRPr="000B0B58">
        <w:rPr>
          <w:lang w:val="en-AU"/>
        </w:rPr>
        <w:t xml:space="preserve"> </w:t>
      </w:r>
      <w:r w:rsidRPr="000B0B58">
        <w:rPr>
          <w:lang w:val="en-AU"/>
        </w:rPr>
        <w:t>regulatory control period of $</w:t>
      </w:r>
      <w:r>
        <w:rPr>
          <w:lang w:val="en-AU"/>
        </w:rPr>
        <w:t>1</w:t>
      </w:r>
      <w:r w:rsidR="00BD61D5">
        <w:rPr>
          <w:lang w:val="en-AU"/>
        </w:rPr>
        <w:t> </w:t>
      </w:r>
      <w:r>
        <w:rPr>
          <w:lang w:val="en-AU"/>
        </w:rPr>
        <w:t>074.</w:t>
      </w:r>
      <w:r w:rsidR="00BD61D5">
        <w:rPr>
          <w:lang w:val="en-AU"/>
        </w:rPr>
        <w:t>0 </w:t>
      </w:r>
      <w:r w:rsidRPr="000B0B58">
        <w:rPr>
          <w:lang w:val="en-AU"/>
        </w:rPr>
        <w:t>million, compared to $</w:t>
      </w:r>
      <w:r>
        <w:rPr>
          <w:lang w:val="en-AU"/>
        </w:rPr>
        <w:t>1</w:t>
      </w:r>
      <w:r w:rsidR="00BD61D5">
        <w:rPr>
          <w:lang w:val="en-AU"/>
        </w:rPr>
        <w:t> </w:t>
      </w:r>
      <w:r>
        <w:rPr>
          <w:lang w:val="en-AU"/>
        </w:rPr>
        <w:t>183.</w:t>
      </w:r>
      <w:r w:rsidR="00BD61D5">
        <w:rPr>
          <w:lang w:val="en-AU"/>
        </w:rPr>
        <w:t>7 </w:t>
      </w:r>
      <w:r w:rsidRPr="000B0B58">
        <w:rPr>
          <w:lang w:val="en-AU"/>
        </w:rPr>
        <w:t xml:space="preserve">million proposed by </w:t>
      </w:r>
      <w:r>
        <w:rPr>
          <w:lang w:val="en-AU"/>
        </w:rPr>
        <w:t>PWC Networks. Inclusion of the cost pass through carryover increases these figures to $1</w:t>
      </w:r>
      <w:r w:rsidR="00BD61D5">
        <w:rPr>
          <w:lang w:val="en-AU"/>
        </w:rPr>
        <w:t> </w:t>
      </w:r>
      <w:r>
        <w:rPr>
          <w:lang w:val="en-AU"/>
        </w:rPr>
        <w:t>116.</w:t>
      </w:r>
      <w:r w:rsidR="00BD61D5">
        <w:rPr>
          <w:lang w:val="en-AU"/>
        </w:rPr>
        <w:t>2 </w:t>
      </w:r>
      <w:r>
        <w:rPr>
          <w:lang w:val="en-AU"/>
        </w:rPr>
        <w:t>million and $1</w:t>
      </w:r>
      <w:r w:rsidR="00BD61D5">
        <w:rPr>
          <w:lang w:val="en-AU"/>
        </w:rPr>
        <w:t> </w:t>
      </w:r>
      <w:r>
        <w:rPr>
          <w:lang w:val="en-AU"/>
        </w:rPr>
        <w:t>230.</w:t>
      </w:r>
      <w:r w:rsidR="00BD61D5">
        <w:rPr>
          <w:lang w:val="en-AU"/>
        </w:rPr>
        <w:t>2 </w:t>
      </w:r>
      <w:r>
        <w:rPr>
          <w:lang w:val="en-AU"/>
        </w:rPr>
        <w:t>million respectively</w:t>
      </w:r>
      <w:r w:rsidRPr="000B0B58">
        <w:rPr>
          <w:lang w:val="en-AU"/>
        </w:rPr>
        <w:t xml:space="preserve">. The main reasons for </w:t>
      </w:r>
      <w:r w:rsidR="00B62822">
        <w:rPr>
          <w:lang w:val="en-AU"/>
        </w:rPr>
        <w:t>these differences</w:t>
      </w:r>
      <w:r w:rsidRPr="000B0B58">
        <w:rPr>
          <w:lang w:val="en-AU"/>
        </w:rPr>
        <w:t xml:space="preserve"> reflect the net effect of:</w:t>
      </w:r>
    </w:p>
    <w:p w14:paraId="093477D7" w14:textId="77777777" w:rsidR="007A729A" w:rsidRDefault="007A729A" w:rsidP="00DD200F">
      <w:pPr>
        <w:pStyle w:val="UtilComBulletText"/>
        <w:numPr>
          <w:ilvl w:val="0"/>
          <w:numId w:val="6"/>
        </w:numPr>
        <w:tabs>
          <w:tab w:val="clear" w:pos="964"/>
          <w:tab w:val="num" w:pos="1134"/>
        </w:tabs>
        <w:ind w:left="1134"/>
      </w:pPr>
      <w:r w:rsidRPr="000B0B58">
        <w:t>removal of $</w:t>
      </w:r>
      <w:r>
        <w:t>57.8</w:t>
      </w:r>
      <w:r w:rsidRPr="000B0B58">
        <w:t xml:space="preserve"> million from </w:t>
      </w:r>
      <w:r>
        <w:t>PWC Networks’</w:t>
      </w:r>
      <w:r w:rsidRPr="000B0B58">
        <w:t xml:space="preserve"> forecast capex</w:t>
      </w:r>
      <w:r>
        <w:t>;</w:t>
      </w:r>
    </w:p>
    <w:p w14:paraId="3CE6345E" w14:textId="4572B6AA" w:rsidR="007A729A" w:rsidRPr="000B0B58" w:rsidRDefault="007A729A" w:rsidP="00DD200F">
      <w:pPr>
        <w:pStyle w:val="UtilComBulletText"/>
        <w:numPr>
          <w:ilvl w:val="0"/>
          <w:numId w:val="6"/>
        </w:numPr>
        <w:tabs>
          <w:tab w:val="clear" w:pos="964"/>
          <w:tab w:val="num" w:pos="1134"/>
        </w:tabs>
        <w:ind w:left="1134"/>
      </w:pPr>
      <w:r w:rsidRPr="000B0B58">
        <w:t>removal of $</w:t>
      </w:r>
      <w:r>
        <w:t>57.8</w:t>
      </w:r>
      <w:r w:rsidRPr="000B0B58">
        <w:t xml:space="preserve"> million from </w:t>
      </w:r>
      <w:r>
        <w:t>PWC Networks</w:t>
      </w:r>
      <w:r w:rsidRPr="000B0B58">
        <w:t xml:space="preserve"> forecast opex</w:t>
      </w:r>
      <w:r>
        <w:t xml:space="preserve">, which includes a global efficiency </w:t>
      </w:r>
      <w:r w:rsidRPr="0042131C">
        <w:t>adjustment of $25.2 million</w:t>
      </w:r>
      <w:r>
        <w:t xml:space="preserve"> to bring PWC Networks</w:t>
      </w:r>
      <w:r w:rsidRPr="0042131C">
        <w:t xml:space="preserve"> closer to the average </w:t>
      </w:r>
      <w:r w:rsidR="00BD61D5">
        <w:t xml:space="preserve">efficiency </w:t>
      </w:r>
      <w:r w:rsidRPr="0042131C">
        <w:t>achieved by its peers</w:t>
      </w:r>
      <w:r>
        <w:t xml:space="preserve">; </w:t>
      </w:r>
    </w:p>
    <w:p w14:paraId="6673DC01" w14:textId="5CD680CE" w:rsidR="007A729A" w:rsidRDefault="007A729A" w:rsidP="00DD200F">
      <w:pPr>
        <w:pStyle w:val="UtilComBulletText"/>
        <w:numPr>
          <w:ilvl w:val="0"/>
          <w:numId w:val="6"/>
        </w:numPr>
        <w:tabs>
          <w:tab w:val="clear" w:pos="964"/>
          <w:tab w:val="num" w:pos="1134"/>
        </w:tabs>
        <w:ind w:left="1134"/>
      </w:pPr>
      <w:r w:rsidRPr="000B0B58">
        <w:t xml:space="preserve">a </w:t>
      </w:r>
      <w:r>
        <w:t>low</w:t>
      </w:r>
      <w:r w:rsidRPr="000B0B58">
        <w:t>er WACC</w:t>
      </w:r>
      <w:r>
        <w:t xml:space="preserve"> of 8.12 per cent</w:t>
      </w:r>
      <w:r w:rsidRPr="000B0B58">
        <w:t xml:space="preserve"> than </w:t>
      </w:r>
      <w:r>
        <w:t xml:space="preserve">the </w:t>
      </w:r>
      <w:r w:rsidRPr="000B0B58">
        <w:t xml:space="preserve">proposed </w:t>
      </w:r>
      <w:r>
        <w:t xml:space="preserve">8.80 per cent </w:t>
      </w:r>
      <w:r w:rsidRPr="000B0B58">
        <w:t xml:space="preserve">by </w:t>
      </w:r>
      <w:r>
        <w:t xml:space="preserve">PWC Networks, due to the adoption of equity beta of 0.7 and updating of </w:t>
      </w:r>
      <w:r w:rsidR="00BD61D5">
        <w:t xml:space="preserve">WACC </w:t>
      </w:r>
      <w:r>
        <w:t>parameters based on observed market data; and</w:t>
      </w:r>
    </w:p>
    <w:p w14:paraId="05CBF4BF" w14:textId="77777777" w:rsidR="007A729A" w:rsidRPr="000B0B58" w:rsidRDefault="007A729A" w:rsidP="00DD200F">
      <w:pPr>
        <w:pStyle w:val="UtilComBulletText"/>
        <w:numPr>
          <w:ilvl w:val="0"/>
          <w:numId w:val="6"/>
        </w:numPr>
        <w:tabs>
          <w:tab w:val="clear" w:pos="964"/>
          <w:tab w:val="num" w:pos="1134"/>
        </w:tabs>
        <w:ind w:left="1134"/>
      </w:pPr>
      <w:r>
        <w:t>a reduction of $4.3 million to remove double counting of indexation for inflation on the carryover of the cost pass through previously approved by the Commission</w:t>
      </w:r>
      <w:r w:rsidRPr="000B0B58">
        <w:t>.</w:t>
      </w:r>
    </w:p>
    <w:p w14:paraId="11C7F42E" w14:textId="77777777" w:rsidR="00747203" w:rsidRDefault="00747203" w:rsidP="007A729A">
      <w:pPr>
        <w:pStyle w:val="UtilComTableTitle"/>
        <w:keepNext/>
        <w:spacing w:before="120" w:after="0" w:line="240" w:lineRule="exact"/>
      </w:pPr>
    </w:p>
    <w:p w14:paraId="74A43C60" w14:textId="77777777" w:rsidR="00033B04" w:rsidRDefault="00033B04">
      <w:pPr>
        <w:spacing w:before="0" w:after="0" w:line="240" w:lineRule="auto"/>
        <w:rPr>
          <w:rFonts w:cs="Arial"/>
          <w:spacing w:val="-14"/>
          <w:szCs w:val="22"/>
          <w:lang w:val="en-AU"/>
        </w:rPr>
      </w:pPr>
      <w:r>
        <w:br w:type="page"/>
      </w:r>
    </w:p>
    <w:p w14:paraId="7C7909D1" w14:textId="53FB8EDB" w:rsidR="007A729A" w:rsidRPr="00A139AD" w:rsidRDefault="007A729A" w:rsidP="007A729A">
      <w:pPr>
        <w:pStyle w:val="UtilComTableTitle"/>
        <w:keepNext/>
        <w:spacing w:before="120" w:after="0" w:line="240" w:lineRule="exact"/>
      </w:pPr>
      <w:r>
        <w:t>Table 1</w:t>
      </w:r>
      <w:r w:rsidR="00036DA7">
        <w:t>4</w:t>
      </w:r>
      <w:r>
        <w:t>.5: Commission</w:t>
      </w:r>
      <w:r w:rsidR="00BD61D5">
        <w:t>’s</w:t>
      </w:r>
      <w:r>
        <w:t xml:space="preserve"> </w:t>
      </w:r>
      <w:r w:rsidR="00BD61D5">
        <w:t>decision in the Draft Determination</w:t>
      </w:r>
      <w:r>
        <w:t xml:space="preserve"> on roll forward of PWC Networks’ </w:t>
      </w:r>
      <w:r w:rsidR="00BD61D5">
        <w:t>RAB</w:t>
      </w:r>
      <w:r w:rsidRPr="006A402B">
        <w:t xml:space="preserve"> ($</w:t>
      </w:r>
      <w:r>
        <w:t>M</w:t>
      </w:r>
      <w:r w:rsidRPr="006A402B">
        <w:t>,</w:t>
      </w:r>
      <w:r w:rsidR="00747203">
        <w:t> </w:t>
      </w:r>
      <w:r w:rsidRPr="006A402B">
        <w:t>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3544"/>
        <w:gridCol w:w="1134"/>
        <w:gridCol w:w="1134"/>
        <w:gridCol w:w="1134"/>
        <w:gridCol w:w="1134"/>
        <w:gridCol w:w="1134"/>
      </w:tblGrid>
      <w:tr w:rsidR="007A729A" w:rsidRPr="008A4655" w14:paraId="2E6EC8FD" w14:textId="77777777" w:rsidTr="00B12B0C">
        <w:trPr>
          <w:cantSplit/>
          <w:trHeight w:val="360"/>
        </w:trPr>
        <w:tc>
          <w:tcPr>
            <w:tcW w:w="3544" w:type="dxa"/>
            <w:tcBorders>
              <w:top w:val="single" w:sz="4" w:space="0" w:color="999999"/>
              <w:bottom w:val="single" w:sz="4" w:space="0" w:color="auto"/>
            </w:tcBorders>
          </w:tcPr>
          <w:p w14:paraId="4A7A8D3D" w14:textId="77777777" w:rsidR="007A729A" w:rsidRPr="00EE5A08" w:rsidRDefault="007A729A" w:rsidP="00B12B0C">
            <w:pPr>
              <w:pStyle w:val="UtilComTabletext"/>
              <w:rPr>
                <w:b/>
              </w:rPr>
            </w:pPr>
          </w:p>
        </w:tc>
        <w:tc>
          <w:tcPr>
            <w:tcW w:w="1134" w:type="dxa"/>
            <w:tcBorders>
              <w:top w:val="single" w:sz="4" w:space="0" w:color="999999"/>
              <w:bottom w:val="single" w:sz="4" w:space="0" w:color="auto"/>
            </w:tcBorders>
          </w:tcPr>
          <w:p w14:paraId="5A892FCE" w14:textId="77777777" w:rsidR="007A729A" w:rsidRPr="00EE5A08" w:rsidRDefault="007A729A" w:rsidP="00B12B0C">
            <w:pPr>
              <w:pStyle w:val="UtilComTabletext"/>
              <w:jc w:val="right"/>
              <w:rPr>
                <w:b/>
              </w:rPr>
            </w:pPr>
            <w:r>
              <w:rPr>
                <w:b/>
              </w:rPr>
              <w:t>2014-15</w:t>
            </w:r>
          </w:p>
        </w:tc>
        <w:tc>
          <w:tcPr>
            <w:tcW w:w="1134" w:type="dxa"/>
            <w:tcBorders>
              <w:top w:val="single" w:sz="4" w:space="0" w:color="999999"/>
              <w:bottom w:val="single" w:sz="4" w:space="0" w:color="auto"/>
            </w:tcBorders>
          </w:tcPr>
          <w:p w14:paraId="5BFBD916" w14:textId="77777777" w:rsidR="007A729A" w:rsidRPr="00EE5A08" w:rsidRDefault="007A729A" w:rsidP="00B12B0C">
            <w:pPr>
              <w:pStyle w:val="UtilComTabletext"/>
              <w:jc w:val="right"/>
              <w:rPr>
                <w:b/>
              </w:rPr>
            </w:pPr>
            <w:r>
              <w:rPr>
                <w:b/>
              </w:rPr>
              <w:t>2015-16</w:t>
            </w:r>
          </w:p>
        </w:tc>
        <w:tc>
          <w:tcPr>
            <w:tcW w:w="1134" w:type="dxa"/>
            <w:tcBorders>
              <w:top w:val="single" w:sz="4" w:space="0" w:color="999999"/>
              <w:bottom w:val="single" w:sz="4" w:space="0" w:color="auto"/>
            </w:tcBorders>
          </w:tcPr>
          <w:p w14:paraId="67C4065E" w14:textId="77777777" w:rsidR="007A729A" w:rsidRDefault="007A729A" w:rsidP="00B12B0C">
            <w:pPr>
              <w:pStyle w:val="UtilComTabletext"/>
              <w:jc w:val="right"/>
              <w:rPr>
                <w:b/>
              </w:rPr>
            </w:pPr>
            <w:r>
              <w:rPr>
                <w:b/>
              </w:rPr>
              <w:t>2016-17</w:t>
            </w:r>
          </w:p>
        </w:tc>
        <w:tc>
          <w:tcPr>
            <w:tcW w:w="1134" w:type="dxa"/>
            <w:tcBorders>
              <w:top w:val="single" w:sz="4" w:space="0" w:color="999999"/>
              <w:bottom w:val="single" w:sz="4" w:space="0" w:color="auto"/>
            </w:tcBorders>
          </w:tcPr>
          <w:p w14:paraId="66353B22" w14:textId="77777777" w:rsidR="007A729A" w:rsidRDefault="007A729A" w:rsidP="00B12B0C">
            <w:pPr>
              <w:pStyle w:val="UtilComTabletext"/>
              <w:jc w:val="right"/>
              <w:rPr>
                <w:b/>
              </w:rPr>
            </w:pPr>
            <w:r>
              <w:rPr>
                <w:b/>
              </w:rPr>
              <w:t>2017-18</w:t>
            </w:r>
          </w:p>
        </w:tc>
        <w:tc>
          <w:tcPr>
            <w:tcW w:w="1134" w:type="dxa"/>
            <w:tcBorders>
              <w:top w:val="single" w:sz="4" w:space="0" w:color="999999"/>
              <w:bottom w:val="single" w:sz="4" w:space="0" w:color="auto"/>
            </w:tcBorders>
          </w:tcPr>
          <w:p w14:paraId="232A7247" w14:textId="77777777" w:rsidR="007A729A" w:rsidRPr="00EE5A08" w:rsidRDefault="007A729A" w:rsidP="00B12B0C">
            <w:pPr>
              <w:pStyle w:val="UtilComTabletext"/>
              <w:jc w:val="right"/>
              <w:rPr>
                <w:b/>
              </w:rPr>
            </w:pPr>
            <w:r>
              <w:rPr>
                <w:b/>
              </w:rPr>
              <w:t>2018-19</w:t>
            </w:r>
          </w:p>
        </w:tc>
      </w:tr>
      <w:tr w:rsidR="007A729A" w:rsidRPr="008A4655" w14:paraId="3CC53659" w14:textId="77777777" w:rsidTr="00B12B0C">
        <w:trPr>
          <w:cantSplit/>
          <w:trHeight w:val="360"/>
        </w:trPr>
        <w:tc>
          <w:tcPr>
            <w:tcW w:w="3544" w:type="dxa"/>
            <w:tcBorders>
              <w:top w:val="single" w:sz="4" w:space="0" w:color="auto"/>
              <w:bottom w:val="single" w:sz="4" w:space="0" w:color="999999"/>
            </w:tcBorders>
          </w:tcPr>
          <w:p w14:paraId="6B21586A" w14:textId="77777777" w:rsidR="007A729A" w:rsidRDefault="007A729A" w:rsidP="00B12B0C">
            <w:pPr>
              <w:pStyle w:val="UtilComTabletext"/>
            </w:pPr>
            <w:r>
              <w:t>Opening RAB</w:t>
            </w:r>
          </w:p>
        </w:tc>
        <w:tc>
          <w:tcPr>
            <w:tcW w:w="1134" w:type="dxa"/>
            <w:tcBorders>
              <w:top w:val="single" w:sz="4" w:space="0" w:color="auto"/>
              <w:bottom w:val="single" w:sz="4" w:space="0" w:color="999999"/>
            </w:tcBorders>
          </w:tcPr>
          <w:p w14:paraId="7949D7C9" w14:textId="77777777" w:rsidR="007A729A" w:rsidRDefault="007A729A" w:rsidP="00B12B0C">
            <w:pPr>
              <w:pStyle w:val="UtilComTabletext"/>
              <w:jc w:val="right"/>
            </w:pPr>
            <w:r>
              <w:t>930.06</w:t>
            </w:r>
          </w:p>
        </w:tc>
        <w:tc>
          <w:tcPr>
            <w:tcW w:w="1134" w:type="dxa"/>
            <w:tcBorders>
              <w:top w:val="single" w:sz="4" w:space="0" w:color="auto"/>
              <w:bottom w:val="single" w:sz="4" w:space="0" w:color="999999"/>
            </w:tcBorders>
          </w:tcPr>
          <w:p w14:paraId="20E82ED6" w14:textId="77777777" w:rsidR="007A729A" w:rsidRDefault="007A729A" w:rsidP="00B12B0C">
            <w:pPr>
              <w:pStyle w:val="UtilComTabletext"/>
              <w:jc w:val="right"/>
            </w:pPr>
            <w:r>
              <w:t>975.82</w:t>
            </w:r>
          </w:p>
        </w:tc>
        <w:tc>
          <w:tcPr>
            <w:tcW w:w="1134" w:type="dxa"/>
            <w:tcBorders>
              <w:top w:val="single" w:sz="4" w:space="0" w:color="auto"/>
              <w:bottom w:val="single" w:sz="4" w:space="0" w:color="999999"/>
            </w:tcBorders>
          </w:tcPr>
          <w:p w14:paraId="0659821D" w14:textId="77777777" w:rsidR="007A729A" w:rsidRDefault="007A729A" w:rsidP="00B12B0C">
            <w:pPr>
              <w:pStyle w:val="UtilComTabletext"/>
              <w:jc w:val="right"/>
            </w:pPr>
            <w:r>
              <w:t>995.86</w:t>
            </w:r>
          </w:p>
        </w:tc>
        <w:tc>
          <w:tcPr>
            <w:tcW w:w="1134" w:type="dxa"/>
            <w:tcBorders>
              <w:top w:val="single" w:sz="4" w:space="0" w:color="auto"/>
              <w:bottom w:val="single" w:sz="4" w:space="0" w:color="999999"/>
            </w:tcBorders>
          </w:tcPr>
          <w:p w14:paraId="32E1591E" w14:textId="1156CD51" w:rsidR="007A729A" w:rsidRDefault="007A729A" w:rsidP="00BD61D5">
            <w:pPr>
              <w:pStyle w:val="UtilComTabletext"/>
              <w:jc w:val="right"/>
            </w:pPr>
            <w:r>
              <w:t>1</w:t>
            </w:r>
            <w:r w:rsidR="00BD61D5">
              <w:t> </w:t>
            </w:r>
            <w:r>
              <w:t>009.90</w:t>
            </w:r>
          </w:p>
        </w:tc>
        <w:tc>
          <w:tcPr>
            <w:tcW w:w="1134" w:type="dxa"/>
            <w:tcBorders>
              <w:top w:val="single" w:sz="4" w:space="0" w:color="auto"/>
              <w:bottom w:val="single" w:sz="4" w:space="0" w:color="999999"/>
            </w:tcBorders>
          </w:tcPr>
          <w:p w14:paraId="0A24B1CA" w14:textId="4A0F5286" w:rsidR="007A729A" w:rsidRDefault="007A729A" w:rsidP="00BD61D5">
            <w:pPr>
              <w:pStyle w:val="UtilComTabletext"/>
              <w:jc w:val="right"/>
            </w:pPr>
            <w:r>
              <w:t>1</w:t>
            </w:r>
            <w:r w:rsidR="00BD61D5">
              <w:t> </w:t>
            </w:r>
            <w:r>
              <w:t>028.01</w:t>
            </w:r>
          </w:p>
        </w:tc>
      </w:tr>
      <w:tr w:rsidR="007A729A" w:rsidRPr="008A4655" w14:paraId="324D4993" w14:textId="77777777" w:rsidTr="00B12B0C">
        <w:trPr>
          <w:cantSplit/>
          <w:trHeight w:val="360"/>
        </w:trPr>
        <w:tc>
          <w:tcPr>
            <w:tcW w:w="3544" w:type="dxa"/>
            <w:tcBorders>
              <w:top w:val="single" w:sz="4" w:space="0" w:color="999999"/>
              <w:bottom w:val="single" w:sz="4" w:space="0" w:color="999999"/>
            </w:tcBorders>
          </w:tcPr>
          <w:p w14:paraId="74C2D55C" w14:textId="77777777" w:rsidR="007A729A" w:rsidRDefault="007A729A" w:rsidP="00B12B0C">
            <w:pPr>
              <w:pStyle w:val="UtilComTabletext"/>
            </w:pPr>
            <w:r>
              <w:t xml:space="preserve">Net capex </w:t>
            </w:r>
            <w:r w:rsidRPr="00FF15EF">
              <w:rPr>
                <w:vertAlign w:val="superscript"/>
              </w:rPr>
              <w:t>(a)</w:t>
            </w:r>
          </w:p>
        </w:tc>
        <w:tc>
          <w:tcPr>
            <w:tcW w:w="1134" w:type="dxa"/>
            <w:tcBorders>
              <w:top w:val="single" w:sz="4" w:space="0" w:color="999999"/>
              <w:bottom w:val="single" w:sz="4" w:space="0" w:color="999999"/>
            </w:tcBorders>
          </w:tcPr>
          <w:p w14:paraId="7180333D" w14:textId="77777777" w:rsidR="007A729A" w:rsidRDefault="007A729A" w:rsidP="00B12B0C">
            <w:pPr>
              <w:pStyle w:val="UtilComTabletext"/>
              <w:jc w:val="right"/>
            </w:pPr>
            <w:r>
              <w:t>74.25</w:t>
            </w:r>
          </w:p>
        </w:tc>
        <w:tc>
          <w:tcPr>
            <w:tcW w:w="1134" w:type="dxa"/>
            <w:tcBorders>
              <w:top w:val="single" w:sz="4" w:space="0" w:color="999999"/>
              <w:bottom w:val="single" w:sz="4" w:space="0" w:color="999999"/>
            </w:tcBorders>
          </w:tcPr>
          <w:p w14:paraId="5E3A9EEC" w14:textId="77777777" w:rsidR="007A729A" w:rsidRPr="00296E5E" w:rsidRDefault="007A729A" w:rsidP="00B12B0C">
            <w:pPr>
              <w:pStyle w:val="UtilComTabletext"/>
              <w:jc w:val="right"/>
            </w:pPr>
            <w:r>
              <w:t>51.17</w:t>
            </w:r>
          </w:p>
        </w:tc>
        <w:tc>
          <w:tcPr>
            <w:tcW w:w="1134" w:type="dxa"/>
            <w:tcBorders>
              <w:top w:val="single" w:sz="4" w:space="0" w:color="999999"/>
              <w:bottom w:val="single" w:sz="4" w:space="0" w:color="999999"/>
            </w:tcBorders>
          </w:tcPr>
          <w:p w14:paraId="09EFB601" w14:textId="77777777" w:rsidR="007A729A" w:rsidRPr="00296E5E" w:rsidRDefault="007A729A" w:rsidP="00B12B0C">
            <w:pPr>
              <w:pStyle w:val="UtilComTabletext"/>
              <w:jc w:val="right"/>
            </w:pPr>
            <w:r>
              <w:t>41.17</w:t>
            </w:r>
          </w:p>
        </w:tc>
        <w:tc>
          <w:tcPr>
            <w:tcW w:w="1134" w:type="dxa"/>
            <w:tcBorders>
              <w:top w:val="single" w:sz="4" w:space="0" w:color="999999"/>
              <w:bottom w:val="single" w:sz="4" w:space="0" w:color="999999"/>
            </w:tcBorders>
          </w:tcPr>
          <w:p w14:paraId="4C25F7EA" w14:textId="77777777" w:rsidR="007A729A" w:rsidRPr="00296E5E" w:rsidRDefault="007A729A" w:rsidP="00B12B0C">
            <w:pPr>
              <w:pStyle w:val="UtilComTabletext"/>
              <w:jc w:val="right"/>
            </w:pPr>
            <w:r>
              <w:t>47.02</w:t>
            </w:r>
          </w:p>
        </w:tc>
        <w:tc>
          <w:tcPr>
            <w:tcW w:w="1134" w:type="dxa"/>
            <w:tcBorders>
              <w:top w:val="single" w:sz="4" w:space="0" w:color="999999"/>
              <w:bottom w:val="single" w:sz="4" w:space="0" w:color="999999"/>
            </w:tcBorders>
          </w:tcPr>
          <w:p w14:paraId="67A4A4A5" w14:textId="77777777" w:rsidR="007A729A" w:rsidRDefault="007A729A" w:rsidP="00B12B0C">
            <w:pPr>
              <w:pStyle w:val="UtilComTabletext"/>
              <w:jc w:val="right"/>
            </w:pPr>
            <w:r>
              <w:t>59.24</w:t>
            </w:r>
          </w:p>
        </w:tc>
      </w:tr>
      <w:tr w:rsidR="007A729A" w:rsidRPr="008A4655" w14:paraId="7228CD21" w14:textId="77777777" w:rsidTr="00B12B0C">
        <w:trPr>
          <w:cantSplit/>
          <w:trHeight w:val="360"/>
        </w:trPr>
        <w:tc>
          <w:tcPr>
            <w:tcW w:w="3544" w:type="dxa"/>
            <w:tcBorders>
              <w:top w:val="single" w:sz="4" w:space="0" w:color="999999"/>
              <w:bottom w:val="single" w:sz="4" w:space="0" w:color="999999"/>
            </w:tcBorders>
          </w:tcPr>
          <w:p w14:paraId="5A0C5B00" w14:textId="77777777" w:rsidR="007A729A" w:rsidRDefault="007A729A" w:rsidP="00B12B0C">
            <w:pPr>
              <w:pStyle w:val="UtilComTabletext"/>
            </w:pPr>
            <w:r>
              <w:t>Indexation of the opening RAB</w:t>
            </w:r>
          </w:p>
        </w:tc>
        <w:tc>
          <w:tcPr>
            <w:tcW w:w="1134" w:type="dxa"/>
            <w:tcBorders>
              <w:top w:val="single" w:sz="4" w:space="0" w:color="999999"/>
              <w:bottom w:val="single" w:sz="4" w:space="0" w:color="999999"/>
            </w:tcBorders>
          </w:tcPr>
          <w:p w14:paraId="270BFD99" w14:textId="77777777" w:rsidR="007A729A" w:rsidRDefault="007A729A" w:rsidP="00B12B0C">
            <w:pPr>
              <w:pStyle w:val="UtilComTabletext"/>
              <w:jc w:val="right"/>
            </w:pPr>
            <w:r>
              <w:t>23.38</w:t>
            </w:r>
          </w:p>
        </w:tc>
        <w:tc>
          <w:tcPr>
            <w:tcW w:w="1134" w:type="dxa"/>
            <w:tcBorders>
              <w:top w:val="single" w:sz="4" w:space="0" w:color="999999"/>
              <w:bottom w:val="single" w:sz="4" w:space="0" w:color="999999"/>
            </w:tcBorders>
          </w:tcPr>
          <w:p w14:paraId="120C8DF5" w14:textId="77777777" w:rsidR="007A729A" w:rsidRDefault="007A729A" w:rsidP="00B12B0C">
            <w:pPr>
              <w:pStyle w:val="UtilComTabletext"/>
              <w:jc w:val="right"/>
            </w:pPr>
            <w:r>
              <w:t>24.53</w:t>
            </w:r>
          </w:p>
        </w:tc>
        <w:tc>
          <w:tcPr>
            <w:tcW w:w="1134" w:type="dxa"/>
            <w:tcBorders>
              <w:top w:val="single" w:sz="4" w:space="0" w:color="999999"/>
              <w:bottom w:val="single" w:sz="4" w:space="0" w:color="999999"/>
            </w:tcBorders>
          </w:tcPr>
          <w:p w14:paraId="06AEAC66" w14:textId="77777777" w:rsidR="007A729A" w:rsidRDefault="007A729A" w:rsidP="00B12B0C">
            <w:pPr>
              <w:pStyle w:val="UtilComTabletext"/>
              <w:jc w:val="right"/>
            </w:pPr>
            <w:r>
              <w:t>25.03</w:t>
            </w:r>
          </w:p>
        </w:tc>
        <w:tc>
          <w:tcPr>
            <w:tcW w:w="1134" w:type="dxa"/>
            <w:tcBorders>
              <w:top w:val="single" w:sz="4" w:space="0" w:color="999999"/>
              <w:bottom w:val="single" w:sz="4" w:space="0" w:color="999999"/>
            </w:tcBorders>
          </w:tcPr>
          <w:p w14:paraId="761887F6" w14:textId="77777777" w:rsidR="007A729A" w:rsidRDefault="007A729A" w:rsidP="00B12B0C">
            <w:pPr>
              <w:pStyle w:val="UtilComTabletext"/>
              <w:jc w:val="right"/>
            </w:pPr>
            <w:r>
              <w:t>25.39</w:t>
            </w:r>
          </w:p>
        </w:tc>
        <w:tc>
          <w:tcPr>
            <w:tcW w:w="1134" w:type="dxa"/>
            <w:tcBorders>
              <w:top w:val="single" w:sz="4" w:space="0" w:color="999999"/>
              <w:bottom w:val="single" w:sz="4" w:space="0" w:color="999999"/>
            </w:tcBorders>
          </w:tcPr>
          <w:p w14:paraId="2624F070" w14:textId="77777777" w:rsidR="007A729A" w:rsidRDefault="007A729A" w:rsidP="00B12B0C">
            <w:pPr>
              <w:pStyle w:val="UtilComTabletext"/>
              <w:jc w:val="right"/>
            </w:pPr>
            <w:r>
              <w:t>25.84</w:t>
            </w:r>
          </w:p>
        </w:tc>
      </w:tr>
      <w:tr w:rsidR="007A729A" w:rsidRPr="008A4655" w14:paraId="16587905" w14:textId="77777777" w:rsidTr="00B12B0C">
        <w:trPr>
          <w:cantSplit/>
          <w:trHeight w:val="360"/>
        </w:trPr>
        <w:tc>
          <w:tcPr>
            <w:tcW w:w="3544" w:type="dxa"/>
            <w:tcBorders>
              <w:top w:val="single" w:sz="4" w:space="0" w:color="999999"/>
              <w:bottom w:val="single" w:sz="4" w:space="0" w:color="auto"/>
            </w:tcBorders>
          </w:tcPr>
          <w:p w14:paraId="22526007" w14:textId="77777777" w:rsidR="007A729A" w:rsidRDefault="007A729A" w:rsidP="00B12B0C">
            <w:pPr>
              <w:pStyle w:val="UtilComTabletext"/>
            </w:pPr>
            <w:r>
              <w:t>Straight-line depreciation</w:t>
            </w:r>
          </w:p>
        </w:tc>
        <w:tc>
          <w:tcPr>
            <w:tcW w:w="1134" w:type="dxa"/>
            <w:tcBorders>
              <w:top w:val="single" w:sz="4" w:space="0" w:color="999999"/>
              <w:bottom w:val="single" w:sz="4" w:space="0" w:color="auto"/>
            </w:tcBorders>
          </w:tcPr>
          <w:p w14:paraId="4D3ABBBE" w14:textId="77777777" w:rsidR="007A729A" w:rsidRDefault="007A729A" w:rsidP="00B12B0C">
            <w:pPr>
              <w:pStyle w:val="UtilComTabletext"/>
              <w:jc w:val="right"/>
            </w:pPr>
            <w:r>
              <w:t>51.87</w:t>
            </w:r>
          </w:p>
        </w:tc>
        <w:tc>
          <w:tcPr>
            <w:tcW w:w="1134" w:type="dxa"/>
            <w:tcBorders>
              <w:top w:val="single" w:sz="4" w:space="0" w:color="999999"/>
              <w:bottom w:val="single" w:sz="4" w:space="0" w:color="auto"/>
            </w:tcBorders>
          </w:tcPr>
          <w:p w14:paraId="614141A3" w14:textId="77777777" w:rsidR="007A729A" w:rsidRDefault="007A729A" w:rsidP="00B12B0C">
            <w:pPr>
              <w:pStyle w:val="UtilComTabletext"/>
              <w:jc w:val="right"/>
            </w:pPr>
            <w:r>
              <w:t>55.66</w:t>
            </w:r>
          </w:p>
        </w:tc>
        <w:tc>
          <w:tcPr>
            <w:tcW w:w="1134" w:type="dxa"/>
            <w:tcBorders>
              <w:top w:val="single" w:sz="4" w:space="0" w:color="999999"/>
              <w:bottom w:val="single" w:sz="4" w:space="0" w:color="auto"/>
            </w:tcBorders>
          </w:tcPr>
          <w:p w14:paraId="1F7FED59" w14:textId="77777777" w:rsidR="007A729A" w:rsidRDefault="007A729A" w:rsidP="00B12B0C">
            <w:pPr>
              <w:pStyle w:val="UtilComTabletext"/>
              <w:jc w:val="right"/>
            </w:pPr>
            <w:r>
              <w:t>52.16</w:t>
            </w:r>
          </w:p>
        </w:tc>
        <w:tc>
          <w:tcPr>
            <w:tcW w:w="1134" w:type="dxa"/>
            <w:tcBorders>
              <w:top w:val="single" w:sz="4" w:space="0" w:color="999999"/>
              <w:bottom w:val="single" w:sz="4" w:space="0" w:color="auto"/>
            </w:tcBorders>
          </w:tcPr>
          <w:p w14:paraId="09C12EBA" w14:textId="77777777" w:rsidR="007A729A" w:rsidRDefault="007A729A" w:rsidP="00B12B0C">
            <w:pPr>
              <w:pStyle w:val="UtilComTabletext"/>
              <w:jc w:val="right"/>
            </w:pPr>
            <w:r>
              <w:t>54.30</w:t>
            </w:r>
          </w:p>
        </w:tc>
        <w:tc>
          <w:tcPr>
            <w:tcW w:w="1134" w:type="dxa"/>
            <w:tcBorders>
              <w:top w:val="single" w:sz="4" w:space="0" w:color="999999"/>
              <w:bottom w:val="single" w:sz="4" w:space="0" w:color="auto"/>
            </w:tcBorders>
          </w:tcPr>
          <w:p w14:paraId="532A3C4F" w14:textId="77777777" w:rsidR="007A729A" w:rsidRDefault="007A729A" w:rsidP="00B12B0C">
            <w:pPr>
              <w:pStyle w:val="UtilComTabletext"/>
              <w:jc w:val="right"/>
            </w:pPr>
            <w:r>
              <w:t>57.02</w:t>
            </w:r>
          </w:p>
        </w:tc>
      </w:tr>
      <w:tr w:rsidR="007A729A" w:rsidRPr="008A4655" w14:paraId="14C03B58" w14:textId="77777777" w:rsidTr="00B12B0C">
        <w:trPr>
          <w:cantSplit/>
          <w:trHeight w:val="360"/>
        </w:trPr>
        <w:tc>
          <w:tcPr>
            <w:tcW w:w="3544" w:type="dxa"/>
            <w:tcBorders>
              <w:top w:val="single" w:sz="4" w:space="0" w:color="auto"/>
              <w:bottom w:val="single" w:sz="4" w:space="0" w:color="auto"/>
            </w:tcBorders>
          </w:tcPr>
          <w:p w14:paraId="5B2771E2" w14:textId="77777777" w:rsidR="007A729A" w:rsidRDefault="007A729A" w:rsidP="00B12B0C">
            <w:pPr>
              <w:pStyle w:val="UtilComTabletext"/>
            </w:pPr>
            <w:r>
              <w:t>Closing RAB</w:t>
            </w:r>
          </w:p>
        </w:tc>
        <w:tc>
          <w:tcPr>
            <w:tcW w:w="1134" w:type="dxa"/>
            <w:tcBorders>
              <w:top w:val="single" w:sz="4" w:space="0" w:color="auto"/>
              <w:bottom w:val="single" w:sz="4" w:space="0" w:color="auto"/>
            </w:tcBorders>
          </w:tcPr>
          <w:p w14:paraId="1348C65E" w14:textId="77777777" w:rsidR="007A729A" w:rsidRDefault="007A729A" w:rsidP="00B12B0C">
            <w:pPr>
              <w:pStyle w:val="UtilComTabletext"/>
              <w:jc w:val="right"/>
            </w:pPr>
            <w:r>
              <w:t>975.82</w:t>
            </w:r>
          </w:p>
        </w:tc>
        <w:tc>
          <w:tcPr>
            <w:tcW w:w="1134" w:type="dxa"/>
            <w:tcBorders>
              <w:top w:val="single" w:sz="4" w:space="0" w:color="auto"/>
              <w:bottom w:val="single" w:sz="4" w:space="0" w:color="auto"/>
            </w:tcBorders>
          </w:tcPr>
          <w:p w14:paraId="69EEC0C3" w14:textId="77777777" w:rsidR="007A729A" w:rsidRDefault="007A729A" w:rsidP="00B12B0C">
            <w:pPr>
              <w:pStyle w:val="UtilComTabletext"/>
              <w:jc w:val="right"/>
            </w:pPr>
            <w:r>
              <w:t>995.86</w:t>
            </w:r>
          </w:p>
        </w:tc>
        <w:tc>
          <w:tcPr>
            <w:tcW w:w="1134" w:type="dxa"/>
            <w:tcBorders>
              <w:top w:val="single" w:sz="4" w:space="0" w:color="auto"/>
              <w:bottom w:val="single" w:sz="4" w:space="0" w:color="auto"/>
            </w:tcBorders>
          </w:tcPr>
          <w:p w14:paraId="0765F706" w14:textId="48DDBE10" w:rsidR="007A729A" w:rsidRDefault="007A729A" w:rsidP="00BD61D5">
            <w:pPr>
              <w:pStyle w:val="UtilComTabletext"/>
              <w:jc w:val="right"/>
            </w:pPr>
            <w:r>
              <w:t>1</w:t>
            </w:r>
            <w:r w:rsidR="00BD61D5">
              <w:t> </w:t>
            </w:r>
            <w:r>
              <w:t>009.90</w:t>
            </w:r>
          </w:p>
        </w:tc>
        <w:tc>
          <w:tcPr>
            <w:tcW w:w="1134" w:type="dxa"/>
            <w:tcBorders>
              <w:top w:val="single" w:sz="4" w:space="0" w:color="auto"/>
              <w:bottom w:val="single" w:sz="4" w:space="0" w:color="auto"/>
            </w:tcBorders>
          </w:tcPr>
          <w:p w14:paraId="6DC25028" w14:textId="7DD14E6A" w:rsidR="007A729A" w:rsidRDefault="007A729A" w:rsidP="00BD61D5">
            <w:pPr>
              <w:pStyle w:val="UtilComTabletext"/>
              <w:jc w:val="right"/>
            </w:pPr>
            <w:r>
              <w:t>1</w:t>
            </w:r>
            <w:r w:rsidR="00BD61D5">
              <w:t> </w:t>
            </w:r>
            <w:r>
              <w:t>028.01</w:t>
            </w:r>
          </w:p>
        </w:tc>
        <w:tc>
          <w:tcPr>
            <w:tcW w:w="1134" w:type="dxa"/>
            <w:tcBorders>
              <w:top w:val="single" w:sz="4" w:space="0" w:color="auto"/>
              <w:bottom w:val="single" w:sz="4" w:space="0" w:color="auto"/>
            </w:tcBorders>
          </w:tcPr>
          <w:p w14:paraId="528A0A76" w14:textId="61BA3A35" w:rsidR="007A729A" w:rsidRDefault="007A729A" w:rsidP="00BD61D5">
            <w:pPr>
              <w:pStyle w:val="UtilComTabletext"/>
              <w:jc w:val="right"/>
            </w:pPr>
            <w:r>
              <w:t>1</w:t>
            </w:r>
            <w:r w:rsidR="00BD61D5">
              <w:t> </w:t>
            </w:r>
            <w:r>
              <w:t>056.07</w:t>
            </w:r>
          </w:p>
        </w:tc>
      </w:tr>
    </w:tbl>
    <w:p w14:paraId="2DB156B8" w14:textId="47F4AFE2" w:rsidR="007A729A" w:rsidRDefault="007A729A" w:rsidP="00BB4311">
      <w:pPr>
        <w:pStyle w:val="UtilComReferenceSource"/>
        <w:spacing w:after="0"/>
        <w:rPr>
          <w:lang w:val="en-AU"/>
        </w:rPr>
      </w:pPr>
      <w:r>
        <w:rPr>
          <w:lang w:val="en-AU"/>
        </w:rPr>
        <w:t xml:space="preserve">Source: Utilities Commission, NTRM </w:t>
      </w:r>
      <w:r>
        <w:rPr>
          <w:lang w:val="en-AU"/>
        </w:rPr>
        <w:br/>
        <w:t xml:space="preserve">Note: the straight-line depreciation less the indexation of the opening RAB provides the regulatory depreciation allowance </w:t>
      </w:r>
      <w:r>
        <w:rPr>
          <w:lang w:val="en-AU"/>
        </w:rPr>
        <w:br/>
      </w:r>
      <w:r w:rsidRPr="00BB4311">
        <w:rPr>
          <w:rFonts w:cs="Arial"/>
          <w:vertAlign w:val="superscript"/>
          <w:lang w:val="en-AU"/>
        </w:rPr>
        <w:t>(a)</w:t>
      </w:r>
      <w:r>
        <w:rPr>
          <w:lang w:val="en-AU"/>
        </w:rPr>
        <w:t xml:space="preserve"> In accordance with the timing assumptions of the NTRM (and the  PTRM), the nominal capex values include a half WACC allowance to compensate for the average six-month period before capex </w:t>
      </w:r>
      <w:r w:rsidR="00BD61D5">
        <w:rPr>
          <w:lang w:val="en-AU"/>
        </w:rPr>
        <w:t xml:space="preserve">is </w:t>
      </w:r>
      <w:r>
        <w:rPr>
          <w:lang w:val="en-AU"/>
        </w:rPr>
        <w:t>added to the RAB for revenue modelling purposes.</w:t>
      </w:r>
    </w:p>
    <w:p w14:paraId="075889B8" w14:textId="77777777" w:rsidR="007A729A" w:rsidRDefault="007A729A" w:rsidP="00BB4311">
      <w:pPr>
        <w:spacing w:before="0" w:after="0" w:line="240" w:lineRule="auto"/>
        <w:rPr>
          <w:lang w:val="en-AU"/>
        </w:rPr>
      </w:pPr>
    </w:p>
    <w:p w14:paraId="6AA80626" w14:textId="77D93810" w:rsidR="007A729A" w:rsidRPr="00A139AD" w:rsidRDefault="007A729A" w:rsidP="007A729A">
      <w:pPr>
        <w:pStyle w:val="UtilComTableTitle"/>
        <w:keepNext/>
        <w:spacing w:before="120" w:after="0" w:line="240" w:lineRule="exact"/>
      </w:pPr>
      <w:r>
        <w:t>Table 1</w:t>
      </w:r>
      <w:r w:rsidR="00036DA7">
        <w:t>4</w:t>
      </w:r>
      <w:r>
        <w:t>.6: Commission</w:t>
      </w:r>
      <w:r w:rsidR="00BD61D5">
        <w:t>’s decision in the Draft Determination</w:t>
      </w:r>
      <w:r>
        <w:t xml:space="preserve"> on PWC </w:t>
      </w:r>
      <w:r w:rsidR="00BD61D5">
        <w:t>Networks</w:t>
      </w:r>
      <w:r w:rsidR="00B1237C">
        <w:t>’</w:t>
      </w:r>
      <w:r w:rsidR="00BD61D5" w:rsidRPr="006A402B">
        <w:t xml:space="preserve"> </w:t>
      </w:r>
      <w:r w:rsidRPr="006A402B">
        <w:t>annual revenue requirement and X factors ($</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371524" w:rsidRPr="008A4655" w14:paraId="21AC4A85" w14:textId="1C72BFE2" w:rsidTr="00371524">
        <w:trPr>
          <w:cantSplit/>
          <w:trHeight w:val="360"/>
        </w:trPr>
        <w:tc>
          <w:tcPr>
            <w:tcW w:w="2410" w:type="dxa"/>
            <w:tcBorders>
              <w:top w:val="single" w:sz="4" w:space="0" w:color="999999"/>
              <w:bottom w:val="single" w:sz="4" w:space="0" w:color="auto"/>
            </w:tcBorders>
          </w:tcPr>
          <w:p w14:paraId="4B00C362" w14:textId="77777777" w:rsidR="00371524" w:rsidRPr="00EE5A08" w:rsidRDefault="00371524" w:rsidP="00B12B0C">
            <w:pPr>
              <w:pStyle w:val="UtilComTabletext"/>
              <w:rPr>
                <w:b/>
              </w:rPr>
            </w:pPr>
          </w:p>
        </w:tc>
        <w:tc>
          <w:tcPr>
            <w:tcW w:w="964" w:type="dxa"/>
            <w:tcBorders>
              <w:top w:val="single" w:sz="4" w:space="0" w:color="999999"/>
              <w:bottom w:val="single" w:sz="4" w:space="0" w:color="auto"/>
            </w:tcBorders>
          </w:tcPr>
          <w:p w14:paraId="77546FCC" w14:textId="77777777" w:rsidR="00371524" w:rsidRPr="00EE5A08" w:rsidRDefault="00371524" w:rsidP="00B12B0C">
            <w:pPr>
              <w:pStyle w:val="UtilComTabletext"/>
              <w:jc w:val="right"/>
              <w:rPr>
                <w:b/>
              </w:rPr>
            </w:pPr>
            <w:r>
              <w:rPr>
                <w:b/>
              </w:rPr>
              <w:t>2013-14</w:t>
            </w:r>
          </w:p>
        </w:tc>
        <w:tc>
          <w:tcPr>
            <w:tcW w:w="964" w:type="dxa"/>
            <w:tcBorders>
              <w:top w:val="single" w:sz="4" w:space="0" w:color="999999"/>
              <w:bottom w:val="single" w:sz="4" w:space="0" w:color="auto"/>
            </w:tcBorders>
          </w:tcPr>
          <w:p w14:paraId="7D51E635" w14:textId="77777777" w:rsidR="00371524" w:rsidRPr="00EE5A08" w:rsidRDefault="00371524" w:rsidP="00B12B0C">
            <w:pPr>
              <w:pStyle w:val="UtilComTabletext"/>
              <w:jc w:val="right"/>
              <w:rPr>
                <w:b/>
              </w:rPr>
            </w:pPr>
            <w:r>
              <w:rPr>
                <w:b/>
              </w:rPr>
              <w:t>2014-15</w:t>
            </w:r>
          </w:p>
        </w:tc>
        <w:tc>
          <w:tcPr>
            <w:tcW w:w="964" w:type="dxa"/>
            <w:tcBorders>
              <w:top w:val="single" w:sz="4" w:space="0" w:color="999999"/>
              <w:bottom w:val="single" w:sz="4" w:space="0" w:color="auto"/>
            </w:tcBorders>
          </w:tcPr>
          <w:p w14:paraId="49F97E42" w14:textId="77777777" w:rsidR="00371524" w:rsidRPr="00EE5A08" w:rsidRDefault="00371524" w:rsidP="00B12B0C">
            <w:pPr>
              <w:pStyle w:val="UtilComTabletext"/>
              <w:jc w:val="right"/>
              <w:rPr>
                <w:b/>
              </w:rPr>
            </w:pPr>
            <w:r>
              <w:rPr>
                <w:b/>
              </w:rPr>
              <w:t>2015-16</w:t>
            </w:r>
          </w:p>
        </w:tc>
        <w:tc>
          <w:tcPr>
            <w:tcW w:w="964" w:type="dxa"/>
            <w:tcBorders>
              <w:top w:val="single" w:sz="4" w:space="0" w:color="999999"/>
              <w:bottom w:val="single" w:sz="4" w:space="0" w:color="auto"/>
            </w:tcBorders>
          </w:tcPr>
          <w:p w14:paraId="036D7F53" w14:textId="77777777" w:rsidR="00371524" w:rsidRDefault="00371524" w:rsidP="00B12B0C">
            <w:pPr>
              <w:pStyle w:val="UtilComTabletext"/>
              <w:jc w:val="right"/>
              <w:rPr>
                <w:b/>
              </w:rPr>
            </w:pPr>
            <w:r>
              <w:rPr>
                <w:b/>
              </w:rPr>
              <w:t>2016-17</w:t>
            </w:r>
          </w:p>
        </w:tc>
        <w:tc>
          <w:tcPr>
            <w:tcW w:w="964" w:type="dxa"/>
            <w:tcBorders>
              <w:top w:val="single" w:sz="4" w:space="0" w:color="999999"/>
              <w:bottom w:val="single" w:sz="4" w:space="0" w:color="auto"/>
            </w:tcBorders>
          </w:tcPr>
          <w:p w14:paraId="1ABA425C" w14:textId="77777777" w:rsidR="00371524" w:rsidRDefault="00371524" w:rsidP="00B12B0C">
            <w:pPr>
              <w:pStyle w:val="UtilComTabletext"/>
              <w:jc w:val="right"/>
              <w:rPr>
                <w:b/>
              </w:rPr>
            </w:pPr>
            <w:r>
              <w:rPr>
                <w:b/>
              </w:rPr>
              <w:t>2017-18</w:t>
            </w:r>
          </w:p>
        </w:tc>
        <w:tc>
          <w:tcPr>
            <w:tcW w:w="964" w:type="dxa"/>
            <w:tcBorders>
              <w:top w:val="single" w:sz="4" w:space="0" w:color="999999"/>
              <w:bottom w:val="single" w:sz="4" w:space="0" w:color="auto"/>
            </w:tcBorders>
          </w:tcPr>
          <w:p w14:paraId="76908787" w14:textId="77777777" w:rsidR="00371524" w:rsidRPr="00EE5A08" w:rsidRDefault="00371524" w:rsidP="00B12B0C">
            <w:pPr>
              <w:pStyle w:val="UtilComTabletext"/>
              <w:jc w:val="right"/>
              <w:rPr>
                <w:b/>
              </w:rPr>
            </w:pPr>
            <w:r>
              <w:rPr>
                <w:b/>
              </w:rPr>
              <w:t>2018-19</w:t>
            </w:r>
          </w:p>
        </w:tc>
        <w:tc>
          <w:tcPr>
            <w:tcW w:w="1021" w:type="dxa"/>
            <w:tcBorders>
              <w:top w:val="single" w:sz="4" w:space="0" w:color="999999"/>
              <w:bottom w:val="single" w:sz="4" w:space="0" w:color="auto"/>
            </w:tcBorders>
          </w:tcPr>
          <w:p w14:paraId="7938068F" w14:textId="6A03A828" w:rsidR="00371524" w:rsidRDefault="00371524" w:rsidP="00B12B0C">
            <w:pPr>
              <w:pStyle w:val="UtilComTabletext"/>
              <w:jc w:val="right"/>
              <w:rPr>
                <w:b/>
              </w:rPr>
            </w:pPr>
            <w:r>
              <w:rPr>
                <w:b/>
              </w:rPr>
              <w:t>Total</w:t>
            </w:r>
          </w:p>
        </w:tc>
      </w:tr>
      <w:tr w:rsidR="00371524" w:rsidRPr="009E57A2" w14:paraId="703E4485" w14:textId="75608465" w:rsidTr="00371524">
        <w:trPr>
          <w:cantSplit/>
          <w:trHeight w:val="360"/>
        </w:trPr>
        <w:tc>
          <w:tcPr>
            <w:tcW w:w="2410" w:type="dxa"/>
            <w:tcBorders>
              <w:top w:val="single" w:sz="4" w:space="0" w:color="auto"/>
              <w:bottom w:val="single" w:sz="4" w:space="0" w:color="999999"/>
            </w:tcBorders>
          </w:tcPr>
          <w:p w14:paraId="69B3892F" w14:textId="77777777" w:rsidR="00371524" w:rsidRPr="009E57A2" w:rsidRDefault="00371524" w:rsidP="00B12B0C">
            <w:pPr>
              <w:pStyle w:val="UtilComTabletext"/>
            </w:pPr>
            <w:r w:rsidRPr="009E57A2">
              <w:t>Return on capital</w:t>
            </w:r>
          </w:p>
        </w:tc>
        <w:tc>
          <w:tcPr>
            <w:tcW w:w="964" w:type="dxa"/>
            <w:tcBorders>
              <w:top w:val="single" w:sz="4" w:space="0" w:color="auto"/>
              <w:bottom w:val="single" w:sz="4" w:space="0" w:color="999999"/>
            </w:tcBorders>
          </w:tcPr>
          <w:p w14:paraId="27A2CB1C" w14:textId="77777777" w:rsidR="00371524" w:rsidRPr="009E57A2" w:rsidRDefault="00371524" w:rsidP="00B12B0C">
            <w:pPr>
              <w:pStyle w:val="UtilComTabletext"/>
              <w:jc w:val="right"/>
            </w:pPr>
          </w:p>
        </w:tc>
        <w:tc>
          <w:tcPr>
            <w:tcW w:w="964" w:type="dxa"/>
            <w:tcBorders>
              <w:top w:val="single" w:sz="4" w:space="0" w:color="auto"/>
              <w:bottom w:val="single" w:sz="4" w:space="0" w:color="999999"/>
            </w:tcBorders>
          </w:tcPr>
          <w:p w14:paraId="2B56AE64" w14:textId="77777777" w:rsidR="00371524" w:rsidRPr="009E57A2" w:rsidRDefault="00371524" w:rsidP="00B12B0C">
            <w:pPr>
              <w:pStyle w:val="UtilComTabletext"/>
              <w:jc w:val="right"/>
            </w:pPr>
            <w:r>
              <w:t>75.49</w:t>
            </w:r>
          </w:p>
        </w:tc>
        <w:tc>
          <w:tcPr>
            <w:tcW w:w="964" w:type="dxa"/>
            <w:tcBorders>
              <w:top w:val="single" w:sz="4" w:space="0" w:color="auto"/>
              <w:bottom w:val="single" w:sz="4" w:space="0" w:color="999999"/>
            </w:tcBorders>
          </w:tcPr>
          <w:p w14:paraId="376CF52A" w14:textId="77777777" w:rsidR="00371524" w:rsidRPr="009E57A2" w:rsidRDefault="00371524" w:rsidP="00B12B0C">
            <w:pPr>
              <w:pStyle w:val="UtilComTabletext"/>
              <w:jc w:val="right"/>
            </w:pPr>
            <w:r>
              <w:t>79.21</w:t>
            </w:r>
          </w:p>
        </w:tc>
        <w:tc>
          <w:tcPr>
            <w:tcW w:w="964" w:type="dxa"/>
            <w:tcBorders>
              <w:top w:val="single" w:sz="4" w:space="0" w:color="auto"/>
              <w:bottom w:val="single" w:sz="4" w:space="0" w:color="999999"/>
            </w:tcBorders>
          </w:tcPr>
          <w:p w14:paraId="6A0626FE" w14:textId="77777777" w:rsidR="00371524" w:rsidRPr="009E57A2" w:rsidRDefault="00371524" w:rsidP="00B12B0C">
            <w:pPr>
              <w:pStyle w:val="UtilComTabletext"/>
              <w:jc w:val="right"/>
            </w:pPr>
            <w:r>
              <w:t>80.84</w:t>
            </w:r>
          </w:p>
        </w:tc>
        <w:tc>
          <w:tcPr>
            <w:tcW w:w="964" w:type="dxa"/>
            <w:tcBorders>
              <w:top w:val="single" w:sz="4" w:space="0" w:color="auto"/>
              <w:bottom w:val="single" w:sz="4" w:space="0" w:color="999999"/>
            </w:tcBorders>
          </w:tcPr>
          <w:p w14:paraId="0912DD35" w14:textId="77777777" w:rsidR="00371524" w:rsidRPr="009E57A2" w:rsidRDefault="00371524" w:rsidP="00B12B0C">
            <w:pPr>
              <w:pStyle w:val="UtilComTabletext"/>
              <w:jc w:val="right"/>
            </w:pPr>
            <w:r>
              <w:t>81.98</w:t>
            </w:r>
          </w:p>
        </w:tc>
        <w:tc>
          <w:tcPr>
            <w:tcW w:w="964" w:type="dxa"/>
            <w:tcBorders>
              <w:top w:val="single" w:sz="4" w:space="0" w:color="auto"/>
              <w:bottom w:val="single" w:sz="4" w:space="0" w:color="999999"/>
            </w:tcBorders>
          </w:tcPr>
          <w:p w14:paraId="33BCE231" w14:textId="77777777" w:rsidR="00371524" w:rsidRPr="009E57A2" w:rsidRDefault="00371524" w:rsidP="00B12B0C">
            <w:pPr>
              <w:pStyle w:val="UtilComTabletext"/>
              <w:jc w:val="right"/>
            </w:pPr>
            <w:r>
              <w:t>83.44</w:t>
            </w:r>
          </w:p>
        </w:tc>
        <w:tc>
          <w:tcPr>
            <w:tcW w:w="1021" w:type="dxa"/>
            <w:tcBorders>
              <w:top w:val="single" w:sz="4" w:space="0" w:color="auto"/>
              <w:bottom w:val="single" w:sz="4" w:space="0" w:color="999999"/>
            </w:tcBorders>
          </w:tcPr>
          <w:p w14:paraId="12C41ED7" w14:textId="2956ECD0" w:rsidR="00371524" w:rsidRDefault="00371524" w:rsidP="00B12B0C">
            <w:pPr>
              <w:pStyle w:val="UtilComTabletext"/>
              <w:jc w:val="right"/>
            </w:pPr>
            <w:r>
              <w:t>400.96</w:t>
            </w:r>
          </w:p>
        </w:tc>
      </w:tr>
      <w:tr w:rsidR="00371524" w:rsidRPr="008A4655" w14:paraId="0405E317" w14:textId="08DFD33C" w:rsidTr="00371524">
        <w:trPr>
          <w:cantSplit/>
          <w:trHeight w:val="360"/>
        </w:trPr>
        <w:tc>
          <w:tcPr>
            <w:tcW w:w="2410" w:type="dxa"/>
            <w:tcBorders>
              <w:bottom w:val="single" w:sz="4" w:space="0" w:color="999999"/>
            </w:tcBorders>
          </w:tcPr>
          <w:p w14:paraId="1FD7908A" w14:textId="77777777" w:rsidR="00371524" w:rsidRDefault="00371524" w:rsidP="00B12B0C">
            <w:pPr>
              <w:pStyle w:val="UtilComTabletext"/>
            </w:pPr>
            <w:r>
              <w:t>Regulatory depreciation</w:t>
            </w:r>
          </w:p>
        </w:tc>
        <w:tc>
          <w:tcPr>
            <w:tcW w:w="964" w:type="dxa"/>
            <w:tcBorders>
              <w:bottom w:val="single" w:sz="4" w:space="0" w:color="999999"/>
            </w:tcBorders>
          </w:tcPr>
          <w:p w14:paraId="2BD0B91A" w14:textId="77777777" w:rsidR="00371524" w:rsidRDefault="00371524" w:rsidP="00B12B0C">
            <w:pPr>
              <w:pStyle w:val="UtilComTabletext"/>
              <w:jc w:val="right"/>
            </w:pPr>
          </w:p>
        </w:tc>
        <w:tc>
          <w:tcPr>
            <w:tcW w:w="964" w:type="dxa"/>
            <w:tcBorders>
              <w:bottom w:val="single" w:sz="4" w:space="0" w:color="999999"/>
            </w:tcBorders>
          </w:tcPr>
          <w:p w14:paraId="0159F26A" w14:textId="77777777" w:rsidR="00371524" w:rsidRDefault="00371524" w:rsidP="00B12B0C">
            <w:pPr>
              <w:pStyle w:val="UtilComTabletext"/>
              <w:jc w:val="right"/>
            </w:pPr>
            <w:r>
              <w:t>28.49</w:t>
            </w:r>
          </w:p>
        </w:tc>
        <w:tc>
          <w:tcPr>
            <w:tcW w:w="964" w:type="dxa"/>
            <w:tcBorders>
              <w:bottom w:val="single" w:sz="4" w:space="0" w:color="999999"/>
            </w:tcBorders>
          </w:tcPr>
          <w:p w14:paraId="72B5896C" w14:textId="77777777" w:rsidR="00371524" w:rsidRDefault="00371524" w:rsidP="00B12B0C">
            <w:pPr>
              <w:pStyle w:val="UtilComTabletext"/>
              <w:jc w:val="right"/>
            </w:pPr>
            <w:r>
              <w:t>31.13</w:t>
            </w:r>
          </w:p>
        </w:tc>
        <w:tc>
          <w:tcPr>
            <w:tcW w:w="964" w:type="dxa"/>
            <w:tcBorders>
              <w:bottom w:val="single" w:sz="4" w:space="0" w:color="999999"/>
            </w:tcBorders>
          </w:tcPr>
          <w:p w14:paraId="3965E7ED" w14:textId="77777777" w:rsidR="00371524" w:rsidRDefault="00371524" w:rsidP="00B12B0C">
            <w:pPr>
              <w:pStyle w:val="UtilComTabletext"/>
              <w:jc w:val="right"/>
            </w:pPr>
            <w:r>
              <w:t>27.13</w:t>
            </w:r>
          </w:p>
        </w:tc>
        <w:tc>
          <w:tcPr>
            <w:tcW w:w="964" w:type="dxa"/>
            <w:tcBorders>
              <w:bottom w:val="single" w:sz="4" w:space="0" w:color="999999"/>
            </w:tcBorders>
          </w:tcPr>
          <w:p w14:paraId="157F3F80" w14:textId="77777777" w:rsidR="00371524" w:rsidRDefault="00371524" w:rsidP="00B12B0C">
            <w:pPr>
              <w:pStyle w:val="UtilComTabletext"/>
              <w:jc w:val="right"/>
            </w:pPr>
            <w:r>
              <w:t>28.92</w:t>
            </w:r>
          </w:p>
        </w:tc>
        <w:tc>
          <w:tcPr>
            <w:tcW w:w="964" w:type="dxa"/>
            <w:tcBorders>
              <w:bottom w:val="single" w:sz="4" w:space="0" w:color="999999"/>
            </w:tcBorders>
          </w:tcPr>
          <w:p w14:paraId="4DB3C127" w14:textId="77777777" w:rsidR="00371524" w:rsidRDefault="00371524" w:rsidP="00B12B0C">
            <w:pPr>
              <w:pStyle w:val="UtilComTabletext"/>
              <w:jc w:val="right"/>
            </w:pPr>
            <w:r>
              <w:t>31.18</w:t>
            </w:r>
          </w:p>
        </w:tc>
        <w:tc>
          <w:tcPr>
            <w:tcW w:w="1021" w:type="dxa"/>
            <w:tcBorders>
              <w:bottom w:val="single" w:sz="4" w:space="0" w:color="999999"/>
            </w:tcBorders>
          </w:tcPr>
          <w:p w14:paraId="0DB74FF5" w14:textId="06C7A42F" w:rsidR="00371524" w:rsidRDefault="00371524" w:rsidP="00B12B0C">
            <w:pPr>
              <w:pStyle w:val="UtilComTabletext"/>
              <w:jc w:val="right"/>
            </w:pPr>
            <w:r>
              <w:t>146.85</w:t>
            </w:r>
          </w:p>
        </w:tc>
      </w:tr>
      <w:tr w:rsidR="00371524" w:rsidRPr="008A4655" w14:paraId="5BB47968" w14:textId="4C833575" w:rsidTr="00371524">
        <w:trPr>
          <w:cantSplit/>
          <w:trHeight w:val="360"/>
        </w:trPr>
        <w:tc>
          <w:tcPr>
            <w:tcW w:w="2410" w:type="dxa"/>
            <w:tcBorders>
              <w:bottom w:val="single" w:sz="4" w:space="0" w:color="999999"/>
            </w:tcBorders>
          </w:tcPr>
          <w:p w14:paraId="70E5AEBD" w14:textId="77777777" w:rsidR="00371524" w:rsidRDefault="00371524" w:rsidP="00B12B0C">
            <w:pPr>
              <w:pStyle w:val="UtilComTabletext"/>
            </w:pPr>
            <w:r>
              <w:t>Operating and maintenance expenditure</w:t>
            </w:r>
          </w:p>
        </w:tc>
        <w:tc>
          <w:tcPr>
            <w:tcW w:w="964" w:type="dxa"/>
            <w:tcBorders>
              <w:bottom w:val="single" w:sz="4" w:space="0" w:color="999999"/>
            </w:tcBorders>
          </w:tcPr>
          <w:p w14:paraId="366D6A25" w14:textId="77777777" w:rsidR="00371524" w:rsidRDefault="00371524" w:rsidP="00B12B0C">
            <w:pPr>
              <w:pStyle w:val="UtilComTabletext"/>
              <w:jc w:val="right"/>
            </w:pPr>
          </w:p>
        </w:tc>
        <w:tc>
          <w:tcPr>
            <w:tcW w:w="964" w:type="dxa"/>
            <w:tcBorders>
              <w:bottom w:val="single" w:sz="4" w:space="0" w:color="999999"/>
            </w:tcBorders>
          </w:tcPr>
          <w:p w14:paraId="1E8DCD0F" w14:textId="77777777" w:rsidR="00371524" w:rsidRDefault="00371524" w:rsidP="00B12B0C">
            <w:pPr>
              <w:pStyle w:val="UtilComTabletext"/>
              <w:jc w:val="right"/>
            </w:pPr>
            <w:r>
              <w:t>106.29</w:t>
            </w:r>
          </w:p>
        </w:tc>
        <w:tc>
          <w:tcPr>
            <w:tcW w:w="964" w:type="dxa"/>
            <w:tcBorders>
              <w:bottom w:val="single" w:sz="4" w:space="0" w:color="999999"/>
            </w:tcBorders>
          </w:tcPr>
          <w:p w14:paraId="41007418" w14:textId="77777777" w:rsidR="00371524" w:rsidRDefault="00371524" w:rsidP="00B12B0C">
            <w:pPr>
              <w:pStyle w:val="UtilComTabletext"/>
              <w:jc w:val="right"/>
            </w:pPr>
            <w:r>
              <w:t>105.10</w:t>
            </w:r>
          </w:p>
        </w:tc>
        <w:tc>
          <w:tcPr>
            <w:tcW w:w="964" w:type="dxa"/>
            <w:tcBorders>
              <w:bottom w:val="single" w:sz="4" w:space="0" w:color="999999"/>
            </w:tcBorders>
          </w:tcPr>
          <w:p w14:paraId="497286AC" w14:textId="77777777" w:rsidR="00371524" w:rsidRDefault="00371524" w:rsidP="00B12B0C">
            <w:pPr>
              <w:pStyle w:val="UtilComTabletext"/>
              <w:jc w:val="right"/>
            </w:pPr>
            <w:r>
              <w:t>106.84</w:t>
            </w:r>
          </w:p>
        </w:tc>
        <w:tc>
          <w:tcPr>
            <w:tcW w:w="964" w:type="dxa"/>
            <w:tcBorders>
              <w:bottom w:val="single" w:sz="4" w:space="0" w:color="999999"/>
            </w:tcBorders>
          </w:tcPr>
          <w:p w14:paraId="49A5590A" w14:textId="77777777" w:rsidR="00371524" w:rsidRDefault="00371524" w:rsidP="00B12B0C">
            <w:pPr>
              <w:pStyle w:val="UtilComTabletext"/>
              <w:jc w:val="right"/>
            </w:pPr>
            <w:r>
              <w:t>104.17</w:t>
            </w:r>
          </w:p>
        </w:tc>
        <w:tc>
          <w:tcPr>
            <w:tcW w:w="964" w:type="dxa"/>
            <w:tcBorders>
              <w:bottom w:val="single" w:sz="4" w:space="0" w:color="999999"/>
            </w:tcBorders>
          </w:tcPr>
          <w:p w14:paraId="6755A554" w14:textId="77777777" w:rsidR="00371524" w:rsidRDefault="00371524" w:rsidP="00B12B0C">
            <w:pPr>
              <w:pStyle w:val="UtilComTabletext"/>
              <w:jc w:val="right"/>
            </w:pPr>
            <w:r>
              <w:t>103.74</w:t>
            </w:r>
          </w:p>
        </w:tc>
        <w:tc>
          <w:tcPr>
            <w:tcW w:w="1021" w:type="dxa"/>
            <w:tcBorders>
              <w:bottom w:val="single" w:sz="4" w:space="0" w:color="999999"/>
            </w:tcBorders>
          </w:tcPr>
          <w:p w14:paraId="60A69FF8" w14:textId="33F25087" w:rsidR="00371524" w:rsidRDefault="00371524" w:rsidP="00B12B0C">
            <w:pPr>
              <w:pStyle w:val="UtilComTabletext"/>
              <w:jc w:val="right"/>
            </w:pPr>
            <w:r>
              <w:t>526.15</w:t>
            </w:r>
          </w:p>
        </w:tc>
      </w:tr>
      <w:tr w:rsidR="00371524" w:rsidRPr="008A4655" w14:paraId="36BFEBC2" w14:textId="7353DE75" w:rsidTr="00371524">
        <w:trPr>
          <w:cantSplit/>
          <w:trHeight w:val="360"/>
        </w:trPr>
        <w:tc>
          <w:tcPr>
            <w:tcW w:w="2410" w:type="dxa"/>
            <w:tcBorders>
              <w:top w:val="single" w:sz="4" w:space="0" w:color="auto"/>
              <w:bottom w:val="single" w:sz="4" w:space="0" w:color="999999"/>
            </w:tcBorders>
          </w:tcPr>
          <w:p w14:paraId="35A26838" w14:textId="77777777" w:rsidR="00371524" w:rsidRDefault="00371524" w:rsidP="00B12B0C">
            <w:pPr>
              <w:pStyle w:val="UtilComTabletext"/>
            </w:pPr>
            <w:r>
              <w:t>Unsmoothed annual revenue requirement</w:t>
            </w:r>
          </w:p>
        </w:tc>
        <w:tc>
          <w:tcPr>
            <w:tcW w:w="964" w:type="dxa"/>
            <w:tcBorders>
              <w:top w:val="single" w:sz="4" w:space="0" w:color="auto"/>
              <w:bottom w:val="single" w:sz="4" w:space="0" w:color="999999"/>
            </w:tcBorders>
          </w:tcPr>
          <w:p w14:paraId="3284F33A" w14:textId="77777777" w:rsidR="00371524" w:rsidRDefault="00371524" w:rsidP="00B12B0C">
            <w:pPr>
              <w:pStyle w:val="UtilComTabletext"/>
              <w:jc w:val="right"/>
            </w:pPr>
          </w:p>
        </w:tc>
        <w:tc>
          <w:tcPr>
            <w:tcW w:w="964" w:type="dxa"/>
            <w:tcBorders>
              <w:top w:val="single" w:sz="4" w:space="0" w:color="auto"/>
              <w:bottom w:val="single" w:sz="4" w:space="0" w:color="999999"/>
            </w:tcBorders>
          </w:tcPr>
          <w:p w14:paraId="3173CB77" w14:textId="77777777" w:rsidR="00371524" w:rsidRDefault="00371524" w:rsidP="00B12B0C">
            <w:pPr>
              <w:pStyle w:val="UtilComTabletext"/>
              <w:jc w:val="right"/>
            </w:pPr>
            <w:r>
              <w:t>210.28</w:t>
            </w:r>
          </w:p>
        </w:tc>
        <w:tc>
          <w:tcPr>
            <w:tcW w:w="964" w:type="dxa"/>
            <w:tcBorders>
              <w:top w:val="single" w:sz="4" w:space="0" w:color="auto"/>
              <w:bottom w:val="single" w:sz="4" w:space="0" w:color="999999"/>
            </w:tcBorders>
          </w:tcPr>
          <w:p w14:paraId="42517470" w14:textId="77777777" w:rsidR="00371524" w:rsidRDefault="00371524" w:rsidP="00B12B0C">
            <w:pPr>
              <w:pStyle w:val="UtilComTabletext"/>
              <w:jc w:val="right"/>
            </w:pPr>
            <w:r>
              <w:t>215.44</w:t>
            </w:r>
          </w:p>
        </w:tc>
        <w:tc>
          <w:tcPr>
            <w:tcW w:w="964" w:type="dxa"/>
            <w:tcBorders>
              <w:top w:val="single" w:sz="4" w:space="0" w:color="auto"/>
              <w:bottom w:val="single" w:sz="4" w:space="0" w:color="999999"/>
            </w:tcBorders>
          </w:tcPr>
          <w:p w14:paraId="49ECCF38" w14:textId="77777777" w:rsidR="00371524" w:rsidRDefault="00371524" w:rsidP="00B12B0C">
            <w:pPr>
              <w:pStyle w:val="UtilComTabletext"/>
              <w:jc w:val="right"/>
            </w:pPr>
            <w:r>
              <w:t>214.80</w:t>
            </w:r>
          </w:p>
        </w:tc>
        <w:tc>
          <w:tcPr>
            <w:tcW w:w="964" w:type="dxa"/>
            <w:tcBorders>
              <w:top w:val="single" w:sz="4" w:space="0" w:color="auto"/>
              <w:bottom w:val="single" w:sz="4" w:space="0" w:color="999999"/>
            </w:tcBorders>
          </w:tcPr>
          <w:p w14:paraId="1CD66BB7" w14:textId="77777777" w:rsidR="00371524" w:rsidRDefault="00371524" w:rsidP="00B12B0C">
            <w:pPr>
              <w:pStyle w:val="UtilComTabletext"/>
              <w:jc w:val="right"/>
            </w:pPr>
            <w:r>
              <w:t>215.06</w:t>
            </w:r>
          </w:p>
        </w:tc>
        <w:tc>
          <w:tcPr>
            <w:tcW w:w="964" w:type="dxa"/>
            <w:tcBorders>
              <w:top w:val="single" w:sz="4" w:space="0" w:color="auto"/>
              <w:bottom w:val="single" w:sz="4" w:space="0" w:color="999999"/>
            </w:tcBorders>
          </w:tcPr>
          <w:p w14:paraId="68EF132F" w14:textId="77777777" w:rsidR="00371524" w:rsidRDefault="00371524" w:rsidP="00B12B0C">
            <w:pPr>
              <w:pStyle w:val="UtilComTabletext"/>
              <w:jc w:val="right"/>
            </w:pPr>
            <w:r>
              <w:t>218.37</w:t>
            </w:r>
          </w:p>
        </w:tc>
        <w:tc>
          <w:tcPr>
            <w:tcW w:w="1021" w:type="dxa"/>
            <w:tcBorders>
              <w:top w:val="single" w:sz="4" w:space="0" w:color="auto"/>
              <w:bottom w:val="single" w:sz="4" w:space="0" w:color="999999"/>
            </w:tcBorders>
          </w:tcPr>
          <w:p w14:paraId="738A27E3" w14:textId="72082062" w:rsidR="00371524" w:rsidRDefault="00371524" w:rsidP="00B12B0C">
            <w:pPr>
              <w:pStyle w:val="UtilComTabletext"/>
              <w:jc w:val="right"/>
            </w:pPr>
            <w:r>
              <w:t>1 073.95</w:t>
            </w:r>
          </w:p>
        </w:tc>
      </w:tr>
      <w:tr w:rsidR="00371524" w:rsidRPr="008A4655" w14:paraId="5D4AF2AA" w14:textId="16291333" w:rsidTr="00371524">
        <w:trPr>
          <w:cantSplit/>
          <w:trHeight w:val="360"/>
        </w:trPr>
        <w:tc>
          <w:tcPr>
            <w:tcW w:w="2410" w:type="dxa"/>
            <w:tcBorders>
              <w:bottom w:val="single" w:sz="4" w:space="0" w:color="999999"/>
            </w:tcBorders>
          </w:tcPr>
          <w:p w14:paraId="7BC44AB6" w14:textId="77777777" w:rsidR="00371524" w:rsidRDefault="00371524" w:rsidP="00B12B0C">
            <w:pPr>
              <w:pStyle w:val="UtilComTabletext"/>
            </w:pPr>
            <w:r>
              <w:t>Expected revenues (smoothed revenue)</w:t>
            </w:r>
          </w:p>
        </w:tc>
        <w:tc>
          <w:tcPr>
            <w:tcW w:w="964" w:type="dxa"/>
            <w:tcBorders>
              <w:bottom w:val="single" w:sz="4" w:space="0" w:color="999999"/>
            </w:tcBorders>
          </w:tcPr>
          <w:p w14:paraId="34733522" w14:textId="77777777" w:rsidR="00371524" w:rsidRDefault="00371524" w:rsidP="00B12B0C">
            <w:pPr>
              <w:pStyle w:val="UtilComTabletext"/>
              <w:jc w:val="right"/>
            </w:pPr>
            <w:r>
              <w:t>142.01</w:t>
            </w:r>
          </w:p>
        </w:tc>
        <w:tc>
          <w:tcPr>
            <w:tcW w:w="964" w:type="dxa"/>
            <w:tcBorders>
              <w:bottom w:val="single" w:sz="4" w:space="0" w:color="999999"/>
            </w:tcBorders>
          </w:tcPr>
          <w:p w14:paraId="42CA2D59" w14:textId="77777777" w:rsidR="00371524" w:rsidRPr="00E1149D" w:rsidRDefault="00371524" w:rsidP="00B12B0C">
            <w:pPr>
              <w:pStyle w:val="UtilComTabletext"/>
              <w:jc w:val="right"/>
            </w:pPr>
            <w:r w:rsidRPr="00E1149D">
              <w:t>200.</w:t>
            </w:r>
            <w:r>
              <w:t>97</w:t>
            </w:r>
            <w:r w:rsidRPr="00E1149D">
              <w:t xml:space="preserve"> </w:t>
            </w:r>
          </w:p>
        </w:tc>
        <w:tc>
          <w:tcPr>
            <w:tcW w:w="964" w:type="dxa"/>
            <w:tcBorders>
              <w:bottom w:val="single" w:sz="4" w:space="0" w:color="999999"/>
            </w:tcBorders>
          </w:tcPr>
          <w:p w14:paraId="613A7A8F" w14:textId="77777777" w:rsidR="00371524" w:rsidRPr="00E1149D" w:rsidRDefault="00371524" w:rsidP="00B12B0C">
            <w:pPr>
              <w:pStyle w:val="UtilComTabletext"/>
              <w:jc w:val="right"/>
            </w:pPr>
            <w:r w:rsidRPr="00E1149D">
              <w:t>20</w:t>
            </w:r>
            <w:r>
              <w:t>8</w:t>
            </w:r>
            <w:r w:rsidRPr="00E1149D">
              <w:t>.</w:t>
            </w:r>
            <w:r>
              <w:t>08</w:t>
            </w:r>
            <w:r w:rsidRPr="00E1149D">
              <w:t xml:space="preserve"> </w:t>
            </w:r>
          </w:p>
        </w:tc>
        <w:tc>
          <w:tcPr>
            <w:tcW w:w="964" w:type="dxa"/>
            <w:tcBorders>
              <w:bottom w:val="single" w:sz="4" w:space="0" w:color="999999"/>
            </w:tcBorders>
          </w:tcPr>
          <w:p w14:paraId="1B7CA7E1" w14:textId="77777777" w:rsidR="00371524" w:rsidRPr="00E1149D" w:rsidRDefault="00371524" w:rsidP="00B12B0C">
            <w:pPr>
              <w:pStyle w:val="UtilComTabletext"/>
              <w:jc w:val="right"/>
            </w:pPr>
            <w:r w:rsidRPr="00E1149D">
              <w:t>215.</w:t>
            </w:r>
            <w:r>
              <w:t>45</w:t>
            </w:r>
            <w:r w:rsidRPr="00E1149D">
              <w:t xml:space="preserve"> </w:t>
            </w:r>
          </w:p>
        </w:tc>
        <w:tc>
          <w:tcPr>
            <w:tcW w:w="964" w:type="dxa"/>
            <w:tcBorders>
              <w:bottom w:val="single" w:sz="4" w:space="0" w:color="999999"/>
            </w:tcBorders>
          </w:tcPr>
          <w:p w14:paraId="184113BE" w14:textId="77777777" w:rsidR="00371524" w:rsidRPr="00E1149D" w:rsidRDefault="00371524" w:rsidP="00B12B0C">
            <w:pPr>
              <w:pStyle w:val="UtilComTabletext"/>
              <w:jc w:val="right"/>
            </w:pPr>
            <w:r w:rsidRPr="00E1149D">
              <w:t>22</w:t>
            </w:r>
            <w:r>
              <w:t>3</w:t>
            </w:r>
            <w:r w:rsidRPr="00E1149D">
              <w:t>.</w:t>
            </w:r>
            <w:r>
              <w:t>07</w:t>
            </w:r>
            <w:r w:rsidRPr="00E1149D">
              <w:t xml:space="preserve"> </w:t>
            </w:r>
          </w:p>
        </w:tc>
        <w:tc>
          <w:tcPr>
            <w:tcW w:w="964" w:type="dxa"/>
            <w:tcBorders>
              <w:bottom w:val="single" w:sz="4" w:space="0" w:color="999999"/>
            </w:tcBorders>
          </w:tcPr>
          <w:p w14:paraId="139F31EC" w14:textId="77777777" w:rsidR="00371524" w:rsidRDefault="00371524" w:rsidP="00B12B0C">
            <w:pPr>
              <w:pStyle w:val="UtilComTabletext"/>
              <w:jc w:val="right"/>
            </w:pPr>
            <w:r w:rsidRPr="00E1149D">
              <w:t>230.9</w:t>
            </w:r>
            <w:r>
              <w:t>7</w:t>
            </w:r>
            <w:r w:rsidRPr="00E1149D">
              <w:t xml:space="preserve"> </w:t>
            </w:r>
          </w:p>
        </w:tc>
        <w:tc>
          <w:tcPr>
            <w:tcW w:w="1021" w:type="dxa"/>
            <w:tcBorders>
              <w:bottom w:val="single" w:sz="4" w:space="0" w:color="999999"/>
            </w:tcBorders>
          </w:tcPr>
          <w:p w14:paraId="40D23603" w14:textId="77777777" w:rsidR="00371524" w:rsidRPr="00E1149D" w:rsidRDefault="00371524" w:rsidP="00B12B0C">
            <w:pPr>
              <w:pStyle w:val="UtilComTabletext"/>
              <w:jc w:val="right"/>
            </w:pPr>
          </w:p>
        </w:tc>
      </w:tr>
      <w:tr w:rsidR="00371524" w:rsidRPr="008A4655" w14:paraId="79BB8D14" w14:textId="5B6EEA8E" w:rsidTr="00371524">
        <w:trPr>
          <w:cantSplit/>
          <w:trHeight w:val="360"/>
        </w:trPr>
        <w:tc>
          <w:tcPr>
            <w:tcW w:w="2410" w:type="dxa"/>
            <w:tcBorders>
              <w:bottom w:val="single" w:sz="4" w:space="0" w:color="999999"/>
            </w:tcBorders>
          </w:tcPr>
          <w:p w14:paraId="1F4C4BFC" w14:textId="77777777" w:rsidR="00371524" w:rsidRDefault="00371524" w:rsidP="00B12B0C">
            <w:pPr>
              <w:pStyle w:val="UtilComTabletext"/>
            </w:pPr>
            <w:r>
              <w:t>Forecast CPI (%)</w:t>
            </w:r>
          </w:p>
        </w:tc>
        <w:tc>
          <w:tcPr>
            <w:tcW w:w="964" w:type="dxa"/>
            <w:tcBorders>
              <w:bottom w:val="single" w:sz="4" w:space="0" w:color="999999"/>
            </w:tcBorders>
          </w:tcPr>
          <w:p w14:paraId="4D0BCF6C" w14:textId="77777777" w:rsidR="00371524" w:rsidRDefault="00371524" w:rsidP="00B12B0C">
            <w:pPr>
              <w:pStyle w:val="UtilComTabletext"/>
              <w:jc w:val="right"/>
            </w:pPr>
          </w:p>
        </w:tc>
        <w:tc>
          <w:tcPr>
            <w:tcW w:w="964" w:type="dxa"/>
            <w:tcBorders>
              <w:bottom w:val="single" w:sz="4" w:space="0" w:color="999999"/>
            </w:tcBorders>
          </w:tcPr>
          <w:p w14:paraId="59214A02" w14:textId="77777777" w:rsidR="00371524" w:rsidRDefault="00371524" w:rsidP="00B12B0C">
            <w:pPr>
              <w:pStyle w:val="UtilComTabletext"/>
              <w:jc w:val="right"/>
            </w:pPr>
            <w:r>
              <w:t>2.51</w:t>
            </w:r>
          </w:p>
        </w:tc>
        <w:tc>
          <w:tcPr>
            <w:tcW w:w="964" w:type="dxa"/>
            <w:tcBorders>
              <w:bottom w:val="single" w:sz="4" w:space="0" w:color="999999"/>
            </w:tcBorders>
          </w:tcPr>
          <w:p w14:paraId="6D211E84" w14:textId="77777777" w:rsidR="00371524" w:rsidRDefault="00371524" w:rsidP="00B12B0C">
            <w:pPr>
              <w:pStyle w:val="UtilComTabletext"/>
              <w:jc w:val="right"/>
            </w:pPr>
            <w:r>
              <w:t>2.51</w:t>
            </w:r>
          </w:p>
        </w:tc>
        <w:tc>
          <w:tcPr>
            <w:tcW w:w="964" w:type="dxa"/>
            <w:tcBorders>
              <w:bottom w:val="single" w:sz="4" w:space="0" w:color="999999"/>
            </w:tcBorders>
          </w:tcPr>
          <w:p w14:paraId="2A9CAE75" w14:textId="77777777" w:rsidR="00371524" w:rsidRDefault="00371524" w:rsidP="00B12B0C">
            <w:pPr>
              <w:pStyle w:val="UtilComTabletext"/>
              <w:jc w:val="right"/>
            </w:pPr>
            <w:r>
              <w:t>2.51</w:t>
            </w:r>
          </w:p>
        </w:tc>
        <w:tc>
          <w:tcPr>
            <w:tcW w:w="964" w:type="dxa"/>
            <w:tcBorders>
              <w:bottom w:val="single" w:sz="4" w:space="0" w:color="999999"/>
            </w:tcBorders>
          </w:tcPr>
          <w:p w14:paraId="57DD85C2" w14:textId="77777777" w:rsidR="00371524" w:rsidRDefault="00371524" w:rsidP="00B12B0C">
            <w:pPr>
              <w:pStyle w:val="UtilComTabletext"/>
              <w:jc w:val="right"/>
            </w:pPr>
            <w:r>
              <w:t>2.51</w:t>
            </w:r>
          </w:p>
        </w:tc>
        <w:tc>
          <w:tcPr>
            <w:tcW w:w="964" w:type="dxa"/>
            <w:tcBorders>
              <w:bottom w:val="single" w:sz="4" w:space="0" w:color="999999"/>
            </w:tcBorders>
          </w:tcPr>
          <w:p w14:paraId="686159B6" w14:textId="77777777" w:rsidR="00371524" w:rsidRDefault="00371524" w:rsidP="00B12B0C">
            <w:pPr>
              <w:pStyle w:val="UtilComTabletext"/>
              <w:jc w:val="right"/>
            </w:pPr>
            <w:r>
              <w:t>2.51</w:t>
            </w:r>
          </w:p>
        </w:tc>
        <w:tc>
          <w:tcPr>
            <w:tcW w:w="1021" w:type="dxa"/>
            <w:tcBorders>
              <w:bottom w:val="single" w:sz="4" w:space="0" w:color="999999"/>
            </w:tcBorders>
          </w:tcPr>
          <w:p w14:paraId="49291EC7" w14:textId="77777777" w:rsidR="00371524" w:rsidRDefault="00371524" w:rsidP="00B12B0C">
            <w:pPr>
              <w:pStyle w:val="UtilComTabletext"/>
              <w:jc w:val="right"/>
            </w:pPr>
          </w:p>
        </w:tc>
      </w:tr>
      <w:tr w:rsidR="00371524" w:rsidRPr="007C4959" w14:paraId="20A6F548" w14:textId="498EA64A" w:rsidTr="00371524">
        <w:trPr>
          <w:cantSplit/>
          <w:trHeight w:val="360"/>
        </w:trPr>
        <w:tc>
          <w:tcPr>
            <w:tcW w:w="2410" w:type="dxa"/>
            <w:tcBorders>
              <w:bottom w:val="single" w:sz="4" w:space="0" w:color="auto"/>
            </w:tcBorders>
          </w:tcPr>
          <w:p w14:paraId="2B204309" w14:textId="77777777" w:rsidR="00371524" w:rsidRPr="007C4959" w:rsidRDefault="00371524" w:rsidP="00B12B0C">
            <w:pPr>
              <w:pStyle w:val="UtilComTabletext"/>
              <w:rPr>
                <w:b/>
              </w:rPr>
            </w:pPr>
            <w:r w:rsidRPr="007C4959">
              <w:rPr>
                <w:b/>
              </w:rPr>
              <w:t xml:space="preserve">X factors (%) </w:t>
            </w:r>
            <w:r w:rsidRPr="007C4959">
              <w:rPr>
                <w:b/>
                <w:vertAlign w:val="superscript"/>
              </w:rPr>
              <w:t>(a)</w:t>
            </w:r>
          </w:p>
        </w:tc>
        <w:tc>
          <w:tcPr>
            <w:tcW w:w="964" w:type="dxa"/>
            <w:tcBorders>
              <w:bottom w:val="single" w:sz="4" w:space="0" w:color="auto"/>
            </w:tcBorders>
          </w:tcPr>
          <w:p w14:paraId="0FB87309" w14:textId="77777777" w:rsidR="00371524" w:rsidRPr="007C4959" w:rsidRDefault="00371524" w:rsidP="00B12B0C">
            <w:pPr>
              <w:pStyle w:val="UtilComTabletext"/>
              <w:jc w:val="right"/>
              <w:rPr>
                <w:b/>
              </w:rPr>
            </w:pPr>
          </w:p>
        </w:tc>
        <w:tc>
          <w:tcPr>
            <w:tcW w:w="964" w:type="dxa"/>
            <w:tcBorders>
              <w:bottom w:val="single" w:sz="4" w:space="0" w:color="auto"/>
            </w:tcBorders>
          </w:tcPr>
          <w:p w14:paraId="3221CDAD" w14:textId="77777777" w:rsidR="00371524" w:rsidRPr="007C4959" w:rsidRDefault="00371524" w:rsidP="00B12B0C">
            <w:pPr>
              <w:pStyle w:val="UtilComTabletext"/>
              <w:jc w:val="right"/>
              <w:rPr>
                <w:b/>
              </w:rPr>
            </w:pPr>
            <w:r>
              <w:rPr>
                <w:b/>
              </w:rPr>
              <w:t>- 38.05</w:t>
            </w:r>
          </w:p>
        </w:tc>
        <w:tc>
          <w:tcPr>
            <w:tcW w:w="964" w:type="dxa"/>
            <w:tcBorders>
              <w:bottom w:val="single" w:sz="4" w:space="0" w:color="auto"/>
            </w:tcBorders>
          </w:tcPr>
          <w:p w14:paraId="55DC4288"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7DF14FB1"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2D8B35E8"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509FE1D1"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1021" w:type="dxa"/>
            <w:tcBorders>
              <w:bottom w:val="single" w:sz="4" w:space="0" w:color="auto"/>
            </w:tcBorders>
          </w:tcPr>
          <w:p w14:paraId="008E313D" w14:textId="77777777" w:rsidR="00371524" w:rsidRPr="007C4959" w:rsidRDefault="00371524" w:rsidP="00B12B0C">
            <w:pPr>
              <w:pStyle w:val="UtilComTabletext"/>
              <w:jc w:val="right"/>
              <w:rPr>
                <w:b/>
              </w:rPr>
            </w:pPr>
          </w:p>
        </w:tc>
      </w:tr>
    </w:tbl>
    <w:p w14:paraId="401C8347" w14:textId="076BCEF8" w:rsidR="007A729A" w:rsidRDefault="007A729A" w:rsidP="00BB4311">
      <w:pPr>
        <w:spacing w:before="0" w:after="0" w:line="240" w:lineRule="auto"/>
        <w:rPr>
          <w:lang w:val="en-AU"/>
        </w:rPr>
      </w:pPr>
      <w:r w:rsidRPr="00DB3B01">
        <w:rPr>
          <w:sz w:val="18"/>
          <w:szCs w:val="18"/>
          <w:lang w:val="en-AU"/>
        </w:rPr>
        <w:t xml:space="preserve">Source: Utilities Commission, NTRM </w:t>
      </w:r>
      <w:r>
        <w:rPr>
          <w:lang w:val="en-AU"/>
        </w:rPr>
        <w:br/>
      </w:r>
      <w:r w:rsidR="00564B3F" w:rsidRPr="00564B3F">
        <w:rPr>
          <w:rFonts w:cs="Arial"/>
          <w:vertAlign w:val="superscript"/>
          <w:lang w:val="en-AU"/>
        </w:rPr>
        <w:t>(a)</w:t>
      </w:r>
      <w:r w:rsidR="00564B3F">
        <w:rPr>
          <w:lang w:val="en-AU"/>
        </w:rPr>
        <w:t xml:space="preserve"> </w:t>
      </w:r>
      <w:r w:rsidR="00564B3F" w:rsidRPr="00564B3F">
        <w:rPr>
          <w:sz w:val="18"/>
          <w:szCs w:val="18"/>
          <w:lang w:val="en-AU"/>
        </w:rPr>
        <w:t>Negative values for X indicate real revenue increases under the CPI minus X formula.</w:t>
      </w:r>
    </w:p>
    <w:p w14:paraId="7418DA72" w14:textId="77777777" w:rsidR="00747203" w:rsidRPr="00DB1A4E" w:rsidRDefault="00747203" w:rsidP="00BB4311">
      <w:pPr>
        <w:spacing w:before="0" w:after="0" w:line="240" w:lineRule="auto"/>
        <w:rPr>
          <w:lang w:val="en-AU"/>
        </w:rPr>
      </w:pPr>
    </w:p>
    <w:p w14:paraId="7F0E76DE" w14:textId="77777777" w:rsidR="00C7054F" w:rsidRDefault="00C7054F">
      <w:pPr>
        <w:spacing w:before="0" w:after="0" w:line="240" w:lineRule="auto"/>
        <w:rPr>
          <w:rFonts w:cs="Arial"/>
          <w:spacing w:val="-14"/>
          <w:szCs w:val="22"/>
          <w:lang w:val="en-AU"/>
        </w:rPr>
      </w:pPr>
      <w:r>
        <w:br w:type="page"/>
      </w:r>
    </w:p>
    <w:p w14:paraId="20E51682" w14:textId="59647CA4" w:rsidR="007A729A" w:rsidRPr="00A139AD" w:rsidRDefault="007A729A" w:rsidP="007A729A">
      <w:pPr>
        <w:pStyle w:val="UtilComTableTitle"/>
        <w:keepNext/>
        <w:spacing w:before="120" w:after="0" w:line="240" w:lineRule="exact"/>
      </w:pPr>
      <w:r>
        <w:t>Table 1</w:t>
      </w:r>
      <w:r w:rsidR="00036DA7">
        <w:t>4</w:t>
      </w:r>
      <w:r>
        <w:t>.7: Commission</w:t>
      </w:r>
      <w:r w:rsidR="00BD61D5">
        <w:t>’s</w:t>
      </w:r>
      <w:r>
        <w:t xml:space="preserve"> </w:t>
      </w:r>
      <w:r w:rsidR="00BD61D5">
        <w:t>decision in the Draft Determination</w:t>
      </w:r>
      <w:r>
        <w:t xml:space="preserve"> on PWC Networks</w:t>
      </w:r>
      <w:r w:rsidR="00B1237C">
        <w:t>’</w:t>
      </w:r>
      <w:r>
        <w:t xml:space="preserve"> </w:t>
      </w:r>
      <w:r w:rsidRPr="006A402B">
        <w:t>proposed annual revenue requirements and X factors</w:t>
      </w:r>
      <w:r>
        <w:t>, including</w:t>
      </w:r>
      <w:r w:rsidRPr="006A402B">
        <w:t xml:space="preserve"> </w:t>
      </w:r>
      <w:r>
        <w:t xml:space="preserve">carryover from cost pass through decision </w:t>
      </w:r>
      <w:r w:rsidRPr="006A402B">
        <w:t>($</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371524" w:rsidRPr="008A4655" w14:paraId="12E9DF42" w14:textId="65A063D8" w:rsidTr="00371524">
        <w:trPr>
          <w:cantSplit/>
          <w:trHeight w:val="360"/>
        </w:trPr>
        <w:tc>
          <w:tcPr>
            <w:tcW w:w="2410" w:type="dxa"/>
            <w:tcBorders>
              <w:top w:val="single" w:sz="4" w:space="0" w:color="999999"/>
              <w:bottom w:val="single" w:sz="4" w:space="0" w:color="auto"/>
            </w:tcBorders>
          </w:tcPr>
          <w:p w14:paraId="0F9D394B" w14:textId="77777777" w:rsidR="00371524" w:rsidRPr="00EE5A08" w:rsidRDefault="00371524" w:rsidP="00B12B0C">
            <w:pPr>
              <w:pStyle w:val="UtilComTabletext"/>
              <w:rPr>
                <w:b/>
              </w:rPr>
            </w:pPr>
          </w:p>
        </w:tc>
        <w:tc>
          <w:tcPr>
            <w:tcW w:w="964" w:type="dxa"/>
            <w:tcBorders>
              <w:top w:val="single" w:sz="4" w:space="0" w:color="999999"/>
              <w:bottom w:val="single" w:sz="4" w:space="0" w:color="auto"/>
            </w:tcBorders>
          </w:tcPr>
          <w:p w14:paraId="1DABB157" w14:textId="77777777" w:rsidR="00371524" w:rsidRPr="00EE5A08" w:rsidRDefault="00371524" w:rsidP="00B12B0C">
            <w:pPr>
              <w:pStyle w:val="UtilComTabletext"/>
              <w:jc w:val="right"/>
              <w:rPr>
                <w:b/>
              </w:rPr>
            </w:pPr>
            <w:r>
              <w:rPr>
                <w:b/>
              </w:rPr>
              <w:t>2013-14</w:t>
            </w:r>
          </w:p>
        </w:tc>
        <w:tc>
          <w:tcPr>
            <w:tcW w:w="964" w:type="dxa"/>
            <w:tcBorders>
              <w:top w:val="single" w:sz="4" w:space="0" w:color="999999"/>
              <w:bottom w:val="single" w:sz="4" w:space="0" w:color="auto"/>
            </w:tcBorders>
          </w:tcPr>
          <w:p w14:paraId="5EBF07D5" w14:textId="77777777" w:rsidR="00371524" w:rsidRPr="00EE5A08" w:rsidRDefault="00371524" w:rsidP="00B12B0C">
            <w:pPr>
              <w:pStyle w:val="UtilComTabletext"/>
              <w:jc w:val="right"/>
              <w:rPr>
                <w:b/>
              </w:rPr>
            </w:pPr>
            <w:r>
              <w:rPr>
                <w:b/>
              </w:rPr>
              <w:t>2014-15</w:t>
            </w:r>
          </w:p>
        </w:tc>
        <w:tc>
          <w:tcPr>
            <w:tcW w:w="964" w:type="dxa"/>
            <w:tcBorders>
              <w:top w:val="single" w:sz="4" w:space="0" w:color="999999"/>
              <w:bottom w:val="single" w:sz="4" w:space="0" w:color="auto"/>
            </w:tcBorders>
          </w:tcPr>
          <w:p w14:paraId="619C5D2E" w14:textId="77777777" w:rsidR="00371524" w:rsidRPr="00EE5A08" w:rsidRDefault="00371524" w:rsidP="00B12B0C">
            <w:pPr>
              <w:pStyle w:val="UtilComTabletext"/>
              <w:jc w:val="right"/>
              <w:rPr>
                <w:b/>
              </w:rPr>
            </w:pPr>
            <w:r>
              <w:rPr>
                <w:b/>
              </w:rPr>
              <w:t>2015-16</w:t>
            </w:r>
          </w:p>
        </w:tc>
        <w:tc>
          <w:tcPr>
            <w:tcW w:w="964" w:type="dxa"/>
            <w:tcBorders>
              <w:top w:val="single" w:sz="4" w:space="0" w:color="999999"/>
              <w:bottom w:val="single" w:sz="4" w:space="0" w:color="auto"/>
            </w:tcBorders>
          </w:tcPr>
          <w:p w14:paraId="46AF8FA4" w14:textId="77777777" w:rsidR="00371524" w:rsidRDefault="00371524" w:rsidP="00B12B0C">
            <w:pPr>
              <w:pStyle w:val="UtilComTabletext"/>
              <w:jc w:val="right"/>
              <w:rPr>
                <w:b/>
              </w:rPr>
            </w:pPr>
            <w:r>
              <w:rPr>
                <w:b/>
              </w:rPr>
              <w:t>2016-17</w:t>
            </w:r>
          </w:p>
        </w:tc>
        <w:tc>
          <w:tcPr>
            <w:tcW w:w="964" w:type="dxa"/>
            <w:tcBorders>
              <w:top w:val="single" w:sz="4" w:space="0" w:color="999999"/>
              <w:bottom w:val="single" w:sz="4" w:space="0" w:color="auto"/>
            </w:tcBorders>
          </w:tcPr>
          <w:p w14:paraId="58266FED" w14:textId="77777777" w:rsidR="00371524" w:rsidRDefault="00371524" w:rsidP="00B12B0C">
            <w:pPr>
              <w:pStyle w:val="UtilComTabletext"/>
              <w:jc w:val="right"/>
              <w:rPr>
                <w:b/>
              </w:rPr>
            </w:pPr>
            <w:r>
              <w:rPr>
                <w:b/>
              </w:rPr>
              <w:t>2017-18</w:t>
            </w:r>
          </w:p>
        </w:tc>
        <w:tc>
          <w:tcPr>
            <w:tcW w:w="964" w:type="dxa"/>
            <w:tcBorders>
              <w:top w:val="single" w:sz="4" w:space="0" w:color="999999"/>
              <w:bottom w:val="single" w:sz="4" w:space="0" w:color="auto"/>
            </w:tcBorders>
          </w:tcPr>
          <w:p w14:paraId="55A0BFC5" w14:textId="77777777" w:rsidR="00371524" w:rsidRPr="00EE5A08" w:rsidRDefault="00371524" w:rsidP="00B12B0C">
            <w:pPr>
              <w:pStyle w:val="UtilComTabletext"/>
              <w:jc w:val="right"/>
              <w:rPr>
                <w:b/>
              </w:rPr>
            </w:pPr>
            <w:r>
              <w:rPr>
                <w:b/>
              </w:rPr>
              <w:t>2018-19</w:t>
            </w:r>
          </w:p>
        </w:tc>
        <w:tc>
          <w:tcPr>
            <w:tcW w:w="1021" w:type="dxa"/>
            <w:tcBorders>
              <w:top w:val="single" w:sz="4" w:space="0" w:color="999999"/>
              <w:bottom w:val="single" w:sz="4" w:space="0" w:color="auto"/>
            </w:tcBorders>
          </w:tcPr>
          <w:p w14:paraId="5523390C" w14:textId="7BA8C347" w:rsidR="00371524" w:rsidRDefault="00371524" w:rsidP="00B12B0C">
            <w:pPr>
              <w:pStyle w:val="UtilComTabletext"/>
              <w:jc w:val="right"/>
              <w:rPr>
                <w:b/>
              </w:rPr>
            </w:pPr>
            <w:r>
              <w:rPr>
                <w:b/>
              </w:rPr>
              <w:t>Total</w:t>
            </w:r>
          </w:p>
        </w:tc>
      </w:tr>
      <w:tr w:rsidR="00371524" w:rsidRPr="008A4655" w14:paraId="60F36011" w14:textId="43506A8F" w:rsidTr="00371524">
        <w:trPr>
          <w:cantSplit/>
          <w:trHeight w:val="360"/>
        </w:trPr>
        <w:tc>
          <w:tcPr>
            <w:tcW w:w="2410" w:type="dxa"/>
            <w:tcBorders>
              <w:top w:val="single" w:sz="4" w:space="0" w:color="auto"/>
              <w:bottom w:val="single" w:sz="4" w:space="0" w:color="999999"/>
            </w:tcBorders>
          </w:tcPr>
          <w:p w14:paraId="31268FAA" w14:textId="77777777" w:rsidR="00371524" w:rsidRDefault="00371524" w:rsidP="00B12B0C">
            <w:pPr>
              <w:pStyle w:val="UtilComTabletext"/>
            </w:pPr>
            <w:r>
              <w:t>Unsmoothed annual revenue requirement</w:t>
            </w:r>
          </w:p>
        </w:tc>
        <w:tc>
          <w:tcPr>
            <w:tcW w:w="964" w:type="dxa"/>
            <w:tcBorders>
              <w:top w:val="single" w:sz="4" w:space="0" w:color="auto"/>
              <w:bottom w:val="single" w:sz="4" w:space="0" w:color="999999"/>
            </w:tcBorders>
          </w:tcPr>
          <w:p w14:paraId="2F623870" w14:textId="77777777" w:rsidR="00371524" w:rsidRDefault="00371524" w:rsidP="00B12B0C">
            <w:pPr>
              <w:pStyle w:val="UtilComTabletext"/>
              <w:jc w:val="right"/>
            </w:pPr>
          </w:p>
        </w:tc>
        <w:tc>
          <w:tcPr>
            <w:tcW w:w="964" w:type="dxa"/>
            <w:tcBorders>
              <w:top w:val="single" w:sz="4" w:space="0" w:color="auto"/>
              <w:bottom w:val="single" w:sz="4" w:space="0" w:color="999999"/>
            </w:tcBorders>
          </w:tcPr>
          <w:p w14:paraId="661BE5B2" w14:textId="77777777" w:rsidR="00371524" w:rsidRDefault="00371524" w:rsidP="00B12B0C">
            <w:pPr>
              <w:pStyle w:val="UtilComTabletext"/>
              <w:jc w:val="right"/>
            </w:pPr>
            <w:r>
              <w:t>210.28</w:t>
            </w:r>
          </w:p>
        </w:tc>
        <w:tc>
          <w:tcPr>
            <w:tcW w:w="964" w:type="dxa"/>
            <w:tcBorders>
              <w:top w:val="single" w:sz="4" w:space="0" w:color="auto"/>
              <w:bottom w:val="single" w:sz="4" w:space="0" w:color="999999"/>
            </w:tcBorders>
          </w:tcPr>
          <w:p w14:paraId="5747C2AB" w14:textId="77777777" w:rsidR="00371524" w:rsidRDefault="00371524" w:rsidP="00B12B0C">
            <w:pPr>
              <w:pStyle w:val="UtilComTabletext"/>
              <w:jc w:val="right"/>
            </w:pPr>
            <w:r>
              <w:t>215.44</w:t>
            </w:r>
          </w:p>
        </w:tc>
        <w:tc>
          <w:tcPr>
            <w:tcW w:w="964" w:type="dxa"/>
            <w:tcBorders>
              <w:top w:val="single" w:sz="4" w:space="0" w:color="auto"/>
              <w:bottom w:val="single" w:sz="4" w:space="0" w:color="999999"/>
            </w:tcBorders>
          </w:tcPr>
          <w:p w14:paraId="7703EE43" w14:textId="77777777" w:rsidR="00371524" w:rsidRDefault="00371524" w:rsidP="00B12B0C">
            <w:pPr>
              <w:pStyle w:val="UtilComTabletext"/>
              <w:jc w:val="right"/>
            </w:pPr>
            <w:r>
              <w:t>214.80</w:t>
            </w:r>
          </w:p>
        </w:tc>
        <w:tc>
          <w:tcPr>
            <w:tcW w:w="964" w:type="dxa"/>
            <w:tcBorders>
              <w:top w:val="single" w:sz="4" w:space="0" w:color="auto"/>
              <w:bottom w:val="single" w:sz="4" w:space="0" w:color="999999"/>
            </w:tcBorders>
          </w:tcPr>
          <w:p w14:paraId="6CD87FDE" w14:textId="77777777" w:rsidR="00371524" w:rsidRDefault="00371524" w:rsidP="00B12B0C">
            <w:pPr>
              <w:pStyle w:val="UtilComTabletext"/>
              <w:jc w:val="right"/>
            </w:pPr>
            <w:r>
              <w:t>215.06</w:t>
            </w:r>
          </w:p>
        </w:tc>
        <w:tc>
          <w:tcPr>
            <w:tcW w:w="964" w:type="dxa"/>
            <w:tcBorders>
              <w:top w:val="single" w:sz="4" w:space="0" w:color="auto"/>
              <w:bottom w:val="single" w:sz="4" w:space="0" w:color="999999"/>
            </w:tcBorders>
          </w:tcPr>
          <w:p w14:paraId="48AE4755" w14:textId="77777777" w:rsidR="00371524" w:rsidRDefault="00371524" w:rsidP="00B12B0C">
            <w:pPr>
              <w:pStyle w:val="UtilComTabletext"/>
              <w:jc w:val="right"/>
            </w:pPr>
            <w:r>
              <w:t>218.37</w:t>
            </w:r>
          </w:p>
        </w:tc>
        <w:tc>
          <w:tcPr>
            <w:tcW w:w="1021" w:type="dxa"/>
            <w:tcBorders>
              <w:top w:val="single" w:sz="4" w:space="0" w:color="auto"/>
              <w:bottom w:val="single" w:sz="4" w:space="0" w:color="999999"/>
            </w:tcBorders>
          </w:tcPr>
          <w:p w14:paraId="7F14CAAF" w14:textId="14587395" w:rsidR="00371524" w:rsidRDefault="00371524" w:rsidP="00B12B0C">
            <w:pPr>
              <w:pStyle w:val="UtilComTabletext"/>
              <w:jc w:val="right"/>
            </w:pPr>
            <w:r>
              <w:t>1 073.95</w:t>
            </w:r>
          </w:p>
        </w:tc>
      </w:tr>
      <w:tr w:rsidR="00371524" w:rsidRPr="008A4655" w14:paraId="21376664" w14:textId="5BB09A80" w:rsidTr="00371524">
        <w:trPr>
          <w:cantSplit/>
          <w:trHeight w:val="360"/>
        </w:trPr>
        <w:tc>
          <w:tcPr>
            <w:tcW w:w="2410" w:type="dxa"/>
            <w:tcBorders>
              <w:bottom w:val="single" w:sz="4" w:space="0" w:color="auto"/>
            </w:tcBorders>
          </w:tcPr>
          <w:p w14:paraId="73B9645C" w14:textId="77777777" w:rsidR="00371524" w:rsidRDefault="00371524" w:rsidP="00B12B0C">
            <w:pPr>
              <w:pStyle w:val="UtilComTabletext"/>
            </w:pPr>
            <w:r>
              <w:t>Carryover adjustment (2013 cost pass through)</w:t>
            </w:r>
          </w:p>
        </w:tc>
        <w:tc>
          <w:tcPr>
            <w:tcW w:w="964" w:type="dxa"/>
            <w:tcBorders>
              <w:bottom w:val="single" w:sz="4" w:space="0" w:color="auto"/>
            </w:tcBorders>
          </w:tcPr>
          <w:p w14:paraId="2A4C04C0" w14:textId="77777777" w:rsidR="00371524" w:rsidRDefault="00371524" w:rsidP="00B12B0C">
            <w:pPr>
              <w:pStyle w:val="UtilComTabletext"/>
              <w:jc w:val="right"/>
            </w:pPr>
          </w:p>
        </w:tc>
        <w:tc>
          <w:tcPr>
            <w:tcW w:w="964" w:type="dxa"/>
            <w:tcBorders>
              <w:bottom w:val="single" w:sz="4" w:space="0" w:color="auto"/>
            </w:tcBorders>
          </w:tcPr>
          <w:p w14:paraId="415EFFCF" w14:textId="77777777" w:rsidR="00371524" w:rsidRDefault="00371524" w:rsidP="00B12B0C">
            <w:pPr>
              <w:pStyle w:val="UtilComTabletext"/>
              <w:jc w:val="right"/>
            </w:pPr>
            <w:r>
              <w:t>7.18</w:t>
            </w:r>
          </w:p>
        </w:tc>
        <w:tc>
          <w:tcPr>
            <w:tcW w:w="964" w:type="dxa"/>
            <w:tcBorders>
              <w:bottom w:val="single" w:sz="4" w:space="0" w:color="auto"/>
            </w:tcBorders>
          </w:tcPr>
          <w:p w14:paraId="74887BAB" w14:textId="77777777" w:rsidR="00371524" w:rsidRDefault="00371524" w:rsidP="00B12B0C">
            <w:pPr>
              <w:pStyle w:val="UtilComTabletext"/>
              <w:jc w:val="right"/>
            </w:pPr>
            <w:r>
              <w:t>7.76</w:t>
            </w:r>
          </w:p>
        </w:tc>
        <w:tc>
          <w:tcPr>
            <w:tcW w:w="964" w:type="dxa"/>
            <w:tcBorders>
              <w:bottom w:val="single" w:sz="4" w:space="0" w:color="auto"/>
            </w:tcBorders>
          </w:tcPr>
          <w:p w14:paraId="32FD364C" w14:textId="77777777" w:rsidR="00371524" w:rsidRDefault="00371524" w:rsidP="00B12B0C">
            <w:pPr>
              <w:pStyle w:val="UtilComTabletext"/>
              <w:jc w:val="right"/>
            </w:pPr>
            <w:r>
              <w:t>8.39</w:t>
            </w:r>
          </w:p>
        </w:tc>
        <w:tc>
          <w:tcPr>
            <w:tcW w:w="964" w:type="dxa"/>
            <w:tcBorders>
              <w:bottom w:val="single" w:sz="4" w:space="0" w:color="auto"/>
            </w:tcBorders>
          </w:tcPr>
          <w:p w14:paraId="3718E018" w14:textId="77777777" w:rsidR="00371524" w:rsidRDefault="00371524" w:rsidP="00B12B0C">
            <w:pPr>
              <w:pStyle w:val="UtilComTabletext"/>
              <w:jc w:val="right"/>
            </w:pPr>
            <w:r>
              <w:t>9.07</w:t>
            </w:r>
          </w:p>
        </w:tc>
        <w:tc>
          <w:tcPr>
            <w:tcW w:w="964" w:type="dxa"/>
            <w:tcBorders>
              <w:bottom w:val="single" w:sz="4" w:space="0" w:color="auto"/>
            </w:tcBorders>
          </w:tcPr>
          <w:p w14:paraId="5059D46E" w14:textId="77777777" w:rsidR="00371524" w:rsidRDefault="00371524" w:rsidP="00B12B0C">
            <w:pPr>
              <w:pStyle w:val="UtilComTabletext"/>
              <w:jc w:val="right"/>
            </w:pPr>
            <w:r>
              <w:t>9.81</w:t>
            </w:r>
          </w:p>
        </w:tc>
        <w:tc>
          <w:tcPr>
            <w:tcW w:w="1021" w:type="dxa"/>
            <w:tcBorders>
              <w:bottom w:val="single" w:sz="4" w:space="0" w:color="auto"/>
            </w:tcBorders>
          </w:tcPr>
          <w:p w14:paraId="2124152A" w14:textId="2056C71D" w:rsidR="00371524" w:rsidRDefault="00371524" w:rsidP="00B12B0C">
            <w:pPr>
              <w:pStyle w:val="UtilComTabletext"/>
              <w:jc w:val="right"/>
            </w:pPr>
            <w:r>
              <w:t>42.21</w:t>
            </w:r>
          </w:p>
        </w:tc>
      </w:tr>
      <w:tr w:rsidR="00371524" w:rsidRPr="008A4655" w14:paraId="0DDB0464" w14:textId="004CBEFC" w:rsidTr="00371524">
        <w:trPr>
          <w:cantSplit/>
          <w:trHeight w:val="360"/>
        </w:trPr>
        <w:tc>
          <w:tcPr>
            <w:tcW w:w="2410" w:type="dxa"/>
          </w:tcPr>
          <w:p w14:paraId="655FC96A" w14:textId="77777777" w:rsidR="00371524" w:rsidRDefault="00371524" w:rsidP="00B12B0C">
            <w:pPr>
              <w:pStyle w:val="UtilComTabletext"/>
            </w:pPr>
            <w:r>
              <w:t>Total unsmoothed annual revenue requirement</w:t>
            </w:r>
          </w:p>
        </w:tc>
        <w:tc>
          <w:tcPr>
            <w:tcW w:w="964" w:type="dxa"/>
          </w:tcPr>
          <w:p w14:paraId="26BEE577" w14:textId="77777777" w:rsidR="00371524" w:rsidRPr="00DB64A7" w:rsidRDefault="00371524" w:rsidP="00B12B0C">
            <w:pPr>
              <w:pStyle w:val="UtilComTabletext"/>
              <w:jc w:val="right"/>
            </w:pPr>
          </w:p>
        </w:tc>
        <w:tc>
          <w:tcPr>
            <w:tcW w:w="964" w:type="dxa"/>
          </w:tcPr>
          <w:p w14:paraId="0475C6AC" w14:textId="77777777" w:rsidR="00371524" w:rsidRPr="008A0352" w:rsidRDefault="00371524" w:rsidP="00B12B0C">
            <w:pPr>
              <w:pStyle w:val="UtilComTabletext"/>
              <w:jc w:val="right"/>
            </w:pPr>
            <w:r w:rsidRPr="008A0352">
              <w:t>21</w:t>
            </w:r>
            <w:r>
              <w:t>7</w:t>
            </w:r>
            <w:r w:rsidRPr="008A0352">
              <w:t>.</w:t>
            </w:r>
            <w:r>
              <w:t>45</w:t>
            </w:r>
            <w:r w:rsidRPr="008A0352">
              <w:t xml:space="preserve"> </w:t>
            </w:r>
          </w:p>
        </w:tc>
        <w:tc>
          <w:tcPr>
            <w:tcW w:w="964" w:type="dxa"/>
          </w:tcPr>
          <w:p w14:paraId="3553700E" w14:textId="77777777" w:rsidR="00371524" w:rsidRPr="008A0352" w:rsidRDefault="00371524" w:rsidP="00B12B0C">
            <w:pPr>
              <w:pStyle w:val="UtilComTabletext"/>
              <w:jc w:val="right"/>
            </w:pPr>
            <w:r w:rsidRPr="008A0352">
              <w:t>223.</w:t>
            </w:r>
            <w:r>
              <w:t>20</w:t>
            </w:r>
            <w:r w:rsidRPr="008A0352">
              <w:t xml:space="preserve"> </w:t>
            </w:r>
          </w:p>
        </w:tc>
        <w:tc>
          <w:tcPr>
            <w:tcW w:w="964" w:type="dxa"/>
          </w:tcPr>
          <w:p w14:paraId="5CFE8C12" w14:textId="77777777" w:rsidR="00371524" w:rsidRPr="008A0352" w:rsidRDefault="00371524" w:rsidP="00B12B0C">
            <w:pPr>
              <w:pStyle w:val="UtilComTabletext"/>
              <w:jc w:val="right"/>
            </w:pPr>
            <w:r w:rsidRPr="008A0352">
              <w:t>223.</w:t>
            </w:r>
            <w:r>
              <w:t>19</w:t>
            </w:r>
            <w:r w:rsidRPr="008A0352">
              <w:t xml:space="preserve"> </w:t>
            </w:r>
          </w:p>
        </w:tc>
        <w:tc>
          <w:tcPr>
            <w:tcW w:w="964" w:type="dxa"/>
          </w:tcPr>
          <w:p w14:paraId="2C507737" w14:textId="77777777" w:rsidR="00371524" w:rsidRPr="008A0352" w:rsidRDefault="00371524" w:rsidP="00B12B0C">
            <w:pPr>
              <w:pStyle w:val="UtilComTabletext"/>
              <w:jc w:val="right"/>
            </w:pPr>
            <w:r>
              <w:t>224.13</w:t>
            </w:r>
            <w:r w:rsidRPr="008A0352">
              <w:t xml:space="preserve"> </w:t>
            </w:r>
          </w:p>
        </w:tc>
        <w:tc>
          <w:tcPr>
            <w:tcW w:w="964" w:type="dxa"/>
          </w:tcPr>
          <w:p w14:paraId="25FA494E" w14:textId="77777777" w:rsidR="00371524" w:rsidRDefault="00371524" w:rsidP="00B12B0C">
            <w:pPr>
              <w:pStyle w:val="UtilComTabletext"/>
              <w:jc w:val="right"/>
            </w:pPr>
            <w:r>
              <w:t>228.18</w:t>
            </w:r>
            <w:r w:rsidRPr="008A0352">
              <w:t xml:space="preserve"> </w:t>
            </w:r>
          </w:p>
        </w:tc>
        <w:tc>
          <w:tcPr>
            <w:tcW w:w="1021" w:type="dxa"/>
          </w:tcPr>
          <w:p w14:paraId="1B476B0B" w14:textId="3C216EEA" w:rsidR="00371524" w:rsidRDefault="00371524" w:rsidP="00B12B0C">
            <w:pPr>
              <w:pStyle w:val="UtilComTabletext"/>
              <w:jc w:val="right"/>
            </w:pPr>
            <w:r>
              <w:t>1 116.16</w:t>
            </w:r>
          </w:p>
        </w:tc>
      </w:tr>
      <w:tr w:rsidR="00371524" w:rsidRPr="008A4655" w14:paraId="2FA99005" w14:textId="1DE23FE5" w:rsidTr="00371524">
        <w:trPr>
          <w:cantSplit/>
          <w:trHeight w:val="360"/>
        </w:trPr>
        <w:tc>
          <w:tcPr>
            <w:tcW w:w="2410" w:type="dxa"/>
            <w:tcBorders>
              <w:bottom w:val="single" w:sz="4" w:space="0" w:color="999999"/>
            </w:tcBorders>
          </w:tcPr>
          <w:p w14:paraId="264415A5" w14:textId="77777777" w:rsidR="00371524" w:rsidRDefault="00371524" w:rsidP="00B12B0C">
            <w:pPr>
              <w:pStyle w:val="UtilComTabletext"/>
            </w:pPr>
            <w:r>
              <w:t>Expected revenues (smoothed revenue)</w:t>
            </w:r>
          </w:p>
        </w:tc>
        <w:tc>
          <w:tcPr>
            <w:tcW w:w="964" w:type="dxa"/>
            <w:tcBorders>
              <w:bottom w:val="single" w:sz="4" w:space="0" w:color="999999"/>
            </w:tcBorders>
          </w:tcPr>
          <w:p w14:paraId="1CFF1FF4" w14:textId="77777777" w:rsidR="00371524" w:rsidRDefault="00371524" w:rsidP="00B12B0C">
            <w:pPr>
              <w:pStyle w:val="UtilComTabletext"/>
              <w:jc w:val="right"/>
            </w:pPr>
            <w:r>
              <w:t>142.01</w:t>
            </w:r>
          </w:p>
        </w:tc>
        <w:tc>
          <w:tcPr>
            <w:tcW w:w="964" w:type="dxa"/>
            <w:tcBorders>
              <w:bottom w:val="single" w:sz="4" w:space="0" w:color="999999"/>
            </w:tcBorders>
          </w:tcPr>
          <w:p w14:paraId="02799249" w14:textId="77777777" w:rsidR="00371524" w:rsidRPr="006A20A9" w:rsidRDefault="00371524" w:rsidP="00B12B0C">
            <w:pPr>
              <w:pStyle w:val="UtilComTabletext"/>
              <w:jc w:val="right"/>
            </w:pPr>
            <w:r>
              <w:t>208.78</w:t>
            </w:r>
            <w:r w:rsidRPr="006A20A9">
              <w:t xml:space="preserve"> </w:t>
            </w:r>
          </w:p>
        </w:tc>
        <w:tc>
          <w:tcPr>
            <w:tcW w:w="964" w:type="dxa"/>
            <w:tcBorders>
              <w:bottom w:val="single" w:sz="4" w:space="0" w:color="999999"/>
            </w:tcBorders>
          </w:tcPr>
          <w:p w14:paraId="0CEDA84E" w14:textId="77777777" w:rsidR="00371524" w:rsidRPr="006A20A9" w:rsidRDefault="00371524" w:rsidP="00B12B0C">
            <w:pPr>
              <w:pStyle w:val="UtilComTabletext"/>
              <w:jc w:val="right"/>
            </w:pPr>
            <w:r w:rsidRPr="006A20A9">
              <w:t>216.</w:t>
            </w:r>
            <w:r>
              <w:t>17</w:t>
            </w:r>
            <w:r w:rsidRPr="006A20A9">
              <w:t xml:space="preserve"> </w:t>
            </w:r>
          </w:p>
        </w:tc>
        <w:tc>
          <w:tcPr>
            <w:tcW w:w="964" w:type="dxa"/>
            <w:tcBorders>
              <w:bottom w:val="single" w:sz="4" w:space="0" w:color="999999"/>
            </w:tcBorders>
          </w:tcPr>
          <w:p w14:paraId="145E6B25" w14:textId="77777777" w:rsidR="00371524" w:rsidRPr="006A20A9" w:rsidRDefault="00371524" w:rsidP="00B12B0C">
            <w:pPr>
              <w:pStyle w:val="UtilComTabletext"/>
              <w:jc w:val="right"/>
            </w:pPr>
            <w:r>
              <w:t>223.82</w:t>
            </w:r>
            <w:r w:rsidRPr="006A20A9">
              <w:t xml:space="preserve"> </w:t>
            </w:r>
          </w:p>
        </w:tc>
        <w:tc>
          <w:tcPr>
            <w:tcW w:w="964" w:type="dxa"/>
            <w:tcBorders>
              <w:bottom w:val="single" w:sz="4" w:space="0" w:color="999999"/>
            </w:tcBorders>
          </w:tcPr>
          <w:p w14:paraId="05411465" w14:textId="77777777" w:rsidR="00371524" w:rsidRPr="006A20A9" w:rsidRDefault="00371524" w:rsidP="00B12B0C">
            <w:pPr>
              <w:pStyle w:val="UtilComTabletext"/>
              <w:jc w:val="right"/>
            </w:pPr>
            <w:r>
              <w:t>231.74</w:t>
            </w:r>
            <w:r w:rsidRPr="006A20A9">
              <w:t xml:space="preserve"> </w:t>
            </w:r>
          </w:p>
        </w:tc>
        <w:tc>
          <w:tcPr>
            <w:tcW w:w="964" w:type="dxa"/>
            <w:tcBorders>
              <w:bottom w:val="single" w:sz="4" w:space="0" w:color="999999"/>
            </w:tcBorders>
          </w:tcPr>
          <w:p w14:paraId="2CB8267F" w14:textId="77777777" w:rsidR="00371524" w:rsidRPr="006A20A9" w:rsidRDefault="00371524" w:rsidP="00B12B0C">
            <w:pPr>
              <w:pStyle w:val="UtilComTabletext"/>
              <w:jc w:val="right"/>
            </w:pPr>
            <w:r>
              <w:t>239.94</w:t>
            </w:r>
            <w:r w:rsidRPr="006A20A9">
              <w:t xml:space="preserve"> </w:t>
            </w:r>
          </w:p>
        </w:tc>
        <w:tc>
          <w:tcPr>
            <w:tcW w:w="1021" w:type="dxa"/>
            <w:tcBorders>
              <w:bottom w:val="single" w:sz="4" w:space="0" w:color="999999"/>
            </w:tcBorders>
          </w:tcPr>
          <w:p w14:paraId="0BB9ED37" w14:textId="77777777" w:rsidR="00371524" w:rsidRDefault="00371524" w:rsidP="00B12B0C">
            <w:pPr>
              <w:pStyle w:val="UtilComTabletext"/>
              <w:jc w:val="right"/>
            </w:pPr>
          </w:p>
        </w:tc>
      </w:tr>
      <w:tr w:rsidR="00371524" w:rsidRPr="008A4655" w14:paraId="74B2F38F" w14:textId="76CE1338" w:rsidTr="00371524">
        <w:trPr>
          <w:cantSplit/>
          <w:trHeight w:val="360"/>
        </w:trPr>
        <w:tc>
          <w:tcPr>
            <w:tcW w:w="2410" w:type="dxa"/>
            <w:tcBorders>
              <w:bottom w:val="single" w:sz="4" w:space="0" w:color="999999"/>
            </w:tcBorders>
          </w:tcPr>
          <w:p w14:paraId="1706E2A7" w14:textId="77777777" w:rsidR="00371524" w:rsidRDefault="00371524" w:rsidP="00B12B0C">
            <w:pPr>
              <w:pStyle w:val="UtilComTabletext"/>
            </w:pPr>
            <w:r>
              <w:t>Forecast CPI (%)</w:t>
            </w:r>
          </w:p>
        </w:tc>
        <w:tc>
          <w:tcPr>
            <w:tcW w:w="964" w:type="dxa"/>
            <w:tcBorders>
              <w:bottom w:val="single" w:sz="4" w:space="0" w:color="999999"/>
            </w:tcBorders>
          </w:tcPr>
          <w:p w14:paraId="7E31DFCB" w14:textId="77777777" w:rsidR="00371524" w:rsidRDefault="00371524" w:rsidP="00B12B0C">
            <w:pPr>
              <w:pStyle w:val="UtilComTabletext"/>
              <w:jc w:val="right"/>
            </w:pPr>
          </w:p>
        </w:tc>
        <w:tc>
          <w:tcPr>
            <w:tcW w:w="964" w:type="dxa"/>
            <w:tcBorders>
              <w:bottom w:val="single" w:sz="4" w:space="0" w:color="999999"/>
            </w:tcBorders>
          </w:tcPr>
          <w:p w14:paraId="5A635D00" w14:textId="77777777" w:rsidR="00371524" w:rsidRDefault="00371524" w:rsidP="00B12B0C">
            <w:pPr>
              <w:pStyle w:val="UtilComTabletext"/>
              <w:jc w:val="right"/>
            </w:pPr>
            <w:r>
              <w:t>2.51</w:t>
            </w:r>
          </w:p>
        </w:tc>
        <w:tc>
          <w:tcPr>
            <w:tcW w:w="964" w:type="dxa"/>
            <w:tcBorders>
              <w:bottom w:val="single" w:sz="4" w:space="0" w:color="999999"/>
            </w:tcBorders>
          </w:tcPr>
          <w:p w14:paraId="30F3C0F6" w14:textId="77777777" w:rsidR="00371524" w:rsidRDefault="00371524" w:rsidP="00B12B0C">
            <w:pPr>
              <w:pStyle w:val="UtilComTabletext"/>
              <w:jc w:val="right"/>
            </w:pPr>
            <w:r>
              <w:t>2.51</w:t>
            </w:r>
          </w:p>
        </w:tc>
        <w:tc>
          <w:tcPr>
            <w:tcW w:w="964" w:type="dxa"/>
            <w:tcBorders>
              <w:bottom w:val="single" w:sz="4" w:space="0" w:color="999999"/>
            </w:tcBorders>
          </w:tcPr>
          <w:p w14:paraId="123E6FCB" w14:textId="77777777" w:rsidR="00371524" w:rsidRDefault="00371524" w:rsidP="00B12B0C">
            <w:pPr>
              <w:pStyle w:val="UtilComTabletext"/>
              <w:jc w:val="right"/>
            </w:pPr>
            <w:r>
              <w:t>2.51</w:t>
            </w:r>
          </w:p>
        </w:tc>
        <w:tc>
          <w:tcPr>
            <w:tcW w:w="964" w:type="dxa"/>
            <w:tcBorders>
              <w:bottom w:val="single" w:sz="4" w:space="0" w:color="999999"/>
            </w:tcBorders>
          </w:tcPr>
          <w:p w14:paraId="00536ABC" w14:textId="77777777" w:rsidR="00371524" w:rsidRDefault="00371524" w:rsidP="00B12B0C">
            <w:pPr>
              <w:pStyle w:val="UtilComTabletext"/>
              <w:jc w:val="right"/>
            </w:pPr>
            <w:r>
              <w:t>2.51</w:t>
            </w:r>
          </w:p>
        </w:tc>
        <w:tc>
          <w:tcPr>
            <w:tcW w:w="964" w:type="dxa"/>
            <w:tcBorders>
              <w:bottom w:val="single" w:sz="4" w:space="0" w:color="999999"/>
            </w:tcBorders>
          </w:tcPr>
          <w:p w14:paraId="1B325350" w14:textId="77777777" w:rsidR="00371524" w:rsidRDefault="00371524" w:rsidP="00B12B0C">
            <w:pPr>
              <w:pStyle w:val="UtilComTabletext"/>
              <w:jc w:val="right"/>
            </w:pPr>
            <w:r>
              <w:t>2.51</w:t>
            </w:r>
          </w:p>
        </w:tc>
        <w:tc>
          <w:tcPr>
            <w:tcW w:w="1021" w:type="dxa"/>
            <w:tcBorders>
              <w:bottom w:val="single" w:sz="4" w:space="0" w:color="999999"/>
            </w:tcBorders>
          </w:tcPr>
          <w:p w14:paraId="5AC44D0B" w14:textId="77777777" w:rsidR="00371524" w:rsidRDefault="00371524" w:rsidP="00B12B0C">
            <w:pPr>
              <w:pStyle w:val="UtilComTabletext"/>
              <w:jc w:val="right"/>
            </w:pPr>
          </w:p>
        </w:tc>
      </w:tr>
      <w:tr w:rsidR="00371524" w:rsidRPr="007C4959" w14:paraId="44207C1D" w14:textId="37CC8905" w:rsidTr="00371524">
        <w:trPr>
          <w:cantSplit/>
          <w:trHeight w:val="360"/>
        </w:trPr>
        <w:tc>
          <w:tcPr>
            <w:tcW w:w="2410" w:type="dxa"/>
          </w:tcPr>
          <w:p w14:paraId="1036B8D4" w14:textId="77777777" w:rsidR="00371524" w:rsidRPr="007C4959" w:rsidRDefault="00371524" w:rsidP="00B12B0C">
            <w:pPr>
              <w:pStyle w:val="UtilComTabletext"/>
              <w:rPr>
                <w:b/>
              </w:rPr>
            </w:pPr>
            <w:r w:rsidRPr="007C4959">
              <w:rPr>
                <w:b/>
              </w:rPr>
              <w:t xml:space="preserve">X factors (%) </w:t>
            </w:r>
            <w:r w:rsidRPr="007C4959">
              <w:rPr>
                <w:b/>
                <w:vertAlign w:val="superscript"/>
              </w:rPr>
              <w:t>(a)</w:t>
            </w:r>
          </w:p>
        </w:tc>
        <w:tc>
          <w:tcPr>
            <w:tcW w:w="964" w:type="dxa"/>
          </w:tcPr>
          <w:p w14:paraId="1E5D4481" w14:textId="77777777" w:rsidR="00371524" w:rsidRPr="007C4959" w:rsidRDefault="00371524" w:rsidP="00B12B0C">
            <w:pPr>
              <w:pStyle w:val="UtilComTabletext"/>
              <w:jc w:val="right"/>
              <w:rPr>
                <w:b/>
              </w:rPr>
            </w:pPr>
          </w:p>
        </w:tc>
        <w:tc>
          <w:tcPr>
            <w:tcW w:w="964" w:type="dxa"/>
          </w:tcPr>
          <w:p w14:paraId="7B19D822" w14:textId="77777777" w:rsidR="00371524" w:rsidRPr="007C4959" w:rsidRDefault="00371524" w:rsidP="00B12B0C">
            <w:pPr>
              <w:pStyle w:val="UtilComTabletext"/>
              <w:jc w:val="right"/>
              <w:rPr>
                <w:b/>
              </w:rPr>
            </w:pPr>
            <w:r w:rsidRPr="007C4959">
              <w:rPr>
                <w:b/>
              </w:rPr>
              <w:t>-</w:t>
            </w:r>
            <w:r>
              <w:rPr>
                <w:b/>
              </w:rPr>
              <w:t xml:space="preserve"> 43</w:t>
            </w:r>
            <w:r w:rsidRPr="007C4959">
              <w:rPr>
                <w:b/>
              </w:rPr>
              <w:t>.</w:t>
            </w:r>
            <w:r>
              <w:rPr>
                <w:b/>
              </w:rPr>
              <w:t>42</w:t>
            </w:r>
          </w:p>
        </w:tc>
        <w:tc>
          <w:tcPr>
            <w:tcW w:w="964" w:type="dxa"/>
          </w:tcPr>
          <w:p w14:paraId="2985974D"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964" w:type="dxa"/>
          </w:tcPr>
          <w:p w14:paraId="050A1DB3"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964" w:type="dxa"/>
          </w:tcPr>
          <w:p w14:paraId="7021FC65"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964" w:type="dxa"/>
          </w:tcPr>
          <w:p w14:paraId="62DC9A83" w14:textId="77777777" w:rsidR="00371524" w:rsidRPr="007C4959" w:rsidRDefault="00371524" w:rsidP="00B12B0C">
            <w:pPr>
              <w:pStyle w:val="UtilComTabletext"/>
              <w:jc w:val="right"/>
              <w:rPr>
                <w:b/>
              </w:rPr>
            </w:pPr>
            <w:r w:rsidRPr="007C4959">
              <w:rPr>
                <w:b/>
              </w:rPr>
              <w:t>-</w:t>
            </w:r>
            <w:r>
              <w:rPr>
                <w:b/>
              </w:rPr>
              <w:t xml:space="preserve"> </w:t>
            </w:r>
            <w:r w:rsidRPr="007C4959">
              <w:rPr>
                <w:b/>
              </w:rPr>
              <w:t>1.00</w:t>
            </w:r>
          </w:p>
        </w:tc>
        <w:tc>
          <w:tcPr>
            <w:tcW w:w="1021" w:type="dxa"/>
          </w:tcPr>
          <w:p w14:paraId="3CB15F7B" w14:textId="77777777" w:rsidR="00371524" w:rsidRPr="007C4959" w:rsidRDefault="00371524" w:rsidP="00B12B0C">
            <w:pPr>
              <w:pStyle w:val="UtilComTabletext"/>
              <w:jc w:val="right"/>
              <w:rPr>
                <w:b/>
              </w:rPr>
            </w:pPr>
          </w:p>
        </w:tc>
      </w:tr>
    </w:tbl>
    <w:p w14:paraId="2D464D49" w14:textId="6C9A4CFF" w:rsidR="007A729A" w:rsidRDefault="007A729A" w:rsidP="007A729A">
      <w:pPr>
        <w:pStyle w:val="UtilComReferenceSource"/>
        <w:rPr>
          <w:lang w:val="en-AU"/>
        </w:rPr>
      </w:pPr>
      <w:r>
        <w:rPr>
          <w:lang w:val="en-AU"/>
        </w:rPr>
        <w:t xml:space="preserve">Source: Utilities Commission, NTRM </w:t>
      </w:r>
      <w:r>
        <w:rPr>
          <w:lang w:val="en-AU"/>
        </w:rPr>
        <w:br/>
      </w:r>
      <w:r w:rsidRPr="00AB1661">
        <w:rPr>
          <w:rFonts w:cs="Arial"/>
          <w:vertAlign w:val="superscript"/>
          <w:lang w:val="en-AU"/>
        </w:rPr>
        <w:t>(a)</w:t>
      </w:r>
      <w:r>
        <w:rPr>
          <w:lang w:val="en-AU"/>
        </w:rPr>
        <w:t xml:space="preserve"> </w:t>
      </w:r>
      <w:r w:rsidRPr="004A7FDA">
        <w:rPr>
          <w:lang w:val="en-AU"/>
        </w:rPr>
        <w:t>Negative values for X indicate real revenue increases under the CPI</w:t>
      </w:r>
      <w:r w:rsidR="00BD61D5">
        <w:rPr>
          <w:lang w:val="en-AU"/>
        </w:rPr>
        <w:t xml:space="preserve"> minus </w:t>
      </w:r>
      <w:r w:rsidRPr="004A7FDA">
        <w:rPr>
          <w:lang w:val="en-AU"/>
        </w:rPr>
        <w:t>X formula.</w:t>
      </w:r>
    </w:p>
    <w:p w14:paraId="7D0FC0CF" w14:textId="79725FE8" w:rsidR="007A729A" w:rsidRPr="000B0B58" w:rsidRDefault="007A729A" w:rsidP="007A729A">
      <w:pPr>
        <w:pStyle w:val="NumberLevel2"/>
        <w:numPr>
          <w:ilvl w:val="1"/>
          <w:numId w:val="5"/>
        </w:numPr>
        <w:ind w:left="709" w:hanging="709"/>
        <w:rPr>
          <w:lang w:val="en-AU"/>
        </w:rPr>
      </w:pPr>
      <w:r>
        <w:rPr>
          <w:lang w:val="en-AU"/>
        </w:rPr>
        <w:t xml:space="preserve">The </w:t>
      </w:r>
      <w:r w:rsidRPr="00403E9D">
        <w:rPr>
          <w:lang w:val="en-AU"/>
        </w:rPr>
        <w:t xml:space="preserve">difference between the annual revenue requirement and expected revenue in the final </w:t>
      </w:r>
      <w:r w:rsidR="00BD61D5">
        <w:rPr>
          <w:lang w:val="en-AU"/>
        </w:rPr>
        <w:t xml:space="preserve">regulatory </w:t>
      </w:r>
      <w:r w:rsidRPr="00403E9D">
        <w:rPr>
          <w:lang w:val="en-AU"/>
        </w:rPr>
        <w:t>year of the</w:t>
      </w:r>
      <w:r w:rsidR="00B1237C">
        <w:rPr>
          <w:lang w:val="en-AU"/>
        </w:rPr>
        <w:t xml:space="preserve"> 2014-19</w:t>
      </w:r>
      <w:r w:rsidRPr="00403E9D">
        <w:rPr>
          <w:lang w:val="en-AU"/>
        </w:rPr>
        <w:t xml:space="preserve"> regulatory control period</w:t>
      </w:r>
      <w:r>
        <w:rPr>
          <w:lang w:val="en-AU"/>
        </w:rPr>
        <w:t xml:space="preserve"> is 5.</w:t>
      </w:r>
      <w:r w:rsidR="00BD61D5">
        <w:rPr>
          <w:lang w:val="en-AU"/>
        </w:rPr>
        <w:t>16 per </w:t>
      </w:r>
      <w:r>
        <w:rPr>
          <w:lang w:val="en-AU"/>
        </w:rPr>
        <w:t>cent</w:t>
      </w:r>
      <w:r w:rsidR="00B1237C">
        <w:rPr>
          <w:lang w:val="en-AU"/>
        </w:rPr>
        <w:t>.</w:t>
      </w:r>
    </w:p>
    <w:p w14:paraId="6064B67D" w14:textId="4406B0CF" w:rsidR="007A729A" w:rsidRPr="00083FAA" w:rsidRDefault="007A729A" w:rsidP="007A729A">
      <w:pPr>
        <w:pStyle w:val="UtilComHeading2"/>
      </w:pPr>
      <w:bookmarkStart w:id="303" w:name="_Toc385241574"/>
      <w:bookmarkStart w:id="304" w:name="_Toc386013127"/>
      <w:r w:rsidRPr="00083FAA">
        <w:t xml:space="preserve">PWC Networks’ </w:t>
      </w:r>
      <w:r w:rsidR="00C05748">
        <w:t>R</w:t>
      </w:r>
      <w:r w:rsidR="00C05748" w:rsidRPr="00083FAA">
        <w:t xml:space="preserve">evised </w:t>
      </w:r>
      <w:r w:rsidR="00C05748">
        <w:t>R</w:t>
      </w:r>
      <w:r w:rsidR="00C05748" w:rsidRPr="00083FAA">
        <w:t xml:space="preserve">egulatory </w:t>
      </w:r>
      <w:bookmarkEnd w:id="303"/>
      <w:r w:rsidR="00C05748">
        <w:t>P</w:t>
      </w:r>
      <w:r w:rsidR="00C05748" w:rsidRPr="00083FAA">
        <w:t>roposal</w:t>
      </w:r>
      <w:bookmarkEnd w:id="304"/>
    </w:p>
    <w:p w14:paraId="12B9CBD4" w14:textId="7688B4A4" w:rsidR="00737C41" w:rsidRDefault="00737C41" w:rsidP="00737C41">
      <w:pPr>
        <w:pStyle w:val="NumberLevel2"/>
        <w:numPr>
          <w:ilvl w:val="1"/>
          <w:numId w:val="5"/>
        </w:numPr>
        <w:tabs>
          <w:tab w:val="clear" w:pos="3270"/>
          <w:tab w:val="num" w:pos="709"/>
        </w:tabs>
        <w:ind w:left="709" w:hanging="709"/>
        <w:rPr>
          <w:lang w:val="en-AU"/>
        </w:rPr>
      </w:pPr>
      <w:r>
        <w:rPr>
          <w:lang w:val="en-AU"/>
        </w:rPr>
        <w:t>PWC Networks’</w:t>
      </w:r>
      <w:r w:rsidRPr="006A402B">
        <w:rPr>
          <w:lang w:val="en-AU"/>
        </w:rPr>
        <w:t xml:space="preserve"> calculation of annual revenue requirements and X factors </w:t>
      </w:r>
      <w:r w:rsidR="00921677">
        <w:rPr>
          <w:lang w:val="en-AU"/>
        </w:rPr>
        <w:t>was</w:t>
      </w:r>
      <w:r w:rsidR="00921677" w:rsidRPr="006A402B">
        <w:rPr>
          <w:lang w:val="en-AU"/>
        </w:rPr>
        <w:t xml:space="preserve"> </w:t>
      </w:r>
      <w:r w:rsidRPr="006A402B">
        <w:rPr>
          <w:lang w:val="en-AU"/>
        </w:rPr>
        <w:t xml:space="preserve">contained in its </w:t>
      </w:r>
      <w:r>
        <w:rPr>
          <w:lang w:val="en-AU"/>
        </w:rPr>
        <w:t xml:space="preserve">NTRM </w:t>
      </w:r>
      <w:r w:rsidRPr="006A402B">
        <w:rPr>
          <w:lang w:val="en-AU"/>
        </w:rPr>
        <w:t xml:space="preserve">and </w:t>
      </w:r>
      <w:r>
        <w:rPr>
          <w:lang w:val="en-AU"/>
        </w:rPr>
        <w:t>is</w:t>
      </w:r>
      <w:r w:rsidRPr="006A402B">
        <w:rPr>
          <w:lang w:val="en-AU"/>
        </w:rPr>
        <w:t xml:space="preserve"> summarised in table</w:t>
      </w:r>
      <w:r>
        <w:rPr>
          <w:lang w:val="en-AU"/>
        </w:rPr>
        <w:t>s</w:t>
      </w:r>
      <w:r w:rsidRPr="006A402B">
        <w:rPr>
          <w:lang w:val="en-AU"/>
        </w:rPr>
        <w:t xml:space="preserve"> 1</w:t>
      </w:r>
      <w:r w:rsidR="00036DA7">
        <w:rPr>
          <w:lang w:val="en-AU"/>
        </w:rPr>
        <w:t>4</w:t>
      </w:r>
      <w:r w:rsidRPr="006A402B">
        <w:rPr>
          <w:lang w:val="en-AU"/>
        </w:rPr>
        <w:t>.</w:t>
      </w:r>
      <w:r>
        <w:rPr>
          <w:lang w:val="en-AU"/>
        </w:rPr>
        <w:t>8 and 1</w:t>
      </w:r>
      <w:r w:rsidR="00036DA7">
        <w:rPr>
          <w:lang w:val="en-AU"/>
        </w:rPr>
        <w:t>4</w:t>
      </w:r>
      <w:r>
        <w:rPr>
          <w:lang w:val="en-AU"/>
        </w:rPr>
        <w:t>.9</w:t>
      </w:r>
      <w:r w:rsidRPr="006A402B">
        <w:rPr>
          <w:lang w:val="en-AU"/>
        </w:rPr>
        <w:t>.</w:t>
      </w:r>
    </w:p>
    <w:p w14:paraId="7CCD4580" w14:textId="079D3C12" w:rsidR="00737C41" w:rsidRPr="00A139AD" w:rsidRDefault="00737C41" w:rsidP="00737C41">
      <w:pPr>
        <w:pStyle w:val="UtilComTableTitle"/>
        <w:keepNext/>
        <w:spacing w:before="120" w:after="0" w:line="240" w:lineRule="exact"/>
      </w:pPr>
      <w:r>
        <w:t>Table 1</w:t>
      </w:r>
      <w:r w:rsidR="00036DA7">
        <w:t>4</w:t>
      </w:r>
      <w:r>
        <w:t>.8: PWC Networks</w:t>
      </w:r>
      <w:r w:rsidR="00B1237C">
        <w:t>’</w:t>
      </w:r>
      <w:r>
        <w:t xml:space="preserve"> roll forward of regulatory asset base</w:t>
      </w:r>
      <w:r w:rsidRPr="006A402B">
        <w:t xml:space="preserve"> ($</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3544"/>
        <w:gridCol w:w="1134"/>
        <w:gridCol w:w="1134"/>
        <w:gridCol w:w="1134"/>
        <w:gridCol w:w="1134"/>
        <w:gridCol w:w="1134"/>
      </w:tblGrid>
      <w:tr w:rsidR="00737C41" w:rsidRPr="008A4655" w14:paraId="74BF3044" w14:textId="77777777" w:rsidTr="00B12B0C">
        <w:trPr>
          <w:cantSplit/>
          <w:trHeight w:val="360"/>
        </w:trPr>
        <w:tc>
          <w:tcPr>
            <w:tcW w:w="3544" w:type="dxa"/>
            <w:tcBorders>
              <w:top w:val="single" w:sz="4" w:space="0" w:color="999999"/>
              <w:bottom w:val="single" w:sz="4" w:space="0" w:color="auto"/>
            </w:tcBorders>
          </w:tcPr>
          <w:p w14:paraId="69F03642" w14:textId="77777777" w:rsidR="00737C41" w:rsidRPr="00EE5A08" w:rsidRDefault="00737C41" w:rsidP="00B12B0C">
            <w:pPr>
              <w:pStyle w:val="UtilComTabletext"/>
              <w:rPr>
                <w:b/>
              </w:rPr>
            </w:pPr>
          </w:p>
        </w:tc>
        <w:tc>
          <w:tcPr>
            <w:tcW w:w="1134" w:type="dxa"/>
            <w:tcBorders>
              <w:top w:val="single" w:sz="4" w:space="0" w:color="999999"/>
              <w:bottom w:val="single" w:sz="4" w:space="0" w:color="auto"/>
            </w:tcBorders>
          </w:tcPr>
          <w:p w14:paraId="3F5E7E6F" w14:textId="77777777" w:rsidR="00737C41" w:rsidRPr="00EE5A08" w:rsidRDefault="00737C41" w:rsidP="00B12B0C">
            <w:pPr>
              <w:pStyle w:val="UtilComTabletext"/>
              <w:jc w:val="right"/>
              <w:rPr>
                <w:b/>
              </w:rPr>
            </w:pPr>
            <w:r>
              <w:rPr>
                <w:b/>
              </w:rPr>
              <w:t>2014-15</w:t>
            </w:r>
          </w:p>
        </w:tc>
        <w:tc>
          <w:tcPr>
            <w:tcW w:w="1134" w:type="dxa"/>
            <w:tcBorders>
              <w:top w:val="single" w:sz="4" w:space="0" w:color="999999"/>
              <w:bottom w:val="single" w:sz="4" w:space="0" w:color="auto"/>
            </w:tcBorders>
          </w:tcPr>
          <w:p w14:paraId="272536DA" w14:textId="77777777" w:rsidR="00737C41" w:rsidRPr="00EE5A08" w:rsidRDefault="00737C41" w:rsidP="00B12B0C">
            <w:pPr>
              <w:pStyle w:val="UtilComTabletext"/>
              <w:jc w:val="right"/>
              <w:rPr>
                <w:b/>
              </w:rPr>
            </w:pPr>
            <w:r>
              <w:rPr>
                <w:b/>
              </w:rPr>
              <w:t>2015-16</w:t>
            </w:r>
          </w:p>
        </w:tc>
        <w:tc>
          <w:tcPr>
            <w:tcW w:w="1134" w:type="dxa"/>
            <w:tcBorders>
              <w:top w:val="single" w:sz="4" w:space="0" w:color="999999"/>
              <w:bottom w:val="single" w:sz="4" w:space="0" w:color="auto"/>
            </w:tcBorders>
          </w:tcPr>
          <w:p w14:paraId="59B60A75" w14:textId="77777777" w:rsidR="00737C41" w:rsidRDefault="00737C41" w:rsidP="00B12B0C">
            <w:pPr>
              <w:pStyle w:val="UtilComTabletext"/>
              <w:jc w:val="right"/>
              <w:rPr>
                <w:b/>
              </w:rPr>
            </w:pPr>
            <w:r>
              <w:rPr>
                <w:b/>
              </w:rPr>
              <w:t>2016-17</w:t>
            </w:r>
          </w:p>
        </w:tc>
        <w:tc>
          <w:tcPr>
            <w:tcW w:w="1134" w:type="dxa"/>
            <w:tcBorders>
              <w:top w:val="single" w:sz="4" w:space="0" w:color="999999"/>
              <w:bottom w:val="single" w:sz="4" w:space="0" w:color="auto"/>
            </w:tcBorders>
          </w:tcPr>
          <w:p w14:paraId="37BC0C5C" w14:textId="77777777" w:rsidR="00737C41" w:rsidRDefault="00737C41" w:rsidP="00B12B0C">
            <w:pPr>
              <w:pStyle w:val="UtilComTabletext"/>
              <w:jc w:val="right"/>
              <w:rPr>
                <w:b/>
              </w:rPr>
            </w:pPr>
            <w:r>
              <w:rPr>
                <w:b/>
              </w:rPr>
              <w:t>2017-18</w:t>
            </w:r>
          </w:p>
        </w:tc>
        <w:tc>
          <w:tcPr>
            <w:tcW w:w="1134" w:type="dxa"/>
            <w:tcBorders>
              <w:top w:val="single" w:sz="4" w:space="0" w:color="999999"/>
              <w:bottom w:val="single" w:sz="4" w:space="0" w:color="auto"/>
            </w:tcBorders>
          </w:tcPr>
          <w:p w14:paraId="443307CE" w14:textId="77777777" w:rsidR="00737C41" w:rsidRPr="00EE5A08" w:rsidRDefault="00737C41" w:rsidP="00B12B0C">
            <w:pPr>
              <w:pStyle w:val="UtilComTabletext"/>
              <w:jc w:val="right"/>
              <w:rPr>
                <w:b/>
              </w:rPr>
            </w:pPr>
            <w:r>
              <w:rPr>
                <w:b/>
              </w:rPr>
              <w:t>2018-19</w:t>
            </w:r>
          </w:p>
        </w:tc>
      </w:tr>
      <w:tr w:rsidR="00737C41" w:rsidRPr="008A4655" w14:paraId="14FE69DB" w14:textId="77777777" w:rsidTr="00B12B0C">
        <w:trPr>
          <w:cantSplit/>
          <w:trHeight w:val="360"/>
        </w:trPr>
        <w:tc>
          <w:tcPr>
            <w:tcW w:w="3544" w:type="dxa"/>
            <w:tcBorders>
              <w:top w:val="single" w:sz="4" w:space="0" w:color="auto"/>
              <w:bottom w:val="single" w:sz="4" w:space="0" w:color="999999"/>
            </w:tcBorders>
          </w:tcPr>
          <w:p w14:paraId="65AB9703" w14:textId="77777777" w:rsidR="00737C41" w:rsidRDefault="00737C41" w:rsidP="00B12B0C">
            <w:pPr>
              <w:pStyle w:val="UtilComTabletext"/>
            </w:pPr>
            <w:r>
              <w:t>Opening RAB</w:t>
            </w:r>
          </w:p>
        </w:tc>
        <w:tc>
          <w:tcPr>
            <w:tcW w:w="1134" w:type="dxa"/>
            <w:tcBorders>
              <w:top w:val="single" w:sz="4" w:space="0" w:color="auto"/>
              <w:bottom w:val="single" w:sz="4" w:space="0" w:color="999999"/>
            </w:tcBorders>
          </w:tcPr>
          <w:p w14:paraId="02CD471A" w14:textId="77777777" w:rsidR="00737C41" w:rsidRDefault="00737C41" w:rsidP="00B12B0C">
            <w:pPr>
              <w:pStyle w:val="UtilComTabletext"/>
              <w:jc w:val="right"/>
            </w:pPr>
            <w:r>
              <w:t>930.06</w:t>
            </w:r>
          </w:p>
        </w:tc>
        <w:tc>
          <w:tcPr>
            <w:tcW w:w="1134" w:type="dxa"/>
            <w:tcBorders>
              <w:top w:val="single" w:sz="4" w:space="0" w:color="auto"/>
              <w:bottom w:val="single" w:sz="4" w:space="0" w:color="999999"/>
            </w:tcBorders>
          </w:tcPr>
          <w:p w14:paraId="182D7156" w14:textId="77777777" w:rsidR="00737C41" w:rsidRDefault="00B23533" w:rsidP="00B12B0C">
            <w:pPr>
              <w:pStyle w:val="UtilComTabletext"/>
              <w:jc w:val="right"/>
            </w:pPr>
            <w:r>
              <w:t>981.59</w:t>
            </w:r>
          </w:p>
        </w:tc>
        <w:tc>
          <w:tcPr>
            <w:tcW w:w="1134" w:type="dxa"/>
            <w:tcBorders>
              <w:top w:val="single" w:sz="4" w:space="0" w:color="auto"/>
              <w:bottom w:val="single" w:sz="4" w:space="0" w:color="999999"/>
            </w:tcBorders>
          </w:tcPr>
          <w:p w14:paraId="2261AF43" w14:textId="77777777" w:rsidR="00737C41" w:rsidRDefault="00B23533" w:rsidP="00B12B0C">
            <w:pPr>
              <w:pStyle w:val="UtilComTabletext"/>
              <w:jc w:val="right"/>
            </w:pPr>
            <w:r>
              <w:t>1 019.13</w:t>
            </w:r>
          </w:p>
        </w:tc>
        <w:tc>
          <w:tcPr>
            <w:tcW w:w="1134" w:type="dxa"/>
            <w:tcBorders>
              <w:top w:val="single" w:sz="4" w:space="0" w:color="auto"/>
              <w:bottom w:val="single" w:sz="4" w:space="0" w:color="999999"/>
            </w:tcBorders>
          </w:tcPr>
          <w:p w14:paraId="188D5E9B" w14:textId="77777777" w:rsidR="00737C41" w:rsidRDefault="00B23533" w:rsidP="00B12B0C">
            <w:pPr>
              <w:pStyle w:val="UtilComTabletext"/>
              <w:jc w:val="right"/>
            </w:pPr>
            <w:r>
              <w:t>1 038.99</w:t>
            </w:r>
          </w:p>
        </w:tc>
        <w:tc>
          <w:tcPr>
            <w:tcW w:w="1134" w:type="dxa"/>
            <w:tcBorders>
              <w:top w:val="single" w:sz="4" w:space="0" w:color="auto"/>
              <w:bottom w:val="single" w:sz="4" w:space="0" w:color="999999"/>
            </w:tcBorders>
          </w:tcPr>
          <w:p w14:paraId="02731BCE" w14:textId="77777777" w:rsidR="00737C41" w:rsidRDefault="00B23533" w:rsidP="00B12B0C">
            <w:pPr>
              <w:pStyle w:val="UtilComTabletext"/>
              <w:jc w:val="right"/>
            </w:pPr>
            <w:r>
              <w:t>1 054.99</w:t>
            </w:r>
          </w:p>
        </w:tc>
      </w:tr>
      <w:tr w:rsidR="00737C41" w:rsidRPr="008A4655" w14:paraId="4A73167B" w14:textId="77777777" w:rsidTr="00B12B0C">
        <w:trPr>
          <w:cantSplit/>
          <w:trHeight w:val="360"/>
        </w:trPr>
        <w:tc>
          <w:tcPr>
            <w:tcW w:w="3544" w:type="dxa"/>
            <w:tcBorders>
              <w:top w:val="single" w:sz="4" w:space="0" w:color="999999"/>
              <w:bottom w:val="single" w:sz="4" w:space="0" w:color="999999"/>
            </w:tcBorders>
          </w:tcPr>
          <w:p w14:paraId="7F2FBCFD" w14:textId="77777777" w:rsidR="00737C41" w:rsidRDefault="00737C41" w:rsidP="00B12B0C">
            <w:pPr>
              <w:pStyle w:val="UtilComTabletext"/>
            </w:pPr>
            <w:r>
              <w:t xml:space="preserve">Net capex </w:t>
            </w:r>
            <w:r w:rsidRPr="00FF15EF">
              <w:rPr>
                <w:vertAlign w:val="superscript"/>
              </w:rPr>
              <w:t>(a)</w:t>
            </w:r>
          </w:p>
        </w:tc>
        <w:tc>
          <w:tcPr>
            <w:tcW w:w="1134" w:type="dxa"/>
            <w:tcBorders>
              <w:top w:val="single" w:sz="4" w:space="0" w:color="999999"/>
              <w:bottom w:val="single" w:sz="4" w:space="0" w:color="999999"/>
            </w:tcBorders>
          </w:tcPr>
          <w:p w14:paraId="65724339" w14:textId="77777777" w:rsidR="00737C41" w:rsidRDefault="00B23533" w:rsidP="00B12B0C">
            <w:pPr>
              <w:pStyle w:val="UtilComTabletext"/>
              <w:jc w:val="right"/>
            </w:pPr>
            <w:r>
              <w:t>80.03</w:t>
            </w:r>
          </w:p>
        </w:tc>
        <w:tc>
          <w:tcPr>
            <w:tcW w:w="1134" w:type="dxa"/>
            <w:tcBorders>
              <w:top w:val="single" w:sz="4" w:space="0" w:color="999999"/>
              <w:bottom w:val="single" w:sz="4" w:space="0" w:color="999999"/>
            </w:tcBorders>
          </w:tcPr>
          <w:p w14:paraId="6B89D193" w14:textId="77777777" w:rsidR="00737C41" w:rsidRPr="00296E5E" w:rsidRDefault="00B23533" w:rsidP="00B12B0C">
            <w:pPr>
              <w:pStyle w:val="UtilComTabletext"/>
              <w:jc w:val="right"/>
            </w:pPr>
            <w:r>
              <w:t>68.69</w:t>
            </w:r>
          </w:p>
        </w:tc>
        <w:tc>
          <w:tcPr>
            <w:tcW w:w="1134" w:type="dxa"/>
            <w:tcBorders>
              <w:top w:val="single" w:sz="4" w:space="0" w:color="999999"/>
              <w:bottom w:val="single" w:sz="4" w:space="0" w:color="999999"/>
            </w:tcBorders>
          </w:tcPr>
          <w:p w14:paraId="2139D583" w14:textId="77777777" w:rsidR="00737C41" w:rsidRPr="00296E5E" w:rsidRDefault="00B23533" w:rsidP="00B12B0C">
            <w:pPr>
              <w:pStyle w:val="UtilComTabletext"/>
              <w:jc w:val="right"/>
            </w:pPr>
            <w:r>
              <w:t>46.90</w:t>
            </w:r>
          </w:p>
        </w:tc>
        <w:tc>
          <w:tcPr>
            <w:tcW w:w="1134" w:type="dxa"/>
            <w:tcBorders>
              <w:top w:val="single" w:sz="4" w:space="0" w:color="999999"/>
              <w:bottom w:val="single" w:sz="4" w:space="0" w:color="999999"/>
            </w:tcBorders>
          </w:tcPr>
          <w:p w14:paraId="42C0C5A7" w14:textId="77777777" w:rsidR="00737C41" w:rsidRPr="00296E5E" w:rsidRDefault="00B23533" w:rsidP="00B12B0C">
            <w:pPr>
              <w:pStyle w:val="UtilComTabletext"/>
              <w:jc w:val="right"/>
            </w:pPr>
            <w:r>
              <w:t>44.81</w:t>
            </w:r>
          </w:p>
        </w:tc>
        <w:tc>
          <w:tcPr>
            <w:tcW w:w="1134" w:type="dxa"/>
            <w:tcBorders>
              <w:top w:val="single" w:sz="4" w:space="0" w:color="999999"/>
              <w:bottom w:val="single" w:sz="4" w:space="0" w:color="999999"/>
            </w:tcBorders>
          </w:tcPr>
          <w:p w14:paraId="786B60F2" w14:textId="77777777" w:rsidR="00737C41" w:rsidRDefault="00B23533" w:rsidP="00B12B0C">
            <w:pPr>
              <w:pStyle w:val="UtilComTabletext"/>
              <w:jc w:val="right"/>
            </w:pPr>
            <w:r>
              <w:t>63.41</w:t>
            </w:r>
          </w:p>
        </w:tc>
      </w:tr>
      <w:tr w:rsidR="00737C41" w:rsidRPr="008A4655" w14:paraId="7D7E324D" w14:textId="77777777" w:rsidTr="00B12B0C">
        <w:trPr>
          <w:cantSplit/>
          <w:trHeight w:val="360"/>
        </w:trPr>
        <w:tc>
          <w:tcPr>
            <w:tcW w:w="3544" w:type="dxa"/>
            <w:tcBorders>
              <w:top w:val="single" w:sz="4" w:space="0" w:color="999999"/>
              <w:bottom w:val="single" w:sz="4" w:space="0" w:color="999999"/>
            </w:tcBorders>
          </w:tcPr>
          <w:p w14:paraId="3C323C2F" w14:textId="77777777" w:rsidR="00737C41" w:rsidRDefault="00737C41" w:rsidP="00B12B0C">
            <w:pPr>
              <w:pStyle w:val="UtilComTabletext"/>
            </w:pPr>
            <w:r>
              <w:t>Indexation of the opening RAB</w:t>
            </w:r>
          </w:p>
        </w:tc>
        <w:tc>
          <w:tcPr>
            <w:tcW w:w="1134" w:type="dxa"/>
            <w:tcBorders>
              <w:top w:val="single" w:sz="4" w:space="0" w:color="999999"/>
              <w:bottom w:val="single" w:sz="4" w:space="0" w:color="999999"/>
            </w:tcBorders>
          </w:tcPr>
          <w:p w14:paraId="6E3BA632" w14:textId="77777777" w:rsidR="00737C41" w:rsidRDefault="00B23533" w:rsidP="00B12B0C">
            <w:pPr>
              <w:pStyle w:val="UtilComTabletext"/>
              <w:jc w:val="right"/>
            </w:pPr>
            <w:r>
              <w:t>23.38</w:t>
            </w:r>
          </w:p>
        </w:tc>
        <w:tc>
          <w:tcPr>
            <w:tcW w:w="1134" w:type="dxa"/>
            <w:tcBorders>
              <w:top w:val="single" w:sz="4" w:space="0" w:color="999999"/>
              <w:bottom w:val="single" w:sz="4" w:space="0" w:color="999999"/>
            </w:tcBorders>
          </w:tcPr>
          <w:p w14:paraId="0163C52D" w14:textId="77777777" w:rsidR="00737C41" w:rsidRDefault="00B23533" w:rsidP="00B12B0C">
            <w:pPr>
              <w:pStyle w:val="UtilComTabletext"/>
              <w:jc w:val="right"/>
            </w:pPr>
            <w:r>
              <w:t>24.67</w:t>
            </w:r>
          </w:p>
        </w:tc>
        <w:tc>
          <w:tcPr>
            <w:tcW w:w="1134" w:type="dxa"/>
            <w:tcBorders>
              <w:top w:val="single" w:sz="4" w:space="0" w:color="999999"/>
              <w:bottom w:val="single" w:sz="4" w:space="0" w:color="999999"/>
            </w:tcBorders>
          </w:tcPr>
          <w:p w14:paraId="6B90104F" w14:textId="77777777" w:rsidR="00737C41" w:rsidRDefault="00B23533" w:rsidP="00B12B0C">
            <w:pPr>
              <w:pStyle w:val="UtilComTabletext"/>
              <w:jc w:val="right"/>
            </w:pPr>
            <w:r>
              <w:t>25.62</w:t>
            </w:r>
          </w:p>
        </w:tc>
        <w:tc>
          <w:tcPr>
            <w:tcW w:w="1134" w:type="dxa"/>
            <w:tcBorders>
              <w:top w:val="single" w:sz="4" w:space="0" w:color="999999"/>
              <w:bottom w:val="single" w:sz="4" w:space="0" w:color="999999"/>
            </w:tcBorders>
          </w:tcPr>
          <w:p w14:paraId="10CE930D" w14:textId="77777777" w:rsidR="00737C41" w:rsidRDefault="00B23533" w:rsidP="00B12B0C">
            <w:pPr>
              <w:pStyle w:val="UtilComTabletext"/>
              <w:jc w:val="right"/>
            </w:pPr>
            <w:r>
              <w:t>26.12</w:t>
            </w:r>
          </w:p>
        </w:tc>
        <w:tc>
          <w:tcPr>
            <w:tcW w:w="1134" w:type="dxa"/>
            <w:tcBorders>
              <w:top w:val="single" w:sz="4" w:space="0" w:color="999999"/>
              <w:bottom w:val="single" w:sz="4" w:space="0" w:color="999999"/>
            </w:tcBorders>
          </w:tcPr>
          <w:p w14:paraId="5FEC0B66" w14:textId="77777777" w:rsidR="00737C41" w:rsidRDefault="00B23533" w:rsidP="00B12B0C">
            <w:pPr>
              <w:pStyle w:val="UtilComTabletext"/>
              <w:jc w:val="right"/>
            </w:pPr>
            <w:r>
              <w:t>26.52</w:t>
            </w:r>
          </w:p>
        </w:tc>
      </w:tr>
      <w:tr w:rsidR="00737C41" w:rsidRPr="008A4655" w14:paraId="36AEA8A0" w14:textId="77777777" w:rsidTr="00B12B0C">
        <w:trPr>
          <w:cantSplit/>
          <w:trHeight w:val="360"/>
        </w:trPr>
        <w:tc>
          <w:tcPr>
            <w:tcW w:w="3544" w:type="dxa"/>
            <w:tcBorders>
              <w:top w:val="single" w:sz="4" w:space="0" w:color="999999"/>
              <w:bottom w:val="single" w:sz="4" w:space="0" w:color="auto"/>
            </w:tcBorders>
          </w:tcPr>
          <w:p w14:paraId="6D5CA38A" w14:textId="77777777" w:rsidR="00737C41" w:rsidRDefault="00737C41" w:rsidP="00B12B0C">
            <w:pPr>
              <w:pStyle w:val="UtilComTabletext"/>
            </w:pPr>
            <w:r>
              <w:t>Straight-line depreciation</w:t>
            </w:r>
          </w:p>
        </w:tc>
        <w:tc>
          <w:tcPr>
            <w:tcW w:w="1134" w:type="dxa"/>
            <w:tcBorders>
              <w:top w:val="single" w:sz="4" w:space="0" w:color="999999"/>
              <w:bottom w:val="single" w:sz="4" w:space="0" w:color="auto"/>
            </w:tcBorders>
          </w:tcPr>
          <w:p w14:paraId="15FAD0CF" w14:textId="77777777" w:rsidR="00737C41" w:rsidRDefault="00B23533" w:rsidP="00B12B0C">
            <w:pPr>
              <w:pStyle w:val="UtilComTabletext"/>
              <w:jc w:val="right"/>
            </w:pPr>
            <w:r>
              <w:t>51.87</w:t>
            </w:r>
          </w:p>
        </w:tc>
        <w:tc>
          <w:tcPr>
            <w:tcW w:w="1134" w:type="dxa"/>
            <w:tcBorders>
              <w:top w:val="single" w:sz="4" w:space="0" w:color="999999"/>
              <w:bottom w:val="single" w:sz="4" w:space="0" w:color="auto"/>
            </w:tcBorders>
          </w:tcPr>
          <w:p w14:paraId="5229496C" w14:textId="77777777" w:rsidR="00737C41" w:rsidRDefault="00B23533" w:rsidP="00B12B0C">
            <w:pPr>
              <w:pStyle w:val="UtilComTabletext"/>
              <w:jc w:val="right"/>
            </w:pPr>
            <w:r>
              <w:t>55.82</w:t>
            </w:r>
          </w:p>
        </w:tc>
        <w:tc>
          <w:tcPr>
            <w:tcW w:w="1134" w:type="dxa"/>
            <w:tcBorders>
              <w:top w:val="single" w:sz="4" w:space="0" w:color="999999"/>
              <w:bottom w:val="single" w:sz="4" w:space="0" w:color="auto"/>
            </w:tcBorders>
          </w:tcPr>
          <w:p w14:paraId="14F2A53B" w14:textId="77777777" w:rsidR="00737C41" w:rsidRDefault="00B23533" w:rsidP="00B12B0C">
            <w:pPr>
              <w:pStyle w:val="UtilComTabletext"/>
              <w:jc w:val="right"/>
            </w:pPr>
            <w:r>
              <w:t>52.66</w:t>
            </w:r>
          </w:p>
        </w:tc>
        <w:tc>
          <w:tcPr>
            <w:tcW w:w="1134" w:type="dxa"/>
            <w:tcBorders>
              <w:top w:val="single" w:sz="4" w:space="0" w:color="999999"/>
              <w:bottom w:val="single" w:sz="4" w:space="0" w:color="auto"/>
            </w:tcBorders>
          </w:tcPr>
          <w:p w14:paraId="3BB9789D" w14:textId="77777777" w:rsidR="00737C41" w:rsidRDefault="00B23533" w:rsidP="00B12B0C">
            <w:pPr>
              <w:pStyle w:val="UtilComTabletext"/>
              <w:jc w:val="right"/>
            </w:pPr>
            <w:r>
              <w:t>54.93</w:t>
            </w:r>
          </w:p>
        </w:tc>
        <w:tc>
          <w:tcPr>
            <w:tcW w:w="1134" w:type="dxa"/>
            <w:tcBorders>
              <w:top w:val="single" w:sz="4" w:space="0" w:color="999999"/>
              <w:bottom w:val="single" w:sz="4" w:space="0" w:color="auto"/>
            </w:tcBorders>
          </w:tcPr>
          <w:p w14:paraId="5554F101" w14:textId="77777777" w:rsidR="00737C41" w:rsidRDefault="00B23533" w:rsidP="00B12B0C">
            <w:pPr>
              <w:pStyle w:val="UtilComTabletext"/>
              <w:jc w:val="right"/>
            </w:pPr>
            <w:r>
              <w:t>57.57</w:t>
            </w:r>
          </w:p>
        </w:tc>
      </w:tr>
      <w:tr w:rsidR="00B23533" w:rsidRPr="008A4655" w14:paraId="723E0886" w14:textId="77777777" w:rsidTr="00B12B0C">
        <w:trPr>
          <w:cantSplit/>
          <w:trHeight w:val="360"/>
        </w:trPr>
        <w:tc>
          <w:tcPr>
            <w:tcW w:w="3544" w:type="dxa"/>
            <w:tcBorders>
              <w:top w:val="single" w:sz="4" w:space="0" w:color="auto"/>
              <w:bottom w:val="single" w:sz="4" w:space="0" w:color="auto"/>
            </w:tcBorders>
          </w:tcPr>
          <w:p w14:paraId="6587E63A" w14:textId="77777777" w:rsidR="00B23533" w:rsidRDefault="00B23533" w:rsidP="00B12B0C">
            <w:pPr>
              <w:pStyle w:val="UtilComTabletext"/>
            </w:pPr>
            <w:r>
              <w:t>Closing RAB</w:t>
            </w:r>
          </w:p>
        </w:tc>
        <w:tc>
          <w:tcPr>
            <w:tcW w:w="1134" w:type="dxa"/>
            <w:tcBorders>
              <w:top w:val="single" w:sz="4" w:space="0" w:color="auto"/>
              <w:bottom w:val="single" w:sz="4" w:space="0" w:color="auto"/>
            </w:tcBorders>
          </w:tcPr>
          <w:p w14:paraId="299832B0" w14:textId="77777777" w:rsidR="00B23533" w:rsidRDefault="00B23533" w:rsidP="00B12B0C">
            <w:pPr>
              <w:pStyle w:val="UtilComTabletext"/>
              <w:jc w:val="right"/>
            </w:pPr>
            <w:r>
              <w:t>981.59</w:t>
            </w:r>
          </w:p>
        </w:tc>
        <w:tc>
          <w:tcPr>
            <w:tcW w:w="1134" w:type="dxa"/>
            <w:tcBorders>
              <w:top w:val="single" w:sz="4" w:space="0" w:color="auto"/>
              <w:bottom w:val="single" w:sz="4" w:space="0" w:color="auto"/>
            </w:tcBorders>
          </w:tcPr>
          <w:p w14:paraId="4EDD47D4" w14:textId="77777777" w:rsidR="00B23533" w:rsidRDefault="00B23533" w:rsidP="00B12B0C">
            <w:pPr>
              <w:pStyle w:val="UtilComTabletext"/>
              <w:jc w:val="right"/>
            </w:pPr>
            <w:r>
              <w:t>1 019.13</w:t>
            </w:r>
          </w:p>
        </w:tc>
        <w:tc>
          <w:tcPr>
            <w:tcW w:w="1134" w:type="dxa"/>
            <w:tcBorders>
              <w:top w:val="single" w:sz="4" w:space="0" w:color="auto"/>
              <w:bottom w:val="single" w:sz="4" w:space="0" w:color="auto"/>
            </w:tcBorders>
          </w:tcPr>
          <w:p w14:paraId="1A196B35" w14:textId="77777777" w:rsidR="00B23533" w:rsidRDefault="00B23533" w:rsidP="00B12B0C">
            <w:pPr>
              <w:pStyle w:val="UtilComTabletext"/>
              <w:jc w:val="right"/>
            </w:pPr>
            <w:r>
              <w:t>1 038.99</w:t>
            </w:r>
          </w:p>
        </w:tc>
        <w:tc>
          <w:tcPr>
            <w:tcW w:w="1134" w:type="dxa"/>
            <w:tcBorders>
              <w:top w:val="single" w:sz="4" w:space="0" w:color="auto"/>
              <w:bottom w:val="single" w:sz="4" w:space="0" w:color="auto"/>
            </w:tcBorders>
          </w:tcPr>
          <w:p w14:paraId="5C3285E7" w14:textId="77777777" w:rsidR="00B23533" w:rsidRDefault="00B23533" w:rsidP="00B12B0C">
            <w:pPr>
              <w:pStyle w:val="UtilComTabletext"/>
              <w:jc w:val="right"/>
            </w:pPr>
            <w:r>
              <w:t>1 054.99</w:t>
            </w:r>
          </w:p>
        </w:tc>
        <w:tc>
          <w:tcPr>
            <w:tcW w:w="1134" w:type="dxa"/>
            <w:tcBorders>
              <w:top w:val="single" w:sz="4" w:space="0" w:color="auto"/>
              <w:bottom w:val="single" w:sz="4" w:space="0" w:color="auto"/>
            </w:tcBorders>
          </w:tcPr>
          <w:p w14:paraId="1947CADC" w14:textId="77777777" w:rsidR="00B23533" w:rsidRDefault="00B23533" w:rsidP="00B12B0C">
            <w:pPr>
              <w:pStyle w:val="UtilComTabletext"/>
              <w:jc w:val="right"/>
            </w:pPr>
            <w:r>
              <w:t>1 087.25</w:t>
            </w:r>
          </w:p>
        </w:tc>
      </w:tr>
    </w:tbl>
    <w:p w14:paraId="50D9FC22" w14:textId="04A09A18" w:rsidR="00737C41" w:rsidRDefault="00737C41" w:rsidP="002C1CF3">
      <w:pPr>
        <w:pStyle w:val="UtilComReferenceSource"/>
        <w:spacing w:after="240"/>
        <w:rPr>
          <w:lang w:val="en-AU"/>
        </w:rPr>
      </w:pPr>
      <w:r>
        <w:rPr>
          <w:lang w:val="en-AU"/>
        </w:rPr>
        <w:t>Source: PWC Networks</w:t>
      </w:r>
      <w:r w:rsidR="00C46AC2">
        <w:rPr>
          <w:lang w:val="en-AU"/>
        </w:rPr>
        <w:t>’ revised regulatory proposal</w:t>
      </w:r>
      <w:r>
        <w:rPr>
          <w:lang w:val="en-AU"/>
        </w:rPr>
        <w:t xml:space="preserve">, NTRM </w:t>
      </w:r>
      <w:r>
        <w:rPr>
          <w:lang w:val="en-AU"/>
        </w:rPr>
        <w:br/>
        <w:t xml:space="preserve">Note: the straight-line depreciation less the indexation of the opening RAB provides the regulatory depreciation allowance </w:t>
      </w:r>
      <w:r>
        <w:rPr>
          <w:lang w:val="en-AU"/>
        </w:rPr>
        <w:br/>
      </w:r>
      <w:r w:rsidRPr="00BB4311">
        <w:rPr>
          <w:rFonts w:cs="Arial"/>
          <w:vertAlign w:val="superscript"/>
          <w:lang w:val="en-AU"/>
        </w:rPr>
        <w:t>(a)</w:t>
      </w:r>
      <w:r>
        <w:rPr>
          <w:lang w:val="en-AU"/>
        </w:rPr>
        <w:t xml:space="preserve"> In accordance with the timing assumptions of the NTRM (and the PTRM), the nominal capex values include a half WACC allowance to compensate for the average six-month period before capex </w:t>
      </w:r>
      <w:r w:rsidR="00921677">
        <w:rPr>
          <w:lang w:val="en-AU"/>
        </w:rPr>
        <w:t xml:space="preserve">is </w:t>
      </w:r>
      <w:r>
        <w:rPr>
          <w:lang w:val="en-AU"/>
        </w:rPr>
        <w:t>added to the RAB for revenue modelling purposes.</w:t>
      </w:r>
    </w:p>
    <w:p w14:paraId="5050D09A" w14:textId="77777777" w:rsidR="00C7054F" w:rsidRDefault="00C7054F">
      <w:pPr>
        <w:spacing w:before="0" w:after="0" w:line="240" w:lineRule="auto"/>
        <w:rPr>
          <w:rFonts w:cs="Arial"/>
          <w:spacing w:val="-14"/>
          <w:szCs w:val="22"/>
          <w:lang w:val="en-AU"/>
        </w:rPr>
      </w:pPr>
      <w:r>
        <w:br w:type="page"/>
      </w:r>
    </w:p>
    <w:p w14:paraId="088FB149" w14:textId="68F313F0" w:rsidR="00737C41" w:rsidRPr="00A139AD" w:rsidRDefault="00737C41" w:rsidP="00737C41">
      <w:pPr>
        <w:pStyle w:val="UtilComTableTitle"/>
        <w:keepNext/>
        <w:spacing w:before="120" w:after="0" w:line="240" w:lineRule="exact"/>
      </w:pPr>
      <w:r>
        <w:t>Table 1</w:t>
      </w:r>
      <w:r w:rsidR="00036DA7">
        <w:t>4</w:t>
      </w:r>
      <w:r>
        <w:t>.9: PWC Networks</w:t>
      </w:r>
      <w:r w:rsidR="00B1237C">
        <w:t>’</w:t>
      </w:r>
      <w:r>
        <w:t xml:space="preserve"> </w:t>
      </w:r>
      <w:r w:rsidRPr="006A402B">
        <w:t>proposed annual revenue requirements and X factors ($</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8E5939" w:rsidRPr="008A4655" w14:paraId="4120DBF2" w14:textId="3F269B70" w:rsidTr="008E5939">
        <w:trPr>
          <w:cantSplit/>
          <w:trHeight w:val="360"/>
        </w:trPr>
        <w:tc>
          <w:tcPr>
            <w:tcW w:w="2410" w:type="dxa"/>
            <w:tcBorders>
              <w:top w:val="single" w:sz="4" w:space="0" w:color="999999"/>
              <w:bottom w:val="single" w:sz="4" w:space="0" w:color="auto"/>
            </w:tcBorders>
          </w:tcPr>
          <w:p w14:paraId="0B9103E1" w14:textId="77777777" w:rsidR="008E5939" w:rsidRPr="00EE5A08" w:rsidRDefault="008E5939" w:rsidP="00B12B0C">
            <w:pPr>
              <w:pStyle w:val="UtilComTabletext"/>
              <w:rPr>
                <w:b/>
              </w:rPr>
            </w:pPr>
          </w:p>
        </w:tc>
        <w:tc>
          <w:tcPr>
            <w:tcW w:w="964" w:type="dxa"/>
            <w:tcBorders>
              <w:top w:val="single" w:sz="4" w:space="0" w:color="999999"/>
              <w:bottom w:val="single" w:sz="4" w:space="0" w:color="auto"/>
            </w:tcBorders>
          </w:tcPr>
          <w:p w14:paraId="554E97B8" w14:textId="77777777" w:rsidR="008E5939" w:rsidRPr="00EE5A08" w:rsidRDefault="008E5939" w:rsidP="00B12B0C">
            <w:pPr>
              <w:pStyle w:val="UtilComTabletext"/>
              <w:jc w:val="right"/>
              <w:rPr>
                <w:b/>
              </w:rPr>
            </w:pPr>
            <w:r>
              <w:rPr>
                <w:b/>
              </w:rPr>
              <w:t>2013-14</w:t>
            </w:r>
          </w:p>
        </w:tc>
        <w:tc>
          <w:tcPr>
            <w:tcW w:w="964" w:type="dxa"/>
            <w:tcBorders>
              <w:top w:val="single" w:sz="4" w:space="0" w:color="999999"/>
              <w:bottom w:val="single" w:sz="4" w:space="0" w:color="auto"/>
            </w:tcBorders>
          </w:tcPr>
          <w:p w14:paraId="431F4489" w14:textId="77777777" w:rsidR="008E5939" w:rsidRPr="00EE5A08" w:rsidRDefault="008E5939" w:rsidP="00B12B0C">
            <w:pPr>
              <w:pStyle w:val="UtilComTabletext"/>
              <w:jc w:val="right"/>
              <w:rPr>
                <w:b/>
              </w:rPr>
            </w:pPr>
            <w:r>
              <w:rPr>
                <w:b/>
              </w:rPr>
              <w:t>2014-15</w:t>
            </w:r>
          </w:p>
        </w:tc>
        <w:tc>
          <w:tcPr>
            <w:tcW w:w="964" w:type="dxa"/>
            <w:tcBorders>
              <w:top w:val="single" w:sz="4" w:space="0" w:color="999999"/>
              <w:bottom w:val="single" w:sz="4" w:space="0" w:color="auto"/>
            </w:tcBorders>
          </w:tcPr>
          <w:p w14:paraId="21951BAE" w14:textId="77777777" w:rsidR="008E5939" w:rsidRPr="00EE5A08" w:rsidRDefault="008E5939" w:rsidP="00B12B0C">
            <w:pPr>
              <w:pStyle w:val="UtilComTabletext"/>
              <w:jc w:val="right"/>
              <w:rPr>
                <w:b/>
              </w:rPr>
            </w:pPr>
            <w:r>
              <w:rPr>
                <w:b/>
              </w:rPr>
              <w:t>2015-16</w:t>
            </w:r>
          </w:p>
        </w:tc>
        <w:tc>
          <w:tcPr>
            <w:tcW w:w="964" w:type="dxa"/>
            <w:tcBorders>
              <w:top w:val="single" w:sz="4" w:space="0" w:color="999999"/>
              <w:bottom w:val="single" w:sz="4" w:space="0" w:color="auto"/>
            </w:tcBorders>
          </w:tcPr>
          <w:p w14:paraId="7053A8DE" w14:textId="77777777" w:rsidR="008E5939" w:rsidRDefault="008E5939" w:rsidP="00B12B0C">
            <w:pPr>
              <w:pStyle w:val="UtilComTabletext"/>
              <w:jc w:val="right"/>
              <w:rPr>
                <w:b/>
              </w:rPr>
            </w:pPr>
            <w:r>
              <w:rPr>
                <w:b/>
              </w:rPr>
              <w:t>2016-17</w:t>
            </w:r>
          </w:p>
        </w:tc>
        <w:tc>
          <w:tcPr>
            <w:tcW w:w="964" w:type="dxa"/>
            <w:tcBorders>
              <w:top w:val="single" w:sz="4" w:space="0" w:color="999999"/>
              <w:bottom w:val="single" w:sz="4" w:space="0" w:color="auto"/>
            </w:tcBorders>
          </w:tcPr>
          <w:p w14:paraId="54823180" w14:textId="77777777" w:rsidR="008E5939" w:rsidRDefault="008E5939" w:rsidP="00B12B0C">
            <w:pPr>
              <w:pStyle w:val="UtilComTabletext"/>
              <w:jc w:val="right"/>
              <w:rPr>
                <w:b/>
              </w:rPr>
            </w:pPr>
            <w:r>
              <w:rPr>
                <w:b/>
              </w:rPr>
              <w:t>2017-18</w:t>
            </w:r>
          </w:p>
        </w:tc>
        <w:tc>
          <w:tcPr>
            <w:tcW w:w="964" w:type="dxa"/>
            <w:tcBorders>
              <w:top w:val="single" w:sz="4" w:space="0" w:color="999999"/>
              <w:bottom w:val="single" w:sz="4" w:space="0" w:color="auto"/>
            </w:tcBorders>
          </w:tcPr>
          <w:p w14:paraId="21B1E813" w14:textId="77777777" w:rsidR="008E5939" w:rsidRPr="00EE5A08" w:rsidRDefault="008E5939" w:rsidP="00B12B0C">
            <w:pPr>
              <w:pStyle w:val="UtilComTabletext"/>
              <w:jc w:val="right"/>
              <w:rPr>
                <w:b/>
              </w:rPr>
            </w:pPr>
            <w:r>
              <w:rPr>
                <w:b/>
              </w:rPr>
              <w:t>2018-19</w:t>
            </w:r>
          </w:p>
        </w:tc>
        <w:tc>
          <w:tcPr>
            <w:tcW w:w="1021" w:type="dxa"/>
            <w:tcBorders>
              <w:top w:val="single" w:sz="4" w:space="0" w:color="999999"/>
              <w:bottom w:val="single" w:sz="4" w:space="0" w:color="auto"/>
            </w:tcBorders>
          </w:tcPr>
          <w:p w14:paraId="4725F9C5" w14:textId="2E1416A4" w:rsidR="008E5939" w:rsidRDefault="008E5939" w:rsidP="00B12B0C">
            <w:pPr>
              <w:pStyle w:val="UtilComTabletext"/>
              <w:jc w:val="right"/>
              <w:rPr>
                <w:b/>
              </w:rPr>
            </w:pPr>
            <w:r>
              <w:rPr>
                <w:b/>
              </w:rPr>
              <w:t>Total</w:t>
            </w:r>
          </w:p>
        </w:tc>
      </w:tr>
      <w:tr w:rsidR="008E5939" w:rsidRPr="009E57A2" w14:paraId="368840E7" w14:textId="16EBCB7E" w:rsidTr="008E5939">
        <w:trPr>
          <w:cantSplit/>
          <w:trHeight w:val="360"/>
        </w:trPr>
        <w:tc>
          <w:tcPr>
            <w:tcW w:w="2410" w:type="dxa"/>
            <w:tcBorders>
              <w:top w:val="single" w:sz="4" w:space="0" w:color="auto"/>
              <w:bottom w:val="single" w:sz="4" w:space="0" w:color="999999"/>
            </w:tcBorders>
          </w:tcPr>
          <w:p w14:paraId="24A2B1DA" w14:textId="77777777" w:rsidR="008E5939" w:rsidRPr="009E57A2" w:rsidRDefault="008E5939" w:rsidP="00B12B0C">
            <w:pPr>
              <w:pStyle w:val="UtilComTabletext"/>
            </w:pPr>
            <w:r w:rsidRPr="009E57A2">
              <w:t>Return on capital</w:t>
            </w:r>
          </w:p>
        </w:tc>
        <w:tc>
          <w:tcPr>
            <w:tcW w:w="964" w:type="dxa"/>
            <w:tcBorders>
              <w:top w:val="single" w:sz="4" w:space="0" w:color="auto"/>
              <w:bottom w:val="single" w:sz="4" w:space="0" w:color="999999"/>
            </w:tcBorders>
          </w:tcPr>
          <w:p w14:paraId="108DB0FF" w14:textId="77777777" w:rsidR="008E5939" w:rsidRPr="009E57A2" w:rsidRDefault="008E5939" w:rsidP="00B12B0C">
            <w:pPr>
              <w:pStyle w:val="UtilComTabletext"/>
              <w:jc w:val="right"/>
            </w:pPr>
          </w:p>
        </w:tc>
        <w:tc>
          <w:tcPr>
            <w:tcW w:w="964" w:type="dxa"/>
            <w:tcBorders>
              <w:top w:val="single" w:sz="4" w:space="0" w:color="auto"/>
              <w:bottom w:val="single" w:sz="4" w:space="0" w:color="999999"/>
            </w:tcBorders>
          </w:tcPr>
          <w:p w14:paraId="26CBCDFA" w14:textId="77777777" w:rsidR="008E5939" w:rsidRPr="009E57A2" w:rsidRDefault="008E5939" w:rsidP="00B12B0C">
            <w:pPr>
              <w:pStyle w:val="UtilComTabletext"/>
              <w:jc w:val="right"/>
            </w:pPr>
            <w:r>
              <w:t>84.14</w:t>
            </w:r>
          </w:p>
        </w:tc>
        <w:tc>
          <w:tcPr>
            <w:tcW w:w="964" w:type="dxa"/>
            <w:tcBorders>
              <w:top w:val="single" w:sz="4" w:space="0" w:color="auto"/>
              <w:bottom w:val="single" w:sz="4" w:space="0" w:color="999999"/>
            </w:tcBorders>
          </w:tcPr>
          <w:p w14:paraId="73A9B128" w14:textId="77777777" w:rsidR="008E5939" w:rsidRPr="009E57A2" w:rsidRDefault="008E5939" w:rsidP="00B12B0C">
            <w:pPr>
              <w:pStyle w:val="UtilComTabletext"/>
              <w:jc w:val="right"/>
            </w:pPr>
            <w:r>
              <w:t>88.81</w:t>
            </w:r>
          </w:p>
        </w:tc>
        <w:tc>
          <w:tcPr>
            <w:tcW w:w="964" w:type="dxa"/>
            <w:tcBorders>
              <w:top w:val="single" w:sz="4" w:space="0" w:color="auto"/>
              <w:bottom w:val="single" w:sz="4" w:space="0" w:color="999999"/>
            </w:tcBorders>
          </w:tcPr>
          <w:p w14:paraId="4FFE345B" w14:textId="77777777" w:rsidR="008E5939" w:rsidRPr="009E57A2" w:rsidRDefault="008E5939" w:rsidP="00B12B0C">
            <w:pPr>
              <w:pStyle w:val="UtilComTabletext"/>
              <w:jc w:val="right"/>
            </w:pPr>
            <w:r>
              <w:t>92.20</w:t>
            </w:r>
          </w:p>
        </w:tc>
        <w:tc>
          <w:tcPr>
            <w:tcW w:w="964" w:type="dxa"/>
            <w:tcBorders>
              <w:top w:val="single" w:sz="4" w:space="0" w:color="auto"/>
              <w:bottom w:val="single" w:sz="4" w:space="0" w:color="999999"/>
            </w:tcBorders>
          </w:tcPr>
          <w:p w14:paraId="662B6564" w14:textId="77777777" w:rsidR="008E5939" w:rsidRPr="009E57A2" w:rsidRDefault="008E5939" w:rsidP="00B12B0C">
            <w:pPr>
              <w:pStyle w:val="UtilComTabletext"/>
              <w:jc w:val="right"/>
            </w:pPr>
            <w:r>
              <w:t>94.00</w:t>
            </w:r>
          </w:p>
        </w:tc>
        <w:tc>
          <w:tcPr>
            <w:tcW w:w="964" w:type="dxa"/>
            <w:tcBorders>
              <w:top w:val="single" w:sz="4" w:space="0" w:color="auto"/>
              <w:bottom w:val="single" w:sz="4" w:space="0" w:color="999999"/>
            </w:tcBorders>
          </w:tcPr>
          <w:p w14:paraId="29DDA178" w14:textId="77777777" w:rsidR="008E5939" w:rsidRPr="009E57A2" w:rsidRDefault="008E5939" w:rsidP="00B12B0C">
            <w:pPr>
              <w:pStyle w:val="UtilComTabletext"/>
              <w:jc w:val="right"/>
            </w:pPr>
            <w:r>
              <w:t>95.45</w:t>
            </w:r>
          </w:p>
        </w:tc>
        <w:tc>
          <w:tcPr>
            <w:tcW w:w="1021" w:type="dxa"/>
            <w:tcBorders>
              <w:top w:val="single" w:sz="4" w:space="0" w:color="auto"/>
              <w:bottom w:val="single" w:sz="4" w:space="0" w:color="999999"/>
            </w:tcBorders>
          </w:tcPr>
          <w:p w14:paraId="6EEA5AD7" w14:textId="53B56041" w:rsidR="008E5939" w:rsidRDefault="008E5939" w:rsidP="00B12B0C">
            <w:pPr>
              <w:pStyle w:val="UtilComTabletext"/>
              <w:jc w:val="right"/>
            </w:pPr>
            <w:r>
              <w:t>454.60</w:t>
            </w:r>
          </w:p>
        </w:tc>
      </w:tr>
      <w:tr w:rsidR="008E5939" w:rsidRPr="008A4655" w14:paraId="1404176A" w14:textId="2FABE18B" w:rsidTr="008E5939">
        <w:trPr>
          <w:cantSplit/>
          <w:trHeight w:val="360"/>
        </w:trPr>
        <w:tc>
          <w:tcPr>
            <w:tcW w:w="2410" w:type="dxa"/>
            <w:tcBorders>
              <w:bottom w:val="single" w:sz="4" w:space="0" w:color="999999"/>
            </w:tcBorders>
          </w:tcPr>
          <w:p w14:paraId="242E9C43" w14:textId="77777777" w:rsidR="008E5939" w:rsidRDefault="008E5939" w:rsidP="00B12B0C">
            <w:pPr>
              <w:pStyle w:val="UtilComTabletext"/>
            </w:pPr>
            <w:r>
              <w:t>Regulatory depreciation</w:t>
            </w:r>
          </w:p>
        </w:tc>
        <w:tc>
          <w:tcPr>
            <w:tcW w:w="964" w:type="dxa"/>
            <w:tcBorders>
              <w:bottom w:val="single" w:sz="4" w:space="0" w:color="999999"/>
            </w:tcBorders>
          </w:tcPr>
          <w:p w14:paraId="2B2D6E9D" w14:textId="77777777" w:rsidR="008E5939" w:rsidRDefault="008E5939" w:rsidP="00B12B0C">
            <w:pPr>
              <w:pStyle w:val="UtilComTabletext"/>
              <w:jc w:val="right"/>
            </w:pPr>
          </w:p>
        </w:tc>
        <w:tc>
          <w:tcPr>
            <w:tcW w:w="964" w:type="dxa"/>
            <w:tcBorders>
              <w:bottom w:val="single" w:sz="4" w:space="0" w:color="999999"/>
            </w:tcBorders>
          </w:tcPr>
          <w:p w14:paraId="08F94053" w14:textId="77777777" w:rsidR="008E5939" w:rsidRDefault="008E5939" w:rsidP="00B12B0C">
            <w:pPr>
              <w:pStyle w:val="UtilComTabletext"/>
              <w:jc w:val="right"/>
            </w:pPr>
            <w:r>
              <w:t>28.49</w:t>
            </w:r>
          </w:p>
        </w:tc>
        <w:tc>
          <w:tcPr>
            <w:tcW w:w="964" w:type="dxa"/>
            <w:tcBorders>
              <w:bottom w:val="single" w:sz="4" w:space="0" w:color="999999"/>
            </w:tcBorders>
          </w:tcPr>
          <w:p w14:paraId="5D2567F9" w14:textId="77777777" w:rsidR="008E5939" w:rsidRDefault="008E5939" w:rsidP="00B12B0C">
            <w:pPr>
              <w:pStyle w:val="UtilComTabletext"/>
              <w:jc w:val="right"/>
            </w:pPr>
            <w:r>
              <w:t>31.15</w:t>
            </w:r>
          </w:p>
        </w:tc>
        <w:tc>
          <w:tcPr>
            <w:tcW w:w="964" w:type="dxa"/>
            <w:tcBorders>
              <w:bottom w:val="single" w:sz="4" w:space="0" w:color="999999"/>
            </w:tcBorders>
          </w:tcPr>
          <w:p w14:paraId="7F12A1A8" w14:textId="77777777" w:rsidR="008E5939" w:rsidRDefault="008E5939" w:rsidP="00B12B0C">
            <w:pPr>
              <w:pStyle w:val="UtilComTabletext"/>
              <w:jc w:val="right"/>
            </w:pPr>
            <w:r>
              <w:t>27.04</w:t>
            </w:r>
          </w:p>
        </w:tc>
        <w:tc>
          <w:tcPr>
            <w:tcW w:w="964" w:type="dxa"/>
            <w:tcBorders>
              <w:bottom w:val="single" w:sz="4" w:space="0" w:color="999999"/>
            </w:tcBorders>
          </w:tcPr>
          <w:p w14:paraId="08D0A0F2" w14:textId="77777777" w:rsidR="008E5939" w:rsidRDefault="008E5939" w:rsidP="00B12B0C">
            <w:pPr>
              <w:pStyle w:val="UtilComTabletext"/>
              <w:jc w:val="right"/>
            </w:pPr>
            <w:r>
              <w:t>28.81</w:t>
            </w:r>
          </w:p>
        </w:tc>
        <w:tc>
          <w:tcPr>
            <w:tcW w:w="964" w:type="dxa"/>
            <w:tcBorders>
              <w:bottom w:val="single" w:sz="4" w:space="0" w:color="999999"/>
            </w:tcBorders>
          </w:tcPr>
          <w:p w14:paraId="46BB2194" w14:textId="77777777" w:rsidR="008E5939" w:rsidRDefault="008E5939" w:rsidP="00B12B0C">
            <w:pPr>
              <w:pStyle w:val="UtilComTabletext"/>
              <w:jc w:val="right"/>
            </w:pPr>
            <w:r>
              <w:t>31.15</w:t>
            </w:r>
          </w:p>
        </w:tc>
        <w:tc>
          <w:tcPr>
            <w:tcW w:w="1021" w:type="dxa"/>
            <w:tcBorders>
              <w:bottom w:val="single" w:sz="4" w:space="0" w:color="999999"/>
            </w:tcBorders>
          </w:tcPr>
          <w:p w14:paraId="6FF85980" w14:textId="703A6CCF" w:rsidR="008E5939" w:rsidRDefault="008E5939" w:rsidP="00B12B0C">
            <w:pPr>
              <w:pStyle w:val="UtilComTabletext"/>
              <w:jc w:val="right"/>
            </w:pPr>
            <w:r>
              <w:t>146.64</w:t>
            </w:r>
          </w:p>
        </w:tc>
      </w:tr>
      <w:tr w:rsidR="008E5939" w:rsidRPr="008A4655" w14:paraId="18B32B0E" w14:textId="258E72B2" w:rsidTr="008E5939">
        <w:trPr>
          <w:cantSplit/>
          <w:trHeight w:val="360"/>
        </w:trPr>
        <w:tc>
          <w:tcPr>
            <w:tcW w:w="2410" w:type="dxa"/>
            <w:tcBorders>
              <w:bottom w:val="single" w:sz="4" w:space="0" w:color="999999"/>
            </w:tcBorders>
          </w:tcPr>
          <w:p w14:paraId="7C02FF84" w14:textId="77777777" w:rsidR="008E5939" w:rsidRDefault="008E5939" w:rsidP="00B12B0C">
            <w:pPr>
              <w:pStyle w:val="UtilComTabletext"/>
            </w:pPr>
            <w:r>
              <w:t>Operating and maintenance expenditure</w:t>
            </w:r>
          </w:p>
        </w:tc>
        <w:tc>
          <w:tcPr>
            <w:tcW w:w="964" w:type="dxa"/>
            <w:tcBorders>
              <w:bottom w:val="single" w:sz="4" w:space="0" w:color="999999"/>
            </w:tcBorders>
          </w:tcPr>
          <w:p w14:paraId="1A116C22" w14:textId="77777777" w:rsidR="008E5939" w:rsidRDefault="008E5939" w:rsidP="00B12B0C">
            <w:pPr>
              <w:pStyle w:val="UtilComTabletext"/>
              <w:jc w:val="right"/>
            </w:pPr>
          </w:p>
        </w:tc>
        <w:tc>
          <w:tcPr>
            <w:tcW w:w="964" w:type="dxa"/>
            <w:tcBorders>
              <w:bottom w:val="single" w:sz="4" w:space="0" w:color="999999"/>
            </w:tcBorders>
          </w:tcPr>
          <w:p w14:paraId="296E0D86" w14:textId="77777777" w:rsidR="008E5939" w:rsidRDefault="008E5939" w:rsidP="00B12B0C">
            <w:pPr>
              <w:pStyle w:val="UtilComTabletext"/>
              <w:jc w:val="right"/>
            </w:pPr>
            <w:r>
              <w:t>109.64</w:t>
            </w:r>
          </w:p>
        </w:tc>
        <w:tc>
          <w:tcPr>
            <w:tcW w:w="964" w:type="dxa"/>
            <w:tcBorders>
              <w:bottom w:val="single" w:sz="4" w:space="0" w:color="999999"/>
            </w:tcBorders>
          </w:tcPr>
          <w:p w14:paraId="7E0997DB" w14:textId="77777777" w:rsidR="008E5939" w:rsidRDefault="008E5939" w:rsidP="00B12B0C">
            <w:pPr>
              <w:pStyle w:val="UtilComTabletext"/>
              <w:jc w:val="right"/>
            </w:pPr>
            <w:r>
              <w:t>111.21</w:t>
            </w:r>
          </w:p>
        </w:tc>
        <w:tc>
          <w:tcPr>
            <w:tcW w:w="964" w:type="dxa"/>
            <w:tcBorders>
              <w:bottom w:val="single" w:sz="4" w:space="0" w:color="999999"/>
            </w:tcBorders>
          </w:tcPr>
          <w:p w14:paraId="5113A604" w14:textId="77777777" w:rsidR="008E5939" w:rsidRDefault="008E5939" w:rsidP="00B12B0C">
            <w:pPr>
              <w:pStyle w:val="UtilComTabletext"/>
              <w:jc w:val="right"/>
            </w:pPr>
            <w:r>
              <w:t>115.98</w:t>
            </w:r>
          </w:p>
        </w:tc>
        <w:tc>
          <w:tcPr>
            <w:tcW w:w="964" w:type="dxa"/>
            <w:tcBorders>
              <w:bottom w:val="single" w:sz="4" w:space="0" w:color="999999"/>
            </w:tcBorders>
          </w:tcPr>
          <w:p w14:paraId="79D4D239" w14:textId="77777777" w:rsidR="008E5939" w:rsidRDefault="008E5939" w:rsidP="00B12B0C">
            <w:pPr>
              <w:pStyle w:val="UtilComTabletext"/>
              <w:jc w:val="right"/>
            </w:pPr>
            <w:r>
              <w:t>116.25</w:t>
            </w:r>
          </w:p>
        </w:tc>
        <w:tc>
          <w:tcPr>
            <w:tcW w:w="964" w:type="dxa"/>
            <w:tcBorders>
              <w:bottom w:val="single" w:sz="4" w:space="0" w:color="999999"/>
            </w:tcBorders>
          </w:tcPr>
          <w:p w14:paraId="7491CEB0" w14:textId="77777777" w:rsidR="008E5939" w:rsidRDefault="008E5939" w:rsidP="00B12B0C">
            <w:pPr>
              <w:pStyle w:val="UtilComTabletext"/>
              <w:jc w:val="right"/>
            </w:pPr>
            <w:r>
              <w:t>119.03</w:t>
            </w:r>
          </w:p>
        </w:tc>
        <w:tc>
          <w:tcPr>
            <w:tcW w:w="1021" w:type="dxa"/>
            <w:tcBorders>
              <w:bottom w:val="single" w:sz="4" w:space="0" w:color="999999"/>
            </w:tcBorders>
          </w:tcPr>
          <w:p w14:paraId="64D2DF6B" w14:textId="0C6D412E" w:rsidR="008E5939" w:rsidRDefault="008E5939" w:rsidP="00B12B0C">
            <w:pPr>
              <w:pStyle w:val="UtilComTabletext"/>
              <w:jc w:val="right"/>
            </w:pPr>
            <w:r>
              <w:t>572.11</w:t>
            </w:r>
          </w:p>
        </w:tc>
      </w:tr>
      <w:tr w:rsidR="008E5939" w:rsidRPr="008A4655" w14:paraId="104D03EA" w14:textId="08D1F406" w:rsidTr="008E5939">
        <w:trPr>
          <w:cantSplit/>
          <w:trHeight w:val="360"/>
        </w:trPr>
        <w:tc>
          <w:tcPr>
            <w:tcW w:w="2410" w:type="dxa"/>
            <w:tcBorders>
              <w:top w:val="single" w:sz="4" w:space="0" w:color="auto"/>
              <w:bottom w:val="single" w:sz="4" w:space="0" w:color="999999"/>
            </w:tcBorders>
          </w:tcPr>
          <w:p w14:paraId="2C8767F7" w14:textId="77777777" w:rsidR="008E5939" w:rsidRDefault="008E5939" w:rsidP="00B12B0C">
            <w:pPr>
              <w:pStyle w:val="UtilComTabletext"/>
            </w:pPr>
            <w:r>
              <w:t>Unsmoothed annual revenue requirement</w:t>
            </w:r>
          </w:p>
        </w:tc>
        <w:tc>
          <w:tcPr>
            <w:tcW w:w="964" w:type="dxa"/>
            <w:tcBorders>
              <w:top w:val="single" w:sz="4" w:space="0" w:color="auto"/>
              <w:bottom w:val="single" w:sz="4" w:space="0" w:color="999999"/>
            </w:tcBorders>
          </w:tcPr>
          <w:p w14:paraId="61AC4B31" w14:textId="77777777" w:rsidR="008E5939" w:rsidRDefault="008E5939" w:rsidP="00B12B0C">
            <w:pPr>
              <w:pStyle w:val="UtilComTabletext"/>
              <w:jc w:val="right"/>
            </w:pPr>
          </w:p>
        </w:tc>
        <w:tc>
          <w:tcPr>
            <w:tcW w:w="964" w:type="dxa"/>
            <w:tcBorders>
              <w:top w:val="single" w:sz="4" w:space="0" w:color="auto"/>
              <w:bottom w:val="single" w:sz="4" w:space="0" w:color="999999"/>
            </w:tcBorders>
          </w:tcPr>
          <w:p w14:paraId="29CD7630" w14:textId="77777777" w:rsidR="008E5939" w:rsidRDefault="008E5939" w:rsidP="00B12B0C">
            <w:pPr>
              <w:pStyle w:val="UtilComTabletext"/>
              <w:jc w:val="right"/>
            </w:pPr>
            <w:r>
              <w:t>222.27</w:t>
            </w:r>
          </w:p>
        </w:tc>
        <w:tc>
          <w:tcPr>
            <w:tcW w:w="964" w:type="dxa"/>
            <w:tcBorders>
              <w:top w:val="single" w:sz="4" w:space="0" w:color="auto"/>
              <w:bottom w:val="single" w:sz="4" w:space="0" w:color="999999"/>
            </w:tcBorders>
          </w:tcPr>
          <w:p w14:paraId="4A3BCBAE" w14:textId="77777777" w:rsidR="008E5939" w:rsidRDefault="008E5939" w:rsidP="00B12B0C">
            <w:pPr>
              <w:pStyle w:val="UtilComTabletext"/>
              <w:jc w:val="right"/>
            </w:pPr>
            <w:r>
              <w:t>231.17</w:t>
            </w:r>
          </w:p>
        </w:tc>
        <w:tc>
          <w:tcPr>
            <w:tcW w:w="964" w:type="dxa"/>
            <w:tcBorders>
              <w:top w:val="single" w:sz="4" w:space="0" w:color="auto"/>
              <w:bottom w:val="single" w:sz="4" w:space="0" w:color="999999"/>
            </w:tcBorders>
          </w:tcPr>
          <w:p w14:paraId="7301AD8C" w14:textId="77777777" w:rsidR="008E5939" w:rsidRDefault="008E5939" w:rsidP="00B12B0C">
            <w:pPr>
              <w:pStyle w:val="UtilComTabletext"/>
              <w:jc w:val="right"/>
            </w:pPr>
            <w:r>
              <w:t>235.22</w:t>
            </w:r>
          </w:p>
        </w:tc>
        <w:tc>
          <w:tcPr>
            <w:tcW w:w="964" w:type="dxa"/>
            <w:tcBorders>
              <w:top w:val="single" w:sz="4" w:space="0" w:color="auto"/>
              <w:bottom w:val="single" w:sz="4" w:space="0" w:color="999999"/>
            </w:tcBorders>
          </w:tcPr>
          <w:p w14:paraId="226BBDCF" w14:textId="77777777" w:rsidR="008E5939" w:rsidRDefault="008E5939" w:rsidP="00B12B0C">
            <w:pPr>
              <w:pStyle w:val="UtilComTabletext"/>
              <w:jc w:val="right"/>
            </w:pPr>
            <w:r>
              <w:t>239.07</w:t>
            </w:r>
          </w:p>
        </w:tc>
        <w:tc>
          <w:tcPr>
            <w:tcW w:w="964" w:type="dxa"/>
            <w:tcBorders>
              <w:top w:val="single" w:sz="4" w:space="0" w:color="auto"/>
              <w:bottom w:val="single" w:sz="4" w:space="0" w:color="999999"/>
            </w:tcBorders>
          </w:tcPr>
          <w:p w14:paraId="1A5D81E6" w14:textId="77777777" w:rsidR="008E5939" w:rsidRDefault="008E5939" w:rsidP="00B12B0C">
            <w:pPr>
              <w:pStyle w:val="UtilComTabletext"/>
              <w:jc w:val="right"/>
            </w:pPr>
            <w:r>
              <w:t>245.62</w:t>
            </w:r>
          </w:p>
        </w:tc>
        <w:tc>
          <w:tcPr>
            <w:tcW w:w="1021" w:type="dxa"/>
            <w:tcBorders>
              <w:top w:val="single" w:sz="4" w:space="0" w:color="auto"/>
              <w:bottom w:val="single" w:sz="4" w:space="0" w:color="999999"/>
            </w:tcBorders>
          </w:tcPr>
          <w:p w14:paraId="798B5016" w14:textId="566A3E7A" w:rsidR="008E5939" w:rsidRDefault="008E5939" w:rsidP="00B12B0C">
            <w:pPr>
              <w:pStyle w:val="UtilComTabletext"/>
              <w:jc w:val="right"/>
            </w:pPr>
            <w:r>
              <w:t>1 173.35</w:t>
            </w:r>
          </w:p>
        </w:tc>
      </w:tr>
      <w:tr w:rsidR="008E5939" w:rsidRPr="008A4655" w14:paraId="3AB9E9D1" w14:textId="708C47E3" w:rsidTr="008E5939">
        <w:trPr>
          <w:cantSplit/>
          <w:trHeight w:val="360"/>
        </w:trPr>
        <w:tc>
          <w:tcPr>
            <w:tcW w:w="2410" w:type="dxa"/>
            <w:tcBorders>
              <w:bottom w:val="single" w:sz="4" w:space="0" w:color="999999"/>
            </w:tcBorders>
          </w:tcPr>
          <w:p w14:paraId="759BD3B0" w14:textId="77777777" w:rsidR="008E5939" w:rsidRDefault="008E5939" w:rsidP="00B12B0C">
            <w:pPr>
              <w:pStyle w:val="UtilComTabletext"/>
            </w:pPr>
            <w:r>
              <w:t>Expected revenues (smoothed revenue)</w:t>
            </w:r>
          </w:p>
        </w:tc>
        <w:tc>
          <w:tcPr>
            <w:tcW w:w="964" w:type="dxa"/>
            <w:tcBorders>
              <w:bottom w:val="single" w:sz="4" w:space="0" w:color="999999"/>
            </w:tcBorders>
          </w:tcPr>
          <w:p w14:paraId="7615032A" w14:textId="77777777" w:rsidR="008E5939" w:rsidRDefault="008E5939" w:rsidP="00B12B0C">
            <w:pPr>
              <w:pStyle w:val="UtilComTabletext"/>
              <w:jc w:val="right"/>
            </w:pPr>
            <w:r>
              <w:t>132.65</w:t>
            </w:r>
          </w:p>
        </w:tc>
        <w:tc>
          <w:tcPr>
            <w:tcW w:w="964" w:type="dxa"/>
            <w:tcBorders>
              <w:bottom w:val="single" w:sz="4" w:space="0" w:color="999999"/>
            </w:tcBorders>
          </w:tcPr>
          <w:p w14:paraId="1F27689B" w14:textId="77777777" w:rsidR="008E5939" w:rsidRDefault="008E5939" w:rsidP="00B12B0C">
            <w:pPr>
              <w:pStyle w:val="UtilComTabletext"/>
              <w:jc w:val="right"/>
            </w:pPr>
            <w:r>
              <w:t>197.73</w:t>
            </w:r>
          </w:p>
        </w:tc>
        <w:tc>
          <w:tcPr>
            <w:tcW w:w="964" w:type="dxa"/>
            <w:tcBorders>
              <w:bottom w:val="single" w:sz="4" w:space="0" w:color="999999"/>
            </w:tcBorders>
          </w:tcPr>
          <w:p w14:paraId="45E4D002" w14:textId="77777777" w:rsidR="008E5939" w:rsidRDefault="008E5939" w:rsidP="00B12B0C">
            <w:pPr>
              <w:pStyle w:val="UtilComTabletext"/>
              <w:jc w:val="right"/>
            </w:pPr>
            <w:r>
              <w:t>233.10</w:t>
            </w:r>
          </w:p>
        </w:tc>
        <w:tc>
          <w:tcPr>
            <w:tcW w:w="964" w:type="dxa"/>
            <w:tcBorders>
              <w:bottom w:val="single" w:sz="4" w:space="0" w:color="999999"/>
            </w:tcBorders>
          </w:tcPr>
          <w:p w14:paraId="760CC46D" w14:textId="77777777" w:rsidR="008E5939" w:rsidRDefault="008E5939" w:rsidP="00B12B0C">
            <w:pPr>
              <w:pStyle w:val="UtilComTabletext"/>
              <w:jc w:val="right"/>
            </w:pPr>
            <w:r>
              <w:t>241.35</w:t>
            </w:r>
          </w:p>
        </w:tc>
        <w:tc>
          <w:tcPr>
            <w:tcW w:w="964" w:type="dxa"/>
            <w:tcBorders>
              <w:bottom w:val="single" w:sz="4" w:space="0" w:color="999999"/>
            </w:tcBorders>
          </w:tcPr>
          <w:p w14:paraId="62D8726C" w14:textId="77777777" w:rsidR="008E5939" w:rsidRDefault="008E5939" w:rsidP="00B12B0C">
            <w:pPr>
              <w:pStyle w:val="UtilComTabletext"/>
              <w:jc w:val="right"/>
            </w:pPr>
            <w:r>
              <w:t>249.89</w:t>
            </w:r>
          </w:p>
        </w:tc>
        <w:tc>
          <w:tcPr>
            <w:tcW w:w="964" w:type="dxa"/>
            <w:tcBorders>
              <w:bottom w:val="single" w:sz="4" w:space="0" w:color="999999"/>
            </w:tcBorders>
          </w:tcPr>
          <w:p w14:paraId="24AA7792" w14:textId="77777777" w:rsidR="008E5939" w:rsidRDefault="008E5939" w:rsidP="00B12B0C">
            <w:pPr>
              <w:pStyle w:val="UtilComTabletext"/>
              <w:jc w:val="right"/>
            </w:pPr>
            <w:r>
              <w:t>258.73</w:t>
            </w:r>
          </w:p>
        </w:tc>
        <w:tc>
          <w:tcPr>
            <w:tcW w:w="1021" w:type="dxa"/>
            <w:tcBorders>
              <w:bottom w:val="single" w:sz="4" w:space="0" w:color="999999"/>
            </w:tcBorders>
          </w:tcPr>
          <w:p w14:paraId="50AEBEE2" w14:textId="77777777" w:rsidR="008E5939" w:rsidRDefault="008E5939" w:rsidP="00B12B0C">
            <w:pPr>
              <w:pStyle w:val="UtilComTabletext"/>
              <w:jc w:val="right"/>
            </w:pPr>
          </w:p>
        </w:tc>
      </w:tr>
      <w:tr w:rsidR="008E5939" w:rsidRPr="008A4655" w14:paraId="1A87235F" w14:textId="5ADDC1D6" w:rsidTr="008E5939">
        <w:trPr>
          <w:cantSplit/>
          <w:trHeight w:val="360"/>
        </w:trPr>
        <w:tc>
          <w:tcPr>
            <w:tcW w:w="2410" w:type="dxa"/>
            <w:tcBorders>
              <w:bottom w:val="single" w:sz="4" w:space="0" w:color="999999"/>
            </w:tcBorders>
          </w:tcPr>
          <w:p w14:paraId="094BBF3C" w14:textId="77777777" w:rsidR="008E5939" w:rsidRDefault="008E5939" w:rsidP="00B12B0C">
            <w:pPr>
              <w:pStyle w:val="UtilComTabletext"/>
            </w:pPr>
            <w:r>
              <w:t>Forecast CPI (%)</w:t>
            </w:r>
          </w:p>
        </w:tc>
        <w:tc>
          <w:tcPr>
            <w:tcW w:w="964" w:type="dxa"/>
            <w:tcBorders>
              <w:bottom w:val="single" w:sz="4" w:space="0" w:color="999999"/>
            </w:tcBorders>
          </w:tcPr>
          <w:p w14:paraId="39F41F23" w14:textId="77777777" w:rsidR="008E5939" w:rsidRDefault="008E5939" w:rsidP="00B12B0C">
            <w:pPr>
              <w:pStyle w:val="UtilComTabletext"/>
              <w:jc w:val="right"/>
            </w:pPr>
          </w:p>
        </w:tc>
        <w:tc>
          <w:tcPr>
            <w:tcW w:w="964" w:type="dxa"/>
            <w:tcBorders>
              <w:bottom w:val="single" w:sz="4" w:space="0" w:color="999999"/>
            </w:tcBorders>
          </w:tcPr>
          <w:p w14:paraId="655B6059" w14:textId="77777777" w:rsidR="008E5939" w:rsidRDefault="008E5939" w:rsidP="00B12B0C">
            <w:pPr>
              <w:pStyle w:val="UtilComTabletext"/>
              <w:jc w:val="right"/>
            </w:pPr>
            <w:r>
              <w:t>2.51%</w:t>
            </w:r>
          </w:p>
        </w:tc>
        <w:tc>
          <w:tcPr>
            <w:tcW w:w="964" w:type="dxa"/>
            <w:tcBorders>
              <w:bottom w:val="single" w:sz="4" w:space="0" w:color="999999"/>
            </w:tcBorders>
          </w:tcPr>
          <w:p w14:paraId="7D8C1FFA" w14:textId="77777777" w:rsidR="008E5939" w:rsidRDefault="008E5939" w:rsidP="00B12B0C">
            <w:pPr>
              <w:pStyle w:val="UtilComTabletext"/>
              <w:jc w:val="right"/>
            </w:pPr>
            <w:r>
              <w:t>2.51%</w:t>
            </w:r>
          </w:p>
        </w:tc>
        <w:tc>
          <w:tcPr>
            <w:tcW w:w="964" w:type="dxa"/>
            <w:tcBorders>
              <w:bottom w:val="single" w:sz="4" w:space="0" w:color="999999"/>
            </w:tcBorders>
          </w:tcPr>
          <w:p w14:paraId="03B3BE5F" w14:textId="77777777" w:rsidR="008E5939" w:rsidRDefault="008E5939" w:rsidP="00B12B0C">
            <w:pPr>
              <w:pStyle w:val="UtilComTabletext"/>
              <w:jc w:val="right"/>
            </w:pPr>
            <w:r>
              <w:t>2.51%</w:t>
            </w:r>
          </w:p>
        </w:tc>
        <w:tc>
          <w:tcPr>
            <w:tcW w:w="964" w:type="dxa"/>
            <w:tcBorders>
              <w:bottom w:val="single" w:sz="4" w:space="0" w:color="999999"/>
            </w:tcBorders>
          </w:tcPr>
          <w:p w14:paraId="219B026E" w14:textId="77777777" w:rsidR="008E5939" w:rsidRDefault="008E5939" w:rsidP="00B12B0C">
            <w:pPr>
              <w:pStyle w:val="UtilComTabletext"/>
              <w:jc w:val="right"/>
            </w:pPr>
            <w:r>
              <w:t>2.51%</w:t>
            </w:r>
          </w:p>
        </w:tc>
        <w:tc>
          <w:tcPr>
            <w:tcW w:w="964" w:type="dxa"/>
            <w:tcBorders>
              <w:bottom w:val="single" w:sz="4" w:space="0" w:color="999999"/>
            </w:tcBorders>
          </w:tcPr>
          <w:p w14:paraId="52B8E71D" w14:textId="77777777" w:rsidR="008E5939" w:rsidRDefault="008E5939" w:rsidP="00B12B0C">
            <w:pPr>
              <w:pStyle w:val="UtilComTabletext"/>
              <w:jc w:val="right"/>
            </w:pPr>
            <w:r>
              <w:t>2.51%</w:t>
            </w:r>
          </w:p>
        </w:tc>
        <w:tc>
          <w:tcPr>
            <w:tcW w:w="1021" w:type="dxa"/>
            <w:tcBorders>
              <w:bottom w:val="single" w:sz="4" w:space="0" w:color="999999"/>
            </w:tcBorders>
          </w:tcPr>
          <w:p w14:paraId="08621180" w14:textId="77777777" w:rsidR="008E5939" w:rsidRDefault="008E5939" w:rsidP="00B12B0C">
            <w:pPr>
              <w:pStyle w:val="UtilComTabletext"/>
              <w:jc w:val="right"/>
            </w:pPr>
          </w:p>
        </w:tc>
      </w:tr>
      <w:tr w:rsidR="008E5939" w:rsidRPr="007C4959" w14:paraId="11350DA1" w14:textId="35461E69" w:rsidTr="008E5939">
        <w:trPr>
          <w:cantSplit/>
          <w:trHeight w:val="360"/>
        </w:trPr>
        <w:tc>
          <w:tcPr>
            <w:tcW w:w="2410" w:type="dxa"/>
            <w:tcBorders>
              <w:bottom w:val="single" w:sz="4" w:space="0" w:color="auto"/>
            </w:tcBorders>
          </w:tcPr>
          <w:p w14:paraId="4D64B333" w14:textId="77777777" w:rsidR="008E5939" w:rsidRPr="007C4959" w:rsidRDefault="008E5939" w:rsidP="00B12B0C">
            <w:pPr>
              <w:pStyle w:val="UtilComTabletext"/>
              <w:rPr>
                <w:b/>
              </w:rPr>
            </w:pPr>
            <w:r w:rsidRPr="007C4959">
              <w:rPr>
                <w:b/>
              </w:rPr>
              <w:t xml:space="preserve">X factors (%) </w:t>
            </w:r>
            <w:r w:rsidRPr="007C4959">
              <w:rPr>
                <w:b/>
                <w:vertAlign w:val="superscript"/>
              </w:rPr>
              <w:t>(a)</w:t>
            </w:r>
          </w:p>
        </w:tc>
        <w:tc>
          <w:tcPr>
            <w:tcW w:w="964" w:type="dxa"/>
            <w:tcBorders>
              <w:bottom w:val="single" w:sz="4" w:space="0" w:color="auto"/>
            </w:tcBorders>
          </w:tcPr>
          <w:p w14:paraId="2B3B9481" w14:textId="77777777" w:rsidR="008E5939" w:rsidRPr="007C4959" w:rsidRDefault="008E5939" w:rsidP="00B12B0C">
            <w:pPr>
              <w:pStyle w:val="UtilComTabletext"/>
              <w:jc w:val="right"/>
              <w:rPr>
                <w:b/>
              </w:rPr>
            </w:pPr>
          </w:p>
        </w:tc>
        <w:tc>
          <w:tcPr>
            <w:tcW w:w="964" w:type="dxa"/>
            <w:tcBorders>
              <w:bottom w:val="single" w:sz="4" w:space="0" w:color="auto"/>
            </w:tcBorders>
          </w:tcPr>
          <w:p w14:paraId="27BCDEB3" w14:textId="77777777" w:rsidR="008E5939" w:rsidRPr="007C4959" w:rsidRDefault="008E5939" w:rsidP="00B12B0C">
            <w:pPr>
              <w:pStyle w:val="UtilComTabletext"/>
              <w:jc w:val="right"/>
              <w:rPr>
                <w:b/>
              </w:rPr>
            </w:pPr>
            <w:r>
              <w:rPr>
                <w:b/>
              </w:rPr>
              <w:t>-45.41</w:t>
            </w:r>
          </w:p>
        </w:tc>
        <w:tc>
          <w:tcPr>
            <w:tcW w:w="964" w:type="dxa"/>
            <w:tcBorders>
              <w:bottom w:val="single" w:sz="4" w:space="0" w:color="auto"/>
            </w:tcBorders>
          </w:tcPr>
          <w:p w14:paraId="13B83798" w14:textId="77777777" w:rsidR="008E5939" w:rsidRPr="007C4959" w:rsidRDefault="008E5939" w:rsidP="00B12B0C">
            <w:pPr>
              <w:pStyle w:val="UtilComTabletext"/>
              <w:jc w:val="right"/>
              <w:rPr>
                <w:b/>
              </w:rPr>
            </w:pPr>
            <w:r w:rsidRPr="007C4959">
              <w:rPr>
                <w:b/>
              </w:rPr>
              <w:t>-</w:t>
            </w:r>
            <w:r>
              <w:rPr>
                <w:b/>
              </w:rPr>
              <w:t xml:space="preserve"> </w:t>
            </w:r>
            <w:r w:rsidRPr="007C4959">
              <w:rPr>
                <w:b/>
              </w:rPr>
              <w:t>1</w:t>
            </w:r>
            <w:r>
              <w:rPr>
                <w:b/>
              </w:rPr>
              <w:t>5</w:t>
            </w:r>
            <w:r w:rsidRPr="007C4959">
              <w:rPr>
                <w:b/>
              </w:rPr>
              <w:t>.00</w:t>
            </w:r>
          </w:p>
        </w:tc>
        <w:tc>
          <w:tcPr>
            <w:tcW w:w="964" w:type="dxa"/>
            <w:tcBorders>
              <w:bottom w:val="single" w:sz="4" w:space="0" w:color="auto"/>
            </w:tcBorders>
          </w:tcPr>
          <w:p w14:paraId="1D398F66" w14:textId="77777777" w:rsidR="008E5939" w:rsidRPr="007C4959" w:rsidRDefault="008E5939" w:rsidP="00B12B0C">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443EF2FA" w14:textId="77777777" w:rsidR="008E5939" w:rsidRPr="007C4959" w:rsidRDefault="008E5939" w:rsidP="00B12B0C">
            <w:pPr>
              <w:pStyle w:val="UtilComTabletext"/>
              <w:jc w:val="right"/>
              <w:rPr>
                <w:b/>
              </w:rPr>
            </w:pPr>
            <w:r w:rsidRPr="007C4959">
              <w:rPr>
                <w:b/>
              </w:rPr>
              <w:t>-</w:t>
            </w:r>
            <w:r>
              <w:rPr>
                <w:b/>
              </w:rPr>
              <w:t xml:space="preserve"> </w:t>
            </w:r>
            <w:r w:rsidRPr="007C4959">
              <w:rPr>
                <w:b/>
              </w:rPr>
              <w:t>1.00</w:t>
            </w:r>
          </w:p>
        </w:tc>
        <w:tc>
          <w:tcPr>
            <w:tcW w:w="964" w:type="dxa"/>
            <w:tcBorders>
              <w:bottom w:val="single" w:sz="4" w:space="0" w:color="auto"/>
            </w:tcBorders>
          </w:tcPr>
          <w:p w14:paraId="3DFC4021" w14:textId="77777777" w:rsidR="008E5939" w:rsidRPr="007C4959" w:rsidRDefault="008E5939" w:rsidP="00B12B0C">
            <w:pPr>
              <w:pStyle w:val="UtilComTabletext"/>
              <w:jc w:val="right"/>
              <w:rPr>
                <w:b/>
              </w:rPr>
            </w:pPr>
            <w:r w:rsidRPr="007C4959">
              <w:rPr>
                <w:b/>
              </w:rPr>
              <w:t>-</w:t>
            </w:r>
            <w:r>
              <w:rPr>
                <w:b/>
              </w:rPr>
              <w:t xml:space="preserve"> </w:t>
            </w:r>
            <w:r w:rsidRPr="007C4959">
              <w:rPr>
                <w:b/>
              </w:rPr>
              <w:t>1.00</w:t>
            </w:r>
          </w:p>
        </w:tc>
        <w:tc>
          <w:tcPr>
            <w:tcW w:w="1021" w:type="dxa"/>
            <w:tcBorders>
              <w:bottom w:val="single" w:sz="4" w:space="0" w:color="auto"/>
            </w:tcBorders>
          </w:tcPr>
          <w:p w14:paraId="5E0983D9" w14:textId="77777777" w:rsidR="008E5939" w:rsidRPr="007C4959" w:rsidRDefault="008E5939" w:rsidP="00B12B0C">
            <w:pPr>
              <w:pStyle w:val="UtilComTabletext"/>
              <w:jc w:val="right"/>
              <w:rPr>
                <w:b/>
              </w:rPr>
            </w:pPr>
          </w:p>
        </w:tc>
      </w:tr>
    </w:tbl>
    <w:p w14:paraId="3B589296" w14:textId="258803F9" w:rsidR="00737C41" w:rsidRDefault="00737C41" w:rsidP="002C1CF3">
      <w:pPr>
        <w:pStyle w:val="UtilComReferenceSource"/>
        <w:spacing w:after="240"/>
        <w:rPr>
          <w:lang w:val="en-AU"/>
        </w:rPr>
      </w:pPr>
      <w:r>
        <w:rPr>
          <w:lang w:val="en-AU"/>
        </w:rPr>
        <w:t>Source: PWC Networks</w:t>
      </w:r>
      <w:r w:rsidR="00C46AC2">
        <w:rPr>
          <w:lang w:val="en-AU"/>
        </w:rPr>
        <w:t>’ revised regulatory proposal</w:t>
      </w:r>
      <w:r>
        <w:rPr>
          <w:lang w:val="en-AU"/>
        </w:rPr>
        <w:t xml:space="preserve">, NTRM  </w:t>
      </w:r>
      <w:r>
        <w:rPr>
          <w:lang w:val="en-AU"/>
        </w:rPr>
        <w:br/>
      </w:r>
      <w:r w:rsidRPr="00BB4311">
        <w:rPr>
          <w:rFonts w:cs="Arial"/>
          <w:vertAlign w:val="superscript"/>
          <w:lang w:val="en-AU"/>
        </w:rPr>
        <w:t>(a)</w:t>
      </w:r>
      <w:r>
        <w:rPr>
          <w:lang w:val="en-AU"/>
        </w:rPr>
        <w:t xml:space="preserve"> </w:t>
      </w:r>
      <w:r w:rsidRPr="004A7FDA">
        <w:rPr>
          <w:lang w:val="en-AU"/>
        </w:rPr>
        <w:t>Negative values for X indicate real revenue increases under the CPI</w:t>
      </w:r>
      <w:r w:rsidR="00921677">
        <w:rPr>
          <w:lang w:val="en-AU"/>
        </w:rPr>
        <w:t xml:space="preserve"> minus </w:t>
      </w:r>
      <w:r w:rsidRPr="004A7FDA">
        <w:rPr>
          <w:lang w:val="en-AU"/>
        </w:rPr>
        <w:t>X formula.</w:t>
      </w:r>
    </w:p>
    <w:p w14:paraId="4FFC47B4" w14:textId="16312E7E" w:rsidR="00737C41" w:rsidRDefault="00737C41" w:rsidP="00737C41">
      <w:pPr>
        <w:pStyle w:val="NumberLevel2"/>
        <w:numPr>
          <w:ilvl w:val="1"/>
          <w:numId w:val="5"/>
        </w:numPr>
        <w:ind w:left="709" w:hanging="709"/>
        <w:rPr>
          <w:lang w:val="en-AU"/>
        </w:rPr>
      </w:pPr>
      <w:r>
        <w:rPr>
          <w:lang w:val="en-AU"/>
        </w:rPr>
        <w:t xml:space="preserve">PWC Networks </w:t>
      </w:r>
      <w:r w:rsidR="00921677">
        <w:rPr>
          <w:lang w:val="en-AU"/>
        </w:rPr>
        <w:t>again noted</w:t>
      </w:r>
      <w:r>
        <w:rPr>
          <w:lang w:val="en-AU"/>
        </w:rPr>
        <w:t xml:space="preserve"> that the remaining $29.92 million </w:t>
      </w:r>
      <w:r w:rsidR="00921677">
        <w:rPr>
          <w:lang w:val="en-AU"/>
        </w:rPr>
        <w:t xml:space="preserve">was to </w:t>
      </w:r>
      <w:r>
        <w:rPr>
          <w:lang w:val="en-AU"/>
        </w:rPr>
        <w:t xml:space="preserve">be recovered in equal parts (adjusted for the time value of money) in each </w:t>
      </w:r>
      <w:r w:rsidR="00921677">
        <w:rPr>
          <w:lang w:val="en-AU"/>
        </w:rPr>
        <w:t xml:space="preserve">regulatory </w:t>
      </w:r>
      <w:r>
        <w:rPr>
          <w:lang w:val="en-AU"/>
        </w:rPr>
        <w:t xml:space="preserve">year of the </w:t>
      </w:r>
      <w:r w:rsidR="007669D5">
        <w:rPr>
          <w:lang w:val="en-AU"/>
        </w:rPr>
        <w:t xml:space="preserve">2014-19 </w:t>
      </w:r>
      <w:r>
        <w:rPr>
          <w:lang w:val="en-AU"/>
        </w:rPr>
        <w:t>regulatory control period.</w:t>
      </w:r>
    </w:p>
    <w:p w14:paraId="33120E3F" w14:textId="77777777" w:rsidR="00C7054F" w:rsidRDefault="00C7054F" w:rsidP="00C7054F">
      <w:pPr>
        <w:spacing w:before="0" w:after="0" w:line="240" w:lineRule="auto"/>
      </w:pPr>
    </w:p>
    <w:p w14:paraId="1C579B9C" w14:textId="3782E182" w:rsidR="00737C41" w:rsidRPr="00A139AD" w:rsidRDefault="00737C41" w:rsidP="00C7054F">
      <w:pPr>
        <w:spacing w:before="0" w:after="0" w:line="240" w:lineRule="auto"/>
      </w:pPr>
      <w:r>
        <w:t>Table 1</w:t>
      </w:r>
      <w:r w:rsidR="00036DA7">
        <w:t>4</w:t>
      </w:r>
      <w:r>
        <w:t>.10: PWC Networks</w:t>
      </w:r>
      <w:r w:rsidR="00B1237C">
        <w:t>’</w:t>
      </w:r>
      <w:r>
        <w:t xml:space="preserve"> </w:t>
      </w:r>
      <w:r w:rsidRPr="006A402B">
        <w:t>proposed annual revenue requirements and X factors</w:t>
      </w:r>
      <w:r>
        <w:t>, including</w:t>
      </w:r>
      <w:r w:rsidRPr="006A402B">
        <w:t xml:space="preserve"> </w:t>
      </w:r>
      <w:r>
        <w:t xml:space="preserve">carryover from cost pass through decision </w:t>
      </w:r>
      <w:r w:rsidRPr="006A402B">
        <w:t>($</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8E5939" w:rsidRPr="00EE5A08" w14:paraId="0176A49C" w14:textId="44E6DAD7" w:rsidTr="008E5939">
        <w:trPr>
          <w:cantSplit/>
          <w:trHeight w:val="360"/>
        </w:trPr>
        <w:tc>
          <w:tcPr>
            <w:tcW w:w="2410" w:type="dxa"/>
            <w:tcBorders>
              <w:top w:val="single" w:sz="4" w:space="0" w:color="999999"/>
              <w:bottom w:val="single" w:sz="4" w:space="0" w:color="auto"/>
            </w:tcBorders>
          </w:tcPr>
          <w:p w14:paraId="67F973A1" w14:textId="77777777" w:rsidR="008E5939" w:rsidRPr="00EE5A08" w:rsidRDefault="008E5939" w:rsidP="00B12B0C">
            <w:pPr>
              <w:pStyle w:val="UtilComTabletext"/>
              <w:rPr>
                <w:b/>
              </w:rPr>
            </w:pPr>
          </w:p>
        </w:tc>
        <w:tc>
          <w:tcPr>
            <w:tcW w:w="964" w:type="dxa"/>
            <w:tcBorders>
              <w:top w:val="single" w:sz="4" w:space="0" w:color="999999"/>
              <w:bottom w:val="single" w:sz="4" w:space="0" w:color="auto"/>
            </w:tcBorders>
          </w:tcPr>
          <w:p w14:paraId="67D5DE06" w14:textId="77777777" w:rsidR="008E5939" w:rsidRPr="00EE5A08" w:rsidRDefault="008E5939" w:rsidP="00B12B0C">
            <w:pPr>
              <w:pStyle w:val="UtilComTabletext"/>
              <w:jc w:val="right"/>
              <w:rPr>
                <w:b/>
              </w:rPr>
            </w:pPr>
            <w:r>
              <w:rPr>
                <w:b/>
              </w:rPr>
              <w:t>2013-14</w:t>
            </w:r>
          </w:p>
        </w:tc>
        <w:tc>
          <w:tcPr>
            <w:tcW w:w="964" w:type="dxa"/>
            <w:tcBorders>
              <w:top w:val="single" w:sz="4" w:space="0" w:color="999999"/>
              <w:bottom w:val="single" w:sz="4" w:space="0" w:color="auto"/>
            </w:tcBorders>
          </w:tcPr>
          <w:p w14:paraId="12B373A9" w14:textId="77777777" w:rsidR="008E5939" w:rsidRPr="00EE5A08" w:rsidRDefault="008E5939" w:rsidP="00B12B0C">
            <w:pPr>
              <w:pStyle w:val="UtilComTabletext"/>
              <w:jc w:val="right"/>
              <w:rPr>
                <w:b/>
              </w:rPr>
            </w:pPr>
            <w:r>
              <w:rPr>
                <w:b/>
              </w:rPr>
              <w:t>2014-15</w:t>
            </w:r>
          </w:p>
        </w:tc>
        <w:tc>
          <w:tcPr>
            <w:tcW w:w="964" w:type="dxa"/>
            <w:tcBorders>
              <w:top w:val="single" w:sz="4" w:space="0" w:color="999999"/>
              <w:bottom w:val="single" w:sz="4" w:space="0" w:color="auto"/>
            </w:tcBorders>
          </w:tcPr>
          <w:p w14:paraId="0968C7F4" w14:textId="77777777" w:rsidR="008E5939" w:rsidRPr="00EE5A08" w:rsidRDefault="008E5939" w:rsidP="00B12B0C">
            <w:pPr>
              <w:pStyle w:val="UtilComTabletext"/>
              <w:jc w:val="right"/>
              <w:rPr>
                <w:b/>
              </w:rPr>
            </w:pPr>
            <w:r>
              <w:rPr>
                <w:b/>
              </w:rPr>
              <w:t>2015-16</w:t>
            </w:r>
          </w:p>
        </w:tc>
        <w:tc>
          <w:tcPr>
            <w:tcW w:w="964" w:type="dxa"/>
            <w:tcBorders>
              <w:top w:val="single" w:sz="4" w:space="0" w:color="999999"/>
              <w:bottom w:val="single" w:sz="4" w:space="0" w:color="auto"/>
            </w:tcBorders>
          </w:tcPr>
          <w:p w14:paraId="13CB9FE7" w14:textId="77777777" w:rsidR="008E5939" w:rsidRDefault="008E5939" w:rsidP="00B12B0C">
            <w:pPr>
              <w:pStyle w:val="UtilComTabletext"/>
              <w:jc w:val="right"/>
              <w:rPr>
                <w:b/>
              </w:rPr>
            </w:pPr>
            <w:r>
              <w:rPr>
                <w:b/>
              </w:rPr>
              <w:t>2016-17</w:t>
            </w:r>
          </w:p>
        </w:tc>
        <w:tc>
          <w:tcPr>
            <w:tcW w:w="964" w:type="dxa"/>
            <w:tcBorders>
              <w:top w:val="single" w:sz="4" w:space="0" w:color="999999"/>
              <w:bottom w:val="single" w:sz="4" w:space="0" w:color="auto"/>
            </w:tcBorders>
          </w:tcPr>
          <w:p w14:paraId="05C2269B" w14:textId="77777777" w:rsidR="008E5939" w:rsidRDefault="008E5939" w:rsidP="00B12B0C">
            <w:pPr>
              <w:pStyle w:val="UtilComTabletext"/>
              <w:jc w:val="right"/>
              <w:rPr>
                <w:b/>
              </w:rPr>
            </w:pPr>
            <w:r>
              <w:rPr>
                <w:b/>
              </w:rPr>
              <w:t>2017-18</w:t>
            </w:r>
          </w:p>
        </w:tc>
        <w:tc>
          <w:tcPr>
            <w:tcW w:w="964" w:type="dxa"/>
            <w:tcBorders>
              <w:top w:val="single" w:sz="4" w:space="0" w:color="999999"/>
              <w:bottom w:val="single" w:sz="4" w:space="0" w:color="auto"/>
            </w:tcBorders>
          </w:tcPr>
          <w:p w14:paraId="044FB8F1" w14:textId="77777777" w:rsidR="008E5939" w:rsidRPr="00EE5A08" w:rsidRDefault="008E5939" w:rsidP="00B12B0C">
            <w:pPr>
              <w:pStyle w:val="UtilComTabletext"/>
              <w:jc w:val="right"/>
              <w:rPr>
                <w:b/>
              </w:rPr>
            </w:pPr>
            <w:r>
              <w:rPr>
                <w:b/>
              </w:rPr>
              <w:t>2018-19</w:t>
            </w:r>
          </w:p>
        </w:tc>
        <w:tc>
          <w:tcPr>
            <w:tcW w:w="1021" w:type="dxa"/>
            <w:tcBorders>
              <w:top w:val="single" w:sz="4" w:space="0" w:color="999999"/>
              <w:bottom w:val="single" w:sz="4" w:space="0" w:color="auto"/>
            </w:tcBorders>
          </w:tcPr>
          <w:p w14:paraId="67664D15" w14:textId="5C2216DF" w:rsidR="008E5939" w:rsidRDefault="008E5939" w:rsidP="00B12B0C">
            <w:pPr>
              <w:pStyle w:val="UtilComTabletext"/>
              <w:jc w:val="right"/>
              <w:rPr>
                <w:b/>
              </w:rPr>
            </w:pPr>
            <w:r>
              <w:rPr>
                <w:b/>
              </w:rPr>
              <w:t>Total</w:t>
            </w:r>
          </w:p>
        </w:tc>
      </w:tr>
      <w:tr w:rsidR="008E5939" w:rsidRPr="008A4655" w14:paraId="3FB950A5" w14:textId="5AA81CCF" w:rsidTr="008E5939">
        <w:trPr>
          <w:cantSplit/>
          <w:trHeight w:val="360"/>
        </w:trPr>
        <w:tc>
          <w:tcPr>
            <w:tcW w:w="2410" w:type="dxa"/>
            <w:tcBorders>
              <w:top w:val="single" w:sz="4" w:space="0" w:color="auto"/>
              <w:bottom w:val="single" w:sz="4" w:space="0" w:color="999999"/>
            </w:tcBorders>
          </w:tcPr>
          <w:p w14:paraId="3F95AAD8" w14:textId="77777777" w:rsidR="008E5939" w:rsidRDefault="008E5939" w:rsidP="00B12B0C">
            <w:pPr>
              <w:pStyle w:val="UtilComTabletext"/>
            </w:pPr>
            <w:r>
              <w:t>Unsmoothed annual revenue requirement</w:t>
            </w:r>
          </w:p>
        </w:tc>
        <w:tc>
          <w:tcPr>
            <w:tcW w:w="964" w:type="dxa"/>
            <w:tcBorders>
              <w:top w:val="single" w:sz="4" w:space="0" w:color="auto"/>
              <w:bottom w:val="single" w:sz="4" w:space="0" w:color="999999"/>
            </w:tcBorders>
          </w:tcPr>
          <w:p w14:paraId="6BC806D2" w14:textId="77777777" w:rsidR="008E5939" w:rsidRDefault="008E5939" w:rsidP="00B12B0C">
            <w:pPr>
              <w:pStyle w:val="UtilComTabletext"/>
              <w:jc w:val="right"/>
            </w:pPr>
          </w:p>
        </w:tc>
        <w:tc>
          <w:tcPr>
            <w:tcW w:w="964" w:type="dxa"/>
            <w:tcBorders>
              <w:top w:val="single" w:sz="4" w:space="0" w:color="auto"/>
              <w:bottom w:val="single" w:sz="4" w:space="0" w:color="999999"/>
            </w:tcBorders>
          </w:tcPr>
          <w:p w14:paraId="73BA903C" w14:textId="77777777" w:rsidR="008E5939" w:rsidRDefault="008E5939" w:rsidP="00B12B0C">
            <w:pPr>
              <w:pStyle w:val="UtilComTabletext"/>
              <w:jc w:val="right"/>
            </w:pPr>
            <w:r>
              <w:t>222.27</w:t>
            </w:r>
          </w:p>
        </w:tc>
        <w:tc>
          <w:tcPr>
            <w:tcW w:w="964" w:type="dxa"/>
            <w:tcBorders>
              <w:top w:val="single" w:sz="4" w:space="0" w:color="auto"/>
              <w:bottom w:val="single" w:sz="4" w:space="0" w:color="999999"/>
            </w:tcBorders>
          </w:tcPr>
          <w:p w14:paraId="573C47DB" w14:textId="77777777" w:rsidR="008E5939" w:rsidRDefault="008E5939" w:rsidP="00B12B0C">
            <w:pPr>
              <w:pStyle w:val="UtilComTabletext"/>
              <w:jc w:val="right"/>
            </w:pPr>
            <w:r>
              <w:t>231.17</w:t>
            </w:r>
          </w:p>
        </w:tc>
        <w:tc>
          <w:tcPr>
            <w:tcW w:w="964" w:type="dxa"/>
            <w:tcBorders>
              <w:top w:val="single" w:sz="4" w:space="0" w:color="auto"/>
              <w:bottom w:val="single" w:sz="4" w:space="0" w:color="999999"/>
            </w:tcBorders>
          </w:tcPr>
          <w:p w14:paraId="3E9D725A" w14:textId="77777777" w:rsidR="008E5939" w:rsidRDefault="008E5939" w:rsidP="00B12B0C">
            <w:pPr>
              <w:pStyle w:val="UtilComTabletext"/>
              <w:jc w:val="right"/>
            </w:pPr>
            <w:r>
              <w:t>235.22</w:t>
            </w:r>
          </w:p>
        </w:tc>
        <w:tc>
          <w:tcPr>
            <w:tcW w:w="964" w:type="dxa"/>
            <w:tcBorders>
              <w:top w:val="single" w:sz="4" w:space="0" w:color="auto"/>
              <w:bottom w:val="single" w:sz="4" w:space="0" w:color="999999"/>
            </w:tcBorders>
          </w:tcPr>
          <w:p w14:paraId="3938BFB6" w14:textId="77777777" w:rsidR="008E5939" w:rsidRDefault="008E5939" w:rsidP="00B12B0C">
            <w:pPr>
              <w:pStyle w:val="UtilComTabletext"/>
              <w:jc w:val="right"/>
            </w:pPr>
            <w:r>
              <w:t>239.07</w:t>
            </w:r>
          </w:p>
        </w:tc>
        <w:tc>
          <w:tcPr>
            <w:tcW w:w="964" w:type="dxa"/>
            <w:tcBorders>
              <w:top w:val="single" w:sz="4" w:space="0" w:color="auto"/>
              <w:bottom w:val="single" w:sz="4" w:space="0" w:color="999999"/>
            </w:tcBorders>
          </w:tcPr>
          <w:p w14:paraId="511F7ADD" w14:textId="77777777" w:rsidR="008E5939" w:rsidRDefault="008E5939" w:rsidP="00B12B0C">
            <w:pPr>
              <w:pStyle w:val="UtilComTabletext"/>
              <w:jc w:val="right"/>
            </w:pPr>
            <w:r>
              <w:t>245.62</w:t>
            </w:r>
          </w:p>
        </w:tc>
        <w:tc>
          <w:tcPr>
            <w:tcW w:w="1021" w:type="dxa"/>
            <w:tcBorders>
              <w:top w:val="single" w:sz="4" w:space="0" w:color="auto"/>
              <w:bottom w:val="single" w:sz="4" w:space="0" w:color="999999"/>
            </w:tcBorders>
          </w:tcPr>
          <w:p w14:paraId="7E66068A" w14:textId="22D442B4" w:rsidR="008E5939" w:rsidRDefault="008E5939" w:rsidP="00B12B0C">
            <w:pPr>
              <w:pStyle w:val="UtilComTabletext"/>
              <w:jc w:val="right"/>
            </w:pPr>
            <w:r>
              <w:t>1 173.35</w:t>
            </w:r>
          </w:p>
        </w:tc>
      </w:tr>
      <w:tr w:rsidR="008E5939" w:rsidRPr="008A4655" w14:paraId="44CF7AF6" w14:textId="2B15D811" w:rsidTr="008E5939">
        <w:trPr>
          <w:cantSplit/>
          <w:trHeight w:val="360"/>
        </w:trPr>
        <w:tc>
          <w:tcPr>
            <w:tcW w:w="2410" w:type="dxa"/>
            <w:tcBorders>
              <w:bottom w:val="single" w:sz="4" w:space="0" w:color="auto"/>
            </w:tcBorders>
          </w:tcPr>
          <w:p w14:paraId="4357940C" w14:textId="77777777" w:rsidR="008E5939" w:rsidRDefault="008E5939" w:rsidP="00B12B0C">
            <w:pPr>
              <w:pStyle w:val="UtilComTabletext"/>
            </w:pPr>
            <w:r>
              <w:t>Carryover adjustment (2013 cost pass through)</w:t>
            </w:r>
          </w:p>
        </w:tc>
        <w:tc>
          <w:tcPr>
            <w:tcW w:w="964" w:type="dxa"/>
            <w:tcBorders>
              <w:bottom w:val="single" w:sz="4" w:space="0" w:color="auto"/>
            </w:tcBorders>
          </w:tcPr>
          <w:p w14:paraId="11D75C7D" w14:textId="77777777" w:rsidR="008E5939" w:rsidRDefault="008E5939" w:rsidP="00B12B0C">
            <w:pPr>
              <w:pStyle w:val="UtilComTabletext"/>
              <w:jc w:val="right"/>
            </w:pPr>
          </w:p>
        </w:tc>
        <w:tc>
          <w:tcPr>
            <w:tcW w:w="964" w:type="dxa"/>
            <w:tcBorders>
              <w:bottom w:val="single" w:sz="4" w:space="0" w:color="auto"/>
            </w:tcBorders>
          </w:tcPr>
          <w:p w14:paraId="0E03EFDF" w14:textId="77777777" w:rsidR="008E5939" w:rsidRDefault="008E5939" w:rsidP="00B12B0C">
            <w:pPr>
              <w:pStyle w:val="UtilComTabletext"/>
              <w:jc w:val="right"/>
            </w:pPr>
            <w:r>
              <w:t>7.18</w:t>
            </w:r>
          </w:p>
        </w:tc>
        <w:tc>
          <w:tcPr>
            <w:tcW w:w="964" w:type="dxa"/>
            <w:tcBorders>
              <w:bottom w:val="single" w:sz="4" w:space="0" w:color="auto"/>
            </w:tcBorders>
          </w:tcPr>
          <w:p w14:paraId="4815E3ED" w14:textId="77777777" w:rsidR="008E5939" w:rsidRDefault="008E5939" w:rsidP="00B12B0C">
            <w:pPr>
              <w:pStyle w:val="UtilComTabletext"/>
              <w:jc w:val="right"/>
            </w:pPr>
            <w:r>
              <w:t>7.76</w:t>
            </w:r>
          </w:p>
        </w:tc>
        <w:tc>
          <w:tcPr>
            <w:tcW w:w="964" w:type="dxa"/>
            <w:tcBorders>
              <w:bottom w:val="single" w:sz="4" w:space="0" w:color="auto"/>
            </w:tcBorders>
          </w:tcPr>
          <w:p w14:paraId="0AD5D17E" w14:textId="77777777" w:rsidR="008E5939" w:rsidRDefault="008E5939" w:rsidP="00B12B0C">
            <w:pPr>
              <w:pStyle w:val="UtilComTabletext"/>
              <w:jc w:val="right"/>
            </w:pPr>
            <w:r>
              <w:t>8.39</w:t>
            </w:r>
          </w:p>
        </w:tc>
        <w:tc>
          <w:tcPr>
            <w:tcW w:w="964" w:type="dxa"/>
            <w:tcBorders>
              <w:bottom w:val="single" w:sz="4" w:space="0" w:color="auto"/>
            </w:tcBorders>
          </w:tcPr>
          <w:p w14:paraId="47D292CF" w14:textId="77777777" w:rsidR="008E5939" w:rsidRDefault="008E5939" w:rsidP="00B12B0C">
            <w:pPr>
              <w:pStyle w:val="UtilComTabletext"/>
              <w:jc w:val="right"/>
            </w:pPr>
            <w:r>
              <w:t>9.07</w:t>
            </w:r>
          </w:p>
        </w:tc>
        <w:tc>
          <w:tcPr>
            <w:tcW w:w="964" w:type="dxa"/>
            <w:tcBorders>
              <w:bottom w:val="single" w:sz="4" w:space="0" w:color="auto"/>
            </w:tcBorders>
          </w:tcPr>
          <w:p w14:paraId="7456E657" w14:textId="77777777" w:rsidR="008E5939" w:rsidRDefault="008E5939" w:rsidP="00B12B0C">
            <w:pPr>
              <w:pStyle w:val="UtilComTabletext"/>
              <w:jc w:val="right"/>
            </w:pPr>
            <w:r>
              <w:t>9.81</w:t>
            </w:r>
          </w:p>
        </w:tc>
        <w:tc>
          <w:tcPr>
            <w:tcW w:w="1021" w:type="dxa"/>
            <w:tcBorders>
              <w:bottom w:val="single" w:sz="4" w:space="0" w:color="auto"/>
            </w:tcBorders>
          </w:tcPr>
          <w:p w14:paraId="000EC84A" w14:textId="440FB720" w:rsidR="008E5939" w:rsidRDefault="008E5939" w:rsidP="00B12B0C">
            <w:pPr>
              <w:pStyle w:val="UtilComTabletext"/>
              <w:jc w:val="right"/>
            </w:pPr>
            <w:r>
              <w:t>42.21</w:t>
            </w:r>
          </w:p>
        </w:tc>
      </w:tr>
      <w:tr w:rsidR="008E5939" w:rsidRPr="008A4655" w14:paraId="10F14D72" w14:textId="522676A1" w:rsidTr="008E5939">
        <w:trPr>
          <w:cantSplit/>
          <w:trHeight w:val="360"/>
        </w:trPr>
        <w:tc>
          <w:tcPr>
            <w:tcW w:w="2410" w:type="dxa"/>
          </w:tcPr>
          <w:p w14:paraId="66AD03A9" w14:textId="77777777" w:rsidR="008E5939" w:rsidRDefault="008E5939" w:rsidP="00B12B0C">
            <w:pPr>
              <w:pStyle w:val="UtilComTabletext"/>
            </w:pPr>
            <w:r>
              <w:t>Total unsmoothed annual revenue requirement</w:t>
            </w:r>
          </w:p>
        </w:tc>
        <w:tc>
          <w:tcPr>
            <w:tcW w:w="964" w:type="dxa"/>
          </w:tcPr>
          <w:p w14:paraId="16725180" w14:textId="77777777" w:rsidR="008E5939" w:rsidRPr="00DB64A7" w:rsidRDefault="008E5939" w:rsidP="00B12B0C">
            <w:pPr>
              <w:pStyle w:val="UtilComTabletext"/>
              <w:jc w:val="right"/>
            </w:pPr>
          </w:p>
        </w:tc>
        <w:tc>
          <w:tcPr>
            <w:tcW w:w="964" w:type="dxa"/>
          </w:tcPr>
          <w:p w14:paraId="3AAD4C94" w14:textId="77777777" w:rsidR="008E5939" w:rsidRDefault="008E5939" w:rsidP="00B12B0C">
            <w:pPr>
              <w:pStyle w:val="UtilComTabletext"/>
              <w:jc w:val="right"/>
            </w:pPr>
            <w:r>
              <w:t>229.45</w:t>
            </w:r>
          </w:p>
        </w:tc>
        <w:tc>
          <w:tcPr>
            <w:tcW w:w="964" w:type="dxa"/>
          </w:tcPr>
          <w:p w14:paraId="255FA2A2" w14:textId="77777777" w:rsidR="008E5939" w:rsidRDefault="008E5939" w:rsidP="00B12B0C">
            <w:pPr>
              <w:pStyle w:val="UtilComTabletext"/>
              <w:jc w:val="right"/>
            </w:pPr>
            <w:r>
              <w:t>238.93</w:t>
            </w:r>
          </w:p>
        </w:tc>
        <w:tc>
          <w:tcPr>
            <w:tcW w:w="964" w:type="dxa"/>
          </w:tcPr>
          <w:p w14:paraId="60EEE4A9" w14:textId="77777777" w:rsidR="008E5939" w:rsidRDefault="008E5939" w:rsidP="00B12B0C">
            <w:pPr>
              <w:pStyle w:val="UtilComTabletext"/>
              <w:jc w:val="right"/>
            </w:pPr>
            <w:r>
              <w:t>243.62</w:t>
            </w:r>
          </w:p>
        </w:tc>
        <w:tc>
          <w:tcPr>
            <w:tcW w:w="964" w:type="dxa"/>
          </w:tcPr>
          <w:p w14:paraId="47C70FFF" w14:textId="77777777" w:rsidR="008E5939" w:rsidRDefault="008E5939" w:rsidP="00B12B0C">
            <w:pPr>
              <w:pStyle w:val="UtilComTabletext"/>
              <w:jc w:val="right"/>
            </w:pPr>
            <w:r>
              <w:t>248.14</w:t>
            </w:r>
          </w:p>
        </w:tc>
        <w:tc>
          <w:tcPr>
            <w:tcW w:w="964" w:type="dxa"/>
          </w:tcPr>
          <w:p w14:paraId="3ABD72FE" w14:textId="77777777" w:rsidR="008E5939" w:rsidRDefault="008E5939" w:rsidP="00B12B0C">
            <w:pPr>
              <w:pStyle w:val="UtilComTabletext"/>
              <w:jc w:val="right"/>
            </w:pPr>
            <w:r>
              <w:t>255.43</w:t>
            </w:r>
          </w:p>
        </w:tc>
        <w:tc>
          <w:tcPr>
            <w:tcW w:w="1021" w:type="dxa"/>
          </w:tcPr>
          <w:p w14:paraId="28A1DDBA" w14:textId="29F12842" w:rsidR="008E5939" w:rsidRDefault="008E5939" w:rsidP="00B12B0C">
            <w:pPr>
              <w:pStyle w:val="UtilComTabletext"/>
              <w:jc w:val="right"/>
            </w:pPr>
            <w:r>
              <w:t>1 215.56</w:t>
            </w:r>
          </w:p>
        </w:tc>
      </w:tr>
      <w:tr w:rsidR="008E5939" w:rsidRPr="008A4655" w14:paraId="7D923EBA" w14:textId="64C3E483" w:rsidTr="008E5939">
        <w:trPr>
          <w:cantSplit/>
          <w:trHeight w:val="360"/>
        </w:trPr>
        <w:tc>
          <w:tcPr>
            <w:tcW w:w="2410" w:type="dxa"/>
            <w:tcBorders>
              <w:bottom w:val="single" w:sz="4" w:space="0" w:color="999999"/>
            </w:tcBorders>
          </w:tcPr>
          <w:p w14:paraId="1434D9B8" w14:textId="77777777" w:rsidR="008E5939" w:rsidRDefault="008E5939" w:rsidP="00B12B0C">
            <w:pPr>
              <w:pStyle w:val="UtilComTabletext"/>
            </w:pPr>
            <w:r>
              <w:t>Expected revenues (smoothed revenue)</w:t>
            </w:r>
          </w:p>
        </w:tc>
        <w:tc>
          <w:tcPr>
            <w:tcW w:w="964" w:type="dxa"/>
            <w:tcBorders>
              <w:bottom w:val="single" w:sz="4" w:space="0" w:color="999999"/>
            </w:tcBorders>
          </w:tcPr>
          <w:p w14:paraId="4A913060" w14:textId="77777777" w:rsidR="008E5939" w:rsidRDefault="008E5939" w:rsidP="00B12B0C">
            <w:pPr>
              <w:pStyle w:val="UtilComTabletext"/>
              <w:jc w:val="right"/>
            </w:pPr>
            <w:r>
              <w:t>132.65</w:t>
            </w:r>
          </w:p>
        </w:tc>
        <w:tc>
          <w:tcPr>
            <w:tcW w:w="964" w:type="dxa"/>
            <w:tcBorders>
              <w:bottom w:val="single" w:sz="4" w:space="0" w:color="999999"/>
            </w:tcBorders>
          </w:tcPr>
          <w:p w14:paraId="3EF9A61F" w14:textId="77777777" w:rsidR="008E5939" w:rsidRPr="003C1833" w:rsidRDefault="008E5939" w:rsidP="00B12B0C">
            <w:pPr>
              <w:pStyle w:val="UtilComTabletext"/>
              <w:jc w:val="right"/>
            </w:pPr>
            <w:r>
              <w:t>204.77</w:t>
            </w:r>
          </w:p>
        </w:tc>
        <w:tc>
          <w:tcPr>
            <w:tcW w:w="964" w:type="dxa"/>
            <w:tcBorders>
              <w:bottom w:val="single" w:sz="4" w:space="0" w:color="999999"/>
            </w:tcBorders>
          </w:tcPr>
          <w:p w14:paraId="0A66C589" w14:textId="77777777" w:rsidR="008E5939" w:rsidRPr="003C1833" w:rsidRDefault="008E5939" w:rsidP="00B12B0C">
            <w:pPr>
              <w:pStyle w:val="UtilComTabletext"/>
              <w:jc w:val="right"/>
            </w:pPr>
            <w:r>
              <w:t>241.41</w:t>
            </w:r>
          </w:p>
        </w:tc>
        <w:tc>
          <w:tcPr>
            <w:tcW w:w="964" w:type="dxa"/>
            <w:tcBorders>
              <w:bottom w:val="single" w:sz="4" w:space="0" w:color="999999"/>
            </w:tcBorders>
          </w:tcPr>
          <w:p w14:paraId="23B4DD2E" w14:textId="77777777" w:rsidR="008E5939" w:rsidRPr="003C1833" w:rsidRDefault="008E5939" w:rsidP="00B12B0C">
            <w:pPr>
              <w:pStyle w:val="UtilComTabletext"/>
              <w:jc w:val="right"/>
            </w:pPr>
            <w:r>
              <w:t>249.95</w:t>
            </w:r>
          </w:p>
        </w:tc>
        <w:tc>
          <w:tcPr>
            <w:tcW w:w="964" w:type="dxa"/>
            <w:tcBorders>
              <w:bottom w:val="single" w:sz="4" w:space="0" w:color="999999"/>
            </w:tcBorders>
          </w:tcPr>
          <w:p w14:paraId="6C960154" w14:textId="77777777" w:rsidR="008E5939" w:rsidRPr="003C1833" w:rsidRDefault="008E5939" w:rsidP="00B12B0C">
            <w:pPr>
              <w:pStyle w:val="UtilComTabletext"/>
              <w:jc w:val="right"/>
            </w:pPr>
            <w:r>
              <w:t>258.80</w:t>
            </w:r>
          </w:p>
        </w:tc>
        <w:tc>
          <w:tcPr>
            <w:tcW w:w="964" w:type="dxa"/>
            <w:tcBorders>
              <w:bottom w:val="single" w:sz="4" w:space="0" w:color="999999"/>
            </w:tcBorders>
          </w:tcPr>
          <w:p w14:paraId="51BDE8A1" w14:textId="77777777" w:rsidR="008E5939" w:rsidRDefault="008E5939" w:rsidP="00B12B0C">
            <w:pPr>
              <w:pStyle w:val="UtilComTabletext"/>
              <w:jc w:val="right"/>
            </w:pPr>
            <w:r>
              <w:t>267.95</w:t>
            </w:r>
          </w:p>
        </w:tc>
        <w:tc>
          <w:tcPr>
            <w:tcW w:w="1021" w:type="dxa"/>
            <w:tcBorders>
              <w:bottom w:val="single" w:sz="4" w:space="0" w:color="999999"/>
            </w:tcBorders>
          </w:tcPr>
          <w:p w14:paraId="4A225B6B" w14:textId="77777777" w:rsidR="008E5939" w:rsidRDefault="008E5939" w:rsidP="00B12B0C">
            <w:pPr>
              <w:pStyle w:val="UtilComTabletext"/>
              <w:jc w:val="right"/>
            </w:pPr>
          </w:p>
        </w:tc>
      </w:tr>
      <w:tr w:rsidR="008E5939" w:rsidRPr="008A4655" w14:paraId="412C87DD" w14:textId="2319EBF1" w:rsidTr="008E5939">
        <w:trPr>
          <w:cantSplit/>
          <w:trHeight w:val="360"/>
        </w:trPr>
        <w:tc>
          <w:tcPr>
            <w:tcW w:w="2410" w:type="dxa"/>
            <w:tcBorders>
              <w:bottom w:val="single" w:sz="4" w:space="0" w:color="999999"/>
            </w:tcBorders>
          </w:tcPr>
          <w:p w14:paraId="6E7D6865" w14:textId="77777777" w:rsidR="008E5939" w:rsidRDefault="008E5939" w:rsidP="00B12B0C">
            <w:pPr>
              <w:pStyle w:val="UtilComTabletext"/>
            </w:pPr>
            <w:r>
              <w:t>Forecast CPI (%)</w:t>
            </w:r>
          </w:p>
        </w:tc>
        <w:tc>
          <w:tcPr>
            <w:tcW w:w="964" w:type="dxa"/>
            <w:tcBorders>
              <w:bottom w:val="single" w:sz="4" w:space="0" w:color="999999"/>
            </w:tcBorders>
          </w:tcPr>
          <w:p w14:paraId="5C1ACA13" w14:textId="77777777" w:rsidR="008E5939" w:rsidRDefault="008E5939" w:rsidP="00B12B0C">
            <w:pPr>
              <w:pStyle w:val="UtilComTabletext"/>
              <w:jc w:val="right"/>
            </w:pPr>
          </w:p>
        </w:tc>
        <w:tc>
          <w:tcPr>
            <w:tcW w:w="964" w:type="dxa"/>
            <w:tcBorders>
              <w:bottom w:val="single" w:sz="4" w:space="0" w:color="999999"/>
            </w:tcBorders>
          </w:tcPr>
          <w:p w14:paraId="0AC71D96" w14:textId="77777777" w:rsidR="008E5939" w:rsidRDefault="008E5939" w:rsidP="00B12B0C">
            <w:pPr>
              <w:pStyle w:val="UtilComTabletext"/>
              <w:jc w:val="right"/>
            </w:pPr>
            <w:r>
              <w:t>2.51%</w:t>
            </w:r>
          </w:p>
        </w:tc>
        <w:tc>
          <w:tcPr>
            <w:tcW w:w="964" w:type="dxa"/>
            <w:tcBorders>
              <w:bottom w:val="single" w:sz="4" w:space="0" w:color="999999"/>
            </w:tcBorders>
          </w:tcPr>
          <w:p w14:paraId="13C6BF70" w14:textId="77777777" w:rsidR="008E5939" w:rsidRDefault="008E5939" w:rsidP="00B12B0C">
            <w:pPr>
              <w:pStyle w:val="UtilComTabletext"/>
              <w:jc w:val="right"/>
            </w:pPr>
            <w:r>
              <w:t>2.51%</w:t>
            </w:r>
          </w:p>
        </w:tc>
        <w:tc>
          <w:tcPr>
            <w:tcW w:w="964" w:type="dxa"/>
            <w:tcBorders>
              <w:bottom w:val="single" w:sz="4" w:space="0" w:color="999999"/>
            </w:tcBorders>
          </w:tcPr>
          <w:p w14:paraId="4AAAEB27" w14:textId="77777777" w:rsidR="008E5939" w:rsidRDefault="008E5939" w:rsidP="00B12B0C">
            <w:pPr>
              <w:pStyle w:val="UtilComTabletext"/>
              <w:jc w:val="right"/>
            </w:pPr>
            <w:r>
              <w:t>2.51%</w:t>
            </w:r>
          </w:p>
        </w:tc>
        <w:tc>
          <w:tcPr>
            <w:tcW w:w="964" w:type="dxa"/>
            <w:tcBorders>
              <w:bottom w:val="single" w:sz="4" w:space="0" w:color="999999"/>
            </w:tcBorders>
          </w:tcPr>
          <w:p w14:paraId="1A0C0B3D" w14:textId="77777777" w:rsidR="008E5939" w:rsidRDefault="008E5939" w:rsidP="00B12B0C">
            <w:pPr>
              <w:pStyle w:val="UtilComTabletext"/>
              <w:jc w:val="right"/>
            </w:pPr>
            <w:r>
              <w:t>2.51%</w:t>
            </w:r>
          </w:p>
        </w:tc>
        <w:tc>
          <w:tcPr>
            <w:tcW w:w="964" w:type="dxa"/>
            <w:tcBorders>
              <w:bottom w:val="single" w:sz="4" w:space="0" w:color="999999"/>
            </w:tcBorders>
          </w:tcPr>
          <w:p w14:paraId="5B17F55B" w14:textId="77777777" w:rsidR="008E5939" w:rsidRDefault="008E5939" w:rsidP="00B12B0C">
            <w:pPr>
              <w:pStyle w:val="UtilComTabletext"/>
              <w:jc w:val="right"/>
            </w:pPr>
            <w:r>
              <w:t>2.51%</w:t>
            </w:r>
          </w:p>
        </w:tc>
        <w:tc>
          <w:tcPr>
            <w:tcW w:w="1021" w:type="dxa"/>
            <w:tcBorders>
              <w:bottom w:val="single" w:sz="4" w:space="0" w:color="999999"/>
            </w:tcBorders>
          </w:tcPr>
          <w:p w14:paraId="347D4EC0" w14:textId="77777777" w:rsidR="008E5939" w:rsidRDefault="008E5939" w:rsidP="00B12B0C">
            <w:pPr>
              <w:pStyle w:val="UtilComTabletext"/>
              <w:jc w:val="right"/>
            </w:pPr>
          </w:p>
        </w:tc>
      </w:tr>
      <w:tr w:rsidR="008E5939" w:rsidRPr="007C4959" w14:paraId="2AC2AEF2" w14:textId="4642D931" w:rsidTr="008E5939">
        <w:trPr>
          <w:cantSplit/>
          <w:trHeight w:val="360"/>
        </w:trPr>
        <w:tc>
          <w:tcPr>
            <w:tcW w:w="2410" w:type="dxa"/>
          </w:tcPr>
          <w:p w14:paraId="64650106" w14:textId="77777777" w:rsidR="008E5939" w:rsidRPr="007C4959" w:rsidRDefault="008E5939" w:rsidP="00B12B0C">
            <w:pPr>
              <w:pStyle w:val="UtilComTabletext"/>
              <w:rPr>
                <w:b/>
              </w:rPr>
            </w:pPr>
            <w:r w:rsidRPr="007C4959">
              <w:rPr>
                <w:b/>
              </w:rPr>
              <w:t xml:space="preserve">X factors (%) </w:t>
            </w:r>
            <w:r w:rsidRPr="007C4959">
              <w:rPr>
                <w:b/>
                <w:vertAlign w:val="superscript"/>
              </w:rPr>
              <w:t>(a)</w:t>
            </w:r>
          </w:p>
        </w:tc>
        <w:tc>
          <w:tcPr>
            <w:tcW w:w="964" w:type="dxa"/>
          </w:tcPr>
          <w:p w14:paraId="11E537EC" w14:textId="77777777" w:rsidR="008E5939" w:rsidRPr="007C4959" w:rsidRDefault="008E5939" w:rsidP="00B12B0C">
            <w:pPr>
              <w:pStyle w:val="UtilComTabletext"/>
              <w:jc w:val="right"/>
              <w:rPr>
                <w:b/>
              </w:rPr>
            </w:pPr>
          </w:p>
        </w:tc>
        <w:tc>
          <w:tcPr>
            <w:tcW w:w="964" w:type="dxa"/>
          </w:tcPr>
          <w:p w14:paraId="219F0C10" w14:textId="77777777" w:rsidR="008E5939" w:rsidRPr="007C4959" w:rsidRDefault="008E5939" w:rsidP="0009333A">
            <w:pPr>
              <w:pStyle w:val="UtilComTabletext"/>
              <w:jc w:val="right"/>
              <w:rPr>
                <w:b/>
              </w:rPr>
            </w:pPr>
            <w:r w:rsidRPr="007C4959">
              <w:rPr>
                <w:b/>
              </w:rPr>
              <w:t>-</w:t>
            </w:r>
            <w:r>
              <w:rPr>
                <w:b/>
              </w:rPr>
              <w:t xml:space="preserve"> </w:t>
            </w:r>
            <w:r w:rsidRPr="007C4959">
              <w:rPr>
                <w:b/>
              </w:rPr>
              <w:t>5</w:t>
            </w:r>
            <w:r>
              <w:rPr>
                <w:b/>
              </w:rPr>
              <w:t>0</w:t>
            </w:r>
            <w:r w:rsidRPr="007C4959">
              <w:rPr>
                <w:b/>
              </w:rPr>
              <w:t>.</w:t>
            </w:r>
            <w:r>
              <w:rPr>
                <w:b/>
              </w:rPr>
              <w:t>59</w:t>
            </w:r>
          </w:p>
        </w:tc>
        <w:tc>
          <w:tcPr>
            <w:tcW w:w="964" w:type="dxa"/>
          </w:tcPr>
          <w:p w14:paraId="6D9E858C" w14:textId="77777777" w:rsidR="008E5939" w:rsidRPr="007C4959" w:rsidRDefault="008E5939" w:rsidP="00B12B0C">
            <w:pPr>
              <w:pStyle w:val="UtilComTabletext"/>
              <w:jc w:val="right"/>
              <w:rPr>
                <w:b/>
              </w:rPr>
            </w:pPr>
            <w:r w:rsidRPr="007C4959">
              <w:rPr>
                <w:b/>
              </w:rPr>
              <w:t>-</w:t>
            </w:r>
            <w:r>
              <w:rPr>
                <w:b/>
              </w:rPr>
              <w:t xml:space="preserve"> </w:t>
            </w:r>
            <w:r w:rsidRPr="007C4959">
              <w:rPr>
                <w:b/>
              </w:rPr>
              <w:t>1</w:t>
            </w:r>
            <w:r>
              <w:rPr>
                <w:b/>
              </w:rPr>
              <w:t>5</w:t>
            </w:r>
            <w:r w:rsidRPr="007C4959">
              <w:rPr>
                <w:b/>
              </w:rPr>
              <w:t>.00</w:t>
            </w:r>
          </w:p>
        </w:tc>
        <w:tc>
          <w:tcPr>
            <w:tcW w:w="964" w:type="dxa"/>
          </w:tcPr>
          <w:p w14:paraId="75762D7D" w14:textId="77777777" w:rsidR="008E5939" w:rsidRPr="007C4959" w:rsidRDefault="008E5939" w:rsidP="00B12B0C">
            <w:pPr>
              <w:pStyle w:val="UtilComTabletext"/>
              <w:jc w:val="right"/>
              <w:rPr>
                <w:b/>
              </w:rPr>
            </w:pPr>
            <w:r w:rsidRPr="007C4959">
              <w:rPr>
                <w:b/>
              </w:rPr>
              <w:t>-</w:t>
            </w:r>
            <w:r>
              <w:rPr>
                <w:b/>
              </w:rPr>
              <w:t xml:space="preserve"> </w:t>
            </w:r>
            <w:r w:rsidRPr="007C4959">
              <w:rPr>
                <w:b/>
              </w:rPr>
              <w:t>1.00</w:t>
            </w:r>
          </w:p>
        </w:tc>
        <w:tc>
          <w:tcPr>
            <w:tcW w:w="964" w:type="dxa"/>
          </w:tcPr>
          <w:p w14:paraId="51BC0853" w14:textId="77777777" w:rsidR="008E5939" w:rsidRPr="007C4959" w:rsidRDefault="008E5939" w:rsidP="00B12B0C">
            <w:pPr>
              <w:pStyle w:val="UtilComTabletext"/>
              <w:jc w:val="right"/>
              <w:rPr>
                <w:b/>
              </w:rPr>
            </w:pPr>
            <w:r w:rsidRPr="007C4959">
              <w:rPr>
                <w:b/>
              </w:rPr>
              <w:t>-</w:t>
            </w:r>
            <w:r>
              <w:rPr>
                <w:b/>
              </w:rPr>
              <w:t xml:space="preserve"> </w:t>
            </w:r>
            <w:r w:rsidRPr="007C4959">
              <w:rPr>
                <w:b/>
              </w:rPr>
              <w:t>1.00</w:t>
            </w:r>
          </w:p>
        </w:tc>
        <w:tc>
          <w:tcPr>
            <w:tcW w:w="964" w:type="dxa"/>
          </w:tcPr>
          <w:p w14:paraId="359831FE" w14:textId="77777777" w:rsidR="008E5939" w:rsidRPr="007C4959" w:rsidRDefault="008E5939" w:rsidP="00B12B0C">
            <w:pPr>
              <w:pStyle w:val="UtilComTabletext"/>
              <w:jc w:val="right"/>
              <w:rPr>
                <w:b/>
              </w:rPr>
            </w:pPr>
            <w:r w:rsidRPr="007C4959">
              <w:rPr>
                <w:b/>
              </w:rPr>
              <w:t>-</w:t>
            </w:r>
            <w:r>
              <w:rPr>
                <w:b/>
              </w:rPr>
              <w:t xml:space="preserve"> </w:t>
            </w:r>
            <w:r w:rsidRPr="007C4959">
              <w:rPr>
                <w:b/>
              </w:rPr>
              <w:t>1.00</w:t>
            </w:r>
          </w:p>
        </w:tc>
        <w:tc>
          <w:tcPr>
            <w:tcW w:w="1021" w:type="dxa"/>
          </w:tcPr>
          <w:p w14:paraId="0D93048C" w14:textId="77777777" w:rsidR="008E5939" w:rsidRPr="007C4959" w:rsidRDefault="008E5939" w:rsidP="00B12B0C">
            <w:pPr>
              <w:pStyle w:val="UtilComTabletext"/>
              <w:jc w:val="right"/>
              <w:rPr>
                <w:b/>
              </w:rPr>
            </w:pPr>
          </w:p>
        </w:tc>
      </w:tr>
    </w:tbl>
    <w:p w14:paraId="09BE534F" w14:textId="6E0D3F58" w:rsidR="00737C41" w:rsidRDefault="00737C41" w:rsidP="00737C41">
      <w:pPr>
        <w:pStyle w:val="UtilComReferenceSource"/>
        <w:rPr>
          <w:lang w:val="en-AU"/>
        </w:rPr>
      </w:pPr>
      <w:r>
        <w:rPr>
          <w:lang w:val="en-AU"/>
        </w:rPr>
        <w:t>Source: PWC Networks</w:t>
      </w:r>
      <w:r w:rsidR="00C46AC2">
        <w:rPr>
          <w:lang w:val="en-AU"/>
        </w:rPr>
        <w:t>’ revised regulatory proposal</w:t>
      </w:r>
      <w:r>
        <w:rPr>
          <w:lang w:val="en-AU"/>
        </w:rPr>
        <w:t xml:space="preserve">, NTRM </w:t>
      </w:r>
      <w:r>
        <w:rPr>
          <w:lang w:val="en-AU"/>
        </w:rPr>
        <w:br/>
      </w:r>
      <w:r w:rsidRPr="00AB1661">
        <w:rPr>
          <w:rFonts w:cs="Arial"/>
          <w:vertAlign w:val="superscript"/>
          <w:lang w:val="en-AU"/>
        </w:rPr>
        <w:t>(a)</w:t>
      </w:r>
      <w:r>
        <w:rPr>
          <w:lang w:val="en-AU"/>
        </w:rPr>
        <w:t xml:space="preserve"> </w:t>
      </w:r>
      <w:r w:rsidRPr="004A7FDA">
        <w:rPr>
          <w:lang w:val="en-AU"/>
        </w:rPr>
        <w:t>Negative values for X indicate real revenue increases under the CPI</w:t>
      </w:r>
      <w:r w:rsidR="00921677">
        <w:rPr>
          <w:lang w:val="en-AU"/>
        </w:rPr>
        <w:t xml:space="preserve"> minus </w:t>
      </w:r>
      <w:r w:rsidRPr="004A7FDA">
        <w:rPr>
          <w:lang w:val="en-AU"/>
        </w:rPr>
        <w:t>X formula.</w:t>
      </w:r>
    </w:p>
    <w:p w14:paraId="2C725111" w14:textId="44EBDC95" w:rsidR="00737C41" w:rsidRDefault="00737C41" w:rsidP="00737C41">
      <w:pPr>
        <w:pStyle w:val="NumberLevel2"/>
        <w:numPr>
          <w:ilvl w:val="1"/>
          <w:numId w:val="5"/>
        </w:numPr>
        <w:ind w:left="709" w:hanging="709"/>
        <w:rPr>
          <w:lang w:val="en-AU"/>
        </w:rPr>
      </w:pPr>
      <w:r>
        <w:rPr>
          <w:lang w:val="en-AU"/>
        </w:rPr>
        <w:t>PWC Networks</w:t>
      </w:r>
      <w:r w:rsidR="00B1237C">
        <w:rPr>
          <w:lang w:val="en-AU"/>
        </w:rPr>
        <w:t>’</w:t>
      </w:r>
      <w:r w:rsidRPr="004A7FDA">
        <w:rPr>
          <w:lang w:val="en-AU"/>
        </w:rPr>
        <w:t xml:space="preserve"> proposed an X factor of </w:t>
      </w:r>
      <w:r w:rsidR="00C05748">
        <w:rPr>
          <w:lang w:val="en-AU"/>
        </w:rPr>
        <w:t>-</w:t>
      </w:r>
      <w:r>
        <w:rPr>
          <w:lang w:val="en-AU"/>
        </w:rPr>
        <w:t>5</w:t>
      </w:r>
      <w:r w:rsidR="0009333A">
        <w:rPr>
          <w:lang w:val="en-AU"/>
        </w:rPr>
        <w:t>0</w:t>
      </w:r>
      <w:r w:rsidRPr="004A7FDA">
        <w:rPr>
          <w:lang w:val="en-AU"/>
        </w:rPr>
        <w:t>.</w:t>
      </w:r>
      <w:r w:rsidR="0009333A">
        <w:rPr>
          <w:lang w:val="en-AU"/>
        </w:rPr>
        <w:t>59</w:t>
      </w:r>
      <w:r w:rsidRPr="004A7FDA">
        <w:rPr>
          <w:lang w:val="en-AU"/>
        </w:rPr>
        <w:t xml:space="preserve"> per cent (that is, a real increase) for the first </w:t>
      </w:r>
      <w:r w:rsidR="00921677">
        <w:rPr>
          <w:lang w:val="en-AU"/>
        </w:rPr>
        <w:t xml:space="preserve">regulatory </w:t>
      </w:r>
      <w:r w:rsidRPr="004A7FDA">
        <w:rPr>
          <w:lang w:val="en-AU"/>
        </w:rPr>
        <w:t xml:space="preserve">year </w:t>
      </w:r>
      <w:r w:rsidR="0009333A">
        <w:rPr>
          <w:lang w:val="en-AU"/>
        </w:rPr>
        <w:t xml:space="preserve">and </w:t>
      </w:r>
      <w:r w:rsidR="00921677">
        <w:rPr>
          <w:lang w:val="en-AU"/>
        </w:rPr>
        <w:t>-</w:t>
      </w:r>
      <w:r w:rsidR="0009333A">
        <w:rPr>
          <w:lang w:val="en-AU"/>
        </w:rPr>
        <w:t xml:space="preserve">15.00 per cent for the second </w:t>
      </w:r>
      <w:r w:rsidR="00921677">
        <w:rPr>
          <w:lang w:val="en-AU"/>
        </w:rPr>
        <w:t xml:space="preserve">regulatory year </w:t>
      </w:r>
      <w:r w:rsidRPr="004A7FDA">
        <w:rPr>
          <w:lang w:val="en-AU"/>
        </w:rPr>
        <w:t xml:space="preserve">of the </w:t>
      </w:r>
      <w:r w:rsidR="0009333A">
        <w:rPr>
          <w:lang w:val="en-AU"/>
        </w:rPr>
        <w:t>2014-19</w:t>
      </w:r>
      <w:r w:rsidRPr="004A7FDA">
        <w:rPr>
          <w:lang w:val="en-AU"/>
        </w:rPr>
        <w:t xml:space="preserve"> regulatory control period to account for the increase in </w:t>
      </w:r>
      <w:r w:rsidR="00921677">
        <w:rPr>
          <w:lang w:val="en-AU"/>
        </w:rPr>
        <w:t xml:space="preserve">annual </w:t>
      </w:r>
      <w:r w:rsidRPr="004A7FDA">
        <w:rPr>
          <w:lang w:val="en-AU"/>
        </w:rPr>
        <w:t xml:space="preserve">revenue requirement between </w:t>
      </w:r>
      <w:r w:rsidR="00921677">
        <w:rPr>
          <w:lang w:val="en-AU"/>
        </w:rPr>
        <w:t xml:space="preserve">the </w:t>
      </w:r>
      <w:r w:rsidRPr="004A7FDA">
        <w:rPr>
          <w:lang w:val="en-AU"/>
        </w:rPr>
        <w:t>20</w:t>
      </w:r>
      <w:r>
        <w:rPr>
          <w:lang w:val="en-AU"/>
        </w:rPr>
        <w:t>13</w:t>
      </w:r>
      <w:r w:rsidR="00C05748">
        <w:rPr>
          <w:lang w:val="en-AU"/>
        </w:rPr>
        <w:t>-</w:t>
      </w:r>
      <w:r w:rsidRPr="004A7FDA">
        <w:rPr>
          <w:lang w:val="en-AU"/>
        </w:rPr>
        <w:t>1</w:t>
      </w:r>
      <w:r>
        <w:rPr>
          <w:lang w:val="en-AU"/>
        </w:rPr>
        <w:t>4</w:t>
      </w:r>
      <w:r w:rsidRPr="004A7FDA">
        <w:rPr>
          <w:lang w:val="en-AU"/>
        </w:rPr>
        <w:t xml:space="preserve"> </w:t>
      </w:r>
      <w:r w:rsidR="00921677">
        <w:rPr>
          <w:lang w:val="en-AU"/>
        </w:rPr>
        <w:t xml:space="preserve">regulatory year </w:t>
      </w:r>
      <w:r w:rsidRPr="004A7FDA">
        <w:rPr>
          <w:lang w:val="en-AU"/>
        </w:rPr>
        <w:t xml:space="preserve">and </w:t>
      </w:r>
      <w:r w:rsidR="00921677">
        <w:rPr>
          <w:lang w:val="en-AU"/>
        </w:rPr>
        <w:t xml:space="preserve">the </w:t>
      </w:r>
      <w:r w:rsidRPr="004A7FDA">
        <w:rPr>
          <w:lang w:val="en-AU"/>
        </w:rPr>
        <w:t>201</w:t>
      </w:r>
      <w:r>
        <w:rPr>
          <w:lang w:val="en-AU"/>
        </w:rPr>
        <w:t>4</w:t>
      </w:r>
      <w:r w:rsidR="00C05748">
        <w:rPr>
          <w:lang w:val="en-AU"/>
        </w:rPr>
        <w:t>-</w:t>
      </w:r>
      <w:r w:rsidRPr="004A7FDA">
        <w:rPr>
          <w:lang w:val="en-AU"/>
        </w:rPr>
        <w:t>1</w:t>
      </w:r>
      <w:r>
        <w:rPr>
          <w:lang w:val="en-AU"/>
        </w:rPr>
        <w:t>5</w:t>
      </w:r>
      <w:r w:rsidR="00921677">
        <w:rPr>
          <w:lang w:val="en-AU"/>
        </w:rPr>
        <w:t xml:space="preserve"> regulatory year</w:t>
      </w:r>
      <w:r w:rsidRPr="004A7FDA">
        <w:rPr>
          <w:lang w:val="en-AU"/>
        </w:rPr>
        <w:t xml:space="preserve">. It proposed an X factor of </w:t>
      </w:r>
      <w:r w:rsidR="00C05748">
        <w:rPr>
          <w:lang w:val="en-AU"/>
        </w:rPr>
        <w:t>-</w:t>
      </w:r>
      <w:r>
        <w:rPr>
          <w:lang w:val="en-AU"/>
        </w:rPr>
        <w:t>1</w:t>
      </w:r>
      <w:r w:rsidRPr="004A7FDA">
        <w:rPr>
          <w:lang w:val="en-AU"/>
        </w:rPr>
        <w:t>.</w:t>
      </w:r>
      <w:r>
        <w:rPr>
          <w:lang w:val="en-AU"/>
        </w:rPr>
        <w:t>00</w:t>
      </w:r>
      <w:r w:rsidRPr="004A7FDA">
        <w:rPr>
          <w:lang w:val="en-AU"/>
        </w:rPr>
        <w:t xml:space="preserve"> per cent for </w:t>
      </w:r>
      <w:r w:rsidR="00921677">
        <w:rPr>
          <w:lang w:val="en-AU"/>
        </w:rPr>
        <w:t xml:space="preserve">the </w:t>
      </w:r>
      <w:r w:rsidRPr="004A7FDA">
        <w:rPr>
          <w:lang w:val="en-AU"/>
        </w:rPr>
        <w:t>201</w:t>
      </w:r>
      <w:r w:rsidR="0009333A">
        <w:rPr>
          <w:lang w:val="en-AU"/>
        </w:rPr>
        <w:t>6</w:t>
      </w:r>
      <w:r w:rsidR="00C05748">
        <w:rPr>
          <w:lang w:val="en-AU"/>
        </w:rPr>
        <w:t>-</w:t>
      </w:r>
      <w:r w:rsidRPr="004A7FDA">
        <w:rPr>
          <w:lang w:val="en-AU"/>
        </w:rPr>
        <w:t>1</w:t>
      </w:r>
      <w:r w:rsidR="0009333A">
        <w:rPr>
          <w:lang w:val="en-AU"/>
        </w:rPr>
        <w:t>7</w:t>
      </w:r>
      <w:r w:rsidRPr="004A7FDA">
        <w:rPr>
          <w:lang w:val="en-AU"/>
        </w:rPr>
        <w:t xml:space="preserve"> </w:t>
      </w:r>
      <w:r w:rsidR="00921677">
        <w:rPr>
          <w:lang w:val="en-AU"/>
        </w:rPr>
        <w:t xml:space="preserve">regulatory year </w:t>
      </w:r>
      <w:r w:rsidRPr="004A7FDA">
        <w:rPr>
          <w:lang w:val="en-AU"/>
        </w:rPr>
        <w:t xml:space="preserve">to </w:t>
      </w:r>
      <w:r w:rsidR="00921677">
        <w:rPr>
          <w:lang w:val="en-AU"/>
        </w:rPr>
        <w:t xml:space="preserve">the </w:t>
      </w:r>
      <w:r w:rsidRPr="004A7FDA">
        <w:rPr>
          <w:lang w:val="en-AU"/>
        </w:rPr>
        <w:t>201</w:t>
      </w:r>
      <w:r>
        <w:rPr>
          <w:lang w:val="en-AU"/>
        </w:rPr>
        <w:t>8</w:t>
      </w:r>
      <w:r w:rsidR="008E5939">
        <w:rPr>
          <w:lang w:val="en-AU"/>
        </w:rPr>
        <w:noBreakHyphen/>
      </w:r>
      <w:r w:rsidRPr="004A7FDA">
        <w:rPr>
          <w:lang w:val="en-AU"/>
        </w:rPr>
        <w:t>1</w:t>
      </w:r>
      <w:r>
        <w:rPr>
          <w:lang w:val="en-AU"/>
        </w:rPr>
        <w:t>9</w:t>
      </w:r>
      <w:r w:rsidR="00921677">
        <w:rPr>
          <w:lang w:val="en-AU"/>
        </w:rPr>
        <w:t xml:space="preserve"> regulatory year</w:t>
      </w:r>
      <w:r w:rsidRPr="004A7FDA">
        <w:rPr>
          <w:lang w:val="en-AU"/>
        </w:rPr>
        <w:t xml:space="preserve">. </w:t>
      </w:r>
    </w:p>
    <w:p w14:paraId="389CC527" w14:textId="7BC885F2" w:rsidR="00737C41" w:rsidRDefault="00737C41" w:rsidP="00737C41">
      <w:pPr>
        <w:pStyle w:val="NumberLevel2"/>
        <w:numPr>
          <w:ilvl w:val="1"/>
          <w:numId w:val="5"/>
        </w:numPr>
        <w:ind w:left="709" w:hanging="709"/>
        <w:rPr>
          <w:lang w:val="en-AU"/>
        </w:rPr>
      </w:pPr>
      <w:r>
        <w:rPr>
          <w:lang w:val="en-AU"/>
        </w:rPr>
        <w:t xml:space="preserve">As required under the NER, </w:t>
      </w:r>
      <w:r w:rsidRPr="004A7FDA">
        <w:rPr>
          <w:lang w:val="en-AU"/>
        </w:rPr>
        <w:t xml:space="preserve">the annual revenue requirements and expected revenues </w:t>
      </w:r>
      <w:r>
        <w:rPr>
          <w:lang w:val="en-AU"/>
        </w:rPr>
        <w:t xml:space="preserve">are </w:t>
      </w:r>
      <w:r w:rsidRPr="00403E9D">
        <w:rPr>
          <w:lang w:val="en-AU"/>
        </w:rPr>
        <w:t>equalise</w:t>
      </w:r>
      <w:r>
        <w:rPr>
          <w:lang w:val="en-AU"/>
        </w:rPr>
        <w:t>d</w:t>
      </w:r>
      <w:r w:rsidRPr="00403E9D">
        <w:rPr>
          <w:lang w:val="en-AU"/>
        </w:rPr>
        <w:t xml:space="preserve"> in NPV terms</w:t>
      </w:r>
      <w:r>
        <w:rPr>
          <w:lang w:val="en-AU"/>
        </w:rPr>
        <w:t>,</w:t>
      </w:r>
      <w:r w:rsidRPr="004A7FDA">
        <w:rPr>
          <w:lang w:val="en-AU"/>
        </w:rPr>
        <w:t xml:space="preserve"> </w:t>
      </w:r>
      <w:r>
        <w:rPr>
          <w:lang w:val="en-AU"/>
        </w:rPr>
        <w:t xml:space="preserve">and the </w:t>
      </w:r>
      <w:r w:rsidRPr="00403E9D">
        <w:rPr>
          <w:lang w:val="en-AU"/>
        </w:rPr>
        <w:t xml:space="preserve">difference between the annual revenue requirement and expected revenue in the final </w:t>
      </w:r>
      <w:r w:rsidR="0052233D">
        <w:rPr>
          <w:lang w:val="en-AU"/>
        </w:rPr>
        <w:t xml:space="preserve">regulatory </w:t>
      </w:r>
      <w:r w:rsidRPr="00403E9D">
        <w:rPr>
          <w:lang w:val="en-AU"/>
        </w:rPr>
        <w:t>year of the regulatory control period</w:t>
      </w:r>
      <w:r>
        <w:rPr>
          <w:lang w:val="en-AU"/>
        </w:rPr>
        <w:t xml:space="preserve"> is 1.12 per cent,</w:t>
      </w:r>
      <w:r w:rsidRPr="004A7FDA" w:rsidDel="00403E9D">
        <w:rPr>
          <w:lang w:val="en-AU"/>
        </w:rPr>
        <w:t xml:space="preserve"> </w:t>
      </w:r>
      <w:r w:rsidRPr="004A7FDA">
        <w:rPr>
          <w:lang w:val="en-AU"/>
        </w:rPr>
        <w:t xml:space="preserve">as shown in </w:t>
      </w:r>
      <w:r>
        <w:rPr>
          <w:lang w:val="en-AU"/>
        </w:rPr>
        <w:t>T</w:t>
      </w:r>
      <w:r w:rsidRPr="004A7FDA">
        <w:rPr>
          <w:lang w:val="en-AU"/>
        </w:rPr>
        <w:t xml:space="preserve">able </w:t>
      </w:r>
      <w:r w:rsidR="0052233D">
        <w:rPr>
          <w:lang w:val="en-AU"/>
        </w:rPr>
        <w:t>14.11</w:t>
      </w:r>
      <w:r w:rsidRPr="004A7FDA">
        <w:rPr>
          <w:lang w:val="en-AU"/>
        </w:rPr>
        <w:t>.</w:t>
      </w:r>
    </w:p>
    <w:p w14:paraId="71444A0C" w14:textId="0CDC3104" w:rsidR="00737C41" w:rsidRPr="00A139AD" w:rsidRDefault="00737C41" w:rsidP="00737C41">
      <w:pPr>
        <w:pStyle w:val="UtilComTableTitle"/>
        <w:keepNext/>
        <w:spacing w:before="120" w:after="0" w:line="240" w:lineRule="exact"/>
      </w:pPr>
      <w:r>
        <w:t>Table 1</w:t>
      </w:r>
      <w:r w:rsidR="00036DA7">
        <w:t>4</w:t>
      </w:r>
      <w:r>
        <w:t>.</w:t>
      </w:r>
      <w:r w:rsidR="00036DA7">
        <w:t>11</w:t>
      </w:r>
      <w:r>
        <w:t>: PWC Networks</w:t>
      </w:r>
      <w:r w:rsidR="00B1237C">
        <w:t>’</w:t>
      </w:r>
      <w:r>
        <w:t xml:space="preserve"> </w:t>
      </w:r>
      <w:r w:rsidRPr="006A402B">
        <w:t xml:space="preserve">proposed annual revenue requirements and </w:t>
      </w:r>
      <w:r>
        <w:t>expected revenue, including cost pass through carryover</w:t>
      </w:r>
      <w:r w:rsidRPr="006A402B">
        <w:t xml:space="preserve"> ($</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10"/>
        <w:gridCol w:w="1134"/>
        <w:gridCol w:w="1134"/>
        <w:gridCol w:w="1134"/>
        <w:gridCol w:w="1134"/>
        <w:gridCol w:w="1134"/>
        <w:gridCol w:w="1134"/>
      </w:tblGrid>
      <w:tr w:rsidR="00737C41" w:rsidRPr="008A4655" w14:paraId="3E53D98D" w14:textId="77777777" w:rsidTr="00B12B0C">
        <w:trPr>
          <w:cantSplit/>
          <w:trHeight w:val="360"/>
        </w:trPr>
        <w:tc>
          <w:tcPr>
            <w:tcW w:w="2410" w:type="dxa"/>
            <w:tcBorders>
              <w:top w:val="single" w:sz="4" w:space="0" w:color="999999"/>
              <w:bottom w:val="single" w:sz="4" w:space="0" w:color="auto"/>
            </w:tcBorders>
          </w:tcPr>
          <w:p w14:paraId="63D9A93D" w14:textId="77777777" w:rsidR="00737C41" w:rsidRPr="00EE5A08" w:rsidRDefault="00737C41" w:rsidP="00B12B0C">
            <w:pPr>
              <w:pStyle w:val="UtilComTabletext"/>
              <w:rPr>
                <w:b/>
              </w:rPr>
            </w:pPr>
          </w:p>
        </w:tc>
        <w:tc>
          <w:tcPr>
            <w:tcW w:w="1134" w:type="dxa"/>
            <w:tcBorders>
              <w:top w:val="single" w:sz="4" w:space="0" w:color="999999"/>
              <w:bottom w:val="single" w:sz="4" w:space="0" w:color="auto"/>
            </w:tcBorders>
          </w:tcPr>
          <w:p w14:paraId="303E852B" w14:textId="77777777" w:rsidR="00737C41" w:rsidRPr="00EE5A08" w:rsidRDefault="00737C41" w:rsidP="00B12B0C">
            <w:pPr>
              <w:pStyle w:val="UtilComTabletext"/>
              <w:jc w:val="right"/>
              <w:rPr>
                <w:b/>
              </w:rPr>
            </w:pPr>
            <w:r>
              <w:rPr>
                <w:b/>
              </w:rPr>
              <w:t>NPV</w:t>
            </w:r>
          </w:p>
        </w:tc>
        <w:tc>
          <w:tcPr>
            <w:tcW w:w="1134" w:type="dxa"/>
            <w:tcBorders>
              <w:top w:val="single" w:sz="4" w:space="0" w:color="999999"/>
              <w:bottom w:val="single" w:sz="4" w:space="0" w:color="auto"/>
            </w:tcBorders>
          </w:tcPr>
          <w:p w14:paraId="69878DB2" w14:textId="77777777" w:rsidR="00737C41" w:rsidRPr="00EE5A08" w:rsidRDefault="00737C41" w:rsidP="00B12B0C">
            <w:pPr>
              <w:pStyle w:val="UtilComTabletext"/>
              <w:jc w:val="right"/>
              <w:rPr>
                <w:b/>
              </w:rPr>
            </w:pPr>
            <w:r>
              <w:rPr>
                <w:b/>
              </w:rPr>
              <w:t>2014-15</w:t>
            </w:r>
          </w:p>
        </w:tc>
        <w:tc>
          <w:tcPr>
            <w:tcW w:w="1134" w:type="dxa"/>
            <w:tcBorders>
              <w:top w:val="single" w:sz="4" w:space="0" w:color="999999"/>
              <w:bottom w:val="single" w:sz="4" w:space="0" w:color="auto"/>
            </w:tcBorders>
          </w:tcPr>
          <w:p w14:paraId="1053E605" w14:textId="77777777" w:rsidR="00737C41" w:rsidRPr="00EE5A08" w:rsidRDefault="00737C41" w:rsidP="00B12B0C">
            <w:pPr>
              <w:pStyle w:val="UtilComTabletext"/>
              <w:jc w:val="right"/>
              <w:rPr>
                <w:b/>
              </w:rPr>
            </w:pPr>
            <w:r>
              <w:rPr>
                <w:b/>
              </w:rPr>
              <w:t>2015-16</w:t>
            </w:r>
          </w:p>
        </w:tc>
        <w:tc>
          <w:tcPr>
            <w:tcW w:w="1134" w:type="dxa"/>
            <w:tcBorders>
              <w:top w:val="single" w:sz="4" w:space="0" w:color="999999"/>
              <w:bottom w:val="single" w:sz="4" w:space="0" w:color="auto"/>
            </w:tcBorders>
          </w:tcPr>
          <w:p w14:paraId="7DAC070F" w14:textId="77777777" w:rsidR="00737C41" w:rsidRDefault="00737C41" w:rsidP="00B12B0C">
            <w:pPr>
              <w:pStyle w:val="UtilComTabletext"/>
              <w:jc w:val="right"/>
              <w:rPr>
                <w:b/>
              </w:rPr>
            </w:pPr>
            <w:r>
              <w:rPr>
                <w:b/>
              </w:rPr>
              <w:t>2016-17</w:t>
            </w:r>
          </w:p>
        </w:tc>
        <w:tc>
          <w:tcPr>
            <w:tcW w:w="1134" w:type="dxa"/>
            <w:tcBorders>
              <w:top w:val="single" w:sz="4" w:space="0" w:color="999999"/>
              <w:bottom w:val="single" w:sz="4" w:space="0" w:color="auto"/>
            </w:tcBorders>
          </w:tcPr>
          <w:p w14:paraId="4B97C1F6" w14:textId="77777777" w:rsidR="00737C41" w:rsidRDefault="00737C41" w:rsidP="00B12B0C">
            <w:pPr>
              <w:pStyle w:val="UtilComTabletext"/>
              <w:jc w:val="right"/>
              <w:rPr>
                <w:b/>
              </w:rPr>
            </w:pPr>
            <w:r>
              <w:rPr>
                <w:b/>
              </w:rPr>
              <w:t>2017-18</w:t>
            </w:r>
          </w:p>
        </w:tc>
        <w:tc>
          <w:tcPr>
            <w:tcW w:w="1134" w:type="dxa"/>
            <w:tcBorders>
              <w:top w:val="single" w:sz="4" w:space="0" w:color="999999"/>
              <w:bottom w:val="single" w:sz="4" w:space="0" w:color="auto"/>
            </w:tcBorders>
          </w:tcPr>
          <w:p w14:paraId="17F8C96B" w14:textId="77777777" w:rsidR="00737C41" w:rsidRPr="00EE5A08" w:rsidRDefault="00737C41" w:rsidP="00B12B0C">
            <w:pPr>
              <w:pStyle w:val="UtilComTabletext"/>
              <w:jc w:val="right"/>
              <w:rPr>
                <w:b/>
              </w:rPr>
            </w:pPr>
            <w:r>
              <w:rPr>
                <w:b/>
              </w:rPr>
              <w:t>2018-19</w:t>
            </w:r>
          </w:p>
        </w:tc>
      </w:tr>
      <w:tr w:rsidR="0009333A" w:rsidRPr="008A4655" w14:paraId="0801662D" w14:textId="77777777" w:rsidTr="00B12B0C">
        <w:trPr>
          <w:cantSplit/>
          <w:trHeight w:val="360"/>
        </w:trPr>
        <w:tc>
          <w:tcPr>
            <w:tcW w:w="2410" w:type="dxa"/>
            <w:tcBorders>
              <w:top w:val="single" w:sz="4" w:space="0" w:color="auto"/>
              <w:bottom w:val="single" w:sz="4" w:space="0" w:color="999999"/>
            </w:tcBorders>
          </w:tcPr>
          <w:p w14:paraId="31CDBB3C" w14:textId="77777777" w:rsidR="0009333A" w:rsidRDefault="0009333A" w:rsidP="00B12B0C">
            <w:pPr>
              <w:pStyle w:val="UtilComTabletext"/>
            </w:pPr>
            <w:r>
              <w:t>Unsmoothed annual revenue requirement</w:t>
            </w:r>
          </w:p>
        </w:tc>
        <w:tc>
          <w:tcPr>
            <w:tcW w:w="1134" w:type="dxa"/>
            <w:tcBorders>
              <w:top w:val="single" w:sz="4" w:space="0" w:color="auto"/>
              <w:bottom w:val="single" w:sz="4" w:space="0" w:color="999999"/>
            </w:tcBorders>
          </w:tcPr>
          <w:p w14:paraId="3C94AB70" w14:textId="77777777" w:rsidR="0009333A" w:rsidRDefault="0009333A" w:rsidP="0009333A">
            <w:pPr>
              <w:pStyle w:val="UtilComTabletext"/>
              <w:jc w:val="right"/>
            </w:pPr>
            <w:r>
              <w:t>940.35</w:t>
            </w:r>
          </w:p>
        </w:tc>
        <w:tc>
          <w:tcPr>
            <w:tcW w:w="1134" w:type="dxa"/>
            <w:tcBorders>
              <w:top w:val="single" w:sz="4" w:space="0" w:color="auto"/>
              <w:bottom w:val="single" w:sz="4" w:space="0" w:color="999999"/>
            </w:tcBorders>
          </w:tcPr>
          <w:p w14:paraId="2E81BBD5" w14:textId="77777777" w:rsidR="0009333A" w:rsidRDefault="0009333A" w:rsidP="00B12B0C">
            <w:pPr>
              <w:pStyle w:val="UtilComTabletext"/>
              <w:jc w:val="right"/>
            </w:pPr>
            <w:r>
              <w:t>229.45</w:t>
            </w:r>
          </w:p>
        </w:tc>
        <w:tc>
          <w:tcPr>
            <w:tcW w:w="1134" w:type="dxa"/>
            <w:tcBorders>
              <w:top w:val="single" w:sz="4" w:space="0" w:color="auto"/>
              <w:bottom w:val="single" w:sz="4" w:space="0" w:color="999999"/>
            </w:tcBorders>
          </w:tcPr>
          <w:p w14:paraId="420FB38B" w14:textId="77777777" w:rsidR="0009333A" w:rsidRDefault="0009333A" w:rsidP="00B12B0C">
            <w:pPr>
              <w:pStyle w:val="UtilComTabletext"/>
              <w:jc w:val="right"/>
            </w:pPr>
            <w:r>
              <w:t>238.93</w:t>
            </w:r>
          </w:p>
        </w:tc>
        <w:tc>
          <w:tcPr>
            <w:tcW w:w="1134" w:type="dxa"/>
            <w:tcBorders>
              <w:top w:val="single" w:sz="4" w:space="0" w:color="auto"/>
              <w:bottom w:val="single" w:sz="4" w:space="0" w:color="999999"/>
            </w:tcBorders>
          </w:tcPr>
          <w:p w14:paraId="6F67BB2D" w14:textId="77777777" w:rsidR="0009333A" w:rsidRDefault="0009333A" w:rsidP="00B12B0C">
            <w:pPr>
              <w:pStyle w:val="UtilComTabletext"/>
              <w:jc w:val="right"/>
            </w:pPr>
            <w:r>
              <w:t>243.62</w:t>
            </w:r>
          </w:p>
        </w:tc>
        <w:tc>
          <w:tcPr>
            <w:tcW w:w="1134" w:type="dxa"/>
            <w:tcBorders>
              <w:top w:val="single" w:sz="4" w:space="0" w:color="auto"/>
              <w:bottom w:val="single" w:sz="4" w:space="0" w:color="999999"/>
            </w:tcBorders>
          </w:tcPr>
          <w:p w14:paraId="7984ABD3" w14:textId="77777777" w:rsidR="0009333A" w:rsidRDefault="0009333A" w:rsidP="00B12B0C">
            <w:pPr>
              <w:pStyle w:val="UtilComTabletext"/>
              <w:jc w:val="right"/>
            </w:pPr>
            <w:r>
              <w:t>248.14</w:t>
            </w:r>
          </w:p>
        </w:tc>
        <w:tc>
          <w:tcPr>
            <w:tcW w:w="1134" w:type="dxa"/>
            <w:tcBorders>
              <w:top w:val="single" w:sz="4" w:space="0" w:color="auto"/>
              <w:bottom w:val="single" w:sz="4" w:space="0" w:color="999999"/>
            </w:tcBorders>
          </w:tcPr>
          <w:p w14:paraId="71C0AEDE" w14:textId="77777777" w:rsidR="0009333A" w:rsidRDefault="0009333A" w:rsidP="00B12B0C">
            <w:pPr>
              <w:pStyle w:val="UtilComTabletext"/>
              <w:jc w:val="right"/>
            </w:pPr>
            <w:r>
              <w:t>255.43</w:t>
            </w:r>
          </w:p>
        </w:tc>
      </w:tr>
      <w:tr w:rsidR="0009333A" w:rsidRPr="008A4655" w14:paraId="5952E43F" w14:textId="77777777" w:rsidTr="00B12B0C">
        <w:trPr>
          <w:cantSplit/>
          <w:trHeight w:val="360"/>
        </w:trPr>
        <w:tc>
          <w:tcPr>
            <w:tcW w:w="2410" w:type="dxa"/>
            <w:tcBorders>
              <w:bottom w:val="single" w:sz="4" w:space="0" w:color="auto"/>
            </w:tcBorders>
          </w:tcPr>
          <w:p w14:paraId="38B972A3" w14:textId="77777777" w:rsidR="0009333A" w:rsidRDefault="0009333A" w:rsidP="00B12B0C">
            <w:pPr>
              <w:pStyle w:val="UtilComTabletext"/>
            </w:pPr>
            <w:r>
              <w:t>Expected revenues (smoothed revenue)</w:t>
            </w:r>
          </w:p>
        </w:tc>
        <w:tc>
          <w:tcPr>
            <w:tcW w:w="1134" w:type="dxa"/>
            <w:tcBorders>
              <w:bottom w:val="single" w:sz="4" w:space="0" w:color="auto"/>
            </w:tcBorders>
          </w:tcPr>
          <w:p w14:paraId="3D6FAA16" w14:textId="77777777" w:rsidR="0009333A" w:rsidRDefault="0009333A" w:rsidP="00B12B0C">
            <w:pPr>
              <w:pStyle w:val="UtilComTabletext"/>
              <w:jc w:val="right"/>
            </w:pPr>
            <w:r>
              <w:t>940.35</w:t>
            </w:r>
          </w:p>
        </w:tc>
        <w:tc>
          <w:tcPr>
            <w:tcW w:w="1134" w:type="dxa"/>
            <w:tcBorders>
              <w:bottom w:val="single" w:sz="4" w:space="0" w:color="auto"/>
            </w:tcBorders>
          </w:tcPr>
          <w:p w14:paraId="7FDCE3C8" w14:textId="77777777" w:rsidR="0009333A" w:rsidRDefault="0009333A" w:rsidP="00B12B0C">
            <w:pPr>
              <w:pStyle w:val="UtilComTabletext"/>
              <w:jc w:val="right"/>
            </w:pPr>
            <w:r>
              <w:t>204.77</w:t>
            </w:r>
          </w:p>
        </w:tc>
        <w:tc>
          <w:tcPr>
            <w:tcW w:w="1134" w:type="dxa"/>
            <w:tcBorders>
              <w:bottom w:val="single" w:sz="4" w:space="0" w:color="auto"/>
            </w:tcBorders>
          </w:tcPr>
          <w:p w14:paraId="581B6F08" w14:textId="77777777" w:rsidR="0009333A" w:rsidRDefault="0009333A" w:rsidP="00B12B0C">
            <w:pPr>
              <w:pStyle w:val="UtilComTabletext"/>
              <w:jc w:val="right"/>
            </w:pPr>
            <w:r>
              <w:t>241.41</w:t>
            </w:r>
          </w:p>
        </w:tc>
        <w:tc>
          <w:tcPr>
            <w:tcW w:w="1134" w:type="dxa"/>
            <w:tcBorders>
              <w:bottom w:val="single" w:sz="4" w:space="0" w:color="auto"/>
            </w:tcBorders>
          </w:tcPr>
          <w:p w14:paraId="2F7F7E05" w14:textId="77777777" w:rsidR="0009333A" w:rsidRDefault="0009333A" w:rsidP="00B12B0C">
            <w:pPr>
              <w:pStyle w:val="UtilComTabletext"/>
              <w:jc w:val="right"/>
            </w:pPr>
            <w:r>
              <w:t>249.95</w:t>
            </w:r>
          </w:p>
        </w:tc>
        <w:tc>
          <w:tcPr>
            <w:tcW w:w="1134" w:type="dxa"/>
            <w:tcBorders>
              <w:bottom w:val="single" w:sz="4" w:space="0" w:color="auto"/>
            </w:tcBorders>
          </w:tcPr>
          <w:p w14:paraId="49123FD0" w14:textId="77777777" w:rsidR="0009333A" w:rsidRDefault="0009333A" w:rsidP="00B12B0C">
            <w:pPr>
              <w:pStyle w:val="UtilComTabletext"/>
              <w:jc w:val="right"/>
            </w:pPr>
            <w:r>
              <w:t>258.80</w:t>
            </w:r>
          </w:p>
        </w:tc>
        <w:tc>
          <w:tcPr>
            <w:tcW w:w="1134" w:type="dxa"/>
            <w:tcBorders>
              <w:bottom w:val="single" w:sz="4" w:space="0" w:color="auto"/>
            </w:tcBorders>
          </w:tcPr>
          <w:p w14:paraId="5C26D8AA" w14:textId="77777777" w:rsidR="0009333A" w:rsidRDefault="0009333A" w:rsidP="00B12B0C">
            <w:pPr>
              <w:pStyle w:val="UtilComTabletext"/>
              <w:jc w:val="right"/>
            </w:pPr>
            <w:r>
              <w:t>267.95</w:t>
            </w:r>
          </w:p>
        </w:tc>
      </w:tr>
      <w:tr w:rsidR="00737C41" w:rsidRPr="008A4655" w14:paraId="03C0A507" w14:textId="77777777" w:rsidTr="00B12B0C">
        <w:trPr>
          <w:cantSplit/>
          <w:trHeight w:val="360"/>
        </w:trPr>
        <w:tc>
          <w:tcPr>
            <w:tcW w:w="2410" w:type="dxa"/>
            <w:tcBorders>
              <w:top w:val="single" w:sz="4" w:space="0" w:color="auto"/>
              <w:bottom w:val="single" w:sz="4" w:space="0" w:color="000000"/>
            </w:tcBorders>
          </w:tcPr>
          <w:p w14:paraId="5C0B33B4" w14:textId="77777777" w:rsidR="00737C41" w:rsidRDefault="00737C41" w:rsidP="00B12B0C">
            <w:pPr>
              <w:pStyle w:val="UtilComTabletext"/>
            </w:pPr>
            <w:r>
              <w:t>Difference (%)</w:t>
            </w:r>
          </w:p>
        </w:tc>
        <w:tc>
          <w:tcPr>
            <w:tcW w:w="1134" w:type="dxa"/>
            <w:tcBorders>
              <w:top w:val="single" w:sz="4" w:space="0" w:color="auto"/>
              <w:bottom w:val="single" w:sz="4" w:space="0" w:color="000000"/>
            </w:tcBorders>
          </w:tcPr>
          <w:p w14:paraId="34CB7308" w14:textId="77777777" w:rsidR="00737C41" w:rsidRPr="00DB64A7" w:rsidRDefault="00737C41" w:rsidP="00B12B0C">
            <w:pPr>
              <w:pStyle w:val="UtilComTabletext"/>
              <w:jc w:val="right"/>
            </w:pPr>
          </w:p>
        </w:tc>
        <w:tc>
          <w:tcPr>
            <w:tcW w:w="1134" w:type="dxa"/>
            <w:tcBorders>
              <w:top w:val="single" w:sz="4" w:space="0" w:color="auto"/>
              <w:bottom w:val="single" w:sz="4" w:space="0" w:color="000000"/>
            </w:tcBorders>
          </w:tcPr>
          <w:p w14:paraId="7C08D04C" w14:textId="77777777" w:rsidR="00737C41" w:rsidRPr="00DB64A7" w:rsidRDefault="0009333A" w:rsidP="00B12B0C">
            <w:pPr>
              <w:pStyle w:val="UtilComTabletext"/>
              <w:jc w:val="right"/>
            </w:pPr>
            <w:r>
              <w:t>10.46</w:t>
            </w:r>
          </w:p>
        </w:tc>
        <w:tc>
          <w:tcPr>
            <w:tcW w:w="1134" w:type="dxa"/>
            <w:tcBorders>
              <w:top w:val="single" w:sz="4" w:space="0" w:color="auto"/>
              <w:bottom w:val="single" w:sz="4" w:space="0" w:color="000000"/>
            </w:tcBorders>
          </w:tcPr>
          <w:p w14:paraId="792BDE01" w14:textId="77777777" w:rsidR="00737C41" w:rsidRPr="00DB64A7" w:rsidRDefault="0009333A" w:rsidP="00B12B0C">
            <w:pPr>
              <w:pStyle w:val="UtilComTabletext"/>
              <w:jc w:val="right"/>
            </w:pPr>
            <w:r>
              <w:t>-1.04</w:t>
            </w:r>
          </w:p>
        </w:tc>
        <w:tc>
          <w:tcPr>
            <w:tcW w:w="1134" w:type="dxa"/>
            <w:tcBorders>
              <w:top w:val="single" w:sz="4" w:space="0" w:color="auto"/>
              <w:bottom w:val="single" w:sz="4" w:space="0" w:color="000000"/>
            </w:tcBorders>
          </w:tcPr>
          <w:p w14:paraId="22F0C9DF" w14:textId="77777777" w:rsidR="00737C41" w:rsidRPr="00DB64A7" w:rsidRDefault="0009333A" w:rsidP="00B12B0C">
            <w:pPr>
              <w:pStyle w:val="UtilComTabletext"/>
              <w:jc w:val="right"/>
            </w:pPr>
            <w:r>
              <w:t>-2.60</w:t>
            </w:r>
          </w:p>
        </w:tc>
        <w:tc>
          <w:tcPr>
            <w:tcW w:w="1134" w:type="dxa"/>
            <w:tcBorders>
              <w:top w:val="single" w:sz="4" w:space="0" w:color="auto"/>
              <w:bottom w:val="single" w:sz="4" w:space="0" w:color="000000"/>
            </w:tcBorders>
          </w:tcPr>
          <w:p w14:paraId="0A7D2D15" w14:textId="77777777" w:rsidR="00737C41" w:rsidRPr="00DB64A7" w:rsidRDefault="0009333A" w:rsidP="00B12B0C">
            <w:pPr>
              <w:pStyle w:val="UtilComTabletext"/>
              <w:jc w:val="right"/>
            </w:pPr>
            <w:r>
              <w:t>-4.20</w:t>
            </w:r>
          </w:p>
        </w:tc>
        <w:tc>
          <w:tcPr>
            <w:tcW w:w="1134" w:type="dxa"/>
            <w:tcBorders>
              <w:top w:val="single" w:sz="4" w:space="0" w:color="auto"/>
              <w:bottom w:val="single" w:sz="4" w:space="0" w:color="000000"/>
            </w:tcBorders>
          </w:tcPr>
          <w:p w14:paraId="7F373386" w14:textId="77777777" w:rsidR="00737C41" w:rsidRPr="00DB64A7" w:rsidRDefault="0009333A" w:rsidP="00B12B0C">
            <w:pPr>
              <w:pStyle w:val="UtilComTabletext"/>
              <w:jc w:val="right"/>
            </w:pPr>
            <w:r>
              <w:t>-4.90</w:t>
            </w:r>
          </w:p>
        </w:tc>
      </w:tr>
    </w:tbl>
    <w:p w14:paraId="1087AF13" w14:textId="2C8CA4A7" w:rsidR="00737C41" w:rsidRPr="00E529C5" w:rsidRDefault="00737C41" w:rsidP="00737C41">
      <w:pPr>
        <w:pStyle w:val="UtilComReferenceSource"/>
        <w:rPr>
          <w:lang w:val="en-AU"/>
        </w:rPr>
      </w:pPr>
      <w:r>
        <w:rPr>
          <w:lang w:val="en-AU"/>
        </w:rPr>
        <w:t>Source: PWC Networks</w:t>
      </w:r>
      <w:r w:rsidR="00C46AC2">
        <w:rPr>
          <w:lang w:val="en-AU"/>
        </w:rPr>
        <w:t>’ revised regulatory proposal</w:t>
      </w:r>
      <w:r>
        <w:rPr>
          <w:lang w:val="en-AU"/>
        </w:rPr>
        <w:t xml:space="preserve">, NTRM </w:t>
      </w:r>
    </w:p>
    <w:p w14:paraId="405421DA" w14:textId="584D926C" w:rsidR="007A729A" w:rsidRPr="007B064D" w:rsidRDefault="007A729A" w:rsidP="007A729A">
      <w:pPr>
        <w:pStyle w:val="UtilComHeading2"/>
      </w:pPr>
      <w:bookmarkStart w:id="305" w:name="_Toc385241575"/>
      <w:bookmarkStart w:id="306" w:name="_Toc386013128"/>
      <w:r w:rsidRPr="007B064D">
        <w:t xml:space="preserve">Submissions on </w:t>
      </w:r>
      <w:r w:rsidR="0052233D">
        <w:t>D</w:t>
      </w:r>
      <w:r w:rsidR="0052233D" w:rsidRPr="007B064D">
        <w:t xml:space="preserve">raft </w:t>
      </w:r>
      <w:r w:rsidR="0052233D">
        <w:t>D</w:t>
      </w:r>
      <w:r w:rsidR="0052233D" w:rsidRPr="007B064D">
        <w:t xml:space="preserve">etermination </w:t>
      </w:r>
      <w:r w:rsidRPr="007B064D">
        <w:t xml:space="preserve">and </w:t>
      </w:r>
      <w:r w:rsidR="00984955">
        <w:t>R</w:t>
      </w:r>
      <w:r w:rsidR="00984955" w:rsidRPr="007B064D">
        <w:t xml:space="preserve">evised </w:t>
      </w:r>
      <w:r w:rsidR="00984955">
        <w:t>R</w:t>
      </w:r>
      <w:r w:rsidR="00984955" w:rsidRPr="007B064D">
        <w:t xml:space="preserve">egulatory </w:t>
      </w:r>
      <w:bookmarkEnd w:id="305"/>
      <w:r w:rsidR="00984955">
        <w:t>P</w:t>
      </w:r>
      <w:r w:rsidR="00984955" w:rsidRPr="007B064D">
        <w:t>roposal</w:t>
      </w:r>
      <w:bookmarkEnd w:id="306"/>
    </w:p>
    <w:p w14:paraId="76A379A4" w14:textId="077ADE03" w:rsidR="0009333A" w:rsidRDefault="00DB702F" w:rsidP="007A729A">
      <w:pPr>
        <w:pStyle w:val="ListParagraph"/>
        <w:numPr>
          <w:ilvl w:val="1"/>
          <w:numId w:val="5"/>
        </w:numPr>
        <w:tabs>
          <w:tab w:val="num" w:pos="709"/>
        </w:tabs>
        <w:ind w:left="709" w:hanging="709"/>
        <w:rPr>
          <w:lang w:val="en-AU"/>
        </w:rPr>
      </w:pPr>
      <w:r>
        <w:rPr>
          <w:lang w:val="en-AU"/>
        </w:rPr>
        <w:t xml:space="preserve">The NTMEU considered that the step increase in </w:t>
      </w:r>
      <w:r w:rsidR="00B1237C">
        <w:rPr>
          <w:lang w:val="en-AU"/>
        </w:rPr>
        <w:t xml:space="preserve">the first regulatory </w:t>
      </w:r>
      <w:r>
        <w:rPr>
          <w:lang w:val="en-AU"/>
        </w:rPr>
        <w:t xml:space="preserve">year </w:t>
      </w:r>
      <w:r w:rsidR="00B1237C">
        <w:rPr>
          <w:lang w:val="en-AU"/>
        </w:rPr>
        <w:t xml:space="preserve">of the </w:t>
      </w:r>
      <w:r w:rsidR="00B1237C">
        <w:rPr>
          <w:lang w:val="en-AU"/>
        </w:rPr>
        <w:br/>
        <w:t xml:space="preserve">2014-19 regulatory control period </w:t>
      </w:r>
      <w:r>
        <w:rPr>
          <w:lang w:val="en-AU"/>
        </w:rPr>
        <w:t xml:space="preserve">provides a massive price shock to </w:t>
      </w:r>
      <w:r w:rsidR="0052233D">
        <w:rPr>
          <w:lang w:val="en-AU"/>
        </w:rPr>
        <w:t xml:space="preserve">retail customers </w:t>
      </w:r>
      <w:r>
        <w:rPr>
          <w:lang w:val="en-AU"/>
        </w:rPr>
        <w:t xml:space="preserve">and suggested that </w:t>
      </w:r>
      <w:r w:rsidR="00B62822">
        <w:rPr>
          <w:lang w:val="en-AU"/>
        </w:rPr>
        <w:t xml:space="preserve">if </w:t>
      </w:r>
      <w:r>
        <w:rPr>
          <w:lang w:val="en-AU"/>
        </w:rPr>
        <w:t xml:space="preserve">such a </w:t>
      </w:r>
      <w:r w:rsidR="00B62822">
        <w:rPr>
          <w:lang w:val="en-AU"/>
        </w:rPr>
        <w:t xml:space="preserve">large </w:t>
      </w:r>
      <w:r>
        <w:rPr>
          <w:lang w:val="en-AU"/>
        </w:rPr>
        <w:t xml:space="preserve">increase </w:t>
      </w:r>
      <w:r w:rsidR="00B1237C">
        <w:rPr>
          <w:lang w:val="en-AU"/>
        </w:rPr>
        <w:t>was</w:t>
      </w:r>
      <w:r>
        <w:rPr>
          <w:lang w:val="en-AU"/>
        </w:rPr>
        <w:t xml:space="preserve"> to be allowed, then it would be preferable for increases </w:t>
      </w:r>
      <w:r w:rsidR="0052233D">
        <w:rPr>
          <w:lang w:val="en-AU"/>
        </w:rPr>
        <w:t xml:space="preserve">in the annual revenue requirement </w:t>
      </w:r>
      <w:r>
        <w:rPr>
          <w:lang w:val="en-AU"/>
        </w:rPr>
        <w:t>to be more consistent.</w:t>
      </w:r>
    </w:p>
    <w:p w14:paraId="787E736C" w14:textId="335E6A8D" w:rsidR="00DB702F" w:rsidRDefault="00DB702F" w:rsidP="007A729A">
      <w:pPr>
        <w:pStyle w:val="ListParagraph"/>
        <w:numPr>
          <w:ilvl w:val="1"/>
          <w:numId w:val="5"/>
        </w:numPr>
        <w:tabs>
          <w:tab w:val="num" w:pos="709"/>
        </w:tabs>
        <w:ind w:left="709" w:hanging="709"/>
        <w:rPr>
          <w:lang w:val="en-AU"/>
        </w:rPr>
      </w:pPr>
      <w:r>
        <w:rPr>
          <w:lang w:val="en-AU"/>
        </w:rPr>
        <w:t xml:space="preserve">The Treasurer also suggested that consideration be given to price paths that phase in the required increase over the </w:t>
      </w:r>
      <w:r w:rsidR="0052233D">
        <w:rPr>
          <w:lang w:val="en-AU"/>
        </w:rPr>
        <w:t xml:space="preserve">2014-19 </w:t>
      </w:r>
      <w:r>
        <w:rPr>
          <w:lang w:val="en-AU"/>
        </w:rPr>
        <w:t xml:space="preserve">regulatory control period with a view to minimising price shocks for </w:t>
      </w:r>
      <w:r w:rsidR="0052233D">
        <w:rPr>
          <w:lang w:val="en-AU"/>
        </w:rPr>
        <w:t>retail customers</w:t>
      </w:r>
      <w:r>
        <w:rPr>
          <w:lang w:val="en-AU"/>
        </w:rPr>
        <w:t>.</w:t>
      </w:r>
    </w:p>
    <w:p w14:paraId="261EF730" w14:textId="77777777" w:rsidR="007A729A" w:rsidRDefault="007A729A" w:rsidP="007A729A">
      <w:pPr>
        <w:pStyle w:val="ListParagraph"/>
        <w:numPr>
          <w:ilvl w:val="1"/>
          <w:numId w:val="5"/>
        </w:numPr>
        <w:tabs>
          <w:tab w:val="num" w:pos="709"/>
        </w:tabs>
        <w:ind w:left="709" w:hanging="709"/>
        <w:rPr>
          <w:lang w:val="en-AU"/>
        </w:rPr>
      </w:pPr>
      <w:r w:rsidRPr="001911C2">
        <w:rPr>
          <w:lang w:val="en-AU"/>
        </w:rPr>
        <w:t xml:space="preserve">No </w:t>
      </w:r>
      <w:r>
        <w:rPr>
          <w:lang w:val="en-AU"/>
        </w:rPr>
        <w:t xml:space="preserve">other </w:t>
      </w:r>
      <w:r w:rsidRPr="001911C2">
        <w:rPr>
          <w:lang w:val="en-AU"/>
        </w:rPr>
        <w:t>submissions were received on</w:t>
      </w:r>
      <w:r>
        <w:rPr>
          <w:lang w:val="en-AU"/>
        </w:rPr>
        <w:t xml:space="preserve"> </w:t>
      </w:r>
      <w:r w:rsidR="0009333A">
        <w:rPr>
          <w:lang w:val="en-AU"/>
        </w:rPr>
        <w:t>building block revenue requirements</w:t>
      </w:r>
      <w:r>
        <w:rPr>
          <w:lang w:val="en-AU"/>
        </w:rPr>
        <w:t>.</w:t>
      </w:r>
    </w:p>
    <w:p w14:paraId="0CFDB725" w14:textId="0BB2D82F" w:rsidR="007A729A" w:rsidRPr="00BB4EB2" w:rsidRDefault="007A729A" w:rsidP="007A729A">
      <w:pPr>
        <w:pStyle w:val="UtilComHeading2"/>
      </w:pPr>
      <w:bookmarkStart w:id="307" w:name="_Toc385241576"/>
      <w:bookmarkStart w:id="308" w:name="_Toc386013129"/>
      <w:r w:rsidRPr="00BB4EB2">
        <w:t xml:space="preserve">Issues and Commission’s </w:t>
      </w:r>
      <w:r w:rsidR="00C05748">
        <w:t>Further</w:t>
      </w:r>
      <w:r w:rsidR="00C05748" w:rsidRPr="00BB4EB2">
        <w:t xml:space="preserve"> </w:t>
      </w:r>
      <w:bookmarkEnd w:id="307"/>
      <w:r w:rsidR="00C05748">
        <w:t>C</w:t>
      </w:r>
      <w:r w:rsidR="00C05748" w:rsidRPr="00BB4EB2">
        <w:t>onsiderations</w:t>
      </w:r>
      <w:bookmarkEnd w:id="308"/>
    </w:p>
    <w:p w14:paraId="7C67BD96" w14:textId="2148FDC5" w:rsidR="008E3F94" w:rsidRDefault="008E3F94" w:rsidP="008E3F94">
      <w:pPr>
        <w:pStyle w:val="NumberLevel2"/>
        <w:numPr>
          <w:ilvl w:val="1"/>
          <w:numId w:val="5"/>
        </w:numPr>
        <w:ind w:left="709" w:hanging="709"/>
        <w:rPr>
          <w:lang w:val="en-AU"/>
        </w:rPr>
      </w:pPr>
      <w:r>
        <w:rPr>
          <w:lang w:val="en-AU"/>
        </w:rPr>
        <w:t xml:space="preserve">PWC Networks made a substantial downward revision of its estimated revenue for </w:t>
      </w:r>
      <w:r w:rsidR="00DA2F61">
        <w:rPr>
          <w:lang w:val="en-AU"/>
        </w:rPr>
        <w:t xml:space="preserve">the </w:t>
      </w:r>
      <w:r>
        <w:rPr>
          <w:lang w:val="en-AU"/>
        </w:rPr>
        <w:t>2013-14</w:t>
      </w:r>
      <w:r w:rsidR="00DA2F61">
        <w:rPr>
          <w:lang w:val="en-AU"/>
        </w:rPr>
        <w:t xml:space="preserve"> regulatory year</w:t>
      </w:r>
      <w:r>
        <w:rPr>
          <w:lang w:val="en-AU"/>
        </w:rPr>
        <w:t xml:space="preserve">. While this does not affect the annual revenue requirement for the 2014-19 regulatory control period, it impacts on the increase in prices required to recover the </w:t>
      </w:r>
      <w:r w:rsidR="00DA2F61">
        <w:rPr>
          <w:lang w:val="en-AU"/>
        </w:rPr>
        <w:t>annual revenue requirement</w:t>
      </w:r>
      <w:r>
        <w:rPr>
          <w:lang w:val="en-AU"/>
        </w:rPr>
        <w:t xml:space="preserve"> as it must jump from a lower base.</w:t>
      </w:r>
    </w:p>
    <w:p w14:paraId="32E117B5" w14:textId="083C3E25" w:rsidR="00036DA7" w:rsidRDefault="00036DA7" w:rsidP="007A729A">
      <w:pPr>
        <w:pStyle w:val="NumberLevel2"/>
        <w:numPr>
          <w:ilvl w:val="1"/>
          <w:numId w:val="5"/>
        </w:numPr>
        <w:tabs>
          <w:tab w:val="clear" w:pos="3270"/>
          <w:tab w:val="num" w:pos="709"/>
        </w:tabs>
        <w:ind w:left="709" w:hanging="709"/>
        <w:rPr>
          <w:lang w:val="en-AU"/>
        </w:rPr>
      </w:pPr>
      <w:r>
        <w:rPr>
          <w:lang w:val="en-AU"/>
        </w:rPr>
        <w:t>The Commission sought further information from PWC Networks on the revision to expected revenue</w:t>
      </w:r>
      <w:r w:rsidR="00DA2F61">
        <w:rPr>
          <w:lang w:val="en-AU"/>
        </w:rPr>
        <w:t xml:space="preserve"> for the 2013-14 regulatory year</w:t>
      </w:r>
      <w:r>
        <w:rPr>
          <w:lang w:val="en-AU"/>
        </w:rPr>
        <w:t xml:space="preserve">. </w:t>
      </w:r>
    </w:p>
    <w:p w14:paraId="00574A1B" w14:textId="6B1211FE" w:rsidR="00036DA7" w:rsidRDefault="00036DA7" w:rsidP="007A729A">
      <w:pPr>
        <w:pStyle w:val="NumberLevel2"/>
        <w:numPr>
          <w:ilvl w:val="1"/>
          <w:numId w:val="5"/>
        </w:numPr>
        <w:tabs>
          <w:tab w:val="clear" w:pos="3270"/>
          <w:tab w:val="num" w:pos="709"/>
        </w:tabs>
        <w:ind w:left="709" w:hanging="709"/>
        <w:rPr>
          <w:lang w:val="en-AU"/>
        </w:rPr>
      </w:pPr>
      <w:r>
        <w:rPr>
          <w:lang w:val="en-AU"/>
        </w:rPr>
        <w:t>PWC Networks was unable to provide an explanation for the difference between the two estimates, but provided details of the components of the revised estimate. The revised estimate appears to be based on</w:t>
      </w:r>
      <w:r w:rsidR="008E3F94">
        <w:rPr>
          <w:lang w:val="en-AU"/>
        </w:rPr>
        <w:t xml:space="preserve"> there being little change in consumption from that experienced in </w:t>
      </w:r>
      <w:r w:rsidR="00DA2F61">
        <w:rPr>
          <w:lang w:val="en-AU"/>
        </w:rPr>
        <w:t xml:space="preserve">the </w:t>
      </w:r>
      <w:r w:rsidR="008E3F94">
        <w:rPr>
          <w:lang w:val="en-AU"/>
        </w:rPr>
        <w:t>2011-12</w:t>
      </w:r>
      <w:r w:rsidR="00DA2F61">
        <w:rPr>
          <w:lang w:val="en-AU"/>
        </w:rPr>
        <w:t xml:space="preserve"> regulatory year</w:t>
      </w:r>
      <w:r w:rsidR="008E3F94">
        <w:rPr>
          <w:lang w:val="en-AU"/>
        </w:rPr>
        <w:t>.</w:t>
      </w:r>
    </w:p>
    <w:p w14:paraId="2FC2AEFF" w14:textId="7940958E" w:rsidR="008E3F94" w:rsidRDefault="008E3F94" w:rsidP="00DD200F">
      <w:pPr>
        <w:pStyle w:val="NumberLevel2"/>
        <w:numPr>
          <w:ilvl w:val="1"/>
          <w:numId w:val="5"/>
        </w:numPr>
        <w:tabs>
          <w:tab w:val="clear" w:pos="3270"/>
          <w:tab w:val="num" w:pos="709"/>
        </w:tabs>
        <w:ind w:left="709" w:hanging="709"/>
        <w:rPr>
          <w:lang w:val="en-AU"/>
        </w:rPr>
      </w:pPr>
      <w:r>
        <w:rPr>
          <w:lang w:val="en-AU"/>
        </w:rPr>
        <w:t xml:space="preserve">The Commission has substituted its own estimate of </w:t>
      </w:r>
      <w:r w:rsidR="00DA2F61">
        <w:rPr>
          <w:lang w:val="en-AU"/>
        </w:rPr>
        <w:t xml:space="preserve">revenue for the </w:t>
      </w:r>
      <w:r>
        <w:rPr>
          <w:lang w:val="en-AU"/>
        </w:rPr>
        <w:t xml:space="preserve">2013-14 </w:t>
      </w:r>
      <w:r w:rsidR="00DA2F61">
        <w:rPr>
          <w:lang w:val="en-AU"/>
        </w:rPr>
        <w:t>regulatory year</w:t>
      </w:r>
      <w:r>
        <w:rPr>
          <w:lang w:val="en-AU"/>
        </w:rPr>
        <w:t xml:space="preserve">, based on actual revenue </w:t>
      </w:r>
      <w:r w:rsidR="00DA2F61">
        <w:rPr>
          <w:lang w:val="en-AU"/>
        </w:rPr>
        <w:t xml:space="preserve">for the 2012-13 regulatory year </w:t>
      </w:r>
      <w:r>
        <w:rPr>
          <w:lang w:val="en-AU"/>
        </w:rPr>
        <w:t>escalated for the approved increase in the weighted average price cap and a conservative estimate of 1 per cent growth in quantities sold.</w:t>
      </w:r>
      <w:r w:rsidR="00DD200F">
        <w:rPr>
          <w:lang w:val="en-AU"/>
        </w:rPr>
        <w:t xml:space="preserve"> </w:t>
      </w:r>
      <w:r w:rsidR="00DD200F" w:rsidRPr="00DD200F">
        <w:rPr>
          <w:lang w:val="en-AU"/>
        </w:rPr>
        <w:t xml:space="preserve">This does not affect the required revenue for the 2014-19 regulatory control period but </w:t>
      </w:r>
      <w:r w:rsidR="007D7334">
        <w:rPr>
          <w:lang w:val="en-AU"/>
        </w:rPr>
        <w:t>may impact</w:t>
      </w:r>
      <w:r w:rsidR="00DD200F" w:rsidRPr="00DD200F">
        <w:rPr>
          <w:lang w:val="en-AU"/>
        </w:rPr>
        <w:t xml:space="preserve"> the proposed price path.</w:t>
      </w:r>
      <w:r w:rsidR="007D7334">
        <w:rPr>
          <w:lang w:val="en-AU"/>
        </w:rPr>
        <w:t xml:space="preserve"> If actual revenue in </w:t>
      </w:r>
      <w:r w:rsidR="00B1237C">
        <w:rPr>
          <w:lang w:val="en-AU"/>
        </w:rPr>
        <w:t xml:space="preserve">the </w:t>
      </w:r>
      <w:r w:rsidR="007D7334">
        <w:rPr>
          <w:lang w:val="en-AU"/>
        </w:rPr>
        <w:t>2013-14</w:t>
      </w:r>
      <w:r w:rsidR="00B1237C">
        <w:rPr>
          <w:lang w:val="en-AU"/>
        </w:rPr>
        <w:t xml:space="preserve"> regulatory year</w:t>
      </w:r>
      <w:r w:rsidR="007D7334">
        <w:rPr>
          <w:lang w:val="en-AU"/>
        </w:rPr>
        <w:t xml:space="preserve"> is higher than estimated, then PWC Networks’ revenue in</w:t>
      </w:r>
      <w:r w:rsidR="00B1237C">
        <w:rPr>
          <w:lang w:val="en-AU"/>
        </w:rPr>
        <w:t xml:space="preserve"> the </w:t>
      </w:r>
      <w:r w:rsidR="007D7334">
        <w:rPr>
          <w:lang w:val="en-AU"/>
        </w:rPr>
        <w:t xml:space="preserve">2014-15 </w:t>
      </w:r>
      <w:r w:rsidR="00B1237C">
        <w:rPr>
          <w:lang w:val="en-AU"/>
        </w:rPr>
        <w:t xml:space="preserve">regulatory year </w:t>
      </w:r>
      <w:r w:rsidR="007D7334">
        <w:rPr>
          <w:lang w:val="en-AU"/>
        </w:rPr>
        <w:t>will also be higher. This over</w:t>
      </w:r>
      <w:r w:rsidR="007D7334">
        <w:rPr>
          <w:lang w:val="en-AU"/>
        </w:rPr>
        <w:noBreakHyphen/>
        <w:t xml:space="preserve">recovery will then be offset by lower </w:t>
      </w:r>
      <w:r w:rsidR="00E23A17">
        <w:rPr>
          <w:lang w:val="en-AU"/>
        </w:rPr>
        <w:t xml:space="preserve">reference </w:t>
      </w:r>
      <w:r w:rsidR="007D7334">
        <w:rPr>
          <w:lang w:val="en-AU"/>
        </w:rPr>
        <w:t xml:space="preserve">tariffs in later years of the regulatory control period. Conversely, if actual revenue in </w:t>
      </w:r>
      <w:r w:rsidR="00B1237C">
        <w:rPr>
          <w:lang w:val="en-AU"/>
        </w:rPr>
        <w:t xml:space="preserve">the </w:t>
      </w:r>
      <w:r w:rsidR="007D7334">
        <w:rPr>
          <w:lang w:val="en-AU"/>
        </w:rPr>
        <w:t>2013-14</w:t>
      </w:r>
      <w:r w:rsidR="00B1237C">
        <w:rPr>
          <w:lang w:val="en-AU"/>
        </w:rPr>
        <w:t xml:space="preserve"> regulatory year</w:t>
      </w:r>
      <w:r w:rsidR="007D7334">
        <w:rPr>
          <w:lang w:val="en-AU"/>
        </w:rPr>
        <w:t xml:space="preserve"> is lower than estimated, then PWC Networks’ revenue in </w:t>
      </w:r>
      <w:r w:rsidR="00B1237C">
        <w:rPr>
          <w:lang w:val="en-AU"/>
        </w:rPr>
        <w:t xml:space="preserve">the </w:t>
      </w:r>
      <w:r w:rsidR="007D7334">
        <w:rPr>
          <w:lang w:val="en-AU"/>
        </w:rPr>
        <w:t>2014-15</w:t>
      </w:r>
      <w:r w:rsidR="00B1237C">
        <w:rPr>
          <w:lang w:val="en-AU"/>
        </w:rPr>
        <w:t xml:space="preserve"> regulatory year</w:t>
      </w:r>
      <w:r w:rsidR="007D7334">
        <w:rPr>
          <w:lang w:val="en-AU"/>
        </w:rPr>
        <w:t xml:space="preserve"> will also be lower and </w:t>
      </w:r>
      <w:r w:rsidR="00E23A17">
        <w:rPr>
          <w:lang w:val="en-AU"/>
        </w:rPr>
        <w:t xml:space="preserve">reference </w:t>
      </w:r>
      <w:r w:rsidR="007D7334">
        <w:rPr>
          <w:lang w:val="en-AU"/>
        </w:rPr>
        <w:t>tariffs in future years higher to make up for the under-recovery of required revenue.</w:t>
      </w:r>
    </w:p>
    <w:p w14:paraId="1D84D492" w14:textId="2CE03A5F" w:rsidR="00987128" w:rsidRDefault="004B6EC0" w:rsidP="004B6EC0">
      <w:pPr>
        <w:pStyle w:val="NumberLevel2"/>
        <w:numPr>
          <w:ilvl w:val="1"/>
          <w:numId w:val="5"/>
        </w:numPr>
        <w:tabs>
          <w:tab w:val="clear" w:pos="3270"/>
          <w:tab w:val="num" w:pos="709"/>
        </w:tabs>
        <w:ind w:left="709" w:hanging="709"/>
        <w:rPr>
          <w:lang w:val="en-AU"/>
        </w:rPr>
      </w:pPr>
      <w:r>
        <w:rPr>
          <w:lang w:val="en-AU"/>
        </w:rPr>
        <w:t>The Commission notes the concerns raised by the NTME</w:t>
      </w:r>
      <w:r w:rsidR="00205386">
        <w:rPr>
          <w:lang w:val="en-AU"/>
        </w:rPr>
        <w:t>U</w:t>
      </w:r>
      <w:r>
        <w:rPr>
          <w:lang w:val="en-AU"/>
        </w:rPr>
        <w:t xml:space="preserve"> and the Treasurer regarding price shocks for </w:t>
      </w:r>
      <w:r w:rsidR="00DA2F61">
        <w:rPr>
          <w:lang w:val="en-AU"/>
        </w:rPr>
        <w:t xml:space="preserve">retail </w:t>
      </w:r>
      <w:r>
        <w:rPr>
          <w:lang w:val="en-AU"/>
        </w:rPr>
        <w:t>customers</w:t>
      </w:r>
      <w:r w:rsidR="00987128">
        <w:rPr>
          <w:lang w:val="en-AU"/>
        </w:rPr>
        <w:t xml:space="preserve"> and the suggestion that increases be phased in over time.</w:t>
      </w:r>
    </w:p>
    <w:p w14:paraId="0BDBA64E" w14:textId="5B2FAD40" w:rsidR="00054C00" w:rsidRPr="00DD200F" w:rsidRDefault="00054C00" w:rsidP="00987128">
      <w:pPr>
        <w:pStyle w:val="NumberLevel2"/>
        <w:numPr>
          <w:ilvl w:val="1"/>
          <w:numId w:val="5"/>
        </w:numPr>
        <w:tabs>
          <w:tab w:val="clear" w:pos="3270"/>
          <w:tab w:val="num" w:pos="709"/>
        </w:tabs>
        <w:ind w:left="709" w:hanging="709"/>
        <w:rPr>
          <w:lang w:val="en-AU"/>
        </w:rPr>
      </w:pPr>
      <w:r w:rsidRPr="00DD200F">
        <w:rPr>
          <w:lang w:val="en-AU"/>
        </w:rPr>
        <w:t xml:space="preserve">The Commission is mindful of the impact on </w:t>
      </w:r>
      <w:r w:rsidR="00DA2F61">
        <w:rPr>
          <w:lang w:val="en-AU"/>
        </w:rPr>
        <w:t xml:space="preserve">retail </w:t>
      </w:r>
      <w:r w:rsidRPr="00DD200F">
        <w:rPr>
          <w:lang w:val="en-AU"/>
        </w:rPr>
        <w:t>customers</w:t>
      </w:r>
      <w:r w:rsidR="00564B3F">
        <w:rPr>
          <w:lang w:val="en-AU"/>
        </w:rPr>
        <w:t>. H</w:t>
      </w:r>
      <w:r w:rsidRPr="00DD200F">
        <w:rPr>
          <w:lang w:val="en-AU"/>
        </w:rPr>
        <w:t>owever</w:t>
      </w:r>
      <w:r w:rsidR="00564B3F">
        <w:rPr>
          <w:lang w:val="en-AU"/>
        </w:rPr>
        <w:t>,</w:t>
      </w:r>
      <w:r w:rsidRPr="00DD200F">
        <w:rPr>
          <w:lang w:val="en-AU"/>
        </w:rPr>
        <w:t xml:space="preserve"> t</w:t>
      </w:r>
      <w:r w:rsidR="00987128" w:rsidRPr="00DD200F">
        <w:rPr>
          <w:lang w:val="en-AU"/>
        </w:rPr>
        <w:t xml:space="preserve">he Commission faces conflicting objectives in this regard. </w:t>
      </w:r>
    </w:p>
    <w:p w14:paraId="0487B9D5" w14:textId="5384E0D6" w:rsidR="004B6EC0" w:rsidRDefault="00987128" w:rsidP="00987128">
      <w:pPr>
        <w:pStyle w:val="NumberLevel2"/>
        <w:numPr>
          <w:ilvl w:val="1"/>
          <w:numId w:val="5"/>
        </w:numPr>
        <w:tabs>
          <w:tab w:val="clear" w:pos="3270"/>
          <w:tab w:val="num" w:pos="709"/>
        </w:tabs>
        <w:ind w:left="709" w:hanging="709"/>
        <w:rPr>
          <w:lang w:val="en-AU"/>
        </w:rPr>
      </w:pPr>
      <w:r>
        <w:rPr>
          <w:lang w:val="en-AU"/>
        </w:rPr>
        <w:t>The NER</w:t>
      </w:r>
      <w:r w:rsidR="004B6EC0">
        <w:rPr>
          <w:lang w:val="en-AU"/>
        </w:rPr>
        <w:t xml:space="preserve"> </w:t>
      </w:r>
      <w:r>
        <w:rPr>
          <w:lang w:val="en-AU"/>
        </w:rPr>
        <w:t>requires that</w:t>
      </w:r>
      <w:r w:rsidRPr="00987128">
        <w:rPr>
          <w:lang w:val="en-AU"/>
        </w:rPr>
        <w:t xml:space="preserve">, as far as possible, the difference between the annual revenue requirement and expected revenue in the final </w:t>
      </w:r>
      <w:r w:rsidR="00DA2F61">
        <w:rPr>
          <w:lang w:val="en-AU"/>
        </w:rPr>
        <w:t xml:space="preserve">regulatory </w:t>
      </w:r>
      <w:r w:rsidRPr="00987128">
        <w:rPr>
          <w:lang w:val="en-AU"/>
        </w:rPr>
        <w:t xml:space="preserve">year of the </w:t>
      </w:r>
      <w:r w:rsidR="00DA2F61">
        <w:rPr>
          <w:lang w:val="en-AU"/>
        </w:rPr>
        <w:t xml:space="preserve">2014-19 </w:t>
      </w:r>
      <w:r w:rsidRPr="00987128">
        <w:rPr>
          <w:lang w:val="en-AU"/>
        </w:rPr>
        <w:t>regulatory control period</w:t>
      </w:r>
      <w:r>
        <w:rPr>
          <w:lang w:val="en-AU"/>
        </w:rPr>
        <w:t xml:space="preserve"> be minimised. This is to avoid volatility between regulatory control periods.</w:t>
      </w:r>
    </w:p>
    <w:p w14:paraId="65F0DC65" w14:textId="224D8F1B" w:rsidR="00987128" w:rsidRDefault="00987128" w:rsidP="00987128">
      <w:pPr>
        <w:pStyle w:val="NumberLevel2"/>
        <w:numPr>
          <w:ilvl w:val="1"/>
          <w:numId w:val="5"/>
        </w:numPr>
        <w:tabs>
          <w:tab w:val="clear" w:pos="3270"/>
          <w:tab w:val="num" w:pos="709"/>
        </w:tabs>
        <w:ind w:left="709" w:hanging="709"/>
        <w:rPr>
          <w:lang w:val="en-AU"/>
        </w:rPr>
      </w:pPr>
      <w:r>
        <w:rPr>
          <w:lang w:val="en-AU"/>
        </w:rPr>
        <w:t xml:space="preserve">The Commission has also applied a glide path of efficiency adjustments to PWC Networks </w:t>
      </w:r>
      <w:r w:rsidR="00DA2F61">
        <w:rPr>
          <w:lang w:val="en-AU"/>
        </w:rPr>
        <w:t>opex</w:t>
      </w:r>
      <w:r>
        <w:rPr>
          <w:lang w:val="en-AU"/>
        </w:rPr>
        <w:t xml:space="preserve">. Moderating price increases, and therefore PWC Networks revenue, in the early years of the </w:t>
      </w:r>
      <w:r w:rsidR="00DA2F61">
        <w:rPr>
          <w:lang w:val="en-AU"/>
        </w:rPr>
        <w:t xml:space="preserve">2014-19 </w:t>
      </w:r>
      <w:r>
        <w:rPr>
          <w:lang w:val="en-AU"/>
        </w:rPr>
        <w:t xml:space="preserve">regulatory control period means that prices, and therefore revenue, will need to be higher in subsequent </w:t>
      </w:r>
      <w:r w:rsidR="00DA2F61">
        <w:rPr>
          <w:lang w:val="en-AU"/>
        </w:rPr>
        <w:t xml:space="preserve">regulatory </w:t>
      </w:r>
      <w:r>
        <w:rPr>
          <w:lang w:val="en-AU"/>
        </w:rPr>
        <w:t>years to make up for it. This will mask the incentives the Commission has built</w:t>
      </w:r>
      <w:r w:rsidR="00054C00">
        <w:rPr>
          <w:lang w:val="en-AU"/>
        </w:rPr>
        <w:t xml:space="preserve"> in to </w:t>
      </w:r>
      <w:r w:rsidR="00DA2F61">
        <w:rPr>
          <w:lang w:val="en-AU"/>
        </w:rPr>
        <w:t xml:space="preserve">the substituted </w:t>
      </w:r>
      <w:r w:rsidR="00054C00">
        <w:rPr>
          <w:lang w:val="en-AU"/>
        </w:rPr>
        <w:t xml:space="preserve">opex </w:t>
      </w:r>
      <w:r w:rsidR="00DA2F61">
        <w:rPr>
          <w:lang w:val="en-AU"/>
        </w:rPr>
        <w:t xml:space="preserve">forecast </w:t>
      </w:r>
      <w:r w:rsidR="00054C00">
        <w:rPr>
          <w:lang w:val="en-AU"/>
        </w:rPr>
        <w:t>for PWC Networks.</w:t>
      </w:r>
    </w:p>
    <w:p w14:paraId="04B82700" w14:textId="77777777" w:rsidR="00564B3F" w:rsidRDefault="00054C00" w:rsidP="00054C00">
      <w:pPr>
        <w:pStyle w:val="NumberLevel2"/>
        <w:numPr>
          <w:ilvl w:val="1"/>
          <w:numId w:val="5"/>
        </w:numPr>
        <w:tabs>
          <w:tab w:val="clear" w:pos="3270"/>
          <w:tab w:val="num" w:pos="709"/>
        </w:tabs>
        <w:ind w:left="709" w:hanging="709"/>
        <w:rPr>
          <w:lang w:val="en-AU"/>
        </w:rPr>
      </w:pPr>
      <w:r>
        <w:rPr>
          <w:lang w:val="en-AU"/>
        </w:rPr>
        <w:t>The Commission has balanced these objectives by putting in place a revenue path that will allow</w:t>
      </w:r>
      <w:r w:rsidRPr="00054C00">
        <w:rPr>
          <w:lang w:val="en-AU"/>
        </w:rPr>
        <w:t xml:space="preserve"> PWC Networks’ </w:t>
      </w:r>
      <w:r w:rsidR="00DA2F61">
        <w:rPr>
          <w:lang w:val="en-AU"/>
        </w:rPr>
        <w:t>annual revenue requirement</w:t>
      </w:r>
      <w:r w:rsidRPr="00054C00">
        <w:rPr>
          <w:lang w:val="en-AU"/>
        </w:rPr>
        <w:t xml:space="preserve"> </w:t>
      </w:r>
      <w:r>
        <w:rPr>
          <w:lang w:val="en-AU"/>
        </w:rPr>
        <w:t>to</w:t>
      </w:r>
      <w:r w:rsidRPr="00054C00">
        <w:rPr>
          <w:lang w:val="en-AU"/>
        </w:rPr>
        <w:t xml:space="preserve"> increase in nominal terms by the CPI plus </w:t>
      </w:r>
      <w:r w:rsidR="00DA2F61" w:rsidRPr="00054C00">
        <w:rPr>
          <w:lang w:val="en-AU"/>
        </w:rPr>
        <w:t>29</w:t>
      </w:r>
      <w:r w:rsidR="00564B3F">
        <w:rPr>
          <w:lang w:val="en-AU"/>
        </w:rPr>
        <w:t>.8</w:t>
      </w:r>
      <w:r w:rsidR="00DA2F61">
        <w:rPr>
          <w:lang w:val="en-AU"/>
        </w:rPr>
        <w:t> </w:t>
      </w:r>
      <w:r w:rsidR="00DA2F61" w:rsidRPr="00054C00">
        <w:rPr>
          <w:lang w:val="en-AU"/>
        </w:rPr>
        <w:t>per</w:t>
      </w:r>
      <w:r w:rsidR="00DA2F61">
        <w:rPr>
          <w:lang w:val="en-AU"/>
        </w:rPr>
        <w:t> </w:t>
      </w:r>
      <w:r w:rsidRPr="00054C00">
        <w:rPr>
          <w:lang w:val="en-AU"/>
        </w:rPr>
        <w:t xml:space="preserve">cent in </w:t>
      </w:r>
      <w:r w:rsidR="00DA2F61">
        <w:rPr>
          <w:lang w:val="en-AU"/>
        </w:rPr>
        <w:t xml:space="preserve">the </w:t>
      </w:r>
      <w:r w:rsidRPr="00054C00">
        <w:rPr>
          <w:lang w:val="en-AU"/>
        </w:rPr>
        <w:t xml:space="preserve">2014-15 </w:t>
      </w:r>
      <w:r w:rsidR="00DA2F61">
        <w:rPr>
          <w:lang w:val="en-AU"/>
        </w:rPr>
        <w:t xml:space="preserve">regulatory year </w:t>
      </w:r>
      <w:r w:rsidRPr="00054C00">
        <w:rPr>
          <w:lang w:val="en-AU"/>
        </w:rPr>
        <w:t xml:space="preserve">compared to the </w:t>
      </w:r>
      <w:r w:rsidR="00DA2F61">
        <w:rPr>
          <w:lang w:val="en-AU"/>
        </w:rPr>
        <w:t>2013-14 regulatory</w:t>
      </w:r>
      <w:r w:rsidR="00DA2F61" w:rsidRPr="00054C00">
        <w:rPr>
          <w:lang w:val="en-AU"/>
        </w:rPr>
        <w:t xml:space="preserve"> </w:t>
      </w:r>
      <w:r w:rsidRPr="00054C00">
        <w:rPr>
          <w:lang w:val="en-AU"/>
        </w:rPr>
        <w:t xml:space="preserve">year, of which </w:t>
      </w:r>
      <w:r w:rsidR="00564B3F">
        <w:rPr>
          <w:lang w:val="en-AU"/>
        </w:rPr>
        <w:t>5.2</w:t>
      </w:r>
      <w:r w:rsidR="00DA2F61">
        <w:rPr>
          <w:lang w:val="en-AU"/>
        </w:rPr>
        <w:t> </w:t>
      </w:r>
      <w:r w:rsidR="00DA2F61" w:rsidRPr="00054C00">
        <w:rPr>
          <w:lang w:val="en-AU"/>
        </w:rPr>
        <w:t>per</w:t>
      </w:r>
      <w:r w:rsidR="00DA2F61">
        <w:rPr>
          <w:lang w:val="en-AU"/>
        </w:rPr>
        <w:t> </w:t>
      </w:r>
      <w:r w:rsidRPr="00054C00">
        <w:rPr>
          <w:lang w:val="en-AU"/>
        </w:rPr>
        <w:t xml:space="preserve">cent is the effect of the cost pass through. </w:t>
      </w:r>
    </w:p>
    <w:p w14:paraId="6443FB7C" w14:textId="3DB65C0D" w:rsidR="00054C00" w:rsidRDefault="00054C00" w:rsidP="00054C00">
      <w:pPr>
        <w:pStyle w:val="NumberLevel2"/>
        <w:numPr>
          <w:ilvl w:val="1"/>
          <w:numId w:val="5"/>
        </w:numPr>
        <w:tabs>
          <w:tab w:val="clear" w:pos="3270"/>
          <w:tab w:val="num" w:pos="709"/>
        </w:tabs>
        <w:ind w:left="709" w:hanging="709"/>
        <w:rPr>
          <w:lang w:val="en-AU"/>
        </w:rPr>
      </w:pPr>
      <w:r w:rsidRPr="00054C00">
        <w:rPr>
          <w:lang w:val="en-AU"/>
        </w:rPr>
        <w:t>For the remaining years of the regulatory control period, PWC Networks’ revenues will</w:t>
      </w:r>
      <w:r>
        <w:rPr>
          <w:lang w:val="en-AU"/>
        </w:rPr>
        <w:t xml:space="preserve"> by</w:t>
      </w:r>
      <w:r w:rsidRPr="00054C00">
        <w:rPr>
          <w:lang w:val="en-AU"/>
        </w:rPr>
        <w:t xml:space="preserve"> increase in nominal terms by the CPI plus </w:t>
      </w:r>
      <w:r w:rsidR="00564B3F">
        <w:rPr>
          <w:lang w:val="en-AU"/>
        </w:rPr>
        <w:t>8</w:t>
      </w:r>
      <w:r w:rsidRPr="00054C00">
        <w:rPr>
          <w:lang w:val="en-AU"/>
        </w:rPr>
        <w:t xml:space="preserve"> per cent</w:t>
      </w:r>
      <w:r w:rsidR="00DD200F">
        <w:rPr>
          <w:lang w:val="en-AU"/>
        </w:rPr>
        <w:t xml:space="preserve"> </w:t>
      </w:r>
      <w:r w:rsidR="00B62822">
        <w:rPr>
          <w:lang w:val="en-AU"/>
        </w:rPr>
        <w:t>in</w:t>
      </w:r>
      <w:r w:rsidRPr="00054C00">
        <w:rPr>
          <w:lang w:val="en-AU"/>
        </w:rPr>
        <w:t xml:space="preserve"> </w:t>
      </w:r>
      <w:r w:rsidR="00DA2F61">
        <w:rPr>
          <w:lang w:val="en-AU"/>
        </w:rPr>
        <w:t xml:space="preserve">the </w:t>
      </w:r>
      <w:r w:rsidRPr="00054C00">
        <w:rPr>
          <w:lang w:val="en-AU"/>
        </w:rPr>
        <w:t xml:space="preserve">2015-16 </w:t>
      </w:r>
      <w:r w:rsidR="00DA2F61">
        <w:rPr>
          <w:lang w:val="en-AU"/>
        </w:rPr>
        <w:t xml:space="preserve">regulatory year </w:t>
      </w:r>
      <w:r w:rsidRPr="00054C00">
        <w:rPr>
          <w:lang w:val="en-AU"/>
        </w:rPr>
        <w:t xml:space="preserve">and by CPI plus 3 per cent in </w:t>
      </w:r>
      <w:r w:rsidR="00DA2F61">
        <w:rPr>
          <w:lang w:val="en-AU"/>
        </w:rPr>
        <w:t xml:space="preserve">the </w:t>
      </w:r>
      <w:r w:rsidRPr="00054C00">
        <w:rPr>
          <w:lang w:val="en-AU"/>
        </w:rPr>
        <w:t>2016-17</w:t>
      </w:r>
      <w:r w:rsidR="00DA2F61">
        <w:rPr>
          <w:lang w:val="en-AU"/>
        </w:rPr>
        <w:t xml:space="preserve"> regulatory year</w:t>
      </w:r>
      <w:r w:rsidRPr="00054C00">
        <w:rPr>
          <w:lang w:val="en-AU"/>
        </w:rPr>
        <w:t xml:space="preserve">. For </w:t>
      </w:r>
      <w:r w:rsidR="00DA2F61">
        <w:rPr>
          <w:lang w:val="en-AU"/>
        </w:rPr>
        <w:t xml:space="preserve">the </w:t>
      </w:r>
      <w:r w:rsidRPr="00054C00">
        <w:rPr>
          <w:lang w:val="en-AU"/>
        </w:rPr>
        <w:t>2017-18 and 2018</w:t>
      </w:r>
      <w:r w:rsidR="008E5939">
        <w:rPr>
          <w:lang w:val="en-AU"/>
        </w:rPr>
        <w:noBreakHyphen/>
      </w:r>
      <w:r w:rsidRPr="00054C00">
        <w:rPr>
          <w:lang w:val="en-AU"/>
        </w:rPr>
        <w:t>19</w:t>
      </w:r>
      <w:r w:rsidR="00DA2F61">
        <w:rPr>
          <w:lang w:val="en-AU"/>
        </w:rPr>
        <w:t xml:space="preserve"> regulatory years</w:t>
      </w:r>
      <w:r w:rsidRPr="00054C00">
        <w:rPr>
          <w:lang w:val="en-AU"/>
        </w:rPr>
        <w:t>, PWC Networks</w:t>
      </w:r>
      <w:r w:rsidR="00DA2F61">
        <w:rPr>
          <w:lang w:val="en-AU"/>
        </w:rPr>
        <w:t>’</w:t>
      </w:r>
      <w:r w:rsidRPr="00054C00">
        <w:rPr>
          <w:lang w:val="en-AU"/>
        </w:rPr>
        <w:t xml:space="preserve"> </w:t>
      </w:r>
      <w:r w:rsidR="00DA2F61">
        <w:rPr>
          <w:lang w:val="en-AU"/>
        </w:rPr>
        <w:t>annual revenue requir</w:t>
      </w:r>
      <w:r w:rsidR="00B1237C">
        <w:rPr>
          <w:lang w:val="en-AU"/>
        </w:rPr>
        <w:t>e</w:t>
      </w:r>
      <w:r w:rsidR="00DA2F61">
        <w:rPr>
          <w:lang w:val="en-AU"/>
        </w:rPr>
        <w:t>ment</w:t>
      </w:r>
      <w:r w:rsidR="00DA2F61" w:rsidRPr="00054C00">
        <w:rPr>
          <w:lang w:val="en-AU"/>
        </w:rPr>
        <w:t xml:space="preserve"> </w:t>
      </w:r>
      <w:r w:rsidRPr="00054C00">
        <w:rPr>
          <w:lang w:val="en-AU"/>
        </w:rPr>
        <w:t xml:space="preserve">will decrease in real terms, with nominal revenues to be adjusted by CPI minus 2 per cent each </w:t>
      </w:r>
      <w:r w:rsidR="00DA2F61">
        <w:rPr>
          <w:lang w:val="en-AU"/>
        </w:rPr>
        <w:t xml:space="preserve">regulatory </w:t>
      </w:r>
      <w:r w:rsidRPr="00054C00">
        <w:rPr>
          <w:lang w:val="en-AU"/>
        </w:rPr>
        <w:t>year.</w:t>
      </w:r>
    </w:p>
    <w:p w14:paraId="1F13BA5C" w14:textId="2D0DEDB0" w:rsidR="00B12B0C" w:rsidRPr="008E5939" w:rsidRDefault="007D7334" w:rsidP="000B465A">
      <w:pPr>
        <w:pStyle w:val="NumberLevel2"/>
        <w:numPr>
          <w:ilvl w:val="1"/>
          <w:numId w:val="5"/>
        </w:numPr>
        <w:tabs>
          <w:tab w:val="clear" w:pos="3270"/>
          <w:tab w:val="num" w:pos="709"/>
        </w:tabs>
        <w:ind w:left="709" w:hanging="709"/>
        <w:rPr>
          <w:lang w:val="en-AU"/>
        </w:rPr>
      </w:pPr>
      <w:r w:rsidRPr="008E5939">
        <w:rPr>
          <w:lang w:val="en-AU"/>
        </w:rPr>
        <w:t>Under the NER, a</w:t>
      </w:r>
      <w:r w:rsidR="00B12B0C" w:rsidRPr="008E5939">
        <w:rPr>
          <w:lang w:val="en-AU"/>
        </w:rPr>
        <w:t xml:space="preserve"> decision is also required on </w:t>
      </w:r>
      <w:r w:rsidR="002C1CF3">
        <w:rPr>
          <w:lang w:val="en-AU"/>
        </w:rPr>
        <w:t xml:space="preserve">the </w:t>
      </w:r>
      <w:r w:rsidR="00B12B0C" w:rsidRPr="008E5939">
        <w:rPr>
          <w:lang w:val="en-AU"/>
        </w:rPr>
        <w:t xml:space="preserve">appropriate method for escalating the </w:t>
      </w:r>
      <w:r w:rsidR="008E5939">
        <w:rPr>
          <w:lang w:val="en-AU"/>
        </w:rPr>
        <w:t>RAB</w:t>
      </w:r>
      <w:r w:rsidRPr="008E5939">
        <w:rPr>
          <w:lang w:val="en-AU"/>
        </w:rPr>
        <w:t>.</w:t>
      </w:r>
      <w:r w:rsidR="00B12B0C" w:rsidRPr="008E5939">
        <w:rPr>
          <w:lang w:val="en-AU"/>
        </w:rPr>
        <w:t xml:space="preserve"> </w:t>
      </w:r>
      <w:r w:rsidRPr="008E5939">
        <w:rPr>
          <w:lang w:val="en-AU"/>
        </w:rPr>
        <w:t xml:space="preserve">Consistent with the approach adopted by the AER, the Commission considers that the appropriate methodology for the indexation of PWC Networks’ </w:t>
      </w:r>
      <w:r w:rsidR="008E5939">
        <w:rPr>
          <w:lang w:val="en-AU"/>
        </w:rPr>
        <w:t>RAB</w:t>
      </w:r>
      <w:r w:rsidRPr="008E5939">
        <w:rPr>
          <w:lang w:val="en-AU"/>
        </w:rPr>
        <w:t xml:space="preserve"> should be the same as that used to escalate the form of control mechanism for the relevant regulatory year.</w:t>
      </w:r>
    </w:p>
    <w:p w14:paraId="523FE8C6" w14:textId="6A2923FF" w:rsidR="007D7334" w:rsidRPr="008E5939" w:rsidRDefault="007D7334" w:rsidP="007D7334">
      <w:pPr>
        <w:pStyle w:val="NumberLevel2"/>
        <w:numPr>
          <w:ilvl w:val="1"/>
          <w:numId w:val="5"/>
        </w:numPr>
        <w:tabs>
          <w:tab w:val="clear" w:pos="3270"/>
          <w:tab w:val="num" w:pos="709"/>
        </w:tabs>
        <w:ind w:left="709" w:hanging="709"/>
        <w:rPr>
          <w:sz w:val="23"/>
          <w:szCs w:val="23"/>
        </w:rPr>
      </w:pPr>
      <w:r w:rsidRPr="008E5939">
        <w:rPr>
          <w:sz w:val="23"/>
          <w:szCs w:val="23"/>
        </w:rPr>
        <w:t>For the 2009-14 regulatory control period, the CPI in the CPI</w:t>
      </w:r>
      <w:r w:rsidR="002C1CF3">
        <w:rPr>
          <w:sz w:val="23"/>
          <w:szCs w:val="23"/>
        </w:rPr>
        <w:t xml:space="preserve"> minus </w:t>
      </w:r>
      <w:r w:rsidRPr="008E5939">
        <w:rPr>
          <w:sz w:val="23"/>
          <w:szCs w:val="23"/>
        </w:rPr>
        <w:t xml:space="preserve">X </w:t>
      </w:r>
      <w:r w:rsidR="00DF6649" w:rsidRPr="008E5939">
        <w:rPr>
          <w:sz w:val="23"/>
          <w:szCs w:val="23"/>
        </w:rPr>
        <w:t>was calculated as follows:</w:t>
      </w:r>
    </w:p>
    <w:p w14:paraId="6C905237" w14:textId="7954DE91" w:rsidR="00DF6649" w:rsidRPr="008E5939" w:rsidRDefault="00DF6649" w:rsidP="00DF6649">
      <w:pPr>
        <w:pStyle w:val="nonumber"/>
        <w:ind w:left="709"/>
        <w:rPr>
          <w:rFonts w:ascii="Arial" w:hAnsi="Arial" w:cs="Arial"/>
          <w:sz w:val="23"/>
          <w:szCs w:val="23"/>
          <w:lang w:val="en-US"/>
        </w:rPr>
      </w:pPr>
      <w:r w:rsidRPr="008E5939">
        <w:rPr>
          <w:rFonts w:ascii="Arial" w:hAnsi="Arial" w:cs="Arial"/>
          <w:sz w:val="23"/>
          <w:szCs w:val="23"/>
          <w:lang w:val="fr-FR"/>
        </w:rPr>
        <w:t>CPI =  (</w:t>
      </w:r>
      <w:r w:rsidRPr="008E5939">
        <w:rPr>
          <w:rFonts w:ascii="Arial" w:hAnsi="Arial" w:cs="Arial"/>
          <w:position w:val="12"/>
          <w:sz w:val="23"/>
          <w:szCs w:val="23"/>
          <w:lang w:val="fr-FR"/>
        </w:rPr>
        <w:t>CPI</w:t>
      </w:r>
      <w:r w:rsidRPr="008E5939">
        <w:rPr>
          <w:rFonts w:ascii="Arial" w:hAnsi="Arial" w:cs="Arial"/>
          <w:position w:val="12"/>
          <w:sz w:val="23"/>
          <w:szCs w:val="23"/>
          <w:vertAlign w:val="subscript"/>
          <w:lang w:val="fr-FR"/>
        </w:rPr>
        <w:t>t-1</w:t>
      </w:r>
      <w:r w:rsidRPr="008E5939">
        <w:rPr>
          <w:rFonts w:ascii="Arial" w:hAnsi="Arial" w:cs="Arial"/>
          <w:sz w:val="23"/>
          <w:szCs w:val="23"/>
          <w:lang w:val="fr-FR"/>
        </w:rPr>
        <w:t>/</w:t>
      </w:r>
      <w:r w:rsidRPr="008E5939">
        <w:rPr>
          <w:rFonts w:ascii="Arial" w:hAnsi="Arial" w:cs="Arial"/>
          <w:position w:val="-12"/>
          <w:sz w:val="23"/>
          <w:szCs w:val="23"/>
          <w:lang w:val="fr-FR"/>
        </w:rPr>
        <w:t>CPI</w:t>
      </w:r>
      <w:r w:rsidRPr="008E5939">
        <w:rPr>
          <w:rFonts w:ascii="Arial" w:hAnsi="Arial" w:cs="Arial"/>
          <w:position w:val="-12"/>
          <w:sz w:val="23"/>
          <w:szCs w:val="23"/>
          <w:vertAlign w:val="subscript"/>
          <w:lang w:val="fr-FR"/>
        </w:rPr>
        <w:t>t-2</w:t>
      </w:r>
      <w:r w:rsidRPr="008E5939">
        <w:rPr>
          <w:rFonts w:ascii="Arial" w:hAnsi="Arial" w:cs="Arial"/>
          <w:sz w:val="23"/>
          <w:szCs w:val="23"/>
          <w:lang w:val="fr-FR"/>
        </w:rPr>
        <w:t xml:space="preserve">) </w:t>
      </w:r>
    </w:p>
    <w:p w14:paraId="77AEFAFE" w14:textId="77777777" w:rsidR="00DF6649" w:rsidRPr="008E5939" w:rsidRDefault="00DF6649" w:rsidP="00DF6649">
      <w:pPr>
        <w:pStyle w:val="nonumber"/>
        <w:ind w:left="709"/>
        <w:rPr>
          <w:rFonts w:ascii="Arial" w:hAnsi="Arial" w:cs="Arial"/>
          <w:sz w:val="23"/>
          <w:szCs w:val="23"/>
        </w:rPr>
      </w:pPr>
      <w:r w:rsidRPr="008E5939">
        <w:rPr>
          <w:rFonts w:ascii="Arial" w:hAnsi="Arial" w:cs="Arial"/>
          <w:sz w:val="23"/>
          <w:szCs w:val="23"/>
        </w:rPr>
        <w:t>where:</w:t>
      </w:r>
    </w:p>
    <w:p w14:paraId="3CF7BFF7" w14:textId="56348A3C" w:rsidR="00DF6649" w:rsidRPr="008E5939" w:rsidRDefault="00DF6649" w:rsidP="00DF6649">
      <w:pPr>
        <w:pStyle w:val="nonumber"/>
        <w:tabs>
          <w:tab w:val="left" w:pos="1701"/>
        </w:tabs>
        <w:ind w:left="720"/>
        <w:rPr>
          <w:rFonts w:ascii="Arial" w:hAnsi="Arial" w:cs="Arial"/>
          <w:sz w:val="23"/>
          <w:szCs w:val="23"/>
        </w:rPr>
      </w:pPr>
      <w:r w:rsidRPr="008E5939">
        <w:rPr>
          <w:rFonts w:ascii="Arial" w:hAnsi="Arial" w:cs="Arial"/>
          <w:sz w:val="23"/>
          <w:szCs w:val="23"/>
        </w:rPr>
        <w:t>CPI</w:t>
      </w:r>
      <w:r w:rsidRPr="008E5939">
        <w:rPr>
          <w:rFonts w:ascii="Arial" w:hAnsi="Arial" w:cs="Arial"/>
          <w:sz w:val="23"/>
          <w:szCs w:val="23"/>
          <w:vertAlign w:val="subscript"/>
        </w:rPr>
        <w:t>t-1</w:t>
      </w:r>
      <w:r w:rsidRPr="008E5939">
        <w:rPr>
          <w:rFonts w:ascii="Arial" w:hAnsi="Arial" w:cs="Arial"/>
          <w:sz w:val="23"/>
          <w:szCs w:val="23"/>
        </w:rPr>
        <w:t xml:space="preserve"> is the average of the four quarterly CPI published by the ABS for the most recent 12 months; and</w:t>
      </w:r>
    </w:p>
    <w:p w14:paraId="2D5612E8" w14:textId="1EF595D4" w:rsidR="00DF6649" w:rsidRPr="008E5939" w:rsidRDefault="00DF6649" w:rsidP="00DF6649">
      <w:pPr>
        <w:pStyle w:val="nonumber"/>
        <w:tabs>
          <w:tab w:val="left" w:pos="1701"/>
        </w:tabs>
        <w:ind w:left="720"/>
        <w:rPr>
          <w:rFonts w:ascii="Arial" w:hAnsi="Arial" w:cs="Arial"/>
          <w:sz w:val="23"/>
          <w:szCs w:val="23"/>
        </w:rPr>
      </w:pPr>
      <w:r w:rsidRPr="008E5939">
        <w:rPr>
          <w:rFonts w:ascii="Arial" w:hAnsi="Arial" w:cs="Arial"/>
          <w:sz w:val="23"/>
          <w:szCs w:val="23"/>
        </w:rPr>
        <w:t>CPI</w:t>
      </w:r>
      <w:r w:rsidRPr="008E5939">
        <w:rPr>
          <w:rFonts w:ascii="Arial" w:hAnsi="Arial" w:cs="Arial"/>
          <w:sz w:val="23"/>
          <w:szCs w:val="23"/>
          <w:vertAlign w:val="subscript"/>
        </w:rPr>
        <w:t>t-2</w:t>
      </w:r>
      <w:r w:rsidRPr="008E5939">
        <w:rPr>
          <w:rFonts w:ascii="Arial" w:hAnsi="Arial" w:cs="Arial"/>
          <w:sz w:val="23"/>
          <w:szCs w:val="23"/>
        </w:rPr>
        <w:t xml:space="preserve"> is the average of the four quarterly CPI published by the ABS for the immediately preceding 12 months.</w:t>
      </w:r>
    </w:p>
    <w:p w14:paraId="5B09BAAD" w14:textId="189CF1BA" w:rsidR="00DF6649" w:rsidRPr="008E5939" w:rsidRDefault="00DF6649" w:rsidP="00DF6649">
      <w:pPr>
        <w:pStyle w:val="NumberLevel2"/>
        <w:numPr>
          <w:ilvl w:val="1"/>
          <w:numId w:val="5"/>
        </w:numPr>
        <w:tabs>
          <w:tab w:val="clear" w:pos="3270"/>
          <w:tab w:val="num" w:pos="709"/>
        </w:tabs>
        <w:ind w:left="709" w:hanging="709"/>
        <w:rPr>
          <w:sz w:val="23"/>
          <w:szCs w:val="23"/>
        </w:rPr>
      </w:pPr>
      <w:r w:rsidRPr="008E5939">
        <w:rPr>
          <w:sz w:val="23"/>
          <w:szCs w:val="23"/>
        </w:rPr>
        <w:t>The single year roll</w:t>
      </w:r>
      <w:r w:rsidR="004C6187">
        <w:rPr>
          <w:sz w:val="23"/>
          <w:szCs w:val="23"/>
        </w:rPr>
        <w:t xml:space="preserve"> </w:t>
      </w:r>
      <w:r w:rsidRPr="008E5939">
        <w:rPr>
          <w:sz w:val="23"/>
          <w:szCs w:val="23"/>
        </w:rPr>
        <w:t>forward undertaken to determine the opening RAB for 1 July 2014 has calculated the CPI used to index the RAB on this basis.</w:t>
      </w:r>
    </w:p>
    <w:p w14:paraId="071FF7C6" w14:textId="5B6083EF" w:rsidR="00DF6649" w:rsidRPr="008E5939" w:rsidRDefault="00DF6649" w:rsidP="00DF6649">
      <w:pPr>
        <w:pStyle w:val="NumberLevel2"/>
        <w:numPr>
          <w:ilvl w:val="1"/>
          <w:numId w:val="5"/>
        </w:numPr>
        <w:tabs>
          <w:tab w:val="clear" w:pos="3270"/>
          <w:tab w:val="num" w:pos="709"/>
        </w:tabs>
        <w:ind w:left="709" w:hanging="709"/>
        <w:rPr>
          <w:rFonts w:cs="Arial"/>
          <w:sz w:val="23"/>
          <w:szCs w:val="23"/>
        </w:rPr>
      </w:pPr>
      <w:r w:rsidRPr="008E5939">
        <w:rPr>
          <w:sz w:val="23"/>
          <w:szCs w:val="23"/>
        </w:rPr>
        <w:t xml:space="preserve">For the 2014-19 regulatory control period, the Commission will </w:t>
      </w:r>
      <w:r w:rsidR="002D510D" w:rsidRPr="008E5939">
        <w:rPr>
          <w:sz w:val="23"/>
          <w:szCs w:val="23"/>
        </w:rPr>
        <w:t>adopt the approach used by the AER and calculate the CPI in CPI</w:t>
      </w:r>
      <w:r w:rsidR="00521756">
        <w:rPr>
          <w:sz w:val="23"/>
          <w:szCs w:val="23"/>
        </w:rPr>
        <w:t xml:space="preserve"> minus </w:t>
      </w:r>
      <w:r w:rsidR="002D510D" w:rsidRPr="008E5939">
        <w:rPr>
          <w:sz w:val="23"/>
          <w:szCs w:val="23"/>
        </w:rPr>
        <w:t xml:space="preserve">X as the annual change in the </w:t>
      </w:r>
      <w:r w:rsidR="002D510D" w:rsidRPr="008E5939">
        <w:rPr>
          <w:rFonts w:cs="Arial"/>
          <w:sz w:val="23"/>
          <w:szCs w:val="23"/>
        </w:rPr>
        <w:t xml:space="preserve">CPI for the March quarter immediately preceding the start of the </w:t>
      </w:r>
      <w:r w:rsidR="00B1237C">
        <w:rPr>
          <w:rFonts w:cs="Arial"/>
          <w:sz w:val="23"/>
          <w:szCs w:val="23"/>
        </w:rPr>
        <w:t xml:space="preserve">regulatory </w:t>
      </w:r>
      <w:r w:rsidR="002D510D" w:rsidRPr="008E5939">
        <w:rPr>
          <w:rFonts w:cs="Arial"/>
          <w:sz w:val="23"/>
          <w:szCs w:val="23"/>
        </w:rPr>
        <w:t>year.</w:t>
      </w:r>
    </w:p>
    <w:p w14:paraId="6292AB01" w14:textId="57F22E22" w:rsidR="002D510D" w:rsidRPr="008E5939" w:rsidRDefault="002D510D" w:rsidP="002D510D">
      <w:pPr>
        <w:pStyle w:val="NumberLevel2"/>
        <w:numPr>
          <w:ilvl w:val="1"/>
          <w:numId w:val="5"/>
        </w:numPr>
        <w:tabs>
          <w:tab w:val="clear" w:pos="3270"/>
          <w:tab w:val="num" w:pos="709"/>
        </w:tabs>
        <w:ind w:left="709" w:hanging="709"/>
        <w:rPr>
          <w:sz w:val="23"/>
          <w:szCs w:val="23"/>
        </w:rPr>
      </w:pPr>
      <w:r w:rsidRPr="008E5939">
        <w:rPr>
          <w:sz w:val="23"/>
          <w:szCs w:val="23"/>
        </w:rPr>
        <w:t>The roll</w:t>
      </w:r>
      <w:r w:rsidR="004C6187">
        <w:rPr>
          <w:sz w:val="23"/>
          <w:szCs w:val="23"/>
        </w:rPr>
        <w:t xml:space="preserve"> </w:t>
      </w:r>
      <w:r w:rsidRPr="008E5939">
        <w:rPr>
          <w:sz w:val="23"/>
          <w:szCs w:val="23"/>
        </w:rPr>
        <w:t>forward of the RAB in the NTRM, on which the return of and return on capital are based, has been calculated on this basis.</w:t>
      </w:r>
    </w:p>
    <w:p w14:paraId="52E12DFE" w14:textId="0E8696DA" w:rsidR="007A729A" w:rsidRPr="00BB4EB2" w:rsidRDefault="007A729A" w:rsidP="007A729A">
      <w:pPr>
        <w:pStyle w:val="UtilComHeading2"/>
      </w:pPr>
      <w:bookmarkStart w:id="309" w:name="_Toc385241577"/>
      <w:bookmarkStart w:id="310" w:name="_Toc386013130"/>
      <w:r w:rsidRPr="00BB4EB2">
        <w:t xml:space="preserve">Commission’s </w:t>
      </w:r>
      <w:r w:rsidR="00C05748">
        <w:t>F</w:t>
      </w:r>
      <w:r w:rsidR="00C05748" w:rsidRPr="00BB4EB2">
        <w:t xml:space="preserve">inal </w:t>
      </w:r>
      <w:bookmarkEnd w:id="309"/>
      <w:r w:rsidR="00C05748">
        <w:t>D</w:t>
      </w:r>
      <w:r w:rsidR="00C05748" w:rsidRPr="00BB4EB2">
        <w:t>ecision</w:t>
      </w:r>
      <w:bookmarkEnd w:id="310"/>
    </w:p>
    <w:p w14:paraId="23AE498F" w14:textId="7BC439F0" w:rsidR="007A729A" w:rsidRDefault="00DB702F" w:rsidP="007A729A">
      <w:pPr>
        <w:pStyle w:val="NumberLevel2"/>
        <w:numPr>
          <w:ilvl w:val="1"/>
          <w:numId w:val="5"/>
        </w:numPr>
        <w:tabs>
          <w:tab w:val="clear" w:pos="3270"/>
          <w:tab w:val="num" w:pos="709"/>
        </w:tabs>
        <w:ind w:left="709" w:hanging="709"/>
        <w:rPr>
          <w:lang w:val="en-AU"/>
        </w:rPr>
      </w:pPr>
      <w:r>
        <w:rPr>
          <w:sz w:val="23"/>
          <w:szCs w:val="23"/>
        </w:rPr>
        <w:t xml:space="preserve">The Commission has calculated PWC Networks’ </w:t>
      </w:r>
      <w:r w:rsidR="00EC556C">
        <w:rPr>
          <w:sz w:val="23"/>
          <w:szCs w:val="23"/>
        </w:rPr>
        <w:t xml:space="preserve">annual </w:t>
      </w:r>
      <w:r>
        <w:rPr>
          <w:sz w:val="23"/>
          <w:szCs w:val="23"/>
        </w:rPr>
        <w:t>revenue requirement and X factors based on its decisions regarding the building block components.</w:t>
      </w:r>
    </w:p>
    <w:p w14:paraId="7048B615" w14:textId="638F94B5" w:rsidR="00DB702F" w:rsidRPr="000B0B58" w:rsidRDefault="00DB702F" w:rsidP="00DB702F">
      <w:pPr>
        <w:pStyle w:val="NumberLevel2"/>
        <w:numPr>
          <w:ilvl w:val="1"/>
          <w:numId w:val="5"/>
        </w:numPr>
        <w:ind w:left="709" w:hanging="709"/>
        <w:rPr>
          <w:lang w:val="en-AU"/>
        </w:rPr>
      </w:pPr>
      <w:r w:rsidRPr="000B0B58">
        <w:rPr>
          <w:lang w:val="en-AU"/>
        </w:rPr>
        <w:t xml:space="preserve">The </w:t>
      </w:r>
      <w:r>
        <w:rPr>
          <w:lang w:val="en-AU"/>
        </w:rPr>
        <w:t>Commission</w:t>
      </w:r>
      <w:r w:rsidRPr="000B0B58">
        <w:rPr>
          <w:lang w:val="en-AU"/>
        </w:rPr>
        <w:t xml:space="preserve">’s decision </w:t>
      </w:r>
      <w:r w:rsidR="00EC556C">
        <w:rPr>
          <w:lang w:val="en-AU"/>
        </w:rPr>
        <w:t>results</w:t>
      </w:r>
      <w:r w:rsidR="00EC556C" w:rsidRPr="000B0B58">
        <w:rPr>
          <w:lang w:val="en-AU"/>
        </w:rPr>
        <w:t xml:space="preserve"> </w:t>
      </w:r>
      <w:r w:rsidRPr="000B0B58">
        <w:rPr>
          <w:lang w:val="en-AU"/>
        </w:rPr>
        <w:t xml:space="preserve">in a total revenue requirement </w:t>
      </w:r>
      <w:r>
        <w:rPr>
          <w:lang w:val="en-AU"/>
        </w:rPr>
        <w:t xml:space="preserve">(exclusive of cost pass through carryovers) </w:t>
      </w:r>
      <w:r w:rsidRPr="000B0B58">
        <w:rPr>
          <w:lang w:val="en-AU"/>
        </w:rPr>
        <w:t xml:space="preserve">over the </w:t>
      </w:r>
      <w:r>
        <w:rPr>
          <w:lang w:val="en-AU"/>
        </w:rPr>
        <w:t>2014-19</w:t>
      </w:r>
      <w:r w:rsidRPr="000B0B58">
        <w:rPr>
          <w:lang w:val="en-AU"/>
        </w:rPr>
        <w:t xml:space="preserve"> regulatory control period of </w:t>
      </w:r>
      <w:r w:rsidR="00C46AC2">
        <w:rPr>
          <w:lang w:val="en-AU"/>
        </w:rPr>
        <w:t>$992.2</w:t>
      </w:r>
      <w:r>
        <w:rPr>
          <w:lang w:val="en-AU"/>
        </w:rPr>
        <w:t> </w:t>
      </w:r>
      <w:r w:rsidRPr="000B0B58">
        <w:rPr>
          <w:lang w:val="en-AU"/>
        </w:rPr>
        <w:t>million, compared to $</w:t>
      </w:r>
      <w:r>
        <w:rPr>
          <w:lang w:val="en-AU"/>
        </w:rPr>
        <w:t>1 173.4 </w:t>
      </w:r>
      <w:r w:rsidRPr="000B0B58">
        <w:rPr>
          <w:lang w:val="en-AU"/>
        </w:rPr>
        <w:t xml:space="preserve">million proposed by </w:t>
      </w:r>
      <w:r>
        <w:rPr>
          <w:lang w:val="en-AU"/>
        </w:rPr>
        <w:t xml:space="preserve">PWC Networks in its revised regulatory proposal. Inclusion of the cost pass through carryover increases these figures to </w:t>
      </w:r>
      <w:r w:rsidR="00C46AC2">
        <w:rPr>
          <w:lang w:val="en-AU"/>
        </w:rPr>
        <w:t>$1 034.2</w:t>
      </w:r>
      <w:r>
        <w:rPr>
          <w:lang w:val="en-AU"/>
        </w:rPr>
        <w:t> million and $1 215.6 million respectively</w:t>
      </w:r>
      <w:r w:rsidRPr="000B0B58">
        <w:rPr>
          <w:lang w:val="en-AU"/>
        </w:rPr>
        <w:t xml:space="preserve">. The main reasons for </w:t>
      </w:r>
      <w:r w:rsidR="00B62822">
        <w:rPr>
          <w:lang w:val="en-AU"/>
        </w:rPr>
        <w:t>these differences</w:t>
      </w:r>
      <w:r w:rsidRPr="000B0B58">
        <w:rPr>
          <w:lang w:val="en-AU"/>
        </w:rPr>
        <w:t xml:space="preserve"> reflect the net effect of:</w:t>
      </w:r>
    </w:p>
    <w:p w14:paraId="307E3A3E" w14:textId="233F5195" w:rsidR="00DB702F" w:rsidRPr="00EC556C" w:rsidRDefault="00DB702F" w:rsidP="007D7334">
      <w:pPr>
        <w:pStyle w:val="UtilComBulletText"/>
        <w:numPr>
          <w:ilvl w:val="0"/>
          <w:numId w:val="6"/>
        </w:numPr>
        <w:tabs>
          <w:tab w:val="clear" w:pos="964"/>
          <w:tab w:val="num" w:pos="1134"/>
        </w:tabs>
        <w:ind w:left="1134"/>
      </w:pPr>
      <w:r w:rsidRPr="00EC556C">
        <w:t xml:space="preserve">removal of </w:t>
      </w:r>
      <w:r w:rsidR="00EC556C">
        <w:t>$18.4</w:t>
      </w:r>
      <w:r w:rsidR="00036DA7" w:rsidRPr="00EC556C">
        <w:t> </w:t>
      </w:r>
      <w:r w:rsidRPr="00EC556C">
        <w:t>million from PWC Networks’ forecast capex</w:t>
      </w:r>
      <w:r w:rsidR="00EC556C">
        <w:t xml:space="preserve"> </w:t>
      </w:r>
      <w:r w:rsidR="00EC556C" w:rsidRPr="00B62594">
        <w:t xml:space="preserve">with two projects totaling </w:t>
      </w:r>
      <w:r w:rsidR="00EC556C">
        <w:t>$3</w:t>
      </w:r>
      <w:r w:rsidR="008762AA">
        <w:t>1</w:t>
      </w:r>
      <w:r w:rsidR="00307617">
        <w:t>.0</w:t>
      </w:r>
      <w:r w:rsidR="00EC556C" w:rsidRPr="00B62594">
        <w:t xml:space="preserve"> million approved as contingent projects (that is, the Mitchell Street switching station </w:t>
      </w:r>
      <w:r w:rsidR="00B1237C">
        <w:t xml:space="preserve">project which is forecast to cost </w:t>
      </w:r>
      <w:r w:rsidR="00EC556C" w:rsidRPr="00B62594">
        <w:t>$15.</w:t>
      </w:r>
      <w:r w:rsidR="00C05748" w:rsidRPr="00B62594">
        <w:t>2 </w:t>
      </w:r>
      <w:r w:rsidR="00EC556C" w:rsidRPr="00B62594">
        <w:t xml:space="preserve">million </w:t>
      </w:r>
      <w:r w:rsidR="0050701C">
        <w:t>and</w:t>
      </w:r>
      <w:r w:rsidR="0050701C" w:rsidRPr="00B62594">
        <w:t xml:space="preserve"> </w:t>
      </w:r>
      <w:r w:rsidR="00EC556C" w:rsidRPr="00B62594">
        <w:t xml:space="preserve">East Arm substation </w:t>
      </w:r>
      <w:r w:rsidR="00EC556C" w:rsidRPr="00AE72B5">
        <w:t>project</w:t>
      </w:r>
      <w:r w:rsidR="00B1237C">
        <w:t xml:space="preserve"> which is forecast to cost </w:t>
      </w:r>
      <w:r w:rsidR="00C46AC2">
        <w:t>$15.8</w:t>
      </w:r>
      <w:r w:rsidR="00EC556C" w:rsidRPr="00B62594">
        <w:t> million)</w:t>
      </w:r>
      <w:r w:rsidRPr="00EC556C">
        <w:t>;</w:t>
      </w:r>
    </w:p>
    <w:p w14:paraId="758D24AD" w14:textId="7D6B8305" w:rsidR="00DB702F" w:rsidRPr="000B0B58" w:rsidRDefault="00DB702F" w:rsidP="007D7334">
      <w:pPr>
        <w:pStyle w:val="UtilComBulletText"/>
        <w:numPr>
          <w:ilvl w:val="0"/>
          <w:numId w:val="6"/>
        </w:numPr>
        <w:tabs>
          <w:tab w:val="clear" w:pos="964"/>
          <w:tab w:val="num" w:pos="1134"/>
        </w:tabs>
        <w:ind w:left="1134"/>
      </w:pPr>
      <w:r w:rsidRPr="00EC556C">
        <w:t xml:space="preserve">removal of </w:t>
      </w:r>
      <w:r w:rsidR="00C46AC2">
        <w:t>$97.0</w:t>
      </w:r>
      <w:r w:rsidR="00036DA7" w:rsidRPr="00EC556C">
        <w:t> </w:t>
      </w:r>
      <w:r w:rsidRPr="00EC556C">
        <w:t xml:space="preserve">million from PWC Networks forecast opex, which includes a global efficiency adjustment of </w:t>
      </w:r>
      <w:r w:rsidR="00C46AC2">
        <w:t>$78.2</w:t>
      </w:r>
      <w:r w:rsidR="00036DA7" w:rsidRPr="00EC556C">
        <w:t> </w:t>
      </w:r>
      <w:r w:rsidRPr="00EC556C">
        <w:t xml:space="preserve">million to bring PWC Networks to the average </w:t>
      </w:r>
      <w:r w:rsidR="00EC556C">
        <w:t xml:space="preserve">efficiency </w:t>
      </w:r>
      <w:r w:rsidRPr="00EC556C">
        <w:t>achieved by its peers</w:t>
      </w:r>
      <w:r w:rsidR="00036DA7" w:rsidRPr="00EC556C">
        <w:t xml:space="preserve"> by the end of the</w:t>
      </w:r>
      <w:r w:rsidR="00036DA7">
        <w:t xml:space="preserve"> </w:t>
      </w:r>
      <w:r w:rsidR="00EC556C">
        <w:t xml:space="preserve">2014-19 </w:t>
      </w:r>
      <w:r w:rsidR="00036DA7">
        <w:t>regulatory control period</w:t>
      </w:r>
      <w:r>
        <w:t xml:space="preserve">; </w:t>
      </w:r>
      <w:r w:rsidR="00521756">
        <w:t>and</w:t>
      </w:r>
    </w:p>
    <w:p w14:paraId="42C4FDFA" w14:textId="150F9440" w:rsidR="00DB702F" w:rsidRDefault="00DB702F" w:rsidP="007D7334">
      <w:pPr>
        <w:pStyle w:val="UtilComBulletText"/>
        <w:numPr>
          <w:ilvl w:val="0"/>
          <w:numId w:val="6"/>
        </w:numPr>
        <w:tabs>
          <w:tab w:val="clear" w:pos="964"/>
          <w:tab w:val="num" w:pos="1134"/>
        </w:tabs>
        <w:ind w:left="1134"/>
      </w:pPr>
      <w:r w:rsidRPr="000B0B58">
        <w:t xml:space="preserve">a </w:t>
      </w:r>
      <w:r>
        <w:t>low</w:t>
      </w:r>
      <w:r w:rsidRPr="000B0B58">
        <w:t>er WACC</w:t>
      </w:r>
      <w:r>
        <w:t xml:space="preserve"> of </w:t>
      </w:r>
      <w:r w:rsidR="00036DA7">
        <w:t>7.86</w:t>
      </w:r>
      <w:r>
        <w:t xml:space="preserve"> per cent</w:t>
      </w:r>
      <w:r w:rsidRPr="000B0B58">
        <w:t xml:space="preserve"> than </w:t>
      </w:r>
      <w:r>
        <w:t xml:space="preserve">the </w:t>
      </w:r>
      <w:r w:rsidRPr="000B0B58">
        <w:t xml:space="preserve">proposed </w:t>
      </w:r>
      <w:r w:rsidR="00036DA7">
        <w:t>9.05</w:t>
      </w:r>
      <w:r>
        <w:t xml:space="preserve"> per cent </w:t>
      </w:r>
      <w:r w:rsidRPr="000B0B58">
        <w:t xml:space="preserve">by </w:t>
      </w:r>
      <w:r>
        <w:t xml:space="preserve">PWC Networks, due to the adoption of </w:t>
      </w:r>
      <w:r w:rsidR="00036DA7">
        <w:rPr>
          <w:lang w:val="en-AU"/>
        </w:rPr>
        <w:t>a utilisation of franking credits (gamma) of 50 per cent and a corporate tax rate of 30 per cent,</w:t>
      </w:r>
      <w:r>
        <w:t xml:space="preserve"> and updating of parameters based on observed market data</w:t>
      </w:r>
      <w:r w:rsidR="00C46AC2">
        <w:t>.</w:t>
      </w:r>
    </w:p>
    <w:p w14:paraId="1A5046B3" w14:textId="7C48DC7C" w:rsidR="00DB702F" w:rsidRPr="00A139AD" w:rsidRDefault="00DB702F" w:rsidP="00DB702F">
      <w:pPr>
        <w:pStyle w:val="UtilComTableTitle"/>
        <w:keepNext/>
        <w:spacing w:before="120" w:after="0" w:line="240" w:lineRule="exact"/>
      </w:pPr>
      <w:r>
        <w:t xml:space="preserve">Table </w:t>
      </w:r>
      <w:r w:rsidR="002D510D">
        <w:t>14.12</w:t>
      </w:r>
      <w:r>
        <w:t>: Commission</w:t>
      </w:r>
      <w:r w:rsidR="00B1237C">
        <w:t>’s</w:t>
      </w:r>
      <w:r>
        <w:t xml:space="preserve"> </w:t>
      </w:r>
      <w:r w:rsidR="00BB5C52">
        <w:t xml:space="preserve">decision </w:t>
      </w:r>
      <w:r>
        <w:t>on roll forward of PWC Networks’ regulatory asset base</w:t>
      </w:r>
      <w:r w:rsidRPr="006A402B">
        <w:t xml:space="preserve"> ($</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3544"/>
        <w:gridCol w:w="1134"/>
        <w:gridCol w:w="1134"/>
        <w:gridCol w:w="1134"/>
        <w:gridCol w:w="1134"/>
        <w:gridCol w:w="1134"/>
      </w:tblGrid>
      <w:tr w:rsidR="00DB702F" w:rsidRPr="008A4655" w14:paraId="2E7797F7" w14:textId="77777777" w:rsidTr="00B12B0C">
        <w:trPr>
          <w:cantSplit/>
          <w:trHeight w:val="360"/>
        </w:trPr>
        <w:tc>
          <w:tcPr>
            <w:tcW w:w="3544" w:type="dxa"/>
            <w:tcBorders>
              <w:top w:val="single" w:sz="4" w:space="0" w:color="999999"/>
              <w:bottom w:val="single" w:sz="4" w:space="0" w:color="auto"/>
            </w:tcBorders>
          </w:tcPr>
          <w:p w14:paraId="14B50391" w14:textId="77777777" w:rsidR="00DB702F" w:rsidRPr="00EE5A08" w:rsidRDefault="00DB702F" w:rsidP="00B12B0C">
            <w:pPr>
              <w:pStyle w:val="UtilComTabletext"/>
              <w:rPr>
                <w:b/>
              </w:rPr>
            </w:pPr>
          </w:p>
        </w:tc>
        <w:tc>
          <w:tcPr>
            <w:tcW w:w="1134" w:type="dxa"/>
            <w:tcBorders>
              <w:top w:val="single" w:sz="4" w:space="0" w:color="999999"/>
              <w:bottom w:val="single" w:sz="4" w:space="0" w:color="auto"/>
            </w:tcBorders>
          </w:tcPr>
          <w:p w14:paraId="7F569089" w14:textId="77777777" w:rsidR="00DB702F" w:rsidRPr="00EE5A08" w:rsidRDefault="00DB702F" w:rsidP="00B12B0C">
            <w:pPr>
              <w:pStyle w:val="UtilComTabletext"/>
              <w:jc w:val="right"/>
              <w:rPr>
                <w:b/>
              </w:rPr>
            </w:pPr>
            <w:r>
              <w:rPr>
                <w:b/>
              </w:rPr>
              <w:t>2014-15</w:t>
            </w:r>
          </w:p>
        </w:tc>
        <w:tc>
          <w:tcPr>
            <w:tcW w:w="1134" w:type="dxa"/>
            <w:tcBorders>
              <w:top w:val="single" w:sz="4" w:space="0" w:color="999999"/>
              <w:bottom w:val="single" w:sz="4" w:space="0" w:color="auto"/>
            </w:tcBorders>
          </w:tcPr>
          <w:p w14:paraId="36F3E72F" w14:textId="77777777" w:rsidR="00DB702F" w:rsidRPr="00EE5A08" w:rsidRDefault="00DB702F" w:rsidP="00B12B0C">
            <w:pPr>
              <w:pStyle w:val="UtilComTabletext"/>
              <w:jc w:val="right"/>
              <w:rPr>
                <w:b/>
              </w:rPr>
            </w:pPr>
            <w:r>
              <w:rPr>
                <w:b/>
              </w:rPr>
              <w:t>2015-16</w:t>
            </w:r>
          </w:p>
        </w:tc>
        <w:tc>
          <w:tcPr>
            <w:tcW w:w="1134" w:type="dxa"/>
            <w:tcBorders>
              <w:top w:val="single" w:sz="4" w:space="0" w:color="999999"/>
              <w:bottom w:val="single" w:sz="4" w:space="0" w:color="auto"/>
            </w:tcBorders>
          </w:tcPr>
          <w:p w14:paraId="45F8C2E0" w14:textId="77777777" w:rsidR="00DB702F" w:rsidRDefault="00DB702F" w:rsidP="00B12B0C">
            <w:pPr>
              <w:pStyle w:val="UtilComTabletext"/>
              <w:jc w:val="right"/>
              <w:rPr>
                <w:b/>
              </w:rPr>
            </w:pPr>
            <w:r>
              <w:rPr>
                <w:b/>
              </w:rPr>
              <w:t>2016-17</w:t>
            </w:r>
          </w:p>
        </w:tc>
        <w:tc>
          <w:tcPr>
            <w:tcW w:w="1134" w:type="dxa"/>
            <w:tcBorders>
              <w:top w:val="single" w:sz="4" w:space="0" w:color="999999"/>
              <w:bottom w:val="single" w:sz="4" w:space="0" w:color="auto"/>
            </w:tcBorders>
          </w:tcPr>
          <w:p w14:paraId="7358EC2E" w14:textId="77777777" w:rsidR="00DB702F" w:rsidRDefault="00DB702F" w:rsidP="00B12B0C">
            <w:pPr>
              <w:pStyle w:val="UtilComTabletext"/>
              <w:jc w:val="right"/>
              <w:rPr>
                <w:b/>
              </w:rPr>
            </w:pPr>
            <w:r>
              <w:rPr>
                <w:b/>
              </w:rPr>
              <w:t>2017-18</w:t>
            </w:r>
          </w:p>
        </w:tc>
        <w:tc>
          <w:tcPr>
            <w:tcW w:w="1134" w:type="dxa"/>
            <w:tcBorders>
              <w:top w:val="single" w:sz="4" w:space="0" w:color="999999"/>
              <w:bottom w:val="single" w:sz="4" w:space="0" w:color="auto"/>
            </w:tcBorders>
          </w:tcPr>
          <w:p w14:paraId="356994A0" w14:textId="77777777" w:rsidR="00DB702F" w:rsidRPr="00EE5A08" w:rsidRDefault="00DB702F" w:rsidP="00B12B0C">
            <w:pPr>
              <w:pStyle w:val="UtilComTabletext"/>
              <w:jc w:val="right"/>
              <w:rPr>
                <w:b/>
              </w:rPr>
            </w:pPr>
            <w:r>
              <w:rPr>
                <w:b/>
              </w:rPr>
              <w:t>2018-19</w:t>
            </w:r>
          </w:p>
        </w:tc>
      </w:tr>
      <w:tr w:rsidR="00DB702F" w:rsidRPr="008A4655" w14:paraId="1F9755F8" w14:textId="77777777" w:rsidTr="00B12B0C">
        <w:trPr>
          <w:cantSplit/>
          <w:trHeight w:val="360"/>
        </w:trPr>
        <w:tc>
          <w:tcPr>
            <w:tcW w:w="3544" w:type="dxa"/>
            <w:tcBorders>
              <w:top w:val="single" w:sz="4" w:space="0" w:color="auto"/>
              <w:bottom w:val="single" w:sz="4" w:space="0" w:color="999999"/>
            </w:tcBorders>
          </w:tcPr>
          <w:p w14:paraId="3D0DB067" w14:textId="77777777" w:rsidR="00DB702F" w:rsidRDefault="00DB702F" w:rsidP="00B12B0C">
            <w:pPr>
              <w:pStyle w:val="UtilComTabletext"/>
            </w:pPr>
            <w:r>
              <w:t>Opening RAB</w:t>
            </w:r>
          </w:p>
        </w:tc>
        <w:tc>
          <w:tcPr>
            <w:tcW w:w="1134" w:type="dxa"/>
            <w:tcBorders>
              <w:top w:val="single" w:sz="4" w:space="0" w:color="auto"/>
              <w:bottom w:val="single" w:sz="4" w:space="0" w:color="999999"/>
            </w:tcBorders>
          </w:tcPr>
          <w:p w14:paraId="513538CF" w14:textId="77777777" w:rsidR="00DB702F" w:rsidRPr="00BB5C52" w:rsidRDefault="004B6EC0" w:rsidP="00B12B0C">
            <w:pPr>
              <w:pStyle w:val="UtilComTabletext"/>
              <w:tabs>
                <w:tab w:val="num" w:pos="522"/>
                <w:tab w:val="left" w:pos="993"/>
              </w:tabs>
              <w:ind w:left="522" w:hanging="450"/>
              <w:jc w:val="right"/>
            </w:pPr>
            <w:r w:rsidRPr="00BB5C52">
              <w:t>928.34</w:t>
            </w:r>
          </w:p>
        </w:tc>
        <w:tc>
          <w:tcPr>
            <w:tcW w:w="1134" w:type="dxa"/>
            <w:tcBorders>
              <w:top w:val="single" w:sz="4" w:space="0" w:color="auto"/>
              <w:bottom w:val="single" w:sz="4" w:space="0" w:color="999999"/>
            </w:tcBorders>
          </w:tcPr>
          <w:p w14:paraId="01D12B6E" w14:textId="73D986A1" w:rsidR="00DB702F" w:rsidRPr="00BB5C52" w:rsidRDefault="004B6EC0" w:rsidP="00BB5C52">
            <w:pPr>
              <w:pStyle w:val="UtilComTabletext"/>
              <w:tabs>
                <w:tab w:val="num" w:pos="522"/>
                <w:tab w:val="left" w:pos="993"/>
              </w:tabs>
              <w:ind w:left="522" w:hanging="450"/>
              <w:jc w:val="right"/>
            </w:pPr>
            <w:r w:rsidRPr="00BB5C52">
              <w:t>966.</w:t>
            </w:r>
            <w:r w:rsidR="00BB5C52">
              <w:t>49</w:t>
            </w:r>
          </w:p>
        </w:tc>
        <w:tc>
          <w:tcPr>
            <w:tcW w:w="1134" w:type="dxa"/>
            <w:tcBorders>
              <w:top w:val="single" w:sz="4" w:space="0" w:color="auto"/>
              <w:bottom w:val="single" w:sz="4" w:space="0" w:color="999999"/>
            </w:tcBorders>
          </w:tcPr>
          <w:p w14:paraId="507BC059" w14:textId="7B0ED522" w:rsidR="00DB702F" w:rsidRPr="00BB5C52" w:rsidRDefault="00BB5C52" w:rsidP="00B12B0C">
            <w:pPr>
              <w:pStyle w:val="UtilComTabletext"/>
              <w:tabs>
                <w:tab w:val="num" w:pos="522"/>
                <w:tab w:val="left" w:pos="993"/>
              </w:tabs>
              <w:ind w:left="522" w:hanging="450"/>
              <w:jc w:val="right"/>
            </w:pPr>
            <w:r>
              <w:t>977.94</w:t>
            </w:r>
          </w:p>
        </w:tc>
        <w:tc>
          <w:tcPr>
            <w:tcW w:w="1134" w:type="dxa"/>
            <w:tcBorders>
              <w:top w:val="single" w:sz="4" w:space="0" w:color="auto"/>
              <w:bottom w:val="single" w:sz="4" w:space="0" w:color="999999"/>
            </w:tcBorders>
          </w:tcPr>
          <w:p w14:paraId="368F08AD" w14:textId="031362EE" w:rsidR="00DB702F" w:rsidRPr="00BB5C52" w:rsidRDefault="004B6EC0" w:rsidP="00BB5C52">
            <w:pPr>
              <w:pStyle w:val="UtilComTabletext"/>
              <w:tabs>
                <w:tab w:val="num" w:pos="522"/>
                <w:tab w:val="left" w:pos="993"/>
              </w:tabs>
              <w:ind w:left="522" w:hanging="450"/>
              <w:jc w:val="right"/>
            </w:pPr>
            <w:r w:rsidRPr="00BB5C52">
              <w:t>982.</w:t>
            </w:r>
            <w:r w:rsidR="00BB5C52">
              <w:t>09</w:t>
            </w:r>
          </w:p>
        </w:tc>
        <w:tc>
          <w:tcPr>
            <w:tcW w:w="1134" w:type="dxa"/>
            <w:tcBorders>
              <w:top w:val="single" w:sz="4" w:space="0" w:color="auto"/>
              <w:bottom w:val="single" w:sz="4" w:space="0" w:color="999999"/>
            </w:tcBorders>
          </w:tcPr>
          <w:p w14:paraId="284CA65F" w14:textId="19C6F564" w:rsidR="00DB702F" w:rsidRPr="00BB5C52" w:rsidRDefault="004B6EC0" w:rsidP="00BB5C52">
            <w:pPr>
              <w:pStyle w:val="UtilComTabletext"/>
              <w:tabs>
                <w:tab w:val="num" w:pos="522"/>
                <w:tab w:val="left" w:pos="993"/>
              </w:tabs>
              <w:ind w:left="522" w:hanging="450"/>
              <w:jc w:val="right"/>
            </w:pPr>
            <w:r w:rsidRPr="00BB5C52">
              <w:t>993.</w:t>
            </w:r>
            <w:r w:rsidR="00BB5C52">
              <w:t>82</w:t>
            </w:r>
          </w:p>
        </w:tc>
      </w:tr>
      <w:tr w:rsidR="00DB702F" w:rsidRPr="008A4655" w14:paraId="74917D8D" w14:textId="77777777" w:rsidTr="00B12B0C">
        <w:trPr>
          <w:cantSplit/>
          <w:trHeight w:val="360"/>
        </w:trPr>
        <w:tc>
          <w:tcPr>
            <w:tcW w:w="3544" w:type="dxa"/>
            <w:tcBorders>
              <w:top w:val="single" w:sz="4" w:space="0" w:color="999999"/>
              <w:bottom w:val="single" w:sz="4" w:space="0" w:color="999999"/>
            </w:tcBorders>
          </w:tcPr>
          <w:p w14:paraId="0BC9BB34" w14:textId="77777777" w:rsidR="00DB702F" w:rsidRDefault="00DB702F" w:rsidP="00B12B0C">
            <w:pPr>
              <w:pStyle w:val="UtilComTabletext"/>
            </w:pPr>
            <w:r>
              <w:t xml:space="preserve">Net capex </w:t>
            </w:r>
            <w:r w:rsidRPr="00FF15EF">
              <w:rPr>
                <w:vertAlign w:val="superscript"/>
              </w:rPr>
              <w:t>(a)</w:t>
            </w:r>
          </w:p>
        </w:tc>
        <w:tc>
          <w:tcPr>
            <w:tcW w:w="1134" w:type="dxa"/>
            <w:tcBorders>
              <w:top w:val="single" w:sz="4" w:space="0" w:color="999999"/>
              <w:bottom w:val="single" w:sz="4" w:space="0" w:color="999999"/>
            </w:tcBorders>
          </w:tcPr>
          <w:p w14:paraId="551F5E88" w14:textId="00C0C843" w:rsidR="00DB702F" w:rsidRPr="00BB5C52" w:rsidRDefault="00BB5C52" w:rsidP="00B12B0C">
            <w:pPr>
              <w:pStyle w:val="UtilComTabletext"/>
              <w:tabs>
                <w:tab w:val="num" w:pos="522"/>
                <w:tab w:val="left" w:pos="993"/>
              </w:tabs>
              <w:ind w:left="522" w:hanging="450"/>
              <w:jc w:val="right"/>
            </w:pPr>
            <w:r>
              <w:t>65.93</w:t>
            </w:r>
          </w:p>
        </w:tc>
        <w:tc>
          <w:tcPr>
            <w:tcW w:w="1134" w:type="dxa"/>
            <w:tcBorders>
              <w:top w:val="single" w:sz="4" w:space="0" w:color="999999"/>
              <w:bottom w:val="single" w:sz="4" w:space="0" w:color="999999"/>
            </w:tcBorders>
          </w:tcPr>
          <w:p w14:paraId="2F7A5A6E" w14:textId="7ECF6F07" w:rsidR="00DB702F" w:rsidRPr="00BB5C52" w:rsidRDefault="004B6EC0" w:rsidP="00BB5C52">
            <w:pPr>
              <w:pStyle w:val="UtilComTabletext"/>
              <w:tabs>
                <w:tab w:val="num" w:pos="522"/>
                <w:tab w:val="left" w:pos="993"/>
              </w:tabs>
              <w:ind w:left="522" w:hanging="450"/>
              <w:jc w:val="right"/>
            </w:pPr>
            <w:r w:rsidRPr="00BB5C52">
              <w:t>41.</w:t>
            </w:r>
            <w:r w:rsidR="00BB5C52">
              <w:t>91</w:t>
            </w:r>
          </w:p>
        </w:tc>
        <w:tc>
          <w:tcPr>
            <w:tcW w:w="1134" w:type="dxa"/>
            <w:tcBorders>
              <w:top w:val="single" w:sz="4" w:space="0" w:color="999999"/>
              <w:bottom w:val="single" w:sz="4" w:space="0" w:color="999999"/>
            </w:tcBorders>
          </w:tcPr>
          <w:p w14:paraId="03EBEB55" w14:textId="76E364B0" w:rsidR="00DB702F" w:rsidRPr="00BB5C52" w:rsidRDefault="004B6EC0" w:rsidP="00BB5C52">
            <w:pPr>
              <w:pStyle w:val="UtilComTabletext"/>
              <w:tabs>
                <w:tab w:val="num" w:pos="522"/>
                <w:tab w:val="left" w:pos="993"/>
              </w:tabs>
              <w:ind w:left="522" w:hanging="450"/>
              <w:jc w:val="right"/>
            </w:pPr>
            <w:r w:rsidRPr="00BB5C52">
              <w:t>30.</w:t>
            </w:r>
            <w:r w:rsidR="00BB5C52">
              <w:t>67</w:t>
            </w:r>
          </w:p>
        </w:tc>
        <w:tc>
          <w:tcPr>
            <w:tcW w:w="1134" w:type="dxa"/>
            <w:tcBorders>
              <w:top w:val="single" w:sz="4" w:space="0" w:color="999999"/>
              <w:bottom w:val="single" w:sz="4" w:space="0" w:color="999999"/>
            </w:tcBorders>
          </w:tcPr>
          <w:p w14:paraId="0CAFC64B" w14:textId="0C9AB6FE" w:rsidR="00DB702F" w:rsidRPr="00BB5C52" w:rsidRDefault="004B6EC0" w:rsidP="00BB5C52">
            <w:pPr>
              <w:pStyle w:val="UtilComTabletext"/>
              <w:tabs>
                <w:tab w:val="num" w:pos="522"/>
                <w:tab w:val="left" w:pos="993"/>
              </w:tabs>
              <w:ind w:left="522" w:hanging="450"/>
              <w:jc w:val="right"/>
            </w:pPr>
            <w:r w:rsidRPr="00BB5C52">
              <w:t>40.</w:t>
            </w:r>
            <w:r w:rsidR="00BB5C52">
              <w:t>12</w:t>
            </w:r>
          </w:p>
        </w:tc>
        <w:tc>
          <w:tcPr>
            <w:tcW w:w="1134" w:type="dxa"/>
            <w:tcBorders>
              <w:top w:val="single" w:sz="4" w:space="0" w:color="999999"/>
              <w:bottom w:val="single" w:sz="4" w:space="0" w:color="999999"/>
            </w:tcBorders>
          </w:tcPr>
          <w:p w14:paraId="4E56D761" w14:textId="266AD5EA" w:rsidR="00DB702F" w:rsidRPr="00BB5C52" w:rsidRDefault="004B6EC0" w:rsidP="00BB5C52">
            <w:pPr>
              <w:pStyle w:val="UtilComTabletext"/>
              <w:tabs>
                <w:tab w:val="num" w:pos="522"/>
                <w:tab w:val="left" w:pos="993"/>
              </w:tabs>
              <w:ind w:left="522" w:hanging="450"/>
              <w:jc w:val="right"/>
            </w:pPr>
            <w:r w:rsidRPr="00BB5C52">
              <w:t>50.</w:t>
            </w:r>
            <w:r w:rsidR="00BB5C52">
              <w:t>37</w:t>
            </w:r>
          </w:p>
        </w:tc>
      </w:tr>
      <w:tr w:rsidR="00DB702F" w:rsidRPr="008A4655" w14:paraId="48C03991" w14:textId="77777777" w:rsidTr="00B12B0C">
        <w:trPr>
          <w:cantSplit/>
          <w:trHeight w:val="360"/>
        </w:trPr>
        <w:tc>
          <w:tcPr>
            <w:tcW w:w="3544" w:type="dxa"/>
            <w:tcBorders>
              <w:top w:val="single" w:sz="4" w:space="0" w:color="999999"/>
              <w:bottom w:val="single" w:sz="4" w:space="0" w:color="999999"/>
            </w:tcBorders>
          </w:tcPr>
          <w:p w14:paraId="0C8A77D9" w14:textId="77777777" w:rsidR="00DB702F" w:rsidRDefault="00DB702F" w:rsidP="00B12B0C">
            <w:pPr>
              <w:pStyle w:val="UtilComTabletext"/>
            </w:pPr>
            <w:r>
              <w:t>Indexation of the opening RAB</w:t>
            </w:r>
          </w:p>
        </w:tc>
        <w:tc>
          <w:tcPr>
            <w:tcW w:w="1134" w:type="dxa"/>
            <w:tcBorders>
              <w:top w:val="single" w:sz="4" w:space="0" w:color="999999"/>
              <w:bottom w:val="single" w:sz="4" w:space="0" w:color="999999"/>
            </w:tcBorders>
          </w:tcPr>
          <w:p w14:paraId="3724696B" w14:textId="77777777" w:rsidR="00DB702F" w:rsidRPr="00BB5C52" w:rsidRDefault="004B6EC0" w:rsidP="00B12B0C">
            <w:pPr>
              <w:pStyle w:val="UtilComTabletext"/>
              <w:tabs>
                <w:tab w:val="num" w:pos="522"/>
                <w:tab w:val="left" w:pos="993"/>
              </w:tabs>
              <w:ind w:left="522" w:hanging="450"/>
              <w:jc w:val="right"/>
            </w:pPr>
            <w:r w:rsidRPr="00BB5C52">
              <w:t>24.04</w:t>
            </w:r>
          </w:p>
        </w:tc>
        <w:tc>
          <w:tcPr>
            <w:tcW w:w="1134" w:type="dxa"/>
            <w:tcBorders>
              <w:top w:val="single" w:sz="4" w:space="0" w:color="999999"/>
              <w:bottom w:val="single" w:sz="4" w:space="0" w:color="999999"/>
            </w:tcBorders>
          </w:tcPr>
          <w:p w14:paraId="0AED0072" w14:textId="6B9D28DA" w:rsidR="00DB702F" w:rsidRPr="00BB5C52" w:rsidRDefault="004B6EC0" w:rsidP="00BB5C52">
            <w:pPr>
              <w:pStyle w:val="UtilComTabletext"/>
              <w:tabs>
                <w:tab w:val="num" w:pos="522"/>
                <w:tab w:val="left" w:pos="993"/>
              </w:tabs>
              <w:ind w:left="522" w:hanging="450"/>
              <w:jc w:val="right"/>
            </w:pPr>
            <w:r w:rsidRPr="00BB5C52">
              <w:t>25.</w:t>
            </w:r>
            <w:r w:rsidR="00BB5C52">
              <w:t>03</w:t>
            </w:r>
          </w:p>
        </w:tc>
        <w:tc>
          <w:tcPr>
            <w:tcW w:w="1134" w:type="dxa"/>
            <w:tcBorders>
              <w:top w:val="single" w:sz="4" w:space="0" w:color="999999"/>
              <w:bottom w:val="single" w:sz="4" w:space="0" w:color="999999"/>
            </w:tcBorders>
          </w:tcPr>
          <w:p w14:paraId="4136CF55" w14:textId="77777777" w:rsidR="00DB702F" w:rsidRPr="00BB5C52" w:rsidRDefault="004B6EC0" w:rsidP="00B12B0C">
            <w:pPr>
              <w:pStyle w:val="UtilComTabletext"/>
              <w:tabs>
                <w:tab w:val="num" w:pos="522"/>
                <w:tab w:val="left" w:pos="993"/>
              </w:tabs>
              <w:ind w:left="522" w:hanging="450"/>
              <w:jc w:val="right"/>
            </w:pPr>
            <w:r w:rsidRPr="00BB5C52">
              <w:t>25.33</w:t>
            </w:r>
          </w:p>
        </w:tc>
        <w:tc>
          <w:tcPr>
            <w:tcW w:w="1134" w:type="dxa"/>
            <w:tcBorders>
              <w:top w:val="single" w:sz="4" w:space="0" w:color="999999"/>
              <w:bottom w:val="single" w:sz="4" w:space="0" w:color="999999"/>
            </w:tcBorders>
          </w:tcPr>
          <w:p w14:paraId="6EBCD960" w14:textId="77777777" w:rsidR="00DB702F" w:rsidRPr="00BB5C52" w:rsidRDefault="004B6EC0" w:rsidP="00B12B0C">
            <w:pPr>
              <w:pStyle w:val="UtilComTabletext"/>
              <w:tabs>
                <w:tab w:val="num" w:pos="522"/>
                <w:tab w:val="left" w:pos="993"/>
              </w:tabs>
              <w:ind w:left="522" w:hanging="450"/>
              <w:jc w:val="right"/>
            </w:pPr>
            <w:r w:rsidRPr="00BB5C52">
              <w:t>25.44</w:t>
            </w:r>
          </w:p>
        </w:tc>
        <w:tc>
          <w:tcPr>
            <w:tcW w:w="1134" w:type="dxa"/>
            <w:tcBorders>
              <w:top w:val="single" w:sz="4" w:space="0" w:color="999999"/>
              <w:bottom w:val="single" w:sz="4" w:space="0" w:color="999999"/>
            </w:tcBorders>
          </w:tcPr>
          <w:p w14:paraId="5DEC2E7C" w14:textId="77777777" w:rsidR="00DB702F" w:rsidRPr="00BB5C52" w:rsidRDefault="004B6EC0" w:rsidP="00B12B0C">
            <w:pPr>
              <w:pStyle w:val="UtilComTabletext"/>
              <w:tabs>
                <w:tab w:val="num" w:pos="522"/>
                <w:tab w:val="left" w:pos="993"/>
              </w:tabs>
              <w:ind w:left="522" w:hanging="450"/>
              <w:jc w:val="right"/>
            </w:pPr>
            <w:r w:rsidRPr="00BB5C52">
              <w:t>25.74</w:t>
            </w:r>
          </w:p>
        </w:tc>
      </w:tr>
      <w:tr w:rsidR="00DB702F" w:rsidRPr="008A4655" w14:paraId="44C219B2" w14:textId="77777777" w:rsidTr="00B12B0C">
        <w:trPr>
          <w:cantSplit/>
          <w:trHeight w:val="360"/>
        </w:trPr>
        <w:tc>
          <w:tcPr>
            <w:tcW w:w="3544" w:type="dxa"/>
            <w:tcBorders>
              <w:top w:val="single" w:sz="4" w:space="0" w:color="999999"/>
              <w:bottom w:val="single" w:sz="4" w:space="0" w:color="auto"/>
            </w:tcBorders>
          </w:tcPr>
          <w:p w14:paraId="116D4672" w14:textId="77777777" w:rsidR="00DB702F" w:rsidRDefault="00DB702F" w:rsidP="00B12B0C">
            <w:pPr>
              <w:pStyle w:val="UtilComTabletext"/>
            </w:pPr>
            <w:r>
              <w:t>Straight-line depreciation</w:t>
            </w:r>
          </w:p>
        </w:tc>
        <w:tc>
          <w:tcPr>
            <w:tcW w:w="1134" w:type="dxa"/>
            <w:tcBorders>
              <w:top w:val="single" w:sz="4" w:space="0" w:color="999999"/>
              <w:bottom w:val="single" w:sz="4" w:space="0" w:color="auto"/>
            </w:tcBorders>
          </w:tcPr>
          <w:p w14:paraId="283443EE" w14:textId="77777777" w:rsidR="00DB702F" w:rsidRPr="00BB5C52" w:rsidRDefault="004B6EC0" w:rsidP="00B12B0C">
            <w:pPr>
              <w:pStyle w:val="UtilComTabletext"/>
              <w:tabs>
                <w:tab w:val="num" w:pos="522"/>
                <w:tab w:val="left" w:pos="993"/>
              </w:tabs>
              <w:ind w:left="522" w:hanging="450"/>
              <w:jc w:val="right"/>
            </w:pPr>
            <w:r w:rsidRPr="00BB5C52">
              <w:t>51.82</w:t>
            </w:r>
          </w:p>
        </w:tc>
        <w:tc>
          <w:tcPr>
            <w:tcW w:w="1134" w:type="dxa"/>
            <w:tcBorders>
              <w:top w:val="single" w:sz="4" w:space="0" w:color="999999"/>
              <w:bottom w:val="single" w:sz="4" w:space="0" w:color="auto"/>
            </w:tcBorders>
          </w:tcPr>
          <w:p w14:paraId="781EC3FF" w14:textId="77777777" w:rsidR="00DB702F" w:rsidRPr="00BB5C52" w:rsidRDefault="004B6EC0" w:rsidP="00B12B0C">
            <w:pPr>
              <w:pStyle w:val="UtilComTabletext"/>
              <w:tabs>
                <w:tab w:val="num" w:pos="522"/>
                <w:tab w:val="left" w:pos="993"/>
              </w:tabs>
              <w:ind w:left="522" w:hanging="450"/>
              <w:jc w:val="right"/>
            </w:pPr>
            <w:r w:rsidRPr="00BB5C52">
              <w:t>55.49</w:t>
            </w:r>
          </w:p>
        </w:tc>
        <w:tc>
          <w:tcPr>
            <w:tcW w:w="1134" w:type="dxa"/>
            <w:tcBorders>
              <w:top w:val="single" w:sz="4" w:space="0" w:color="999999"/>
              <w:bottom w:val="single" w:sz="4" w:space="0" w:color="auto"/>
            </w:tcBorders>
          </w:tcPr>
          <w:p w14:paraId="4F51F2DD" w14:textId="77777777" w:rsidR="00DB702F" w:rsidRPr="00BB5C52" w:rsidRDefault="004B6EC0" w:rsidP="00B12B0C">
            <w:pPr>
              <w:pStyle w:val="UtilComTabletext"/>
              <w:tabs>
                <w:tab w:val="num" w:pos="522"/>
                <w:tab w:val="left" w:pos="993"/>
              </w:tabs>
              <w:ind w:left="522" w:hanging="450"/>
              <w:jc w:val="right"/>
            </w:pPr>
            <w:r w:rsidRPr="00BB5C52">
              <w:t>51.85</w:t>
            </w:r>
          </w:p>
        </w:tc>
        <w:tc>
          <w:tcPr>
            <w:tcW w:w="1134" w:type="dxa"/>
            <w:tcBorders>
              <w:top w:val="single" w:sz="4" w:space="0" w:color="999999"/>
              <w:bottom w:val="single" w:sz="4" w:space="0" w:color="auto"/>
            </w:tcBorders>
          </w:tcPr>
          <w:p w14:paraId="15DEF16A" w14:textId="073531E7" w:rsidR="00DB702F" w:rsidRPr="00BB5C52" w:rsidRDefault="004B6EC0" w:rsidP="00BB5C52">
            <w:pPr>
              <w:pStyle w:val="UtilComTabletext"/>
              <w:tabs>
                <w:tab w:val="num" w:pos="522"/>
                <w:tab w:val="left" w:pos="993"/>
              </w:tabs>
              <w:ind w:left="522" w:hanging="450"/>
              <w:jc w:val="right"/>
            </w:pPr>
            <w:r w:rsidRPr="00BB5C52">
              <w:t>53.</w:t>
            </w:r>
            <w:r w:rsidR="00BB5C52">
              <w:t>82</w:t>
            </w:r>
          </w:p>
        </w:tc>
        <w:tc>
          <w:tcPr>
            <w:tcW w:w="1134" w:type="dxa"/>
            <w:tcBorders>
              <w:top w:val="single" w:sz="4" w:space="0" w:color="999999"/>
              <w:bottom w:val="single" w:sz="4" w:space="0" w:color="auto"/>
            </w:tcBorders>
          </w:tcPr>
          <w:p w14:paraId="24E01CEB" w14:textId="1EC82464" w:rsidR="00DB702F" w:rsidRPr="00BB5C52" w:rsidRDefault="004B6EC0" w:rsidP="00BB5C52">
            <w:pPr>
              <w:pStyle w:val="UtilComTabletext"/>
              <w:tabs>
                <w:tab w:val="num" w:pos="522"/>
                <w:tab w:val="left" w:pos="993"/>
              </w:tabs>
              <w:ind w:left="522" w:hanging="450"/>
              <w:jc w:val="right"/>
            </w:pPr>
            <w:r w:rsidRPr="00BB5C52">
              <w:t>56.</w:t>
            </w:r>
            <w:r w:rsidR="00BB5C52">
              <w:t>47</w:t>
            </w:r>
          </w:p>
        </w:tc>
      </w:tr>
      <w:tr w:rsidR="004B6EC0" w:rsidRPr="008A4655" w14:paraId="34BCAF5C" w14:textId="77777777" w:rsidTr="00B12B0C">
        <w:trPr>
          <w:cantSplit/>
          <w:trHeight w:val="360"/>
        </w:trPr>
        <w:tc>
          <w:tcPr>
            <w:tcW w:w="3544" w:type="dxa"/>
            <w:tcBorders>
              <w:top w:val="single" w:sz="4" w:space="0" w:color="auto"/>
              <w:bottom w:val="single" w:sz="4" w:space="0" w:color="auto"/>
            </w:tcBorders>
          </w:tcPr>
          <w:p w14:paraId="65608F96" w14:textId="77777777" w:rsidR="004B6EC0" w:rsidRDefault="004B6EC0" w:rsidP="00B12B0C">
            <w:pPr>
              <w:pStyle w:val="UtilComTabletext"/>
            </w:pPr>
            <w:r>
              <w:t>Closing RAB</w:t>
            </w:r>
          </w:p>
        </w:tc>
        <w:tc>
          <w:tcPr>
            <w:tcW w:w="1134" w:type="dxa"/>
            <w:tcBorders>
              <w:top w:val="single" w:sz="4" w:space="0" w:color="auto"/>
              <w:bottom w:val="single" w:sz="4" w:space="0" w:color="auto"/>
            </w:tcBorders>
          </w:tcPr>
          <w:p w14:paraId="44716A19" w14:textId="7F28D003" w:rsidR="004B6EC0" w:rsidRPr="00BB5C52" w:rsidRDefault="004B6EC0" w:rsidP="00BB5C52">
            <w:pPr>
              <w:pStyle w:val="UtilComTabletext"/>
              <w:tabs>
                <w:tab w:val="num" w:pos="522"/>
                <w:tab w:val="left" w:pos="993"/>
              </w:tabs>
              <w:ind w:left="522" w:hanging="450"/>
              <w:jc w:val="right"/>
            </w:pPr>
            <w:r w:rsidRPr="00BB5C52">
              <w:t>966.</w:t>
            </w:r>
            <w:r w:rsidR="00BB5C52">
              <w:t>49</w:t>
            </w:r>
          </w:p>
        </w:tc>
        <w:tc>
          <w:tcPr>
            <w:tcW w:w="1134" w:type="dxa"/>
            <w:tcBorders>
              <w:top w:val="single" w:sz="4" w:space="0" w:color="auto"/>
              <w:bottom w:val="single" w:sz="4" w:space="0" w:color="auto"/>
            </w:tcBorders>
          </w:tcPr>
          <w:p w14:paraId="4E001D8B" w14:textId="5BC1126D" w:rsidR="004B6EC0" w:rsidRPr="00BB5C52" w:rsidRDefault="00BB5C52" w:rsidP="00B12B0C">
            <w:pPr>
              <w:pStyle w:val="UtilComTabletext"/>
              <w:tabs>
                <w:tab w:val="num" w:pos="522"/>
                <w:tab w:val="left" w:pos="993"/>
              </w:tabs>
              <w:ind w:left="522" w:hanging="450"/>
              <w:jc w:val="right"/>
            </w:pPr>
            <w:r>
              <w:t>977.94</w:t>
            </w:r>
          </w:p>
        </w:tc>
        <w:tc>
          <w:tcPr>
            <w:tcW w:w="1134" w:type="dxa"/>
            <w:tcBorders>
              <w:top w:val="single" w:sz="4" w:space="0" w:color="auto"/>
              <w:bottom w:val="single" w:sz="4" w:space="0" w:color="auto"/>
            </w:tcBorders>
          </w:tcPr>
          <w:p w14:paraId="757A3CE0" w14:textId="18ECCBDF" w:rsidR="004B6EC0" w:rsidRPr="00BB5C52" w:rsidRDefault="004B6EC0" w:rsidP="00BB5C52">
            <w:pPr>
              <w:pStyle w:val="UtilComTabletext"/>
              <w:tabs>
                <w:tab w:val="num" w:pos="522"/>
                <w:tab w:val="left" w:pos="993"/>
              </w:tabs>
              <w:ind w:left="522" w:hanging="450"/>
              <w:jc w:val="right"/>
            </w:pPr>
            <w:r w:rsidRPr="00BB5C52">
              <w:t>982.</w:t>
            </w:r>
            <w:r w:rsidR="00BB5C52">
              <w:t>09</w:t>
            </w:r>
          </w:p>
        </w:tc>
        <w:tc>
          <w:tcPr>
            <w:tcW w:w="1134" w:type="dxa"/>
            <w:tcBorders>
              <w:top w:val="single" w:sz="4" w:space="0" w:color="auto"/>
              <w:bottom w:val="single" w:sz="4" w:space="0" w:color="auto"/>
            </w:tcBorders>
          </w:tcPr>
          <w:p w14:paraId="6D7E6657" w14:textId="4F55EF8B" w:rsidR="004B6EC0" w:rsidRPr="00BB5C52" w:rsidRDefault="004B6EC0" w:rsidP="00BB5C52">
            <w:pPr>
              <w:pStyle w:val="UtilComTabletext"/>
              <w:tabs>
                <w:tab w:val="num" w:pos="522"/>
                <w:tab w:val="left" w:pos="993"/>
              </w:tabs>
              <w:ind w:left="522" w:hanging="450"/>
              <w:jc w:val="right"/>
            </w:pPr>
            <w:r w:rsidRPr="00BB5C52">
              <w:t>993.</w:t>
            </w:r>
            <w:r w:rsidR="00BB5C52">
              <w:t>82</w:t>
            </w:r>
          </w:p>
        </w:tc>
        <w:tc>
          <w:tcPr>
            <w:tcW w:w="1134" w:type="dxa"/>
            <w:tcBorders>
              <w:top w:val="single" w:sz="4" w:space="0" w:color="auto"/>
              <w:bottom w:val="single" w:sz="4" w:space="0" w:color="auto"/>
            </w:tcBorders>
          </w:tcPr>
          <w:p w14:paraId="2529194F" w14:textId="2ED396EA" w:rsidR="004B6EC0" w:rsidRPr="00BB5C52" w:rsidRDefault="004B6EC0" w:rsidP="00BB5C52">
            <w:pPr>
              <w:pStyle w:val="UtilComTabletext"/>
              <w:tabs>
                <w:tab w:val="num" w:pos="522"/>
                <w:tab w:val="left" w:pos="993"/>
              </w:tabs>
              <w:ind w:left="522" w:hanging="450"/>
              <w:jc w:val="right"/>
            </w:pPr>
            <w:r w:rsidRPr="00BB5C52">
              <w:t>1 013.</w:t>
            </w:r>
            <w:r w:rsidR="00BB5C52">
              <w:t>46</w:t>
            </w:r>
          </w:p>
        </w:tc>
      </w:tr>
    </w:tbl>
    <w:p w14:paraId="45A03716" w14:textId="123F8C7E" w:rsidR="00DB702F" w:rsidRDefault="00DB702F" w:rsidP="00DB702F">
      <w:pPr>
        <w:pStyle w:val="UtilComReferenceSource"/>
        <w:rPr>
          <w:lang w:val="en-AU"/>
        </w:rPr>
      </w:pPr>
      <w:r>
        <w:rPr>
          <w:lang w:val="en-AU"/>
        </w:rPr>
        <w:t xml:space="preserve">Source: Utilities Commission, NTRM </w:t>
      </w:r>
      <w:r w:rsidR="00C46AC2">
        <w:rPr>
          <w:lang w:val="en-AU"/>
        </w:rPr>
        <w:t>Final Decision</w:t>
      </w:r>
      <w:r>
        <w:rPr>
          <w:lang w:val="en-AU"/>
        </w:rPr>
        <w:br/>
        <w:t xml:space="preserve">Note: the straight-line depreciation less the indexation of the opening RAB provides the regulatory depreciation allowance </w:t>
      </w:r>
      <w:r>
        <w:rPr>
          <w:lang w:val="en-AU"/>
        </w:rPr>
        <w:br/>
      </w:r>
      <w:r w:rsidRPr="00BB4311">
        <w:rPr>
          <w:rFonts w:cs="Arial"/>
          <w:vertAlign w:val="superscript"/>
          <w:lang w:val="en-AU"/>
        </w:rPr>
        <w:t>(a)</w:t>
      </w:r>
      <w:r>
        <w:rPr>
          <w:lang w:val="en-AU"/>
        </w:rPr>
        <w:t xml:space="preserve"> In accordance with the timing assumptions of the NTRM (and the PTRM), the nominal capex values include a half WACC allowance to compensate for the average six-month period before capex </w:t>
      </w:r>
      <w:r w:rsidR="00F20C80">
        <w:rPr>
          <w:lang w:val="en-AU"/>
        </w:rPr>
        <w:t xml:space="preserve">is </w:t>
      </w:r>
      <w:r>
        <w:rPr>
          <w:lang w:val="en-AU"/>
        </w:rPr>
        <w:t>added to the RAB for revenue modelling purposes.</w:t>
      </w:r>
    </w:p>
    <w:p w14:paraId="1E0330CD" w14:textId="77777777" w:rsidR="00C7054F" w:rsidRDefault="00C7054F">
      <w:pPr>
        <w:spacing w:before="0" w:after="0" w:line="240" w:lineRule="auto"/>
        <w:rPr>
          <w:rFonts w:cs="Arial"/>
          <w:spacing w:val="-14"/>
          <w:szCs w:val="22"/>
          <w:lang w:val="en-AU"/>
        </w:rPr>
      </w:pPr>
      <w:r>
        <w:br w:type="page"/>
      </w:r>
    </w:p>
    <w:p w14:paraId="50B22B47" w14:textId="56B94E71" w:rsidR="00DB702F" w:rsidRPr="00A139AD" w:rsidRDefault="00DB702F" w:rsidP="00DB702F">
      <w:pPr>
        <w:pStyle w:val="UtilComTableTitle"/>
        <w:keepNext/>
        <w:spacing w:before="120" w:after="0" w:line="240" w:lineRule="exact"/>
      </w:pPr>
      <w:r>
        <w:t xml:space="preserve">Table </w:t>
      </w:r>
      <w:r w:rsidR="002D510D">
        <w:t>14.13</w:t>
      </w:r>
      <w:r>
        <w:t>: Commission</w:t>
      </w:r>
      <w:r w:rsidR="00B1237C">
        <w:t>’s</w:t>
      </w:r>
      <w:r>
        <w:t xml:space="preserve"> </w:t>
      </w:r>
      <w:r w:rsidR="00E430A4">
        <w:t xml:space="preserve">decision </w:t>
      </w:r>
      <w:r>
        <w:t xml:space="preserve">on PWC </w:t>
      </w:r>
      <w:r w:rsidR="00E430A4">
        <w:t>Networks</w:t>
      </w:r>
      <w:r w:rsidR="00B1237C">
        <w:t>’</w:t>
      </w:r>
      <w:r w:rsidR="00E430A4" w:rsidRPr="006A402B">
        <w:t xml:space="preserve"> </w:t>
      </w:r>
      <w:r w:rsidRPr="006A402B">
        <w:t>annual revenue requirement and X factors ($</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C46AC2" w:rsidRPr="008A4655" w14:paraId="4E4A70AE" w14:textId="57A00994" w:rsidTr="00C46AC2">
        <w:trPr>
          <w:cantSplit/>
          <w:trHeight w:val="360"/>
        </w:trPr>
        <w:tc>
          <w:tcPr>
            <w:tcW w:w="2410" w:type="dxa"/>
            <w:tcBorders>
              <w:top w:val="single" w:sz="4" w:space="0" w:color="999999"/>
              <w:bottom w:val="single" w:sz="4" w:space="0" w:color="auto"/>
            </w:tcBorders>
          </w:tcPr>
          <w:p w14:paraId="5E331523" w14:textId="77777777" w:rsidR="00C46AC2" w:rsidRPr="00EE5A08" w:rsidRDefault="00C46AC2" w:rsidP="00B12B0C">
            <w:pPr>
              <w:pStyle w:val="UtilComTabletext"/>
              <w:rPr>
                <w:b/>
              </w:rPr>
            </w:pPr>
          </w:p>
        </w:tc>
        <w:tc>
          <w:tcPr>
            <w:tcW w:w="964" w:type="dxa"/>
            <w:tcBorders>
              <w:top w:val="single" w:sz="4" w:space="0" w:color="999999"/>
              <w:bottom w:val="single" w:sz="4" w:space="0" w:color="auto"/>
            </w:tcBorders>
          </w:tcPr>
          <w:p w14:paraId="68BED174" w14:textId="77777777" w:rsidR="00C46AC2" w:rsidRPr="00EE5A08" w:rsidRDefault="00C46AC2" w:rsidP="00B12B0C">
            <w:pPr>
              <w:pStyle w:val="UtilComTabletext"/>
              <w:jc w:val="right"/>
              <w:rPr>
                <w:b/>
              </w:rPr>
            </w:pPr>
            <w:r>
              <w:rPr>
                <w:b/>
              </w:rPr>
              <w:t>2013-14</w:t>
            </w:r>
          </w:p>
        </w:tc>
        <w:tc>
          <w:tcPr>
            <w:tcW w:w="964" w:type="dxa"/>
            <w:tcBorders>
              <w:top w:val="single" w:sz="4" w:space="0" w:color="999999"/>
              <w:bottom w:val="single" w:sz="4" w:space="0" w:color="auto"/>
            </w:tcBorders>
          </w:tcPr>
          <w:p w14:paraId="7B764500" w14:textId="77777777" w:rsidR="00C46AC2" w:rsidRPr="00EE5A08" w:rsidRDefault="00C46AC2" w:rsidP="00B12B0C">
            <w:pPr>
              <w:pStyle w:val="UtilComTabletext"/>
              <w:jc w:val="right"/>
              <w:rPr>
                <w:b/>
              </w:rPr>
            </w:pPr>
            <w:r>
              <w:rPr>
                <w:b/>
              </w:rPr>
              <w:t>2014-15</w:t>
            </w:r>
          </w:p>
        </w:tc>
        <w:tc>
          <w:tcPr>
            <w:tcW w:w="964" w:type="dxa"/>
            <w:tcBorders>
              <w:top w:val="single" w:sz="4" w:space="0" w:color="999999"/>
              <w:bottom w:val="single" w:sz="4" w:space="0" w:color="auto"/>
            </w:tcBorders>
          </w:tcPr>
          <w:p w14:paraId="0342067E" w14:textId="77777777" w:rsidR="00C46AC2" w:rsidRPr="00EE5A08" w:rsidRDefault="00C46AC2" w:rsidP="00B12B0C">
            <w:pPr>
              <w:pStyle w:val="UtilComTabletext"/>
              <w:jc w:val="right"/>
              <w:rPr>
                <w:b/>
              </w:rPr>
            </w:pPr>
            <w:r>
              <w:rPr>
                <w:b/>
              </w:rPr>
              <w:t>2015-16</w:t>
            </w:r>
          </w:p>
        </w:tc>
        <w:tc>
          <w:tcPr>
            <w:tcW w:w="964" w:type="dxa"/>
            <w:tcBorders>
              <w:top w:val="single" w:sz="4" w:space="0" w:color="999999"/>
              <w:bottom w:val="single" w:sz="4" w:space="0" w:color="auto"/>
            </w:tcBorders>
          </w:tcPr>
          <w:p w14:paraId="16FFBC0F" w14:textId="77777777" w:rsidR="00C46AC2" w:rsidRDefault="00C46AC2" w:rsidP="00B12B0C">
            <w:pPr>
              <w:pStyle w:val="UtilComTabletext"/>
              <w:jc w:val="right"/>
              <w:rPr>
                <w:b/>
              </w:rPr>
            </w:pPr>
            <w:r>
              <w:rPr>
                <w:b/>
              </w:rPr>
              <w:t>2016-17</w:t>
            </w:r>
          </w:p>
        </w:tc>
        <w:tc>
          <w:tcPr>
            <w:tcW w:w="964" w:type="dxa"/>
            <w:tcBorders>
              <w:top w:val="single" w:sz="4" w:space="0" w:color="999999"/>
              <w:bottom w:val="single" w:sz="4" w:space="0" w:color="auto"/>
            </w:tcBorders>
          </w:tcPr>
          <w:p w14:paraId="6BDE4C56" w14:textId="77777777" w:rsidR="00C46AC2" w:rsidRDefault="00C46AC2" w:rsidP="00B12B0C">
            <w:pPr>
              <w:pStyle w:val="UtilComTabletext"/>
              <w:jc w:val="right"/>
              <w:rPr>
                <w:b/>
              </w:rPr>
            </w:pPr>
            <w:r>
              <w:rPr>
                <w:b/>
              </w:rPr>
              <w:t>2017-18</w:t>
            </w:r>
          </w:p>
        </w:tc>
        <w:tc>
          <w:tcPr>
            <w:tcW w:w="964" w:type="dxa"/>
            <w:tcBorders>
              <w:top w:val="single" w:sz="4" w:space="0" w:color="999999"/>
              <w:bottom w:val="single" w:sz="4" w:space="0" w:color="auto"/>
            </w:tcBorders>
          </w:tcPr>
          <w:p w14:paraId="4A237B9F" w14:textId="77777777" w:rsidR="00C46AC2" w:rsidRPr="00EE5A08" w:rsidRDefault="00C46AC2" w:rsidP="00B12B0C">
            <w:pPr>
              <w:pStyle w:val="UtilComTabletext"/>
              <w:jc w:val="right"/>
              <w:rPr>
                <w:b/>
              </w:rPr>
            </w:pPr>
            <w:r>
              <w:rPr>
                <w:b/>
              </w:rPr>
              <w:t>2018-19</w:t>
            </w:r>
          </w:p>
        </w:tc>
        <w:tc>
          <w:tcPr>
            <w:tcW w:w="1021" w:type="dxa"/>
            <w:tcBorders>
              <w:top w:val="single" w:sz="4" w:space="0" w:color="999999"/>
              <w:bottom w:val="single" w:sz="4" w:space="0" w:color="auto"/>
            </w:tcBorders>
          </w:tcPr>
          <w:p w14:paraId="319C4ABC" w14:textId="009E3DD0" w:rsidR="00C46AC2" w:rsidRDefault="00C46AC2" w:rsidP="00B12B0C">
            <w:pPr>
              <w:pStyle w:val="UtilComTabletext"/>
              <w:jc w:val="right"/>
              <w:rPr>
                <w:b/>
              </w:rPr>
            </w:pPr>
            <w:r>
              <w:rPr>
                <w:b/>
              </w:rPr>
              <w:t>Total</w:t>
            </w:r>
          </w:p>
        </w:tc>
      </w:tr>
      <w:tr w:rsidR="00C46AC2" w:rsidRPr="005B324C" w14:paraId="4507D34C" w14:textId="53EBCB36" w:rsidTr="00C46AC2">
        <w:trPr>
          <w:cantSplit/>
          <w:trHeight w:val="360"/>
        </w:trPr>
        <w:tc>
          <w:tcPr>
            <w:tcW w:w="2410" w:type="dxa"/>
            <w:tcBorders>
              <w:top w:val="single" w:sz="4" w:space="0" w:color="auto"/>
              <w:bottom w:val="single" w:sz="4" w:space="0" w:color="999999"/>
            </w:tcBorders>
          </w:tcPr>
          <w:p w14:paraId="18D1AEF6" w14:textId="77777777" w:rsidR="00C46AC2" w:rsidRPr="005B324C" w:rsidRDefault="00C46AC2" w:rsidP="00B12B0C">
            <w:pPr>
              <w:pStyle w:val="UtilComTabletext"/>
            </w:pPr>
            <w:r w:rsidRPr="005B324C">
              <w:t>Return on capital</w:t>
            </w:r>
          </w:p>
        </w:tc>
        <w:tc>
          <w:tcPr>
            <w:tcW w:w="964" w:type="dxa"/>
            <w:tcBorders>
              <w:top w:val="single" w:sz="4" w:space="0" w:color="auto"/>
              <w:bottom w:val="single" w:sz="4" w:space="0" w:color="999999"/>
            </w:tcBorders>
          </w:tcPr>
          <w:p w14:paraId="3F31CE7C" w14:textId="77777777" w:rsidR="00C46AC2" w:rsidRPr="005B324C" w:rsidRDefault="00C46AC2" w:rsidP="00B12B0C">
            <w:pPr>
              <w:pStyle w:val="UtilComTabletext"/>
              <w:jc w:val="right"/>
            </w:pPr>
          </w:p>
        </w:tc>
        <w:tc>
          <w:tcPr>
            <w:tcW w:w="964" w:type="dxa"/>
            <w:tcBorders>
              <w:top w:val="single" w:sz="4" w:space="0" w:color="auto"/>
              <w:bottom w:val="single" w:sz="4" w:space="0" w:color="999999"/>
            </w:tcBorders>
          </w:tcPr>
          <w:p w14:paraId="74CB50F2" w14:textId="77777777" w:rsidR="00C46AC2" w:rsidRPr="005B324C" w:rsidRDefault="00C46AC2" w:rsidP="00B12B0C">
            <w:pPr>
              <w:pStyle w:val="UtilComTabletext"/>
              <w:tabs>
                <w:tab w:val="num" w:pos="522"/>
                <w:tab w:val="left" w:pos="993"/>
              </w:tabs>
              <w:ind w:left="522" w:hanging="450"/>
              <w:jc w:val="right"/>
            </w:pPr>
            <w:r w:rsidRPr="005B324C">
              <w:t>73.01</w:t>
            </w:r>
          </w:p>
        </w:tc>
        <w:tc>
          <w:tcPr>
            <w:tcW w:w="964" w:type="dxa"/>
            <w:tcBorders>
              <w:top w:val="single" w:sz="4" w:space="0" w:color="auto"/>
              <w:bottom w:val="single" w:sz="4" w:space="0" w:color="999999"/>
            </w:tcBorders>
          </w:tcPr>
          <w:p w14:paraId="36ED5551" w14:textId="1F98314A" w:rsidR="00C46AC2" w:rsidRPr="005B324C" w:rsidRDefault="00C46AC2" w:rsidP="005B324C">
            <w:pPr>
              <w:pStyle w:val="UtilComTabletext"/>
              <w:tabs>
                <w:tab w:val="num" w:pos="522"/>
                <w:tab w:val="left" w:pos="993"/>
              </w:tabs>
              <w:ind w:left="522" w:hanging="450"/>
              <w:jc w:val="right"/>
            </w:pPr>
            <w:r w:rsidRPr="005B324C">
              <w:t>76.</w:t>
            </w:r>
            <w:r>
              <w:t>01</w:t>
            </w:r>
          </w:p>
        </w:tc>
        <w:tc>
          <w:tcPr>
            <w:tcW w:w="964" w:type="dxa"/>
            <w:tcBorders>
              <w:top w:val="single" w:sz="4" w:space="0" w:color="auto"/>
              <w:bottom w:val="single" w:sz="4" w:space="0" w:color="999999"/>
            </w:tcBorders>
          </w:tcPr>
          <w:p w14:paraId="49EED293" w14:textId="2CA79496" w:rsidR="00C46AC2" w:rsidRPr="005B324C" w:rsidRDefault="00C46AC2" w:rsidP="005B324C">
            <w:pPr>
              <w:pStyle w:val="UtilComTabletext"/>
              <w:tabs>
                <w:tab w:val="num" w:pos="522"/>
                <w:tab w:val="left" w:pos="993"/>
              </w:tabs>
              <w:ind w:left="522" w:hanging="450"/>
              <w:jc w:val="right"/>
            </w:pPr>
            <w:r w:rsidRPr="005B324C">
              <w:t>76.</w:t>
            </w:r>
            <w:r>
              <w:t>91</w:t>
            </w:r>
          </w:p>
        </w:tc>
        <w:tc>
          <w:tcPr>
            <w:tcW w:w="964" w:type="dxa"/>
            <w:tcBorders>
              <w:top w:val="single" w:sz="4" w:space="0" w:color="auto"/>
              <w:bottom w:val="single" w:sz="4" w:space="0" w:color="999999"/>
            </w:tcBorders>
          </w:tcPr>
          <w:p w14:paraId="6A113C8C" w14:textId="77777777" w:rsidR="00C46AC2" w:rsidRPr="005B324C" w:rsidRDefault="00C46AC2" w:rsidP="00B12B0C">
            <w:pPr>
              <w:pStyle w:val="UtilComTabletext"/>
              <w:tabs>
                <w:tab w:val="num" w:pos="522"/>
                <w:tab w:val="left" w:pos="993"/>
              </w:tabs>
              <w:ind w:left="522" w:hanging="450"/>
              <w:jc w:val="right"/>
            </w:pPr>
            <w:r w:rsidRPr="005B324C">
              <w:t>77.24</w:t>
            </w:r>
          </w:p>
        </w:tc>
        <w:tc>
          <w:tcPr>
            <w:tcW w:w="964" w:type="dxa"/>
            <w:tcBorders>
              <w:top w:val="single" w:sz="4" w:space="0" w:color="auto"/>
              <w:bottom w:val="single" w:sz="4" w:space="0" w:color="999999"/>
            </w:tcBorders>
          </w:tcPr>
          <w:p w14:paraId="324CBD52" w14:textId="33FC1AE1" w:rsidR="00C46AC2" w:rsidRPr="005B324C" w:rsidRDefault="00C46AC2" w:rsidP="005B324C">
            <w:pPr>
              <w:pStyle w:val="UtilComTabletext"/>
              <w:tabs>
                <w:tab w:val="num" w:pos="522"/>
                <w:tab w:val="left" w:pos="993"/>
              </w:tabs>
              <w:ind w:left="522" w:hanging="450"/>
              <w:jc w:val="right"/>
            </w:pPr>
            <w:r w:rsidRPr="005B324C">
              <w:t>78.</w:t>
            </w:r>
            <w:r>
              <w:t>16</w:t>
            </w:r>
          </w:p>
        </w:tc>
        <w:tc>
          <w:tcPr>
            <w:tcW w:w="1021" w:type="dxa"/>
            <w:tcBorders>
              <w:top w:val="single" w:sz="4" w:space="0" w:color="auto"/>
              <w:bottom w:val="single" w:sz="4" w:space="0" w:color="999999"/>
            </w:tcBorders>
          </w:tcPr>
          <w:p w14:paraId="17DFCA4F" w14:textId="51B5F8FA" w:rsidR="00C46AC2" w:rsidRPr="005B324C" w:rsidRDefault="00C46AC2" w:rsidP="005B324C">
            <w:pPr>
              <w:pStyle w:val="UtilComTabletext"/>
              <w:tabs>
                <w:tab w:val="num" w:pos="522"/>
                <w:tab w:val="left" w:pos="993"/>
              </w:tabs>
              <w:ind w:left="522" w:hanging="450"/>
              <w:jc w:val="right"/>
            </w:pPr>
            <w:r>
              <w:t>381.33</w:t>
            </w:r>
          </w:p>
        </w:tc>
      </w:tr>
      <w:tr w:rsidR="00C46AC2" w:rsidRPr="005B324C" w14:paraId="0E80090F" w14:textId="7F60FD8E" w:rsidTr="00C46AC2">
        <w:trPr>
          <w:cantSplit/>
          <w:trHeight w:val="360"/>
        </w:trPr>
        <w:tc>
          <w:tcPr>
            <w:tcW w:w="2410" w:type="dxa"/>
            <w:tcBorders>
              <w:bottom w:val="single" w:sz="4" w:space="0" w:color="999999"/>
            </w:tcBorders>
          </w:tcPr>
          <w:p w14:paraId="5841E2A6" w14:textId="77777777" w:rsidR="00C46AC2" w:rsidRPr="005B324C" w:rsidRDefault="00C46AC2" w:rsidP="00B12B0C">
            <w:pPr>
              <w:pStyle w:val="UtilComTabletext"/>
            </w:pPr>
            <w:r w:rsidRPr="005B324C">
              <w:t>Regulatory depreciation</w:t>
            </w:r>
          </w:p>
        </w:tc>
        <w:tc>
          <w:tcPr>
            <w:tcW w:w="964" w:type="dxa"/>
            <w:tcBorders>
              <w:bottom w:val="single" w:sz="4" w:space="0" w:color="999999"/>
            </w:tcBorders>
          </w:tcPr>
          <w:p w14:paraId="72A0E48D" w14:textId="77777777" w:rsidR="00C46AC2" w:rsidRPr="005B324C" w:rsidRDefault="00C46AC2" w:rsidP="00B12B0C">
            <w:pPr>
              <w:pStyle w:val="UtilComTabletext"/>
              <w:jc w:val="right"/>
            </w:pPr>
          </w:p>
        </w:tc>
        <w:tc>
          <w:tcPr>
            <w:tcW w:w="964" w:type="dxa"/>
            <w:tcBorders>
              <w:bottom w:val="single" w:sz="4" w:space="0" w:color="999999"/>
            </w:tcBorders>
          </w:tcPr>
          <w:p w14:paraId="216CE4CB" w14:textId="77777777" w:rsidR="00C46AC2" w:rsidRPr="005B324C" w:rsidRDefault="00C46AC2" w:rsidP="00B12B0C">
            <w:pPr>
              <w:pStyle w:val="UtilComTabletext"/>
              <w:tabs>
                <w:tab w:val="num" w:pos="522"/>
                <w:tab w:val="left" w:pos="993"/>
              </w:tabs>
              <w:ind w:left="522" w:hanging="450"/>
              <w:jc w:val="right"/>
            </w:pPr>
            <w:r w:rsidRPr="005B324C">
              <w:t>27.78</w:t>
            </w:r>
          </w:p>
        </w:tc>
        <w:tc>
          <w:tcPr>
            <w:tcW w:w="964" w:type="dxa"/>
            <w:tcBorders>
              <w:bottom w:val="single" w:sz="4" w:space="0" w:color="999999"/>
            </w:tcBorders>
          </w:tcPr>
          <w:p w14:paraId="6992050D" w14:textId="69A00227" w:rsidR="00C46AC2" w:rsidRPr="005B324C" w:rsidRDefault="00C46AC2" w:rsidP="005B324C">
            <w:pPr>
              <w:pStyle w:val="UtilComTabletext"/>
              <w:tabs>
                <w:tab w:val="num" w:pos="522"/>
                <w:tab w:val="left" w:pos="993"/>
              </w:tabs>
              <w:ind w:left="522" w:hanging="450"/>
              <w:jc w:val="right"/>
            </w:pPr>
            <w:r w:rsidRPr="005B324C">
              <w:t>30.</w:t>
            </w:r>
            <w:r>
              <w:t>46</w:t>
            </w:r>
          </w:p>
        </w:tc>
        <w:tc>
          <w:tcPr>
            <w:tcW w:w="964" w:type="dxa"/>
            <w:tcBorders>
              <w:bottom w:val="single" w:sz="4" w:space="0" w:color="999999"/>
            </w:tcBorders>
          </w:tcPr>
          <w:p w14:paraId="21D8C49A" w14:textId="3A7F78E5" w:rsidR="00C46AC2" w:rsidRPr="005B324C" w:rsidRDefault="00C46AC2" w:rsidP="005B324C">
            <w:pPr>
              <w:pStyle w:val="UtilComTabletext"/>
              <w:tabs>
                <w:tab w:val="num" w:pos="522"/>
                <w:tab w:val="left" w:pos="993"/>
              </w:tabs>
              <w:ind w:left="522" w:hanging="450"/>
              <w:jc w:val="right"/>
            </w:pPr>
            <w:r w:rsidRPr="005B324C">
              <w:t>26.</w:t>
            </w:r>
            <w:r>
              <w:t>52</w:t>
            </w:r>
          </w:p>
        </w:tc>
        <w:tc>
          <w:tcPr>
            <w:tcW w:w="964" w:type="dxa"/>
            <w:tcBorders>
              <w:bottom w:val="single" w:sz="4" w:space="0" w:color="999999"/>
            </w:tcBorders>
          </w:tcPr>
          <w:p w14:paraId="13FB0B9C" w14:textId="474DC427" w:rsidR="00C46AC2" w:rsidRPr="005B324C" w:rsidRDefault="00C46AC2" w:rsidP="005B324C">
            <w:pPr>
              <w:pStyle w:val="UtilComTabletext"/>
              <w:tabs>
                <w:tab w:val="num" w:pos="522"/>
                <w:tab w:val="left" w:pos="993"/>
              </w:tabs>
              <w:ind w:left="522" w:hanging="450"/>
              <w:jc w:val="right"/>
            </w:pPr>
            <w:r w:rsidRPr="005B324C">
              <w:t>28.</w:t>
            </w:r>
            <w:r>
              <w:t>39</w:t>
            </w:r>
          </w:p>
        </w:tc>
        <w:tc>
          <w:tcPr>
            <w:tcW w:w="964" w:type="dxa"/>
            <w:tcBorders>
              <w:bottom w:val="single" w:sz="4" w:space="0" w:color="999999"/>
            </w:tcBorders>
          </w:tcPr>
          <w:p w14:paraId="20F913F9" w14:textId="7B5F7AC6" w:rsidR="00C46AC2" w:rsidRPr="005B324C" w:rsidRDefault="00C46AC2" w:rsidP="005B324C">
            <w:pPr>
              <w:pStyle w:val="UtilComTabletext"/>
              <w:tabs>
                <w:tab w:val="num" w:pos="522"/>
                <w:tab w:val="left" w:pos="993"/>
              </w:tabs>
              <w:ind w:left="522" w:hanging="450"/>
              <w:jc w:val="right"/>
            </w:pPr>
            <w:r w:rsidRPr="005B324C">
              <w:t>30.</w:t>
            </w:r>
            <w:r w:rsidR="00E149C6">
              <w:t>7</w:t>
            </w:r>
            <w:r>
              <w:t>3</w:t>
            </w:r>
          </w:p>
        </w:tc>
        <w:tc>
          <w:tcPr>
            <w:tcW w:w="1021" w:type="dxa"/>
            <w:tcBorders>
              <w:bottom w:val="single" w:sz="4" w:space="0" w:color="999999"/>
            </w:tcBorders>
          </w:tcPr>
          <w:p w14:paraId="46EC2E04" w14:textId="4D1D734D" w:rsidR="00C46AC2" w:rsidRPr="005B324C" w:rsidRDefault="00C46AC2" w:rsidP="005B324C">
            <w:pPr>
              <w:pStyle w:val="UtilComTabletext"/>
              <w:tabs>
                <w:tab w:val="num" w:pos="522"/>
                <w:tab w:val="left" w:pos="993"/>
              </w:tabs>
              <w:ind w:left="522" w:hanging="450"/>
              <w:jc w:val="right"/>
            </w:pPr>
            <w:r>
              <w:t>143.88</w:t>
            </w:r>
          </w:p>
        </w:tc>
      </w:tr>
      <w:tr w:rsidR="00C46AC2" w:rsidRPr="005B324C" w14:paraId="5AAF0775" w14:textId="6DAE2BD6" w:rsidTr="00C46AC2">
        <w:trPr>
          <w:cantSplit/>
          <w:trHeight w:val="360"/>
        </w:trPr>
        <w:tc>
          <w:tcPr>
            <w:tcW w:w="2410" w:type="dxa"/>
            <w:tcBorders>
              <w:bottom w:val="single" w:sz="4" w:space="0" w:color="999999"/>
            </w:tcBorders>
          </w:tcPr>
          <w:p w14:paraId="60E83081" w14:textId="77777777" w:rsidR="00C46AC2" w:rsidRPr="005B324C" w:rsidRDefault="00C46AC2" w:rsidP="00B12B0C">
            <w:pPr>
              <w:pStyle w:val="UtilComTabletext"/>
            </w:pPr>
            <w:r w:rsidRPr="005B324C">
              <w:t>Operating and maintenance expenditure</w:t>
            </w:r>
          </w:p>
        </w:tc>
        <w:tc>
          <w:tcPr>
            <w:tcW w:w="964" w:type="dxa"/>
            <w:tcBorders>
              <w:bottom w:val="single" w:sz="4" w:space="0" w:color="999999"/>
            </w:tcBorders>
          </w:tcPr>
          <w:p w14:paraId="4699BD93" w14:textId="77777777" w:rsidR="00C46AC2" w:rsidRPr="005B324C" w:rsidRDefault="00C46AC2" w:rsidP="00B12B0C">
            <w:pPr>
              <w:pStyle w:val="UtilComTabletext"/>
              <w:jc w:val="right"/>
            </w:pPr>
          </w:p>
        </w:tc>
        <w:tc>
          <w:tcPr>
            <w:tcW w:w="964" w:type="dxa"/>
            <w:tcBorders>
              <w:bottom w:val="single" w:sz="4" w:space="0" w:color="999999"/>
            </w:tcBorders>
          </w:tcPr>
          <w:p w14:paraId="130A7BC9" w14:textId="11B7165F" w:rsidR="00C46AC2" w:rsidRPr="005B324C" w:rsidRDefault="00C46AC2" w:rsidP="00B12B0C">
            <w:pPr>
              <w:pStyle w:val="UtilComTabletext"/>
              <w:tabs>
                <w:tab w:val="num" w:pos="522"/>
                <w:tab w:val="left" w:pos="993"/>
              </w:tabs>
              <w:ind w:left="522" w:hanging="450"/>
              <w:jc w:val="right"/>
            </w:pPr>
            <w:r>
              <w:t>100.63</w:t>
            </w:r>
          </w:p>
        </w:tc>
        <w:tc>
          <w:tcPr>
            <w:tcW w:w="964" w:type="dxa"/>
            <w:tcBorders>
              <w:bottom w:val="single" w:sz="4" w:space="0" w:color="999999"/>
            </w:tcBorders>
          </w:tcPr>
          <w:p w14:paraId="143B7728" w14:textId="37E1FA0D" w:rsidR="00C46AC2" w:rsidRPr="005B324C" w:rsidRDefault="00C46AC2" w:rsidP="00B12B0C">
            <w:pPr>
              <w:pStyle w:val="UtilComTabletext"/>
              <w:tabs>
                <w:tab w:val="num" w:pos="522"/>
                <w:tab w:val="left" w:pos="993"/>
              </w:tabs>
              <w:ind w:left="522" w:hanging="450"/>
              <w:jc w:val="right"/>
            </w:pPr>
            <w:r>
              <w:t>96.74</w:t>
            </w:r>
          </w:p>
        </w:tc>
        <w:tc>
          <w:tcPr>
            <w:tcW w:w="964" w:type="dxa"/>
            <w:tcBorders>
              <w:bottom w:val="single" w:sz="4" w:space="0" w:color="999999"/>
            </w:tcBorders>
          </w:tcPr>
          <w:p w14:paraId="485708A8" w14:textId="73429FC2" w:rsidR="00C46AC2" w:rsidRPr="005B324C" w:rsidRDefault="00C46AC2" w:rsidP="00B12B0C">
            <w:pPr>
              <w:pStyle w:val="UtilComTabletext"/>
              <w:tabs>
                <w:tab w:val="num" w:pos="522"/>
                <w:tab w:val="left" w:pos="993"/>
              </w:tabs>
              <w:ind w:left="522" w:hanging="450"/>
              <w:jc w:val="right"/>
            </w:pPr>
            <w:r>
              <w:t>95.42</w:t>
            </w:r>
          </w:p>
        </w:tc>
        <w:tc>
          <w:tcPr>
            <w:tcW w:w="964" w:type="dxa"/>
            <w:tcBorders>
              <w:bottom w:val="single" w:sz="4" w:space="0" w:color="999999"/>
            </w:tcBorders>
          </w:tcPr>
          <w:p w14:paraId="4DF3E7AD" w14:textId="5DF7C9EA" w:rsidR="00C46AC2" w:rsidRPr="005B324C" w:rsidRDefault="00C46AC2" w:rsidP="00B12B0C">
            <w:pPr>
              <w:pStyle w:val="UtilComTabletext"/>
              <w:tabs>
                <w:tab w:val="num" w:pos="522"/>
                <w:tab w:val="left" w:pos="993"/>
              </w:tabs>
              <w:ind w:left="522" w:hanging="450"/>
              <w:jc w:val="right"/>
            </w:pPr>
            <w:r>
              <w:t>90.02</w:t>
            </w:r>
          </w:p>
        </w:tc>
        <w:tc>
          <w:tcPr>
            <w:tcW w:w="964" w:type="dxa"/>
            <w:tcBorders>
              <w:bottom w:val="single" w:sz="4" w:space="0" w:color="999999"/>
            </w:tcBorders>
          </w:tcPr>
          <w:p w14:paraId="210BBF1A" w14:textId="0609FA57" w:rsidR="00C46AC2" w:rsidRPr="005B324C" w:rsidRDefault="00C46AC2" w:rsidP="00B12B0C">
            <w:pPr>
              <w:pStyle w:val="UtilComTabletext"/>
              <w:tabs>
                <w:tab w:val="num" w:pos="522"/>
                <w:tab w:val="left" w:pos="993"/>
              </w:tabs>
              <w:ind w:left="522" w:hanging="450"/>
              <w:jc w:val="right"/>
            </w:pPr>
            <w:r>
              <w:t>84.19</w:t>
            </w:r>
          </w:p>
        </w:tc>
        <w:tc>
          <w:tcPr>
            <w:tcW w:w="1021" w:type="dxa"/>
            <w:tcBorders>
              <w:bottom w:val="single" w:sz="4" w:space="0" w:color="999999"/>
            </w:tcBorders>
          </w:tcPr>
          <w:p w14:paraId="4DD4AF85" w14:textId="7DDD262A" w:rsidR="00C46AC2" w:rsidRDefault="00C46AC2" w:rsidP="00B12B0C">
            <w:pPr>
              <w:pStyle w:val="UtilComTabletext"/>
              <w:tabs>
                <w:tab w:val="num" w:pos="522"/>
                <w:tab w:val="left" w:pos="993"/>
              </w:tabs>
              <w:ind w:left="522" w:hanging="450"/>
              <w:jc w:val="right"/>
            </w:pPr>
            <w:r>
              <w:t>466.99</w:t>
            </w:r>
          </w:p>
        </w:tc>
      </w:tr>
      <w:tr w:rsidR="00C46AC2" w:rsidRPr="005B324C" w14:paraId="6EE0E0E9" w14:textId="735E680A" w:rsidTr="00C46AC2">
        <w:trPr>
          <w:cantSplit/>
          <w:trHeight w:val="360"/>
        </w:trPr>
        <w:tc>
          <w:tcPr>
            <w:tcW w:w="2410" w:type="dxa"/>
            <w:tcBorders>
              <w:top w:val="single" w:sz="4" w:space="0" w:color="auto"/>
              <w:bottom w:val="single" w:sz="4" w:space="0" w:color="999999"/>
            </w:tcBorders>
          </w:tcPr>
          <w:p w14:paraId="07BE0A7E" w14:textId="77777777" w:rsidR="00C46AC2" w:rsidRPr="005B324C" w:rsidRDefault="00C46AC2" w:rsidP="00B12B0C">
            <w:pPr>
              <w:pStyle w:val="UtilComTabletext"/>
            </w:pPr>
            <w:r w:rsidRPr="005B324C">
              <w:t>Unsmoothed annual revenue requirement</w:t>
            </w:r>
          </w:p>
        </w:tc>
        <w:tc>
          <w:tcPr>
            <w:tcW w:w="964" w:type="dxa"/>
            <w:tcBorders>
              <w:top w:val="single" w:sz="4" w:space="0" w:color="auto"/>
              <w:bottom w:val="single" w:sz="4" w:space="0" w:color="999999"/>
            </w:tcBorders>
          </w:tcPr>
          <w:p w14:paraId="20A54856" w14:textId="77777777" w:rsidR="00C46AC2" w:rsidRPr="005B324C" w:rsidRDefault="00C46AC2" w:rsidP="00B12B0C">
            <w:pPr>
              <w:pStyle w:val="UtilComTabletext"/>
              <w:jc w:val="right"/>
            </w:pPr>
          </w:p>
        </w:tc>
        <w:tc>
          <w:tcPr>
            <w:tcW w:w="964" w:type="dxa"/>
            <w:tcBorders>
              <w:top w:val="single" w:sz="4" w:space="0" w:color="auto"/>
              <w:bottom w:val="single" w:sz="4" w:space="0" w:color="999999"/>
            </w:tcBorders>
          </w:tcPr>
          <w:p w14:paraId="7FD4C66F" w14:textId="47D59766" w:rsidR="00C46AC2" w:rsidRPr="005B324C" w:rsidRDefault="00C46AC2" w:rsidP="00B12B0C">
            <w:pPr>
              <w:pStyle w:val="UtilComTabletext"/>
              <w:tabs>
                <w:tab w:val="num" w:pos="522"/>
                <w:tab w:val="left" w:pos="993"/>
              </w:tabs>
              <w:ind w:left="522" w:hanging="450"/>
              <w:jc w:val="right"/>
            </w:pPr>
            <w:r>
              <w:t>201.41</w:t>
            </w:r>
          </w:p>
        </w:tc>
        <w:tc>
          <w:tcPr>
            <w:tcW w:w="964" w:type="dxa"/>
            <w:tcBorders>
              <w:top w:val="single" w:sz="4" w:space="0" w:color="auto"/>
              <w:bottom w:val="single" w:sz="4" w:space="0" w:color="999999"/>
            </w:tcBorders>
          </w:tcPr>
          <w:p w14:paraId="20CD7D32" w14:textId="681DFBF2" w:rsidR="00C46AC2" w:rsidRPr="005B324C" w:rsidRDefault="00C46AC2" w:rsidP="00B12B0C">
            <w:pPr>
              <w:pStyle w:val="UtilComTabletext"/>
              <w:tabs>
                <w:tab w:val="num" w:pos="522"/>
                <w:tab w:val="left" w:pos="993"/>
              </w:tabs>
              <w:ind w:left="522" w:hanging="450"/>
              <w:jc w:val="right"/>
            </w:pPr>
            <w:r>
              <w:t>2</w:t>
            </w:r>
            <w:r w:rsidR="008F3830">
              <w:t>0</w:t>
            </w:r>
            <w:r>
              <w:t>3.21</w:t>
            </w:r>
          </w:p>
        </w:tc>
        <w:tc>
          <w:tcPr>
            <w:tcW w:w="964" w:type="dxa"/>
            <w:tcBorders>
              <w:top w:val="single" w:sz="4" w:space="0" w:color="auto"/>
              <w:bottom w:val="single" w:sz="4" w:space="0" w:color="999999"/>
            </w:tcBorders>
          </w:tcPr>
          <w:p w14:paraId="0648BE29" w14:textId="6D873584" w:rsidR="00C46AC2" w:rsidRPr="005B324C" w:rsidRDefault="00C46AC2" w:rsidP="005B324C">
            <w:pPr>
              <w:pStyle w:val="UtilComTabletext"/>
              <w:tabs>
                <w:tab w:val="num" w:pos="522"/>
                <w:tab w:val="left" w:pos="993"/>
              </w:tabs>
              <w:ind w:left="522" w:hanging="450"/>
              <w:jc w:val="right"/>
            </w:pPr>
            <w:r>
              <w:t>198.85</w:t>
            </w:r>
          </w:p>
        </w:tc>
        <w:tc>
          <w:tcPr>
            <w:tcW w:w="964" w:type="dxa"/>
            <w:tcBorders>
              <w:top w:val="single" w:sz="4" w:space="0" w:color="auto"/>
              <w:bottom w:val="single" w:sz="4" w:space="0" w:color="999999"/>
            </w:tcBorders>
          </w:tcPr>
          <w:p w14:paraId="2FB3D9F3" w14:textId="771CF3CC" w:rsidR="00C46AC2" w:rsidRPr="005B324C" w:rsidRDefault="00C46AC2" w:rsidP="00B12B0C">
            <w:pPr>
              <w:pStyle w:val="UtilComTabletext"/>
              <w:tabs>
                <w:tab w:val="num" w:pos="522"/>
                <w:tab w:val="left" w:pos="993"/>
              </w:tabs>
              <w:ind w:left="522" w:hanging="450"/>
              <w:jc w:val="right"/>
            </w:pPr>
            <w:r>
              <w:t>195.64</w:t>
            </w:r>
          </w:p>
        </w:tc>
        <w:tc>
          <w:tcPr>
            <w:tcW w:w="964" w:type="dxa"/>
            <w:tcBorders>
              <w:top w:val="single" w:sz="4" w:space="0" w:color="auto"/>
              <w:bottom w:val="single" w:sz="4" w:space="0" w:color="999999"/>
            </w:tcBorders>
          </w:tcPr>
          <w:p w14:paraId="21BD1BD1" w14:textId="2CC1DA36" w:rsidR="00C46AC2" w:rsidRPr="005B324C" w:rsidRDefault="00C46AC2" w:rsidP="00B12B0C">
            <w:pPr>
              <w:pStyle w:val="UtilComTabletext"/>
              <w:tabs>
                <w:tab w:val="num" w:pos="522"/>
                <w:tab w:val="left" w:pos="993"/>
              </w:tabs>
              <w:ind w:left="522" w:hanging="450"/>
              <w:jc w:val="right"/>
            </w:pPr>
            <w:r>
              <w:t>193.08</w:t>
            </w:r>
          </w:p>
        </w:tc>
        <w:tc>
          <w:tcPr>
            <w:tcW w:w="1021" w:type="dxa"/>
            <w:tcBorders>
              <w:top w:val="single" w:sz="4" w:space="0" w:color="auto"/>
              <w:bottom w:val="single" w:sz="4" w:space="0" w:color="999999"/>
            </w:tcBorders>
          </w:tcPr>
          <w:p w14:paraId="07CA48F6" w14:textId="280E0741" w:rsidR="00C46AC2" w:rsidRDefault="00C46AC2" w:rsidP="00B12B0C">
            <w:pPr>
              <w:pStyle w:val="UtilComTabletext"/>
              <w:tabs>
                <w:tab w:val="num" w:pos="522"/>
                <w:tab w:val="left" w:pos="993"/>
              </w:tabs>
              <w:ind w:left="522" w:hanging="450"/>
              <w:jc w:val="right"/>
            </w:pPr>
            <w:r>
              <w:t>992.20</w:t>
            </w:r>
          </w:p>
        </w:tc>
      </w:tr>
      <w:tr w:rsidR="00C46AC2" w:rsidRPr="005B324C" w14:paraId="0D24E999" w14:textId="765DCC79" w:rsidTr="00C46AC2">
        <w:trPr>
          <w:cantSplit/>
          <w:trHeight w:val="360"/>
        </w:trPr>
        <w:tc>
          <w:tcPr>
            <w:tcW w:w="2410" w:type="dxa"/>
            <w:tcBorders>
              <w:bottom w:val="single" w:sz="4" w:space="0" w:color="999999"/>
            </w:tcBorders>
          </w:tcPr>
          <w:p w14:paraId="44214F7E" w14:textId="77777777" w:rsidR="00C46AC2" w:rsidRPr="005B324C" w:rsidRDefault="00C46AC2" w:rsidP="00B12B0C">
            <w:pPr>
              <w:pStyle w:val="UtilComTabletext"/>
            </w:pPr>
            <w:r w:rsidRPr="005B324C">
              <w:t>Expected revenues (smoothed revenue)</w:t>
            </w:r>
          </w:p>
        </w:tc>
        <w:tc>
          <w:tcPr>
            <w:tcW w:w="964" w:type="dxa"/>
            <w:tcBorders>
              <w:bottom w:val="single" w:sz="4" w:space="0" w:color="999999"/>
            </w:tcBorders>
          </w:tcPr>
          <w:p w14:paraId="4CF3708F" w14:textId="77777777" w:rsidR="00C46AC2" w:rsidRPr="005B324C" w:rsidRDefault="00C46AC2" w:rsidP="00B12B0C">
            <w:pPr>
              <w:pStyle w:val="UtilComTabletext"/>
              <w:jc w:val="right"/>
            </w:pPr>
            <w:r w:rsidRPr="005B324C">
              <w:t>138.75</w:t>
            </w:r>
          </w:p>
        </w:tc>
        <w:tc>
          <w:tcPr>
            <w:tcW w:w="964" w:type="dxa"/>
            <w:tcBorders>
              <w:bottom w:val="single" w:sz="4" w:space="0" w:color="999999"/>
            </w:tcBorders>
          </w:tcPr>
          <w:p w14:paraId="32320B58" w14:textId="23DD2242" w:rsidR="00C46AC2" w:rsidRPr="005B324C" w:rsidRDefault="00C46AC2" w:rsidP="00C46AC2">
            <w:pPr>
              <w:pStyle w:val="UtilComTabletext"/>
              <w:tabs>
                <w:tab w:val="num" w:pos="522"/>
                <w:tab w:val="left" w:pos="993"/>
              </w:tabs>
              <w:ind w:left="522" w:hanging="450"/>
              <w:jc w:val="right"/>
            </w:pPr>
            <w:r>
              <w:t>177.33</w:t>
            </w:r>
          </w:p>
        </w:tc>
        <w:tc>
          <w:tcPr>
            <w:tcW w:w="964" w:type="dxa"/>
            <w:tcBorders>
              <w:bottom w:val="single" w:sz="4" w:space="0" w:color="999999"/>
            </w:tcBorders>
          </w:tcPr>
          <w:p w14:paraId="44EA104D" w14:textId="7578133E" w:rsidR="00C46AC2" w:rsidRPr="005B324C" w:rsidRDefault="00C46AC2" w:rsidP="00B12B0C">
            <w:pPr>
              <w:pStyle w:val="UtilComTabletext"/>
              <w:tabs>
                <w:tab w:val="num" w:pos="522"/>
                <w:tab w:val="left" w:pos="993"/>
              </w:tabs>
              <w:ind w:left="522" w:hanging="450"/>
              <w:jc w:val="right"/>
            </w:pPr>
            <w:r>
              <w:t>196.47</w:t>
            </w:r>
          </w:p>
        </w:tc>
        <w:tc>
          <w:tcPr>
            <w:tcW w:w="964" w:type="dxa"/>
            <w:tcBorders>
              <w:bottom w:val="single" w:sz="4" w:space="0" w:color="999999"/>
            </w:tcBorders>
          </w:tcPr>
          <w:p w14:paraId="628031F0" w14:textId="1A87267D" w:rsidR="00C46AC2" w:rsidRPr="005B324C" w:rsidRDefault="00C46AC2" w:rsidP="00B12B0C">
            <w:pPr>
              <w:pStyle w:val="UtilComTabletext"/>
              <w:tabs>
                <w:tab w:val="num" w:pos="522"/>
                <w:tab w:val="left" w:pos="993"/>
              </w:tabs>
              <w:ind w:left="522" w:hanging="450"/>
              <w:jc w:val="right"/>
            </w:pPr>
            <w:r>
              <w:t>207.61</w:t>
            </w:r>
          </w:p>
        </w:tc>
        <w:tc>
          <w:tcPr>
            <w:tcW w:w="964" w:type="dxa"/>
            <w:tcBorders>
              <w:bottom w:val="single" w:sz="4" w:space="0" w:color="999999"/>
            </w:tcBorders>
          </w:tcPr>
          <w:p w14:paraId="6B08A777" w14:textId="4DDC51B7" w:rsidR="00C46AC2" w:rsidRPr="005B324C" w:rsidRDefault="00C46AC2" w:rsidP="00B12B0C">
            <w:pPr>
              <w:pStyle w:val="UtilComTabletext"/>
              <w:tabs>
                <w:tab w:val="num" w:pos="522"/>
                <w:tab w:val="left" w:pos="993"/>
              </w:tabs>
              <w:ind w:left="522" w:hanging="450"/>
              <w:jc w:val="right"/>
            </w:pPr>
            <w:r>
              <w:t>208.72</w:t>
            </w:r>
          </w:p>
        </w:tc>
        <w:tc>
          <w:tcPr>
            <w:tcW w:w="964" w:type="dxa"/>
            <w:tcBorders>
              <w:bottom w:val="single" w:sz="4" w:space="0" w:color="999999"/>
            </w:tcBorders>
          </w:tcPr>
          <w:p w14:paraId="460D73EB" w14:textId="1837BE30" w:rsidR="00C46AC2" w:rsidRPr="005B324C" w:rsidRDefault="00C46AC2" w:rsidP="00B12B0C">
            <w:pPr>
              <w:pStyle w:val="UtilComTabletext"/>
              <w:tabs>
                <w:tab w:val="num" w:pos="522"/>
                <w:tab w:val="left" w:pos="993"/>
              </w:tabs>
              <w:ind w:left="522" w:hanging="450"/>
              <w:jc w:val="right"/>
            </w:pPr>
            <w:r>
              <w:t>209.85</w:t>
            </w:r>
          </w:p>
        </w:tc>
        <w:tc>
          <w:tcPr>
            <w:tcW w:w="1021" w:type="dxa"/>
            <w:tcBorders>
              <w:bottom w:val="single" w:sz="4" w:space="0" w:color="999999"/>
            </w:tcBorders>
          </w:tcPr>
          <w:p w14:paraId="077A2643" w14:textId="77777777" w:rsidR="00C46AC2" w:rsidRDefault="00C46AC2" w:rsidP="00B12B0C">
            <w:pPr>
              <w:pStyle w:val="UtilComTabletext"/>
              <w:tabs>
                <w:tab w:val="num" w:pos="522"/>
                <w:tab w:val="left" w:pos="993"/>
              </w:tabs>
              <w:ind w:left="522" w:hanging="450"/>
              <w:jc w:val="right"/>
            </w:pPr>
          </w:p>
        </w:tc>
      </w:tr>
      <w:tr w:rsidR="00C46AC2" w:rsidRPr="005B324C" w14:paraId="119A8F7C" w14:textId="741A85D2" w:rsidTr="00C46AC2">
        <w:trPr>
          <w:cantSplit/>
          <w:trHeight w:val="360"/>
        </w:trPr>
        <w:tc>
          <w:tcPr>
            <w:tcW w:w="2410" w:type="dxa"/>
            <w:tcBorders>
              <w:bottom w:val="single" w:sz="4" w:space="0" w:color="999999"/>
            </w:tcBorders>
          </w:tcPr>
          <w:p w14:paraId="5C224349" w14:textId="77777777" w:rsidR="00C46AC2" w:rsidRPr="005B324C" w:rsidRDefault="00C46AC2" w:rsidP="00B12B0C">
            <w:pPr>
              <w:pStyle w:val="UtilComTabletext"/>
            </w:pPr>
            <w:r w:rsidRPr="005B324C">
              <w:t>Forecast CPI (%)</w:t>
            </w:r>
          </w:p>
        </w:tc>
        <w:tc>
          <w:tcPr>
            <w:tcW w:w="964" w:type="dxa"/>
            <w:tcBorders>
              <w:bottom w:val="single" w:sz="4" w:space="0" w:color="999999"/>
            </w:tcBorders>
          </w:tcPr>
          <w:p w14:paraId="297C23E8" w14:textId="77777777" w:rsidR="00C46AC2" w:rsidRPr="005B324C" w:rsidRDefault="00C46AC2" w:rsidP="00B12B0C">
            <w:pPr>
              <w:pStyle w:val="UtilComTabletext"/>
              <w:jc w:val="right"/>
            </w:pPr>
          </w:p>
        </w:tc>
        <w:tc>
          <w:tcPr>
            <w:tcW w:w="964" w:type="dxa"/>
            <w:tcBorders>
              <w:bottom w:val="single" w:sz="4" w:space="0" w:color="999999"/>
            </w:tcBorders>
          </w:tcPr>
          <w:p w14:paraId="1A7A53B3" w14:textId="77777777" w:rsidR="00C46AC2" w:rsidRPr="005B324C" w:rsidRDefault="00C46AC2" w:rsidP="00B12B0C">
            <w:pPr>
              <w:pStyle w:val="UtilComTabletext"/>
              <w:tabs>
                <w:tab w:val="num" w:pos="522"/>
                <w:tab w:val="left" w:pos="993"/>
              </w:tabs>
              <w:ind w:left="522" w:hanging="450"/>
              <w:jc w:val="right"/>
            </w:pPr>
            <w:r w:rsidRPr="005B324C">
              <w:t>2.59</w:t>
            </w:r>
          </w:p>
        </w:tc>
        <w:tc>
          <w:tcPr>
            <w:tcW w:w="964" w:type="dxa"/>
            <w:tcBorders>
              <w:bottom w:val="single" w:sz="4" w:space="0" w:color="999999"/>
            </w:tcBorders>
          </w:tcPr>
          <w:p w14:paraId="61E9BA64" w14:textId="77777777" w:rsidR="00C46AC2" w:rsidRPr="005B324C" w:rsidRDefault="00C46AC2" w:rsidP="00B12B0C">
            <w:pPr>
              <w:pStyle w:val="UtilComTabletext"/>
              <w:tabs>
                <w:tab w:val="num" w:pos="522"/>
                <w:tab w:val="left" w:pos="993"/>
              </w:tabs>
              <w:ind w:left="522" w:hanging="450"/>
              <w:jc w:val="right"/>
            </w:pPr>
            <w:r w:rsidRPr="005B324C">
              <w:t>2.59</w:t>
            </w:r>
          </w:p>
        </w:tc>
        <w:tc>
          <w:tcPr>
            <w:tcW w:w="964" w:type="dxa"/>
            <w:tcBorders>
              <w:bottom w:val="single" w:sz="4" w:space="0" w:color="999999"/>
            </w:tcBorders>
          </w:tcPr>
          <w:p w14:paraId="5EA0694A" w14:textId="77777777" w:rsidR="00C46AC2" w:rsidRPr="005B324C" w:rsidRDefault="00C46AC2" w:rsidP="00B12B0C">
            <w:pPr>
              <w:pStyle w:val="UtilComTabletext"/>
              <w:tabs>
                <w:tab w:val="num" w:pos="522"/>
                <w:tab w:val="left" w:pos="993"/>
              </w:tabs>
              <w:ind w:left="522" w:hanging="450"/>
              <w:jc w:val="right"/>
            </w:pPr>
            <w:r w:rsidRPr="005B324C">
              <w:t>2.59</w:t>
            </w:r>
          </w:p>
        </w:tc>
        <w:tc>
          <w:tcPr>
            <w:tcW w:w="964" w:type="dxa"/>
            <w:tcBorders>
              <w:bottom w:val="single" w:sz="4" w:space="0" w:color="999999"/>
            </w:tcBorders>
          </w:tcPr>
          <w:p w14:paraId="4AF4295A" w14:textId="77777777" w:rsidR="00C46AC2" w:rsidRPr="005B324C" w:rsidRDefault="00C46AC2" w:rsidP="00B12B0C">
            <w:pPr>
              <w:pStyle w:val="UtilComTabletext"/>
              <w:tabs>
                <w:tab w:val="num" w:pos="522"/>
                <w:tab w:val="left" w:pos="993"/>
              </w:tabs>
              <w:ind w:left="522" w:hanging="450"/>
              <w:jc w:val="right"/>
            </w:pPr>
            <w:r w:rsidRPr="005B324C">
              <w:t>2.59</w:t>
            </w:r>
          </w:p>
        </w:tc>
        <w:tc>
          <w:tcPr>
            <w:tcW w:w="964" w:type="dxa"/>
            <w:tcBorders>
              <w:bottom w:val="single" w:sz="4" w:space="0" w:color="999999"/>
            </w:tcBorders>
          </w:tcPr>
          <w:p w14:paraId="13E34A00" w14:textId="77777777" w:rsidR="00C46AC2" w:rsidRPr="005B324C" w:rsidRDefault="00C46AC2" w:rsidP="00B12B0C">
            <w:pPr>
              <w:pStyle w:val="UtilComTabletext"/>
              <w:tabs>
                <w:tab w:val="num" w:pos="522"/>
                <w:tab w:val="left" w:pos="993"/>
              </w:tabs>
              <w:ind w:left="522" w:hanging="450"/>
              <w:jc w:val="right"/>
            </w:pPr>
            <w:r w:rsidRPr="005B324C">
              <w:t>2.59</w:t>
            </w:r>
          </w:p>
        </w:tc>
        <w:tc>
          <w:tcPr>
            <w:tcW w:w="1021" w:type="dxa"/>
            <w:tcBorders>
              <w:bottom w:val="single" w:sz="4" w:space="0" w:color="999999"/>
            </w:tcBorders>
          </w:tcPr>
          <w:p w14:paraId="388CACF2" w14:textId="77777777" w:rsidR="00C46AC2" w:rsidRPr="005B324C" w:rsidRDefault="00C46AC2" w:rsidP="00B12B0C">
            <w:pPr>
              <w:pStyle w:val="UtilComTabletext"/>
              <w:tabs>
                <w:tab w:val="num" w:pos="522"/>
                <w:tab w:val="left" w:pos="993"/>
              </w:tabs>
              <w:ind w:left="522" w:hanging="450"/>
              <w:jc w:val="right"/>
            </w:pPr>
          </w:p>
        </w:tc>
      </w:tr>
      <w:tr w:rsidR="00C46AC2" w:rsidRPr="007C4959" w14:paraId="4570931F" w14:textId="07D389B9" w:rsidTr="00C46AC2">
        <w:trPr>
          <w:cantSplit/>
          <w:trHeight w:val="360"/>
        </w:trPr>
        <w:tc>
          <w:tcPr>
            <w:tcW w:w="2410" w:type="dxa"/>
            <w:tcBorders>
              <w:bottom w:val="single" w:sz="4" w:space="0" w:color="auto"/>
            </w:tcBorders>
          </w:tcPr>
          <w:p w14:paraId="717F4556" w14:textId="77777777" w:rsidR="00C46AC2" w:rsidRPr="005B324C" w:rsidRDefault="00C46AC2" w:rsidP="00B12B0C">
            <w:pPr>
              <w:pStyle w:val="UtilComTabletext"/>
              <w:rPr>
                <w:b/>
              </w:rPr>
            </w:pPr>
            <w:r w:rsidRPr="005B324C">
              <w:rPr>
                <w:b/>
              </w:rPr>
              <w:t xml:space="preserve">X factors (%) </w:t>
            </w:r>
            <w:r w:rsidRPr="005B324C">
              <w:rPr>
                <w:b/>
                <w:vertAlign w:val="superscript"/>
              </w:rPr>
              <w:t>(a)</w:t>
            </w:r>
          </w:p>
        </w:tc>
        <w:tc>
          <w:tcPr>
            <w:tcW w:w="964" w:type="dxa"/>
            <w:tcBorders>
              <w:bottom w:val="single" w:sz="4" w:space="0" w:color="auto"/>
            </w:tcBorders>
          </w:tcPr>
          <w:p w14:paraId="3A93E469" w14:textId="77777777" w:rsidR="00C46AC2" w:rsidRPr="005B324C" w:rsidRDefault="00C46AC2" w:rsidP="00B12B0C">
            <w:pPr>
              <w:pStyle w:val="UtilComTabletext"/>
              <w:jc w:val="right"/>
              <w:rPr>
                <w:b/>
              </w:rPr>
            </w:pPr>
          </w:p>
        </w:tc>
        <w:tc>
          <w:tcPr>
            <w:tcW w:w="964" w:type="dxa"/>
            <w:tcBorders>
              <w:bottom w:val="single" w:sz="4" w:space="0" w:color="auto"/>
            </w:tcBorders>
          </w:tcPr>
          <w:p w14:paraId="56AE66D6" w14:textId="2D87EFB6" w:rsidR="00C46AC2" w:rsidRPr="005B324C" w:rsidRDefault="00C46AC2" w:rsidP="00C46AC2">
            <w:pPr>
              <w:pStyle w:val="UtilComTabletext"/>
              <w:tabs>
                <w:tab w:val="num" w:pos="522"/>
                <w:tab w:val="left" w:pos="993"/>
              </w:tabs>
              <w:ind w:left="522" w:hanging="450"/>
              <w:jc w:val="right"/>
              <w:rPr>
                <w:b/>
              </w:rPr>
            </w:pPr>
            <w:r w:rsidRPr="005B324C">
              <w:rPr>
                <w:b/>
              </w:rPr>
              <w:t xml:space="preserve">- </w:t>
            </w:r>
            <w:r>
              <w:rPr>
                <w:b/>
              </w:rPr>
              <w:t>24.58</w:t>
            </w:r>
          </w:p>
        </w:tc>
        <w:tc>
          <w:tcPr>
            <w:tcW w:w="964" w:type="dxa"/>
            <w:tcBorders>
              <w:bottom w:val="single" w:sz="4" w:space="0" w:color="auto"/>
            </w:tcBorders>
          </w:tcPr>
          <w:p w14:paraId="7BABFFA6" w14:textId="5303DC67" w:rsidR="00C46AC2" w:rsidRPr="005B324C" w:rsidRDefault="00C46AC2" w:rsidP="00C46AC2">
            <w:pPr>
              <w:pStyle w:val="UtilComTabletext"/>
              <w:tabs>
                <w:tab w:val="num" w:pos="522"/>
                <w:tab w:val="left" w:pos="993"/>
              </w:tabs>
              <w:ind w:left="522" w:hanging="450"/>
              <w:jc w:val="right"/>
              <w:rPr>
                <w:b/>
              </w:rPr>
            </w:pPr>
            <w:r w:rsidRPr="005B324C">
              <w:rPr>
                <w:b/>
              </w:rPr>
              <w:t xml:space="preserve">- </w:t>
            </w:r>
            <w:r>
              <w:rPr>
                <w:b/>
              </w:rPr>
              <w:t>8</w:t>
            </w:r>
            <w:r w:rsidRPr="005B324C">
              <w:rPr>
                <w:b/>
              </w:rPr>
              <w:t>.00</w:t>
            </w:r>
          </w:p>
        </w:tc>
        <w:tc>
          <w:tcPr>
            <w:tcW w:w="964" w:type="dxa"/>
            <w:tcBorders>
              <w:bottom w:val="single" w:sz="4" w:space="0" w:color="auto"/>
            </w:tcBorders>
          </w:tcPr>
          <w:p w14:paraId="107B7054" w14:textId="77777777" w:rsidR="00C46AC2" w:rsidRPr="005B324C" w:rsidRDefault="00C46AC2" w:rsidP="0049115D">
            <w:pPr>
              <w:pStyle w:val="UtilComTabletext"/>
              <w:tabs>
                <w:tab w:val="num" w:pos="522"/>
                <w:tab w:val="left" w:pos="993"/>
              </w:tabs>
              <w:ind w:left="522" w:hanging="450"/>
              <w:jc w:val="right"/>
              <w:rPr>
                <w:b/>
              </w:rPr>
            </w:pPr>
            <w:r w:rsidRPr="005B324C">
              <w:rPr>
                <w:b/>
              </w:rPr>
              <w:t>- 3.00</w:t>
            </w:r>
          </w:p>
        </w:tc>
        <w:tc>
          <w:tcPr>
            <w:tcW w:w="964" w:type="dxa"/>
            <w:tcBorders>
              <w:bottom w:val="single" w:sz="4" w:space="0" w:color="auto"/>
            </w:tcBorders>
          </w:tcPr>
          <w:p w14:paraId="6A910514" w14:textId="77777777" w:rsidR="00C46AC2" w:rsidRPr="005B324C" w:rsidRDefault="00C46AC2" w:rsidP="0049115D">
            <w:pPr>
              <w:pStyle w:val="UtilComTabletext"/>
              <w:tabs>
                <w:tab w:val="num" w:pos="522"/>
                <w:tab w:val="left" w:pos="993"/>
              </w:tabs>
              <w:ind w:left="522" w:hanging="450"/>
              <w:jc w:val="right"/>
              <w:rPr>
                <w:b/>
              </w:rPr>
            </w:pPr>
            <w:r w:rsidRPr="005B324C">
              <w:rPr>
                <w:b/>
              </w:rPr>
              <w:t xml:space="preserve"> 2.00</w:t>
            </w:r>
          </w:p>
        </w:tc>
        <w:tc>
          <w:tcPr>
            <w:tcW w:w="964" w:type="dxa"/>
            <w:tcBorders>
              <w:bottom w:val="single" w:sz="4" w:space="0" w:color="auto"/>
            </w:tcBorders>
          </w:tcPr>
          <w:p w14:paraId="587CC3CE" w14:textId="77777777" w:rsidR="00C46AC2" w:rsidRPr="005B324C" w:rsidRDefault="00C46AC2" w:rsidP="0049115D">
            <w:pPr>
              <w:pStyle w:val="UtilComTabletext"/>
              <w:tabs>
                <w:tab w:val="num" w:pos="522"/>
                <w:tab w:val="left" w:pos="993"/>
              </w:tabs>
              <w:ind w:left="522" w:hanging="450"/>
              <w:jc w:val="right"/>
              <w:rPr>
                <w:b/>
              </w:rPr>
            </w:pPr>
            <w:r w:rsidRPr="005B324C">
              <w:rPr>
                <w:b/>
              </w:rPr>
              <w:t xml:space="preserve"> 2.00</w:t>
            </w:r>
          </w:p>
        </w:tc>
        <w:tc>
          <w:tcPr>
            <w:tcW w:w="1021" w:type="dxa"/>
            <w:tcBorders>
              <w:bottom w:val="single" w:sz="4" w:space="0" w:color="auto"/>
            </w:tcBorders>
          </w:tcPr>
          <w:p w14:paraId="59572E76" w14:textId="77777777" w:rsidR="00C46AC2" w:rsidRPr="005B324C" w:rsidRDefault="00C46AC2" w:rsidP="0049115D">
            <w:pPr>
              <w:pStyle w:val="UtilComTabletext"/>
              <w:tabs>
                <w:tab w:val="num" w:pos="522"/>
                <w:tab w:val="left" w:pos="993"/>
              </w:tabs>
              <w:ind w:left="522" w:hanging="450"/>
              <w:jc w:val="right"/>
              <w:rPr>
                <w:b/>
              </w:rPr>
            </w:pPr>
          </w:p>
        </w:tc>
      </w:tr>
    </w:tbl>
    <w:p w14:paraId="0AC8EB93" w14:textId="474A4F87" w:rsidR="00DB702F" w:rsidRPr="00DB1A4E" w:rsidRDefault="00DB702F" w:rsidP="00DB702F">
      <w:pPr>
        <w:rPr>
          <w:lang w:val="en-AU"/>
        </w:rPr>
      </w:pPr>
      <w:r w:rsidRPr="00DB3B01">
        <w:rPr>
          <w:sz w:val="18"/>
          <w:szCs w:val="18"/>
          <w:lang w:val="en-AU"/>
        </w:rPr>
        <w:t xml:space="preserve">Source: Utilities Commission, NTRM </w:t>
      </w:r>
      <w:r w:rsidR="00C46AC2">
        <w:rPr>
          <w:sz w:val="18"/>
          <w:szCs w:val="18"/>
          <w:lang w:val="en-AU"/>
        </w:rPr>
        <w:t>Final Decision</w:t>
      </w:r>
      <w:r>
        <w:rPr>
          <w:lang w:val="en-AU"/>
        </w:rPr>
        <w:br/>
      </w:r>
    </w:p>
    <w:p w14:paraId="59021BAD" w14:textId="7981AA4D" w:rsidR="00DB702F" w:rsidRPr="00A139AD" w:rsidRDefault="00DB702F" w:rsidP="00DB702F">
      <w:pPr>
        <w:pStyle w:val="UtilComTableTitle"/>
        <w:keepNext/>
        <w:spacing w:before="120" w:after="0" w:line="240" w:lineRule="exact"/>
      </w:pPr>
      <w:r>
        <w:t xml:space="preserve">Table </w:t>
      </w:r>
      <w:r w:rsidR="002D510D">
        <w:t>14.14</w:t>
      </w:r>
      <w:r>
        <w:t>: Commission</w:t>
      </w:r>
      <w:r w:rsidR="00E430A4">
        <w:t>’s decision</w:t>
      </w:r>
      <w:r>
        <w:t xml:space="preserve"> on PWC Networks </w:t>
      </w:r>
      <w:r w:rsidRPr="006A402B">
        <w:t>annual revenue requirement and X factors</w:t>
      </w:r>
      <w:r>
        <w:t>, including</w:t>
      </w:r>
      <w:r w:rsidRPr="006A402B">
        <w:t xml:space="preserve"> </w:t>
      </w:r>
      <w:r>
        <w:t xml:space="preserve">carryover from cost pass through decision </w:t>
      </w:r>
      <w:r w:rsidRPr="006A402B">
        <w:t>($</w:t>
      </w:r>
      <w:r>
        <w:t>M</w:t>
      </w:r>
      <w:r w:rsidRPr="006A402B">
        <w:t>, nominal)</w:t>
      </w:r>
    </w:p>
    <w:tbl>
      <w:tblPr>
        <w:tblW w:w="9214"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000" w:firstRow="0" w:lastRow="0" w:firstColumn="0" w:lastColumn="0" w:noHBand="0" w:noVBand="0"/>
      </w:tblPr>
      <w:tblGrid>
        <w:gridCol w:w="2409"/>
        <w:gridCol w:w="964"/>
        <w:gridCol w:w="964"/>
        <w:gridCol w:w="964"/>
        <w:gridCol w:w="964"/>
        <w:gridCol w:w="964"/>
        <w:gridCol w:w="964"/>
        <w:gridCol w:w="1021"/>
      </w:tblGrid>
      <w:tr w:rsidR="008F3830" w:rsidRPr="008A4655" w14:paraId="35216E14" w14:textId="1561AFD0" w:rsidTr="008F3830">
        <w:trPr>
          <w:cantSplit/>
          <w:trHeight w:val="360"/>
        </w:trPr>
        <w:tc>
          <w:tcPr>
            <w:tcW w:w="2410" w:type="dxa"/>
            <w:tcBorders>
              <w:top w:val="single" w:sz="4" w:space="0" w:color="999999"/>
              <w:bottom w:val="single" w:sz="4" w:space="0" w:color="auto"/>
            </w:tcBorders>
          </w:tcPr>
          <w:p w14:paraId="40EC9B4E" w14:textId="77777777" w:rsidR="008F3830" w:rsidRPr="00EE5A08" w:rsidRDefault="008F3830" w:rsidP="00B12B0C">
            <w:pPr>
              <w:pStyle w:val="UtilComTabletext"/>
              <w:rPr>
                <w:b/>
              </w:rPr>
            </w:pPr>
          </w:p>
        </w:tc>
        <w:tc>
          <w:tcPr>
            <w:tcW w:w="964" w:type="dxa"/>
            <w:tcBorders>
              <w:top w:val="single" w:sz="4" w:space="0" w:color="999999"/>
              <w:bottom w:val="single" w:sz="4" w:space="0" w:color="auto"/>
            </w:tcBorders>
          </w:tcPr>
          <w:p w14:paraId="500EE8E9" w14:textId="77777777" w:rsidR="008F3830" w:rsidRPr="00EE5A08" w:rsidRDefault="008F3830" w:rsidP="00B12B0C">
            <w:pPr>
              <w:pStyle w:val="UtilComTabletext"/>
              <w:jc w:val="right"/>
              <w:rPr>
                <w:b/>
              </w:rPr>
            </w:pPr>
            <w:r>
              <w:rPr>
                <w:b/>
              </w:rPr>
              <w:t>2013-14</w:t>
            </w:r>
          </w:p>
        </w:tc>
        <w:tc>
          <w:tcPr>
            <w:tcW w:w="964" w:type="dxa"/>
            <w:tcBorders>
              <w:top w:val="single" w:sz="4" w:space="0" w:color="999999"/>
              <w:bottom w:val="single" w:sz="4" w:space="0" w:color="auto"/>
            </w:tcBorders>
          </w:tcPr>
          <w:p w14:paraId="670A09DC" w14:textId="77777777" w:rsidR="008F3830" w:rsidRPr="00EE5A08" w:rsidRDefault="008F3830" w:rsidP="00B12B0C">
            <w:pPr>
              <w:pStyle w:val="UtilComTabletext"/>
              <w:jc w:val="right"/>
              <w:rPr>
                <w:b/>
              </w:rPr>
            </w:pPr>
            <w:r>
              <w:rPr>
                <w:b/>
              </w:rPr>
              <w:t>2014-15</w:t>
            </w:r>
          </w:p>
        </w:tc>
        <w:tc>
          <w:tcPr>
            <w:tcW w:w="964" w:type="dxa"/>
            <w:tcBorders>
              <w:top w:val="single" w:sz="4" w:space="0" w:color="999999"/>
              <w:bottom w:val="single" w:sz="4" w:space="0" w:color="auto"/>
            </w:tcBorders>
          </w:tcPr>
          <w:p w14:paraId="07292740" w14:textId="77777777" w:rsidR="008F3830" w:rsidRPr="00EE5A08" w:rsidRDefault="008F3830" w:rsidP="00B12B0C">
            <w:pPr>
              <w:pStyle w:val="UtilComTabletext"/>
              <w:jc w:val="right"/>
              <w:rPr>
                <w:b/>
              </w:rPr>
            </w:pPr>
            <w:r>
              <w:rPr>
                <w:b/>
              </w:rPr>
              <w:t>2015-16</w:t>
            </w:r>
          </w:p>
        </w:tc>
        <w:tc>
          <w:tcPr>
            <w:tcW w:w="964" w:type="dxa"/>
            <w:tcBorders>
              <w:top w:val="single" w:sz="4" w:space="0" w:color="999999"/>
              <w:bottom w:val="single" w:sz="4" w:space="0" w:color="auto"/>
            </w:tcBorders>
          </w:tcPr>
          <w:p w14:paraId="50D36C0F" w14:textId="77777777" w:rsidR="008F3830" w:rsidRDefault="008F3830" w:rsidP="00B12B0C">
            <w:pPr>
              <w:pStyle w:val="UtilComTabletext"/>
              <w:jc w:val="right"/>
              <w:rPr>
                <w:b/>
              </w:rPr>
            </w:pPr>
            <w:r>
              <w:rPr>
                <w:b/>
              </w:rPr>
              <w:t>2016-17</w:t>
            </w:r>
          </w:p>
        </w:tc>
        <w:tc>
          <w:tcPr>
            <w:tcW w:w="964" w:type="dxa"/>
            <w:tcBorders>
              <w:top w:val="single" w:sz="4" w:space="0" w:color="999999"/>
              <w:bottom w:val="single" w:sz="4" w:space="0" w:color="auto"/>
            </w:tcBorders>
          </w:tcPr>
          <w:p w14:paraId="59E562ED" w14:textId="77777777" w:rsidR="008F3830" w:rsidRDefault="008F3830" w:rsidP="00B12B0C">
            <w:pPr>
              <w:pStyle w:val="UtilComTabletext"/>
              <w:jc w:val="right"/>
              <w:rPr>
                <w:b/>
              </w:rPr>
            </w:pPr>
            <w:r>
              <w:rPr>
                <w:b/>
              </w:rPr>
              <w:t>2017-18</w:t>
            </w:r>
          </w:p>
        </w:tc>
        <w:tc>
          <w:tcPr>
            <w:tcW w:w="964" w:type="dxa"/>
            <w:tcBorders>
              <w:top w:val="single" w:sz="4" w:space="0" w:color="999999"/>
              <w:bottom w:val="single" w:sz="4" w:space="0" w:color="auto"/>
            </w:tcBorders>
          </w:tcPr>
          <w:p w14:paraId="5010F204" w14:textId="77777777" w:rsidR="008F3830" w:rsidRPr="00EE5A08" w:rsidRDefault="008F3830" w:rsidP="00B12B0C">
            <w:pPr>
              <w:pStyle w:val="UtilComTabletext"/>
              <w:jc w:val="right"/>
              <w:rPr>
                <w:b/>
              </w:rPr>
            </w:pPr>
            <w:r>
              <w:rPr>
                <w:b/>
              </w:rPr>
              <w:t>2018-19</w:t>
            </w:r>
          </w:p>
        </w:tc>
        <w:tc>
          <w:tcPr>
            <w:tcW w:w="1021" w:type="dxa"/>
            <w:tcBorders>
              <w:top w:val="single" w:sz="4" w:space="0" w:color="999999"/>
              <w:bottom w:val="single" w:sz="4" w:space="0" w:color="auto"/>
            </w:tcBorders>
          </w:tcPr>
          <w:p w14:paraId="5FA27782" w14:textId="02DEF40D" w:rsidR="008F3830" w:rsidRDefault="008F3830" w:rsidP="00B12B0C">
            <w:pPr>
              <w:pStyle w:val="UtilComTabletext"/>
              <w:jc w:val="right"/>
              <w:rPr>
                <w:b/>
              </w:rPr>
            </w:pPr>
            <w:r>
              <w:rPr>
                <w:b/>
              </w:rPr>
              <w:t>Total</w:t>
            </w:r>
          </w:p>
        </w:tc>
      </w:tr>
      <w:tr w:rsidR="008F3830" w:rsidRPr="003B0EB8" w14:paraId="5419CB4E" w14:textId="76CF91DC" w:rsidTr="008F3830">
        <w:trPr>
          <w:cantSplit/>
          <w:trHeight w:val="360"/>
        </w:trPr>
        <w:tc>
          <w:tcPr>
            <w:tcW w:w="2410" w:type="dxa"/>
            <w:tcBorders>
              <w:top w:val="single" w:sz="4" w:space="0" w:color="auto"/>
              <w:bottom w:val="single" w:sz="4" w:space="0" w:color="999999"/>
            </w:tcBorders>
          </w:tcPr>
          <w:p w14:paraId="5E88BAF3" w14:textId="77777777" w:rsidR="008F3830" w:rsidRPr="003B0EB8" w:rsidRDefault="008F3830" w:rsidP="00B12B0C">
            <w:pPr>
              <w:pStyle w:val="UtilComTabletext"/>
            </w:pPr>
            <w:r w:rsidRPr="003B0EB8">
              <w:t>Unsmoothed annual revenue requirement</w:t>
            </w:r>
          </w:p>
        </w:tc>
        <w:tc>
          <w:tcPr>
            <w:tcW w:w="964" w:type="dxa"/>
            <w:tcBorders>
              <w:top w:val="single" w:sz="4" w:space="0" w:color="auto"/>
              <w:bottom w:val="single" w:sz="4" w:space="0" w:color="999999"/>
            </w:tcBorders>
          </w:tcPr>
          <w:p w14:paraId="3E78D345" w14:textId="77777777" w:rsidR="008F3830" w:rsidRPr="003B0EB8" w:rsidRDefault="008F3830" w:rsidP="00B12B0C">
            <w:pPr>
              <w:pStyle w:val="UtilComTabletext"/>
              <w:jc w:val="right"/>
            </w:pPr>
          </w:p>
        </w:tc>
        <w:tc>
          <w:tcPr>
            <w:tcW w:w="964" w:type="dxa"/>
            <w:tcBorders>
              <w:top w:val="single" w:sz="4" w:space="0" w:color="auto"/>
              <w:bottom w:val="single" w:sz="4" w:space="0" w:color="999999"/>
            </w:tcBorders>
          </w:tcPr>
          <w:p w14:paraId="3C4DD37C" w14:textId="562B399A" w:rsidR="008F3830" w:rsidRPr="003B0EB8" w:rsidRDefault="008F3830" w:rsidP="00B12B0C">
            <w:pPr>
              <w:pStyle w:val="UtilComTabletext"/>
              <w:tabs>
                <w:tab w:val="num" w:pos="522"/>
                <w:tab w:val="left" w:pos="993"/>
              </w:tabs>
              <w:ind w:left="522" w:hanging="450"/>
              <w:jc w:val="right"/>
            </w:pPr>
            <w:r>
              <w:t>201.41</w:t>
            </w:r>
          </w:p>
        </w:tc>
        <w:tc>
          <w:tcPr>
            <w:tcW w:w="964" w:type="dxa"/>
            <w:tcBorders>
              <w:top w:val="single" w:sz="4" w:space="0" w:color="auto"/>
              <w:bottom w:val="single" w:sz="4" w:space="0" w:color="999999"/>
            </w:tcBorders>
          </w:tcPr>
          <w:p w14:paraId="10B71896" w14:textId="32005AA2" w:rsidR="008F3830" w:rsidRPr="003B0EB8" w:rsidRDefault="008F3830" w:rsidP="00E149C6">
            <w:pPr>
              <w:pStyle w:val="UtilComTabletext"/>
              <w:tabs>
                <w:tab w:val="num" w:pos="522"/>
                <w:tab w:val="left" w:pos="993"/>
              </w:tabs>
              <w:ind w:left="522" w:hanging="450"/>
              <w:jc w:val="right"/>
            </w:pPr>
            <w:r>
              <w:t>2</w:t>
            </w:r>
            <w:r w:rsidR="00E149C6">
              <w:t>0</w:t>
            </w:r>
            <w:r>
              <w:t>3.21</w:t>
            </w:r>
          </w:p>
        </w:tc>
        <w:tc>
          <w:tcPr>
            <w:tcW w:w="964" w:type="dxa"/>
            <w:tcBorders>
              <w:top w:val="single" w:sz="4" w:space="0" w:color="auto"/>
              <w:bottom w:val="single" w:sz="4" w:space="0" w:color="999999"/>
            </w:tcBorders>
          </w:tcPr>
          <w:p w14:paraId="5B36F27B" w14:textId="035101A7" w:rsidR="008F3830" w:rsidRPr="003B0EB8" w:rsidRDefault="008F3830" w:rsidP="003B0EB8">
            <w:pPr>
              <w:pStyle w:val="UtilComTabletext"/>
              <w:tabs>
                <w:tab w:val="num" w:pos="522"/>
                <w:tab w:val="left" w:pos="993"/>
              </w:tabs>
              <w:ind w:left="522" w:hanging="450"/>
              <w:jc w:val="right"/>
            </w:pPr>
            <w:r>
              <w:t>198.85</w:t>
            </w:r>
          </w:p>
        </w:tc>
        <w:tc>
          <w:tcPr>
            <w:tcW w:w="964" w:type="dxa"/>
            <w:tcBorders>
              <w:top w:val="single" w:sz="4" w:space="0" w:color="auto"/>
              <w:bottom w:val="single" w:sz="4" w:space="0" w:color="999999"/>
            </w:tcBorders>
          </w:tcPr>
          <w:p w14:paraId="6601372B" w14:textId="55B922FB" w:rsidR="008F3830" w:rsidRPr="003B0EB8" w:rsidRDefault="008F3830" w:rsidP="00B12B0C">
            <w:pPr>
              <w:pStyle w:val="UtilComTabletext"/>
              <w:tabs>
                <w:tab w:val="num" w:pos="522"/>
                <w:tab w:val="left" w:pos="993"/>
              </w:tabs>
              <w:ind w:left="522" w:hanging="450"/>
              <w:jc w:val="right"/>
            </w:pPr>
            <w:r>
              <w:t>195.64</w:t>
            </w:r>
          </w:p>
        </w:tc>
        <w:tc>
          <w:tcPr>
            <w:tcW w:w="964" w:type="dxa"/>
            <w:tcBorders>
              <w:top w:val="single" w:sz="4" w:space="0" w:color="auto"/>
              <w:bottom w:val="single" w:sz="4" w:space="0" w:color="999999"/>
            </w:tcBorders>
          </w:tcPr>
          <w:p w14:paraId="57AE4855" w14:textId="3A7FE3AF" w:rsidR="008F3830" w:rsidRPr="003B0EB8" w:rsidRDefault="008F3830" w:rsidP="00B12B0C">
            <w:pPr>
              <w:pStyle w:val="UtilComTabletext"/>
              <w:tabs>
                <w:tab w:val="num" w:pos="522"/>
                <w:tab w:val="left" w:pos="993"/>
              </w:tabs>
              <w:ind w:left="522" w:hanging="450"/>
              <w:jc w:val="right"/>
            </w:pPr>
            <w:r>
              <w:t>193.08</w:t>
            </w:r>
          </w:p>
        </w:tc>
        <w:tc>
          <w:tcPr>
            <w:tcW w:w="1021" w:type="dxa"/>
            <w:tcBorders>
              <w:top w:val="single" w:sz="4" w:space="0" w:color="auto"/>
              <w:bottom w:val="single" w:sz="4" w:space="0" w:color="999999"/>
            </w:tcBorders>
          </w:tcPr>
          <w:p w14:paraId="141BAABF" w14:textId="52DB21A1" w:rsidR="008F3830" w:rsidRDefault="008F3830" w:rsidP="00B12B0C">
            <w:pPr>
              <w:pStyle w:val="UtilComTabletext"/>
              <w:tabs>
                <w:tab w:val="num" w:pos="522"/>
                <w:tab w:val="left" w:pos="993"/>
              </w:tabs>
              <w:ind w:left="522" w:hanging="450"/>
              <w:jc w:val="right"/>
            </w:pPr>
            <w:r>
              <w:t>922.20</w:t>
            </w:r>
          </w:p>
        </w:tc>
      </w:tr>
      <w:tr w:rsidR="008F3830" w:rsidRPr="003B0EB8" w14:paraId="54C550D8" w14:textId="0472249A" w:rsidTr="008F3830">
        <w:trPr>
          <w:cantSplit/>
          <w:trHeight w:val="360"/>
        </w:trPr>
        <w:tc>
          <w:tcPr>
            <w:tcW w:w="2410" w:type="dxa"/>
            <w:tcBorders>
              <w:bottom w:val="single" w:sz="4" w:space="0" w:color="auto"/>
            </w:tcBorders>
          </w:tcPr>
          <w:p w14:paraId="7C9954C9" w14:textId="77777777" w:rsidR="008F3830" w:rsidRPr="003B0EB8" w:rsidRDefault="008F3830" w:rsidP="00B12B0C">
            <w:pPr>
              <w:pStyle w:val="UtilComTabletext"/>
            </w:pPr>
            <w:r w:rsidRPr="003B0EB8">
              <w:t>Carryover adjustment (2013 cost pass through)</w:t>
            </w:r>
          </w:p>
        </w:tc>
        <w:tc>
          <w:tcPr>
            <w:tcW w:w="964" w:type="dxa"/>
            <w:tcBorders>
              <w:bottom w:val="single" w:sz="4" w:space="0" w:color="auto"/>
            </w:tcBorders>
          </w:tcPr>
          <w:p w14:paraId="2156A0FA" w14:textId="77777777" w:rsidR="008F3830" w:rsidRPr="003B0EB8" w:rsidRDefault="008F3830" w:rsidP="00B12B0C">
            <w:pPr>
              <w:pStyle w:val="UtilComTabletext"/>
              <w:jc w:val="right"/>
            </w:pPr>
          </w:p>
        </w:tc>
        <w:tc>
          <w:tcPr>
            <w:tcW w:w="964" w:type="dxa"/>
            <w:tcBorders>
              <w:bottom w:val="single" w:sz="4" w:space="0" w:color="auto"/>
            </w:tcBorders>
          </w:tcPr>
          <w:p w14:paraId="136A5756" w14:textId="77777777" w:rsidR="008F3830" w:rsidRPr="003B0EB8" w:rsidRDefault="008F3830" w:rsidP="00B12B0C">
            <w:pPr>
              <w:pStyle w:val="UtilComTabletext"/>
              <w:tabs>
                <w:tab w:val="num" w:pos="522"/>
                <w:tab w:val="left" w:pos="993"/>
              </w:tabs>
              <w:ind w:left="522" w:hanging="450"/>
              <w:jc w:val="right"/>
            </w:pPr>
            <w:r w:rsidRPr="003B0EB8">
              <w:t>7.18</w:t>
            </w:r>
          </w:p>
        </w:tc>
        <w:tc>
          <w:tcPr>
            <w:tcW w:w="964" w:type="dxa"/>
            <w:tcBorders>
              <w:bottom w:val="single" w:sz="4" w:space="0" w:color="auto"/>
            </w:tcBorders>
          </w:tcPr>
          <w:p w14:paraId="71A540C7" w14:textId="77777777" w:rsidR="008F3830" w:rsidRPr="003B0EB8" w:rsidRDefault="008F3830" w:rsidP="0049115D">
            <w:pPr>
              <w:pStyle w:val="UtilComTabletext"/>
              <w:tabs>
                <w:tab w:val="num" w:pos="522"/>
                <w:tab w:val="left" w:pos="993"/>
              </w:tabs>
              <w:ind w:left="522" w:hanging="450"/>
              <w:jc w:val="right"/>
            </w:pPr>
            <w:r w:rsidRPr="003B0EB8">
              <w:t>7.75</w:t>
            </w:r>
          </w:p>
        </w:tc>
        <w:tc>
          <w:tcPr>
            <w:tcW w:w="964" w:type="dxa"/>
            <w:tcBorders>
              <w:bottom w:val="single" w:sz="4" w:space="0" w:color="auto"/>
            </w:tcBorders>
          </w:tcPr>
          <w:p w14:paraId="6BB2F785" w14:textId="77777777" w:rsidR="008F3830" w:rsidRPr="003B0EB8" w:rsidRDefault="008F3830" w:rsidP="0049115D">
            <w:pPr>
              <w:pStyle w:val="UtilComTabletext"/>
              <w:tabs>
                <w:tab w:val="num" w:pos="522"/>
                <w:tab w:val="left" w:pos="993"/>
              </w:tabs>
              <w:ind w:left="522" w:hanging="450"/>
              <w:jc w:val="right"/>
            </w:pPr>
            <w:r w:rsidRPr="003B0EB8">
              <w:t>8.36</w:t>
            </w:r>
          </w:p>
        </w:tc>
        <w:tc>
          <w:tcPr>
            <w:tcW w:w="964" w:type="dxa"/>
            <w:tcBorders>
              <w:bottom w:val="single" w:sz="4" w:space="0" w:color="auto"/>
            </w:tcBorders>
          </w:tcPr>
          <w:p w14:paraId="4BCE9271" w14:textId="77777777" w:rsidR="008F3830" w:rsidRPr="003B0EB8" w:rsidRDefault="008F3830" w:rsidP="0049115D">
            <w:pPr>
              <w:pStyle w:val="UtilComTabletext"/>
              <w:tabs>
                <w:tab w:val="num" w:pos="522"/>
                <w:tab w:val="left" w:pos="993"/>
              </w:tabs>
              <w:ind w:left="522" w:hanging="450"/>
              <w:jc w:val="right"/>
            </w:pPr>
            <w:r w:rsidRPr="003B0EB8">
              <w:t>9.02</w:t>
            </w:r>
          </w:p>
        </w:tc>
        <w:tc>
          <w:tcPr>
            <w:tcW w:w="964" w:type="dxa"/>
            <w:tcBorders>
              <w:bottom w:val="single" w:sz="4" w:space="0" w:color="auto"/>
            </w:tcBorders>
          </w:tcPr>
          <w:p w14:paraId="4ED4CCE5" w14:textId="77777777" w:rsidR="008F3830" w:rsidRPr="003B0EB8" w:rsidRDefault="008F3830" w:rsidP="0049115D">
            <w:pPr>
              <w:pStyle w:val="UtilComTabletext"/>
              <w:tabs>
                <w:tab w:val="num" w:pos="522"/>
                <w:tab w:val="left" w:pos="993"/>
              </w:tabs>
              <w:ind w:left="522" w:hanging="450"/>
              <w:jc w:val="right"/>
            </w:pPr>
            <w:r w:rsidRPr="003B0EB8">
              <w:t>9.72</w:t>
            </w:r>
          </w:p>
        </w:tc>
        <w:tc>
          <w:tcPr>
            <w:tcW w:w="1021" w:type="dxa"/>
            <w:tcBorders>
              <w:bottom w:val="single" w:sz="4" w:space="0" w:color="auto"/>
            </w:tcBorders>
          </w:tcPr>
          <w:p w14:paraId="29F2D8CD" w14:textId="3BA5EFFC" w:rsidR="008F3830" w:rsidRPr="003B0EB8" w:rsidRDefault="008F3830" w:rsidP="0049115D">
            <w:pPr>
              <w:pStyle w:val="UtilComTabletext"/>
              <w:tabs>
                <w:tab w:val="num" w:pos="522"/>
                <w:tab w:val="left" w:pos="993"/>
              </w:tabs>
              <w:ind w:left="522" w:hanging="450"/>
              <w:jc w:val="right"/>
            </w:pPr>
            <w:r>
              <w:t>42.03</w:t>
            </w:r>
          </w:p>
        </w:tc>
      </w:tr>
      <w:tr w:rsidR="008F3830" w:rsidRPr="003B0EB8" w14:paraId="535CC80C" w14:textId="6473F46E" w:rsidTr="008F3830">
        <w:trPr>
          <w:cantSplit/>
          <w:trHeight w:val="360"/>
        </w:trPr>
        <w:tc>
          <w:tcPr>
            <w:tcW w:w="2410" w:type="dxa"/>
          </w:tcPr>
          <w:p w14:paraId="30BB5EA3" w14:textId="77777777" w:rsidR="008F3830" w:rsidRPr="003B0EB8" w:rsidRDefault="008F3830" w:rsidP="00B12B0C">
            <w:pPr>
              <w:pStyle w:val="UtilComTabletext"/>
            </w:pPr>
            <w:r w:rsidRPr="003B0EB8">
              <w:t>Total unsmoothed annual revenue requirement</w:t>
            </w:r>
          </w:p>
        </w:tc>
        <w:tc>
          <w:tcPr>
            <w:tcW w:w="964" w:type="dxa"/>
          </w:tcPr>
          <w:p w14:paraId="1F2A69D6" w14:textId="77777777" w:rsidR="008F3830" w:rsidRPr="003B0EB8" w:rsidRDefault="008F3830" w:rsidP="00B12B0C">
            <w:pPr>
              <w:pStyle w:val="UtilComTabletext"/>
              <w:jc w:val="right"/>
            </w:pPr>
          </w:p>
        </w:tc>
        <w:tc>
          <w:tcPr>
            <w:tcW w:w="964" w:type="dxa"/>
          </w:tcPr>
          <w:p w14:paraId="392AE952" w14:textId="574E7BA7" w:rsidR="008F3830" w:rsidRPr="003B0EB8" w:rsidRDefault="008F3830" w:rsidP="00B12B0C">
            <w:pPr>
              <w:pStyle w:val="UtilComTabletext"/>
              <w:tabs>
                <w:tab w:val="num" w:pos="522"/>
                <w:tab w:val="left" w:pos="993"/>
              </w:tabs>
              <w:ind w:left="522" w:hanging="450"/>
              <w:jc w:val="right"/>
            </w:pPr>
            <w:r>
              <w:t>208.60</w:t>
            </w:r>
          </w:p>
        </w:tc>
        <w:tc>
          <w:tcPr>
            <w:tcW w:w="964" w:type="dxa"/>
          </w:tcPr>
          <w:p w14:paraId="3E45B991" w14:textId="5995FFA3" w:rsidR="008F3830" w:rsidRPr="003B0EB8" w:rsidRDefault="008F3830" w:rsidP="003B0EB8">
            <w:pPr>
              <w:pStyle w:val="UtilComTabletext"/>
              <w:tabs>
                <w:tab w:val="num" w:pos="522"/>
                <w:tab w:val="left" w:pos="993"/>
              </w:tabs>
              <w:ind w:left="522" w:hanging="450"/>
              <w:jc w:val="right"/>
            </w:pPr>
            <w:r>
              <w:t>210.96</w:t>
            </w:r>
          </w:p>
        </w:tc>
        <w:tc>
          <w:tcPr>
            <w:tcW w:w="964" w:type="dxa"/>
          </w:tcPr>
          <w:p w14:paraId="13ECD428" w14:textId="599E398B" w:rsidR="008F3830" w:rsidRPr="003B0EB8" w:rsidRDefault="008F3830" w:rsidP="003B0EB8">
            <w:pPr>
              <w:pStyle w:val="UtilComTabletext"/>
              <w:tabs>
                <w:tab w:val="num" w:pos="522"/>
                <w:tab w:val="left" w:pos="993"/>
              </w:tabs>
              <w:ind w:left="522" w:hanging="450"/>
              <w:jc w:val="right"/>
            </w:pPr>
            <w:r>
              <w:t>207.21</w:t>
            </w:r>
          </w:p>
        </w:tc>
        <w:tc>
          <w:tcPr>
            <w:tcW w:w="964" w:type="dxa"/>
          </w:tcPr>
          <w:p w14:paraId="7F93CC42" w14:textId="26127492" w:rsidR="008F3830" w:rsidRPr="003B0EB8" w:rsidRDefault="008F3830" w:rsidP="00B12B0C">
            <w:pPr>
              <w:pStyle w:val="UtilComTabletext"/>
              <w:tabs>
                <w:tab w:val="num" w:pos="522"/>
                <w:tab w:val="left" w:pos="993"/>
              </w:tabs>
              <w:ind w:left="522" w:hanging="450"/>
              <w:jc w:val="right"/>
            </w:pPr>
            <w:r>
              <w:t>204.66</w:t>
            </w:r>
          </w:p>
        </w:tc>
        <w:tc>
          <w:tcPr>
            <w:tcW w:w="964" w:type="dxa"/>
          </w:tcPr>
          <w:p w14:paraId="640FF5FD" w14:textId="2D0ECE2C" w:rsidR="008F3830" w:rsidRPr="003B0EB8" w:rsidRDefault="008F3830" w:rsidP="00B12B0C">
            <w:pPr>
              <w:pStyle w:val="UtilComTabletext"/>
              <w:tabs>
                <w:tab w:val="num" w:pos="522"/>
                <w:tab w:val="left" w:pos="993"/>
              </w:tabs>
              <w:ind w:left="522" w:hanging="450"/>
              <w:jc w:val="right"/>
            </w:pPr>
            <w:r>
              <w:t>202.80</w:t>
            </w:r>
          </w:p>
        </w:tc>
        <w:tc>
          <w:tcPr>
            <w:tcW w:w="1021" w:type="dxa"/>
          </w:tcPr>
          <w:p w14:paraId="4F75167F" w14:textId="162EE735" w:rsidR="008F3830" w:rsidRDefault="008F3830" w:rsidP="00B12B0C">
            <w:pPr>
              <w:pStyle w:val="UtilComTabletext"/>
              <w:tabs>
                <w:tab w:val="num" w:pos="522"/>
                <w:tab w:val="left" w:pos="993"/>
              </w:tabs>
              <w:ind w:left="522" w:hanging="450"/>
              <w:jc w:val="right"/>
            </w:pPr>
            <w:r>
              <w:t>1 034.23</w:t>
            </w:r>
          </w:p>
        </w:tc>
      </w:tr>
      <w:tr w:rsidR="008F3830" w:rsidRPr="003B0EB8" w14:paraId="781C0047" w14:textId="59ECED9D" w:rsidTr="008F3830">
        <w:trPr>
          <w:cantSplit/>
          <w:trHeight w:val="360"/>
        </w:trPr>
        <w:tc>
          <w:tcPr>
            <w:tcW w:w="2410" w:type="dxa"/>
            <w:tcBorders>
              <w:bottom w:val="single" w:sz="4" w:space="0" w:color="999999"/>
            </w:tcBorders>
          </w:tcPr>
          <w:p w14:paraId="297345BC" w14:textId="77777777" w:rsidR="008F3830" w:rsidRPr="003B0EB8" w:rsidRDefault="008F3830" w:rsidP="00B12B0C">
            <w:pPr>
              <w:pStyle w:val="UtilComTabletext"/>
            </w:pPr>
            <w:r w:rsidRPr="003B0EB8">
              <w:t>Expected revenues (smoothed revenue)</w:t>
            </w:r>
          </w:p>
        </w:tc>
        <w:tc>
          <w:tcPr>
            <w:tcW w:w="964" w:type="dxa"/>
            <w:tcBorders>
              <w:bottom w:val="single" w:sz="4" w:space="0" w:color="999999"/>
            </w:tcBorders>
          </w:tcPr>
          <w:p w14:paraId="4646FAD0" w14:textId="77777777" w:rsidR="008F3830" w:rsidRPr="003B0EB8" w:rsidRDefault="008F3830" w:rsidP="00B12B0C">
            <w:pPr>
              <w:pStyle w:val="UtilComTabletext"/>
              <w:jc w:val="right"/>
            </w:pPr>
            <w:r w:rsidRPr="003B0EB8">
              <w:t>138.75</w:t>
            </w:r>
          </w:p>
        </w:tc>
        <w:tc>
          <w:tcPr>
            <w:tcW w:w="964" w:type="dxa"/>
            <w:tcBorders>
              <w:bottom w:val="single" w:sz="4" w:space="0" w:color="999999"/>
            </w:tcBorders>
          </w:tcPr>
          <w:p w14:paraId="2C10DC46" w14:textId="2C082C40" w:rsidR="008F3830" w:rsidRPr="003B0EB8" w:rsidRDefault="008F3830" w:rsidP="008F3830">
            <w:pPr>
              <w:pStyle w:val="UtilComTabletext"/>
              <w:tabs>
                <w:tab w:val="num" w:pos="522"/>
                <w:tab w:val="left" w:pos="993"/>
              </w:tabs>
              <w:ind w:left="522" w:hanging="450"/>
              <w:jc w:val="right"/>
            </w:pPr>
            <w:r>
              <w:t>184.74</w:t>
            </w:r>
          </w:p>
        </w:tc>
        <w:tc>
          <w:tcPr>
            <w:tcW w:w="964" w:type="dxa"/>
            <w:tcBorders>
              <w:bottom w:val="single" w:sz="4" w:space="0" w:color="999999"/>
            </w:tcBorders>
          </w:tcPr>
          <w:p w14:paraId="1DDF33B0" w14:textId="50966AEA" w:rsidR="008F3830" w:rsidRPr="003B0EB8" w:rsidRDefault="008F3830" w:rsidP="00B12B0C">
            <w:pPr>
              <w:pStyle w:val="UtilComTabletext"/>
              <w:tabs>
                <w:tab w:val="num" w:pos="522"/>
                <w:tab w:val="left" w:pos="993"/>
              </w:tabs>
              <w:ind w:left="522" w:hanging="450"/>
              <w:jc w:val="right"/>
            </w:pPr>
            <w:r>
              <w:t>204.68</w:t>
            </w:r>
          </w:p>
        </w:tc>
        <w:tc>
          <w:tcPr>
            <w:tcW w:w="964" w:type="dxa"/>
            <w:tcBorders>
              <w:bottom w:val="single" w:sz="4" w:space="0" w:color="999999"/>
            </w:tcBorders>
          </w:tcPr>
          <w:p w14:paraId="16CE9AA4" w14:textId="359080C7" w:rsidR="008F3830" w:rsidRPr="003B0EB8" w:rsidRDefault="008F3830" w:rsidP="00B12B0C">
            <w:pPr>
              <w:pStyle w:val="UtilComTabletext"/>
              <w:tabs>
                <w:tab w:val="num" w:pos="522"/>
                <w:tab w:val="left" w:pos="993"/>
              </w:tabs>
              <w:ind w:left="522" w:hanging="450"/>
              <w:jc w:val="right"/>
            </w:pPr>
            <w:r>
              <w:t>216.29</w:t>
            </w:r>
          </w:p>
        </w:tc>
        <w:tc>
          <w:tcPr>
            <w:tcW w:w="964" w:type="dxa"/>
            <w:tcBorders>
              <w:bottom w:val="single" w:sz="4" w:space="0" w:color="999999"/>
            </w:tcBorders>
          </w:tcPr>
          <w:p w14:paraId="0F0F45CC" w14:textId="03A9301B" w:rsidR="008F3830" w:rsidRPr="003B0EB8" w:rsidRDefault="008F3830" w:rsidP="00B12B0C">
            <w:pPr>
              <w:pStyle w:val="UtilComTabletext"/>
              <w:tabs>
                <w:tab w:val="num" w:pos="522"/>
                <w:tab w:val="left" w:pos="993"/>
              </w:tabs>
              <w:ind w:left="522" w:hanging="450"/>
              <w:jc w:val="right"/>
            </w:pPr>
            <w:r>
              <w:t>217.45</w:t>
            </w:r>
          </w:p>
        </w:tc>
        <w:tc>
          <w:tcPr>
            <w:tcW w:w="964" w:type="dxa"/>
            <w:tcBorders>
              <w:bottom w:val="single" w:sz="4" w:space="0" w:color="999999"/>
            </w:tcBorders>
          </w:tcPr>
          <w:p w14:paraId="57F549C5" w14:textId="0CA73F2C" w:rsidR="008F3830" w:rsidRPr="003B0EB8" w:rsidRDefault="008F3830" w:rsidP="00B12B0C">
            <w:pPr>
              <w:pStyle w:val="UtilComTabletext"/>
              <w:tabs>
                <w:tab w:val="num" w:pos="522"/>
                <w:tab w:val="left" w:pos="993"/>
              </w:tabs>
              <w:ind w:left="522" w:hanging="450"/>
              <w:jc w:val="right"/>
            </w:pPr>
            <w:r>
              <w:t>218.62</w:t>
            </w:r>
          </w:p>
        </w:tc>
        <w:tc>
          <w:tcPr>
            <w:tcW w:w="1021" w:type="dxa"/>
            <w:tcBorders>
              <w:bottom w:val="single" w:sz="4" w:space="0" w:color="999999"/>
            </w:tcBorders>
          </w:tcPr>
          <w:p w14:paraId="716473F4" w14:textId="77777777" w:rsidR="008F3830" w:rsidRDefault="008F3830" w:rsidP="00B12B0C">
            <w:pPr>
              <w:pStyle w:val="UtilComTabletext"/>
              <w:tabs>
                <w:tab w:val="num" w:pos="522"/>
                <w:tab w:val="left" w:pos="993"/>
              </w:tabs>
              <w:ind w:left="522" w:hanging="450"/>
              <w:jc w:val="right"/>
            </w:pPr>
          </w:p>
        </w:tc>
      </w:tr>
      <w:tr w:rsidR="008F3830" w:rsidRPr="003B0EB8" w14:paraId="6773169F" w14:textId="35C14244" w:rsidTr="008F3830">
        <w:trPr>
          <w:cantSplit/>
          <w:trHeight w:val="360"/>
        </w:trPr>
        <w:tc>
          <w:tcPr>
            <w:tcW w:w="2410" w:type="dxa"/>
            <w:tcBorders>
              <w:bottom w:val="single" w:sz="4" w:space="0" w:color="999999"/>
            </w:tcBorders>
          </w:tcPr>
          <w:p w14:paraId="65438B58" w14:textId="77777777" w:rsidR="008F3830" w:rsidRPr="003B0EB8" w:rsidRDefault="008F3830" w:rsidP="00B12B0C">
            <w:pPr>
              <w:pStyle w:val="UtilComTabletext"/>
            </w:pPr>
            <w:r w:rsidRPr="003B0EB8">
              <w:t>Forecast CPI (%)</w:t>
            </w:r>
          </w:p>
        </w:tc>
        <w:tc>
          <w:tcPr>
            <w:tcW w:w="964" w:type="dxa"/>
            <w:tcBorders>
              <w:bottom w:val="single" w:sz="4" w:space="0" w:color="999999"/>
            </w:tcBorders>
          </w:tcPr>
          <w:p w14:paraId="6B4589DB" w14:textId="77777777" w:rsidR="008F3830" w:rsidRPr="003B0EB8" w:rsidRDefault="008F3830" w:rsidP="00B12B0C">
            <w:pPr>
              <w:pStyle w:val="UtilComTabletext"/>
              <w:jc w:val="right"/>
            </w:pPr>
          </w:p>
        </w:tc>
        <w:tc>
          <w:tcPr>
            <w:tcW w:w="964" w:type="dxa"/>
            <w:tcBorders>
              <w:bottom w:val="single" w:sz="4" w:space="0" w:color="999999"/>
            </w:tcBorders>
          </w:tcPr>
          <w:p w14:paraId="65C67D0F" w14:textId="10B64E81" w:rsidR="008F3830" w:rsidRPr="003B0EB8" w:rsidRDefault="00984955" w:rsidP="00B12B0C">
            <w:pPr>
              <w:pStyle w:val="UtilComTabletext"/>
              <w:jc w:val="right"/>
            </w:pPr>
            <w:r>
              <w:t>2.59</w:t>
            </w:r>
          </w:p>
        </w:tc>
        <w:tc>
          <w:tcPr>
            <w:tcW w:w="964" w:type="dxa"/>
            <w:tcBorders>
              <w:bottom w:val="single" w:sz="4" w:space="0" w:color="999999"/>
            </w:tcBorders>
          </w:tcPr>
          <w:p w14:paraId="0AB894E0" w14:textId="3CEE6DB3" w:rsidR="008F3830" w:rsidRPr="003B0EB8" w:rsidRDefault="00984955" w:rsidP="00B12B0C">
            <w:pPr>
              <w:pStyle w:val="UtilComTabletext"/>
              <w:jc w:val="right"/>
            </w:pPr>
            <w:r>
              <w:t>2.59</w:t>
            </w:r>
          </w:p>
        </w:tc>
        <w:tc>
          <w:tcPr>
            <w:tcW w:w="964" w:type="dxa"/>
            <w:tcBorders>
              <w:bottom w:val="single" w:sz="4" w:space="0" w:color="999999"/>
            </w:tcBorders>
          </w:tcPr>
          <w:p w14:paraId="6634027B" w14:textId="21F346C5" w:rsidR="008F3830" w:rsidRPr="003B0EB8" w:rsidRDefault="00984955" w:rsidP="00B12B0C">
            <w:pPr>
              <w:pStyle w:val="UtilComTabletext"/>
              <w:jc w:val="right"/>
            </w:pPr>
            <w:r>
              <w:t>2.59</w:t>
            </w:r>
          </w:p>
        </w:tc>
        <w:tc>
          <w:tcPr>
            <w:tcW w:w="964" w:type="dxa"/>
            <w:tcBorders>
              <w:bottom w:val="single" w:sz="4" w:space="0" w:color="999999"/>
            </w:tcBorders>
          </w:tcPr>
          <w:p w14:paraId="74500FDB" w14:textId="0CEEA5C6" w:rsidR="008F3830" w:rsidRPr="003B0EB8" w:rsidRDefault="00984955" w:rsidP="00B12B0C">
            <w:pPr>
              <w:pStyle w:val="UtilComTabletext"/>
              <w:jc w:val="right"/>
            </w:pPr>
            <w:r>
              <w:t>2.59</w:t>
            </w:r>
          </w:p>
        </w:tc>
        <w:tc>
          <w:tcPr>
            <w:tcW w:w="964" w:type="dxa"/>
            <w:tcBorders>
              <w:bottom w:val="single" w:sz="4" w:space="0" w:color="999999"/>
            </w:tcBorders>
          </w:tcPr>
          <w:p w14:paraId="3E7D4955" w14:textId="3A5A44DE" w:rsidR="008F3830" w:rsidRPr="003B0EB8" w:rsidRDefault="00984955" w:rsidP="00B12B0C">
            <w:pPr>
              <w:pStyle w:val="UtilComTabletext"/>
              <w:jc w:val="right"/>
            </w:pPr>
            <w:r>
              <w:t>2.59</w:t>
            </w:r>
          </w:p>
        </w:tc>
        <w:tc>
          <w:tcPr>
            <w:tcW w:w="1021" w:type="dxa"/>
            <w:tcBorders>
              <w:bottom w:val="single" w:sz="4" w:space="0" w:color="999999"/>
            </w:tcBorders>
          </w:tcPr>
          <w:p w14:paraId="5217F076" w14:textId="77777777" w:rsidR="008F3830" w:rsidRPr="003B0EB8" w:rsidRDefault="008F3830" w:rsidP="00B12B0C">
            <w:pPr>
              <w:pStyle w:val="UtilComTabletext"/>
              <w:jc w:val="right"/>
            </w:pPr>
          </w:p>
        </w:tc>
      </w:tr>
      <w:tr w:rsidR="008F3830" w:rsidRPr="007C4959" w14:paraId="0F2048C4" w14:textId="7B70BCD3" w:rsidTr="008F3830">
        <w:trPr>
          <w:cantSplit/>
          <w:trHeight w:val="360"/>
        </w:trPr>
        <w:tc>
          <w:tcPr>
            <w:tcW w:w="2410" w:type="dxa"/>
          </w:tcPr>
          <w:p w14:paraId="4537BC4F" w14:textId="77777777" w:rsidR="008F3830" w:rsidRPr="003B0EB8" w:rsidRDefault="008F3830" w:rsidP="00B12B0C">
            <w:pPr>
              <w:pStyle w:val="UtilComTabletext"/>
              <w:rPr>
                <w:b/>
              </w:rPr>
            </w:pPr>
            <w:r w:rsidRPr="003B0EB8">
              <w:rPr>
                <w:b/>
              </w:rPr>
              <w:t xml:space="preserve">X factors (%) </w:t>
            </w:r>
            <w:r w:rsidRPr="003B0EB8">
              <w:rPr>
                <w:b/>
                <w:vertAlign w:val="superscript"/>
              </w:rPr>
              <w:t>(a)</w:t>
            </w:r>
          </w:p>
        </w:tc>
        <w:tc>
          <w:tcPr>
            <w:tcW w:w="964" w:type="dxa"/>
          </w:tcPr>
          <w:p w14:paraId="064007C8" w14:textId="77777777" w:rsidR="008F3830" w:rsidRPr="003B0EB8" w:rsidRDefault="008F3830" w:rsidP="00B12B0C">
            <w:pPr>
              <w:pStyle w:val="UtilComTabletext"/>
              <w:jc w:val="right"/>
              <w:rPr>
                <w:b/>
              </w:rPr>
            </w:pPr>
          </w:p>
        </w:tc>
        <w:tc>
          <w:tcPr>
            <w:tcW w:w="964" w:type="dxa"/>
          </w:tcPr>
          <w:p w14:paraId="61773867" w14:textId="072F39C7" w:rsidR="008F3830" w:rsidRPr="003B0EB8" w:rsidRDefault="008F3830" w:rsidP="008F3830">
            <w:pPr>
              <w:pStyle w:val="UtilComTabletext"/>
              <w:tabs>
                <w:tab w:val="num" w:pos="522"/>
                <w:tab w:val="left" w:pos="993"/>
              </w:tabs>
              <w:ind w:left="522" w:hanging="450"/>
              <w:jc w:val="right"/>
              <w:rPr>
                <w:b/>
              </w:rPr>
            </w:pPr>
            <w:r w:rsidRPr="003B0EB8">
              <w:rPr>
                <w:b/>
              </w:rPr>
              <w:t>- 29.</w:t>
            </w:r>
            <w:r>
              <w:rPr>
                <w:b/>
              </w:rPr>
              <w:t>78</w:t>
            </w:r>
          </w:p>
        </w:tc>
        <w:tc>
          <w:tcPr>
            <w:tcW w:w="964" w:type="dxa"/>
          </w:tcPr>
          <w:p w14:paraId="35BBC2D3" w14:textId="39C84303" w:rsidR="008F3830" w:rsidRPr="003B0EB8" w:rsidRDefault="008F3830" w:rsidP="008F3830">
            <w:pPr>
              <w:pStyle w:val="UtilComTabletext"/>
              <w:tabs>
                <w:tab w:val="num" w:pos="522"/>
                <w:tab w:val="left" w:pos="993"/>
              </w:tabs>
              <w:ind w:left="522" w:hanging="450"/>
              <w:jc w:val="right"/>
              <w:rPr>
                <w:b/>
              </w:rPr>
            </w:pPr>
            <w:r w:rsidRPr="003B0EB8">
              <w:rPr>
                <w:b/>
              </w:rPr>
              <w:t xml:space="preserve">- </w:t>
            </w:r>
            <w:r>
              <w:rPr>
                <w:b/>
              </w:rPr>
              <w:t>8</w:t>
            </w:r>
            <w:r w:rsidRPr="003B0EB8">
              <w:rPr>
                <w:b/>
              </w:rPr>
              <w:t>.00</w:t>
            </w:r>
          </w:p>
        </w:tc>
        <w:tc>
          <w:tcPr>
            <w:tcW w:w="964" w:type="dxa"/>
          </w:tcPr>
          <w:p w14:paraId="7F2DF8B5" w14:textId="77777777" w:rsidR="008F3830" w:rsidRPr="003B0EB8" w:rsidRDefault="008F3830" w:rsidP="00B12B0C">
            <w:pPr>
              <w:pStyle w:val="UtilComTabletext"/>
              <w:tabs>
                <w:tab w:val="num" w:pos="522"/>
                <w:tab w:val="left" w:pos="993"/>
              </w:tabs>
              <w:ind w:left="522" w:hanging="450"/>
              <w:jc w:val="right"/>
              <w:rPr>
                <w:b/>
              </w:rPr>
            </w:pPr>
            <w:r w:rsidRPr="003B0EB8">
              <w:rPr>
                <w:b/>
              </w:rPr>
              <w:t>- 3.00</w:t>
            </w:r>
          </w:p>
        </w:tc>
        <w:tc>
          <w:tcPr>
            <w:tcW w:w="964" w:type="dxa"/>
          </w:tcPr>
          <w:p w14:paraId="21AB32B7" w14:textId="77777777" w:rsidR="008F3830" w:rsidRPr="003B0EB8" w:rsidRDefault="008F3830" w:rsidP="00B12B0C">
            <w:pPr>
              <w:pStyle w:val="UtilComTabletext"/>
              <w:tabs>
                <w:tab w:val="num" w:pos="522"/>
                <w:tab w:val="left" w:pos="993"/>
              </w:tabs>
              <w:ind w:left="522" w:hanging="450"/>
              <w:jc w:val="right"/>
              <w:rPr>
                <w:b/>
              </w:rPr>
            </w:pPr>
            <w:r w:rsidRPr="003B0EB8">
              <w:rPr>
                <w:b/>
              </w:rPr>
              <w:t xml:space="preserve"> 2.00</w:t>
            </w:r>
          </w:p>
        </w:tc>
        <w:tc>
          <w:tcPr>
            <w:tcW w:w="964" w:type="dxa"/>
          </w:tcPr>
          <w:p w14:paraId="3FC54CCE" w14:textId="77777777" w:rsidR="008F3830" w:rsidRPr="003B0EB8" w:rsidRDefault="008F3830" w:rsidP="00B12B0C">
            <w:pPr>
              <w:pStyle w:val="UtilComTabletext"/>
              <w:tabs>
                <w:tab w:val="num" w:pos="522"/>
                <w:tab w:val="left" w:pos="993"/>
              </w:tabs>
              <w:ind w:left="522" w:hanging="450"/>
              <w:jc w:val="right"/>
              <w:rPr>
                <w:b/>
              </w:rPr>
            </w:pPr>
            <w:r w:rsidRPr="003B0EB8">
              <w:rPr>
                <w:b/>
              </w:rPr>
              <w:t xml:space="preserve"> 2.00</w:t>
            </w:r>
          </w:p>
        </w:tc>
        <w:tc>
          <w:tcPr>
            <w:tcW w:w="1021" w:type="dxa"/>
          </w:tcPr>
          <w:p w14:paraId="2F08E250" w14:textId="77777777" w:rsidR="008F3830" w:rsidRPr="003B0EB8" w:rsidRDefault="008F3830" w:rsidP="00B12B0C">
            <w:pPr>
              <w:pStyle w:val="UtilComTabletext"/>
              <w:tabs>
                <w:tab w:val="num" w:pos="522"/>
                <w:tab w:val="left" w:pos="993"/>
              </w:tabs>
              <w:ind w:left="522" w:hanging="450"/>
              <w:jc w:val="right"/>
              <w:rPr>
                <w:b/>
              </w:rPr>
            </w:pPr>
          </w:p>
        </w:tc>
      </w:tr>
    </w:tbl>
    <w:p w14:paraId="64943715" w14:textId="3990AE2B" w:rsidR="00DB702F" w:rsidRDefault="00DB702F" w:rsidP="00DB702F">
      <w:pPr>
        <w:pStyle w:val="UtilComReferenceSource"/>
        <w:rPr>
          <w:lang w:val="en-AU"/>
        </w:rPr>
      </w:pPr>
      <w:r>
        <w:rPr>
          <w:lang w:val="en-AU"/>
        </w:rPr>
        <w:t xml:space="preserve">Source: Utilities Commission, NTRM </w:t>
      </w:r>
      <w:r>
        <w:rPr>
          <w:lang w:val="en-AU"/>
        </w:rPr>
        <w:br/>
      </w:r>
      <w:r w:rsidRPr="00AB1661">
        <w:rPr>
          <w:rFonts w:cs="Arial"/>
          <w:vertAlign w:val="superscript"/>
          <w:lang w:val="en-AU"/>
        </w:rPr>
        <w:t>(a)</w:t>
      </w:r>
      <w:r>
        <w:rPr>
          <w:lang w:val="en-AU"/>
        </w:rPr>
        <w:t xml:space="preserve"> </w:t>
      </w:r>
      <w:r w:rsidRPr="004A7FDA">
        <w:rPr>
          <w:lang w:val="en-AU"/>
        </w:rPr>
        <w:t>Negative values for X indicate real revenue increases under the CPI</w:t>
      </w:r>
      <w:r w:rsidR="00E430A4">
        <w:rPr>
          <w:lang w:val="en-AU"/>
        </w:rPr>
        <w:t xml:space="preserve"> minus </w:t>
      </w:r>
      <w:r w:rsidRPr="004A7FDA">
        <w:rPr>
          <w:lang w:val="en-AU"/>
        </w:rPr>
        <w:t>X formula.</w:t>
      </w:r>
    </w:p>
    <w:p w14:paraId="2511FD18" w14:textId="7C29BFC0" w:rsidR="00DB702F" w:rsidRPr="000B0B58" w:rsidRDefault="00DB702F" w:rsidP="00DB702F">
      <w:pPr>
        <w:pStyle w:val="NumberLevel2"/>
        <w:numPr>
          <w:ilvl w:val="1"/>
          <w:numId w:val="5"/>
        </w:numPr>
        <w:ind w:left="709" w:hanging="709"/>
        <w:rPr>
          <w:lang w:val="en-AU"/>
        </w:rPr>
      </w:pPr>
      <w:r>
        <w:rPr>
          <w:lang w:val="en-AU"/>
        </w:rPr>
        <w:t xml:space="preserve">The </w:t>
      </w:r>
      <w:r w:rsidRPr="00403E9D">
        <w:rPr>
          <w:lang w:val="en-AU"/>
        </w:rPr>
        <w:t xml:space="preserve">difference between the annual revenue requirement and expected revenue in the final </w:t>
      </w:r>
      <w:r w:rsidR="00E430A4">
        <w:rPr>
          <w:lang w:val="en-AU"/>
        </w:rPr>
        <w:t xml:space="preserve">regulatory </w:t>
      </w:r>
      <w:r w:rsidRPr="00403E9D">
        <w:rPr>
          <w:lang w:val="en-AU"/>
        </w:rPr>
        <w:t xml:space="preserve">year of the </w:t>
      </w:r>
      <w:r w:rsidR="00E430A4">
        <w:rPr>
          <w:lang w:val="en-AU"/>
        </w:rPr>
        <w:t xml:space="preserve">2014-19 </w:t>
      </w:r>
      <w:r w:rsidRPr="00403E9D">
        <w:rPr>
          <w:lang w:val="en-AU"/>
        </w:rPr>
        <w:t>regulatory control period</w:t>
      </w:r>
      <w:r>
        <w:rPr>
          <w:lang w:val="en-AU"/>
        </w:rPr>
        <w:t xml:space="preserve"> is </w:t>
      </w:r>
      <w:r w:rsidR="008F3830">
        <w:rPr>
          <w:lang w:val="en-AU"/>
        </w:rPr>
        <w:t>7.80 per </w:t>
      </w:r>
      <w:r>
        <w:rPr>
          <w:lang w:val="en-AU"/>
        </w:rPr>
        <w:t>cent</w:t>
      </w:r>
      <w:r w:rsidR="00E430A4">
        <w:rPr>
          <w:lang w:val="en-AU"/>
        </w:rPr>
        <w:t>.</w:t>
      </w:r>
    </w:p>
    <w:p w14:paraId="70CA25F0" w14:textId="10B9671D" w:rsidR="002D510D" w:rsidRDefault="002D510D" w:rsidP="002D510D">
      <w:pPr>
        <w:pStyle w:val="NumberLevel2"/>
        <w:numPr>
          <w:ilvl w:val="1"/>
          <w:numId w:val="5"/>
        </w:numPr>
        <w:tabs>
          <w:tab w:val="clear" w:pos="3270"/>
          <w:tab w:val="num" w:pos="709"/>
        </w:tabs>
        <w:ind w:left="709" w:hanging="709"/>
        <w:rPr>
          <w:lang w:val="en-AU"/>
        </w:rPr>
      </w:pPr>
      <w:r>
        <w:rPr>
          <w:lang w:val="en-AU"/>
        </w:rPr>
        <w:t>The appropriate methodology for the indexation of PWC Networks’ asset base is the same as that used to escalate the form of control mechanism for the relevant regulatory year.</w:t>
      </w:r>
    </w:p>
    <w:tbl>
      <w:tblPr>
        <w:tblW w:w="0" w:type="auto"/>
        <w:tblLayout w:type="fixed"/>
        <w:tblLook w:val="01E0" w:firstRow="1" w:lastRow="1" w:firstColumn="1" w:lastColumn="1" w:noHBand="0" w:noVBand="0"/>
      </w:tblPr>
      <w:tblGrid>
        <w:gridCol w:w="9288"/>
      </w:tblGrid>
      <w:tr w:rsidR="00711156" w14:paraId="1F8BD70B" w14:textId="77777777" w:rsidTr="00AE1D8B">
        <w:tc>
          <w:tcPr>
            <w:tcW w:w="9288" w:type="dxa"/>
          </w:tcPr>
          <w:p w14:paraId="02054745" w14:textId="77777777" w:rsidR="00711156" w:rsidRDefault="00711156" w:rsidP="00EF320F">
            <w:pPr>
              <w:pStyle w:val="NumberLevel1"/>
              <w:pageBreakBefore/>
              <w:numPr>
                <w:ilvl w:val="0"/>
                <w:numId w:val="4"/>
              </w:numPr>
              <w:ind w:left="431" w:hanging="431"/>
            </w:pPr>
            <w:r>
              <w:br w:type="page"/>
            </w:r>
          </w:p>
        </w:tc>
      </w:tr>
      <w:tr w:rsidR="00711156" w14:paraId="7E7C32D3" w14:textId="77777777" w:rsidTr="00AE1D8B">
        <w:tc>
          <w:tcPr>
            <w:tcW w:w="9288" w:type="dxa"/>
          </w:tcPr>
          <w:p w14:paraId="52C58495" w14:textId="00028201" w:rsidR="00711156" w:rsidRDefault="00711156">
            <w:pPr>
              <w:pStyle w:val="UtilComChapterHeading"/>
              <w:outlineLvl w:val="0"/>
            </w:pPr>
            <w:bookmarkStart w:id="311" w:name="_Toc385241578"/>
            <w:bookmarkStart w:id="312" w:name="_Toc386013131"/>
            <w:r>
              <w:t xml:space="preserve">Capital </w:t>
            </w:r>
            <w:r w:rsidR="0043071F">
              <w:t xml:space="preserve">Contributions Principles </w:t>
            </w:r>
            <w:r>
              <w:t xml:space="preserve">and </w:t>
            </w:r>
            <w:r w:rsidR="001434EE">
              <w:t>M</w:t>
            </w:r>
            <w:r w:rsidR="0043071F">
              <w:t xml:space="preserve">ethods </w:t>
            </w:r>
            <w:bookmarkEnd w:id="311"/>
            <w:r w:rsidR="0043071F">
              <w:t>Statement</w:t>
            </w:r>
            <w:bookmarkEnd w:id="312"/>
          </w:p>
        </w:tc>
      </w:tr>
    </w:tbl>
    <w:p w14:paraId="7DB6BBAA" w14:textId="77777777" w:rsidR="00711156" w:rsidRDefault="008E4B9F" w:rsidP="00711156">
      <w:pPr>
        <w:pStyle w:val="UtilComHeading2"/>
      </w:pPr>
      <w:bookmarkStart w:id="313" w:name="_Toc385241579"/>
      <w:bookmarkStart w:id="314" w:name="_Toc386013132"/>
      <w:r>
        <w:t>Introduction</w:t>
      </w:r>
      <w:bookmarkEnd w:id="313"/>
      <w:bookmarkEnd w:id="314"/>
    </w:p>
    <w:p w14:paraId="664A6211" w14:textId="7E76819B" w:rsidR="00D5726A" w:rsidRDefault="00D5726A" w:rsidP="00E32188">
      <w:pPr>
        <w:pStyle w:val="NumberLevel2"/>
        <w:numPr>
          <w:ilvl w:val="1"/>
          <w:numId w:val="5"/>
        </w:numPr>
        <w:ind w:left="709" w:hanging="709"/>
        <w:rPr>
          <w:lang w:val="en-AU"/>
        </w:rPr>
      </w:pPr>
      <w:r w:rsidRPr="00D5726A">
        <w:rPr>
          <w:lang w:val="en-AU"/>
        </w:rPr>
        <w:t>In accordance with</w:t>
      </w:r>
      <w:r>
        <w:rPr>
          <w:lang w:val="en-AU"/>
        </w:rPr>
        <w:t xml:space="preserve"> clause </w:t>
      </w:r>
      <w:r w:rsidR="00143213">
        <w:rPr>
          <w:lang w:val="en-AU"/>
        </w:rPr>
        <w:t xml:space="preserve">79(2) </w:t>
      </w:r>
      <w:r>
        <w:rPr>
          <w:lang w:val="en-AU"/>
        </w:rPr>
        <w:t>of</w:t>
      </w:r>
      <w:r w:rsidRPr="00D5726A">
        <w:rPr>
          <w:lang w:val="en-AU"/>
        </w:rPr>
        <w:t xml:space="preserve"> the </w:t>
      </w:r>
      <w:r w:rsidR="00FB2EC5">
        <w:rPr>
          <w:lang w:val="en-AU"/>
        </w:rPr>
        <w:t>Network Access Code</w:t>
      </w:r>
      <w:r w:rsidRPr="00D5726A">
        <w:rPr>
          <w:lang w:val="en-AU"/>
        </w:rPr>
        <w:t xml:space="preserve">, </w:t>
      </w:r>
      <w:r w:rsidR="006707C0">
        <w:rPr>
          <w:lang w:val="en-AU"/>
        </w:rPr>
        <w:t>PWC Networks</w:t>
      </w:r>
      <w:r w:rsidRPr="00D5726A">
        <w:rPr>
          <w:lang w:val="en-AU"/>
        </w:rPr>
        <w:t xml:space="preserve"> may require a network user to make a capital contribution (in the form of assets or a financial payment) where</w:t>
      </w:r>
      <w:r>
        <w:rPr>
          <w:lang w:val="en-AU"/>
        </w:rPr>
        <w:t xml:space="preserve"> the</w:t>
      </w:r>
      <w:r w:rsidRPr="00D5726A">
        <w:rPr>
          <w:lang w:val="en-AU"/>
        </w:rPr>
        <w:t xml:space="preserve">: </w:t>
      </w:r>
    </w:p>
    <w:p w14:paraId="4EA10303" w14:textId="4A4C0EA1" w:rsidR="00D5726A" w:rsidRPr="00D5726A" w:rsidRDefault="00D5726A" w:rsidP="00B07474">
      <w:pPr>
        <w:pStyle w:val="NumberLevel2"/>
        <w:numPr>
          <w:ilvl w:val="0"/>
          <w:numId w:val="9"/>
        </w:numPr>
        <w:ind w:left="1134" w:hanging="425"/>
        <w:rPr>
          <w:lang w:val="en-AU"/>
        </w:rPr>
      </w:pPr>
      <w:r w:rsidRPr="00D5726A">
        <w:rPr>
          <w:lang w:val="en-AU"/>
        </w:rPr>
        <w:t>provision of network access services to the network user require</w:t>
      </w:r>
      <w:r w:rsidR="006707C0">
        <w:rPr>
          <w:lang w:val="en-AU"/>
        </w:rPr>
        <w:t>s</w:t>
      </w:r>
      <w:r w:rsidRPr="00D5726A">
        <w:rPr>
          <w:lang w:val="en-AU"/>
        </w:rPr>
        <w:t xml:space="preserve"> new or upgraded connection assets or network system assets (involving asset augmentation or extension of connection equipment); and </w:t>
      </w:r>
    </w:p>
    <w:p w14:paraId="11FD65F4" w14:textId="23571D48" w:rsidR="00D5726A" w:rsidRPr="00D5726A" w:rsidRDefault="00D5726A" w:rsidP="00B07474">
      <w:pPr>
        <w:pStyle w:val="NumberLevel2"/>
        <w:numPr>
          <w:ilvl w:val="0"/>
          <w:numId w:val="9"/>
        </w:numPr>
        <w:ind w:left="1134" w:hanging="425"/>
        <w:rPr>
          <w:lang w:val="en-AU"/>
        </w:rPr>
      </w:pPr>
      <w:r w:rsidRPr="00D5726A">
        <w:rPr>
          <w:lang w:val="en-AU"/>
        </w:rPr>
        <w:t>cost of the</w:t>
      </w:r>
      <w:r w:rsidR="00387283">
        <w:rPr>
          <w:lang w:val="en-AU"/>
        </w:rPr>
        <w:t xml:space="preserve"> </w:t>
      </w:r>
      <w:r w:rsidRPr="00D5726A">
        <w:rPr>
          <w:lang w:val="en-AU"/>
        </w:rPr>
        <w:t xml:space="preserve">assets (including design, construction, installation and commissioning) cannot be fully recovered by </w:t>
      </w:r>
      <w:r w:rsidR="006707C0">
        <w:rPr>
          <w:lang w:val="en-AU"/>
        </w:rPr>
        <w:t>PWC Networks</w:t>
      </w:r>
      <w:r w:rsidRPr="00D5726A">
        <w:rPr>
          <w:lang w:val="en-AU"/>
        </w:rPr>
        <w:t xml:space="preserve"> through future tariff revenue. </w:t>
      </w:r>
    </w:p>
    <w:p w14:paraId="413D0FA4" w14:textId="77777777" w:rsidR="00D5726A" w:rsidRPr="00D5726A" w:rsidRDefault="001F6D9C" w:rsidP="00E32188">
      <w:pPr>
        <w:pStyle w:val="NumberLevel2"/>
        <w:numPr>
          <w:ilvl w:val="1"/>
          <w:numId w:val="5"/>
        </w:numPr>
        <w:ind w:left="709" w:hanging="709"/>
        <w:rPr>
          <w:lang w:val="en-AU"/>
        </w:rPr>
      </w:pPr>
      <w:r>
        <w:rPr>
          <w:lang w:val="en-AU"/>
        </w:rPr>
        <w:t>The</w:t>
      </w:r>
      <w:r w:rsidR="00D5726A" w:rsidRPr="00D5726A">
        <w:rPr>
          <w:lang w:val="en-AU"/>
        </w:rPr>
        <w:t xml:space="preserve"> Commission </w:t>
      </w:r>
      <w:r>
        <w:rPr>
          <w:lang w:val="en-AU"/>
        </w:rPr>
        <w:t xml:space="preserve">is required to </w:t>
      </w:r>
      <w:r w:rsidR="00D5726A" w:rsidRPr="00D5726A">
        <w:rPr>
          <w:lang w:val="en-AU"/>
        </w:rPr>
        <w:t>oversee the application of principles for setting of capital contributions and charges.</w:t>
      </w:r>
      <w:r>
        <w:rPr>
          <w:rStyle w:val="FootnoteReference"/>
          <w:lang w:val="en-AU"/>
        </w:rPr>
        <w:footnoteReference w:id="68"/>
      </w:r>
      <w:r w:rsidR="00D5726A" w:rsidRPr="00D5726A">
        <w:rPr>
          <w:lang w:val="en-AU"/>
        </w:rPr>
        <w:t xml:space="preserve"> </w:t>
      </w:r>
    </w:p>
    <w:p w14:paraId="5E8DE3CA" w14:textId="77777777" w:rsidR="00D5726A" w:rsidRPr="009C7311" w:rsidRDefault="001F6D9C" w:rsidP="00E32188">
      <w:pPr>
        <w:pStyle w:val="NumberLevel2"/>
        <w:numPr>
          <w:ilvl w:val="1"/>
          <w:numId w:val="5"/>
        </w:numPr>
        <w:ind w:left="709" w:hanging="709"/>
        <w:rPr>
          <w:lang w:val="en-AU"/>
        </w:rPr>
      </w:pPr>
      <w:r w:rsidRPr="009C7311">
        <w:rPr>
          <w:lang w:val="en-AU"/>
        </w:rPr>
        <w:t xml:space="preserve">Prior </w:t>
      </w:r>
      <w:r w:rsidR="00D5726A" w:rsidRPr="009C7311">
        <w:rPr>
          <w:lang w:val="en-AU"/>
        </w:rPr>
        <w:t xml:space="preserve">to the commencement of each regulatory control period, </w:t>
      </w:r>
      <w:r w:rsidR="009C7311">
        <w:rPr>
          <w:lang w:val="en-AU"/>
        </w:rPr>
        <w:t>PWC Networks must</w:t>
      </w:r>
      <w:r w:rsidR="00D5726A" w:rsidRPr="009C7311">
        <w:rPr>
          <w:lang w:val="en-AU"/>
        </w:rPr>
        <w:t xml:space="preserve"> submit to the Commission </w:t>
      </w:r>
      <w:r w:rsidR="009C7311">
        <w:rPr>
          <w:lang w:val="en-AU"/>
        </w:rPr>
        <w:t>for approval</w:t>
      </w:r>
      <w:r w:rsidR="00E24F72">
        <w:rPr>
          <w:lang w:val="en-AU"/>
        </w:rPr>
        <w:t>,</w:t>
      </w:r>
      <w:r w:rsidR="009C7311">
        <w:rPr>
          <w:lang w:val="en-AU"/>
        </w:rPr>
        <w:t xml:space="preserve"> </w:t>
      </w:r>
      <w:r w:rsidR="00D5726A" w:rsidRPr="009C7311">
        <w:rPr>
          <w:lang w:val="en-AU"/>
        </w:rPr>
        <w:t>a statement providing details of principles and methods for establishing capital contributions.</w:t>
      </w:r>
      <w:r w:rsidR="008524B0">
        <w:rPr>
          <w:rStyle w:val="FootnoteReference"/>
          <w:lang w:val="en-AU"/>
        </w:rPr>
        <w:footnoteReference w:id="69"/>
      </w:r>
      <w:r w:rsidR="00D5726A" w:rsidRPr="009C7311">
        <w:rPr>
          <w:lang w:val="en-AU"/>
        </w:rPr>
        <w:t xml:space="preserve"> </w:t>
      </w:r>
    </w:p>
    <w:p w14:paraId="046894BA" w14:textId="498DC073" w:rsidR="008074BC" w:rsidRDefault="008074BC" w:rsidP="00E32188">
      <w:pPr>
        <w:pStyle w:val="NumberLevel2"/>
        <w:numPr>
          <w:ilvl w:val="1"/>
          <w:numId w:val="5"/>
        </w:numPr>
        <w:ind w:left="709" w:hanging="709"/>
        <w:rPr>
          <w:lang w:val="en-AU"/>
        </w:rPr>
      </w:pPr>
      <w:r>
        <w:rPr>
          <w:lang w:val="en-AU"/>
        </w:rPr>
        <w:t>C</w:t>
      </w:r>
      <w:r w:rsidR="00D5726A" w:rsidRPr="00D5726A">
        <w:rPr>
          <w:lang w:val="en-AU"/>
        </w:rPr>
        <w:t xml:space="preserve">lause 81(3) of the </w:t>
      </w:r>
      <w:r w:rsidR="00FB2EC5">
        <w:rPr>
          <w:lang w:val="en-AU"/>
        </w:rPr>
        <w:t>Network Access Code</w:t>
      </w:r>
      <w:r>
        <w:rPr>
          <w:lang w:val="en-AU"/>
        </w:rPr>
        <w:t xml:space="preserve"> provides that:</w:t>
      </w:r>
    </w:p>
    <w:p w14:paraId="3B1E5CF7" w14:textId="267C9350" w:rsidR="00D5726A" w:rsidRPr="008074BC" w:rsidRDefault="006707C0" w:rsidP="004B63D8">
      <w:pPr>
        <w:pStyle w:val="UtilComQuotationText"/>
        <w:ind w:left="1134"/>
      </w:pPr>
      <w:r>
        <w:t>T</w:t>
      </w:r>
      <w:r w:rsidR="00D5726A" w:rsidRPr="008074BC">
        <w:t xml:space="preserve">he </w:t>
      </w:r>
      <w:r w:rsidR="008074BC">
        <w:t>regulator</w:t>
      </w:r>
      <w:r w:rsidR="008074BC" w:rsidRPr="008074BC">
        <w:t xml:space="preserve"> </w:t>
      </w:r>
      <w:r w:rsidR="00D5726A" w:rsidRPr="008074BC">
        <w:t>must approve the statement for use by the network provider unless</w:t>
      </w:r>
      <w:r w:rsidR="008074BC">
        <w:t>, in the opinion of the regulator,</w:t>
      </w:r>
      <w:r w:rsidR="00D5726A" w:rsidRPr="008074BC">
        <w:t xml:space="preserve"> the statement does not comply with the requirements set out in </w:t>
      </w:r>
      <w:r w:rsidR="008074BC">
        <w:t>this Chapter</w:t>
      </w:r>
      <w:r w:rsidR="00D5726A" w:rsidRPr="008074BC">
        <w:t xml:space="preserve"> or is inconsistent with the requirements elsewhere in the Code. </w:t>
      </w:r>
    </w:p>
    <w:p w14:paraId="16E14ED1" w14:textId="2E11B289" w:rsidR="00D5726A" w:rsidRDefault="00D5726A" w:rsidP="00E32188">
      <w:pPr>
        <w:pStyle w:val="NumberLevel2"/>
        <w:numPr>
          <w:ilvl w:val="1"/>
          <w:numId w:val="5"/>
        </w:numPr>
        <w:ind w:left="709" w:hanging="709"/>
        <w:rPr>
          <w:lang w:val="en-AU"/>
        </w:rPr>
      </w:pPr>
      <w:r w:rsidRPr="00D5726A">
        <w:rPr>
          <w:lang w:val="en-AU"/>
        </w:rPr>
        <w:t xml:space="preserve">PWC Networks submitted a statement setting out its NCCP to be applied during the </w:t>
      </w:r>
      <w:r w:rsidR="007669D5">
        <w:rPr>
          <w:lang w:val="en-AU"/>
        </w:rPr>
        <w:t>2009-14</w:t>
      </w:r>
      <w:r w:rsidR="007669D5" w:rsidRPr="00D5726A">
        <w:rPr>
          <w:lang w:val="en-AU"/>
        </w:rPr>
        <w:t xml:space="preserve"> </w:t>
      </w:r>
      <w:r w:rsidRPr="00D5726A">
        <w:rPr>
          <w:lang w:val="en-AU"/>
        </w:rPr>
        <w:t xml:space="preserve">regulatory </w:t>
      </w:r>
      <w:r w:rsidR="001F0FFB">
        <w:rPr>
          <w:lang w:val="en-AU"/>
        </w:rPr>
        <w:t xml:space="preserve">control </w:t>
      </w:r>
      <w:r w:rsidRPr="00D5726A">
        <w:rPr>
          <w:lang w:val="en-AU"/>
        </w:rPr>
        <w:t xml:space="preserve">period as part of its regulatory proposal for the </w:t>
      </w:r>
      <w:r w:rsidR="00D83DD0">
        <w:rPr>
          <w:lang w:val="en-AU"/>
        </w:rPr>
        <w:t>2009</w:t>
      </w:r>
      <w:r w:rsidR="00893057">
        <w:rPr>
          <w:lang w:val="en-AU"/>
        </w:rPr>
        <w:t> </w:t>
      </w:r>
      <w:r w:rsidR="00D83DD0">
        <w:rPr>
          <w:lang w:val="en-AU"/>
        </w:rPr>
        <w:t>Network Price Determination</w:t>
      </w:r>
      <w:r w:rsidRPr="00D5726A">
        <w:rPr>
          <w:lang w:val="en-AU"/>
        </w:rPr>
        <w:t xml:space="preserve">. In accordance with clause 81(3) of the </w:t>
      </w:r>
      <w:r w:rsidR="00FB2EC5">
        <w:rPr>
          <w:lang w:val="en-AU"/>
        </w:rPr>
        <w:t>Network Access Code</w:t>
      </w:r>
      <w:r w:rsidRPr="00D5726A">
        <w:rPr>
          <w:lang w:val="en-AU"/>
        </w:rPr>
        <w:t xml:space="preserve">, the Commission approved the NCCP on 31 March 2009 as part of its </w:t>
      </w:r>
      <w:r w:rsidR="001F6D9C">
        <w:rPr>
          <w:lang w:val="en-AU"/>
        </w:rPr>
        <w:t>2009</w:t>
      </w:r>
      <w:r w:rsidR="00893057">
        <w:rPr>
          <w:lang w:val="en-AU"/>
        </w:rPr>
        <w:t> </w:t>
      </w:r>
      <w:r w:rsidR="006707C0">
        <w:rPr>
          <w:lang w:val="en-AU"/>
        </w:rPr>
        <w:t>Network Price</w:t>
      </w:r>
      <w:r w:rsidR="006707C0" w:rsidRPr="00D5726A">
        <w:rPr>
          <w:lang w:val="en-AU"/>
        </w:rPr>
        <w:t xml:space="preserve"> </w:t>
      </w:r>
      <w:r w:rsidRPr="00D5726A">
        <w:rPr>
          <w:lang w:val="en-AU"/>
        </w:rPr>
        <w:t xml:space="preserve">Determination. </w:t>
      </w:r>
    </w:p>
    <w:p w14:paraId="5C996EA8" w14:textId="02BB9003" w:rsidR="00672008" w:rsidRPr="00672008" w:rsidRDefault="00D5726A" w:rsidP="00E32188">
      <w:pPr>
        <w:pStyle w:val="NumberLevel2"/>
        <w:numPr>
          <w:ilvl w:val="1"/>
          <w:numId w:val="5"/>
        </w:numPr>
        <w:ind w:left="709" w:hanging="709"/>
        <w:rPr>
          <w:lang w:val="en-AU"/>
        </w:rPr>
      </w:pPr>
      <w:r w:rsidRPr="00D5726A">
        <w:rPr>
          <w:lang w:val="en-AU"/>
        </w:rPr>
        <w:t>Capital contributions are also applied by PWC Networks under a separate policy, the Distribution System Extension Policy</w:t>
      </w:r>
      <w:r w:rsidR="006707C0">
        <w:rPr>
          <w:lang w:val="en-AU"/>
        </w:rPr>
        <w:t>,</w:t>
      </w:r>
      <w:r w:rsidRPr="00D5726A">
        <w:rPr>
          <w:lang w:val="en-AU"/>
        </w:rPr>
        <w:t xml:space="preserve"> to meet the capital contribution provisions </w:t>
      </w:r>
      <w:r w:rsidR="001F6D9C">
        <w:rPr>
          <w:lang w:val="en-AU"/>
        </w:rPr>
        <w:t>where the Minister declares an area to be a</w:t>
      </w:r>
      <w:r w:rsidR="006707C0">
        <w:rPr>
          <w:lang w:val="en-AU"/>
        </w:rPr>
        <w:t>n electricity supply</w:t>
      </w:r>
      <w:r w:rsidR="001F6D9C">
        <w:rPr>
          <w:lang w:val="en-AU"/>
        </w:rPr>
        <w:t xml:space="preserve"> distribution extension area under</w:t>
      </w:r>
      <w:r w:rsidRPr="00D5726A">
        <w:rPr>
          <w:lang w:val="en-AU"/>
        </w:rPr>
        <w:t xml:space="preserve"> section 86 of the </w:t>
      </w:r>
      <w:r w:rsidRPr="00D5726A">
        <w:rPr>
          <w:i/>
          <w:lang w:val="en-AU"/>
        </w:rPr>
        <w:t>Electricity Reform Act</w:t>
      </w:r>
      <w:r w:rsidRPr="00D5726A">
        <w:rPr>
          <w:lang w:val="en-AU"/>
        </w:rPr>
        <w:t xml:space="preserve">. </w:t>
      </w:r>
    </w:p>
    <w:p w14:paraId="05370EDB" w14:textId="6F699E22" w:rsidR="00672008" w:rsidRPr="001F6D9C" w:rsidRDefault="00672008" w:rsidP="00E32188">
      <w:pPr>
        <w:pStyle w:val="NumberLevel2"/>
        <w:numPr>
          <w:ilvl w:val="1"/>
          <w:numId w:val="5"/>
        </w:numPr>
        <w:ind w:left="709" w:hanging="709"/>
        <w:rPr>
          <w:lang w:val="en-AU"/>
        </w:rPr>
      </w:pPr>
      <w:r w:rsidRPr="00672008">
        <w:rPr>
          <w:lang w:val="en-AU"/>
        </w:rPr>
        <w:t xml:space="preserve">In July 2006, the Commission approved PWC Networks’ current </w:t>
      </w:r>
      <w:r w:rsidR="006707C0" w:rsidRPr="00D5726A">
        <w:rPr>
          <w:lang w:val="en-AU"/>
        </w:rPr>
        <w:t>Distribution System Extension Policy</w:t>
      </w:r>
      <w:r w:rsidRPr="00672008">
        <w:rPr>
          <w:lang w:val="en-AU"/>
        </w:rPr>
        <w:t xml:space="preserve"> as complying with the provisions of section 86(7) of the </w:t>
      </w:r>
      <w:r w:rsidRPr="001F6D9C">
        <w:rPr>
          <w:i/>
          <w:lang w:val="en-AU"/>
        </w:rPr>
        <w:t>Electricity Reform Act</w:t>
      </w:r>
      <w:r w:rsidRPr="001F6D9C">
        <w:rPr>
          <w:lang w:val="en-AU"/>
        </w:rPr>
        <w:t xml:space="preserve">. The </w:t>
      </w:r>
      <w:r w:rsidR="006707C0" w:rsidRPr="00D5726A">
        <w:rPr>
          <w:lang w:val="en-AU"/>
        </w:rPr>
        <w:t>Distribution System Extension Policy</w:t>
      </w:r>
      <w:r w:rsidRPr="001F6D9C">
        <w:rPr>
          <w:lang w:val="en-AU"/>
        </w:rPr>
        <w:t xml:space="preserve"> includes a schedule of financial contribution fee components.</w:t>
      </w:r>
      <w:r w:rsidRPr="005945C9">
        <w:rPr>
          <w:rStyle w:val="FootnoteReference"/>
          <w:lang w:val="en-AU"/>
        </w:rPr>
        <w:footnoteReference w:id="70"/>
      </w:r>
      <w:r w:rsidRPr="001F6D9C">
        <w:rPr>
          <w:lang w:val="en-AU"/>
        </w:rPr>
        <w:t xml:space="preserve"> </w:t>
      </w:r>
    </w:p>
    <w:p w14:paraId="2C41A9A6" w14:textId="77FAF414" w:rsidR="008E4B9F" w:rsidRDefault="008E4B9F" w:rsidP="008E4B9F">
      <w:pPr>
        <w:pStyle w:val="UtilComHeading2"/>
      </w:pPr>
      <w:bookmarkStart w:id="315" w:name="_Toc385241580"/>
      <w:bookmarkStart w:id="316" w:name="_Toc386013133"/>
      <w:r>
        <w:t xml:space="preserve">Regulatory </w:t>
      </w:r>
      <w:bookmarkEnd w:id="315"/>
      <w:r w:rsidR="0043071F">
        <w:t>Requirements</w:t>
      </w:r>
      <w:bookmarkEnd w:id="316"/>
    </w:p>
    <w:p w14:paraId="6E1600B8" w14:textId="717299F3" w:rsidR="008E4B9F" w:rsidRPr="00AE64C5" w:rsidRDefault="003272E2" w:rsidP="00E32188">
      <w:pPr>
        <w:pStyle w:val="NumberLevel2"/>
        <w:numPr>
          <w:ilvl w:val="1"/>
          <w:numId w:val="5"/>
        </w:numPr>
        <w:ind w:left="709" w:hanging="709"/>
        <w:rPr>
          <w:lang w:val="en-AU"/>
        </w:rPr>
      </w:pPr>
      <w:r>
        <w:rPr>
          <w:lang w:val="en-AU"/>
        </w:rPr>
        <w:t>C</w:t>
      </w:r>
      <w:r w:rsidRPr="00D5726A">
        <w:rPr>
          <w:lang w:val="en-AU"/>
        </w:rPr>
        <w:t xml:space="preserve">lause 81(3) of the </w:t>
      </w:r>
      <w:r w:rsidR="00FB2EC5">
        <w:rPr>
          <w:lang w:val="en-AU"/>
        </w:rPr>
        <w:t>Network Access Code</w:t>
      </w:r>
      <w:r w:rsidRPr="00D5726A">
        <w:rPr>
          <w:lang w:val="en-AU"/>
        </w:rPr>
        <w:t xml:space="preserve"> </w:t>
      </w:r>
      <w:r>
        <w:rPr>
          <w:lang w:val="en-AU"/>
        </w:rPr>
        <w:t xml:space="preserve">requires the Commission </w:t>
      </w:r>
      <w:r w:rsidR="006707C0">
        <w:rPr>
          <w:lang w:val="en-AU"/>
        </w:rPr>
        <w:t xml:space="preserve">to </w:t>
      </w:r>
      <w:r>
        <w:rPr>
          <w:lang w:val="en-AU"/>
        </w:rPr>
        <w:t>approve PWC Networks’</w:t>
      </w:r>
      <w:r w:rsidRPr="00D5726A">
        <w:rPr>
          <w:lang w:val="en-AU"/>
        </w:rPr>
        <w:t xml:space="preserve"> capital contribution principles and methods statement for use </w:t>
      </w:r>
      <w:r>
        <w:rPr>
          <w:lang w:val="en-AU"/>
        </w:rPr>
        <w:t>from 1</w:t>
      </w:r>
      <w:r w:rsidR="00A06655">
        <w:rPr>
          <w:lang w:val="en-AU"/>
        </w:rPr>
        <w:t> </w:t>
      </w:r>
      <w:r>
        <w:rPr>
          <w:lang w:val="en-AU"/>
        </w:rPr>
        <w:t>July</w:t>
      </w:r>
      <w:r w:rsidR="00893057">
        <w:rPr>
          <w:lang w:val="en-AU"/>
        </w:rPr>
        <w:t> </w:t>
      </w:r>
      <w:r>
        <w:rPr>
          <w:lang w:val="en-AU"/>
        </w:rPr>
        <w:t>2014</w:t>
      </w:r>
      <w:r w:rsidRPr="00D5726A">
        <w:rPr>
          <w:lang w:val="en-AU"/>
        </w:rPr>
        <w:t xml:space="preserve"> unless the statement does not comply with the requirements set out in Chapter 8 of the </w:t>
      </w:r>
      <w:r w:rsidR="00FB2EC5">
        <w:rPr>
          <w:lang w:val="en-AU"/>
        </w:rPr>
        <w:t>Network Access Code</w:t>
      </w:r>
      <w:r w:rsidR="00E24F72">
        <w:rPr>
          <w:lang w:val="en-AU"/>
        </w:rPr>
        <w:t>,</w:t>
      </w:r>
      <w:r w:rsidRPr="00D5726A">
        <w:rPr>
          <w:lang w:val="en-AU"/>
        </w:rPr>
        <w:t xml:space="preserve"> or is inconsistent with the requirements elsewhere in the </w:t>
      </w:r>
      <w:r w:rsidR="006707C0">
        <w:rPr>
          <w:lang w:val="en-AU"/>
        </w:rPr>
        <w:t xml:space="preserve">Network Access </w:t>
      </w:r>
      <w:r w:rsidRPr="00D5726A">
        <w:rPr>
          <w:lang w:val="en-AU"/>
        </w:rPr>
        <w:t>Code, in particular the objectives of network pricing set out in clause 74.</w:t>
      </w:r>
    </w:p>
    <w:p w14:paraId="5D26949E" w14:textId="562F4310" w:rsidR="008E4B9F" w:rsidRDefault="008E4B9F" w:rsidP="008E4B9F">
      <w:pPr>
        <w:pStyle w:val="UtilComHeading2"/>
      </w:pPr>
      <w:bookmarkStart w:id="317" w:name="_Toc385241581"/>
      <w:bookmarkStart w:id="318" w:name="_Toc386013134"/>
      <w:r>
        <w:t>PWC Networks</w:t>
      </w:r>
      <w:r w:rsidR="00D624BF">
        <w:t>’</w:t>
      </w:r>
      <w:r>
        <w:t xml:space="preserve"> </w:t>
      </w:r>
      <w:r w:rsidR="0043071F">
        <w:t>Initial Regulatory P</w:t>
      </w:r>
      <w:r>
        <w:t>roposal</w:t>
      </w:r>
      <w:bookmarkEnd w:id="317"/>
      <w:bookmarkEnd w:id="318"/>
    </w:p>
    <w:p w14:paraId="2C206251" w14:textId="77777777" w:rsidR="00F43171" w:rsidRDefault="00F43171" w:rsidP="00E32188">
      <w:pPr>
        <w:pStyle w:val="NumberLevel2"/>
        <w:numPr>
          <w:ilvl w:val="1"/>
          <w:numId w:val="5"/>
        </w:numPr>
        <w:tabs>
          <w:tab w:val="clear" w:pos="3270"/>
          <w:tab w:val="left" w:pos="709"/>
        </w:tabs>
        <w:ind w:left="709" w:hanging="709"/>
        <w:rPr>
          <w:lang w:val="en-AU"/>
        </w:rPr>
      </w:pPr>
      <w:r>
        <w:rPr>
          <w:lang w:val="en-AU"/>
        </w:rPr>
        <w:t xml:space="preserve">PWC Networks’ regulatory proposal includes a proposed capital contribution principles and methods statement and capital contributions policy. PWC Networks has also provided to the Commission a separate submission on the proposed policy and principles and methods statement. </w:t>
      </w:r>
    </w:p>
    <w:p w14:paraId="71688CFF" w14:textId="26467946" w:rsidR="002C154F" w:rsidRDefault="002C154F" w:rsidP="00E32188">
      <w:pPr>
        <w:pStyle w:val="NumberLevel2"/>
        <w:numPr>
          <w:ilvl w:val="1"/>
          <w:numId w:val="5"/>
        </w:numPr>
        <w:tabs>
          <w:tab w:val="clear" w:pos="3270"/>
          <w:tab w:val="left" w:pos="709"/>
        </w:tabs>
        <w:ind w:left="709" w:hanging="709"/>
        <w:rPr>
          <w:lang w:val="en-AU"/>
        </w:rPr>
      </w:pPr>
      <w:r>
        <w:rPr>
          <w:lang w:val="en-AU"/>
        </w:rPr>
        <w:t xml:space="preserve">In November 2013, the Commission consulted separately on the proposed policy and principles and methods statement. A consultation paper was distributed to stakeholders, advertised publicly and </w:t>
      </w:r>
      <w:r w:rsidR="00E24F72">
        <w:rPr>
          <w:lang w:val="en-AU"/>
        </w:rPr>
        <w:t xml:space="preserve">made </w:t>
      </w:r>
      <w:r w:rsidR="005945C9">
        <w:rPr>
          <w:lang w:val="en-AU"/>
        </w:rPr>
        <w:t xml:space="preserve">available </w:t>
      </w:r>
      <w:r>
        <w:rPr>
          <w:lang w:val="en-AU"/>
        </w:rPr>
        <w:t>on the Commission’s website.</w:t>
      </w:r>
    </w:p>
    <w:p w14:paraId="52F60F17" w14:textId="77777777" w:rsidR="00281841" w:rsidRDefault="00281841" w:rsidP="00E32188">
      <w:pPr>
        <w:pStyle w:val="NumberLevel2"/>
        <w:numPr>
          <w:ilvl w:val="1"/>
          <w:numId w:val="5"/>
        </w:numPr>
        <w:ind w:left="709" w:hanging="709"/>
        <w:rPr>
          <w:lang w:val="en-AU"/>
        </w:rPr>
      </w:pPr>
      <w:r w:rsidRPr="00281841">
        <w:rPr>
          <w:lang w:val="en-AU"/>
        </w:rPr>
        <w:t>The high level objectives of the revised NCCP are</w:t>
      </w:r>
      <w:r>
        <w:rPr>
          <w:lang w:val="en-AU"/>
        </w:rPr>
        <w:t xml:space="preserve"> to</w:t>
      </w:r>
      <w:r w:rsidRPr="00281841">
        <w:rPr>
          <w:lang w:val="en-AU"/>
        </w:rPr>
        <w:t>:</w:t>
      </w:r>
    </w:p>
    <w:p w14:paraId="44ADDA52" w14:textId="50B2C032" w:rsidR="00281841" w:rsidRPr="00281841" w:rsidRDefault="00281841" w:rsidP="00B07474">
      <w:pPr>
        <w:pStyle w:val="NumberLevel2"/>
        <w:numPr>
          <w:ilvl w:val="0"/>
          <w:numId w:val="9"/>
        </w:numPr>
        <w:ind w:left="1134" w:hanging="425"/>
        <w:rPr>
          <w:lang w:val="en-AU"/>
        </w:rPr>
      </w:pPr>
      <w:r w:rsidRPr="00281841">
        <w:rPr>
          <w:lang w:val="en-AU"/>
        </w:rPr>
        <w:t>provide appropriate economic pricing signals to network users that reflect the true cost of connection to PWC Networks</w:t>
      </w:r>
      <w:r w:rsidR="00B1237C">
        <w:rPr>
          <w:lang w:val="en-AU"/>
        </w:rPr>
        <w:t>’ electricity network</w:t>
      </w:r>
      <w:r w:rsidRPr="00281841">
        <w:rPr>
          <w:lang w:val="en-AU"/>
        </w:rPr>
        <w:t xml:space="preserve"> or any new or upgraded network access services; </w:t>
      </w:r>
    </w:p>
    <w:p w14:paraId="5C9D4405" w14:textId="16612B43" w:rsidR="00281841" w:rsidRPr="00281841" w:rsidRDefault="00281841" w:rsidP="00B07474">
      <w:pPr>
        <w:pStyle w:val="NumberLevel2"/>
        <w:numPr>
          <w:ilvl w:val="0"/>
          <w:numId w:val="9"/>
        </w:numPr>
        <w:ind w:left="1134" w:hanging="425"/>
        <w:rPr>
          <w:lang w:val="en-AU"/>
        </w:rPr>
      </w:pPr>
      <w:r w:rsidRPr="00281841">
        <w:rPr>
          <w:lang w:val="en-AU"/>
        </w:rPr>
        <w:t xml:space="preserve">ensure the commercial viability of connections made to PWC Networks’ electricity network, in order to provide a return to the shareholders commensurate with the required investment; and </w:t>
      </w:r>
    </w:p>
    <w:p w14:paraId="1847518E" w14:textId="77777777" w:rsidR="00281841" w:rsidRPr="00281841" w:rsidRDefault="00281841" w:rsidP="00B07474">
      <w:pPr>
        <w:pStyle w:val="NumberLevel2"/>
        <w:numPr>
          <w:ilvl w:val="0"/>
          <w:numId w:val="9"/>
        </w:numPr>
        <w:ind w:left="1134" w:hanging="425"/>
        <w:rPr>
          <w:lang w:val="en-AU"/>
        </w:rPr>
      </w:pPr>
      <w:r w:rsidRPr="00281841">
        <w:rPr>
          <w:lang w:val="en-AU"/>
        </w:rPr>
        <w:t xml:space="preserve">ensure more equitable outcomes for both new and existing network users. </w:t>
      </w:r>
    </w:p>
    <w:p w14:paraId="031070FB" w14:textId="77777777" w:rsidR="00281841" w:rsidRPr="00281841" w:rsidRDefault="00281841" w:rsidP="00E32188">
      <w:pPr>
        <w:pStyle w:val="NumberLevel2"/>
        <w:numPr>
          <w:ilvl w:val="1"/>
          <w:numId w:val="5"/>
        </w:numPr>
        <w:ind w:left="709" w:hanging="709"/>
        <w:rPr>
          <w:lang w:val="en-AU"/>
        </w:rPr>
      </w:pPr>
      <w:r w:rsidRPr="00281841">
        <w:rPr>
          <w:lang w:val="en-AU"/>
        </w:rPr>
        <w:t>PWC Networks</w:t>
      </w:r>
      <w:r w:rsidR="0089442F">
        <w:rPr>
          <w:lang w:val="en-AU"/>
        </w:rPr>
        <w:t>’</w:t>
      </w:r>
      <w:r w:rsidRPr="00281841">
        <w:rPr>
          <w:lang w:val="en-AU"/>
        </w:rPr>
        <w:t xml:space="preserve"> revised policy </w:t>
      </w:r>
      <w:r w:rsidR="005945C9">
        <w:rPr>
          <w:lang w:val="en-AU"/>
        </w:rPr>
        <w:t xml:space="preserve">submitted </w:t>
      </w:r>
      <w:r w:rsidRPr="00281841">
        <w:rPr>
          <w:lang w:val="en-AU"/>
        </w:rPr>
        <w:t xml:space="preserve">to the Commission outlines plans to levy a capital contribution on a network user for any new or upgraded network access service it provides. </w:t>
      </w:r>
    </w:p>
    <w:p w14:paraId="28CB1019" w14:textId="77777777" w:rsidR="0089442F" w:rsidRDefault="00281841" w:rsidP="00E32188">
      <w:pPr>
        <w:pStyle w:val="NumberLevel2"/>
        <w:numPr>
          <w:ilvl w:val="1"/>
          <w:numId w:val="5"/>
        </w:numPr>
        <w:ind w:left="709" w:hanging="709"/>
        <w:rPr>
          <w:lang w:val="en-AU"/>
        </w:rPr>
      </w:pPr>
      <w:r w:rsidRPr="00281841">
        <w:rPr>
          <w:lang w:val="en-AU"/>
        </w:rPr>
        <w:t>PWC</w:t>
      </w:r>
      <w:r w:rsidR="008328B7">
        <w:rPr>
          <w:lang w:val="en-AU"/>
        </w:rPr>
        <w:t xml:space="preserve"> </w:t>
      </w:r>
      <w:r w:rsidR="005945C9">
        <w:rPr>
          <w:lang w:val="en-AU"/>
        </w:rPr>
        <w:t>Networks’</w:t>
      </w:r>
      <w:r w:rsidR="005945C9" w:rsidRPr="00281841">
        <w:rPr>
          <w:lang w:val="en-AU"/>
        </w:rPr>
        <w:t xml:space="preserve"> </w:t>
      </w:r>
      <w:r w:rsidRPr="00281841">
        <w:rPr>
          <w:lang w:val="en-AU"/>
        </w:rPr>
        <w:t xml:space="preserve">submission identifies that the changes proposed to the </w:t>
      </w:r>
      <w:r w:rsidR="0089442F" w:rsidRPr="0089442F">
        <w:rPr>
          <w:lang w:val="en-AU"/>
        </w:rPr>
        <w:t xml:space="preserve">NCCP aim to align the policy with those adopted in other Australian jurisdictions. </w:t>
      </w:r>
    </w:p>
    <w:p w14:paraId="11354A6E" w14:textId="77777777" w:rsidR="005B2A4C" w:rsidRDefault="005B2A4C" w:rsidP="00E32188">
      <w:pPr>
        <w:pStyle w:val="NumberLevel2"/>
        <w:numPr>
          <w:ilvl w:val="1"/>
          <w:numId w:val="4"/>
        </w:numPr>
        <w:ind w:left="709" w:hanging="709"/>
        <w:rPr>
          <w:lang w:val="en-AU"/>
        </w:rPr>
      </w:pPr>
      <w:r>
        <w:rPr>
          <w:lang w:val="en-AU"/>
        </w:rPr>
        <w:t>Key elements of the proposed NCCP include</w:t>
      </w:r>
      <w:r w:rsidR="00E24F72">
        <w:rPr>
          <w:lang w:val="en-AU"/>
        </w:rPr>
        <w:t>:</w:t>
      </w:r>
    </w:p>
    <w:p w14:paraId="4475230B" w14:textId="77777777" w:rsidR="005B2A4C" w:rsidRDefault="005B2A4C" w:rsidP="00B07474">
      <w:pPr>
        <w:pStyle w:val="NumberLevel2"/>
        <w:numPr>
          <w:ilvl w:val="0"/>
          <w:numId w:val="9"/>
        </w:numPr>
        <w:ind w:left="1134" w:hanging="425"/>
        <w:rPr>
          <w:lang w:val="en-AU"/>
        </w:rPr>
      </w:pPr>
      <w:r>
        <w:rPr>
          <w:lang w:val="en-AU"/>
        </w:rPr>
        <w:t xml:space="preserve">merging of the existing NCCP and </w:t>
      </w:r>
      <w:r w:rsidR="005945C9">
        <w:rPr>
          <w:lang w:val="en-AU"/>
        </w:rPr>
        <w:t>DSEP</w:t>
      </w:r>
      <w:r>
        <w:rPr>
          <w:lang w:val="en-AU"/>
        </w:rPr>
        <w:t xml:space="preserve"> to a</w:t>
      </w:r>
      <w:r w:rsidRPr="00FC7285">
        <w:rPr>
          <w:lang w:val="en-AU"/>
        </w:rPr>
        <w:t xml:space="preserve"> single policy applying to all network users</w:t>
      </w:r>
      <w:r w:rsidR="00E24F72">
        <w:rPr>
          <w:lang w:val="en-AU"/>
        </w:rPr>
        <w:t>;</w:t>
      </w:r>
      <w:r w:rsidRPr="00FC7285">
        <w:rPr>
          <w:lang w:val="en-AU"/>
        </w:rPr>
        <w:t xml:space="preserve"> </w:t>
      </w:r>
    </w:p>
    <w:p w14:paraId="5CCE48F7" w14:textId="77777777" w:rsidR="005B2A4C" w:rsidRDefault="005B2A4C" w:rsidP="00B07474">
      <w:pPr>
        <w:pStyle w:val="NumberLevel2"/>
        <w:numPr>
          <w:ilvl w:val="0"/>
          <w:numId w:val="9"/>
        </w:numPr>
        <w:ind w:left="1134" w:hanging="425"/>
        <w:rPr>
          <w:lang w:val="en-AU"/>
        </w:rPr>
      </w:pPr>
      <w:r w:rsidRPr="00D51C1A">
        <w:rPr>
          <w:lang w:val="en-AU"/>
        </w:rPr>
        <w:t>r</w:t>
      </w:r>
      <w:r w:rsidRPr="00FC7285">
        <w:rPr>
          <w:lang w:val="en-AU"/>
        </w:rPr>
        <w:t>ecover</w:t>
      </w:r>
      <w:r w:rsidRPr="00D51C1A">
        <w:rPr>
          <w:lang w:val="en-AU"/>
        </w:rPr>
        <w:t>y of</w:t>
      </w:r>
      <w:r w:rsidRPr="00FC7285">
        <w:rPr>
          <w:lang w:val="en-AU"/>
        </w:rPr>
        <w:t xml:space="preserve"> </w:t>
      </w:r>
      <w:r>
        <w:rPr>
          <w:lang w:val="en-AU"/>
        </w:rPr>
        <w:t>full capital costs incurred by PWC Networks;</w:t>
      </w:r>
    </w:p>
    <w:p w14:paraId="70D2221D" w14:textId="77777777" w:rsidR="005B2A4C" w:rsidRDefault="00E24F72" w:rsidP="00B07474">
      <w:pPr>
        <w:pStyle w:val="NumberLevel2"/>
        <w:numPr>
          <w:ilvl w:val="0"/>
          <w:numId w:val="9"/>
        </w:numPr>
        <w:ind w:left="1134" w:hanging="425"/>
        <w:rPr>
          <w:lang w:val="en-AU"/>
        </w:rPr>
      </w:pPr>
      <w:r>
        <w:rPr>
          <w:lang w:val="en-AU"/>
        </w:rPr>
        <w:t xml:space="preserve">that </w:t>
      </w:r>
      <w:r w:rsidR="005B2A4C" w:rsidRPr="00FC7285">
        <w:rPr>
          <w:lang w:val="en-AU"/>
        </w:rPr>
        <w:t xml:space="preserve">all network users will be required to pay the capital contribution in full prior to PWC Networks commencing the </w:t>
      </w:r>
      <w:r w:rsidR="005B2A4C">
        <w:rPr>
          <w:lang w:val="en-AU"/>
        </w:rPr>
        <w:t>works;</w:t>
      </w:r>
    </w:p>
    <w:p w14:paraId="4873B270" w14:textId="77777777" w:rsidR="005B2A4C" w:rsidRDefault="005B2A4C" w:rsidP="00B07474">
      <w:pPr>
        <w:pStyle w:val="NumberLevel2"/>
        <w:numPr>
          <w:ilvl w:val="0"/>
          <w:numId w:val="9"/>
        </w:numPr>
        <w:ind w:left="1134" w:hanging="425"/>
        <w:rPr>
          <w:lang w:val="en-AU"/>
        </w:rPr>
      </w:pPr>
      <w:r w:rsidRPr="00FC7285">
        <w:rPr>
          <w:lang w:val="en-AU"/>
        </w:rPr>
        <w:t xml:space="preserve">maximum capital contributions for large users </w:t>
      </w:r>
      <w:r w:rsidR="00F43171">
        <w:rPr>
          <w:lang w:val="en-AU"/>
        </w:rPr>
        <w:t xml:space="preserve">to be </w:t>
      </w:r>
      <w:r w:rsidRPr="00FC7285">
        <w:rPr>
          <w:lang w:val="en-AU"/>
        </w:rPr>
        <w:t xml:space="preserve">based upon the present value </w:t>
      </w:r>
      <w:r>
        <w:rPr>
          <w:lang w:val="en-AU"/>
        </w:rPr>
        <w:t xml:space="preserve">(PV) </w:t>
      </w:r>
      <w:r w:rsidRPr="00FC7285">
        <w:rPr>
          <w:lang w:val="en-AU"/>
        </w:rPr>
        <w:t xml:space="preserve">of the costs associated with the connection, less the </w:t>
      </w:r>
      <w:r>
        <w:rPr>
          <w:lang w:val="en-AU"/>
        </w:rPr>
        <w:t>PV</w:t>
      </w:r>
      <w:r w:rsidRPr="00FC7285">
        <w:rPr>
          <w:lang w:val="en-AU"/>
        </w:rPr>
        <w:t xml:space="preserve"> of the project future tariff revenues earned from the connection offset by the shared network costs</w:t>
      </w:r>
      <w:r>
        <w:rPr>
          <w:lang w:val="en-AU"/>
        </w:rPr>
        <w:t>;</w:t>
      </w:r>
    </w:p>
    <w:p w14:paraId="19914EED" w14:textId="77777777" w:rsidR="005B2A4C" w:rsidRDefault="00E24F72" w:rsidP="00B07474">
      <w:pPr>
        <w:pStyle w:val="NumberLevel2"/>
        <w:numPr>
          <w:ilvl w:val="0"/>
          <w:numId w:val="9"/>
        </w:numPr>
        <w:ind w:left="1134" w:hanging="425"/>
        <w:rPr>
          <w:lang w:val="en-AU"/>
        </w:rPr>
      </w:pPr>
      <w:r>
        <w:rPr>
          <w:lang w:val="en-AU"/>
        </w:rPr>
        <w:t xml:space="preserve">that </w:t>
      </w:r>
      <w:r w:rsidR="005B2A4C" w:rsidRPr="00FC7285">
        <w:rPr>
          <w:lang w:val="en-AU"/>
        </w:rPr>
        <w:t>upgrade</w:t>
      </w:r>
      <w:r>
        <w:rPr>
          <w:lang w:val="en-AU"/>
        </w:rPr>
        <w:t>s</w:t>
      </w:r>
      <w:r w:rsidR="005B2A4C" w:rsidRPr="00FC7285">
        <w:rPr>
          <w:lang w:val="en-AU"/>
        </w:rPr>
        <w:t xml:space="preserve"> to serviced properties by small individual network users will be based on the revised NPV approach to determine the maximum capital contribution</w:t>
      </w:r>
      <w:r>
        <w:rPr>
          <w:lang w:val="en-AU"/>
        </w:rPr>
        <w:t>;</w:t>
      </w:r>
    </w:p>
    <w:p w14:paraId="768DA493" w14:textId="77777777" w:rsidR="005B2A4C" w:rsidRPr="00FC7285" w:rsidRDefault="00E24F72" w:rsidP="00B07474">
      <w:pPr>
        <w:pStyle w:val="NumberLevel2"/>
        <w:numPr>
          <w:ilvl w:val="0"/>
          <w:numId w:val="9"/>
        </w:numPr>
        <w:ind w:left="1134" w:hanging="425"/>
        <w:rPr>
          <w:lang w:val="en-AU"/>
        </w:rPr>
      </w:pPr>
      <w:r>
        <w:rPr>
          <w:lang w:val="en-AU"/>
        </w:rPr>
        <w:t xml:space="preserve">that </w:t>
      </w:r>
      <w:r w:rsidR="005B2A4C">
        <w:rPr>
          <w:lang w:val="en-AU"/>
        </w:rPr>
        <w:t>e</w:t>
      </w:r>
      <w:r w:rsidR="005B2A4C" w:rsidRPr="00FC7285">
        <w:rPr>
          <w:lang w:val="en-AU"/>
        </w:rPr>
        <w:t>xtension</w:t>
      </w:r>
      <w:r>
        <w:rPr>
          <w:lang w:val="en-AU"/>
        </w:rPr>
        <w:t>s</w:t>
      </w:r>
      <w:r w:rsidR="005B2A4C" w:rsidRPr="00FC7285">
        <w:rPr>
          <w:lang w:val="en-AU"/>
        </w:rPr>
        <w:t xml:space="preserve"> to unserviced areas by small individual network users will be based on </w:t>
      </w:r>
      <w:r w:rsidR="005B2A4C">
        <w:rPr>
          <w:lang w:val="en-AU"/>
        </w:rPr>
        <w:t xml:space="preserve">a </w:t>
      </w:r>
      <w:r w:rsidR="005B2A4C" w:rsidRPr="00FC7285">
        <w:rPr>
          <w:lang w:val="en-AU"/>
        </w:rPr>
        <w:t>revised NPV approach to determine the maximum capital contributions</w:t>
      </w:r>
      <w:r w:rsidR="005B2A4C">
        <w:rPr>
          <w:lang w:val="en-AU"/>
        </w:rPr>
        <w:t>;</w:t>
      </w:r>
      <w:r w:rsidR="005B2A4C" w:rsidRPr="00FC7285">
        <w:rPr>
          <w:lang w:val="en-AU"/>
        </w:rPr>
        <w:t xml:space="preserve"> </w:t>
      </w:r>
    </w:p>
    <w:p w14:paraId="32EF8A5F" w14:textId="77777777" w:rsidR="001008AA" w:rsidRDefault="001008AA" w:rsidP="00B07474">
      <w:pPr>
        <w:pStyle w:val="NumberLevel2"/>
        <w:numPr>
          <w:ilvl w:val="0"/>
          <w:numId w:val="9"/>
        </w:numPr>
        <w:ind w:left="1134" w:hanging="425"/>
        <w:rPr>
          <w:lang w:val="en-AU"/>
        </w:rPr>
      </w:pPr>
      <w:r>
        <w:rPr>
          <w:lang w:val="en-AU"/>
        </w:rPr>
        <w:t xml:space="preserve">an NPV approach used to set the maximum amount of a capital contribution comprising the shortfall in the viability of the required works modified to offset the shared network costs from the projected future tariff revenues earned from the connection; </w:t>
      </w:r>
    </w:p>
    <w:p w14:paraId="2A9C38CD" w14:textId="77777777" w:rsidR="001008AA" w:rsidRDefault="001008AA" w:rsidP="00B07474">
      <w:pPr>
        <w:pStyle w:val="NumberLevel2"/>
        <w:numPr>
          <w:ilvl w:val="0"/>
          <w:numId w:val="9"/>
        </w:numPr>
        <w:ind w:left="1134" w:hanging="425"/>
        <w:rPr>
          <w:lang w:val="en-AU"/>
        </w:rPr>
      </w:pPr>
      <w:r>
        <w:rPr>
          <w:lang w:val="en-AU"/>
        </w:rPr>
        <w:t xml:space="preserve">an investment timeframe of 15 years, or less if PWC Networks reasonably considers that the project is characterised by a short asset life, risk of asset stranding or a high risk of default, used to calculate present value of the maximum capital contribution; </w:t>
      </w:r>
    </w:p>
    <w:p w14:paraId="463BE597" w14:textId="77777777" w:rsidR="001008AA" w:rsidRDefault="00E24F72" w:rsidP="00B07474">
      <w:pPr>
        <w:pStyle w:val="NumberLevel2"/>
        <w:numPr>
          <w:ilvl w:val="0"/>
          <w:numId w:val="9"/>
        </w:numPr>
        <w:ind w:left="1134" w:hanging="425"/>
        <w:rPr>
          <w:lang w:val="en-AU"/>
        </w:rPr>
      </w:pPr>
      <w:r>
        <w:rPr>
          <w:lang w:val="en-AU"/>
        </w:rPr>
        <w:t xml:space="preserve">that </w:t>
      </w:r>
      <w:r w:rsidR="001008AA">
        <w:rPr>
          <w:lang w:val="en-AU"/>
        </w:rPr>
        <w:t xml:space="preserve">the option to repay the capital contribution over time through </w:t>
      </w:r>
      <w:r>
        <w:rPr>
          <w:lang w:val="en-AU"/>
        </w:rPr>
        <w:t>interest-</w:t>
      </w:r>
      <w:r w:rsidR="001008AA">
        <w:rPr>
          <w:lang w:val="en-AU"/>
        </w:rPr>
        <w:t>free loan will no longer be available; and</w:t>
      </w:r>
    </w:p>
    <w:p w14:paraId="02E3B8E3" w14:textId="08217285" w:rsidR="001008AA" w:rsidRDefault="001008AA" w:rsidP="00B07474">
      <w:pPr>
        <w:pStyle w:val="NumberLevel2"/>
        <w:numPr>
          <w:ilvl w:val="0"/>
          <w:numId w:val="9"/>
        </w:numPr>
        <w:ind w:left="1134" w:hanging="425"/>
        <w:rPr>
          <w:lang w:val="en-AU"/>
        </w:rPr>
      </w:pPr>
      <w:r>
        <w:rPr>
          <w:lang w:val="en-AU"/>
        </w:rPr>
        <w:t xml:space="preserve">introduction of a cost sharing scheme to divide </w:t>
      </w:r>
      <w:r w:rsidR="00B1237C">
        <w:rPr>
          <w:lang w:val="en-AU"/>
        </w:rPr>
        <w:t xml:space="preserve">electricity network </w:t>
      </w:r>
      <w:r>
        <w:rPr>
          <w:lang w:val="en-AU"/>
        </w:rPr>
        <w:t>extension costs between all the beneficiaries of the</w:t>
      </w:r>
      <w:r w:rsidR="00B1237C">
        <w:rPr>
          <w:lang w:val="en-AU"/>
        </w:rPr>
        <w:t xml:space="preserve"> electricity network </w:t>
      </w:r>
      <w:r>
        <w:rPr>
          <w:lang w:val="en-AU"/>
        </w:rPr>
        <w:t xml:space="preserve">extension, within a five year timeframe of the original network user making the capital contribution. </w:t>
      </w:r>
    </w:p>
    <w:p w14:paraId="75388692" w14:textId="086917ED" w:rsidR="008E4B9F" w:rsidRDefault="001008AA" w:rsidP="001008AA">
      <w:pPr>
        <w:pStyle w:val="UtilComHeading2"/>
      </w:pPr>
      <w:r>
        <w:t xml:space="preserve"> </w:t>
      </w:r>
      <w:bookmarkStart w:id="319" w:name="_Toc385241582"/>
      <w:bookmarkStart w:id="320" w:name="_Toc386013135"/>
      <w:r w:rsidR="008E4B9F">
        <w:t>Submissions</w:t>
      </w:r>
      <w:r w:rsidR="00E01DD8">
        <w:t xml:space="preserve"> on </w:t>
      </w:r>
      <w:r w:rsidR="0043071F">
        <w:t xml:space="preserve">Initial Regulatory </w:t>
      </w:r>
      <w:bookmarkEnd w:id="319"/>
      <w:r w:rsidR="0043071F">
        <w:t>Proposal</w:t>
      </w:r>
      <w:bookmarkEnd w:id="320"/>
    </w:p>
    <w:p w14:paraId="148F9265" w14:textId="474EF0B0" w:rsidR="008E4B9F" w:rsidRDefault="00D5726A" w:rsidP="00E32188">
      <w:pPr>
        <w:pStyle w:val="NumberLevel2"/>
        <w:numPr>
          <w:ilvl w:val="1"/>
          <w:numId w:val="5"/>
        </w:numPr>
        <w:ind w:left="709" w:hanging="709"/>
        <w:rPr>
          <w:lang w:val="en-AU"/>
        </w:rPr>
      </w:pPr>
      <w:r>
        <w:rPr>
          <w:lang w:val="en-AU"/>
        </w:rPr>
        <w:t>The Commission received one submission</w:t>
      </w:r>
      <w:r w:rsidR="008328B7">
        <w:rPr>
          <w:lang w:val="en-AU"/>
        </w:rPr>
        <w:t xml:space="preserve"> </w:t>
      </w:r>
      <w:r>
        <w:rPr>
          <w:lang w:val="en-AU"/>
        </w:rPr>
        <w:t>from the</w:t>
      </w:r>
      <w:r w:rsidR="00FE5A31">
        <w:rPr>
          <w:lang w:val="en-AU"/>
        </w:rPr>
        <w:t xml:space="preserve"> </w:t>
      </w:r>
      <w:r w:rsidR="000341C3">
        <w:rPr>
          <w:lang w:val="en-AU"/>
        </w:rPr>
        <w:t>PCNT</w:t>
      </w:r>
      <w:r>
        <w:rPr>
          <w:lang w:val="en-AU"/>
        </w:rPr>
        <w:t>.</w:t>
      </w:r>
    </w:p>
    <w:p w14:paraId="62EFE0C4" w14:textId="77777777" w:rsidR="000341C3" w:rsidRDefault="000341C3" w:rsidP="00E32188">
      <w:pPr>
        <w:pStyle w:val="NumberLevel2"/>
        <w:numPr>
          <w:ilvl w:val="1"/>
          <w:numId w:val="5"/>
        </w:numPr>
        <w:ind w:left="709" w:hanging="709"/>
        <w:rPr>
          <w:lang w:val="en-AU"/>
        </w:rPr>
      </w:pPr>
      <w:r>
        <w:rPr>
          <w:lang w:val="en-AU"/>
        </w:rPr>
        <w:t xml:space="preserve">The PCNT </w:t>
      </w:r>
      <w:r w:rsidR="008328B7">
        <w:rPr>
          <w:lang w:val="en-AU"/>
        </w:rPr>
        <w:t xml:space="preserve">advocated </w:t>
      </w:r>
      <w:r w:rsidRPr="000341C3">
        <w:rPr>
          <w:lang w:val="en-AU"/>
        </w:rPr>
        <w:t>fair cost</w:t>
      </w:r>
      <w:r w:rsidR="008328B7">
        <w:rPr>
          <w:lang w:val="en-AU"/>
        </w:rPr>
        <w:t>ing</w:t>
      </w:r>
      <w:r w:rsidRPr="000341C3">
        <w:rPr>
          <w:lang w:val="en-AU"/>
        </w:rPr>
        <w:t xml:space="preserve"> for new and redeveloped networks in the </w:t>
      </w:r>
      <w:r w:rsidR="005945C9">
        <w:rPr>
          <w:lang w:val="en-AU"/>
        </w:rPr>
        <w:t>Territory</w:t>
      </w:r>
      <w:r w:rsidR="008328B7">
        <w:rPr>
          <w:lang w:val="en-AU"/>
        </w:rPr>
        <w:t>,</w:t>
      </w:r>
      <w:r>
        <w:rPr>
          <w:lang w:val="en-AU"/>
        </w:rPr>
        <w:t xml:space="preserve"> with one </w:t>
      </w:r>
      <w:r w:rsidRPr="000341C3">
        <w:rPr>
          <w:lang w:val="en-AU"/>
        </w:rPr>
        <w:t xml:space="preserve">of the recurring concerns </w:t>
      </w:r>
      <w:r>
        <w:rPr>
          <w:lang w:val="en-AU"/>
        </w:rPr>
        <w:t xml:space="preserve">raised </w:t>
      </w:r>
      <w:r w:rsidR="005945C9">
        <w:rPr>
          <w:lang w:val="en-AU"/>
        </w:rPr>
        <w:t xml:space="preserve">by members </w:t>
      </w:r>
      <w:r>
        <w:rPr>
          <w:lang w:val="en-AU"/>
        </w:rPr>
        <w:t>being a</w:t>
      </w:r>
      <w:r w:rsidRPr="000341C3">
        <w:rPr>
          <w:lang w:val="en-AU"/>
        </w:rPr>
        <w:t xml:space="preserve"> lack of transparency and clear policies</w:t>
      </w:r>
      <w:r>
        <w:rPr>
          <w:lang w:val="en-AU"/>
        </w:rPr>
        <w:t xml:space="preserve"> from PWC Networks</w:t>
      </w:r>
      <w:r w:rsidRPr="000341C3">
        <w:rPr>
          <w:lang w:val="en-AU"/>
        </w:rPr>
        <w:t xml:space="preserve"> for utilities augmentation works to service new or redeveloped sites. </w:t>
      </w:r>
      <w:r>
        <w:rPr>
          <w:lang w:val="en-AU"/>
        </w:rPr>
        <w:t xml:space="preserve">PCNT advised that the </w:t>
      </w:r>
      <w:r w:rsidRPr="000341C3">
        <w:rPr>
          <w:lang w:val="en-AU"/>
        </w:rPr>
        <w:t>lack of clear policies has led to considerable uncertainty and financial risk</w:t>
      </w:r>
      <w:r>
        <w:rPr>
          <w:lang w:val="en-AU"/>
        </w:rPr>
        <w:t xml:space="preserve"> for its members.</w:t>
      </w:r>
    </w:p>
    <w:p w14:paraId="278EA243" w14:textId="06330A5F" w:rsidR="0086516C" w:rsidRDefault="0086516C" w:rsidP="00E32188">
      <w:pPr>
        <w:pStyle w:val="NumberLevel2"/>
        <w:numPr>
          <w:ilvl w:val="1"/>
          <w:numId w:val="5"/>
        </w:numPr>
        <w:ind w:left="709" w:hanging="709"/>
        <w:rPr>
          <w:lang w:val="en-AU"/>
        </w:rPr>
      </w:pPr>
      <w:r>
        <w:rPr>
          <w:lang w:val="en-AU"/>
        </w:rPr>
        <w:t xml:space="preserve">PCNT </w:t>
      </w:r>
      <w:r w:rsidR="008328B7">
        <w:rPr>
          <w:lang w:val="en-AU"/>
        </w:rPr>
        <w:t>expressed</w:t>
      </w:r>
      <w:r>
        <w:rPr>
          <w:lang w:val="en-AU"/>
        </w:rPr>
        <w:t xml:space="preserve"> concern with some </w:t>
      </w:r>
      <w:r w:rsidRPr="00B0708D">
        <w:rPr>
          <w:lang w:val="en-AU"/>
        </w:rPr>
        <w:t>definition</w:t>
      </w:r>
      <w:r w:rsidR="008328B7">
        <w:rPr>
          <w:lang w:val="en-AU"/>
        </w:rPr>
        <w:t>s</w:t>
      </w:r>
      <w:r w:rsidRPr="00B0708D">
        <w:rPr>
          <w:lang w:val="en-AU"/>
        </w:rPr>
        <w:t xml:space="preserve"> </w:t>
      </w:r>
      <w:r>
        <w:rPr>
          <w:lang w:val="en-AU"/>
        </w:rPr>
        <w:t xml:space="preserve">and </w:t>
      </w:r>
      <w:r w:rsidR="00B1237C">
        <w:rPr>
          <w:lang w:val="en-AU"/>
        </w:rPr>
        <w:t xml:space="preserve">the </w:t>
      </w:r>
      <w:r>
        <w:rPr>
          <w:lang w:val="en-AU"/>
        </w:rPr>
        <w:t>operation of the proposed policy</w:t>
      </w:r>
      <w:r w:rsidR="008328B7">
        <w:rPr>
          <w:lang w:val="en-AU"/>
        </w:rPr>
        <w:t>,</w:t>
      </w:r>
      <w:r>
        <w:rPr>
          <w:lang w:val="en-AU"/>
        </w:rPr>
        <w:t xml:space="preserve"> and identified areas which required further clarification. </w:t>
      </w:r>
    </w:p>
    <w:p w14:paraId="25F39CC3" w14:textId="3A74698D" w:rsidR="0086516C" w:rsidRPr="00B0708D" w:rsidRDefault="0086516C" w:rsidP="00E32188">
      <w:pPr>
        <w:pStyle w:val="NumberLevel2"/>
        <w:numPr>
          <w:ilvl w:val="1"/>
          <w:numId w:val="5"/>
        </w:numPr>
        <w:ind w:left="709" w:hanging="709"/>
        <w:rPr>
          <w:lang w:val="en-AU"/>
        </w:rPr>
      </w:pPr>
      <w:r>
        <w:rPr>
          <w:lang w:val="en-AU"/>
        </w:rPr>
        <w:t>PCNT also sought c</w:t>
      </w:r>
      <w:r w:rsidRPr="0086516C">
        <w:rPr>
          <w:lang w:val="en-AU"/>
        </w:rPr>
        <w:t xml:space="preserve">larification on </w:t>
      </w:r>
      <w:r w:rsidRPr="00B0708D">
        <w:rPr>
          <w:lang w:val="en-AU"/>
        </w:rPr>
        <w:t xml:space="preserve">co-generation options available to property owners and how excess electricity can be transmitted back into the </w:t>
      </w:r>
      <w:r w:rsidR="00FE5A31">
        <w:rPr>
          <w:lang w:val="en-AU"/>
        </w:rPr>
        <w:t>electricity network</w:t>
      </w:r>
      <w:r w:rsidRPr="00B0708D">
        <w:rPr>
          <w:lang w:val="en-AU"/>
        </w:rPr>
        <w:t>.</w:t>
      </w:r>
    </w:p>
    <w:p w14:paraId="0DD1B611" w14:textId="7D54A2D0" w:rsidR="008E4B9F" w:rsidRDefault="008E4B9F" w:rsidP="008E4B9F">
      <w:pPr>
        <w:pStyle w:val="UtilComHeading2"/>
      </w:pPr>
      <w:bookmarkStart w:id="321" w:name="_Toc385241583"/>
      <w:bookmarkStart w:id="322" w:name="_Toc386013136"/>
      <w:r>
        <w:t xml:space="preserve">Issues and Commission’s </w:t>
      </w:r>
      <w:r w:rsidR="0043071F">
        <w:t xml:space="preserve">Initial </w:t>
      </w:r>
      <w:bookmarkEnd w:id="321"/>
      <w:r w:rsidR="0043071F">
        <w:t>Considerations</w:t>
      </w:r>
      <w:bookmarkEnd w:id="322"/>
    </w:p>
    <w:p w14:paraId="414259C1" w14:textId="77777777" w:rsidR="00BE2903" w:rsidRDefault="00BE2903" w:rsidP="00E32188">
      <w:pPr>
        <w:pStyle w:val="NumberLevel2"/>
        <w:numPr>
          <w:ilvl w:val="1"/>
          <w:numId w:val="4"/>
        </w:numPr>
        <w:ind w:left="709" w:hanging="709"/>
        <w:rPr>
          <w:lang w:val="en-AU"/>
        </w:rPr>
      </w:pPr>
      <w:r w:rsidRPr="00FC7285">
        <w:rPr>
          <w:lang w:val="en-AU"/>
        </w:rPr>
        <w:t>The Commission</w:t>
      </w:r>
      <w:r>
        <w:rPr>
          <w:lang w:val="en-AU"/>
        </w:rPr>
        <w:t xml:space="preserve"> must </w:t>
      </w:r>
      <w:r w:rsidRPr="00FC7285">
        <w:rPr>
          <w:lang w:val="en-AU"/>
        </w:rPr>
        <w:t>approv</w:t>
      </w:r>
      <w:r>
        <w:rPr>
          <w:lang w:val="en-AU"/>
        </w:rPr>
        <w:t xml:space="preserve">e the </w:t>
      </w:r>
      <w:r w:rsidRPr="00D5726A">
        <w:rPr>
          <w:lang w:val="en-AU"/>
        </w:rPr>
        <w:t>principles and methods</w:t>
      </w:r>
      <w:r>
        <w:rPr>
          <w:lang w:val="en-AU"/>
        </w:rPr>
        <w:t xml:space="preserve"> statement contained in the </w:t>
      </w:r>
      <w:r w:rsidRPr="00FC7285">
        <w:rPr>
          <w:lang w:val="en-AU"/>
        </w:rPr>
        <w:t xml:space="preserve">NCCP </w:t>
      </w:r>
      <w:r>
        <w:rPr>
          <w:lang w:val="en-AU"/>
        </w:rPr>
        <w:t xml:space="preserve">unless the </w:t>
      </w:r>
      <w:r w:rsidRPr="00FC7285">
        <w:rPr>
          <w:lang w:val="en-AU"/>
        </w:rPr>
        <w:t>Commission f</w:t>
      </w:r>
      <w:r>
        <w:rPr>
          <w:lang w:val="en-AU"/>
        </w:rPr>
        <w:t xml:space="preserve">inds the </w:t>
      </w:r>
      <w:r w:rsidRPr="00D5726A">
        <w:rPr>
          <w:lang w:val="en-AU"/>
        </w:rPr>
        <w:t>principles and methods</w:t>
      </w:r>
      <w:r w:rsidRPr="00FC7285">
        <w:rPr>
          <w:lang w:val="en-AU"/>
        </w:rPr>
        <w:t>:</w:t>
      </w:r>
    </w:p>
    <w:p w14:paraId="297A2811" w14:textId="5697E7D7" w:rsidR="00BE2903" w:rsidRPr="00FC7285" w:rsidRDefault="00BE2903" w:rsidP="00B07474">
      <w:pPr>
        <w:pStyle w:val="NumberLevel2"/>
        <w:numPr>
          <w:ilvl w:val="0"/>
          <w:numId w:val="9"/>
        </w:numPr>
        <w:ind w:left="993" w:hanging="426"/>
        <w:rPr>
          <w:lang w:val="en-AU"/>
        </w:rPr>
      </w:pPr>
      <w:r w:rsidRPr="00FC7285">
        <w:rPr>
          <w:lang w:val="en-AU"/>
        </w:rPr>
        <w:t xml:space="preserve">did not meet the requirements of Chapter 8 of the </w:t>
      </w:r>
      <w:r w:rsidR="00FB2EC5">
        <w:rPr>
          <w:lang w:val="en-AU"/>
        </w:rPr>
        <w:t>Network Access Code</w:t>
      </w:r>
      <w:r w:rsidRPr="00FC7285">
        <w:rPr>
          <w:lang w:val="en-AU"/>
        </w:rPr>
        <w:t xml:space="preserve">; </w:t>
      </w:r>
    </w:p>
    <w:p w14:paraId="4E5FDDAE" w14:textId="6D2F1EEB" w:rsidR="00BE2903" w:rsidRPr="00FC7285" w:rsidRDefault="00BE2903" w:rsidP="00B07474">
      <w:pPr>
        <w:pStyle w:val="NumberLevel2"/>
        <w:numPr>
          <w:ilvl w:val="0"/>
          <w:numId w:val="9"/>
        </w:numPr>
        <w:ind w:left="993" w:hanging="426"/>
        <w:rPr>
          <w:lang w:val="en-AU"/>
        </w:rPr>
      </w:pPr>
      <w:r w:rsidRPr="00FC7285">
        <w:rPr>
          <w:lang w:val="en-AU"/>
        </w:rPr>
        <w:t xml:space="preserve">was inconsistent with other requirements of the </w:t>
      </w:r>
      <w:r w:rsidR="00FE5A31">
        <w:rPr>
          <w:lang w:val="en-AU"/>
        </w:rPr>
        <w:t xml:space="preserve">Network Access </w:t>
      </w:r>
      <w:r w:rsidRPr="00FC7285">
        <w:rPr>
          <w:lang w:val="en-AU"/>
        </w:rPr>
        <w:t xml:space="preserve">Code; or </w:t>
      </w:r>
    </w:p>
    <w:p w14:paraId="4EC83D51" w14:textId="77777777" w:rsidR="00BE2903" w:rsidRPr="00FC7285" w:rsidRDefault="00BE2903" w:rsidP="00B07474">
      <w:pPr>
        <w:pStyle w:val="NumberLevel2"/>
        <w:numPr>
          <w:ilvl w:val="0"/>
          <w:numId w:val="9"/>
        </w:numPr>
        <w:ind w:left="993" w:hanging="426"/>
        <w:rPr>
          <w:lang w:val="en-AU"/>
        </w:rPr>
      </w:pPr>
      <w:r w:rsidRPr="00FC7285">
        <w:rPr>
          <w:lang w:val="en-AU"/>
        </w:rPr>
        <w:t>was inconsiste</w:t>
      </w:r>
      <w:r w:rsidR="00DA3A23">
        <w:rPr>
          <w:lang w:val="en-AU"/>
        </w:rPr>
        <w:t>nt with section 86</w:t>
      </w:r>
      <w:r w:rsidRPr="00FC7285">
        <w:rPr>
          <w:lang w:val="en-AU"/>
        </w:rPr>
        <w:t xml:space="preserve">(2) of the </w:t>
      </w:r>
      <w:r w:rsidRPr="00DA3A23">
        <w:rPr>
          <w:i/>
          <w:lang w:val="en-AU"/>
        </w:rPr>
        <w:t>Electricity Reform Act</w:t>
      </w:r>
      <w:r w:rsidRPr="00FC7285">
        <w:rPr>
          <w:lang w:val="en-AU"/>
        </w:rPr>
        <w:t xml:space="preserve">. </w:t>
      </w:r>
    </w:p>
    <w:p w14:paraId="72E535D9" w14:textId="5F456403" w:rsidR="0086516C" w:rsidRDefault="0086516C" w:rsidP="00E32188">
      <w:pPr>
        <w:pStyle w:val="NumberLevel2"/>
        <w:numPr>
          <w:ilvl w:val="1"/>
          <w:numId w:val="5"/>
        </w:numPr>
        <w:ind w:left="709" w:hanging="709"/>
        <w:rPr>
          <w:lang w:val="en-AU"/>
        </w:rPr>
      </w:pPr>
      <w:r>
        <w:rPr>
          <w:lang w:val="en-AU"/>
        </w:rPr>
        <w:t xml:space="preserve">The submission from the PCNT did not identify any major concerns with the NCCP or areas of inconsistency between the </w:t>
      </w:r>
      <w:r w:rsidR="00BE2903">
        <w:rPr>
          <w:lang w:val="en-AU"/>
        </w:rPr>
        <w:t xml:space="preserve">principles and methods of the </w:t>
      </w:r>
      <w:r>
        <w:rPr>
          <w:lang w:val="en-AU"/>
        </w:rPr>
        <w:t xml:space="preserve">NCCP and the </w:t>
      </w:r>
      <w:r w:rsidR="00FB2EC5">
        <w:rPr>
          <w:lang w:val="en-AU"/>
        </w:rPr>
        <w:t>Network Access Code</w:t>
      </w:r>
      <w:r>
        <w:rPr>
          <w:lang w:val="en-AU"/>
        </w:rPr>
        <w:t xml:space="preserve"> or </w:t>
      </w:r>
      <w:r w:rsidR="00BE2903" w:rsidRPr="00BE2903">
        <w:rPr>
          <w:i/>
          <w:lang w:val="en-AU"/>
        </w:rPr>
        <w:t>Electricity Reform Act</w:t>
      </w:r>
      <w:r>
        <w:rPr>
          <w:lang w:val="en-AU"/>
        </w:rPr>
        <w:t xml:space="preserve">. </w:t>
      </w:r>
    </w:p>
    <w:p w14:paraId="5E4FB579" w14:textId="77D8D256" w:rsidR="00BE2903" w:rsidRPr="00FC7285" w:rsidRDefault="00207549" w:rsidP="00E32188">
      <w:pPr>
        <w:pStyle w:val="NumberLevel2"/>
        <w:numPr>
          <w:ilvl w:val="1"/>
          <w:numId w:val="4"/>
        </w:numPr>
        <w:tabs>
          <w:tab w:val="clear" w:pos="3270"/>
          <w:tab w:val="left" w:pos="709"/>
        </w:tabs>
        <w:ind w:left="709" w:hanging="709"/>
        <w:rPr>
          <w:lang w:val="en-AU"/>
        </w:rPr>
      </w:pPr>
      <w:r w:rsidRPr="00207549">
        <w:rPr>
          <w:lang w:val="en-AU"/>
        </w:rPr>
        <w:t>The Commission engaged Deloitte to provide h</w:t>
      </w:r>
      <w:r w:rsidR="00A44F35">
        <w:rPr>
          <w:lang w:val="en-AU"/>
        </w:rPr>
        <w:t>igh level advice on PWC Network</w:t>
      </w:r>
      <w:r w:rsidRPr="00207549">
        <w:rPr>
          <w:lang w:val="en-AU"/>
        </w:rPr>
        <w:t>s</w:t>
      </w:r>
      <w:r w:rsidR="00A44F35">
        <w:rPr>
          <w:lang w:val="en-AU"/>
        </w:rPr>
        <w:t>’</w:t>
      </w:r>
      <w:r w:rsidRPr="00207549">
        <w:rPr>
          <w:lang w:val="en-AU"/>
        </w:rPr>
        <w:t xml:space="preserve"> </w:t>
      </w:r>
      <w:r w:rsidR="00521756">
        <w:rPr>
          <w:lang w:val="en-AU"/>
        </w:rPr>
        <w:t xml:space="preserve">proposed </w:t>
      </w:r>
      <w:r>
        <w:rPr>
          <w:lang w:val="en-AU"/>
        </w:rPr>
        <w:t xml:space="preserve">NCCP and </w:t>
      </w:r>
      <w:r w:rsidRPr="00207549">
        <w:rPr>
          <w:lang w:val="en-AU"/>
        </w:rPr>
        <w:t>NPPS</w:t>
      </w:r>
      <w:r>
        <w:rPr>
          <w:lang w:val="en-AU"/>
        </w:rPr>
        <w:t>.</w:t>
      </w:r>
      <w:r w:rsidRPr="00207549">
        <w:rPr>
          <w:lang w:val="en-AU"/>
        </w:rPr>
        <w:t xml:space="preserve"> </w:t>
      </w:r>
      <w:r w:rsidR="00BE2903">
        <w:rPr>
          <w:lang w:val="en-AU"/>
        </w:rPr>
        <w:t>The Commission sought advice from Deloitte on the consistency of the NCCP</w:t>
      </w:r>
      <w:r w:rsidR="00BE2903" w:rsidRPr="00FC7285">
        <w:rPr>
          <w:lang w:val="en-AU"/>
        </w:rPr>
        <w:t xml:space="preserve"> with the network pricing objectives, capital contributions principles and high level pricing objectives of cost reflective price signals, simplicity, stability and equity. </w:t>
      </w:r>
    </w:p>
    <w:p w14:paraId="32F1D586" w14:textId="22AFA07F" w:rsidR="00BE2903" w:rsidRDefault="00BE2903" w:rsidP="00E32188">
      <w:pPr>
        <w:pStyle w:val="NumberLevel2"/>
        <w:numPr>
          <w:ilvl w:val="1"/>
          <w:numId w:val="4"/>
        </w:numPr>
        <w:ind w:left="709" w:hanging="709"/>
        <w:rPr>
          <w:lang w:val="en-AU"/>
        </w:rPr>
      </w:pPr>
      <w:r>
        <w:rPr>
          <w:lang w:val="en-AU"/>
        </w:rPr>
        <w:t>Deloitte’s view was that the</w:t>
      </w:r>
      <w:r w:rsidRPr="00FC7285">
        <w:rPr>
          <w:lang w:val="en-AU"/>
        </w:rPr>
        <w:t xml:space="preserve"> level of detail included in </w:t>
      </w:r>
      <w:r>
        <w:rPr>
          <w:lang w:val="en-AU"/>
        </w:rPr>
        <w:t>the NCCP</w:t>
      </w:r>
      <w:r w:rsidRPr="00FC7285">
        <w:rPr>
          <w:lang w:val="en-AU"/>
        </w:rPr>
        <w:t xml:space="preserve"> </w:t>
      </w:r>
      <w:r w:rsidR="00B1237C">
        <w:rPr>
          <w:lang w:val="en-AU"/>
        </w:rPr>
        <w:t>was</w:t>
      </w:r>
      <w:r w:rsidRPr="00FC7285">
        <w:rPr>
          <w:lang w:val="en-AU"/>
        </w:rPr>
        <w:t xml:space="preserve"> comparable to that provided in other network </w:t>
      </w:r>
      <w:r w:rsidR="00FE5A31">
        <w:rPr>
          <w:lang w:val="en-AU"/>
        </w:rPr>
        <w:t>service providers’</w:t>
      </w:r>
      <w:r w:rsidR="00FE5A31" w:rsidRPr="00FC7285">
        <w:rPr>
          <w:lang w:val="en-AU"/>
        </w:rPr>
        <w:t xml:space="preserve"> </w:t>
      </w:r>
      <w:r w:rsidRPr="00FC7285">
        <w:rPr>
          <w:lang w:val="en-AU"/>
        </w:rPr>
        <w:t xml:space="preserve">(and regulators, where appropriate) policies. </w:t>
      </w:r>
    </w:p>
    <w:p w14:paraId="0299451C" w14:textId="041AB025" w:rsidR="00BE2903" w:rsidRPr="00496744" w:rsidRDefault="00496744" w:rsidP="00E32188">
      <w:pPr>
        <w:pStyle w:val="NumberLevel2"/>
        <w:numPr>
          <w:ilvl w:val="1"/>
          <w:numId w:val="4"/>
        </w:numPr>
        <w:tabs>
          <w:tab w:val="clear" w:pos="3270"/>
          <w:tab w:val="num" w:pos="709"/>
          <w:tab w:val="left" w:pos="3119"/>
        </w:tabs>
        <w:ind w:left="709" w:hanging="709"/>
        <w:rPr>
          <w:lang w:val="en-AU"/>
        </w:rPr>
      </w:pPr>
      <w:r w:rsidRPr="00496744">
        <w:rPr>
          <w:lang w:val="en-AU"/>
        </w:rPr>
        <w:t xml:space="preserve">Deloitte did identify some areas where there were, possibly, inconsistencies with the revised NCCP and relevant sections of the </w:t>
      </w:r>
      <w:r w:rsidR="00FB2EC5">
        <w:rPr>
          <w:lang w:val="en-AU"/>
        </w:rPr>
        <w:t>Network Access Code</w:t>
      </w:r>
      <w:r w:rsidRPr="00496744">
        <w:rPr>
          <w:lang w:val="en-AU"/>
        </w:rPr>
        <w:t xml:space="preserve"> or </w:t>
      </w:r>
      <w:r w:rsidRPr="00496744">
        <w:rPr>
          <w:i/>
          <w:lang w:val="en-AU"/>
        </w:rPr>
        <w:t>Electricity Reform Act</w:t>
      </w:r>
      <w:r w:rsidRPr="00496744">
        <w:rPr>
          <w:lang w:val="en-AU"/>
        </w:rPr>
        <w:t xml:space="preserve">. </w:t>
      </w:r>
      <w:r w:rsidR="00BE2903" w:rsidRPr="00496744">
        <w:rPr>
          <w:lang w:val="en-AU"/>
        </w:rPr>
        <w:t>These areas were:</w:t>
      </w:r>
    </w:p>
    <w:p w14:paraId="4CFCE4F7" w14:textId="2219E96A" w:rsidR="00BE2903" w:rsidRDefault="00E24F72" w:rsidP="00B07474">
      <w:pPr>
        <w:pStyle w:val="NumberLevel2"/>
        <w:numPr>
          <w:ilvl w:val="0"/>
          <w:numId w:val="9"/>
        </w:numPr>
        <w:ind w:left="1134" w:hanging="425"/>
        <w:rPr>
          <w:lang w:val="en-AU"/>
        </w:rPr>
      </w:pPr>
      <w:r>
        <w:rPr>
          <w:lang w:val="en-AU"/>
        </w:rPr>
        <w:t xml:space="preserve">that </w:t>
      </w:r>
      <w:r w:rsidR="00BE2903">
        <w:rPr>
          <w:lang w:val="en-AU"/>
        </w:rPr>
        <w:t xml:space="preserve">the </w:t>
      </w:r>
      <w:r w:rsidR="00BE2903" w:rsidRPr="00FC7285">
        <w:rPr>
          <w:lang w:val="en-AU"/>
        </w:rPr>
        <w:t xml:space="preserve">assumed </w:t>
      </w:r>
      <w:r w:rsidRPr="00FC7285">
        <w:rPr>
          <w:lang w:val="en-AU"/>
        </w:rPr>
        <w:t>15</w:t>
      </w:r>
      <w:r>
        <w:rPr>
          <w:lang w:val="en-AU"/>
        </w:rPr>
        <w:t>-</w:t>
      </w:r>
      <w:r w:rsidR="00BE2903" w:rsidRPr="00FC7285">
        <w:rPr>
          <w:lang w:val="en-AU"/>
        </w:rPr>
        <w:t xml:space="preserve">year connection life for </w:t>
      </w:r>
      <w:r w:rsidR="00BE2903">
        <w:rPr>
          <w:lang w:val="en-AU"/>
        </w:rPr>
        <w:t>s</w:t>
      </w:r>
      <w:r w:rsidR="00BE2903" w:rsidRPr="00FC7285">
        <w:rPr>
          <w:lang w:val="en-AU"/>
        </w:rPr>
        <w:t xml:space="preserve">mall </w:t>
      </w:r>
      <w:r w:rsidR="00BE2903">
        <w:rPr>
          <w:lang w:val="en-AU"/>
        </w:rPr>
        <w:t>i</w:t>
      </w:r>
      <w:r w:rsidR="00BE2903" w:rsidRPr="00524B03">
        <w:rPr>
          <w:lang w:val="en-AU"/>
        </w:rPr>
        <w:t>ndividual</w:t>
      </w:r>
      <w:r w:rsidR="00BE2903" w:rsidRPr="00FC7285">
        <w:rPr>
          <w:lang w:val="en-AU"/>
        </w:rPr>
        <w:t xml:space="preserve"> </w:t>
      </w:r>
      <w:r w:rsidR="00BE2903">
        <w:rPr>
          <w:lang w:val="en-AU"/>
        </w:rPr>
        <w:t>n</w:t>
      </w:r>
      <w:r w:rsidR="00BE2903" w:rsidRPr="00FC7285">
        <w:rPr>
          <w:lang w:val="en-AU"/>
        </w:rPr>
        <w:t xml:space="preserve">etwork </w:t>
      </w:r>
      <w:r w:rsidR="00BE2903">
        <w:rPr>
          <w:lang w:val="en-AU"/>
        </w:rPr>
        <w:t>u</w:t>
      </w:r>
      <w:r w:rsidR="00BE2903" w:rsidRPr="00FC7285">
        <w:rPr>
          <w:lang w:val="en-AU"/>
        </w:rPr>
        <w:t xml:space="preserve">sers may be too short and </w:t>
      </w:r>
      <w:r w:rsidR="00BE2903">
        <w:rPr>
          <w:lang w:val="en-AU"/>
        </w:rPr>
        <w:t xml:space="preserve">should be amended to 30 years to be consistent </w:t>
      </w:r>
      <w:r w:rsidR="00BE2903" w:rsidRPr="00FC7285">
        <w:rPr>
          <w:lang w:val="en-AU"/>
        </w:rPr>
        <w:t xml:space="preserve">with the </w:t>
      </w:r>
      <w:r w:rsidR="00FB2EC5">
        <w:rPr>
          <w:lang w:val="en-AU"/>
        </w:rPr>
        <w:t>Network Access Code</w:t>
      </w:r>
      <w:r w:rsidR="00496744">
        <w:rPr>
          <w:lang w:val="en-AU"/>
        </w:rPr>
        <w:t>; and</w:t>
      </w:r>
    </w:p>
    <w:p w14:paraId="1CE8AE81" w14:textId="7EE0770A" w:rsidR="00BE2903" w:rsidRPr="00FC7285" w:rsidRDefault="00E24F72" w:rsidP="00B07474">
      <w:pPr>
        <w:pStyle w:val="NumberLevel2"/>
        <w:numPr>
          <w:ilvl w:val="0"/>
          <w:numId w:val="9"/>
        </w:numPr>
        <w:ind w:left="1134" w:hanging="425"/>
        <w:rPr>
          <w:lang w:val="en-AU"/>
        </w:rPr>
      </w:pPr>
      <w:r>
        <w:rPr>
          <w:lang w:val="en-AU"/>
        </w:rPr>
        <w:t xml:space="preserve">that </w:t>
      </w:r>
      <w:r w:rsidR="00FE5A31">
        <w:rPr>
          <w:lang w:val="en-AU"/>
        </w:rPr>
        <w:t xml:space="preserve">retail </w:t>
      </w:r>
      <w:r w:rsidR="00BE2903" w:rsidRPr="00FC7285">
        <w:rPr>
          <w:lang w:val="en-AU"/>
        </w:rPr>
        <w:t xml:space="preserve">customers </w:t>
      </w:r>
      <w:r w:rsidR="00C35B7B">
        <w:rPr>
          <w:lang w:val="en-AU"/>
        </w:rPr>
        <w:t xml:space="preserve">should </w:t>
      </w:r>
      <w:r w:rsidR="00BE2903" w:rsidRPr="00FC7285">
        <w:rPr>
          <w:lang w:val="en-AU"/>
        </w:rPr>
        <w:t xml:space="preserve">not be charged for the full cost of a connection if other </w:t>
      </w:r>
      <w:r w:rsidR="00FE5A31">
        <w:rPr>
          <w:lang w:val="en-AU"/>
        </w:rPr>
        <w:t xml:space="preserve">retail </w:t>
      </w:r>
      <w:r w:rsidR="00BE2903" w:rsidRPr="00FC7285">
        <w:rPr>
          <w:lang w:val="en-AU"/>
        </w:rPr>
        <w:t xml:space="preserve">customers can benefit from the connection at that time or in the future. </w:t>
      </w:r>
    </w:p>
    <w:p w14:paraId="1C00E793" w14:textId="73723CF5" w:rsidR="00E01DD8" w:rsidRDefault="00E01DD8" w:rsidP="00E01DD8">
      <w:pPr>
        <w:pStyle w:val="NumberLevel2"/>
        <w:numPr>
          <w:ilvl w:val="1"/>
          <w:numId w:val="4"/>
        </w:numPr>
        <w:ind w:left="709" w:hanging="709"/>
        <w:rPr>
          <w:lang w:val="en-AU"/>
        </w:rPr>
      </w:pPr>
      <w:r w:rsidRPr="00D35D72">
        <w:rPr>
          <w:lang w:val="en-AU"/>
        </w:rPr>
        <w:t xml:space="preserve">The Commission did not find any significant inconsistencies with the </w:t>
      </w:r>
      <w:r w:rsidR="00FB2EC5">
        <w:rPr>
          <w:lang w:val="en-AU"/>
        </w:rPr>
        <w:t>Network Access Code</w:t>
      </w:r>
      <w:r w:rsidRPr="00D35D72">
        <w:rPr>
          <w:lang w:val="en-AU"/>
        </w:rPr>
        <w:t xml:space="preserve"> or the </w:t>
      </w:r>
      <w:r w:rsidRPr="00FC7285">
        <w:rPr>
          <w:i/>
          <w:lang w:val="en-AU"/>
        </w:rPr>
        <w:t>Electricity Reform Act</w:t>
      </w:r>
      <w:r w:rsidRPr="00D35D72">
        <w:rPr>
          <w:lang w:val="en-AU"/>
        </w:rPr>
        <w:t>, but identif</w:t>
      </w:r>
      <w:r>
        <w:rPr>
          <w:lang w:val="en-AU"/>
        </w:rPr>
        <w:t>ied</w:t>
      </w:r>
      <w:r w:rsidRPr="00D35D72">
        <w:rPr>
          <w:lang w:val="en-AU"/>
        </w:rPr>
        <w:t xml:space="preserve"> a number of issues which </w:t>
      </w:r>
      <w:r w:rsidR="00FE5A31">
        <w:rPr>
          <w:lang w:val="en-AU"/>
        </w:rPr>
        <w:t xml:space="preserve">it considered </w:t>
      </w:r>
      <w:r w:rsidRPr="00D35D72">
        <w:rPr>
          <w:lang w:val="en-AU"/>
        </w:rPr>
        <w:t>should be addressed by PWC</w:t>
      </w:r>
      <w:r w:rsidR="00FE5A31">
        <w:rPr>
          <w:lang w:val="en-AU"/>
        </w:rPr>
        <w:t> Networks</w:t>
      </w:r>
      <w:r w:rsidRPr="00D35D72">
        <w:rPr>
          <w:lang w:val="en-AU"/>
        </w:rPr>
        <w:t xml:space="preserve"> </w:t>
      </w:r>
      <w:r>
        <w:rPr>
          <w:lang w:val="en-AU"/>
        </w:rPr>
        <w:t>including:</w:t>
      </w:r>
    </w:p>
    <w:p w14:paraId="69C0B503" w14:textId="46ACDC96" w:rsidR="00E01DD8" w:rsidRDefault="00E01DD8" w:rsidP="00B07474">
      <w:pPr>
        <w:pStyle w:val="NumberLevel2"/>
        <w:numPr>
          <w:ilvl w:val="0"/>
          <w:numId w:val="9"/>
        </w:numPr>
        <w:ind w:left="1134" w:hanging="425"/>
        <w:rPr>
          <w:lang w:val="en-AU"/>
        </w:rPr>
      </w:pPr>
      <w:r w:rsidRPr="00FC7285">
        <w:rPr>
          <w:lang w:val="en-AU"/>
        </w:rPr>
        <w:t xml:space="preserve">connection life for </w:t>
      </w:r>
      <w:r>
        <w:rPr>
          <w:lang w:val="en-AU"/>
        </w:rPr>
        <w:t>s</w:t>
      </w:r>
      <w:r w:rsidRPr="00FC7285">
        <w:rPr>
          <w:lang w:val="en-AU"/>
        </w:rPr>
        <w:t xml:space="preserve">mall </w:t>
      </w:r>
      <w:r>
        <w:rPr>
          <w:lang w:val="en-AU"/>
        </w:rPr>
        <w:t>i</w:t>
      </w:r>
      <w:r w:rsidRPr="00524B03">
        <w:rPr>
          <w:lang w:val="en-AU"/>
        </w:rPr>
        <w:t>ndividual</w:t>
      </w:r>
      <w:r w:rsidRPr="00FC7285">
        <w:rPr>
          <w:lang w:val="en-AU"/>
        </w:rPr>
        <w:t xml:space="preserve"> </w:t>
      </w:r>
      <w:r>
        <w:rPr>
          <w:lang w:val="en-AU"/>
        </w:rPr>
        <w:t>n</w:t>
      </w:r>
      <w:r w:rsidRPr="00FC7285">
        <w:rPr>
          <w:lang w:val="en-AU"/>
        </w:rPr>
        <w:t xml:space="preserve">etwork </w:t>
      </w:r>
      <w:r>
        <w:rPr>
          <w:lang w:val="en-AU"/>
        </w:rPr>
        <w:t>u</w:t>
      </w:r>
      <w:r w:rsidRPr="00FC7285">
        <w:rPr>
          <w:lang w:val="en-AU"/>
        </w:rPr>
        <w:t xml:space="preserve">sers </w:t>
      </w:r>
      <w:r w:rsidR="00B1237C">
        <w:rPr>
          <w:lang w:val="en-AU"/>
        </w:rPr>
        <w:t xml:space="preserve">should </w:t>
      </w:r>
      <w:r>
        <w:rPr>
          <w:lang w:val="en-AU"/>
        </w:rPr>
        <w:t>be amended to 30 years or further justification supporting a shorter timeframe be provided by PWC Networks; and</w:t>
      </w:r>
    </w:p>
    <w:p w14:paraId="20ED204A" w14:textId="301AB4BF" w:rsidR="00E01DD8" w:rsidRDefault="00E01DD8" w:rsidP="00B07474">
      <w:pPr>
        <w:pStyle w:val="NumberLevel2"/>
        <w:numPr>
          <w:ilvl w:val="0"/>
          <w:numId w:val="9"/>
        </w:numPr>
        <w:ind w:left="1134" w:hanging="425"/>
        <w:rPr>
          <w:lang w:val="en-AU"/>
        </w:rPr>
      </w:pPr>
      <w:r>
        <w:rPr>
          <w:lang w:val="en-AU"/>
        </w:rPr>
        <w:t xml:space="preserve">confirmation that </w:t>
      </w:r>
      <w:r w:rsidR="00FE5A31">
        <w:rPr>
          <w:lang w:val="en-AU"/>
        </w:rPr>
        <w:t xml:space="preserve">retail </w:t>
      </w:r>
      <w:r w:rsidRPr="00FC7285">
        <w:rPr>
          <w:lang w:val="en-AU"/>
        </w:rPr>
        <w:t xml:space="preserve">customers </w:t>
      </w:r>
      <w:r w:rsidR="00B07474">
        <w:rPr>
          <w:lang w:val="en-AU"/>
        </w:rPr>
        <w:t xml:space="preserve">would </w:t>
      </w:r>
      <w:r w:rsidRPr="00FC7285">
        <w:rPr>
          <w:lang w:val="en-AU"/>
        </w:rPr>
        <w:t xml:space="preserve">not be charged for the full cost of a connection if </w:t>
      </w:r>
      <w:r w:rsidR="00FE5A31">
        <w:rPr>
          <w:lang w:val="en-AU"/>
        </w:rPr>
        <w:t xml:space="preserve">retail </w:t>
      </w:r>
      <w:r w:rsidR="00B1237C">
        <w:rPr>
          <w:lang w:val="en-AU"/>
        </w:rPr>
        <w:t>other customers could</w:t>
      </w:r>
      <w:r w:rsidRPr="00FC7285">
        <w:rPr>
          <w:lang w:val="en-AU"/>
        </w:rPr>
        <w:t xml:space="preserve"> benefit from the connection at that time or in the future</w:t>
      </w:r>
      <w:r>
        <w:rPr>
          <w:lang w:val="en-AU"/>
        </w:rPr>
        <w:t>.</w:t>
      </w:r>
      <w:r w:rsidRPr="00D35D72">
        <w:rPr>
          <w:lang w:val="en-AU"/>
        </w:rPr>
        <w:t xml:space="preserve"> </w:t>
      </w:r>
    </w:p>
    <w:p w14:paraId="43FC7573" w14:textId="0B94D703" w:rsidR="00E01DD8" w:rsidRDefault="00E01DD8" w:rsidP="00E01DD8">
      <w:pPr>
        <w:pStyle w:val="NumberLevel2"/>
        <w:numPr>
          <w:ilvl w:val="1"/>
          <w:numId w:val="4"/>
        </w:numPr>
        <w:ind w:left="709" w:hanging="709"/>
        <w:rPr>
          <w:lang w:val="en-AU"/>
        </w:rPr>
      </w:pPr>
      <w:r>
        <w:rPr>
          <w:lang w:val="en-AU"/>
        </w:rPr>
        <w:t xml:space="preserve">The Commission </w:t>
      </w:r>
      <w:r w:rsidR="00DC322B">
        <w:rPr>
          <w:lang w:val="en-AU"/>
        </w:rPr>
        <w:t xml:space="preserve">encouraged </w:t>
      </w:r>
      <w:r>
        <w:rPr>
          <w:lang w:val="en-AU"/>
        </w:rPr>
        <w:t>PWC</w:t>
      </w:r>
      <w:r w:rsidR="00FE5A31">
        <w:rPr>
          <w:lang w:val="en-AU"/>
        </w:rPr>
        <w:t> Networks</w:t>
      </w:r>
      <w:r>
        <w:rPr>
          <w:lang w:val="en-AU"/>
        </w:rPr>
        <w:t xml:space="preserve"> to dialogue with the PCNT to improve </w:t>
      </w:r>
      <w:r w:rsidR="00B1237C">
        <w:rPr>
          <w:lang w:val="en-AU"/>
        </w:rPr>
        <w:t xml:space="preserve">its </w:t>
      </w:r>
      <w:r>
        <w:rPr>
          <w:lang w:val="en-AU"/>
        </w:rPr>
        <w:t xml:space="preserve">understanding of the proposed NCCP characteristics. </w:t>
      </w:r>
    </w:p>
    <w:p w14:paraId="0E34FD18" w14:textId="70588770" w:rsidR="00DC322B" w:rsidRDefault="00DC322B" w:rsidP="00DC322B">
      <w:pPr>
        <w:pStyle w:val="UtilComHeading2"/>
      </w:pPr>
      <w:bookmarkStart w:id="323" w:name="_Toc386013137"/>
      <w:r>
        <w:t xml:space="preserve">Commission’s </w:t>
      </w:r>
      <w:r w:rsidR="00FE5A31">
        <w:t>Draft Determination</w:t>
      </w:r>
      <w:bookmarkEnd w:id="323"/>
    </w:p>
    <w:p w14:paraId="21DE3C17" w14:textId="0F50C9AA" w:rsidR="00DC322B" w:rsidRDefault="00DC322B" w:rsidP="00DC322B">
      <w:pPr>
        <w:pStyle w:val="NumberLevel2"/>
        <w:numPr>
          <w:ilvl w:val="1"/>
          <w:numId w:val="5"/>
        </w:numPr>
        <w:ind w:left="709" w:hanging="709"/>
        <w:rPr>
          <w:lang w:val="en-AU"/>
        </w:rPr>
      </w:pPr>
      <w:r>
        <w:rPr>
          <w:lang w:val="en-AU"/>
        </w:rPr>
        <w:t xml:space="preserve">The Commission’s decision </w:t>
      </w:r>
      <w:r w:rsidR="00FE5A31">
        <w:rPr>
          <w:lang w:val="en-AU"/>
        </w:rPr>
        <w:t xml:space="preserve">in the Draft Determination </w:t>
      </w:r>
      <w:r>
        <w:rPr>
          <w:lang w:val="en-AU"/>
        </w:rPr>
        <w:t>was that it would approve PWC Networks’</w:t>
      </w:r>
      <w:r w:rsidRPr="00D5726A">
        <w:rPr>
          <w:lang w:val="en-AU"/>
        </w:rPr>
        <w:t xml:space="preserve"> </w:t>
      </w:r>
      <w:r>
        <w:rPr>
          <w:lang w:val="en-AU"/>
        </w:rPr>
        <w:t>NCCP</w:t>
      </w:r>
      <w:r w:rsidRPr="00D5726A">
        <w:rPr>
          <w:lang w:val="en-AU"/>
        </w:rPr>
        <w:t xml:space="preserve"> for use </w:t>
      </w:r>
      <w:r>
        <w:rPr>
          <w:lang w:val="en-AU"/>
        </w:rPr>
        <w:t>from 1 July 2014 in accordance with c</w:t>
      </w:r>
      <w:r w:rsidRPr="00D5726A">
        <w:rPr>
          <w:lang w:val="en-AU"/>
        </w:rPr>
        <w:t xml:space="preserve">lause </w:t>
      </w:r>
      <w:r>
        <w:rPr>
          <w:lang w:val="en-AU"/>
        </w:rPr>
        <w:t>81(3)</w:t>
      </w:r>
      <w:r w:rsidRPr="00D5726A">
        <w:rPr>
          <w:lang w:val="en-AU"/>
        </w:rPr>
        <w:t xml:space="preserve"> of the </w:t>
      </w:r>
      <w:r w:rsidR="00FB2EC5">
        <w:rPr>
          <w:lang w:val="en-AU"/>
        </w:rPr>
        <w:t>Network Access Code</w:t>
      </w:r>
      <w:r>
        <w:rPr>
          <w:lang w:val="en-AU"/>
        </w:rPr>
        <w:t>, subject to amendments being made to address the issues raised by Deloitte in December 2013.</w:t>
      </w:r>
    </w:p>
    <w:p w14:paraId="473289F4" w14:textId="6260AC51" w:rsidR="00E01DD8" w:rsidRPr="00083FAA" w:rsidRDefault="00E01DD8" w:rsidP="00E01DD8">
      <w:pPr>
        <w:pStyle w:val="UtilComHeading2"/>
      </w:pPr>
      <w:bookmarkStart w:id="324" w:name="_Toc385241585"/>
      <w:bookmarkStart w:id="325" w:name="_Toc386013138"/>
      <w:r w:rsidRPr="00083FAA">
        <w:t xml:space="preserve">PWC Networks’ </w:t>
      </w:r>
      <w:r w:rsidR="0043071F">
        <w:t>R</w:t>
      </w:r>
      <w:r w:rsidR="0043071F" w:rsidRPr="00083FAA">
        <w:t xml:space="preserve">evised </w:t>
      </w:r>
      <w:r w:rsidR="0043071F">
        <w:t>R</w:t>
      </w:r>
      <w:r w:rsidR="0043071F" w:rsidRPr="00083FAA">
        <w:t xml:space="preserve">egulatory </w:t>
      </w:r>
      <w:bookmarkEnd w:id="324"/>
      <w:r w:rsidR="0043071F">
        <w:t>P</w:t>
      </w:r>
      <w:r w:rsidR="0043071F" w:rsidRPr="00083FAA">
        <w:t>roposal</w:t>
      </w:r>
      <w:bookmarkEnd w:id="325"/>
    </w:p>
    <w:p w14:paraId="78E332EC" w14:textId="2955451E" w:rsidR="00E01DD8" w:rsidRPr="003C308A" w:rsidRDefault="00E01DD8" w:rsidP="00E01DD8">
      <w:pPr>
        <w:pStyle w:val="NumberLevel2"/>
        <w:numPr>
          <w:ilvl w:val="1"/>
          <w:numId w:val="4"/>
        </w:numPr>
        <w:ind w:left="709" w:hanging="709"/>
        <w:rPr>
          <w:lang w:val="en-AU"/>
        </w:rPr>
      </w:pPr>
      <w:r>
        <w:rPr>
          <w:lang w:val="en-AU"/>
        </w:rPr>
        <w:t>PWC Networks</w:t>
      </w:r>
      <w:r w:rsidRPr="001430C0">
        <w:rPr>
          <w:lang w:val="en-AU"/>
        </w:rPr>
        <w:t xml:space="preserve"> </w:t>
      </w:r>
      <w:r>
        <w:rPr>
          <w:lang w:val="en-AU"/>
        </w:rPr>
        <w:t>submitted a revised draft</w:t>
      </w:r>
      <w:r w:rsidRPr="00E01DD8">
        <w:rPr>
          <w:lang w:val="en-AU"/>
        </w:rPr>
        <w:t xml:space="preserve"> </w:t>
      </w:r>
      <w:r w:rsidR="00FE5A31">
        <w:rPr>
          <w:lang w:val="en-AU"/>
        </w:rPr>
        <w:t>NCCP</w:t>
      </w:r>
      <w:r>
        <w:rPr>
          <w:lang w:val="en-AU"/>
        </w:rPr>
        <w:t xml:space="preserve"> </w:t>
      </w:r>
      <w:r w:rsidR="00D61B20">
        <w:rPr>
          <w:lang w:val="en-AU"/>
        </w:rPr>
        <w:t>amended to address the issues</w:t>
      </w:r>
      <w:r>
        <w:rPr>
          <w:lang w:val="en-AU"/>
        </w:rPr>
        <w:t xml:space="preserve"> </w:t>
      </w:r>
      <w:r w:rsidR="00D61B20">
        <w:rPr>
          <w:lang w:val="en-AU"/>
        </w:rPr>
        <w:t>raised by</w:t>
      </w:r>
      <w:r>
        <w:rPr>
          <w:lang w:val="en-AU"/>
        </w:rPr>
        <w:t xml:space="preserve"> the Commission</w:t>
      </w:r>
      <w:r w:rsidR="00D61B20">
        <w:rPr>
          <w:lang w:val="en-AU"/>
        </w:rPr>
        <w:t xml:space="preserve"> in its</w:t>
      </w:r>
      <w:r>
        <w:rPr>
          <w:lang w:val="en-AU"/>
        </w:rPr>
        <w:t xml:space="preserve"> Draft Determination.</w:t>
      </w:r>
    </w:p>
    <w:p w14:paraId="3F258D68" w14:textId="00F58790" w:rsidR="00E01DD8" w:rsidRPr="007B064D" w:rsidRDefault="00E01DD8" w:rsidP="00E01DD8">
      <w:pPr>
        <w:pStyle w:val="UtilComHeading2"/>
      </w:pPr>
      <w:bookmarkStart w:id="326" w:name="_Toc385241586"/>
      <w:bookmarkStart w:id="327" w:name="_Toc386013139"/>
      <w:r w:rsidRPr="007B064D">
        <w:t xml:space="preserve">Submissions on </w:t>
      </w:r>
      <w:r w:rsidR="0043071F">
        <w:t>D</w:t>
      </w:r>
      <w:r w:rsidR="0043071F" w:rsidRPr="007B064D">
        <w:t xml:space="preserve">raft </w:t>
      </w:r>
      <w:r w:rsidR="0043071F">
        <w:t>D</w:t>
      </w:r>
      <w:r w:rsidR="0043071F" w:rsidRPr="007B064D">
        <w:t xml:space="preserve">etermination </w:t>
      </w:r>
      <w:r w:rsidRPr="007B064D">
        <w:t xml:space="preserve">and </w:t>
      </w:r>
      <w:r w:rsidR="0043071F">
        <w:t>R</w:t>
      </w:r>
      <w:r w:rsidR="0043071F" w:rsidRPr="007B064D">
        <w:t xml:space="preserve">evised </w:t>
      </w:r>
      <w:r w:rsidR="0043071F">
        <w:t>R</w:t>
      </w:r>
      <w:r w:rsidR="0043071F" w:rsidRPr="007B064D">
        <w:t xml:space="preserve">egulatory </w:t>
      </w:r>
      <w:bookmarkEnd w:id="326"/>
      <w:r w:rsidR="0043071F">
        <w:t>P</w:t>
      </w:r>
      <w:r w:rsidR="0043071F" w:rsidRPr="007B064D">
        <w:t>roposal</w:t>
      </w:r>
      <w:bookmarkEnd w:id="327"/>
    </w:p>
    <w:p w14:paraId="1EAEAA6C" w14:textId="77777777" w:rsidR="00E01DD8" w:rsidRDefault="00E01DD8" w:rsidP="00E01DD8">
      <w:pPr>
        <w:pStyle w:val="ListParagraph"/>
        <w:numPr>
          <w:ilvl w:val="1"/>
          <w:numId w:val="5"/>
        </w:numPr>
        <w:tabs>
          <w:tab w:val="num" w:pos="709"/>
        </w:tabs>
        <w:ind w:left="709" w:hanging="709"/>
        <w:rPr>
          <w:lang w:val="en-AU"/>
        </w:rPr>
      </w:pPr>
      <w:r w:rsidRPr="001911C2">
        <w:rPr>
          <w:lang w:val="en-AU"/>
        </w:rPr>
        <w:t>No submissions were received on</w:t>
      </w:r>
      <w:r>
        <w:rPr>
          <w:lang w:val="en-AU"/>
        </w:rPr>
        <w:t xml:space="preserve"> the </w:t>
      </w:r>
      <w:r w:rsidRPr="00E01DD8">
        <w:rPr>
          <w:lang w:val="en-AU"/>
        </w:rPr>
        <w:t>capital contribution principles and methods statement</w:t>
      </w:r>
      <w:r>
        <w:rPr>
          <w:lang w:val="en-AU"/>
        </w:rPr>
        <w:t xml:space="preserve"> from interested parties.</w:t>
      </w:r>
    </w:p>
    <w:p w14:paraId="1FAF4218" w14:textId="4B58C408" w:rsidR="00E01DD8" w:rsidRPr="00BB4EB2" w:rsidRDefault="00E01DD8" w:rsidP="00E01DD8">
      <w:pPr>
        <w:pStyle w:val="UtilComHeading2"/>
      </w:pPr>
      <w:bookmarkStart w:id="328" w:name="_Toc385241587"/>
      <w:bookmarkStart w:id="329" w:name="_Toc386013140"/>
      <w:r w:rsidRPr="00BB4EB2">
        <w:t xml:space="preserve">Commission’s </w:t>
      </w:r>
      <w:r w:rsidR="00631EEF">
        <w:t>F</w:t>
      </w:r>
      <w:r w:rsidR="00631EEF" w:rsidRPr="00BB4EB2">
        <w:t xml:space="preserve">inal </w:t>
      </w:r>
      <w:bookmarkEnd w:id="328"/>
      <w:r w:rsidR="00631EEF">
        <w:t>D</w:t>
      </w:r>
      <w:r w:rsidR="00631EEF" w:rsidRPr="00BB4EB2">
        <w:t>ecision</w:t>
      </w:r>
      <w:bookmarkEnd w:id="329"/>
    </w:p>
    <w:p w14:paraId="21874393" w14:textId="35263D15" w:rsidR="00E01DD8" w:rsidRDefault="00E01DD8" w:rsidP="00E01DD8">
      <w:pPr>
        <w:pStyle w:val="NumberLevel2"/>
        <w:numPr>
          <w:ilvl w:val="1"/>
          <w:numId w:val="5"/>
        </w:numPr>
        <w:tabs>
          <w:tab w:val="clear" w:pos="3270"/>
          <w:tab w:val="left" w:pos="709"/>
        </w:tabs>
        <w:ind w:left="709" w:hanging="709"/>
        <w:rPr>
          <w:lang w:val="en-AU"/>
        </w:rPr>
      </w:pPr>
      <w:r>
        <w:rPr>
          <w:lang w:val="en-AU"/>
        </w:rPr>
        <w:t xml:space="preserve">The Commission approves PWC Networks’ capital contribution principles and methods statement for use from 1 July 2014 in accordance with clause 81(3) of the </w:t>
      </w:r>
      <w:r w:rsidR="00FB2EC5">
        <w:rPr>
          <w:lang w:val="en-AU"/>
        </w:rPr>
        <w:t>Network Access Code</w:t>
      </w:r>
      <w:r>
        <w:rPr>
          <w:lang w:val="en-AU"/>
        </w:rPr>
        <w:t>.</w:t>
      </w:r>
    </w:p>
    <w:p w14:paraId="5D38225C" w14:textId="77777777" w:rsidR="00E01DD8" w:rsidRDefault="00E01DD8" w:rsidP="00E01DD8">
      <w:pPr>
        <w:pStyle w:val="NumberLevel2"/>
        <w:tabs>
          <w:tab w:val="clear" w:pos="576"/>
          <w:tab w:val="left" w:pos="709"/>
        </w:tabs>
        <w:ind w:left="709" w:firstLine="0"/>
        <w:rPr>
          <w:lang w:val="en-AU"/>
        </w:rPr>
      </w:pPr>
    </w:p>
    <w:p w14:paraId="4D8B19F5" w14:textId="77777777" w:rsidR="007463D3" w:rsidRPr="00AE64C5" w:rsidRDefault="007463D3" w:rsidP="00C35B7B">
      <w:pPr>
        <w:pStyle w:val="NumberLevel2"/>
        <w:tabs>
          <w:tab w:val="clear" w:pos="576"/>
        </w:tabs>
        <w:ind w:left="567" w:firstLine="0"/>
        <w:rPr>
          <w:lang w:val="en-AU"/>
        </w:rPr>
      </w:pPr>
    </w:p>
    <w:tbl>
      <w:tblPr>
        <w:tblW w:w="0" w:type="auto"/>
        <w:tblLayout w:type="fixed"/>
        <w:tblLook w:val="01E0" w:firstRow="1" w:lastRow="1" w:firstColumn="1" w:lastColumn="1" w:noHBand="0" w:noVBand="0"/>
      </w:tblPr>
      <w:tblGrid>
        <w:gridCol w:w="9288"/>
      </w:tblGrid>
      <w:tr w:rsidR="00711156" w14:paraId="1445499B" w14:textId="77777777" w:rsidTr="00AE1D8B">
        <w:tc>
          <w:tcPr>
            <w:tcW w:w="9288" w:type="dxa"/>
          </w:tcPr>
          <w:p w14:paraId="6C6FB37A" w14:textId="77777777" w:rsidR="00711156" w:rsidRDefault="00711156" w:rsidP="00EF320F">
            <w:pPr>
              <w:pStyle w:val="NumberLevel1"/>
              <w:pageBreakBefore/>
              <w:numPr>
                <w:ilvl w:val="0"/>
                <w:numId w:val="4"/>
              </w:numPr>
              <w:ind w:left="431" w:hanging="431"/>
            </w:pPr>
            <w:r>
              <w:br w:type="page"/>
            </w:r>
          </w:p>
        </w:tc>
      </w:tr>
      <w:tr w:rsidR="00711156" w14:paraId="57353DB9" w14:textId="77777777" w:rsidTr="00AE1D8B">
        <w:tc>
          <w:tcPr>
            <w:tcW w:w="9288" w:type="dxa"/>
          </w:tcPr>
          <w:p w14:paraId="41258392" w14:textId="474A6FCF" w:rsidR="00711156" w:rsidRDefault="00711156" w:rsidP="00B1331B">
            <w:pPr>
              <w:pStyle w:val="UtilComChapterHeading"/>
              <w:outlineLvl w:val="0"/>
            </w:pPr>
            <w:bookmarkStart w:id="330" w:name="_Toc385241588"/>
            <w:bookmarkStart w:id="331" w:name="_Toc386013141"/>
            <w:r>
              <w:t xml:space="preserve">Network </w:t>
            </w:r>
            <w:r w:rsidR="0043071F">
              <w:t xml:space="preserve">Pricing Principles </w:t>
            </w:r>
            <w:r>
              <w:t xml:space="preserve">and </w:t>
            </w:r>
            <w:r w:rsidR="0043071F">
              <w:t xml:space="preserve">Methods Statement </w:t>
            </w:r>
            <w:r w:rsidR="00EB199B">
              <w:t xml:space="preserve">and </w:t>
            </w:r>
            <w:r w:rsidR="0043071F">
              <w:t xml:space="preserve">Indicative Pricing </w:t>
            </w:r>
            <w:bookmarkEnd w:id="330"/>
            <w:r w:rsidR="00B1331B">
              <w:t>P</w:t>
            </w:r>
            <w:r w:rsidR="0043071F">
              <w:t>roposal</w:t>
            </w:r>
            <w:bookmarkEnd w:id="331"/>
          </w:p>
        </w:tc>
      </w:tr>
    </w:tbl>
    <w:p w14:paraId="308DB933" w14:textId="77777777" w:rsidR="00711156" w:rsidRDefault="008E4B9F" w:rsidP="00711156">
      <w:pPr>
        <w:pStyle w:val="UtilComHeading2"/>
      </w:pPr>
      <w:bookmarkStart w:id="332" w:name="_Toc385241589"/>
      <w:bookmarkStart w:id="333" w:name="_Toc386013142"/>
      <w:r>
        <w:t>Introduction</w:t>
      </w:r>
      <w:bookmarkEnd w:id="332"/>
      <w:bookmarkEnd w:id="333"/>
    </w:p>
    <w:p w14:paraId="4806AEF2" w14:textId="474958E1" w:rsidR="00165840" w:rsidRPr="00165840" w:rsidRDefault="00165840" w:rsidP="00E32188">
      <w:pPr>
        <w:pStyle w:val="NumberLevel2"/>
        <w:numPr>
          <w:ilvl w:val="1"/>
          <w:numId w:val="5"/>
        </w:numPr>
        <w:tabs>
          <w:tab w:val="clear" w:pos="3270"/>
          <w:tab w:val="num" w:pos="709"/>
        </w:tabs>
        <w:ind w:left="709" w:hanging="709"/>
        <w:rPr>
          <w:lang w:val="en-AU"/>
        </w:rPr>
      </w:pPr>
      <w:r w:rsidRPr="00165840">
        <w:rPr>
          <w:lang w:val="en-AU"/>
        </w:rPr>
        <w:t xml:space="preserve">In the </w:t>
      </w:r>
      <w:r w:rsidR="00795460" w:rsidRPr="00165840">
        <w:rPr>
          <w:lang w:val="en-AU"/>
        </w:rPr>
        <w:t>lead up</w:t>
      </w:r>
      <w:r w:rsidRPr="00165840">
        <w:rPr>
          <w:lang w:val="en-AU"/>
        </w:rPr>
        <w:t xml:space="preserve"> to the commencement of each regulatory control period, the Commission is required to oversee</w:t>
      </w:r>
      <w:r>
        <w:rPr>
          <w:lang w:val="en-AU"/>
        </w:rPr>
        <w:t xml:space="preserve"> </w:t>
      </w:r>
      <w:r w:rsidRPr="00165840">
        <w:rPr>
          <w:lang w:val="en-AU"/>
        </w:rPr>
        <w:t xml:space="preserve">the application by </w:t>
      </w:r>
      <w:r w:rsidR="00F932C0">
        <w:rPr>
          <w:lang w:val="en-AU"/>
        </w:rPr>
        <w:t>PWC Networks</w:t>
      </w:r>
      <w:r w:rsidRPr="00165840">
        <w:rPr>
          <w:lang w:val="en-AU"/>
        </w:rPr>
        <w:t xml:space="preserve"> of principles for setting reference tariffs to apply to standard network access services</w:t>
      </w:r>
      <w:r>
        <w:rPr>
          <w:lang w:val="en-AU"/>
        </w:rPr>
        <w:t>.</w:t>
      </w:r>
      <w:r w:rsidR="00F932C0">
        <w:rPr>
          <w:rStyle w:val="FootnoteReference"/>
          <w:lang w:val="en-AU"/>
        </w:rPr>
        <w:footnoteReference w:id="71"/>
      </w:r>
      <w:r>
        <w:rPr>
          <w:lang w:val="en-AU"/>
        </w:rPr>
        <w:t xml:space="preserve"> </w:t>
      </w:r>
    </w:p>
    <w:p w14:paraId="43725673" w14:textId="31EC76AC" w:rsidR="00165840" w:rsidRPr="00165840" w:rsidRDefault="00165840" w:rsidP="00E32188">
      <w:pPr>
        <w:pStyle w:val="NumberLevel2"/>
        <w:numPr>
          <w:ilvl w:val="1"/>
          <w:numId w:val="5"/>
        </w:numPr>
        <w:tabs>
          <w:tab w:val="clear" w:pos="3270"/>
          <w:tab w:val="num" w:pos="709"/>
        </w:tabs>
        <w:ind w:left="709" w:hanging="709"/>
        <w:rPr>
          <w:lang w:val="en-AU"/>
        </w:rPr>
      </w:pPr>
      <w:r w:rsidRPr="00165840">
        <w:rPr>
          <w:lang w:val="en-AU"/>
        </w:rPr>
        <w:t xml:space="preserve">While </w:t>
      </w:r>
      <w:r w:rsidR="00F932C0">
        <w:rPr>
          <w:lang w:val="en-AU"/>
        </w:rPr>
        <w:t>PWC Networks</w:t>
      </w:r>
      <w:r w:rsidRPr="00165840">
        <w:rPr>
          <w:lang w:val="en-AU"/>
        </w:rPr>
        <w:t xml:space="preserve"> is responsible for establishing the pricing structure that best gives effect to the principles </w:t>
      </w:r>
      <w:r w:rsidR="0005233A">
        <w:rPr>
          <w:lang w:val="en-AU"/>
        </w:rPr>
        <w:t xml:space="preserve">set out in the </w:t>
      </w:r>
      <w:r w:rsidR="00FB2EC5">
        <w:rPr>
          <w:lang w:val="en-AU"/>
        </w:rPr>
        <w:t>Network Access Code</w:t>
      </w:r>
      <w:r w:rsidR="0005233A">
        <w:rPr>
          <w:lang w:val="en-AU"/>
        </w:rPr>
        <w:t xml:space="preserve">, </w:t>
      </w:r>
      <w:r w:rsidR="00F932C0">
        <w:rPr>
          <w:lang w:val="en-AU"/>
        </w:rPr>
        <w:t>PWC Networks’</w:t>
      </w:r>
      <w:r w:rsidRPr="00165840">
        <w:rPr>
          <w:lang w:val="en-AU"/>
        </w:rPr>
        <w:t xml:space="preserve"> proposed reference tariffs </w:t>
      </w:r>
      <w:r w:rsidR="00A5123D">
        <w:rPr>
          <w:lang w:val="en-AU"/>
        </w:rPr>
        <w:t xml:space="preserve">for standard network access services </w:t>
      </w:r>
      <w:r w:rsidRPr="00165840">
        <w:rPr>
          <w:lang w:val="en-AU"/>
        </w:rPr>
        <w:t>must be provided to the Commission for approval.</w:t>
      </w:r>
      <w:r w:rsidR="00F932C0">
        <w:rPr>
          <w:rStyle w:val="FootnoteReference"/>
          <w:lang w:val="en-AU"/>
        </w:rPr>
        <w:footnoteReference w:id="72"/>
      </w:r>
      <w:r w:rsidRPr="00165840">
        <w:rPr>
          <w:lang w:val="en-AU"/>
        </w:rPr>
        <w:t xml:space="preserve">   </w:t>
      </w:r>
    </w:p>
    <w:p w14:paraId="146B6022" w14:textId="42279885" w:rsidR="008E4B9F" w:rsidRDefault="008E4B9F" w:rsidP="008E4B9F">
      <w:pPr>
        <w:pStyle w:val="UtilComHeading2"/>
      </w:pPr>
      <w:bookmarkStart w:id="334" w:name="_Toc385241590"/>
      <w:bookmarkStart w:id="335" w:name="_Toc386013143"/>
      <w:r>
        <w:t xml:space="preserve">Regulatory </w:t>
      </w:r>
      <w:bookmarkEnd w:id="334"/>
      <w:r w:rsidR="00BC55DE">
        <w:t>Requirements</w:t>
      </w:r>
      <w:bookmarkEnd w:id="335"/>
    </w:p>
    <w:p w14:paraId="7653B078" w14:textId="6A040DFF" w:rsidR="00165840" w:rsidRDefault="00FB2EC5" w:rsidP="00165840">
      <w:pPr>
        <w:pStyle w:val="UtilComHeading3"/>
      </w:pPr>
      <w:r>
        <w:t>Network Access Code</w:t>
      </w:r>
    </w:p>
    <w:p w14:paraId="03A5EDAC" w14:textId="579162F9" w:rsidR="00165840" w:rsidRDefault="0005233A" w:rsidP="00F932C0">
      <w:pPr>
        <w:pStyle w:val="NumberLevel2"/>
        <w:numPr>
          <w:ilvl w:val="1"/>
          <w:numId w:val="5"/>
        </w:numPr>
        <w:tabs>
          <w:tab w:val="clear" w:pos="3270"/>
          <w:tab w:val="left" w:pos="709"/>
        </w:tabs>
        <w:ind w:left="709" w:hanging="709"/>
        <w:rPr>
          <w:lang w:val="en-AU"/>
        </w:rPr>
      </w:pPr>
      <w:r>
        <w:rPr>
          <w:lang w:val="en-AU"/>
        </w:rPr>
        <w:t xml:space="preserve">Clause 75(1) of the </w:t>
      </w:r>
      <w:r w:rsidR="00FB2EC5">
        <w:rPr>
          <w:lang w:val="en-AU"/>
        </w:rPr>
        <w:t>Network Access Code</w:t>
      </w:r>
      <w:r w:rsidR="00165840" w:rsidRPr="00165840">
        <w:rPr>
          <w:lang w:val="en-AU"/>
        </w:rPr>
        <w:t xml:space="preserve"> stipulates that </w:t>
      </w:r>
      <w:r w:rsidR="00F932C0">
        <w:rPr>
          <w:lang w:val="en-AU"/>
        </w:rPr>
        <w:t>PWC Networks</w:t>
      </w:r>
      <w:r w:rsidR="00165840" w:rsidRPr="00165840">
        <w:rPr>
          <w:lang w:val="en-AU"/>
        </w:rPr>
        <w:t xml:space="preserve"> is to be responsible for establishing the pricing structure that best gives effect to the pricing principles</w:t>
      </w:r>
      <w:r>
        <w:rPr>
          <w:lang w:val="en-AU"/>
        </w:rPr>
        <w:t xml:space="preserve"> set out</w:t>
      </w:r>
      <w:r w:rsidRPr="0005233A">
        <w:rPr>
          <w:lang w:val="en-AU"/>
        </w:rPr>
        <w:t xml:space="preserve"> in clause 74</w:t>
      </w:r>
      <w:r>
        <w:rPr>
          <w:lang w:val="en-AU"/>
        </w:rPr>
        <w:t xml:space="preserve"> of the Code</w:t>
      </w:r>
      <w:r w:rsidR="00DC322B">
        <w:rPr>
          <w:lang w:val="en-AU"/>
        </w:rPr>
        <w:t>:</w:t>
      </w:r>
    </w:p>
    <w:p w14:paraId="599EF40C" w14:textId="4995BFDB" w:rsidR="00DC322B" w:rsidRPr="00DC322B" w:rsidRDefault="00DC322B" w:rsidP="00DC322B">
      <w:pPr>
        <w:pStyle w:val="UtilComQuotationText"/>
        <w:ind w:left="1560" w:hanging="426"/>
      </w:pPr>
      <w:r w:rsidRPr="00DC322B">
        <w:t>(1)</w:t>
      </w:r>
      <w:r w:rsidRPr="00DC322B">
        <w:tab/>
        <w:t>The reference tariffs are:</w:t>
      </w:r>
    </w:p>
    <w:p w14:paraId="420545ED" w14:textId="77777777" w:rsidR="00DC322B" w:rsidRPr="00DC322B" w:rsidRDefault="00DC322B" w:rsidP="00DC322B">
      <w:pPr>
        <w:pStyle w:val="UtilComQuotationText"/>
        <w:ind w:left="1986" w:hanging="426"/>
      </w:pPr>
      <w:r w:rsidRPr="00DC322B">
        <w:t>(a)</w:t>
      </w:r>
      <w:r w:rsidRPr="00DC322B">
        <w:tab/>
        <w:t>to reflect efficient costs of supply;</w:t>
      </w:r>
    </w:p>
    <w:p w14:paraId="5F587F92" w14:textId="77777777" w:rsidR="00DC322B" w:rsidRPr="00DC322B" w:rsidRDefault="00DC322B" w:rsidP="00DC322B">
      <w:pPr>
        <w:pStyle w:val="UtilComQuotationText"/>
        <w:ind w:left="1986" w:hanging="426"/>
      </w:pPr>
      <w:r w:rsidRPr="00DC322B">
        <w:t>(b)</w:t>
      </w:r>
      <w:r w:rsidRPr="00DC322B">
        <w:tab/>
        <w:t>to involve a common approach for all network users, with the actual tariff with respect to a particular network access service only differing between users because of:</w:t>
      </w:r>
    </w:p>
    <w:p w14:paraId="6122E226" w14:textId="77777777" w:rsidR="00DC322B" w:rsidRPr="00DC322B" w:rsidRDefault="00DC322B" w:rsidP="00DC322B">
      <w:pPr>
        <w:pStyle w:val="UtilComQuotationText"/>
        <w:ind w:left="2412" w:hanging="426"/>
      </w:pPr>
      <w:r w:rsidRPr="00DC322B">
        <w:t>(i)</w:t>
      </w:r>
      <w:r w:rsidRPr="00DC322B">
        <w:tab/>
        <w:t>the user's geographical and electrical location;</w:t>
      </w:r>
    </w:p>
    <w:p w14:paraId="124AAB0B" w14:textId="77777777" w:rsidR="00DC322B" w:rsidRPr="00DC322B" w:rsidRDefault="00DC322B" w:rsidP="00DC322B">
      <w:pPr>
        <w:pStyle w:val="UtilComQuotationText"/>
        <w:ind w:left="2412" w:hanging="426"/>
      </w:pPr>
      <w:r w:rsidRPr="00DC322B">
        <w:t>(ii)</w:t>
      </w:r>
      <w:r w:rsidRPr="00DC322B">
        <w:tab/>
        <w:t xml:space="preserve">the quantities in which the relevant network access service is to be supplied or is supplied; </w:t>
      </w:r>
    </w:p>
    <w:p w14:paraId="5590734D" w14:textId="77777777" w:rsidR="00DC322B" w:rsidRPr="00DC322B" w:rsidRDefault="00DC322B" w:rsidP="00DC322B">
      <w:pPr>
        <w:pStyle w:val="UtilComQuotationText"/>
        <w:ind w:left="2412" w:hanging="426"/>
      </w:pPr>
      <w:r w:rsidRPr="00DC322B">
        <w:t>(iii)</w:t>
      </w:r>
      <w:r w:rsidRPr="00DC322B">
        <w:tab/>
        <w:t>the pattern of network usage;</w:t>
      </w:r>
    </w:p>
    <w:p w14:paraId="21A4348E" w14:textId="77777777" w:rsidR="00DC322B" w:rsidRPr="00DC322B" w:rsidRDefault="00DC322B" w:rsidP="00DC322B">
      <w:pPr>
        <w:pStyle w:val="UtilComQuotationText"/>
        <w:ind w:left="2412" w:hanging="426"/>
      </w:pPr>
      <w:r w:rsidRPr="00DC322B">
        <w:t>(iv)</w:t>
      </w:r>
      <w:r w:rsidRPr="00DC322B">
        <w:tab/>
        <w:t xml:space="preserve">the technical characteristics or requirements of the user's load or generation; </w:t>
      </w:r>
    </w:p>
    <w:p w14:paraId="3380EE6C" w14:textId="77777777" w:rsidR="00DC322B" w:rsidRPr="00DC322B" w:rsidRDefault="00DC322B" w:rsidP="00DC322B">
      <w:pPr>
        <w:pStyle w:val="UtilComQuotationText"/>
        <w:ind w:left="2412" w:hanging="426"/>
      </w:pPr>
      <w:r w:rsidRPr="00DC322B">
        <w:t>(v)</w:t>
      </w:r>
      <w:r w:rsidRPr="00DC322B">
        <w:tab/>
        <w:t>the nature of the plant or equipment required to provide the network access service; and</w:t>
      </w:r>
    </w:p>
    <w:p w14:paraId="74477FF8" w14:textId="77777777" w:rsidR="00DC322B" w:rsidRPr="00DC322B" w:rsidRDefault="00DC322B" w:rsidP="00DC322B">
      <w:pPr>
        <w:pStyle w:val="UtilComQuotationText"/>
        <w:ind w:left="2412" w:hanging="426"/>
      </w:pPr>
      <w:r w:rsidRPr="00DC322B">
        <w:t>(vi)</w:t>
      </w:r>
      <w:r w:rsidRPr="00DC322B">
        <w:tab/>
        <w:t>the periods for which the network access service is expected to be supplied;</w:t>
      </w:r>
    </w:p>
    <w:p w14:paraId="76054C05" w14:textId="77777777" w:rsidR="00DC322B" w:rsidRPr="00DC322B" w:rsidRDefault="00DC322B" w:rsidP="00DC322B">
      <w:pPr>
        <w:pStyle w:val="UtilComQuotationText"/>
        <w:ind w:left="1986" w:hanging="426"/>
      </w:pPr>
      <w:r w:rsidRPr="00DC322B">
        <w:t>(c)</w:t>
      </w:r>
      <w:r w:rsidRPr="00DC322B">
        <w:tab/>
        <w:t>to be transparent and published in order to provide pricing signals to network users;</w:t>
      </w:r>
    </w:p>
    <w:p w14:paraId="4442507B" w14:textId="77777777" w:rsidR="00DC322B" w:rsidRPr="00DC322B" w:rsidRDefault="00DC322B" w:rsidP="00DC322B">
      <w:pPr>
        <w:pStyle w:val="UtilComQuotationText"/>
        <w:ind w:left="1986" w:hanging="426"/>
      </w:pPr>
      <w:r w:rsidRPr="00DC322B">
        <w:t>(d)</w:t>
      </w:r>
      <w:r w:rsidRPr="00DC322B">
        <w:tab/>
        <w:t>to promote price stability; and</w:t>
      </w:r>
    </w:p>
    <w:p w14:paraId="3F16517B" w14:textId="77777777" w:rsidR="00DC322B" w:rsidRPr="00DC322B" w:rsidRDefault="00DC322B" w:rsidP="00DC322B">
      <w:pPr>
        <w:pStyle w:val="UtilComQuotationText"/>
        <w:ind w:left="1986" w:hanging="426"/>
      </w:pPr>
      <w:r w:rsidRPr="00DC322B">
        <w:t>(e)</w:t>
      </w:r>
      <w:r w:rsidRPr="00DC322B">
        <w:tab/>
        <w:t>to reflect a balancing of the quest for detail against the administrative costs of doing so which would be passed through to end-use customers.</w:t>
      </w:r>
    </w:p>
    <w:p w14:paraId="27F55FC1" w14:textId="10EDFED1" w:rsidR="00DC322B" w:rsidRPr="00DC322B" w:rsidRDefault="00DC322B" w:rsidP="00DC322B">
      <w:pPr>
        <w:pStyle w:val="UtilComQuotationText"/>
        <w:ind w:left="1560" w:hanging="426"/>
      </w:pPr>
      <w:r w:rsidRPr="00DC322B">
        <w:t>(2)</w:t>
      </w:r>
      <w:r w:rsidRPr="00DC322B">
        <w:tab/>
        <w:t>In the event that the regulator considers there to be a conflict between the requirements set out in subclause (1) and the requirements set out in clause 63, the requirements in clause 63 are to take precedence.</w:t>
      </w:r>
    </w:p>
    <w:p w14:paraId="0F9B9F8D" w14:textId="7D6F76FD" w:rsidR="00165840" w:rsidRPr="00165840" w:rsidRDefault="00165840" w:rsidP="00E32188">
      <w:pPr>
        <w:pStyle w:val="NumberLevel2"/>
        <w:numPr>
          <w:ilvl w:val="1"/>
          <w:numId w:val="5"/>
        </w:numPr>
        <w:tabs>
          <w:tab w:val="clear" w:pos="3270"/>
          <w:tab w:val="left" w:pos="709"/>
        </w:tabs>
        <w:ind w:left="709" w:hanging="709"/>
        <w:rPr>
          <w:lang w:val="en-AU"/>
        </w:rPr>
      </w:pPr>
      <w:r w:rsidRPr="00165840">
        <w:rPr>
          <w:lang w:val="en-AU"/>
        </w:rPr>
        <w:t xml:space="preserve">However, prior to the commencement of each regulatory control period, </w:t>
      </w:r>
      <w:r w:rsidR="00F932C0">
        <w:rPr>
          <w:lang w:val="en-AU"/>
        </w:rPr>
        <w:t>PWC Networks</w:t>
      </w:r>
      <w:r w:rsidRPr="00165840">
        <w:rPr>
          <w:lang w:val="en-AU"/>
        </w:rPr>
        <w:t xml:space="preserve"> is required to provide to the Commission for approval a statement setting out the details of the principles and methods to be used for defining the individual standard network access services to be supplied by </w:t>
      </w:r>
      <w:r w:rsidR="00F932C0">
        <w:rPr>
          <w:lang w:val="en-AU"/>
        </w:rPr>
        <w:t>PWC Networks</w:t>
      </w:r>
      <w:r w:rsidRPr="00165840">
        <w:rPr>
          <w:lang w:val="en-AU"/>
        </w:rPr>
        <w:t xml:space="preserve"> and for establishing the reference tariffs to apply to those services.</w:t>
      </w:r>
      <w:r w:rsidR="008524B0">
        <w:rPr>
          <w:rStyle w:val="FootnoteReference"/>
          <w:lang w:val="en-AU"/>
        </w:rPr>
        <w:footnoteReference w:id="73"/>
      </w:r>
      <w:r w:rsidRPr="00165840">
        <w:rPr>
          <w:lang w:val="en-AU"/>
        </w:rPr>
        <w:t xml:space="preserve"> This is referred to as the NPPS.</w:t>
      </w:r>
    </w:p>
    <w:p w14:paraId="6044A350" w14:textId="7124D3D1" w:rsidR="00165840" w:rsidRPr="00165840" w:rsidRDefault="00263814" w:rsidP="00E32188">
      <w:pPr>
        <w:pStyle w:val="NumberLevel2"/>
        <w:numPr>
          <w:ilvl w:val="1"/>
          <w:numId w:val="5"/>
        </w:numPr>
        <w:tabs>
          <w:tab w:val="clear" w:pos="3270"/>
          <w:tab w:val="left" w:pos="709"/>
        </w:tabs>
        <w:ind w:left="709" w:hanging="709"/>
        <w:rPr>
          <w:lang w:val="en-AU"/>
        </w:rPr>
      </w:pPr>
      <w:r>
        <w:rPr>
          <w:lang w:val="en-AU"/>
        </w:rPr>
        <w:t>Further, a</w:t>
      </w:r>
      <w:r w:rsidRPr="00165840">
        <w:rPr>
          <w:lang w:val="en-AU"/>
        </w:rPr>
        <w:t xml:space="preserve">t </w:t>
      </w:r>
      <w:r w:rsidR="00165840" w:rsidRPr="00165840">
        <w:rPr>
          <w:lang w:val="en-AU"/>
        </w:rPr>
        <w:t xml:space="preserve">least 60 days prior to the start of each </w:t>
      </w:r>
      <w:r w:rsidR="00F932C0">
        <w:rPr>
          <w:lang w:val="en-AU"/>
        </w:rPr>
        <w:t>regulatory</w:t>
      </w:r>
      <w:r w:rsidR="00F932C0" w:rsidRPr="00165840">
        <w:rPr>
          <w:lang w:val="en-AU"/>
        </w:rPr>
        <w:t xml:space="preserve"> </w:t>
      </w:r>
      <w:r w:rsidR="00165840" w:rsidRPr="00165840">
        <w:rPr>
          <w:lang w:val="en-AU"/>
        </w:rPr>
        <w:t xml:space="preserve">year, </w:t>
      </w:r>
      <w:r w:rsidR="00F932C0">
        <w:rPr>
          <w:lang w:val="en-AU"/>
        </w:rPr>
        <w:t>PWC Networks</w:t>
      </w:r>
      <w:r w:rsidR="00165840" w:rsidRPr="00165840">
        <w:rPr>
          <w:lang w:val="en-AU"/>
        </w:rPr>
        <w:t xml:space="preserve"> must provide to the Commission </w:t>
      </w:r>
      <w:r>
        <w:rPr>
          <w:lang w:val="en-AU"/>
        </w:rPr>
        <w:t xml:space="preserve">for approval </w:t>
      </w:r>
      <w:r w:rsidR="00165840" w:rsidRPr="00165840">
        <w:rPr>
          <w:lang w:val="en-AU"/>
        </w:rPr>
        <w:t xml:space="preserve">a statement setting out its proposed reference tariffs for the standard network access services for that </w:t>
      </w:r>
      <w:r w:rsidR="00F932C0">
        <w:rPr>
          <w:lang w:val="en-AU"/>
        </w:rPr>
        <w:t xml:space="preserve">regulatory </w:t>
      </w:r>
      <w:r w:rsidR="00165840" w:rsidRPr="00165840">
        <w:rPr>
          <w:lang w:val="en-AU"/>
        </w:rPr>
        <w:t xml:space="preserve">year, with the statement detailing how the </w:t>
      </w:r>
      <w:r w:rsidR="00E23A17">
        <w:rPr>
          <w:lang w:val="en-AU"/>
        </w:rPr>
        <w:t xml:space="preserve">reference </w:t>
      </w:r>
      <w:r w:rsidR="00165840" w:rsidRPr="00165840">
        <w:rPr>
          <w:lang w:val="en-AU"/>
        </w:rPr>
        <w:t xml:space="preserve">tariffs and charges have been calculated by application of the principles in the </w:t>
      </w:r>
      <w:r w:rsidR="00FB2EC5">
        <w:rPr>
          <w:lang w:val="en-AU"/>
        </w:rPr>
        <w:t>Network Access Code</w:t>
      </w:r>
      <w:r w:rsidR="00165840" w:rsidRPr="00165840">
        <w:rPr>
          <w:lang w:val="en-AU"/>
        </w:rPr>
        <w:t>.</w:t>
      </w:r>
      <w:r w:rsidR="008524B0">
        <w:rPr>
          <w:rStyle w:val="FootnoteReference"/>
          <w:lang w:val="en-AU"/>
        </w:rPr>
        <w:footnoteReference w:id="74"/>
      </w:r>
      <w:r w:rsidR="00165840" w:rsidRPr="00165840">
        <w:rPr>
          <w:lang w:val="en-AU"/>
        </w:rPr>
        <w:t xml:space="preserve"> </w:t>
      </w:r>
    </w:p>
    <w:p w14:paraId="443A0BA7" w14:textId="7A3E001A" w:rsidR="00165840" w:rsidRDefault="0005233A" w:rsidP="00E32188">
      <w:pPr>
        <w:pStyle w:val="NumberLevel2"/>
        <w:numPr>
          <w:ilvl w:val="1"/>
          <w:numId w:val="5"/>
        </w:numPr>
        <w:tabs>
          <w:tab w:val="clear" w:pos="3270"/>
          <w:tab w:val="left" w:pos="709"/>
        </w:tabs>
        <w:ind w:left="709" w:hanging="709"/>
        <w:rPr>
          <w:lang w:val="en-AU"/>
        </w:rPr>
      </w:pPr>
      <w:r>
        <w:rPr>
          <w:lang w:val="en-AU"/>
        </w:rPr>
        <w:t xml:space="preserve">Clause 78(3) of the </w:t>
      </w:r>
      <w:r w:rsidR="00FB2EC5">
        <w:rPr>
          <w:lang w:val="en-AU"/>
        </w:rPr>
        <w:t>Network Access Code</w:t>
      </w:r>
      <w:r>
        <w:rPr>
          <w:lang w:val="en-AU"/>
        </w:rPr>
        <w:t xml:space="preserve"> provides that: </w:t>
      </w:r>
    </w:p>
    <w:p w14:paraId="01DDEC79" w14:textId="77777777" w:rsidR="0005233A" w:rsidRPr="00263814" w:rsidRDefault="0005233A" w:rsidP="004B63D8">
      <w:pPr>
        <w:pStyle w:val="UtilComQuotationText"/>
        <w:ind w:left="1560" w:hanging="426"/>
      </w:pPr>
      <w:r w:rsidRPr="00263814">
        <w:t>(3)</w:t>
      </w:r>
      <w:r w:rsidRPr="00263814">
        <w:tab/>
        <w:t>The regulator must approve the tariffs and charges, or individual tariffs and charges, unless in the opinion of the regulator the tariffs and charges would result in the network provider not complying with the principles laid down in this Chapter or is inconsistent with requirements elsewhere in this Code.</w:t>
      </w:r>
    </w:p>
    <w:p w14:paraId="39C59987" w14:textId="59FADCE7" w:rsidR="00165840" w:rsidRDefault="00165840" w:rsidP="00E32188">
      <w:pPr>
        <w:pStyle w:val="ListParagraph"/>
        <w:numPr>
          <w:ilvl w:val="1"/>
          <w:numId w:val="5"/>
        </w:numPr>
        <w:tabs>
          <w:tab w:val="clear" w:pos="3270"/>
          <w:tab w:val="left" w:pos="709"/>
          <w:tab w:val="num" w:pos="851"/>
        </w:tabs>
        <w:ind w:left="709" w:hanging="709"/>
        <w:rPr>
          <w:lang w:val="en-AU"/>
        </w:rPr>
      </w:pPr>
      <w:r w:rsidRPr="00165840">
        <w:rPr>
          <w:lang w:val="en-AU"/>
        </w:rPr>
        <w:t xml:space="preserve">In the event that the Commission considers there to be a conflict between the requirements of clause 74(1) </w:t>
      </w:r>
      <w:r w:rsidR="00B1237C">
        <w:rPr>
          <w:lang w:val="en-AU"/>
        </w:rPr>
        <w:t xml:space="preserve">of the Network Access Code </w:t>
      </w:r>
      <w:r w:rsidRPr="00165840">
        <w:rPr>
          <w:lang w:val="en-AU"/>
        </w:rPr>
        <w:t>and those set out in clause</w:t>
      </w:r>
      <w:r w:rsidR="00B1237C">
        <w:rPr>
          <w:lang w:val="en-AU"/>
        </w:rPr>
        <w:t> </w:t>
      </w:r>
      <w:r w:rsidRPr="00165840">
        <w:rPr>
          <w:lang w:val="en-AU"/>
        </w:rPr>
        <w:t xml:space="preserve">63, the requirements of clause 63 are to take precedence. </w:t>
      </w:r>
    </w:p>
    <w:p w14:paraId="6C9F9307" w14:textId="77777777" w:rsidR="0005233A" w:rsidRPr="0005233A" w:rsidRDefault="0005233A" w:rsidP="0005233A">
      <w:pPr>
        <w:pStyle w:val="UtilComHeading3"/>
      </w:pPr>
      <w:r w:rsidRPr="0005233A">
        <w:t>National Electricity Rules</w:t>
      </w:r>
    </w:p>
    <w:p w14:paraId="40D87339" w14:textId="7343D3FB" w:rsidR="0005233A" w:rsidRPr="0005233A" w:rsidRDefault="0005233A" w:rsidP="00E32188">
      <w:pPr>
        <w:pStyle w:val="ListParagraph"/>
        <w:numPr>
          <w:ilvl w:val="1"/>
          <w:numId w:val="5"/>
        </w:numPr>
        <w:tabs>
          <w:tab w:val="clear" w:pos="3270"/>
          <w:tab w:val="num" w:pos="709"/>
        </w:tabs>
        <w:ind w:left="709" w:hanging="709"/>
        <w:rPr>
          <w:lang w:val="en-AU"/>
        </w:rPr>
      </w:pPr>
      <w:r w:rsidRPr="0005233A">
        <w:rPr>
          <w:lang w:val="en-AU"/>
        </w:rPr>
        <w:t>The NER do</w:t>
      </w:r>
      <w:r w:rsidR="00A5123D">
        <w:rPr>
          <w:lang w:val="en-AU"/>
        </w:rPr>
        <w:t>es</w:t>
      </w:r>
      <w:r w:rsidRPr="0005233A">
        <w:rPr>
          <w:lang w:val="en-AU"/>
        </w:rPr>
        <w:t xml:space="preserve"> not require DNSPs to provide a stand-alone document setting out the principles and methods for defining individual network access services.</w:t>
      </w:r>
    </w:p>
    <w:p w14:paraId="4AC918F7" w14:textId="6CD1E42D" w:rsidR="0005233A" w:rsidRDefault="00F932C0" w:rsidP="00E32188">
      <w:pPr>
        <w:pStyle w:val="ListParagraph"/>
        <w:numPr>
          <w:ilvl w:val="1"/>
          <w:numId w:val="5"/>
        </w:numPr>
        <w:tabs>
          <w:tab w:val="clear" w:pos="3270"/>
          <w:tab w:val="num" w:pos="709"/>
        </w:tabs>
        <w:ind w:left="709" w:hanging="709"/>
        <w:rPr>
          <w:lang w:val="en-AU"/>
        </w:rPr>
      </w:pPr>
      <w:r>
        <w:rPr>
          <w:lang w:val="en-AU"/>
        </w:rPr>
        <w:t>Instead</w:t>
      </w:r>
      <w:r w:rsidR="0005233A" w:rsidRPr="0005233A">
        <w:rPr>
          <w:lang w:val="en-AU"/>
        </w:rPr>
        <w:t xml:space="preserve">, the pricing principles underlying the manner in which revenue is to be recovered from each tariff class are set out in the </w:t>
      </w:r>
      <w:r w:rsidR="00AC24A4">
        <w:rPr>
          <w:lang w:val="en-AU"/>
        </w:rPr>
        <w:t>clause 6.18.5 of the NER</w:t>
      </w:r>
      <w:r w:rsidR="0005233A" w:rsidRPr="0005233A">
        <w:rPr>
          <w:lang w:val="en-AU"/>
        </w:rPr>
        <w:t xml:space="preserve">. </w:t>
      </w:r>
    </w:p>
    <w:p w14:paraId="1FCF8B9B" w14:textId="1085677B" w:rsidR="00AC24A4" w:rsidRPr="0005233A" w:rsidRDefault="00AC24A4" w:rsidP="00E32188">
      <w:pPr>
        <w:pStyle w:val="ListParagraph"/>
        <w:numPr>
          <w:ilvl w:val="1"/>
          <w:numId w:val="5"/>
        </w:numPr>
        <w:tabs>
          <w:tab w:val="clear" w:pos="3270"/>
          <w:tab w:val="num" w:pos="709"/>
        </w:tabs>
        <w:ind w:left="709" w:hanging="709"/>
        <w:rPr>
          <w:lang w:val="en-AU"/>
        </w:rPr>
      </w:pPr>
      <w:r>
        <w:rPr>
          <w:lang w:val="en-AU"/>
        </w:rPr>
        <w:t xml:space="preserve">However, </w:t>
      </w:r>
      <w:r w:rsidR="00E25C03">
        <w:rPr>
          <w:lang w:val="en-AU"/>
        </w:rPr>
        <w:t xml:space="preserve">clause 6.18.4 of the NER requires </w:t>
      </w:r>
      <w:r>
        <w:rPr>
          <w:lang w:val="en-AU"/>
        </w:rPr>
        <w:t xml:space="preserve">the AER </w:t>
      </w:r>
      <w:r w:rsidR="00E25C03">
        <w:rPr>
          <w:lang w:val="en-AU"/>
        </w:rPr>
        <w:t>to formulate provisions of a distribution determination</w:t>
      </w:r>
      <w:r>
        <w:rPr>
          <w:lang w:val="en-AU"/>
        </w:rPr>
        <w:t xml:space="preserve"> governing </w:t>
      </w:r>
      <w:r w:rsidR="00E25C03">
        <w:rPr>
          <w:lang w:val="en-AU"/>
        </w:rPr>
        <w:t xml:space="preserve">the </w:t>
      </w:r>
      <w:r>
        <w:rPr>
          <w:lang w:val="en-AU"/>
        </w:rPr>
        <w:t>assignment or reassignment</w:t>
      </w:r>
      <w:r w:rsidR="004062DB">
        <w:rPr>
          <w:lang w:val="en-AU"/>
        </w:rPr>
        <w:t xml:space="preserve"> of </w:t>
      </w:r>
      <w:r w:rsidR="00F932C0">
        <w:rPr>
          <w:lang w:val="en-AU"/>
        </w:rPr>
        <w:t xml:space="preserve">retail </w:t>
      </w:r>
      <w:r w:rsidR="004062DB">
        <w:rPr>
          <w:lang w:val="en-AU"/>
        </w:rPr>
        <w:t xml:space="preserve">customers to tariff classes. </w:t>
      </w:r>
    </w:p>
    <w:p w14:paraId="782B84E8" w14:textId="758D63E6" w:rsidR="0005233A" w:rsidRDefault="0005233A" w:rsidP="00E32188">
      <w:pPr>
        <w:pStyle w:val="ListParagraph"/>
        <w:numPr>
          <w:ilvl w:val="1"/>
          <w:numId w:val="5"/>
        </w:numPr>
        <w:tabs>
          <w:tab w:val="clear" w:pos="3270"/>
          <w:tab w:val="num" w:pos="709"/>
        </w:tabs>
        <w:ind w:left="709" w:hanging="709"/>
        <w:rPr>
          <w:lang w:val="en-AU"/>
        </w:rPr>
      </w:pPr>
      <w:r w:rsidRPr="0005233A">
        <w:rPr>
          <w:lang w:val="en-AU"/>
        </w:rPr>
        <w:t xml:space="preserve">The DNSP is required to submit a comprehensive pricing proposal each </w:t>
      </w:r>
      <w:r w:rsidR="00F932C0">
        <w:rPr>
          <w:lang w:val="en-AU"/>
        </w:rPr>
        <w:t xml:space="preserve">regulatory </w:t>
      </w:r>
      <w:r w:rsidRPr="0005233A">
        <w:rPr>
          <w:lang w:val="en-AU"/>
        </w:rPr>
        <w:t xml:space="preserve">year which includes definitions of the tariffs and tariff classes into which </w:t>
      </w:r>
      <w:r w:rsidR="00F932C0">
        <w:rPr>
          <w:lang w:val="en-AU"/>
        </w:rPr>
        <w:t xml:space="preserve">retail </w:t>
      </w:r>
      <w:r w:rsidRPr="0005233A">
        <w:rPr>
          <w:lang w:val="en-AU"/>
        </w:rPr>
        <w:t xml:space="preserve">customers for direct control services are divided and their charging parameters, and which demonstrates that </w:t>
      </w:r>
      <w:r w:rsidR="00DB74AA">
        <w:rPr>
          <w:lang w:val="en-AU"/>
        </w:rPr>
        <w:t xml:space="preserve">its </w:t>
      </w:r>
      <w:r w:rsidRPr="0005233A">
        <w:rPr>
          <w:lang w:val="en-AU"/>
        </w:rPr>
        <w:t>prices comply with the NER pricing principles. The range of matters that must be included in the pricing proposal is listed in clause 6.18.2 of the NER.</w:t>
      </w:r>
    </w:p>
    <w:p w14:paraId="3896C30D" w14:textId="4B2B7BC5" w:rsidR="004062DB" w:rsidRDefault="004062DB" w:rsidP="004062DB">
      <w:pPr>
        <w:pStyle w:val="UtilComHeading3"/>
        <w:rPr>
          <w:lang w:val="en-AU"/>
        </w:rPr>
      </w:pPr>
      <w:r>
        <w:rPr>
          <w:lang w:val="en-AU"/>
        </w:rPr>
        <w:t xml:space="preserve">Framework </w:t>
      </w:r>
      <w:r w:rsidR="00F932C0">
        <w:rPr>
          <w:lang w:val="en-AU"/>
        </w:rPr>
        <w:t>Statement</w:t>
      </w:r>
    </w:p>
    <w:p w14:paraId="0AC58C7D" w14:textId="5E382448" w:rsidR="00C35B7B" w:rsidRDefault="00C35B7B" w:rsidP="00E32188">
      <w:pPr>
        <w:pStyle w:val="ListParagraph"/>
        <w:numPr>
          <w:ilvl w:val="1"/>
          <w:numId w:val="5"/>
        </w:numPr>
        <w:tabs>
          <w:tab w:val="clear" w:pos="3270"/>
          <w:tab w:val="num" w:pos="709"/>
        </w:tabs>
        <w:ind w:left="709" w:hanging="709"/>
        <w:rPr>
          <w:lang w:val="en-AU"/>
        </w:rPr>
      </w:pPr>
      <w:r>
        <w:rPr>
          <w:lang w:val="en-AU"/>
        </w:rPr>
        <w:t xml:space="preserve">The Commission’s Framework Statement set out its preferred approach, which is to assess the NPPS that details PWC Networks’ proposed structure for </w:t>
      </w:r>
      <w:r w:rsidR="00F932C0">
        <w:rPr>
          <w:lang w:val="en-AU"/>
        </w:rPr>
        <w:t xml:space="preserve">reference </w:t>
      </w:r>
      <w:r>
        <w:rPr>
          <w:lang w:val="en-AU"/>
        </w:rPr>
        <w:t xml:space="preserve">tariffs, against the requirements of the </w:t>
      </w:r>
      <w:r w:rsidR="00FB2EC5">
        <w:rPr>
          <w:lang w:val="en-AU"/>
        </w:rPr>
        <w:t>Network Access Code</w:t>
      </w:r>
      <w:r>
        <w:rPr>
          <w:lang w:val="en-AU"/>
        </w:rPr>
        <w:t xml:space="preserve"> and relevant provisions of the NER.</w:t>
      </w:r>
    </w:p>
    <w:p w14:paraId="57AB44D1" w14:textId="276DCDEA" w:rsidR="004062DB" w:rsidRPr="004062DB" w:rsidRDefault="003E714E" w:rsidP="00E32188">
      <w:pPr>
        <w:pStyle w:val="ListParagraph"/>
        <w:numPr>
          <w:ilvl w:val="1"/>
          <w:numId w:val="5"/>
        </w:numPr>
        <w:tabs>
          <w:tab w:val="clear" w:pos="3270"/>
          <w:tab w:val="num" w:pos="709"/>
        </w:tabs>
        <w:ind w:left="709" w:hanging="709"/>
        <w:rPr>
          <w:lang w:val="en-AU"/>
        </w:rPr>
      </w:pPr>
      <w:r>
        <w:rPr>
          <w:lang w:val="en-AU"/>
        </w:rPr>
        <w:t>M</w:t>
      </w:r>
      <w:r w:rsidR="004062DB" w:rsidRPr="004062DB">
        <w:rPr>
          <w:lang w:val="en-AU"/>
        </w:rPr>
        <w:t xml:space="preserve">indful of the constrained timeframe for approval of </w:t>
      </w:r>
      <w:r w:rsidR="00F932C0">
        <w:rPr>
          <w:lang w:val="en-AU"/>
        </w:rPr>
        <w:t>reference</w:t>
      </w:r>
      <w:r w:rsidR="00F932C0" w:rsidRPr="004062DB">
        <w:rPr>
          <w:lang w:val="en-AU"/>
        </w:rPr>
        <w:t xml:space="preserve"> </w:t>
      </w:r>
      <w:r w:rsidR="004062DB" w:rsidRPr="004062DB">
        <w:rPr>
          <w:lang w:val="en-AU"/>
        </w:rPr>
        <w:t xml:space="preserve">tariffs set out in the </w:t>
      </w:r>
      <w:r w:rsidR="00FB2EC5">
        <w:rPr>
          <w:lang w:val="en-AU"/>
        </w:rPr>
        <w:t>Network Access Code</w:t>
      </w:r>
      <w:r>
        <w:rPr>
          <w:lang w:val="en-AU"/>
        </w:rPr>
        <w:t xml:space="preserve">, the Commission also proposed that </w:t>
      </w:r>
      <w:r w:rsidR="004062DB" w:rsidRPr="004062DB">
        <w:rPr>
          <w:lang w:val="en-AU"/>
        </w:rPr>
        <w:t xml:space="preserve">PWC </w:t>
      </w:r>
      <w:r>
        <w:rPr>
          <w:lang w:val="en-AU"/>
        </w:rPr>
        <w:t xml:space="preserve">Networks </w:t>
      </w:r>
      <w:r w:rsidR="009A34F1">
        <w:rPr>
          <w:lang w:val="en-AU"/>
        </w:rPr>
        <w:t xml:space="preserve">provide </w:t>
      </w:r>
      <w:r w:rsidR="004062DB" w:rsidRPr="004062DB">
        <w:rPr>
          <w:lang w:val="en-AU"/>
        </w:rPr>
        <w:t xml:space="preserve">an indicative tariff proposal for the first </w:t>
      </w:r>
      <w:r w:rsidR="00F932C0">
        <w:rPr>
          <w:lang w:val="en-AU"/>
        </w:rPr>
        <w:t xml:space="preserve">regulatory </w:t>
      </w:r>
      <w:r w:rsidR="004062DB" w:rsidRPr="004062DB">
        <w:rPr>
          <w:lang w:val="en-AU"/>
        </w:rPr>
        <w:t xml:space="preserve">year of the </w:t>
      </w:r>
      <w:r w:rsidR="00F932C0">
        <w:rPr>
          <w:lang w:val="en-AU"/>
        </w:rPr>
        <w:t xml:space="preserve">2014-19 </w:t>
      </w:r>
      <w:r w:rsidR="004062DB" w:rsidRPr="004062DB">
        <w:rPr>
          <w:lang w:val="en-AU"/>
        </w:rPr>
        <w:t>regulatory control period as part of its regulatory proposal.</w:t>
      </w:r>
      <w:r w:rsidR="00A5123D" w:rsidRPr="00A5123D">
        <w:rPr>
          <w:lang w:val="en-AU"/>
        </w:rPr>
        <w:t xml:space="preserve"> </w:t>
      </w:r>
      <w:r w:rsidR="00A5123D" w:rsidRPr="00C944BB">
        <w:rPr>
          <w:lang w:val="en-AU"/>
        </w:rPr>
        <w:t xml:space="preserve">This would enable the Commission to assess the </w:t>
      </w:r>
      <w:r w:rsidR="00A5123D" w:rsidRPr="003409A7">
        <w:rPr>
          <w:lang w:val="en-AU"/>
        </w:rPr>
        <w:t xml:space="preserve">pricing model underlying the proposed structure of </w:t>
      </w:r>
      <w:r w:rsidR="00F932C0">
        <w:rPr>
          <w:lang w:val="en-AU"/>
        </w:rPr>
        <w:t>reference</w:t>
      </w:r>
      <w:r w:rsidR="00F932C0" w:rsidRPr="003409A7">
        <w:rPr>
          <w:lang w:val="en-AU"/>
        </w:rPr>
        <w:t xml:space="preserve"> </w:t>
      </w:r>
      <w:r w:rsidR="00A5123D" w:rsidRPr="00A1120A">
        <w:rPr>
          <w:lang w:val="en-AU"/>
        </w:rPr>
        <w:t>tariffs against the requirements of the N</w:t>
      </w:r>
      <w:r w:rsidR="00DB74AA">
        <w:rPr>
          <w:lang w:val="en-AU"/>
        </w:rPr>
        <w:t xml:space="preserve">etwork </w:t>
      </w:r>
      <w:r w:rsidR="00A5123D" w:rsidRPr="00A1120A">
        <w:rPr>
          <w:lang w:val="en-AU"/>
        </w:rPr>
        <w:t xml:space="preserve">Access Code and relevant provisions of the NER. </w:t>
      </w:r>
      <w:r w:rsidR="00A5123D">
        <w:rPr>
          <w:lang w:val="en-AU"/>
        </w:rPr>
        <w:t xml:space="preserve">If the Commission </w:t>
      </w:r>
      <w:r w:rsidR="00F932C0">
        <w:rPr>
          <w:lang w:val="en-AU"/>
        </w:rPr>
        <w:t xml:space="preserve">was </w:t>
      </w:r>
      <w:r w:rsidR="00A5123D">
        <w:rPr>
          <w:lang w:val="en-AU"/>
        </w:rPr>
        <w:t xml:space="preserve">satisfied that the pricing model correctly </w:t>
      </w:r>
      <w:r w:rsidR="00F932C0">
        <w:rPr>
          <w:lang w:val="en-AU"/>
        </w:rPr>
        <w:t xml:space="preserve">calculated </w:t>
      </w:r>
      <w:r w:rsidR="00E23A17">
        <w:rPr>
          <w:lang w:val="en-AU"/>
        </w:rPr>
        <w:t xml:space="preserve">reference </w:t>
      </w:r>
      <w:r w:rsidR="00A5123D">
        <w:rPr>
          <w:lang w:val="en-AU"/>
        </w:rPr>
        <w:t>tariffs and charges in line with the principles in the Network Access Code, u</w:t>
      </w:r>
      <w:r w:rsidR="00A5123D" w:rsidRPr="00EB0E4E">
        <w:rPr>
          <w:lang w:val="en-AU"/>
        </w:rPr>
        <w:t>pdating the pricing model with the values from the 2014 Network Price Determination should then be a relatively simple exercise.</w:t>
      </w:r>
    </w:p>
    <w:p w14:paraId="607BE29C" w14:textId="574224EF" w:rsidR="008E4B9F" w:rsidRDefault="008E4B9F" w:rsidP="008E4B9F">
      <w:pPr>
        <w:pStyle w:val="UtilComHeading2"/>
      </w:pPr>
      <w:bookmarkStart w:id="336" w:name="_Toc385241591"/>
      <w:bookmarkStart w:id="337" w:name="_Toc386013144"/>
      <w:r>
        <w:t>PWC Networks</w:t>
      </w:r>
      <w:r w:rsidR="00D624BF">
        <w:t>’</w:t>
      </w:r>
      <w:r>
        <w:t xml:space="preserve"> </w:t>
      </w:r>
      <w:r w:rsidR="00BC55DE">
        <w:t xml:space="preserve">Initial Regulatory </w:t>
      </w:r>
      <w:bookmarkEnd w:id="336"/>
      <w:r w:rsidR="00BC55DE">
        <w:t>Proposal</w:t>
      </w:r>
      <w:bookmarkEnd w:id="337"/>
    </w:p>
    <w:p w14:paraId="0BB16EF7" w14:textId="041A0EC4" w:rsidR="0030556F" w:rsidRDefault="0030556F" w:rsidP="00E32188">
      <w:pPr>
        <w:pStyle w:val="NumberLevel2"/>
        <w:numPr>
          <w:ilvl w:val="1"/>
          <w:numId w:val="5"/>
        </w:numPr>
        <w:ind w:left="709" w:hanging="709"/>
        <w:rPr>
          <w:lang w:val="en-AU"/>
        </w:rPr>
      </w:pPr>
      <w:r>
        <w:rPr>
          <w:lang w:val="en-AU"/>
        </w:rPr>
        <w:t>PWC Network</w:t>
      </w:r>
      <w:r w:rsidR="00A72757">
        <w:rPr>
          <w:lang w:val="en-AU"/>
        </w:rPr>
        <w:t>’</w:t>
      </w:r>
      <w:r>
        <w:rPr>
          <w:lang w:val="en-AU"/>
        </w:rPr>
        <w:t xml:space="preserve">s draft </w:t>
      </w:r>
      <w:r w:rsidR="0017343A">
        <w:rPr>
          <w:lang w:val="en-AU"/>
        </w:rPr>
        <w:t xml:space="preserve">NPPS </w:t>
      </w:r>
      <w:r>
        <w:rPr>
          <w:lang w:val="en-AU"/>
        </w:rPr>
        <w:t xml:space="preserve">and Pricing Proposal </w:t>
      </w:r>
      <w:r w:rsidR="00A5123D">
        <w:rPr>
          <w:lang w:val="en-AU"/>
        </w:rPr>
        <w:t xml:space="preserve">were provided in a single document that </w:t>
      </w:r>
      <w:r>
        <w:rPr>
          <w:lang w:val="en-AU"/>
        </w:rPr>
        <w:t>set out:</w:t>
      </w:r>
    </w:p>
    <w:p w14:paraId="30FAA99C" w14:textId="0929FC0C" w:rsidR="0030556F" w:rsidRPr="0030556F" w:rsidRDefault="00AC3F9E" w:rsidP="00DC322B">
      <w:pPr>
        <w:pStyle w:val="UtilComBulletText"/>
        <w:numPr>
          <w:ilvl w:val="0"/>
          <w:numId w:val="6"/>
        </w:numPr>
        <w:tabs>
          <w:tab w:val="clear" w:pos="964"/>
          <w:tab w:val="num" w:pos="1134"/>
        </w:tabs>
        <w:ind w:left="1134" w:hanging="425"/>
      </w:pPr>
      <w:r>
        <w:t xml:space="preserve">the </w:t>
      </w:r>
      <w:r w:rsidR="0030556F">
        <w:t>p</w:t>
      </w:r>
      <w:r w:rsidR="0030556F" w:rsidRPr="0030556F">
        <w:t xml:space="preserve">rinciples and methods used for establishing the </w:t>
      </w:r>
      <w:r w:rsidR="00A5123D">
        <w:t>reference</w:t>
      </w:r>
      <w:r w:rsidR="00A5123D" w:rsidRPr="0030556F">
        <w:t xml:space="preserve"> </w:t>
      </w:r>
      <w:r w:rsidR="0030556F" w:rsidRPr="0030556F">
        <w:t xml:space="preserve">tariffs to apply to </w:t>
      </w:r>
      <w:r>
        <w:t>regulated</w:t>
      </w:r>
      <w:r w:rsidRPr="0030556F">
        <w:t xml:space="preserve"> </w:t>
      </w:r>
      <w:r w:rsidR="00A5123D">
        <w:t>network access</w:t>
      </w:r>
      <w:r w:rsidR="00A5123D" w:rsidRPr="0030556F">
        <w:t xml:space="preserve"> </w:t>
      </w:r>
      <w:r w:rsidR="0030556F" w:rsidRPr="0030556F">
        <w:t>services</w:t>
      </w:r>
      <w:r>
        <w:t xml:space="preserve"> and excluded network access services that would, if classified under the NER, be alternative control services</w:t>
      </w:r>
      <w:r w:rsidR="0030556F" w:rsidRPr="0030556F">
        <w:t>;</w:t>
      </w:r>
    </w:p>
    <w:p w14:paraId="1B49A223" w14:textId="4C150C16" w:rsidR="0030556F" w:rsidRPr="0030556F" w:rsidRDefault="00AC3F9E" w:rsidP="00DC322B">
      <w:pPr>
        <w:pStyle w:val="UtilComBulletText"/>
        <w:numPr>
          <w:ilvl w:val="0"/>
          <w:numId w:val="6"/>
        </w:numPr>
        <w:tabs>
          <w:tab w:val="clear" w:pos="964"/>
          <w:tab w:val="num" w:pos="1134"/>
        </w:tabs>
        <w:ind w:left="1134" w:hanging="425"/>
      </w:pPr>
      <w:r>
        <w:t xml:space="preserve">the </w:t>
      </w:r>
      <w:r w:rsidR="0030556F">
        <w:t>p</w:t>
      </w:r>
      <w:r w:rsidR="0030556F" w:rsidRPr="0030556F">
        <w:t xml:space="preserve">roposed pricing strategy for the </w:t>
      </w:r>
      <w:r w:rsidR="007669D5">
        <w:t>2014-19</w:t>
      </w:r>
      <w:r w:rsidR="007669D5" w:rsidRPr="0030556F">
        <w:t xml:space="preserve"> </w:t>
      </w:r>
      <w:r w:rsidR="0030556F" w:rsidRPr="0030556F">
        <w:t>regulatory control period; and</w:t>
      </w:r>
    </w:p>
    <w:p w14:paraId="72DDD1BC" w14:textId="218780FF" w:rsidR="008E4B9F" w:rsidRDefault="0030556F" w:rsidP="00DC322B">
      <w:pPr>
        <w:pStyle w:val="UtilComBulletText"/>
        <w:numPr>
          <w:ilvl w:val="0"/>
          <w:numId w:val="6"/>
        </w:numPr>
        <w:tabs>
          <w:tab w:val="clear" w:pos="964"/>
          <w:tab w:val="num" w:pos="1134"/>
        </w:tabs>
        <w:ind w:left="1134" w:hanging="425"/>
      </w:pPr>
      <w:r w:rsidRPr="0030556F">
        <w:t xml:space="preserve">indicative </w:t>
      </w:r>
      <w:r w:rsidR="00A5123D">
        <w:t>reference</w:t>
      </w:r>
      <w:r w:rsidR="00A5123D" w:rsidRPr="0030556F">
        <w:t xml:space="preserve"> tariffs to apply to standard </w:t>
      </w:r>
      <w:r w:rsidR="00A5123D">
        <w:t>network access</w:t>
      </w:r>
      <w:r w:rsidR="00A5123D" w:rsidRPr="0030556F">
        <w:t xml:space="preserve"> services</w:t>
      </w:r>
      <w:r w:rsidR="00A5123D" w:rsidRPr="0030556F" w:rsidDel="00A5123D">
        <w:t xml:space="preserve"> </w:t>
      </w:r>
      <w:r w:rsidRPr="0030556F">
        <w:t xml:space="preserve">for </w:t>
      </w:r>
      <w:r w:rsidR="00AC3F9E">
        <w:t xml:space="preserve">the </w:t>
      </w:r>
      <w:r w:rsidRPr="0030556F">
        <w:t>2014</w:t>
      </w:r>
      <w:r w:rsidR="00AC3F9E">
        <w:noBreakHyphen/>
      </w:r>
      <w:r w:rsidRPr="0030556F">
        <w:t>15</w:t>
      </w:r>
      <w:r w:rsidR="00AC3F9E">
        <w:t xml:space="preserve"> regulatory year</w:t>
      </w:r>
      <w:r w:rsidRPr="0030556F">
        <w:t xml:space="preserve">. </w:t>
      </w:r>
    </w:p>
    <w:p w14:paraId="42C3FBE7" w14:textId="1C05B432" w:rsidR="00016B65" w:rsidRDefault="00016B65" w:rsidP="00E32188">
      <w:pPr>
        <w:pStyle w:val="NumberLevel2"/>
        <w:numPr>
          <w:ilvl w:val="1"/>
          <w:numId w:val="5"/>
        </w:numPr>
        <w:ind w:left="709" w:hanging="709"/>
        <w:rPr>
          <w:lang w:val="en-AU"/>
        </w:rPr>
      </w:pPr>
      <w:r>
        <w:rPr>
          <w:lang w:val="en-AU"/>
        </w:rPr>
        <w:t xml:space="preserve">PWC Networks identified the principles for establishing </w:t>
      </w:r>
      <w:r w:rsidR="00A5123D">
        <w:t>reference</w:t>
      </w:r>
      <w:r w:rsidR="00A5123D" w:rsidRPr="0030556F">
        <w:t xml:space="preserve"> tariffs </w:t>
      </w:r>
      <w:r>
        <w:rPr>
          <w:lang w:val="en-AU"/>
        </w:rPr>
        <w:t>as:</w:t>
      </w:r>
    </w:p>
    <w:p w14:paraId="73A3A841" w14:textId="71C9D1CD" w:rsidR="00016B65" w:rsidRPr="00016B65" w:rsidRDefault="00016B65" w:rsidP="00DC322B">
      <w:pPr>
        <w:pStyle w:val="UtilComBulletText"/>
        <w:numPr>
          <w:ilvl w:val="0"/>
          <w:numId w:val="6"/>
        </w:numPr>
        <w:tabs>
          <w:tab w:val="clear" w:pos="964"/>
          <w:tab w:val="num" w:pos="1134"/>
        </w:tabs>
        <w:ind w:left="1134" w:hanging="425"/>
      </w:pPr>
      <w:r>
        <w:t>e</w:t>
      </w:r>
      <w:r w:rsidRPr="00016B65">
        <w:t xml:space="preserve">nhancing cost reflectivity and reducing cross subsidies through </w:t>
      </w:r>
      <w:r w:rsidR="00AC3F9E">
        <w:t xml:space="preserve">reference </w:t>
      </w:r>
      <w:r w:rsidRPr="00016B65">
        <w:t>tariffs;</w:t>
      </w:r>
    </w:p>
    <w:p w14:paraId="687AAF8F" w14:textId="77777777" w:rsidR="00016B65" w:rsidRPr="00016B65" w:rsidRDefault="00016B65" w:rsidP="00DC322B">
      <w:pPr>
        <w:pStyle w:val="UtilComBulletText"/>
        <w:numPr>
          <w:ilvl w:val="0"/>
          <w:numId w:val="6"/>
        </w:numPr>
        <w:tabs>
          <w:tab w:val="clear" w:pos="964"/>
          <w:tab w:val="num" w:pos="1134"/>
        </w:tabs>
        <w:ind w:left="1134" w:hanging="425"/>
      </w:pPr>
      <w:r>
        <w:t>c</w:t>
      </w:r>
      <w:r w:rsidRPr="00016B65">
        <w:t>urtailing peak demand growth and</w:t>
      </w:r>
      <w:r w:rsidR="00C93753">
        <w:t>,</w:t>
      </w:r>
      <w:r w:rsidRPr="00016B65">
        <w:t xml:space="preserve"> thereby, network costs;</w:t>
      </w:r>
    </w:p>
    <w:p w14:paraId="45ADFB02" w14:textId="77777777" w:rsidR="00016B65" w:rsidRPr="00016B65" w:rsidRDefault="00016B65" w:rsidP="00DC322B">
      <w:pPr>
        <w:pStyle w:val="UtilComBulletText"/>
        <w:numPr>
          <w:ilvl w:val="0"/>
          <w:numId w:val="6"/>
        </w:numPr>
        <w:tabs>
          <w:tab w:val="clear" w:pos="964"/>
          <w:tab w:val="num" w:pos="1134"/>
        </w:tabs>
        <w:ind w:left="1134" w:hanging="425"/>
      </w:pPr>
      <w:r>
        <w:t>i</w:t>
      </w:r>
      <w:r w:rsidRPr="00016B65">
        <w:t>mproving demand side particip</w:t>
      </w:r>
      <w:r>
        <w:t xml:space="preserve">ation and energy efficiency; </w:t>
      </w:r>
    </w:p>
    <w:p w14:paraId="3E835172" w14:textId="77777777" w:rsidR="00016B65" w:rsidRPr="00016B65" w:rsidRDefault="00A521BC" w:rsidP="00DC322B">
      <w:pPr>
        <w:pStyle w:val="UtilComBulletText"/>
        <w:numPr>
          <w:ilvl w:val="0"/>
          <w:numId w:val="6"/>
        </w:numPr>
        <w:tabs>
          <w:tab w:val="clear" w:pos="964"/>
          <w:tab w:val="num" w:pos="1134"/>
        </w:tabs>
        <w:ind w:left="1134" w:hanging="425"/>
      </w:pPr>
      <w:r>
        <w:t>r</w:t>
      </w:r>
      <w:r w:rsidR="00016B65" w:rsidRPr="00016B65">
        <w:t xml:space="preserve">olling out smart meters and </w:t>
      </w:r>
      <w:r w:rsidR="00A06278" w:rsidRPr="00016B65">
        <w:t>time</w:t>
      </w:r>
      <w:r w:rsidR="00A06278">
        <w:t>-</w:t>
      </w:r>
      <w:r w:rsidR="00016B65" w:rsidRPr="00016B65">
        <w:t>based pricing, to reduce demand during</w:t>
      </w:r>
      <w:r w:rsidR="00016B65">
        <w:t xml:space="preserve"> peak periods; </w:t>
      </w:r>
    </w:p>
    <w:p w14:paraId="4ED85476" w14:textId="780151AB" w:rsidR="00016B65" w:rsidRPr="00016B65" w:rsidRDefault="00A521BC" w:rsidP="00DC322B">
      <w:pPr>
        <w:pStyle w:val="UtilComBulletText"/>
        <w:numPr>
          <w:ilvl w:val="0"/>
          <w:numId w:val="6"/>
        </w:numPr>
        <w:tabs>
          <w:tab w:val="clear" w:pos="964"/>
          <w:tab w:val="num" w:pos="1134"/>
        </w:tabs>
        <w:ind w:left="1134" w:hanging="425"/>
      </w:pPr>
      <w:r>
        <w:t xml:space="preserve">keeping </w:t>
      </w:r>
      <w:r w:rsidR="00A72757">
        <w:t xml:space="preserve">prices </w:t>
      </w:r>
      <w:r w:rsidR="00016B65" w:rsidRPr="00016B65">
        <w:t>as simple as possible and readily understandable by</w:t>
      </w:r>
      <w:r>
        <w:t xml:space="preserve"> </w:t>
      </w:r>
      <w:r w:rsidR="00AC3F9E">
        <w:t xml:space="preserve">retail </w:t>
      </w:r>
      <w:r w:rsidR="00016B65" w:rsidRPr="00016B65">
        <w:t>customers and market participants;</w:t>
      </w:r>
    </w:p>
    <w:p w14:paraId="5C2D08BC" w14:textId="77777777" w:rsidR="00016B65" w:rsidRPr="00016B65" w:rsidRDefault="00A521BC" w:rsidP="00DC322B">
      <w:pPr>
        <w:pStyle w:val="UtilComBulletText"/>
        <w:numPr>
          <w:ilvl w:val="0"/>
          <w:numId w:val="6"/>
        </w:numPr>
        <w:tabs>
          <w:tab w:val="clear" w:pos="964"/>
          <w:tab w:val="num" w:pos="1134"/>
        </w:tabs>
        <w:ind w:left="1134" w:hanging="425"/>
      </w:pPr>
      <w:r>
        <w:t>keeping p</w:t>
      </w:r>
      <w:r w:rsidR="00016B65" w:rsidRPr="00016B65">
        <w:t>rices stable and predictable; and</w:t>
      </w:r>
    </w:p>
    <w:p w14:paraId="46B4F448" w14:textId="51A07E63" w:rsidR="00016B65" w:rsidRPr="00016B65" w:rsidRDefault="004B6DBF" w:rsidP="00DC322B">
      <w:pPr>
        <w:pStyle w:val="UtilComBulletText"/>
        <w:numPr>
          <w:ilvl w:val="0"/>
          <w:numId w:val="6"/>
        </w:numPr>
        <w:tabs>
          <w:tab w:val="clear" w:pos="964"/>
          <w:tab w:val="num" w:pos="1134"/>
        </w:tabs>
        <w:ind w:left="1134" w:hanging="425"/>
      </w:pPr>
      <w:r>
        <w:t xml:space="preserve">aligning prices and price components that are designed to signal to </w:t>
      </w:r>
      <w:r w:rsidR="00AC3F9E">
        <w:t xml:space="preserve">retail </w:t>
      </w:r>
      <w:r>
        <w:t xml:space="preserve">customers the need to moderate demand with the </w:t>
      </w:r>
      <w:r w:rsidR="00A06278">
        <w:t>long-</w:t>
      </w:r>
      <w:r>
        <w:t xml:space="preserve">run marginal cost of supply to </w:t>
      </w:r>
      <w:r w:rsidR="00AC3F9E">
        <w:t xml:space="preserve">retail </w:t>
      </w:r>
      <w:r>
        <w:t>customers.</w:t>
      </w:r>
    </w:p>
    <w:p w14:paraId="2ED647A1" w14:textId="77777777" w:rsidR="00A5123D" w:rsidRDefault="00A5123D" w:rsidP="00A5123D">
      <w:pPr>
        <w:pStyle w:val="NumberLevel2"/>
        <w:numPr>
          <w:ilvl w:val="1"/>
          <w:numId w:val="4"/>
        </w:numPr>
        <w:ind w:left="709" w:hanging="709"/>
        <w:rPr>
          <w:lang w:val="en-AU"/>
        </w:rPr>
      </w:pPr>
      <w:r>
        <w:rPr>
          <w:lang w:val="en-AU"/>
        </w:rPr>
        <w:t>In the 2009-14 regulatory control period, there was no formal assignment of customers to tariff classes. PWC Networks has four existing network tariffs:</w:t>
      </w:r>
    </w:p>
    <w:p w14:paraId="6D86C1A7" w14:textId="77777777" w:rsidR="00A5123D" w:rsidRPr="008A411D" w:rsidRDefault="00A5123D" w:rsidP="00A5123D">
      <w:pPr>
        <w:pStyle w:val="UtilComBulletText"/>
        <w:numPr>
          <w:ilvl w:val="0"/>
          <w:numId w:val="6"/>
        </w:numPr>
        <w:tabs>
          <w:tab w:val="clear" w:pos="964"/>
          <w:tab w:val="num" w:pos="1134"/>
        </w:tabs>
        <w:ind w:left="1134" w:hanging="425"/>
      </w:pPr>
      <w:r w:rsidRPr="008A411D">
        <w:t xml:space="preserve">Domestic (all </w:t>
      </w:r>
      <w:r>
        <w:t>domestic</w:t>
      </w:r>
      <w:r w:rsidRPr="008A411D">
        <w:t xml:space="preserve"> customers);</w:t>
      </w:r>
    </w:p>
    <w:p w14:paraId="65C01F86" w14:textId="77777777" w:rsidR="00A5123D" w:rsidRPr="008A411D" w:rsidRDefault="00A5123D" w:rsidP="00A5123D">
      <w:pPr>
        <w:pStyle w:val="UtilComBulletText"/>
        <w:numPr>
          <w:ilvl w:val="0"/>
          <w:numId w:val="6"/>
        </w:numPr>
        <w:tabs>
          <w:tab w:val="clear" w:pos="964"/>
          <w:tab w:val="num" w:pos="1134"/>
        </w:tabs>
        <w:ind w:left="1134" w:hanging="425"/>
      </w:pPr>
      <w:r w:rsidRPr="008A411D">
        <w:t>Commercial (commercial customers using less than 750 MWh per annum);</w:t>
      </w:r>
    </w:p>
    <w:p w14:paraId="16863B43" w14:textId="20443F65" w:rsidR="00A5123D" w:rsidRPr="008A411D" w:rsidRDefault="00A5123D" w:rsidP="00A5123D">
      <w:pPr>
        <w:pStyle w:val="UtilComBulletText"/>
        <w:numPr>
          <w:ilvl w:val="0"/>
          <w:numId w:val="6"/>
        </w:numPr>
        <w:tabs>
          <w:tab w:val="clear" w:pos="964"/>
          <w:tab w:val="num" w:pos="1134"/>
        </w:tabs>
        <w:ind w:left="1134" w:hanging="425"/>
      </w:pPr>
      <w:r w:rsidRPr="008A411D">
        <w:t>Street</w:t>
      </w:r>
      <w:r w:rsidR="005276EC">
        <w:t xml:space="preserve"> </w:t>
      </w:r>
      <w:r w:rsidRPr="008A411D">
        <w:t>lighting and other unmetered supplies; and</w:t>
      </w:r>
    </w:p>
    <w:p w14:paraId="369C3C2D" w14:textId="3A8153F6" w:rsidR="00A5123D" w:rsidRPr="008A411D" w:rsidRDefault="00A5123D" w:rsidP="00A5123D">
      <w:pPr>
        <w:pStyle w:val="UtilComBulletText"/>
        <w:numPr>
          <w:ilvl w:val="0"/>
          <w:numId w:val="6"/>
        </w:numPr>
        <w:tabs>
          <w:tab w:val="clear" w:pos="964"/>
          <w:tab w:val="num" w:pos="1134"/>
        </w:tabs>
        <w:ind w:left="1134" w:hanging="425"/>
      </w:pPr>
      <w:r w:rsidRPr="008A411D">
        <w:t>Commercial kVA (commercial customers using more than 750 MWh per annum)</w:t>
      </w:r>
      <w:r w:rsidR="00DB74AA">
        <w:t>.</w:t>
      </w:r>
      <w:r w:rsidRPr="008A411D">
        <w:t xml:space="preserve"> </w:t>
      </w:r>
    </w:p>
    <w:p w14:paraId="270C3BC9" w14:textId="18BB3D97" w:rsidR="0017343A" w:rsidRDefault="0017343A" w:rsidP="00E32188">
      <w:pPr>
        <w:pStyle w:val="NumberLevel2"/>
        <w:numPr>
          <w:ilvl w:val="1"/>
          <w:numId w:val="5"/>
        </w:numPr>
        <w:ind w:left="709" w:hanging="709"/>
        <w:rPr>
          <w:lang w:val="en-AU"/>
        </w:rPr>
      </w:pPr>
      <w:r>
        <w:rPr>
          <w:lang w:val="en-AU"/>
        </w:rPr>
        <w:t xml:space="preserve">PWC Networks </w:t>
      </w:r>
      <w:r w:rsidR="00AC3F9E">
        <w:rPr>
          <w:lang w:val="en-AU"/>
        </w:rPr>
        <w:t xml:space="preserve">proposed </w:t>
      </w:r>
      <w:r>
        <w:rPr>
          <w:lang w:val="en-AU"/>
        </w:rPr>
        <w:t xml:space="preserve">to establish </w:t>
      </w:r>
      <w:r w:rsidR="00AC3F9E">
        <w:rPr>
          <w:lang w:val="en-AU"/>
        </w:rPr>
        <w:t>the following three</w:t>
      </w:r>
      <w:r>
        <w:rPr>
          <w:lang w:val="en-AU"/>
        </w:rPr>
        <w:t xml:space="preserve"> tariff class</w:t>
      </w:r>
      <w:r w:rsidR="00AC3F9E">
        <w:rPr>
          <w:lang w:val="en-AU"/>
        </w:rPr>
        <w:t>es in the 2014-19 regulatory control period</w:t>
      </w:r>
      <w:r>
        <w:rPr>
          <w:lang w:val="en-AU"/>
        </w:rPr>
        <w:t>:</w:t>
      </w:r>
    </w:p>
    <w:p w14:paraId="1B5E4864" w14:textId="77777777" w:rsidR="0017343A" w:rsidRPr="0017343A" w:rsidRDefault="0017343A" w:rsidP="00DC322B">
      <w:pPr>
        <w:pStyle w:val="UtilComBulletText"/>
        <w:numPr>
          <w:ilvl w:val="0"/>
          <w:numId w:val="6"/>
        </w:numPr>
        <w:tabs>
          <w:tab w:val="clear" w:pos="964"/>
          <w:tab w:val="num" w:pos="1134"/>
        </w:tabs>
        <w:ind w:left="1134" w:hanging="425"/>
      </w:pPr>
      <w:r w:rsidRPr="0017343A">
        <w:t>Domestic (all domestic customers);</w:t>
      </w:r>
    </w:p>
    <w:p w14:paraId="0B0BEAEA" w14:textId="77777777" w:rsidR="0017343A" w:rsidRPr="0017343A" w:rsidRDefault="0017343A" w:rsidP="00DC322B">
      <w:pPr>
        <w:pStyle w:val="UtilComBulletText"/>
        <w:numPr>
          <w:ilvl w:val="0"/>
          <w:numId w:val="6"/>
        </w:numPr>
        <w:tabs>
          <w:tab w:val="clear" w:pos="964"/>
          <w:tab w:val="num" w:pos="1134"/>
        </w:tabs>
        <w:ind w:left="1134" w:hanging="425"/>
      </w:pPr>
      <w:r w:rsidRPr="0017343A">
        <w:t>Commercial HV (</w:t>
      </w:r>
      <w:r w:rsidR="00C93753">
        <w:t>h</w:t>
      </w:r>
      <w:r w:rsidR="00C93753" w:rsidRPr="0017343A">
        <w:t xml:space="preserve">igh </w:t>
      </w:r>
      <w:r w:rsidR="00C93753">
        <w:t>v</w:t>
      </w:r>
      <w:r w:rsidR="00C93753" w:rsidRPr="0017343A">
        <w:t xml:space="preserve">oltage </w:t>
      </w:r>
      <w:r w:rsidRPr="0017343A">
        <w:t xml:space="preserve">connected </w:t>
      </w:r>
      <w:r w:rsidR="00C93753">
        <w:t>c</w:t>
      </w:r>
      <w:r w:rsidR="00C93753" w:rsidRPr="0017343A">
        <w:t xml:space="preserve">ommercial </w:t>
      </w:r>
      <w:r w:rsidRPr="0017343A">
        <w:t>kVA customers); and</w:t>
      </w:r>
    </w:p>
    <w:p w14:paraId="633FCA87" w14:textId="0E7EE8ED" w:rsidR="0030556F" w:rsidRDefault="0017343A" w:rsidP="00DC322B">
      <w:pPr>
        <w:pStyle w:val="UtilComBulletText"/>
        <w:numPr>
          <w:ilvl w:val="0"/>
          <w:numId w:val="6"/>
        </w:numPr>
        <w:tabs>
          <w:tab w:val="clear" w:pos="964"/>
          <w:tab w:val="num" w:pos="1134"/>
        </w:tabs>
        <w:ind w:left="1134" w:hanging="425"/>
      </w:pPr>
      <w:r w:rsidRPr="0017343A">
        <w:t>Commercial LV (</w:t>
      </w:r>
      <w:r w:rsidR="00C93753">
        <w:t>c</w:t>
      </w:r>
      <w:r w:rsidR="00C93753" w:rsidRPr="0017343A">
        <w:t xml:space="preserve">ommercial </w:t>
      </w:r>
      <w:r w:rsidRPr="0017343A">
        <w:t xml:space="preserve">customers </w:t>
      </w:r>
      <w:r w:rsidR="00A5123D">
        <w:t xml:space="preserve">using less than 750 MWh per annum, low voltage connected commercial kVA customers </w:t>
      </w:r>
      <w:r w:rsidRPr="0017343A">
        <w:t xml:space="preserve">and </w:t>
      </w:r>
      <w:r w:rsidR="00410B90">
        <w:t>street</w:t>
      </w:r>
      <w:r w:rsidR="00DB74AA">
        <w:t xml:space="preserve"> </w:t>
      </w:r>
      <w:r w:rsidR="00410B90">
        <w:t>lig</w:t>
      </w:r>
      <w:r w:rsidR="00A06278">
        <w:t>h</w:t>
      </w:r>
      <w:r w:rsidR="00410B90">
        <w:t>ting and</w:t>
      </w:r>
      <w:r w:rsidR="00A06278">
        <w:t xml:space="preserve"> </w:t>
      </w:r>
      <w:r w:rsidRPr="0017343A">
        <w:t>other</w:t>
      </w:r>
      <w:r>
        <w:t xml:space="preserve"> </w:t>
      </w:r>
      <w:r w:rsidR="00410B90">
        <w:t>u</w:t>
      </w:r>
      <w:r w:rsidR="00410B90" w:rsidRPr="0017343A">
        <w:t xml:space="preserve">nmetered </w:t>
      </w:r>
      <w:r w:rsidR="00410B90">
        <w:t>s</w:t>
      </w:r>
      <w:r w:rsidR="00410B90" w:rsidRPr="0017343A">
        <w:t>upplies</w:t>
      </w:r>
      <w:r w:rsidRPr="0017343A">
        <w:t>).</w:t>
      </w:r>
      <w:r w:rsidR="00E25C03" w:rsidRPr="0017343A">
        <w:t xml:space="preserve"> </w:t>
      </w:r>
    </w:p>
    <w:p w14:paraId="1DCF4655" w14:textId="25255DA3" w:rsidR="00B577A7" w:rsidRDefault="00B577A7" w:rsidP="004D551E">
      <w:pPr>
        <w:pStyle w:val="NumberLevel2"/>
        <w:numPr>
          <w:ilvl w:val="1"/>
          <w:numId w:val="5"/>
        </w:numPr>
        <w:ind w:left="709" w:hanging="709"/>
        <w:rPr>
          <w:lang w:val="en-AU"/>
        </w:rPr>
      </w:pPr>
      <w:r>
        <w:rPr>
          <w:lang w:val="en-AU"/>
        </w:rPr>
        <w:t xml:space="preserve">PWC Networks </w:t>
      </w:r>
      <w:r w:rsidR="00A5123D">
        <w:rPr>
          <w:lang w:val="en-AU"/>
        </w:rPr>
        <w:t xml:space="preserve">proposed </w:t>
      </w:r>
      <w:r>
        <w:rPr>
          <w:lang w:val="en-AU"/>
        </w:rPr>
        <w:t xml:space="preserve">to make alterations to some </w:t>
      </w:r>
      <w:r w:rsidR="00AC3F9E">
        <w:rPr>
          <w:lang w:val="en-AU"/>
        </w:rPr>
        <w:t>reference</w:t>
      </w:r>
      <w:r>
        <w:rPr>
          <w:lang w:val="en-AU"/>
        </w:rPr>
        <w:t xml:space="preserve"> tariffs over the </w:t>
      </w:r>
      <w:r w:rsidR="007669D5">
        <w:rPr>
          <w:lang w:val="en-AU"/>
        </w:rPr>
        <w:t xml:space="preserve">2014-19 </w:t>
      </w:r>
      <w:r w:rsidR="00A521BC">
        <w:rPr>
          <w:lang w:val="en-AU"/>
        </w:rPr>
        <w:t xml:space="preserve">regulatory control period. The proposed changes </w:t>
      </w:r>
      <w:r w:rsidR="00AC3F9E">
        <w:rPr>
          <w:lang w:val="en-AU"/>
        </w:rPr>
        <w:t xml:space="preserve">were </w:t>
      </w:r>
      <w:r w:rsidR="00A521BC">
        <w:rPr>
          <w:lang w:val="en-AU"/>
        </w:rPr>
        <w:t>set out in the NPPS.</w:t>
      </w:r>
    </w:p>
    <w:p w14:paraId="33C9E6F9" w14:textId="016FB415" w:rsidR="005476DF" w:rsidRPr="005476DF" w:rsidRDefault="005476DF" w:rsidP="004D551E">
      <w:pPr>
        <w:pStyle w:val="NumberLevel2"/>
        <w:numPr>
          <w:ilvl w:val="1"/>
          <w:numId w:val="5"/>
        </w:numPr>
        <w:ind w:left="709" w:hanging="709"/>
        <w:rPr>
          <w:lang w:val="en-AU"/>
        </w:rPr>
      </w:pPr>
      <w:r>
        <w:rPr>
          <w:lang w:val="en-AU"/>
        </w:rPr>
        <w:t xml:space="preserve">The proposed </w:t>
      </w:r>
      <w:r w:rsidR="00E23A17">
        <w:rPr>
          <w:lang w:val="en-AU"/>
        </w:rPr>
        <w:t xml:space="preserve">reference </w:t>
      </w:r>
      <w:r>
        <w:rPr>
          <w:lang w:val="en-AU"/>
        </w:rPr>
        <w:t xml:space="preserve">tariff structure changes </w:t>
      </w:r>
      <w:r w:rsidR="00AC3F9E">
        <w:rPr>
          <w:lang w:val="en-AU"/>
        </w:rPr>
        <w:t xml:space="preserve">were </w:t>
      </w:r>
      <w:r>
        <w:rPr>
          <w:lang w:val="en-AU"/>
        </w:rPr>
        <w:t xml:space="preserve">based on analysis conducted by </w:t>
      </w:r>
      <w:r w:rsidR="00AC3F9E">
        <w:rPr>
          <w:lang w:val="en-AU"/>
        </w:rPr>
        <w:t>PWC </w:t>
      </w:r>
      <w:r>
        <w:rPr>
          <w:lang w:val="en-AU"/>
        </w:rPr>
        <w:t>Networks using its new Cost of Supply model.</w:t>
      </w:r>
    </w:p>
    <w:p w14:paraId="63AEABDB" w14:textId="355C48B8" w:rsidR="00A521BC" w:rsidRDefault="00A521BC" w:rsidP="004D551E">
      <w:pPr>
        <w:pStyle w:val="NumberLevel2"/>
        <w:numPr>
          <w:ilvl w:val="1"/>
          <w:numId w:val="5"/>
        </w:numPr>
        <w:ind w:left="709" w:hanging="709"/>
        <w:rPr>
          <w:lang w:val="en-AU"/>
        </w:rPr>
      </w:pPr>
      <w:r>
        <w:rPr>
          <w:lang w:val="en-AU"/>
        </w:rPr>
        <w:t xml:space="preserve">PWC Networks </w:t>
      </w:r>
      <w:r w:rsidR="00207549">
        <w:rPr>
          <w:lang w:val="en-AU"/>
        </w:rPr>
        <w:t xml:space="preserve">submitted </w:t>
      </w:r>
      <w:r>
        <w:rPr>
          <w:lang w:val="en-AU"/>
        </w:rPr>
        <w:t xml:space="preserve">that the proposed </w:t>
      </w:r>
      <w:r w:rsidR="00E23A17">
        <w:rPr>
          <w:lang w:val="en-AU"/>
        </w:rPr>
        <w:t xml:space="preserve">reference </w:t>
      </w:r>
      <w:r>
        <w:rPr>
          <w:lang w:val="en-AU"/>
        </w:rPr>
        <w:t xml:space="preserve">tariff changes </w:t>
      </w:r>
      <w:r w:rsidR="00AC3F9E">
        <w:rPr>
          <w:lang w:val="en-AU"/>
        </w:rPr>
        <w:t>would</w:t>
      </w:r>
      <w:r>
        <w:rPr>
          <w:lang w:val="en-AU"/>
        </w:rPr>
        <w:t>:</w:t>
      </w:r>
    </w:p>
    <w:p w14:paraId="3F03E2C0" w14:textId="7080EF98" w:rsidR="00A521BC" w:rsidRPr="00A521BC" w:rsidRDefault="00A521BC" w:rsidP="00DC322B">
      <w:pPr>
        <w:pStyle w:val="UtilComBulletText"/>
        <w:numPr>
          <w:ilvl w:val="0"/>
          <w:numId w:val="6"/>
        </w:numPr>
        <w:tabs>
          <w:tab w:val="clear" w:pos="964"/>
          <w:tab w:val="num" w:pos="1134"/>
        </w:tabs>
        <w:ind w:left="1134" w:hanging="425"/>
      </w:pPr>
      <w:r>
        <w:t>i</w:t>
      </w:r>
      <w:r w:rsidRPr="00A521BC">
        <w:t xml:space="preserve">mprove the cost reflectivity of the </w:t>
      </w:r>
      <w:r w:rsidR="00AC3F9E">
        <w:t xml:space="preserve">reference </w:t>
      </w:r>
      <w:r w:rsidRPr="00A521BC">
        <w:t>tariffs concerned;</w:t>
      </w:r>
    </w:p>
    <w:p w14:paraId="131EB2B3" w14:textId="1D748E0F" w:rsidR="00A521BC" w:rsidRPr="00A521BC" w:rsidRDefault="00A521BC" w:rsidP="00DC322B">
      <w:pPr>
        <w:pStyle w:val="UtilComBulletText"/>
        <w:numPr>
          <w:ilvl w:val="0"/>
          <w:numId w:val="6"/>
        </w:numPr>
        <w:tabs>
          <w:tab w:val="clear" w:pos="964"/>
          <w:tab w:val="num" w:pos="1134"/>
        </w:tabs>
        <w:ind w:left="1134" w:hanging="425"/>
      </w:pPr>
      <w:r>
        <w:t>i</w:t>
      </w:r>
      <w:r w:rsidRPr="00A521BC">
        <w:t xml:space="preserve">mprove equity between </w:t>
      </w:r>
      <w:r w:rsidR="00AC3F9E">
        <w:t xml:space="preserve">retail </w:t>
      </w:r>
      <w:r w:rsidRPr="00A521BC">
        <w:t>customers;</w:t>
      </w:r>
    </w:p>
    <w:p w14:paraId="1BBA336E" w14:textId="1B7AA83F" w:rsidR="00A521BC" w:rsidRPr="00A521BC" w:rsidRDefault="00A521BC" w:rsidP="00DC322B">
      <w:pPr>
        <w:pStyle w:val="UtilComBulletText"/>
        <w:numPr>
          <w:ilvl w:val="0"/>
          <w:numId w:val="6"/>
        </w:numPr>
        <w:tabs>
          <w:tab w:val="clear" w:pos="964"/>
          <w:tab w:val="num" w:pos="1134"/>
        </w:tabs>
        <w:ind w:left="1134" w:hanging="425"/>
      </w:pPr>
      <w:r>
        <w:t>p</w:t>
      </w:r>
      <w:r w:rsidRPr="00A521BC">
        <w:t xml:space="preserve">rovide price signals intended to encourage </w:t>
      </w:r>
      <w:r w:rsidR="00AC3F9E">
        <w:t xml:space="preserve">retail </w:t>
      </w:r>
      <w:r w:rsidRPr="00A521BC">
        <w:t>customers to moderate their</w:t>
      </w:r>
      <w:r>
        <w:t xml:space="preserve"> </w:t>
      </w:r>
      <w:r w:rsidRPr="00A521BC">
        <w:t>demand; and</w:t>
      </w:r>
    </w:p>
    <w:p w14:paraId="5153B17E" w14:textId="77777777" w:rsidR="00A521BC" w:rsidRPr="00A521BC" w:rsidRDefault="006A4486" w:rsidP="00DC322B">
      <w:pPr>
        <w:pStyle w:val="UtilComBulletText"/>
        <w:numPr>
          <w:ilvl w:val="0"/>
          <w:numId w:val="6"/>
        </w:numPr>
        <w:tabs>
          <w:tab w:val="clear" w:pos="964"/>
          <w:tab w:val="num" w:pos="1134"/>
        </w:tabs>
        <w:ind w:left="1134" w:hanging="425"/>
      </w:pPr>
      <w:r>
        <w:t>i</w:t>
      </w:r>
      <w:r w:rsidR="00A521BC" w:rsidRPr="00A521BC">
        <w:t xml:space="preserve">n the case of the </w:t>
      </w:r>
      <w:r w:rsidR="00207549">
        <w:t>c</w:t>
      </w:r>
      <w:r w:rsidR="00207549" w:rsidRPr="00A521BC">
        <w:t xml:space="preserve">ommercial </w:t>
      </w:r>
      <w:r w:rsidR="00A521BC" w:rsidRPr="00A521BC">
        <w:t>kVA tariffs, simplify their existing structure.</w:t>
      </w:r>
    </w:p>
    <w:p w14:paraId="12CD00E6" w14:textId="0E4758BD" w:rsidR="00A521BC" w:rsidRDefault="00A521BC" w:rsidP="004D551E">
      <w:pPr>
        <w:pStyle w:val="NumberLevel2"/>
        <w:numPr>
          <w:ilvl w:val="1"/>
          <w:numId w:val="5"/>
        </w:numPr>
        <w:ind w:left="709" w:hanging="709"/>
        <w:rPr>
          <w:lang w:val="en-AU"/>
        </w:rPr>
      </w:pPr>
      <w:r>
        <w:rPr>
          <w:lang w:val="en-AU"/>
        </w:rPr>
        <w:t xml:space="preserve">PWC Networks </w:t>
      </w:r>
      <w:r w:rsidR="00A5123D">
        <w:rPr>
          <w:lang w:val="en-AU"/>
        </w:rPr>
        <w:t xml:space="preserve">submitted </w:t>
      </w:r>
      <w:r>
        <w:rPr>
          <w:lang w:val="en-AU"/>
        </w:rPr>
        <w:t xml:space="preserve">that proposed revenue through </w:t>
      </w:r>
      <w:r w:rsidR="00AC3F9E">
        <w:rPr>
          <w:lang w:val="en-AU"/>
        </w:rPr>
        <w:t xml:space="preserve">reference </w:t>
      </w:r>
      <w:r>
        <w:rPr>
          <w:lang w:val="en-AU"/>
        </w:rPr>
        <w:t xml:space="preserve">tariffs for each tariff class lies between the stand-alone cost and the avoidable cost of supplying that tariff class and </w:t>
      </w:r>
      <w:r w:rsidR="00DB74AA">
        <w:rPr>
          <w:lang w:val="en-AU"/>
        </w:rPr>
        <w:t xml:space="preserve">was </w:t>
      </w:r>
      <w:r>
        <w:rPr>
          <w:lang w:val="en-AU"/>
        </w:rPr>
        <w:t>therefore economically efficient.</w:t>
      </w:r>
    </w:p>
    <w:p w14:paraId="5DA82E07" w14:textId="1EAB8BEB" w:rsidR="005476DF" w:rsidRPr="005476DF" w:rsidRDefault="005476DF" w:rsidP="004D551E">
      <w:pPr>
        <w:pStyle w:val="NumberLevel2"/>
        <w:numPr>
          <w:ilvl w:val="1"/>
          <w:numId w:val="5"/>
        </w:numPr>
        <w:ind w:left="709" w:hanging="709"/>
        <w:rPr>
          <w:lang w:val="en-AU"/>
        </w:rPr>
      </w:pPr>
      <w:r>
        <w:rPr>
          <w:lang w:val="en-AU"/>
        </w:rPr>
        <w:t xml:space="preserve">PWC Networks </w:t>
      </w:r>
      <w:r w:rsidR="00AC3F9E">
        <w:rPr>
          <w:lang w:val="en-AU"/>
        </w:rPr>
        <w:t xml:space="preserve">proposed </w:t>
      </w:r>
      <w:r>
        <w:rPr>
          <w:lang w:val="en-AU"/>
        </w:rPr>
        <w:t xml:space="preserve">a uniform increase in all </w:t>
      </w:r>
      <w:r w:rsidR="00AC3F9E">
        <w:rPr>
          <w:lang w:val="en-AU"/>
        </w:rPr>
        <w:t xml:space="preserve">reference </w:t>
      </w:r>
      <w:r>
        <w:rPr>
          <w:lang w:val="en-AU"/>
        </w:rPr>
        <w:t xml:space="preserve">tariffs in the first </w:t>
      </w:r>
      <w:r w:rsidR="00AC3F9E">
        <w:rPr>
          <w:lang w:val="en-AU"/>
        </w:rPr>
        <w:t xml:space="preserve">regulatory </w:t>
      </w:r>
      <w:r>
        <w:rPr>
          <w:lang w:val="en-AU"/>
        </w:rPr>
        <w:t xml:space="preserve">year of the </w:t>
      </w:r>
      <w:r w:rsidR="007669D5">
        <w:rPr>
          <w:lang w:val="en-AU"/>
        </w:rPr>
        <w:t xml:space="preserve">2014-19 </w:t>
      </w:r>
      <w:r>
        <w:rPr>
          <w:lang w:val="en-AU"/>
        </w:rPr>
        <w:t xml:space="preserve">regulatory control period, with rebalancing to occur gradually in later years of the </w:t>
      </w:r>
      <w:r w:rsidR="00AC3F9E">
        <w:rPr>
          <w:lang w:val="en-AU"/>
        </w:rPr>
        <w:t xml:space="preserve">2014-19 </w:t>
      </w:r>
      <w:r>
        <w:rPr>
          <w:lang w:val="en-AU"/>
        </w:rPr>
        <w:t>regulatory control period.</w:t>
      </w:r>
    </w:p>
    <w:p w14:paraId="17FA9E68" w14:textId="1ECCAB0C" w:rsidR="008E4B9F" w:rsidRDefault="008E4B9F" w:rsidP="008E4B9F">
      <w:pPr>
        <w:pStyle w:val="UtilComHeading2"/>
      </w:pPr>
      <w:bookmarkStart w:id="338" w:name="_Toc385241592"/>
      <w:bookmarkStart w:id="339" w:name="_Toc386013145"/>
      <w:r>
        <w:t>Submissions</w:t>
      </w:r>
      <w:bookmarkEnd w:id="338"/>
      <w:r w:rsidR="00DC322B">
        <w:t xml:space="preserve"> on </w:t>
      </w:r>
      <w:r w:rsidR="00BC55DE">
        <w:t>Initial Regulatory Proposal</w:t>
      </w:r>
      <w:bookmarkEnd w:id="339"/>
    </w:p>
    <w:p w14:paraId="049BC9C9" w14:textId="36237550" w:rsidR="00BF0CEB" w:rsidRDefault="00BF0CEB" w:rsidP="004D551E">
      <w:pPr>
        <w:pStyle w:val="NumberLevel2"/>
        <w:numPr>
          <w:ilvl w:val="1"/>
          <w:numId w:val="5"/>
        </w:numPr>
        <w:tabs>
          <w:tab w:val="clear" w:pos="3270"/>
          <w:tab w:val="num" w:pos="709"/>
        </w:tabs>
        <w:ind w:left="709" w:hanging="709"/>
        <w:rPr>
          <w:lang w:val="en-AU"/>
        </w:rPr>
      </w:pPr>
      <w:r>
        <w:rPr>
          <w:lang w:val="en-AU"/>
        </w:rPr>
        <w:t>NTCOSS expressed concern at the emphasis on cost reflective pricing and the impact th</w:t>
      </w:r>
      <w:r w:rsidR="00FC733D">
        <w:rPr>
          <w:lang w:val="en-AU"/>
        </w:rPr>
        <w:t>i</w:t>
      </w:r>
      <w:r>
        <w:rPr>
          <w:lang w:val="en-AU"/>
        </w:rPr>
        <w:t xml:space="preserve">s may have on older and disadvantaged </w:t>
      </w:r>
      <w:r w:rsidR="00AC3F9E">
        <w:rPr>
          <w:lang w:val="en-AU"/>
        </w:rPr>
        <w:t>retail customers in the Territory</w:t>
      </w:r>
      <w:r>
        <w:rPr>
          <w:lang w:val="en-AU"/>
        </w:rPr>
        <w:t>. NTCOSS argued:</w:t>
      </w:r>
    </w:p>
    <w:p w14:paraId="6798DADD" w14:textId="77777777" w:rsidR="0030556F" w:rsidRPr="00207549" w:rsidRDefault="00A06278" w:rsidP="004B63D8">
      <w:pPr>
        <w:pStyle w:val="UtilComQuotationText"/>
        <w:ind w:left="1134"/>
      </w:pPr>
      <w:r>
        <w:t>…</w:t>
      </w:r>
      <w:r w:rsidR="00BF0CEB" w:rsidRPr="00207549">
        <w:t xml:space="preserve">that attempts to limit peak load at the household level have the potential to cause older people to increase their focus on ‘energy conserving’ rather than ‘energy efficient’. This response may have other undesirable consequences. </w:t>
      </w:r>
      <w:r w:rsidR="00115654" w:rsidRPr="00207549">
        <w:t>(p</w:t>
      </w:r>
      <w:r w:rsidR="00207549" w:rsidRPr="00207549">
        <w:t>age</w:t>
      </w:r>
      <w:r w:rsidR="00115654" w:rsidRPr="00207549">
        <w:t>.10)</w:t>
      </w:r>
    </w:p>
    <w:p w14:paraId="6E114EFD" w14:textId="77777777" w:rsidR="00115654" w:rsidRDefault="00BF0CEB" w:rsidP="004D551E">
      <w:pPr>
        <w:pStyle w:val="NumberLevel2"/>
        <w:numPr>
          <w:ilvl w:val="1"/>
          <w:numId w:val="5"/>
        </w:numPr>
        <w:tabs>
          <w:tab w:val="clear" w:pos="3270"/>
          <w:tab w:val="num" w:pos="709"/>
        </w:tabs>
        <w:ind w:left="709" w:hanging="709"/>
        <w:rPr>
          <w:lang w:val="en-AU"/>
        </w:rPr>
      </w:pPr>
      <w:r>
        <w:rPr>
          <w:lang w:val="en-AU"/>
        </w:rPr>
        <w:t xml:space="preserve">NTCOSS </w:t>
      </w:r>
      <w:r w:rsidR="00115654">
        <w:rPr>
          <w:lang w:val="en-AU"/>
        </w:rPr>
        <w:t xml:space="preserve">submitted that low income households may not have the financial means to take advantage of energy efficiency schemes. In addition, there is little incentive for landlords to make energy efficiency improvements when the cost of poor thermal efficiency in older accommodation is borne by renters. </w:t>
      </w:r>
    </w:p>
    <w:p w14:paraId="29101FAC" w14:textId="77777777" w:rsidR="00115654" w:rsidRDefault="00115654" w:rsidP="004D551E">
      <w:pPr>
        <w:pStyle w:val="NumberLevel2"/>
        <w:numPr>
          <w:ilvl w:val="1"/>
          <w:numId w:val="5"/>
        </w:numPr>
        <w:tabs>
          <w:tab w:val="clear" w:pos="3270"/>
          <w:tab w:val="num" w:pos="709"/>
        </w:tabs>
        <w:ind w:left="709" w:hanging="709"/>
        <w:rPr>
          <w:lang w:val="en-AU"/>
        </w:rPr>
      </w:pPr>
      <w:r>
        <w:rPr>
          <w:lang w:val="en-AU"/>
        </w:rPr>
        <w:t>The NTMEU argued that:</w:t>
      </w:r>
    </w:p>
    <w:p w14:paraId="6A9BC234" w14:textId="77777777" w:rsidR="00BF0CEB" w:rsidRPr="00207549" w:rsidRDefault="00A06278" w:rsidP="004B63D8">
      <w:pPr>
        <w:pStyle w:val="UtilComQuotationText"/>
        <w:ind w:left="1134"/>
      </w:pPr>
      <w:r>
        <w:t>…</w:t>
      </w:r>
      <w:r w:rsidR="00115654" w:rsidRPr="00207549">
        <w:t>PWC provides no evidence as to how it has concluded the current tariffs are not cost reflective, other than to provide a table purporting to show the recoveries by each class and compares these to its assessment of the allowances for each customer class. (p</w:t>
      </w:r>
      <w:r w:rsidR="00207549">
        <w:t>age</w:t>
      </w:r>
      <w:r w:rsidR="00115654" w:rsidRPr="00207549">
        <w:t>.46)</w:t>
      </w:r>
    </w:p>
    <w:p w14:paraId="747631FC" w14:textId="18E22183" w:rsidR="00115654" w:rsidRDefault="00F618E0" w:rsidP="004D551E">
      <w:pPr>
        <w:pStyle w:val="NumberLevel2"/>
        <w:numPr>
          <w:ilvl w:val="1"/>
          <w:numId w:val="5"/>
        </w:numPr>
        <w:tabs>
          <w:tab w:val="clear" w:pos="3270"/>
          <w:tab w:val="left" w:pos="709"/>
        </w:tabs>
        <w:ind w:left="709" w:hanging="709"/>
        <w:rPr>
          <w:lang w:val="en-AU"/>
        </w:rPr>
      </w:pPr>
      <w:r>
        <w:rPr>
          <w:lang w:val="en-AU"/>
        </w:rPr>
        <w:t>The NTMEU submitted that PWC</w:t>
      </w:r>
      <w:r w:rsidR="00AC3F9E">
        <w:rPr>
          <w:lang w:val="en-AU"/>
        </w:rPr>
        <w:t> Networks</w:t>
      </w:r>
      <w:r>
        <w:rPr>
          <w:lang w:val="en-AU"/>
        </w:rPr>
        <w:t xml:space="preserve"> ha</w:t>
      </w:r>
      <w:r w:rsidR="00DB74AA">
        <w:rPr>
          <w:lang w:val="en-AU"/>
        </w:rPr>
        <w:t>d</w:t>
      </w:r>
      <w:r>
        <w:rPr>
          <w:lang w:val="en-AU"/>
        </w:rPr>
        <w:t xml:space="preserve"> not provided any explanation or evidence to support the derivations of the allowances. </w:t>
      </w:r>
    </w:p>
    <w:p w14:paraId="75687C5E" w14:textId="45AABC31" w:rsidR="00B614C0" w:rsidRDefault="00207549" w:rsidP="004D551E">
      <w:pPr>
        <w:pStyle w:val="NumberLevel2"/>
        <w:numPr>
          <w:ilvl w:val="1"/>
          <w:numId w:val="5"/>
        </w:numPr>
        <w:tabs>
          <w:tab w:val="clear" w:pos="3270"/>
          <w:tab w:val="left" w:pos="709"/>
        </w:tabs>
        <w:ind w:left="709" w:hanging="709"/>
        <w:rPr>
          <w:lang w:val="en-AU"/>
        </w:rPr>
      </w:pPr>
      <w:r>
        <w:rPr>
          <w:lang w:val="en-AU"/>
        </w:rPr>
        <w:t xml:space="preserve">In his submission, </w:t>
      </w:r>
      <w:r w:rsidR="00B614C0" w:rsidRPr="00C73272">
        <w:rPr>
          <w:lang w:val="en-AU"/>
        </w:rPr>
        <w:t>Dr Clark noted that network costs over time are strongly related to utilisation of overall capacity and the key driver was peak network load (in relation to the average</w:t>
      </w:r>
      <w:r w:rsidR="00A72757">
        <w:rPr>
          <w:lang w:val="en-AU"/>
        </w:rPr>
        <w:t xml:space="preserve"> load</w:t>
      </w:r>
      <w:r w:rsidR="00B614C0" w:rsidRPr="00C73272">
        <w:rPr>
          <w:lang w:val="en-AU"/>
        </w:rPr>
        <w:t xml:space="preserve">). Dr Clark stated that analysis of the Darwin-Katherine </w:t>
      </w:r>
      <w:r w:rsidR="00AC3F9E">
        <w:rPr>
          <w:lang w:val="en-AU"/>
        </w:rPr>
        <w:t>electricity network</w:t>
      </w:r>
      <w:r w:rsidR="00AC3F9E" w:rsidRPr="00C73272">
        <w:rPr>
          <w:lang w:val="en-AU"/>
        </w:rPr>
        <w:t xml:space="preserve"> </w:t>
      </w:r>
      <w:r w:rsidR="00B614C0" w:rsidRPr="00C73272">
        <w:rPr>
          <w:lang w:val="en-AU"/>
        </w:rPr>
        <w:t xml:space="preserve">indicated that most network costs are tied to the top 20 per cent of demand, which occurs in the top 10 per cent of hours. Dr Clark further commented that perhaps </w:t>
      </w:r>
      <w:r w:rsidR="00A06278" w:rsidRPr="00C73272">
        <w:rPr>
          <w:lang w:val="en-AU"/>
        </w:rPr>
        <w:t>70</w:t>
      </w:r>
      <w:r w:rsidR="00A06278">
        <w:rPr>
          <w:lang w:val="en-AU"/>
        </w:rPr>
        <w:t> </w:t>
      </w:r>
      <w:r w:rsidR="00B614C0" w:rsidRPr="00C73272">
        <w:rPr>
          <w:lang w:val="en-AU"/>
        </w:rPr>
        <w:t xml:space="preserve">per cent of Darwin-Katherine </w:t>
      </w:r>
      <w:r w:rsidR="00AC3F9E">
        <w:rPr>
          <w:lang w:val="en-AU"/>
        </w:rPr>
        <w:t xml:space="preserve">electricity network </w:t>
      </w:r>
      <w:r w:rsidR="00B614C0" w:rsidRPr="00C73272">
        <w:rPr>
          <w:lang w:val="en-AU"/>
        </w:rPr>
        <w:t xml:space="preserve">system load </w:t>
      </w:r>
      <w:r w:rsidR="00DB74AA">
        <w:rPr>
          <w:lang w:val="en-AU"/>
        </w:rPr>
        <w:t xml:space="preserve">was </w:t>
      </w:r>
      <w:r w:rsidR="00B614C0" w:rsidRPr="00C73272">
        <w:rPr>
          <w:lang w:val="en-AU"/>
        </w:rPr>
        <w:t>understood as cooling load, and this portion w</w:t>
      </w:r>
      <w:r w:rsidR="00DB74AA">
        <w:rPr>
          <w:lang w:val="en-AU"/>
        </w:rPr>
        <w:t xml:space="preserve">ould </w:t>
      </w:r>
      <w:r w:rsidR="00B614C0" w:rsidRPr="00C73272">
        <w:rPr>
          <w:lang w:val="en-AU"/>
        </w:rPr>
        <w:t>be higher at times of peak demand. Dr Clark commented that any reduction of peak demand (or reduction in its growth), acts to reduce network costs and is therefore  important for the long-run cost of electricity that economic signals give focus to the mechanisms that can flatten or reduce cooling load at peak times</w:t>
      </w:r>
      <w:r w:rsidR="00B614C0">
        <w:rPr>
          <w:lang w:val="en-AU"/>
        </w:rPr>
        <w:t>.</w:t>
      </w:r>
    </w:p>
    <w:p w14:paraId="44780AAC" w14:textId="77777777" w:rsidR="00B614C0" w:rsidRDefault="00B614C0" w:rsidP="004D551E">
      <w:pPr>
        <w:pStyle w:val="NumberLevel2"/>
        <w:numPr>
          <w:ilvl w:val="1"/>
          <w:numId w:val="5"/>
        </w:numPr>
        <w:tabs>
          <w:tab w:val="clear" w:pos="3270"/>
          <w:tab w:val="left" w:pos="709"/>
        </w:tabs>
        <w:ind w:left="709" w:hanging="709"/>
        <w:rPr>
          <w:lang w:val="en-AU"/>
        </w:rPr>
      </w:pPr>
      <w:r w:rsidRPr="00ED30CE">
        <w:rPr>
          <w:lang w:val="en-AU"/>
        </w:rPr>
        <w:t xml:space="preserve">Dr Clark noted that, </w:t>
      </w:r>
      <w:r w:rsidR="00207549">
        <w:rPr>
          <w:lang w:val="en-AU"/>
        </w:rPr>
        <w:t>t</w:t>
      </w:r>
      <w:r w:rsidR="00207549" w:rsidRPr="00ED30CE">
        <w:rPr>
          <w:lang w:val="en-AU"/>
        </w:rPr>
        <w:t xml:space="preserve">ime </w:t>
      </w:r>
      <w:r w:rsidRPr="00ED30CE">
        <w:rPr>
          <w:lang w:val="en-AU"/>
        </w:rPr>
        <w:t xml:space="preserve">of </w:t>
      </w:r>
      <w:r w:rsidR="00207549">
        <w:rPr>
          <w:lang w:val="en-AU"/>
        </w:rPr>
        <w:t>u</w:t>
      </w:r>
      <w:r w:rsidR="00207549" w:rsidRPr="00ED30CE">
        <w:rPr>
          <w:lang w:val="en-AU"/>
        </w:rPr>
        <w:t xml:space="preserve">se </w:t>
      </w:r>
      <w:r w:rsidRPr="00ED30CE">
        <w:rPr>
          <w:lang w:val="en-AU"/>
        </w:rPr>
        <w:t>metering can provide a powerful mechanism for imposing cost reflectivity onto patterns of demand, and driv</w:t>
      </w:r>
      <w:r w:rsidR="00A72757">
        <w:rPr>
          <w:lang w:val="en-AU"/>
        </w:rPr>
        <w:t>ing</w:t>
      </w:r>
      <w:r w:rsidRPr="00ED30CE">
        <w:rPr>
          <w:lang w:val="en-AU"/>
        </w:rPr>
        <w:t xml:space="preserve"> rational medium- and long-term economic responses. Dr Clark suggested that the case for strong cost reflectivity can drive the market to identify and deliver solutions that increase utility to society overall faster than otherwise. </w:t>
      </w:r>
    </w:p>
    <w:p w14:paraId="4C3E514F" w14:textId="1BC48015" w:rsidR="00B614C0" w:rsidRDefault="00B614C0" w:rsidP="004D551E">
      <w:pPr>
        <w:pStyle w:val="NumberLevel2"/>
        <w:numPr>
          <w:ilvl w:val="1"/>
          <w:numId w:val="5"/>
        </w:numPr>
        <w:tabs>
          <w:tab w:val="clear" w:pos="3270"/>
          <w:tab w:val="left" w:pos="709"/>
        </w:tabs>
        <w:ind w:left="709" w:hanging="709"/>
        <w:rPr>
          <w:lang w:val="en-AU"/>
        </w:rPr>
      </w:pPr>
      <w:r w:rsidRPr="00ED30CE">
        <w:rPr>
          <w:lang w:val="en-AU"/>
        </w:rPr>
        <w:t xml:space="preserve">Dr Clark noted that costs associated with a rollout of smart meters, and social aspects of maintaining simplicity in tariff arrangements, require a careful approach. Dr Clark </w:t>
      </w:r>
      <w:r>
        <w:rPr>
          <w:lang w:val="en-AU"/>
        </w:rPr>
        <w:t xml:space="preserve">agreed with </w:t>
      </w:r>
      <w:r w:rsidRPr="00ED30CE">
        <w:rPr>
          <w:lang w:val="en-AU"/>
        </w:rPr>
        <w:t>PWC</w:t>
      </w:r>
      <w:r w:rsidR="00A72757">
        <w:rPr>
          <w:lang w:val="en-AU"/>
        </w:rPr>
        <w:t xml:space="preserve"> </w:t>
      </w:r>
      <w:r w:rsidR="00A44F35">
        <w:rPr>
          <w:lang w:val="en-AU"/>
        </w:rPr>
        <w:t>Networks’</w:t>
      </w:r>
      <w:r w:rsidR="00A44F35" w:rsidRPr="00ED30CE">
        <w:rPr>
          <w:lang w:val="en-AU"/>
        </w:rPr>
        <w:t xml:space="preserve"> </w:t>
      </w:r>
      <w:r w:rsidRPr="00ED30CE">
        <w:rPr>
          <w:lang w:val="en-AU"/>
        </w:rPr>
        <w:t>proposed</w:t>
      </w:r>
      <w:r>
        <w:rPr>
          <w:lang w:val="en-AU"/>
        </w:rPr>
        <w:t xml:space="preserve"> roll-out of smart meters and </w:t>
      </w:r>
      <w:r w:rsidRPr="00ED30CE">
        <w:rPr>
          <w:lang w:val="en-AU"/>
        </w:rPr>
        <w:t xml:space="preserve">Inclining Block Tariffs </w:t>
      </w:r>
      <w:r>
        <w:rPr>
          <w:lang w:val="en-AU"/>
        </w:rPr>
        <w:t xml:space="preserve">for the </w:t>
      </w:r>
      <w:r w:rsidR="007669D5">
        <w:rPr>
          <w:lang w:val="en-AU"/>
        </w:rPr>
        <w:t xml:space="preserve">2014-19 </w:t>
      </w:r>
      <w:r>
        <w:rPr>
          <w:lang w:val="en-AU"/>
        </w:rPr>
        <w:t>regulatory control period.</w:t>
      </w:r>
    </w:p>
    <w:p w14:paraId="0DC221F6" w14:textId="1AC42687" w:rsidR="00B614C0" w:rsidRPr="00161DD7" w:rsidRDefault="00B614C0" w:rsidP="004D551E">
      <w:pPr>
        <w:pStyle w:val="NumberLevel2"/>
        <w:numPr>
          <w:ilvl w:val="1"/>
          <w:numId w:val="5"/>
        </w:numPr>
        <w:tabs>
          <w:tab w:val="clear" w:pos="3270"/>
          <w:tab w:val="left" w:pos="709"/>
        </w:tabs>
        <w:ind w:left="709" w:hanging="709"/>
        <w:rPr>
          <w:lang w:val="en-AU"/>
        </w:rPr>
      </w:pPr>
      <w:r w:rsidRPr="00161DD7">
        <w:rPr>
          <w:lang w:val="en-AU"/>
        </w:rPr>
        <w:t>Dr Clark advised that PWC</w:t>
      </w:r>
      <w:r w:rsidR="00A72757">
        <w:rPr>
          <w:lang w:val="en-AU"/>
        </w:rPr>
        <w:t xml:space="preserve"> </w:t>
      </w:r>
      <w:r w:rsidR="00A44F35">
        <w:rPr>
          <w:lang w:val="en-AU"/>
        </w:rPr>
        <w:t>Networks’</w:t>
      </w:r>
      <w:r w:rsidR="00A44F35" w:rsidRPr="00161DD7">
        <w:rPr>
          <w:lang w:val="en-AU"/>
        </w:rPr>
        <w:t xml:space="preserve"> </w:t>
      </w:r>
      <w:r w:rsidRPr="00161DD7">
        <w:rPr>
          <w:lang w:val="en-AU"/>
        </w:rPr>
        <w:t xml:space="preserve">proposal appeared to discard any considered discussion on a flat 58 per cent increase to existing </w:t>
      </w:r>
      <w:r w:rsidR="00AC3F9E">
        <w:rPr>
          <w:lang w:val="en-AU"/>
        </w:rPr>
        <w:t>reference</w:t>
      </w:r>
      <w:r w:rsidR="00AC3F9E" w:rsidRPr="00161DD7">
        <w:rPr>
          <w:lang w:val="en-AU"/>
        </w:rPr>
        <w:t xml:space="preserve"> </w:t>
      </w:r>
      <w:r w:rsidRPr="00161DD7">
        <w:rPr>
          <w:lang w:val="en-AU"/>
        </w:rPr>
        <w:t>tariffs</w:t>
      </w:r>
      <w:r w:rsidR="00A72757">
        <w:rPr>
          <w:lang w:val="en-AU"/>
        </w:rPr>
        <w:t>,</w:t>
      </w:r>
      <w:r w:rsidRPr="00161DD7">
        <w:rPr>
          <w:lang w:val="en-AU"/>
        </w:rPr>
        <w:t xml:space="preserve"> that he did not </w:t>
      </w:r>
      <w:r w:rsidR="00A72757">
        <w:rPr>
          <w:lang w:val="en-AU"/>
        </w:rPr>
        <w:t xml:space="preserve">understand the justification </w:t>
      </w:r>
      <w:r w:rsidRPr="00161DD7">
        <w:rPr>
          <w:lang w:val="en-AU"/>
        </w:rPr>
        <w:t>for a large proposed increase</w:t>
      </w:r>
      <w:r w:rsidR="00A72757">
        <w:rPr>
          <w:lang w:val="en-AU"/>
        </w:rPr>
        <w:t>,</w:t>
      </w:r>
      <w:r w:rsidRPr="00161DD7">
        <w:rPr>
          <w:lang w:val="en-AU"/>
        </w:rPr>
        <w:t xml:space="preserve"> but if required it would be best to move to inclined block structures as soon as possible.</w:t>
      </w:r>
    </w:p>
    <w:p w14:paraId="6B9DA12C" w14:textId="16C2FFAF" w:rsidR="008E4B9F" w:rsidRDefault="008E4B9F" w:rsidP="008E4B9F">
      <w:pPr>
        <w:pStyle w:val="UtilComHeading2"/>
      </w:pPr>
      <w:bookmarkStart w:id="340" w:name="_Toc385241593"/>
      <w:bookmarkStart w:id="341" w:name="_Toc386013146"/>
      <w:r>
        <w:t xml:space="preserve">Issues and Commission’s </w:t>
      </w:r>
      <w:r w:rsidR="008B1697">
        <w:t>I</w:t>
      </w:r>
      <w:r w:rsidR="00DC322B">
        <w:t xml:space="preserve">nitial </w:t>
      </w:r>
      <w:r w:rsidR="008B1697">
        <w:t>C</w:t>
      </w:r>
      <w:r>
        <w:t>onsiderations</w:t>
      </w:r>
      <w:bookmarkEnd w:id="340"/>
      <w:bookmarkEnd w:id="341"/>
    </w:p>
    <w:p w14:paraId="193D07C7" w14:textId="2E99BB64" w:rsidR="00975FD6" w:rsidRDefault="00975FD6" w:rsidP="004D551E">
      <w:pPr>
        <w:pStyle w:val="NumberLevel2"/>
        <w:numPr>
          <w:ilvl w:val="1"/>
          <w:numId w:val="5"/>
        </w:numPr>
        <w:tabs>
          <w:tab w:val="clear" w:pos="3270"/>
          <w:tab w:val="num" w:pos="709"/>
        </w:tabs>
        <w:ind w:left="709" w:hanging="709"/>
        <w:rPr>
          <w:lang w:val="en-AU"/>
        </w:rPr>
      </w:pPr>
      <w:r>
        <w:rPr>
          <w:lang w:val="en-AU"/>
        </w:rPr>
        <w:t xml:space="preserve">The Commission must approve the NPPS unless it is inconsistent with the principles in clause 74 of the </w:t>
      </w:r>
      <w:r w:rsidR="00FB2EC5">
        <w:rPr>
          <w:lang w:val="en-AU"/>
        </w:rPr>
        <w:t>Network Access Code</w:t>
      </w:r>
      <w:r>
        <w:rPr>
          <w:lang w:val="en-AU"/>
        </w:rPr>
        <w:t>.</w:t>
      </w:r>
    </w:p>
    <w:p w14:paraId="55601B42" w14:textId="37249EA1" w:rsidR="00975FD6" w:rsidRDefault="00975FD6" w:rsidP="004D551E">
      <w:pPr>
        <w:pStyle w:val="NumberLevel2"/>
        <w:numPr>
          <w:ilvl w:val="1"/>
          <w:numId w:val="5"/>
        </w:numPr>
        <w:tabs>
          <w:tab w:val="clear" w:pos="3270"/>
          <w:tab w:val="num" w:pos="709"/>
        </w:tabs>
        <w:ind w:left="709" w:hanging="709"/>
        <w:rPr>
          <w:lang w:val="en-AU"/>
        </w:rPr>
      </w:pPr>
      <w:r>
        <w:rPr>
          <w:lang w:val="en-AU"/>
        </w:rPr>
        <w:t xml:space="preserve">Likewise, the Commission must approve the </w:t>
      </w:r>
      <w:r w:rsidR="00E23A17">
        <w:rPr>
          <w:lang w:val="en-AU"/>
        </w:rPr>
        <w:t xml:space="preserve">reference </w:t>
      </w:r>
      <w:r>
        <w:rPr>
          <w:lang w:val="en-AU"/>
        </w:rPr>
        <w:t xml:space="preserve">tariffs and charges proposed by </w:t>
      </w:r>
      <w:r w:rsidR="00A06278">
        <w:rPr>
          <w:lang w:val="en-AU"/>
        </w:rPr>
        <w:t>PWC </w:t>
      </w:r>
      <w:r>
        <w:rPr>
          <w:lang w:val="en-AU"/>
        </w:rPr>
        <w:t xml:space="preserve">Networks unless the Commission finds that the </w:t>
      </w:r>
      <w:r w:rsidR="00E23A17">
        <w:rPr>
          <w:lang w:val="en-AU"/>
        </w:rPr>
        <w:t xml:space="preserve">reference </w:t>
      </w:r>
      <w:r>
        <w:rPr>
          <w:lang w:val="en-AU"/>
        </w:rPr>
        <w:t>tariff and charges:</w:t>
      </w:r>
    </w:p>
    <w:p w14:paraId="63029521" w14:textId="2C448782" w:rsidR="00975FD6" w:rsidRPr="00975FD6" w:rsidRDefault="00975FD6" w:rsidP="00DC322B">
      <w:pPr>
        <w:pStyle w:val="UtilComBulletText"/>
        <w:numPr>
          <w:ilvl w:val="0"/>
          <w:numId w:val="6"/>
        </w:numPr>
        <w:tabs>
          <w:tab w:val="clear" w:pos="964"/>
          <w:tab w:val="num" w:pos="1134"/>
        </w:tabs>
        <w:ind w:left="1134" w:hanging="425"/>
      </w:pPr>
      <w:r>
        <w:t>d</w:t>
      </w:r>
      <w:r w:rsidRPr="00975FD6">
        <w:t xml:space="preserve">o not comply with the principles laid down in Chapter 7 of the </w:t>
      </w:r>
      <w:r w:rsidR="00FB2EC5">
        <w:t>Network Access Code</w:t>
      </w:r>
      <w:r w:rsidRPr="00975FD6">
        <w:t>; or</w:t>
      </w:r>
    </w:p>
    <w:p w14:paraId="7520113D" w14:textId="42027F23" w:rsidR="00975FD6" w:rsidRPr="00975FD6" w:rsidRDefault="00975FD6" w:rsidP="00DC322B">
      <w:pPr>
        <w:pStyle w:val="UtilComBulletText"/>
        <w:numPr>
          <w:ilvl w:val="0"/>
          <w:numId w:val="6"/>
        </w:numPr>
        <w:tabs>
          <w:tab w:val="clear" w:pos="964"/>
          <w:tab w:val="num" w:pos="1134"/>
        </w:tabs>
        <w:ind w:left="1134" w:hanging="425"/>
      </w:pPr>
      <w:r>
        <w:t>a</w:t>
      </w:r>
      <w:r w:rsidRPr="00975FD6">
        <w:t>re inconsistent with requirements elsewhere in the</w:t>
      </w:r>
      <w:r w:rsidR="00DB74AA">
        <w:t xml:space="preserve"> Network Access</w:t>
      </w:r>
      <w:r w:rsidRPr="00975FD6">
        <w:t xml:space="preserve"> Code.</w:t>
      </w:r>
    </w:p>
    <w:p w14:paraId="6A4253D5" w14:textId="77777777" w:rsidR="00602036" w:rsidRPr="00602036" w:rsidRDefault="0084645C" w:rsidP="004D551E">
      <w:pPr>
        <w:pStyle w:val="NumberLevel2"/>
        <w:numPr>
          <w:ilvl w:val="1"/>
          <w:numId w:val="5"/>
        </w:numPr>
        <w:tabs>
          <w:tab w:val="clear" w:pos="3270"/>
          <w:tab w:val="num" w:pos="709"/>
        </w:tabs>
        <w:ind w:left="709" w:hanging="709"/>
        <w:rPr>
          <w:lang w:val="en-AU"/>
        </w:rPr>
      </w:pPr>
      <w:r>
        <w:rPr>
          <w:lang w:val="en-AU"/>
        </w:rPr>
        <w:t xml:space="preserve">Deloitte was </w:t>
      </w:r>
      <w:r w:rsidR="00602036" w:rsidRPr="00602036">
        <w:rPr>
          <w:lang w:val="en-AU"/>
        </w:rPr>
        <w:t xml:space="preserve">asked to provide the Commission with a </w:t>
      </w:r>
      <w:r w:rsidR="00A06278" w:rsidRPr="00602036">
        <w:rPr>
          <w:lang w:val="en-AU"/>
        </w:rPr>
        <w:t>high</w:t>
      </w:r>
      <w:r w:rsidR="00A06278">
        <w:rPr>
          <w:lang w:val="en-AU"/>
        </w:rPr>
        <w:t>-</w:t>
      </w:r>
      <w:r w:rsidR="00602036" w:rsidRPr="00602036">
        <w:rPr>
          <w:lang w:val="en-AU"/>
        </w:rPr>
        <w:t>level view on whether</w:t>
      </w:r>
      <w:r w:rsidR="00A72757">
        <w:rPr>
          <w:lang w:val="en-AU"/>
        </w:rPr>
        <w:t xml:space="preserve"> or not</w:t>
      </w:r>
      <w:r w:rsidR="00602036" w:rsidRPr="00602036">
        <w:rPr>
          <w:lang w:val="en-AU"/>
        </w:rPr>
        <w:t>:</w:t>
      </w:r>
    </w:p>
    <w:p w14:paraId="0D970A31" w14:textId="1B68B9C8" w:rsidR="00602036" w:rsidRPr="0084645C" w:rsidRDefault="00602036" w:rsidP="00DC322B">
      <w:pPr>
        <w:pStyle w:val="UtilComBulletText"/>
        <w:numPr>
          <w:ilvl w:val="0"/>
          <w:numId w:val="6"/>
        </w:numPr>
        <w:tabs>
          <w:tab w:val="clear" w:pos="964"/>
          <w:tab w:val="num" w:pos="1134"/>
        </w:tabs>
        <w:ind w:left="1134" w:hanging="425"/>
      </w:pPr>
      <w:r w:rsidRPr="0084645C">
        <w:t xml:space="preserve">the </w:t>
      </w:r>
      <w:r w:rsidR="00975FD6">
        <w:t>NPPS</w:t>
      </w:r>
      <w:r w:rsidRPr="0084645C">
        <w:t xml:space="preserve"> is consistent with the principles in clause 74 of the </w:t>
      </w:r>
      <w:r w:rsidR="00AC3F9E">
        <w:t xml:space="preserve">Network Access </w:t>
      </w:r>
      <w:r w:rsidRPr="0084645C">
        <w:t>Code; and</w:t>
      </w:r>
    </w:p>
    <w:p w14:paraId="766EBE48" w14:textId="7540D3C4" w:rsidR="008E4B9F" w:rsidRDefault="00602036" w:rsidP="00DC322B">
      <w:pPr>
        <w:pStyle w:val="UtilComBulletText"/>
        <w:numPr>
          <w:ilvl w:val="0"/>
          <w:numId w:val="6"/>
        </w:numPr>
        <w:tabs>
          <w:tab w:val="clear" w:pos="964"/>
          <w:tab w:val="num" w:pos="1134"/>
        </w:tabs>
        <w:ind w:left="1134" w:hanging="425"/>
      </w:pPr>
      <w:r w:rsidRPr="0084645C">
        <w:t xml:space="preserve">the indicative </w:t>
      </w:r>
      <w:r w:rsidR="00E23A17">
        <w:t xml:space="preserve">reference </w:t>
      </w:r>
      <w:r w:rsidRPr="0084645C">
        <w:t xml:space="preserve">tariffs and charges set out in the </w:t>
      </w:r>
      <w:r w:rsidR="00AC3F9E">
        <w:t>p</w:t>
      </w:r>
      <w:r w:rsidR="00AC3F9E" w:rsidRPr="0084645C">
        <w:t xml:space="preserve">ricing </w:t>
      </w:r>
      <w:r w:rsidR="00AC3F9E">
        <w:t>p</w:t>
      </w:r>
      <w:r w:rsidR="00AC3F9E" w:rsidRPr="0084645C">
        <w:t xml:space="preserve">roposal </w:t>
      </w:r>
      <w:r w:rsidRPr="0084645C">
        <w:t xml:space="preserve">for </w:t>
      </w:r>
      <w:r w:rsidR="00AC3F9E">
        <w:t xml:space="preserve">the </w:t>
      </w:r>
      <w:r w:rsidRPr="0084645C">
        <w:t>2014-15</w:t>
      </w:r>
      <w:r w:rsidR="00AC3F9E">
        <w:t xml:space="preserve"> regulatory year</w:t>
      </w:r>
      <w:r w:rsidR="00DB74AA">
        <w:t xml:space="preserve"> would </w:t>
      </w:r>
      <w:r w:rsidRPr="0084645C">
        <w:t xml:space="preserve">result in </w:t>
      </w:r>
      <w:r w:rsidR="00AC3F9E">
        <w:t>PWC Networks</w:t>
      </w:r>
      <w:r w:rsidRPr="0084645C">
        <w:t xml:space="preserve"> complying with the principles in </w:t>
      </w:r>
      <w:r w:rsidR="00975FD6">
        <w:t>C</w:t>
      </w:r>
      <w:r w:rsidR="00975FD6" w:rsidRPr="0084645C">
        <w:t xml:space="preserve">hapter </w:t>
      </w:r>
      <w:r w:rsidRPr="0084645C">
        <w:t xml:space="preserve">7 of the </w:t>
      </w:r>
      <w:r w:rsidR="00FB2EC5">
        <w:t>Network Access Code</w:t>
      </w:r>
      <w:r w:rsidRPr="0084645C">
        <w:t xml:space="preserve"> and requirements elsewhere in </w:t>
      </w:r>
      <w:r w:rsidR="00AC3F9E">
        <w:t>the Network Access</w:t>
      </w:r>
      <w:r w:rsidR="00AC3F9E" w:rsidRPr="0084645C">
        <w:t xml:space="preserve"> </w:t>
      </w:r>
      <w:r w:rsidRPr="0084645C">
        <w:t>Code.</w:t>
      </w:r>
    </w:p>
    <w:p w14:paraId="1186D11C" w14:textId="34961A09" w:rsidR="00E83000" w:rsidRPr="00E83000" w:rsidRDefault="00E83000" w:rsidP="004D551E">
      <w:pPr>
        <w:pStyle w:val="NumberLevel2"/>
        <w:numPr>
          <w:ilvl w:val="1"/>
          <w:numId w:val="5"/>
        </w:numPr>
        <w:tabs>
          <w:tab w:val="clear" w:pos="3270"/>
          <w:tab w:val="num" w:pos="709"/>
        </w:tabs>
        <w:ind w:left="709" w:hanging="709"/>
        <w:rPr>
          <w:lang w:val="en-AU"/>
        </w:rPr>
      </w:pPr>
      <w:r>
        <w:rPr>
          <w:lang w:val="en-AU"/>
        </w:rPr>
        <w:t xml:space="preserve">Deloitte did not provide a comprehensive assessment of every proposed </w:t>
      </w:r>
      <w:r w:rsidR="00AC3F9E">
        <w:rPr>
          <w:lang w:val="en-AU"/>
        </w:rPr>
        <w:t xml:space="preserve">reference </w:t>
      </w:r>
      <w:r>
        <w:rPr>
          <w:lang w:val="en-AU"/>
        </w:rPr>
        <w:t xml:space="preserve">tariff or policy, but rather addressed only those areas where PWC Networks’ proposal </w:t>
      </w:r>
      <w:r w:rsidR="00AC3F9E">
        <w:rPr>
          <w:lang w:val="en-AU"/>
        </w:rPr>
        <w:t xml:space="preserve">had </w:t>
      </w:r>
      <w:r>
        <w:rPr>
          <w:lang w:val="en-AU"/>
        </w:rPr>
        <w:t xml:space="preserve">shortcomings or </w:t>
      </w:r>
      <w:r w:rsidR="00AC3F9E">
        <w:rPr>
          <w:lang w:val="en-AU"/>
        </w:rPr>
        <w:t xml:space="preserve">was </w:t>
      </w:r>
      <w:r>
        <w:rPr>
          <w:lang w:val="en-AU"/>
        </w:rPr>
        <w:t xml:space="preserve">inconsistent or </w:t>
      </w:r>
      <w:r w:rsidR="00AC3F9E">
        <w:rPr>
          <w:lang w:val="en-AU"/>
        </w:rPr>
        <w:t xml:space="preserve">did </w:t>
      </w:r>
      <w:r>
        <w:rPr>
          <w:lang w:val="en-AU"/>
        </w:rPr>
        <w:t xml:space="preserve">not meet the requirements of the </w:t>
      </w:r>
      <w:r w:rsidR="00FB2EC5">
        <w:rPr>
          <w:lang w:val="en-AU"/>
        </w:rPr>
        <w:t>Network Access Code</w:t>
      </w:r>
      <w:r>
        <w:rPr>
          <w:lang w:val="en-AU"/>
        </w:rPr>
        <w:t>.</w:t>
      </w:r>
    </w:p>
    <w:p w14:paraId="1BACB951" w14:textId="241DAEBF" w:rsidR="00E83000" w:rsidRPr="00FC7285" w:rsidRDefault="00E83000" w:rsidP="004D551E">
      <w:pPr>
        <w:pStyle w:val="NumberLevel2"/>
        <w:numPr>
          <w:ilvl w:val="1"/>
          <w:numId w:val="5"/>
        </w:numPr>
        <w:tabs>
          <w:tab w:val="clear" w:pos="3270"/>
          <w:tab w:val="num" w:pos="709"/>
        </w:tabs>
        <w:ind w:left="709" w:hanging="709"/>
        <w:rPr>
          <w:lang w:val="en-AU"/>
        </w:rPr>
      </w:pPr>
      <w:r w:rsidRPr="00D35D72">
        <w:rPr>
          <w:lang w:val="en-AU"/>
        </w:rPr>
        <w:t xml:space="preserve">The Commission did not find any significant inconsistencies with the </w:t>
      </w:r>
      <w:r w:rsidR="00FB2EC5">
        <w:rPr>
          <w:lang w:val="en-AU"/>
        </w:rPr>
        <w:t>Network Access Code</w:t>
      </w:r>
      <w:r w:rsidRPr="00D35D72">
        <w:rPr>
          <w:lang w:val="en-AU"/>
        </w:rPr>
        <w:t xml:space="preserve">, but </w:t>
      </w:r>
      <w:r>
        <w:rPr>
          <w:lang w:val="en-AU"/>
        </w:rPr>
        <w:t xml:space="preserve">did </w:t>
      </w:r>
      <w:r w:rsidRPr="00D35D72">
        <w:rPr>
          <w:lang w:val="en-AU"/>
        </w:rPr>
        <w:t xml:space="preserve">identify </w:t>
      </w:r>
      <w:r>
        <w:rPr>
          <w:lang w:val="en-AU"/>
        </w:rPr>
        <w:t>some minor issues:</w:t>
      </w:r>
      <w:r w:rsidRPr="00D35D72">
        <w:rPr>
          <w:lang w:val="en-AU"/>
        </w:rPr>
        <w:t xml:space="preserve"> </w:t>
      </w:r>
    </w:p>
    <w:p w14:paraId="4C4E27B3" w14:textId="777036DA" w:rsidR="0084645C" w:rsidRPr="00E83000" w:rsidRDefault="0084645C" w:rsidP="00DC322B">
      <w:pPr>
        <w:pStyle w:val="UtilComBulletText"/>
        <w:numPr>
          <w:ilvl w:val="0"/>
          <w:numId w:val="6"/>
        </w:numPr>
        <w:tabs>
          <w:tab w:val="clear" w:pos="964"/>
          <w:tab w:val="num" w:pos="1134"/>
        </w:tabs>
        <w:ind w:left="1134" w:hanging="425"/>
      </w:pPr>
      <w:r w:rsidRPr="00E83000">
        <w:t xml:space="preserve">PWC Networks’ proposal to move to commercial kVA capacity tariffs </w:t>
      </w:r>
      <w:r w:rsidR="00DB74AA">
        <w:t xml:space="preserve">might </w:t>
      </w:r>
      <w:r w:rsidRPr="00E83000">
        <w:t xml:space="preserve">not be consistent with the </w:t>
      </w:r>
      <w:r w:rsidR="00FB2EC5">
        <w:t>Network Access Code</w:t>
      </w:r>
      <w:r w:rsidRPr="00E83000">
        <w:t xml:space="preserve"> as it does not necessarily appropriate</w:t>
      </w:r>
      <w:r w:rsidR="00A72757" w:rsidRPr="00E83000">
        <w:t>ly</w:t>
      </w:r>
      <w:r w:rsidRPr="00E83000">
        <w:t xml:space="preserve"> balance the interests of PWC </w:t>
      </w:r>
      <w:r w:rsidR="008E5366" w:rsidRPr="00E83000">
        <w:t xml:space="preserve">Networks </w:t>
      </w:r>
      <w:r w:rsidRPr="00E83000">
        <w:t>and network users or promote price stability</w:t>
      </w:r>
      <w:r w:rsidR="00E83000" w:rsidRPr="00E83000">
        <w:t>; and</w:t>
      </w:r>
    </w:p>
    <w:p w14:paraId="6D55DE9C" w14:textId="71E12DFB" w:rsidR="0084645C" w:rsidRPr="00E83000" w:rsidRDefault="0084645C" w:rsidP="00DC322B">
      <w:pPr>
        <w:pStyle w:val="UtilComBulletText"/>
        <w:numPr>
          <w:ilvl w:val="0"/>
          <w:numId w:val="6"/>
        </w:numPr>
        <w:tabs>
          <w:tab w:val="clear" w:pos="964"/>
          <w:tab w:val="num" w:pos="1134"/>
        </w:tabs>
        <w:ind w:left="1134" w:hanging="425"/>
      </w:pPr>
      <w:r w:rsidRPr="00E83000">
        <w:t xml:space="preserve">the approach to apply </w:t>
      </w:r>
      <w:r w:rsidR="00A5123D">
        <w:t>a charge for provision of network capacity in excess of Network Technical Code requirements</w:t>
      </w:r>
      <w:r w:rsidRPr="00E83000">
        <w:t xml:space="preserve"> is inconsistent with clauses 74 (1)(a) and (1)(b) of the </w:t>
      </w:r>
      <w:r w:rsidR="00FB2EC5">
        <w:t>Network Access Code</w:t>
      </w:r>
      <w:r w:rsidRPr="00E83000">
        <w:t>.</w:t>
      </w:r>
      <w:r w:rsidR="006A4486" w:rsidRPr="00E83000">
        <w:t xml:space="preserve"> </w:t>
      </w:r>
    </w:p>
    <w:p w14:paraId="1249E5AF" w14:textId="7EECE749" w:rsidR="008E4B9F" w:rsidRDefault="008E4B9F" w:rsidP="008E4B9F">
      <w:pPr>
        <w:pStyle w:val="UtilComHeading2"/>
      </w:pPr>
      <w:bookmarkStart w:id="342" w:name="_Toc385241595"/>
      <w:bookmarkStart w:id="343" w:name="_Toc386013147"/>
      <w:r>
        <w:t xml:space="preserve">Commission’s </w:t>
      </w:r>
      <w:r w:rsidR="00BC55DE">
        <w:t>D</w:t>
      </w:r>
      <w:r>
        <w:t xml:space="preserve">raft </w:t>
      </w:r>
      <w:bookmarkEnd w:id="342"/>
      <w:r w:rsidR="00BC55DE">
        <w:t>Decision</w:t>
      </w:r>
      <w:bookmarkEnd w:id="343"/>
    </w:p>
    <w:p w14:paraId="37FD2A57" w14:textId="71E04A21" w:rsidR="00045EAF" w:rsidRDefault="00045EAF" w:rsidP="004D551E">
      <w:pPr>
        <w:pStyle w:val="NumberLevel2"/>
        <w:numPr>
          <w:ilvl w:val="1"/>
          <w:numId w:val="5"/>
        </w:numPr>
        <w:ind w:left="709" w:hanging="709"/>
        <w:rPr>
          <w:lang w:val="en-AU"/>
        </w:rPr>
      </w:pPr>
      <w:r>
        <w:rPr>
          <w:lang w:val="en-AU"/>
        </w:rPr>
        <w:t>The Commission</w:t>
      </w:r>
      <w:r w:rsidR="00BB553A">
        <w:rPr>
          <w:lang w:val="en-AU"/>
        </w:rPr>
        <w:t>’s decision</w:t>
      </w:r>
      <w:r w:rsidR="00AC3F9E">
        <w:rPr>
          <w:lang w:val="en-AU"/>
        </w:rPr>
        <w:t xml:space="preserve"> in the Draft Determination</w:t>
      </w:r>
      <w:r w:rsidR="00BB553A">
        <w:rPr>
          <w:lang w:val="en-AU"/>
        </w:rPr>
        <w:t xml:space="preserve"> was that it would</w:t>
      </w:r>
      <w:r>
        <w:rPr>
          <w:lang w:val="en-AU"/>
        </w:rPr>
        <w:t xml:space="preserve"> </w:t>
      </w:r>
      <w:r w:rsidR="00BB553A">
        <w:rPr>
          <w:lang w:val="en-AU"/>
        </w:rPr>
        <w:t xml:space="preserve">approve </w:t>
      </w:r>
      <w:r>
        <w:rPr>
          <w:lang w:val="en-AU"/>
        </w:rPr>
        <w:t>PWC Networks’</w:t>
      </w:r>
      <w:r w:rsidRPr="00D5726A">
        <w:rPr>
          <w:lang w:val="en-AU"/>
        </w:rPr>
        <w:t xml:space="preserve"> </w:t>
      </w:r>
      <w:r w:rsidR="00AC3F9E">
        <w:rPr>
          <w:lang w:val="en-AU"/>
        </w:rPr>
        <w:t>NPPS</w:t>
      </w:r>
      <w:r w:rsidRPr="00D5726A">
        <w:rPr>
          <w:lang w:val="en-AU"/>
        </w:rPr>
        <w:t xml:space="preserve"> for use </w:t>
      </w:r>
      <w:r>
        <w:rPr>
          <w:lang w:val="en-AU"/>
        </w:rPr>
        <w:t>from 1 July 2014 in accordance with c</w:t>
      </w:r>
      <w:r w:rsidRPr="00D5726A">
        <w:rPr>
          <w:lang w:val="en-AU"/>
        </w:rPr>
        <w:t xml:space="preserve">lause </w:t>
      </w:r>
      <w:r w:rsidR="009E2601">
        <w:rPr>
          <w:lang w:val="en-AU"/>
        </w:rPr>
        <w:t>78(3</w:t>
      </w:r>
      <w:r w:rsidRPr="00D5726A">
        <w:rPr>
          <w:lang w:val="en-AU"/>
        </w:rPr>
        <w:t xml:space="preserve">) of the </w:t>
      </w:r>
      <w:r w:rsidR="00FB2EC5">
        <w:rPr>
          <w:lang w:val="en-AU"/>
        </w:rPr>
        <w:t>Network Access Code</w:t>
      </w:r>
      <w:r>
        <w:rPr>
          <w:lang w:val="en-AU"/>
        </w:rPr>
        <w:t>, subject to amendments being made to address the issues raised by Deloitte in December 2013.</w:t>
      </w:r>
    </w:p>
    <w:p w14:paraId="064E1530" w14:textId="1EC87CB0" w:rsidR="00E71D0C" w:rsidRPr="00083FAA" w:rsidRDefault="00E71D0C" w:rsidP="00E71D0C">
      <w:pPr>
        <w:pStyle w:val="UtilComHeading2"/>
      </w:pPr>
      <w:bookmarkStart w:id="344" w:name="_Toc385241596"/>
      <w:bookmarkStart w:id="345" w:name="_Toc386013148"/>
      <w:r w:rsidRPr="00083FAA">
        <w:t xml:space="preserve">PWC Networks’ </w:t>
      </w:r>
      <w:r w:rsidR="00BC55DE">
        <w:t>R</w:t>
      </w:r>
      <w:r w:rsidR="00BC55DE" w:rsidRPr="00083FAA">
        <w:t xml:space="preserve">evised </w:t>
      </w:r>
      <w:r w:rsidR="00BC55DE">
        <w:t>R</w:t>
      </w:r>
      <w:r w:rsidR="00BC55DE" w:rsidRPr="00083FAA">
        <w:t xml:space="preserve">egulatory </w:t>
      </w:r>
      <w:bookmarkEnd w:id="344"/>
      <w:r w:rsidR="00BC55DE">
        <w:t>P</w:t>
      </w:r>
      <w:r w:rsidR="00BC55DE" w:rsidRPr="00083FAA">
        <w:t>roposal</w:t>
      </w:r>
      <w:bookmarkEnd w:id="345"/>
    </w:p>
    <w:p w14:paraId="53A24609" w14:textId="77777777" w:rsidR="00A5123D" w:rsidRDefault="00A5123D" w:rsidP="00A5123D">
      <w:pPr>
        <w:pStyle w:val="NumberLevel2"/>
        <w:numPr>
          <w:ilvl w:val="1"/>
          <w:numId w:val="5"/>
        </w:numPr>
        <w:ind w:left="709" w:hanging="709"/>
        <w:rPr>
          <w:lang w:val="en-AU"/>
        </w:rPr>
      </w:pPr>
      <w:r>
        <w:rPr>
          <w:lang w:val="en-AU"/>
        </w:rPr>
        <w:t>PWC Network’s draft NPPS and Pricing Proposal were provided in a single document. PWC Networks also provided its Cost of Supply model to the Commission.</w:t>
      </w:r>
    </w:p>
    <w:p w14:paraId="7C8F9425" w14:textId="5C380F26" w:rsidR="00E71D0C" w:rsidRDefault="00E71D0C" w:rsidP="000B465A">
      <w:pPr>
        <w:pStyle w:val="NumberLevel2"/>
        <w:numPr>
          <w:ilvl w:val="1"/>
          <w:numId w:val="5"/>
        </w:numPr>
        <w:ind w:left="709" w:hanging="709"/>
        <w:rPr>
          <w:lang w:val="en-AU"/>
        </w:rPr>
      </w:pPr>
      <w:r>
        <w:rPr>
          <w:lang w:val="en-AU"/>
        </w:rPr>
        <w:t>PWC Networks</w:t>
      </w:r>
      <w:r w:rsidRPr="001430C0">
        <w:rPr>
          <w:lang w:val="en-AU"/>
        </w:rPr>
        <w:t xml:space="preserve"> </w:t>
      </w:r>
      <w:r>
        <w:rPr>
          <w:lang w:val="en-AU"/>
        </w:rPr>
        <w:t xml:space="preserve">did not accept the Commission’s decision in relation to the </w:t>
      </w:r>
      <w:r w:rsidR="00A5123D">
        <w:rPr>
          <w:lang w:val="en-AU"/>
        </w:rPr>
        <w:t xml:space="preserve">proposed </w:t>
      </w:r>
      <w:r w:rsidR="00A5123D">
        <w:t xml:space="preserve">charge for provision of network capacity in excess of </w:t>
      </w:r>
      <w:r w:rsidR="00E00B7B">
        <w:t xml:space="preserve">the </w:t>
      </w:r>
      <w:r w:rsidR="00A5123D">
        <w:t>Network Technical Code requirements</w:t>
      </w:r>
      <w:r>
        <w:rPr>
          <w:lang w:val="en-AU"/>
        </w:rPr>
        <w:t xml:space="preserve"> for the reasons set out below:</w:t>
      </w:r>
    </w:p>
    <w:p w14:paraId="2B335B1C" w14:textId="1ED7DF08" w:rsidR="00E71D0C" w:rsidRDefault="00E71D0C" w:rsidP="006B25B4">
      <w:pPr>
        <w:pStyle w:val="UtilComBulletText"/>
        <w:numPr>
          <w:ilvl w:val="0"/>
          <w:numId w:val="6"/>
        </w:numPr>
        <w:tabs>
          <w:tab w:val="clear" w:pos="964"/>
          <w:tab w:val="num" w:pos="1134"/>
        </w:tabs>
        <w:ind w:left="1134" w:hanging="425"/>
      </w:pPr>
      <w:r>
        <w:t xml:space="preserve">the relationship between kVA demand tariff and a kVA capacity tariff is simply that the </w:t>
      </w:r>
      <w:r w:rsidR="006C4707">
        <w:t xml:space="preserve">retail </w:t>
      </w:r>
      <w:r>
        <w:t xml:space="preserve">customer is billed for the monthly maximum kVA in the case of the former; </w:t>
      </w:r>
    </w:p>
    <w:p w14:paraId="6C3B0AD3" w14:textId="7B35DAB0" w:rsidR="00E71D0C" w:rsidRDefault="00E71D0C" w:rsidP="006B25B4">
      <w:pPr>
        <w:pStyle w:val="UtilComBulletText"/>
        <w:numPr>
          <w:ilvl w:val="0"/>
          <w:numId w:val="6"/>
        </w:numPr>
        <w:tabs>
          <w:tab w:val="clear" w:pos="964"/>
          <w:tab w:val="num" w:pos="1134"/>
        </w:tabs>
        <w:ind w:left="1134" w:hanging="425"/>
      </w:pPr>
      <w:r>
        <w:t xml:space="preserve">a capacity tariff more accurately and equitably reflects the costs of providing network </w:t>
      </w:r>
      <w:r w:rsidR="006C4707">
        <w:t xml:space="preserve">access </w:t>
      </w:r>
      <w:r>
        <w:t xml:space="preserve">services to a </w:t>
      </w:r>
      <w:r w:rsidR="006C4707">
        <w:t xml:space="preserve">retail </w:t>
      </w:r>
      <w:r>
        <w:t>customer than a demand tariff;</w:t>
      </w:r>
    </w:p>
    <w:p w14:paraId="301B2FB3" w14:textId="77777777" w:rsidR="00E71D0C" w:rsidRDefault="00E71D0C" w:rsidP="006B25B4">
      <w:pPr>
        <w:pStyle w:val="UtilComBulletText"/>
        <w:numPr>
          <w:ilvl w:val="0"/>
          <w:numId w:val="6"/>
        </w:numPr>
        <w:tabs>
          <w:tab w:val="clear" w:pos="964"/>
          <w:tab w:val="num" w:pos="1134"/>
        </w:tabs>
        <w:ind w:left="1134" w:hanging="425"/>
      </w:pPr>
      <w:r>
        <w:t>there is a greater degree of cost reflectivity in capacity tariffs which are  commonplace throughout the electrical industry;</w:t>
      </w:r>
    </w:p>
    <w:p w14:paraId="1E01A0D9" w14:textId="4D6303EA" w:rsidR="00E71D0C" w:rsidRDefault="00E71D0C" w:rsidP="006B25B4">
      <w:pPr>
        <w:pStyle w:val="UtilComBulletText"/>
        <w:numPr>
          <w:ilvl w:val="0"/>
          <w:numId w:val="6"/>
        </w:numPr>
        <w:tabs>
          <w:tab w:val="clear" w:pos="964"/>
          <w:tab w:val="num" w:pos="1134"/>
        </w:tabs>
        <w:ind w:left="1134" w:hanging="425"/>
      </w:pPr>
      <w:r>
        <w:t xml:space="preserve">capacity charges are offered by the NEM </w:t>
      </w:r>
      <w:r w:rsidR="006C4707">
        <w:t xml:space="preserve">transmission network service providers </w:t>
      </w:r>
      <w:r>
        <w:t xml:space="preserve"> as an option for the non-locational component of transmission charges, at high load factor locations; and</w:t>
      </w:r>
    </w:p>
    <w:p w14:paraId="3F846EDD" w14:textId="3B2F5D86" w:rsidR="00E71D0C" w:rsidRPr="00EB3199" w:rsidRDefault="00E71D0C" w:rsidP="006B25B4">
      <w:pPr>
        <w:pStyle w:val="UtilComBulletText"/>
        <w:numPr>
          <w:ilvl w:val="0"/>
          <w:numId w:val="6"/>
        </w:numPr>
        <w:tabs>
          <w:tab w:val="clear" w:pos="964"/>
          <w:tab w:val="num" w:pos="1134"/>
        </w:tabs>
        <w:ind w:left="1134" w:hanging="425"/>
        <w:rPr>
          <w:lang w:val="en-AU"/>
        </w:rPr>
      </w:pPr>
      <w:r>
        <w:t xml:space="preserve">a capacity tariff will result in greater pricing stability for </w:t>
      </w:r>
      <w:r w:rsidR="006C4707">
        <w:t>retail customers</w:t>
      </w:r>
      <w:r>
        <w:t>.</w:t>
      </w:r>
    </w:p>
    <w:p w14:paraId="569DD971" w14:textId="52F41225" w:rsidR="00E71D0C" w:rsidRPr="008F3830" w:rsidRDefault="00E71D0C" w:rsidP="00E71D0C">
      <w:pPr>
        <w:pStyle w:val="UtilComHeading2"/>
      </w:pPr>
      <w:bookmarkStart w:id="346" w:name="_Toc385241597"/>
      <w:bookmarkStart w:id="347" w:name="_Toc386013149"/>
      <w:r w:rsidRPr="008F3830">
        <w:t xml:space="preserve">Submissions on </w:t>
      </w:r>
      <w:r w:rsidR="006C4707" w:rsidRPr="008F3830">
        <w:t xml:space="preserve">Draft Determination </w:t>
      </w:r>
      <w:r w:rsidRPr="008F3830">
        <w:t xml:space="preserve">and </w:t>
      </w:r>
      <w:r w:rsidR="00BC55DE">
        <w:t>R</w:t>
      </w:r>
      <w:r w:rsidR="00BC55DE" w:rsidRPr="008F3830">
        <w:t xml:space="preserve">evised </w:t>
      </w:r>
      <w:r w:rsidR="00BC55DE">
        <w:t>R</w:t>
      </w:r>
      <w:r w:rsidR="00BC55DE" w:rsidRPr="008F3830">
        <w:t xml:space="preserve">egulatory </w:t>
      </w:r>
      <w:bookmarkEnd w:id="346"/>
      <w:r w:rsidR="00BC55DE">
        <w:t>P</w:t>
      </w:r>
      <w:r w:rsidR="00BC55DE" w:rsidRPr="008F3830">
        <w:t>roposal</w:t>
      </w:r>
      <w:bookmarkEnd w:id="347"/>
    </w:p>
    <w:p w14:paraId="0C3C4EE8" w14:textId="77777777" w:rsidR="00A5123D" w:rsidRPr="008F3830" w:rsidRDefault="00A5123D" w:rsidP="00A5123D">
      <w:pPr>
        <w:pStyle w:val="ListParagraph"/>
        <w:numPr>
          <w:ilvl w:val="1"/>
          <w:numId w:val="5"/>
        </w:numPr>
        <w:tabs>
          <w:tab w:val="num" w:pos="709"/>
        </w:tabs>
        <w:ind w:left="709" w:hanging="709"/>
        <w:rPr>
          <w:lang w:val="en-AU"/>
        </w:rPr>
      </w:pPr>
      <w:r w:rsidRPr="008F3830">
        <w:rPr>
          <w:lang w:val="en-AU"/>
        </w:rPr>
        <w:t>The NTMEU pointed out to the Commission that the pricing methodology used for electricity distribution is currently under review by the AEMC and considered that the Commission should look into the issue of pricing in much greater detail to ensure that pricing is cost-reflective.</w:t>
      </w:r>
    </w:p>
    <w:p w14:paraId="00ABD6E7" w14:textId="5308EA62" w:rsidR="00A5123D" w:rsidRPr="008F3830" w:rsidRDefault="00A5123D" w:rsidP="00A5123D">
      <w:pPr>
        <w:pStyle w:val="ListParagraph"/>
        <w:numPr>
          <w:ilvl w:val="1"/>
          <w:numId w:val="5"/>
        </w:numPr>
        <w:tabs>
          <w:tab w:val="num" w:pos="709"/>
        </w:tabs>
        <w:ind w:left="709" w:hanging="709"/>
        <w:rPr>
          <w:lang w:val="en-AU"/>
        </w:rPr>
      </w:pPr>
      <w:r w:rsidRPr="008F3830">
        <w:rPr>
          <w:lang w:val="en-AU"/>
        </w:rPr>
        <w:t xml:space="preserve">The LGANT and TTEG submitted that the rebalancing of </w:t>
      </w:r>
      <w:r w:rsidR="008F3830">
        <w:rPr>
          <w:lang w:val="en-AU"/>
        </w:rPr>
        <w:t xml:space="preserve">reference </w:t>
      </w:r>
      <w:r w:rsidRPr="008F3830">
        <w:rPr>
          <w:lang w:val="en-AU"/>
        </w:rPr>
        <w:t>tariffs, particularly between street</w:t>
      </w:r>
      <w:r w:rsidR="005276EC">
        <w:rPr>
          <w:lang w:val="en-AU"/>
        </w:rPr>
        <w:t xml:space="preserve"> </w:t>
      </w:r>
      <w:r w:rsidRPr="008F3830">
        <w:rPr>
          <w:lang w:val="en-AU"/>
        </w:rPr>
        <w:t xml:space="preserve">lighting and unmetered 24 hour supplies, should be undertaken from </w:t>
      </w:r>
      <w:r w:rsidR="008F3830">
        <w:rPr>
          <w:lang w:val="en-AU"/>
        </w:rPr>
        <w:t xml:space="preserve">the start of the </w:t>
      </w:r>
      <w:r w:rsidRPr="008F3830">
        <w:rPr>
          <w:lang w:val="en-AU"/>
        </w:rPr>
        <w:t>2014-15</w:t>
      </w:r>
      <w:r w:rsidR="008F3830">
        <w:rPr>
          <w:lang w:val="en-AU"/>
        </w:rPr>
        <w:t xml:space="preserve"> regulatory year</w:t>
      </w:r>
      <w:r w:rsidRPr="008F3830">
        <w:rPr>
          <w:lang w:val="en-AU"/>
        </w:rPr>
        <w:t>, not later in the</w:t>
      </w:r>
      <w:r w:rsidR="00DB74AA">
        <w:rPr>
          <w:lang w:val="en-AU"/>
        </w:rPr>
        <w:t xml:space="preserve"> 2014-19</w:t>
      </w:r>
      <w:r w:rsidRPr="008F3830">
        <w:rPr>
          <w:lang w:val="en-AU"/>
        </w:rPr>
        <w:t xml:space="preserve"> regulatory control period as proposed by PWC Networks.</w:t>
      </w:r>
    </w:p>
    <w:p w14:paraId="00ABB6FF" w14:textId="5456719D" w:rsidR="00E71D0C" w:rsidRPr="008F3830" w:rsidRDefault="00E71D0C" w:rsidP="00E71D0C">
      <w:pPr>
        <w:pStyle w:val="ListParagraph"/>
        <w:numPr>
          <w:ilvl w:val="1"/>
          <w:numId w:val="5"/>
        </w:numPr>
        <w:tabs>
          <w:tab w:val="num" w:pos="709"/>
        </w:tabs>
        <w:ind w:left="709" w:hanging="709"/>
        <w:rPr>
          <w:lang w:val="en-AU"/>
        </w:rPr>
      </w:pPr>
      <w:r w:rsidRPr="008F3830">
        <w:rPr>
          <w:lang w:val="en-AU"/>
        </w:rPr>
        <w:t xml:space="preserve">No </w:t>
      </w:r>
      <w:r w:rsidR="00A5123D" w:rsidRPr="008F3830">
        <w:rPr>
          <w:lang w:val="en-AU"/>
        </w:rPr>
        <w:t>comments were made with respect to</w:t>
      </w:r>
      <w:r w:rsidRPr="008F3830">
        <w:rPr>
          <w:lang w:val="en-AU"/>
        </w:rPr>
        <w:t xml:space="preserve"> PWC Networks’ </w:t>
      </w:r>
      <w:r w:rsidR="006C4707" w:rsidRPr="008F3830">
        <w:rPr>
          <w:lang w:val="en-AU"/>
        </w:rPr>
        <w:t>NPPS</w:t>
      </w:r>
      <w:r w:rsidRPr="008F3830">
        <w:rPr>
          <w:lang w:val="en-AU"/>
        </w:rPr>
        <w:t>.</w:t>
      </w:r>
    </w:p>
    <w:p w14:paraId="1F656A44" w14:textId="52B8DEB4" w:rsidR="00E71D0C" w:rsidRPr="008F3830" w:rsidRDefault="00E71D0C" w:rsidP="00E71D0C">
      <w:pPr>
        <w:pStyle w:val="UtilComHeading2"/>
      </w:pPr>
      <w:bookmarkStart w:id="348" w:name="_Toc385241598"/>
      <w:bookmarkStart w:id="349" w:name="_Toc386013150"/>
      <w:r w:rsidRPr="008F3830">
        <w:t xml:space="preserve">Issues and Commission’s </w:t>
      </w:r>
      <w:r w:rsidR="009E2601">
        <w:t>F</w:t>
      </w:r>
      <w:r w:rsidRPr="008F3830">
        <w:t xml:space="preserve">urther </w:t>
      </w:r>
      <w:r w:rsidR="009E2601">
        <w:t>C</w:t>
      </w:r>
      <w:r w:rsidRPr="008F3830">
        <w:t>onsiderations</w:t>
      </w:r>
      <w:bookmarkEnd w:id="348"/>
      <w:bookmarkEnd w:id="349"/>
    </w:p>
    <w:p w14:paraId="79F833B4" w14:textId="0792B1EE" w:rsidR="00A5123D" w:rsidRPr="008F3830" w:rsidRDefault="00A5123D" w:rsidP="00A5123D">
      <w:pPr>
        <w:pStyle w:val="ListParagraph"/>
        <w:numPr>
          <w:ilvl w:val="1"/>
          <w:numId w:val="5"/>
        </w:numPr>
        <w:tabs>
          <w:tab w:val="num" w:pos="709"/>
        </w:tabs>
        <w:ind w:left="709" w:hanging="709"/>
        <w:rPr>
          <w:lang w:val="en-AU"/>
        </w:rPr>
      </w:pPr>
      <w:r w:rsidRPr="008F3830">
        <w:rPr>
          <w:lang w:val="en-AU"/>
        </w:rPr>
        <w:t xml:space="preserve">The Commission’s considerations on the proposed charge for provision of network capacity in excess of Network Technical Code requirements are discussed in Chapter 3 </w:t>
      </w:r>
      <w:r w:rsidR="00DB74AA">
        <w:rPr>
          <w:lang w:val="en-AU"/>
        </w:rPr>
        <w:t>of this Statement of Reasons</w:t>
      </w:r>
      <w:r w:rsidRPr="008F3830">
        <w:rPr>
          <w:lang w:val="en-AU"/>
        </w:rPr>
        <w:t>.</w:t>
      </w:r>
    </w:p>
    <w:p w14:paraId="41E46D90" w14:textId="6FCBA48F" w:rsidR="00A5123D" w:rsidRPr="008F3830" w:rsidRDefault="00A5123D" w:rsidP="00A5123D">
      <w:pPr>
        <w:pStyle w:val="ListParagraph"/>
        <w:numPr>
          <w:ilvl w:val="1"/>
          <w:numId w:val="5"/>
        </w:numPr>
        <w:tabs>
          <w:tab w:val="num" w:pos="709"/>
        </w:tabs>
        <w:ind w:left="709" w:hanging="709"/>
        <w:rPr>
          <w:lang w:val="en-AU"/>
        </w:rPr>
      </w:pPr>
      <w:r w:rsidRPr="008F3830">
        <w:rPr>
          <w:lang w:val="en-AU"/>
        </w:rPr>
        <w:t>The Commission notes the arguments of the NTMEU that there should be more scrutiny of PWC Networks</w:t>
      </w:r>
      <w:r w:rsidR="008F3830">
        <w:rPr>
          <w:lang w:val="en-AU"/>
        </w:rPr>
        <w:t>’</w:t>
      </w:r>
      <w:r w:rsidRPr="008F3830">
        <w:rPr>
          <w:lang w:val="en-AU"/>
        </w:rPr>
        <w:t xml:space="preserve"> pricing methodology, particularly in light of reviews being undertaken elsewhere. The Commission also notes the LGANT and TTEG submissions that </w:t>
      </w:r>
      <w:r w:rsidR="008F3830">
        <w:rPr>
          <w:lang w:val="en-AU"/>
        </w:rPr>
        <w:t xml:space="preserve">reference </w:t>
      </w:r>
      <w:r w:rsidRPr="008F3830">
        <w:rPr>
          <w:lang w:val="en-AU"/>
        </w:rPr>
        <w:t xml:space="preserve">tariff rebalancing should be undertaken from </w:t>
      </w:r>
      <w:r w:rsidR="008F3830">
        <w:rPr>
          <w:lang w:val="en-AU"/>
        </w:rPr>
        <w:t xml:space="preserve">the start of the </w:t>
      </w:r>
      <w:r w:rsidRPr="008F3830">
        <w:rPr>
          <w:lang w:val="en-AU"/>
        </w:rPr>
        <w:t>2014-15</w:t>
      </w:r>
      <w:r w:rsidR="008F3830">
        <w:rPr>
          <w:lang w:val="en-AU"/>
        </w:rPr>
        <w:t xml:space="preserve"> regulatory year</w:t>
      </w:r>
      <w:r w:rsidRPr="008F3830">
        <w:rPr>
          <w:lang w:val="en-AU"/>
        </w:rPr>
        <w:t>.</w:t>
      </w:r>
    </w:p>
    <w:p w14:paraId="734BF9D0" w14:textId="158B4EA8" w:rsidR="00A5123D" w:rsidRPr="008F3830" w:rsidRDefault="00A5123D" w:rsidP="00A5123D">
      <w:pPr>
        <w:pStyle w:val="ListParagraph"/>
        <w:numPr>
          <w:ilvl w:val="1"/>
          <w:numId w:val="5"/>
        </w:numPr>
        <w:tabs>
          <w:tab w:val="num" w:pos="709"/>
        </w:tabs>
        <w:ind w:left="709" w:hanging="709"/>
        <w:rPr>
          <w:lang w:val="en-AU"/>
        </w:rPr>
      </w:pPr>
      <w:r w:rsidRPr="008F3830">
        <w:rPr>
          <w:lang w:val="en-AU"/>
        </w:rPr>
        <w:t>However, the Commission is constrained by the requirements of the Network Access Code. The Network Access Code assigns responsibility for establishing the pricing structure to PWC Networks. The Commission can only reject PWC </w:t>
      </w:r>
      <w:r w:rsidR="008F3830">
        <w:rPr>
          <w:lang w:val="en-AU"/>
        </w:rPr>
        <w:t>N</w:t>
      </w:r>
      <w:r w:rsidR="008F3830" w:rsidRPr="008F3830">
        <w:rPr>
          <w:lang w:val="en-AU"/>
        </w:rPr>
        <w:t>etworks</w:t>
      </w:r>
      <w:r w:rsidR="00A6334C">
        <w:rPr>
          <w:lang w:val="en-AU"/>
        </w:rPr>
        <w:t>’</w:t>
      </w:r>
      <w:r w:rsidR="008F3830" w:rsidRPr="008F3830">
        <w:rPr>
          <w:lang w:val="en-AU"/>
        </w:rPr>
        <w:t xml:space="preserve"> </w:t>
      </w:r>
      <w:r w:rsidRPr="008F3830">
        <w:rPr>
          <w:lang w:val="en-AU"/>
        </w:rPr>
        <w:t xml:space="preserve">proposal if considers that the </w:t>
      </w:r>
      <w:r w:rsidR="008F3830">
        <w:rPr>
          <w:lang w:val="en-AU"/>
        </w:rPr>
        <w:t xml:space="preserve">reference </w:t>
      </w:r>
      <w:r w:rsidRPr="008F3830">
        <w:rPr>
          <w:lang w:val="en-AU"/>
        </w:rPr>
        <w:t>tariff</w:t>
      </w:r>
      <w:r w:rsidR="009E2601">
        <w:rPr>
          <w:lang w:val="en-AU"/>
        </w:rPr>
        <w:t>s</w:t>
      </w:r>
      <w:r w:rsidRPr="008F3830">
        <w:rPr>
          <w:lang w:val="en-AU"/>
        </w:rPr>
        <w:t xml:space="preserve"> and charges do not comply with the principles laid down in Chapter 7 of the Network Access Code or are inconsistent with requirements elsewhere in the </w:t>
      </w:r>
      <w:r w:rsidR="008F3830">
        <w:rPr>
          <w:lang w:val="en-AU"/>
        </w:rPr>
        <w:t xml:space="preserve">Network Access </w:t>
      </w:r>
      <w:r w:rsidRPr="008F3830">
        <w:rPr>
          <w:lang w:val="en-AU"/>
        </w:rPr>
        <w:t>Code.</w:t>
      </w:r>
    </w:p>
    <w:p w14:paraId="44BB8BDC" w14:textId="340CE437" w:rsidR="00A5123D" w:rsidRPr="008F3830" w:rsidRDefault="00A5123D" w:rsidP="00A5123D">
      <w:pPr>
        <w:pStyle w:val="ListParagraph"/>
        <w:numPr>
          <w:ilvl w:val="1"/>
          <w:numId w:val="5"/>
        </w:numPr>
        <w:tabs>
          <w:tab w:val="num" w:pos="709"/>
        </w:tabs>
        <w:ind w:left="709" w:hanging="709"/>
        <w:rPr>
          <w:lang w:val="en-AU"/>
        </w:rPr>
      </w:pPr>
      <w:r w:rsidRPr="008F3830">
        <w:rPr>
          <w:lang w:val="en-AU"/>
        </w:rPr>
        <w:t>Deloitte was asked to provide the Commission with a soundness check of PWC Networks</w:t>
      </w:r>
      <w:r w:rsidR="009E2601">
        <w:rPr>
          <w:lang w:val="en-AU"/>
        </w:rPr>
        <w:t>’</w:t>
      </w:r>
      <w:r w:rsidRPr="008F3830">
        <w:rPr>
          <w:lang w:val="en-AU"/>
        </w:rPr>
        <w:t xml:space="preserve"> Cost of Supply </w:t>
      </w:r>
      <w:r w:rsidR="009E2601">
        <w:rPr>
          <w:lang w:val="en-AU"/>
        </w:rPr>
        <w:t>m</w:t>
      </w:r>
      <w:r w:rsidRPr="008F3830">
        <w:rPr>
          <w:lang w:val="en-AU"/>
        </w:rPr>
        <w:t xml:space="preserve">odel. Deloitte </w:t>
      </w:r>
      <w:r w:rsidR="00E00B7B" w:rsidRPr="008F3830">
        <w:rPr>
          <w:lang w:val="en-AU"/>
        </w:rPr>
        <w:t xml:space="preserve">was </w:t>
      </w:r>
      <w:r w:rsidRPr="008F3830">
        <w:rPr>
          <w:lang w:val="en-AU"/>
        </w:rPr>
        <w:t xml:space="preserve">unable to comment on whether the </w:t>
      </w:r>
      <w:r w:rsidR="008F3830">
        <w:rPr>
          <w:lang w:val="en-AU"/>
        </w:rPr>
        <w:t xml:space="preserve">indicative reference </w:t>
      </w:r>
      <w:r w:rsidRPr="008F3830">
        <w:rPr>
          <w:lang w:val="en-AU"/>
        </w:rPr>
        <w:t>tariffs</w:t>
      </w:r>
      <w:r w:rsidR="00DB74AA">
        <w:rPr>
          <w:lang w:val="en-AU"/>
        </w:rPr>
        <w:t xml:space="preserve"> for the 2014-15 regulatory year</w:t>
      </w:r>
      <w:r w:rsidRPr="008F3830">
        <w:rPr>
          <w:lang w:val="en-AU"/>
        </w:rPr>
        <w:t xml:space="preserve"> </w:t>
      </w:r>
      <w:r w:rsidR="008F3830">
        <w:rPr>
          <w:lang w:val="en-AU"/>
        </w:rPr>
        <w:t xml:space="preserve">submitted by PWC Networks </w:t>
      </w:r>
      <w:r w:rsidRPr="008F3830">
        <w:rPr>
          <w:lang w:val="en-AU"/>
        </w:rPr>
        <w:t xml:space="preserve">are compliant with the relevant requirements as </w:t>
      </w:r>
      <w:r w:rsidR="009E2601">
        <w:rPr>
          <w:lang w:val="en-AU"/>
        </w:rPr>
        <w:t>some spreadsheet cells</w:t>
      </w:r>
      <w:r w:rsidRPr="008F3830">
        <w:rPr>
          <w:lang w:val="en-AU"/>
        </w:rPr>
        <w:t xml:space="preserve"> relating to stand-alone and avoidable costs </w:t>
      </w:r>
      <w:r w:rsidR="009E2601">
        <w:rPr>
          <w:lang w:val="en-AU"/>
        </w:rPr>
        <w:t>were</w:t>
      </w:r>
      <w:r w:rsidRPr="008F3830">
        <w:rPr>
          <w:lang w:val="en-AU"/>
        </w:rPr>
        <w:t xml:space="preserve"> hard-coded and PWC Networks has not provided information to trace these hard-coded numbers back to</w:t>
      </w:r>
      <w:r w:rsidR="009E2601">
        <w:rPr>
          <w:lang w:val="en-AU"/>
        </w:rPr>
        <w:t xml:space="preserve"> the</w:t>
      </w:r>
      <w:r w:rsidRPr="008F3830">
        <w:rPr>
          <w:lang w:val="en-AU"/>
        </w:rPr>
        <w:t xml:space="preserve"> relevant source material. </w:t>
      </w:r>
    </w:p>
    <w:p w14:paraId="69F154F4" w14:textId="6DF01DAF" w:rsidR="00A5123D" w:rsidRPr="008F3830" w:rsidRDefault="00A5123D" w:rsidP="00A5123D">
      <w:pPr>
        <w:pStyle w:val="ListParagraph"/>
        <w:numPr>
          <w:ilvl w:val="1"/>
          <w:numId w:val="5"/>
        </w:numPr>
        <w:tabs>
          <w:tab w:val="num" w:pos="709"/>
        </w:tabs>
        <w:ind w:left="709" w:hanging="709"/>
        <w:rPr>
          <w:lang w:val="en-AU"/>
        </w:rPr>
      </w:pPr>
      <w:r w:rsidRPr="008F3830">
        <w:rPr>
          <w:lang w:val="en-AU"/>
        </w:rPr>
        <w:t xml:space="preserve">PWC Networks has advised the Commission that its </w:t>
      </w:r>
      <w:r w:rsidR="008F3830">
        <w:rPr>
          <w:lang w:val="en-AU"/>
        </w:rPr>
        <w:t>p</w:t>
      </w:r>
      <w:r w:rsidR="008F3830" w:rsidRPr="008F3830">
        <w:rPr>
          <w:lang w:val="en-AU"/>
        </w:rPr>
        <w:t xml:space="preserve">ricing </w:t>
      </w:r>
      <w:r w:rsidR="008F3830">
        <w:rPr>
          <w:lang w:val="en-AU"/>
        </w:rPr>
        <w:t>p</w:t>
      </w:r>
      <w:r w:rsidR="008F3830" w:rsidRPr="008F3830">
        <w:rPr>
          <w:lang w:val="en-AU"/>
        </w:rPr>
        <w:t>roposal</w:t>
      </w:r>
      <w:r w:rsidR="00DB74AA">
        <w:rPr>
          <w:lang w:val="en-AU"/>
        </w:rPr>
        <w:t xml:space="preserve"> for the 2014-15 regulatory year</w:t>
      </w:r>
      <w:r w:rsidRPr="008F3830">
        <w:rPr>
          <w:lang w:val="en-AU"/>
        </w:rPr>
        <w:t xml:space="preserve">, to be submitted by 1 May 2014, will </w:t>
      </w:r>
      <w:r w:rsidR="00306FC6" w:rsidRPr="008F3830">
        <w:rPr>
          <w:lang w:val="en-AU"/>
        </w:rPr>
        <w:t>demonstrat</w:t>
      </w:r>
      <w:r w:rsidR="00306FC6">
        <w:rPr>
          <w:lang w:val="en-AU"/>
        </w:rPr>
        <w:t>e</w:t>
      </w:r>
      <w:r w:rsidR="00306FC6" w:rsidRPr="008F3830">
        <w:rPr>
          <w:lang w:val="en-AU"/>
        </w:rPr>
        <w:t xml:space="preserve"> </w:t>
      </w:r>
      <w:r w:rsidRPr="008F3830">
        <w:rPr>
          <w:lang w:val="en-AU"/>
        </w:rPr>
        <w:t xml:space="preserve">compliance </w:t>
      </w:r>
      <w:r w:rsidR="00306FC6">
        <w:rPr>
          <w:lang w:val="en-AU"/>
        </w:rPr>
        <w:t xml:space="preserve">of the proposed reference tariffs for the 2014-15 regulatory year </w:t>
      </w:r>
      <w:r w:rsidRPr="008F3830">
        <w:rPr>
          <w:lang w:val="en-AU"/>
        </w:rPr>
        <w:t xml:space="preserve">with the </w:t>
      </w:r>
      <w:r w:rsidR="00306FC6">
        <w:rPr>
          <w:lang w:val="en-AU"/>
        </w:rPr>
        <w:t>annual revenue requirement</w:t>
      </w:r>
      <w:r w:rsidRPr="008F3830">
        <w:rPr>
          <w:lang w:val="en-AU"/>
        </w:rPr>
        <w:t xml:space="preserve"> and side constraint control mechanisms</w:t>
      </w:r>
      <w:r w:rsidR="00E00B7B" w:rsidRPr="008F3830">
        <w:rPr>
          <w:lang w:val="en-AU"/>
        </w:rPr>
        <w:t>,</w:t>
      </w:r>
      <w:r w:rsidRPr="008F3830">
        <w:rPr>
          <w:lang w:val="en-AU"/>
        </w:rPr>
        <w:t xml:space="preserve"> and provide background calculations for the stand alone and avoidable costs.</w:t>
      </w:r>
    </w:p>
    <w:p w14:paraId="6AE4CF8F" w14:textId="172FE9BE" w:rsidR="00A5123D" w:rsidRPr="008F3830" w:rsidRDefault="00A5123D" w:rsidP="00A5123D">
      <w:pPr>
        <w:pStyle w:val="ListParagraph"/>
        <w:numPr>
          <w:ilvl w:val="1"/>
          <w:numId w:val="5"/>
        </w:numPr>
        <w:tabs>
          <w:tab w:val="num" w:pos="709"/>
        </w:tabs>
        <w:ind w:left="709" w:hanging="709"/>
        <w:rPr>
          <w:lang w:val="en-AU"/>
        </w:rPr>
      </w:pPr>
      <w:r w:rsidRPr="008F3830">
        <w:rPr>
          <w:lang w:val="en-AU"/>
        </w:rPr>
        <w:t xml:space="preserve">As PWC Networks has submitted its draft NPPS and </w:t>
      </w:r>
      <w:r w:rsidR="00306FC6">
        <w:rPr>
          <w:lang w:val="en-AU"/>
        </w:rPr>
        <w:t>p</w:t>
      </w:r>
      <w:r w:rsidR="00306FC6" w:rsidRPr="008F3830">
        <w:rPr>
          <w:lang w:val="en-AU"/>
        </w:rPr>
        <w:t xml:space="preserve">ricing </w:t>
      </w:r>
      <w:r w:rsidR="00306FC6">
        <w:rPr>
          <w:lang w:val="en-AU"/>
        </w:rPr>
        <w:t>p</w:t>
      </w:r>
      <w:r w:rsidR="00306FC6" w:rsidRPr="008F3830">
        <w:rPr>
          <w:lang w:val="en-AU"/>
        </w:rPr>
        <w:t xml:space="preserve">roposal </w:t>
      </w:r>
      <w:r w:rsidRPr="008F3830">
        <w:rPr>
          <w:lang w:val="en-AU"/>
        </w:rPr>
        <w:t>in a single document, the Commission is unable to approve the NPPS at this time as the document may require further amendment following review of PWC Networks</w:t>
      </w:r>
      <w:r w:rsidR="00306FC6">
        <w:rPr>
          <w:lang w:val="en-AU"/>
        </w:rPr>
        <w:t>’</w:t>
      </w:r>
      <w:r w:rsidRPr="008F3830">
        <w:rPr>
          <w:lang w:val="en-AU"/>
        </w:rPr>
        <w:t xml:space="preserve"> Cost of Supply model. </w:t>
      </w:r>
    </w:p>
    <w:p w14:paraId="6D161646" w14:textId="4F72F611" w:rsidR="00E71D0C" w:rsidRPr="008F3830" w:rsidRDefault="00E71D0C" w:rsidP="00E71D0C">
      <w:pPr>
        <w:pStyle w:val="UtilComHeading2"/>
      </w:pPr>
      <w:bookmarkStart w:id="350" w:name="_Toc385241599"/>
      <w:bookmarkStart w:id="351" w:name="_Toc386013151"/>
      <w:r w:rsidRPr="008F3830">
        <w:t xml:space="preserve">Commission’s </w:t>
      </w:r>
      <w:r w:rsidR="00BC55DE">
        <w:t>F</w:t>
      </w:r>
      <w:r w:rsidRPr="008F3830">
        <w:t xml:space="preserve">inal </w:t>
      </w:r>
      <w:bookmarkEnd w:id="350"/>
      <w:r w:rsidR="00213E3C">
        <w:t>Decision</w:t>
      </w:r>
      <w:bookmarkEnd w:id="351"/>
    </w:p>
    <w:p w14:paraId="19094A99" w14:textId="0FE03F1F" w:rsidR="00893057" w:rsidRDefault="00A5123D" w:rsidP="00E71D0C">
      <w:pPr>
        <w:pStyle w:val="NumberLevel2"/>
        <w:numPr>
          <w:ilvl w:val="1"/>
          <w:numId w:val="5"/>
        </w:numPr>
        <w:ind w:left="709" w:hanging="709"/>
        <w:rPr>
          <w:lang w:val="en-AU"/>
        </w:rPr>
      </w:pPr>
      <w:r w:rsidRPr="008F3830">
        <w:rPr>
          <w:lang w:val="en-AU"/>
        </w:rPr>
        <w:t xml:space="preserve">The Commission is unable to approve PWC Networks </w:t>
      </w:r>
      <w:r w:rsidR="00306FC6">
        <w:rPr>
          <w:lang w:val="en-AU"/>
        </w:rPr>
        <w:t>statement setting out the details of principles and methods to be used for defining the individual standard network access services to be sup</w:t>
      </w:r>
      <w:r w:rsidR="00521756">
        <w:rPr>
          <w:lang w:val="en-AU"/>
        </w:rPr>
        <w:t>plied by PWC Networks and for es</w:t>
      </w:r>
      <w:r w:rsidR="00306FC6">
        <w:rPr>
          <w:lang w:val="en-AU"/>
        </w:rPr>
        <w:t>tablishing the reference tariffs to apply to those services</w:t>
      </w:r>
      <w:r w:rsidRPr="008F3830">
        <w:rPr>
          <w:lang w:val="en-AU"/>
        </w:rPr>
        <w:t xml:space="preserve"> at this time as the draft </w:t>
      </w:r>
      <w:r w:rsidR="00306FC6">
        <w:rPr>
          <w:lang w:val="en-AU"/>
        </w:rPr>
        <w:t>NPPS</w:t>
      </w:r>
      <w:r w:rsidRPr="008F3830">
        <w:rPr>
          <w:lang w:val="en-AU"/>
        </w:rPr>
        <w:t xml:space="preserve"> may require further amendment following review of PWC Networks</w:t>
      </w:r>
      <w:r w:rsidR="0054040A">
        <w:rPr>
          <w:lang w:val="en-AU"/>
        </w:rPr>
        <w:t>’</w:t>
      </w:r>
      <w:r w:rsidRPr="008F3830">
        <w:rPr>
          <w:lang w:val="en-AU"/>
        </w:rPr>
        <w:t xml:space="preserve"> </w:t>
      </w:r>
      <w:r w:rsidR="00521756">
        <w:rPr>
          <w:lang w:val="en-AU"/>
        </w:rPr>
        <w:t>C</w:t>
      </w:r>
      <w:r w:rsidR="0054040A" w:rsidRPr="008F3830">
        <w:rPr>
          <w:lang w:val="en-AU"/>
        </w:rPr>
        <w:t xml:space="preserve">ost </w:t>
      </w:r>
      <w:r w:rsidRPr="008F3830">
        <w:rPr>
          <w:lang w:val="en-AU"/>
        </w:rPr>
        <w:t xml:space="preserve">of </w:t>
      </w:r>
      <w:r w:rsidR="00521756">
        <w:rPr>
          <w:lang w:val="en-AU"/>
        </w:rPr>
        <w:t>S</w:t>
      </w:r>
      <w:r w:rsidR="0054040A" w:rsidRPr="008F3830">
        <w:rPr>
          <w:lang w:val="en-AU"/>
        </w:rPr>
        <w:t xml:space="preserve">upply </w:t>
      </w:r>
      <w:r w:rsidR="00521756">
        <w:rPr>
          <w:lang w:val="en-AU"/>
        </w:rPr>
        <w:t>m</w:t>
      </w:r>
      <w:r w:rsidRPr="008F3830">
        <w:rPr>
          <w:lang w:val="en-AU"/>
        </w:rPr>
        <w:t xml:space="preserve">odel. </w:t>
      </w:r>
    </w:p>
    <w:p w14:paraId="03617DCF" w14:textId="686CA0A5" w:rsidR="00E71D0C" w:rsidRPr="008F3830" w:rsidRDefault="00A5123D" w:rsidP="00E71D0C">
      <w:pPr>
        <w:pStyle w:val="NumberLevel2"/>
        <w:numPr>
          <w:ilvl w:val="1"/>
          <w:numId w:val="5"/>
        </w:numPr>
        <w:ind w:left="709" w:hanging="709"/>
        <w:rPr>
          <w:lang w:val="en-AU"/>
        </w:rPr>
      </w:pPr>
      <w:r w:rsidRPr="008F3830">
        <w:rPr>
          <w:lang w:val="en-AU"/>
        </w:rPr>
        <w:t xml:space="preserve">The Commission will consider the draft </w:t>
      </w:r>
      <w:r w:rsidR="00306FC6">
        <w:rPr>
          <w:lang w:val="en-AU"/>
        </w:rPr>
        <w:t>NPPS</w:t>
      </w:r>
      <w:r w:rsidRPr="008F3830">
        <w:rPr>
          <w:lang w:val="en-AU"/>
        </w:rPr>
        <w:t xml:space="preserve"> when PWC Networks submits its proposed reference tariffs for standard network access </w:t>
      </w:r>
      <w:r w:rsidR="00306FC6">
        <w:rPr>
          <w:lang w:val="en-AU"/>
        </w:rPr>
        <w:t xml:space="preserve">services for the 2014-15 regulatory year, </w:t>
      </w:r>
      <w:r w:rsidRPr="008F3830">
        <w:rPr>
          <w:lang w:val="en-AU"/>
        </w:rPr>
        <w:t>due by 1 May 2014.</w:t>
      </w:r>
    </w:p>
    <w:p w14:paraId="4E2423C6" w14:textId="77777777" w:rsidR="00E71D0C" w:rsidRPr="00E71D0C" w:rsidRDefault="00E71D0C" w:rsidP="000B465A">
      <w:pPr>
        <w:rPr>
          <w:lang w:val="en-AU"/>
        </w:rPr>
      </w:pPr>
    </w:p>
    <w:tbl>
      <w:tblPr>
        <w:tblW w:w="0" w:type="auto"/>
        <w:tblLayout w:type="fixed"/>
        <w:tblLook w:val="01E0" w:firstRow="1" w:lastRow="1" w:firstColumn="1" w:lastColumn="1" w:noHBand="0" w:noVBand="0"/>
      </w:tblPr>
      <w:tblGrid>
        <w:gridCol w:w="9288"/>
      </w:tblGrid>
      <w:tr w:rsidR="00DF2B83" w14:paraId="6DD64BA4" w14:textId="77777777" w:rsidTr="001D53E7">
        <w:tc>
          <w:tcPr>
            <w:tcW w:w="9288" w:type="dxa"/>
          </w:tcPr>
          <w:p w14:paraId="5B7D37E6" w14:textId="77777777" w:rsidR="00DF2B83" w:rsidRPr="00A554E9" w:rsidRDefault="00DF2B83" w:rsidP="000C1567">
            <w:pPr>
              <w:pStyle w:val="AppendixHeading"/>
              <w:pageBreakBefore/>
            </w:pPr>
            <w:r>
              <w:br w:type="page"/>
            </w:r>
            <w:r w:rsidRPr="00A554E9">
              <w:t>appendix a</w:t>
            </w:r>
          </w:p>
        </w:tc>
      </w:tr>
      <w:tr w:rsidR="00DF2B83" w14:paraId="7317F644" w14:textId="77777777" w:rsidTr="001D53E7">
        <w:tc>
          <w:tcPr>
            <w:tcW w:w="9288" w:type="dxa"/>
          </w:tcPr>
          <w:p w14:paraId="5120D1A8" w14:textId="1C71414B" w:rsidR="00DF2B83" w:rsidRDefault="00FB1607">
            <w:pPr>
              <w:pStyle w:val="UtilComChapterHeading"/>
            </w:pPr>
            <w:bookmarkStart w:id="352" w:name="_Toc385241600"/>
            <w:bookmarkStart w:id="353" w:name="_Toc386013152"/>
            <w:r>
              <w:t>N</w:t>
            </w:r>
            <w:r w:rsidR="00AB1729">
              <w:t>etwork</w:t>
            </w:r>
            <w:r w:rsidR="00EA7AE8">
              <w:t xml:space="preserve"> </w:t>
            </w:r>
            <w:r w:rsidR="00BC55DE">
              <w:t>Service C</w:t>
            </w:r>
            <w:r w:rsidR="00EA7AE8">
              <w:t>lassification</w:t>
            </w:r>
            <w:bookmarkEnd w:id="352"/>
            <w:bookmarkEnd w:id="353"/>
            <w:r w:rsidR="00AB1729">
              <w:t xml:space="preserve"> </w:t>
            </w:r>
          </w:p>
        </w:tc>
      </w:tr>
    </w:tbl>
    <w:p w14:paraId="794F7F8B" w14:textId="271D3871" w:rsidR="00FB1607" w:rsidRDefault="00FB1607" w:rsidP="006E3A87"/>
    <w:p w14:paraId="264ABBCB" w14:textId="77777777" w:rsidR="00314CE4" w:rsidRDefault="00FB1607" w:rsidP="00204DF6">
      <w:pPr>
        <w:pStyle w:val="UtilComHeading3"/>
      </w:pPr>
      <w:r>
        <w:t>PWC Networks service classification</w:t>
      </w:r>
    </w:p>
    <w:p w14:paraId="7357CADC" w14:textId="77777777" w:rsidR="00314CE4" w:rsidRDefault="00314CE4" w:rsidP="00314CE4"/>
    <w:p w14:paraId="038B2491" w14:textId="1C132FCB" w:rsidR="00204DF6" w:rsidRPr="00BE238D" w:rsidRDefault="00204DF6" w:rsidP="00204DF6">
      <w:pPr>
        <w:pStyle w:val="UtilComHeading3"/>
      </w:pPr>
      <w:r>
        <w:t>Regulated network access services</w:t>
      </w:r>
    </w:p>
    <w:tbl>
      <w:tblPr>
        <w:tblStyle w:val="TableGrid"/>
        <w:tblW w:w="9214" w:type="dxa"/>
        <w:tblInd w:w="57"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ook w:val="01E0" w:firstRow="1" w:lastRow="1" w:firstColumn="1" w:lastColumn="1" w:noHBand="0" w:noVBand="0"/>
      </w:tblPr>
      <w:tblGrid>
        <w:gridCol w:w="2835"/>
        <w:gridCol w:w="6379"/>
      </w:tblGrid>
      <w:tr w:rsidR="00314CE4" w:rsidRPr="00BE238D" w14:paraId="1A54C810" w14:textId="77777777" w:rsidTr="008E229D">
        <w:trPr>
          <w:cantSplit/>
          <w:trHeight w:val="357"/>
          <w:tblHeader/>
        </w:trPr>
        <w:tc>
          <w:tcPr>
            <w:tcW w:w="2835" w:type="dxa"/>
            <w:tcBorders>
              <w:bottom w:val="single" w:sz="6" w:space="0" w:color="auto"/>
            </w:tcBorders>
            <w:tcMar>
              <w:top w:w="0" w:type="dxa"/>
              <w:left w:w="57" w:type="dxa"/>
              <w:bottom w:w="28" w:type="dxa"/>
              <w:right w:w="57" w:type="dxa"/>
            </w:tcMar>
            <w:vAlign w:val="bottom"/>
          </w:tcPr>
          <w:p w14:paraId="617EEC82" w14:textId="77777777" w:rsidR="00314CE4" w:rsidRPr="00BE238D" w:rsidRDefault="00314CE4" w:rsidP="00056708">
            <w:pPr>
              <w:pStyle w:val="UtilComTabletext"/>
              <w:spacing w:line="280" w:lineRule="exact"/>
              <w:rPr>
                <w:b/>
              </w:rPr>
            </w:pPr>
            <w:r>
              <w:rPr>
                <w:b/>
              </w:rPr>
              <w:t>Service group</w:t>
            </w:r>
          </w:p>
        </w:tc>
        <w:tc>
          <w:tcPr>
            <w:tcW w:w="6379" w:type="dxa"/>
            <w:tcBorders>
              <w:bottom w:val="single" w:sz="6" w:space="0" w:color="auto"/>
            </w:tcBorders>
            <w:tcMar>
              <w:top w:w="0" w:type="dxa"/>
              <w:left w:w="57" w:type="dxa"/>
              <w:bottom w:w="28" w:type="dxa"/>
              <w:right w:w="57" w:type="dxa"/>
            </w:tcMar>
            <w:vAlign w:val="bottom"/>
          </w:tcPr>
          <w:p w14:paraId="5D442538" w14:textId="77777777" w:rsidR="00314CE4" w:rsidRPr="00BE238D" w:rsidRDefault="00314CE4" w:rsidP="00056708">
            <w:pPr>
              <w:pStyle w:val="UtilComTabletext"/>
              <w:spacing w:line="280" w:lineRule="exact"/>
              <w:rPr>
                <w:b/>
              </w:rPr>
            </w:pPr>
            <w:r>
              <w:rPr>
                <w:b/>
              </w:rPr>
              <w:t>Activities description</w:t>
            </w:r>
          </w:p>
        </w:tc>
      </w:tr>
      <w:tr w:rsidR="00314CE4" w:rsidRPr="00A27183" w14:paraId="21ED9DDD" w14:textId="77777777" w:rsidTr="008E229D">
        <w:trPr>
          <w:cantSplit/>
          <w:trHeight w:val="357"/>
        </w:trPr>
        <w:tc>
          <w:tcPr>
            <w:tcW w:w="2835" w:type="dxa"/>
            <w:tcBorders>
              <w:top w:val="single" w:sz="6" w:space="0" w:color="auto"/>
            </w:tcBorders>
            <w:tcMar>
              <w:top w:w="0" w:type="dxa"/>
              <w:left w:w="57" w:type="dxa"/>
              <w:bottom w:w="28" w:type="dxa"/>
              <w:right w:w="57" w:type="dxa"/>
            </w:tcMar>
          </w:tcPr>
          <w:p w14:paraId="616662D6" w14:textId="77777777" w:rsidR="00314CE4" w:rsidRPr="00A27183" w:rsidRDefault="00314CE4" w:rsidP="00056708">
            <w:pPr>
              <w:pStyle w:val="UtilComTabletext"/>
              <w:spacing w:line="280" w:lineRule="exact"/>
            </w:pPr>
            <w:r>
              <w:t>Network service (mandated standard)</w:t>
            </w:r>
          </w:p>
        </w:tc>
        <w:tc>
          <w:tcPr>
            <w:tcW w:w="6379" w:type="dxa"/>
            <w:tcBorders>
              <w:top w:val="single" w:sz="6" w:space="0" w:color="auto"/>
            </w:tcBorders>
            <w:tcMar>
              <w:top w:w="0" w:type="dxa"/>
              <w:left w:w="57" w:type="dxa"/>
              <w:bottom w:w="28" w:type="dxa"/>
              <w:right w:w="57" w:type="dxa"/>
            </w:tcMar>
          </w:tcPr>
          <w:p w14:paraId="7F385369" w14:textId="77777777" w:rsidR="00314CE4" w:rsidRDefault="00314CE4" w:rsidP="00056708">
            <w:pPr>
              <w:pStyle w:val="UtilComTabletext"/>
              <w:spacing w:line="280" w:lineRule="exact"/>
            </w:pPr>
            <w:r>
              <w:t>Network services include:</w:t>
            </w:r>
          </w:p>
          <w:p w14:paraId="53F96C74" w14:textId="115D634D" w:rsidR="00314CE4" w:rsidRDefault="00314CE4" w:rsidP="00243FBE">
            <w:pPr>
              <w:pStyle w:val="UtilComTabletext"/>
              <w:numPr>
                <w:ilvl w:val="0"/>
                <w:numId w:val="20"/>
              </w:numPr>
              <w:spacing w:line="280" w:lineRule="exact"/>
            </w:pPr>
            <w:r>
              <w:t xml:space="preserve">planning, designing and constructing the </w:t>
            </w:r>
            <w:r w:rsidR="006F18A5">
              <w:t xml:space="preserve">electricity </w:t>
            </w:r>
            <w:r>
              <w:t>network;</w:t>
            </w:r>
          </w:p>
          <w:p w14:paraId="22C2871E" w14:textId="46B733D9" w:rsidR="00314CE4" w:rsidRDefault="00314CE4" w:rsidP="00243FBE">
            <w:pPr>
              <w:pStyle w:val="UtilComTabletext"/>
              <w:numPr>
                <w:ilvl w:val="0"/>
                <w:numId w:val="20"/>
              </w:numPr>
              <w:spacing w:line="280" w:lineRule="exact"/>
            </w:pPr>
            <w:r>
              <w:t xml:space="preserve">maintaining and operating the </w:t>
            </w:r>
            <w:r w:rsidR="006F18A5">
              <w:t xml:space="preserve">electricity </w:t>
            </w:r>
            <w:r>
              <w:t>network; and</w:t>
            </w:r>
          </w:p>
          <w:p w14:paraId="41FA467F" w14:textId="7F834E88" w:rsidR="00314CE4" w:rsidRDefault="00314CE4" w:rsidP="00243FBE">
            <w:pPr>
              <w:pStyle w:val="UtilComTabletext"/>
              <w:numPr>
                <w:ilvl w:val="0"/>
                <w:numId w:val="20"/>
              </w:numPr>
              <w:spacing w:line="280" w:lineRule="exact"/>
            </w:pPr>
            <w:r>
              <w:t>emergency response and administrative support;</w:t>
            </w:r>
          </w:p>
          <w:p w14:paraId="4FE566CA" w14:textId="601E9C41" w:rsidR="00314CE4" w:rsidRDefault="00314CE4" w:rsidP="00314CE4">
            <w:pPr>
              <w:pStyle w:val="UtilComTabletext"/>
              <w:spacing w:line="280" w:lineRule="exact"/>
            </w:pPr>
            <w:r>
              <w:t>to the standards provided for in the Network Technical Code, and in accordance with good electricity</w:t>
            </w:r>
            <w:r w:rsidR="006F18A5">
              <w:t xml:space="preserve"> industry</w:t>
            </w:r>
            <w:r>
              <w:t xml:space="preserve"> practice.</w:t>
            </w:r>
          </w:p>
          <w:p w14:paraId="1BC64FBC" w14:textId="28E235D2" w:rsidR="00314CE4" w:rsidRPr="00A27183" w:rsidRDefault="00314CE4" w:rsidP="002165F7">
            <w:pPr>
              <w:pStyle w:val="UtilComTabletext"/>
              <w:spacing w:line="280" w:lineRule="exact"/>
            </w:pPr>
            <w:r>
              <w:t xml:space="preserve">Network Services are services provided using the shared </w:t>
            </w:r>
            <w:r w:rsidR="006F18A5">
              <w:t xml:space="preserve">electricity </w:t>
            </w:r>
            <w:r>
              <w:t xml:space="preserve">network, to all users connected to the </w:t>
            </w:r>
            <w:r w:rsidR="006F18A5">
              <w:t xml:space="preserve">electricity </w:t>
            </w:r>
            <w:r>
              <w:t>network. They do not include Connection Services which make use of assets dedicated to the supply of a single network user</w:t>
            </w:r>
            <w:r w:rsidR="00521756">
              <w:t>.</w:t>
            </w:r>
            <w:r>
              <w:t xml:space="preserve"> </w:t>
            </w:r>
          </w:p>
        </w:tc>
      </w:tr>
      <w:tr w:rsidR="00314CE4" w:rsidRPr="00A27183" w14:paraId="21C8EC77" w14:textId="77777777" w:rsidTr="008E229D">
        <w:trPr>
          <w:cantSplit/>
          <w:trHeight w:val="357"/>
        </w:trPr>
        <w:tc>
          <w:tcPr>
            <w:tcW w:w="2835" w:type="dxa"/>
            <w:tcMar>
              <w:top w:w="0" w:type="dxa"/>
              <w:left w:w="57" w:type="dxa"/>
              <w:bottom w:w="28" w:type="dxa"/>
              <w:right w:w="57" w:type="dxa"/>
            </w:tcMar>
          </w:tcPr>
          <w:p w14:paraId="43CC277A" w14:textId="2C0525A9" w:rsidR="00314CE4" w:rsidRPr="00A27183" w:rsidRDefault="00314CE4" w:rsidP="00314CE4">
            <w:pPr>
              <w:pStyle w:val="UtilComTabletext"/>
              <w:spacing w:line="280" w:lineRule="exact"/>
            </w:pPr>
            <w:r>
              <w:t>U</w:t>
            </w:r>
            <w:r w:rsidR="00E00B7B">
              <w:t>n</w:t>
            </w:r>
            <w:r>
              <w:t xml:space="preserve">metered supply (energy delivery) service </w:t>
            </w:r>
          </w:p>
        </w:tc>
        <w:tc>
          <w:tcPr>
            <w:tcW w:w="6379" w:type="dxa"/>
            <w:tcMar>
              <w:top w:w="0" w:type="dxa"/>
              <w:left w:w="57" w:type="dxa"/>
              <w:bottom w:w="28" w:type="dxa"/>
              <w:right w:w="57" w:type="dxa"/>
            </w:tcMar>
          </w:tcPr>
          <w:p w14:paraId="0A134EF6" w14:textId="1E115663" w:rsidR="00314CE4" w:rsidRPr="00A27183" w:rsidRDefault="00314CE4" w:rsidP="00314CE4">
            <w:pPr>
              <w:pStyle w:val="UtilComTabletext"/>
              <w:spacing w:line="280" w:lineRule="exact"/>
            </w:pPr>
            <w:r>
              <w:t xml:space="preserve">Network services (energy </w:t>
            </w:r>
            <w:r w:rsidR="00E00B7B">
              <w:t>delivery</w:t>
            </w:r>
            <w:r>
              <w:t>) provided to unmetered supplies such as street lights, traffic lights, advertising signs, CCTV cameras and similar applications where energy consumption may reasonably be estimated and it is not economic or practical to install, maintain and read a meter.</w:t>
            </w:r>
          </w:p>
        </w:tc>
      </w:tr>
      <w:tr w:rsidR="00314CE4" w:rsidRPr="00A27183" w14:paraId="23CB7324" w14:textId="77777777" w:rsidTr="008E229D">
        <w:trPr>
          <w:cantSplit/>
          <w:trHeight w:val="357"/>
        </w:trPr>
        <w:tc>
          <w:tcPr>
            <w:tcW w:w="2835" w:type="dxa"/>
            <w:tcMar>
              <w:top w:w="0" w:type="dxa"/>
              <w:left w:w="57" w:type="dxa"/>
              <w:bottom w:w="28" w:type="dxa"/>
              <w:right w:w="57" w:type="dxa"/>
            </w:tcMar>
          </w:tcPr>
          <w:p w14:paraId="4ED5FD07" w14:textId="77777777" w:rsidR="00314CE4" w:rsidRPr="00A27183" w:rsidRDefault="00314CE4" w:rsidP="00056708">
            <w:pPr>
              <w:pStyle w:val="UtilComTabletext"/>
              <w:spacing w:line="280" w:lineRule="exact"/>
            </w:pPr>
            <w:r>
              <w:t>Connection services (mandated standard)</w:t>
            </w:r>
          </w:p>
        </w:tc>
        <w:tc>
          <w:tcPr>
            <w:tcW w:w="6379" w:type="dxa"/>
            <w:tcMar>
              <w:top w:w="0" w:type="dxa"/>
              <w:left w:w="57" w:type="dxa"/>
              <w:bottom w:w="28" w:type="dxa"/>
              <w:right w:w="57" w:type="dxa"/>
            </w:tcMar>
          </w:tcPr>
          <w:p w14:paraId="0258C5CC" w14:textId="1A2BDA07" w:rsidR="00314CE4" w:rsidRDefault="00314CE4" w:rsidP="00056708">
            <w:pPr>
              <w:pStyle w:val="UtilComTabletext"/>
              <w:spacing w:line="280" w:lineRule="exact"/>
            </w:pPr>
            <w:r>
              <w:t>Connection services include:</w:t>
            </w:r>
          </w:p>
          <w:p w14:paraId="22A8C4D4" w14:textId="0AF8267C" w:rsidR="00314CE4" w:rsidRDefault="00314CE4" w:rsidP="00243FBE">
            <w:pPr>
              <w:pStyle w:val="UtilComTabletext"/>
              <w:numPr>
                <w:ilvl w:val="0"/>
                <w:numId w:val="21"/>
              </w:numPr>
              <w:spacing w:line="280" w:lineRule="exact"/>
            </w:pPr>
            <w:r>
              <w:t>commissioning of connection assets;</w:t>
            </w:r>
          </w:p>
          <w:p w14:paraId="3F93C8D1" w14:textId="45C13C76" w:rsidR="00314CE4" w:rsidRDefault="00314CE4" w:rsidP="00243FBE">
            <w:pPr>
              <w:pStyle w:val="UtilComTabletext"/>
              <w:numPr>
                <w:ilvl w:val="0"/>
                <w:numId w:val="21"/>
              </w:numPr>
              <w:spacing w:line="280" w:lineRule="exact"/>
            </w:pPr>
            <w:r>
              <w:t>service connection;</w:t>
            </w:r>
          </w:p>
          <w:p w14:paraId="238BD591" w14:textId="31F75875" w:rsidR="00314CE4" w:rsidRDefault="00314CE4" w:rsidP="00243FBE">
            <w:pPr>
              <w:pStyle w:val="UtilComTabletext"/>
              <w:numPr>
                <w:ilvl w:val="0"/>
                <w:numId w:val="21"/>
              </w:numPr>
              <w:spacing w:line="280" w:lineRule="exact"/>
            </w:pPr>
            <w:r>
              <w:t>installation inspection; and</w:t>
            </w:r>
          </w:p>
          <w:p w14:paraId="44E01EE1" w14:textId="2FAFB9DD" w:rsidR="00314CE4" w:rsidRDefault="00314CE4" w:rsidP="00243FBE">
            <w:pPr>
              <w:pStyle w:val="UtilComTabletext"/>
              <w:numPr>
                <w:ilvl w:val="0"/>
                <w:numId w:val="21"/>
              </w:numPr>
              <w:spacing w:line="280" w:lineRule="exact"/>
            </w:pPr>
            <w:r>
              <w:t>operating and maintaining connection assets</w:t>
            </w:r>
            <w:r w:rsidR="00DB74AA">
              <w:t>,</w:t>
            </w:r>
          </w:p>
          <w:p w14:paraId="682724E5" w14:textId="5D21984C" w:rsidR="00314CE4" w:rsidRDefault="00314CE4" w:rsidP="00314CE4">
            <w:pPr>
              <w:pStyle w:val="UtilComTabletext"/>
              <w:spacing w:line="280" w:lineRule="exact"/>
            </w:pPr>
            <w:r>
              <w:t xml:space="preserve">to the standard provided for in the Network Technical Code, and in accordance with good electricity </w:t>
            </w:r>
            <w:r w:rsidR="006F18A5">
              <w:t xml:space="preserve">industry </w:t>
            </w:r>
            <w:r>
              <w:t>practice.</w:t>
            </w:r>
          </w:p>
          <w:p w14:paraId="468CD4C5" w14:textId="40BF5C1A" w:rsidR="00314CE4" w:rsidRPr="00A27183" w:rsidRDefault="00314CE4" w:rsidP="00314CE4">
            <w:pPr>
              <w:pStyle w:val="UtilComTabletext"/>
              <w:spacing w:line="280" w:lineRule="exact"/>
            </w:pPr>
            <w:r>
              <w:t>Connection Services are provided at the request of a network user and are dedicated to the individual network user. Connection assets include all of the dedicated electrical equipment that is used to transfer electricity to (entry) or from (exit) the shared electricity network at the connection point.</w:t>
            </w:r>
          </w:p>
        </w:tc>
      </w:tr>
      <w:tr w:rsidR="00314CE4" w:rsidRPr="00A27183" w14:paraId="5B2681DD" w14:textId="77777777" w:rsidTr="008E229D">
        <w:trPr>
          <w:cantSplit/>
          <w:trHeight w:val="357"/>
        </w:trPr>
        <w:tc>
          <w:tcPr>
            <w:tcW w:w="2835" w:type="dxa"/>
            <w:tcMar>
              <w:top w:w="0" w:type="dxa"/>
              <w:left w:w="57" w:type="dxa"/>
              <w:bottom w:w="28" w:type="dxa"/>
              <w:right w:w="57" w:type="dxa"/>
            </w:tcMar>
          </w:tcPr>
          <w:p w14:paraId="72213736" w14:textId="017248F8" w:rsidR="00314CE4" w:rsidRPr="00A27183" w:rsidRDefault="00314CE4" w:rsidP="00056708">
            <w:pPr>
              <w:pStyle w:val="UtilComTabletext"/>
              <w:spacing w:line="280" w:lineRule="exact"/>
            </w:pPr>
            <w:r>
              <w:t>Metering services (mandated standard)</w:t>
            </w:r>
          </w:p>
        </w:tc>
        <w:tc>
          <w:tcPr>
            <w:tcW w:w="6379" w:type="dxa"/>
            <w:tcMar>
              <w:top w:w="0" w:type="dxa"/>
              <w:left w:w="57" w:type="dxa"/>
              <w:bottom w:w="28" w:type="dxa"/>
              <w:right w:w="57" w:type="dxa"/>
            </w:tcMar>
          </w:tcPr>
          <w:p w14:paraId="4F7247A1" w14:textId="0713BC20" w:rsidR="00314CE4" w:rsidRDefault="00314CE4" w:rsidP="00056708">
            <w:pPr>
              <w:pStyle w:val="UtilComTabletext"/>
              <w:spacing w:line="280" w:lineRule="exact"/>
            </w:pPr>
            <w:r>
              <w:t>Metering services, including meter data services, provide the means by which</w:t>
            </w:r>
            <w:r w:rsidR="00D12FC8">
              <w:t xml:space="preserve"> </w:t>
            </w:r>
            <w:r>
              <w:t>the electricity that is transferred to or from a network user is measured at a connection point.</w:t>
            </w:r>
          </w:p>
          <w:p w14:paraId="7F4FFA17" w14:textId="6F736063" w:rsidR="00314CE4" w:rsidRDefault="00314CE4" w:rsidP="00056708">
            <w:pPr>
              <w:pStyle w:val="UtilComTabletext"/>
              <w:spacing w:line="280" w:lineRule="exact"/>
            </w:pPr>
            <w:r>
              <w:t>Metering services</w:t>
            </w:r>
            <w:r w:rsidR="00D12FC8">
              <w:t xml:space="preserve"> include, but are not necessaril</w:t>
            </w:r>
            <w:r>
              <w:t>y limited to:</w:t>
            </w:r>
          </w:p>
          <w:p w14:paraId="3A3A3EB7" w14:textId="6514253F" w:rsidR="00314CE4" w:rsidRDefault="00314CE4" w:rsidP="00243FBE">
            <w:pPr>
              <w:pStyle w:val="UtilComTabletext"/>
              <w:numPr>
                <w:ilvl w:val="0"/>
                <w:numId w:val="22"/>
              </w:numPr>
              <w:spacing w:line="280" w:lineRule="exact"/>
            </w:pPr>
            <w:r>
              <w:t xml:space="preserve">provision, installation and commissioning of metering </w:t>
            </w:r>
            <w:r w:rsidR="00D12FC8">
              <w:t>assets; and</w:t>
            </w:r>
          </w:p>
          <w:p w14:paraId="6784BDC8" w14:textId="7C5F2D21" w:rsidR="00314CE4" w:rsidRDefault="00D12FC8" w:rsidP="00243FBE">
            <w:pPr>
              <w:pStyle w:val="UtilComTabletext"/>
              <w:numPr>
                <w:ilvl w:val="0"/>
                <w:numId w:val="22"/>
              </w:numPr>
              <w:spacing w:line="280" w:lineRule="exact"/>
            </w:pPr>
            <w:r>
              <w:t xml:space="preserve">periodic accuracy </w:t>
            </w:r>
            <w:r w:rsidR="00314CE4">
              <w:t>testing, maintenance and replacement of metering assets</w:t>
            </w:r>
            <w:r w:rsidR="00DB74AA">
              <w:t>,</w:t>
            </w:r>
          </w:p>
          <w:p w14:paraId="7D503E7B" w14:textId="6CDC8A80" w:rsidR="00D12FC8" w:rsidRDefault="00D12FC8" w:rsidP="00056708">
            <w:pPr>
              <w:pStyle w:val="UtilComTabletext"/>
              <w:spacing w:line="280" w:lineRule="exact"/>
            </w:pPr>
            <w:r>
              <w:t xml:space="preserve">to meet legislated accuracy requirements and conform to good </w:t>
            </w:r>
            <w:r w:rsidR="006F18A5">
              <w:t xml:space="preserve">electricity </w:t>
            </w:r>
            <w:r>
              <w:t>industry practice.</w:t>
            </w:r>
          </w:p>
          <w:p w14:paraId="5CB5580B" w14:textId="1AA16640" w:rsidR="00D12FC8" w:rsidRDefault="00314CE4" w:rsidP="00056708">
            <w:pPr>
              <w:pStyle w:val="UtilComTabletext"/>
              <w:spacing w:line="280" w:lineRule="exact"/>
            </w:pPr>
            <w:r>
              <w:t>Meter data services</w:t>
            </w:r>
            <w:r w:rsidR="00D12FC8">
              <w:t xml:space="preserve"> include by are not necessarily limited to:</w:t>
            </w:r>
          </w:p>
          <w:p w14:paraId="345DE745" w14:textId="3C587374" w:rsidR="00D12FC8" w:rsidRDefault="00D12FC8" w:rsidP="00243FBE">
            <w:pPr>
              <w:pStyle w:val="UtilComTabletext"/>
              <w:numPr>
                <w:ilvl w:val="0"/>
                <w:numId w:val="23"/>
              </w:numPr>
              <w:spacing w:line="280" w:lineRule="exact"/>
            </w:pPr>
            <w:r>
              <w:t>meter reading, either locally or remotely;</w:t>
            </w:r>
            <w:r w:rsidR="00314CE4">
              <w:t xml:space="preserve"> </w:t>
            </w:r>
          </w:p>
          <w:p w14:paraId="48E540B4" w14:textId="3CDC67F0" w:rsidR="00D12FC8" w:rsidRDefault="00D12FC8" w:rsidP="00243FBE">
            <w:pPr>
              <w:pStyle w:val="UtilComTabletext"/>
              <w:numPr>
                <w:ilvl w:val="0"/>
                <w:numId w:val="23"/>
              </w:numPr>
              <w:spacing w:line="280" w:lineRule="exact"/>
            </w:pPr>
            <w:r>
              <w:t>collection</w:t>
            </w:r>
            <w:r w:rsidR="00314CE4">
              <w:t>, storage and management of metering data</w:t>
            </w:r>
            <w:r>
              <w:t>;</w:t>
            </w:r>
            <w:r w:rsidR="00314CE4">
              <w:t xml:space="preserve"> and </w:t>
            </w:r>
          </w:p>
          <w:p w14:paraId="6A71908C" w14:textId="15CC4754" w:rsidR="00314CE4" w:rsidRDefault="00314CE4" w:rsidP="00243FBE">
            <w:pPr>
              <w:pStyle w:val="UtilComTabletext"/>
              <w:numPr>
                <w:ilvl w:val="0"/>
                <w:numId w:val="23"/>
              </w:numPr>
              <w:spacing w:line="280" w:lineRule="exact"/>
            </w:pPr>
            <w:r>
              <w:t>routine transfer of data to participant billing systems</w:t>
            </w:r>
            <w:r w:rsidR="00DB74AA">
              <w:t>,</w:t>
            </w:r>
          </w:p>
          <w:p w14:paraId="1DB434E5" w14:textId="63BA4A1B" w:rsidR="00D12FC8" w:rsidRDefault="00D12FC8" w:rsidP="00056708">
            <w:pPr>
              <w:pStyle w:val="UtilComTabletext"/>
              <w:spacing w:line="280" w:lineRule="exact"/>
            </w:pPr>
            <w:r>
              <w:t xml:space="preserve">to meet legislated accuracy requirements and conform to good </w:t>
            </w:r>
            <w:r w:rsidR="006F18A5">
              <w:t xml:space="preserve">electricity </w:t>
            </w:r>
            <w:r>
              <w:t>industry practice.</w:t>
            </w:r>
          </w:p>
          <w:p w14:paraId="21C34478" w14:textId="6E8C2EFD" w:rsidR="00314CE4" w:rsidRPr="00A27183" w:rsidRDefault="00D12FC8" w:rsidP="00056708">
            <w:pPr>
              <w:pStyle w:val="UtilComTabletext"/>
              <w:spacing w:line="280" w:lineRule="exact"/>
            </w:pPr>
            <w:r>
              <w:t>Where supply is unmetered, consumption is estimated at the connection point.</w:t>
            </w:r>
          </w:p>
        </w:tc>
      </w:tr>
    </w:tbl>
    <w:p w14:paraId="159C50CB" w14:textId="255DE73F" w:rsidR="00204DF6" w:rsidRDefault="00204DF6" w:rsidP="00056708">
      <w:pPr>
        <w:pStyle w:val="UtilComTabletext"/>
        <w:tabs>
          <w:tab w:val="left" w:pos="2608"/>
          <w:tab w:val="left" w:pos="5160"/>
        </w:tabs>
        <w:spacing w:line="280" w:lineRule="exact"/>
        <w:ind w:left="57"/>
      </w:pPr>
    </w:p>
    <w:p w14:paraId="15A12C16" w14:textId="5ED67E20" w:rsidR="00204DF6" w:rsidRPr="00BE238D" w:rsidRDefault="00204DF6" w:rsidP="00204DF6">
      <w:pPr>
        <w:pStyle w:val="UtilComHeading3"/>
      </w:pPr>
      <w:r>
        <w:t>Excluded network access services not subject to effective competition</w:t>
      </w:r>
    </w:p>
    <w:tbl>
      <w:tblPr>
        <w:tblStyle w:val="TableGrid"/>
        <w:tblW w:w="9214" w:type="dxa"/>
        <w:tblInd w:w="57"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ook w:val="01E0" w:firstRow="1" w:lastRow="1" w:firstColumn="1" w:lastColumn="1" w:noHBand="0" w:noVBand="0"/>
      </w:tblPr>
      <w:tblGrid>
        <w:gridCol w:w="2835"/>
        <w:gridCol w:w="6379"/>
      </w:tblGrid>
      <w:tr w:rsidR="00D8675C" w:rsidRPr="00BE238D" w14:paraId="54715D9F" w14:textId="77777777" w:rsidTr="008E229D">
        <w:trPr>
          <w:cantSplit/>
          <w:trHeight w:val="357"/>
          <w:tblHeader/>
        </w:trPr>
        <w:tc>
          <w:tcPr>
            <w:tcW w:w="2835" w:type="dxa"/>
            <w:tcBorders>
              <w:bottom w:val="single" w:sz="6" w:space="0" w:color="A6A6A6" w:themeColor="background1" w:themeShade="A6"/>
            </w:tcBorders>
            <w:tcMar>
              <w:top w:w="0" w:type="dxa"/>
              <w:left w:w="57" w:type="dxa"/>
              <w:bottom w:w="28" w:type="dxa"/>
              <w:right w:w="57" w:type="dxa"/>
            </w:tcMar>
            <w:vAlign w:val="bottom"/>
          </w:tcPr>
          <w:p w14:paraId="1C826B43" w14:textId="77777777" w:rsidR="00D8675C" w:rsidRPr="00BE238D" w:rsidRDefault="00D8675C" w:rsidP="00314CE4">
            <w:pPr>
              <w:pStyle w:val="UtilComTabletext"/>
              <w:spacing w:line="280" w:lineRule="exact"/>
              <w:rPr>
                <w:b/>
              </w:rPr>
            </w:pPr>
            <w:r>
              <w:rPr>
                <w:b/>
              </w:rPr>
              <w:t>Service group</w:t>
            </w:r>
          </w:p>
        </w:tc>
        <w:tc>
          <w:tcPr>
            <w:tcW w:w="6379" w:type="dxa"/>
            <w:tcBorders>
              <w:bottom w:val="single" w:sz="6" w:space="0" w:color="A6A6A6" w:themeColor="background1" w:themeShade="A6"/>
            </w:tcBorders>
            <w:tcMar>
              <w:top w:w="0" w:type="dxa"/>
              <w:left w:w="57" w:type="dxa"/>
              <w:bottom w:w="28" w:type="dxa"/>
              <w:right w:w="57" w:type="dxa"/>
            </w:tcMar>
            <w:vAlign w:val="bottom"/>
          </w:tcPr>
          <w:p w14:paraId="5259A73B" w14:textId="77777777" w:rsidR="00D8675C" w:rsidRPr="00BE238D" w:rsidRDefault="00D8675C" w:rsidP="00314CE4">
            <w:pPr>
              <w:pStyle w:val="UtilComTabletext"/>
              <w:spacing w:line="280" w:lineRule="exact"/>
              <w:rPr>
                <w:b/>
              </w:rPr>
            </w:pPr>
            <w:r>
              <w:rPr>
                <w:b/>
              </w:rPr>
              <w:t>Activities description</w:t>
            </w:r>
          </w:p>
        </w:tc>
      </w:tr>
      <w:tr w:rsidR="006633DF" w:rsidRPr="00A27183" w14:paraId="625B8312" w14:textId="77777777" w:rsidTr="006A4545">
        <w:trPr>
          <w:cantSplit/>
          <w:trHeight w:val="357"/>
        </w:trPr>
        <w:tc>
          <w:tcPr>
            <w:tcW w:w="2835" w:type="dxa"/>
            <w:tcBorders>
              <w:top w:val="single" w:sz="6" w:space="0" w:color="A6A6A6" w:themeColor="background1" w:themeShade="A6"/>
            </w:tcBorders>
            <w:tcMar>
              <w:top w:w="0" w:type="dxa"/>
              <w:left w:w="57" w:type="dxa"/>
              <w:bottom w:w="28" w:type="dxa"/>
              <w:right w:w="57" w:type="dxa"/>
            </w:tcMar>
          </w:tcPr>
          <w:p w14:paraId="0C706CFF" w14:textId="6BC023D3" w:rsidR="006633DF" w:rsidRPr="008E229D" w:rsidRDefault="006633DF" w:rsidP="00056708">
            <w:pPr>
              <w:pStyle w:val="UtilComTabletext"/>
              <w:spacing w:line="280" w:lineRule="exact"/>
              <w:rPr>
                <w:b/>
                <w:u w:val="single"/>
              </w:rPr>
            </w:pPr>
            <w:r w:rsidRPr="008E229D">
              <w:rPr>
                <w:b/>
                <w:u w:val="single"/>
              </w:rPr>
              <w:t>Quoted services</w:t>
            </w:r>
          </w:p>
        </w:tc>
        <w:tc>
          <w:tcPr>
            <w:tcW w:w="6379" w:type="dxa"/>
            <w:tcBorders>
              <w:top w:val="single" w:sz="6" w:space="0" w:color="A6A6A6" w:themeColor="background1" w:themeShade="A6"/>
            </w:tcBorders>
            <w:tcMar>
              <w:top w:w="0" w:type="dxa"/>
              <w:left w:w="57" w:type="dxa"/>
              <w:bottom w:w="28" w:type="dxa"/>
              <w:right w:w="57" w:type="dxa"/>
            </w:tcMar>
          </w:tcPr>
          <w:p w14:paraId="50121FD1" w14:textId="77777777" w:rsidR="006633DF" w:rsidRDefault="006633DF" w:rsidP="00056708">
            <w:pPr>
              <w:pStyle w:val="UtilComTabletext"/>
              <w:spacing w:line="280" w:lineRule="exact"/>
            </w:pPr>
          </w:p>
        </w:tc>
      </w:tr>
      <w:tr w:rsidR="00D8675C" w:rsidRPr="00A27183" w14:paraId="19D37B48" w14:textId="77777777" w:rsidTr="008E229D">
        <w:trPr>
          <w:cantSplit/>
          <w:trHeight w:val="357"/>
        </w:trPr>
        <w:tc>
          <w:tcPr>
            <w:tcW w:w="2835" w:type="dxa"/>
            <w:tcBorders>
              <w:top w:val="single" w:sz="6" w:space="0" w:color="A6A6A6" w:themeColor="background1" w:themeShade="A6"/>
            </w:tcBorders>
            <w:tcMar>
              <w:top w:w="0" w:type="dxa"/>
              <w:left w:w="57" w:type="dxa"/>
              <w:bottom w:w="28" w:type="dxa"/>
              <w:right w:w="57" w:type="dxa"/>
            </w:tcMar>
          </w:tcPr>
          <w:p w14:paraId="66ADFE49" w14:textId="12F380B8" w:rsidR="00D8675C" w:rsidRDefault="00D8675C" w:rsidP="00056708">
            <w:pPr>
              <w:pStyle w:val="UtilComTabletext"/>
              <w:spacing w:line="280" w:lineRule="exact"/>
            </w:pPr>
            <w:r>
              <w:t xml:space="preserve">Quoted network services </w:t>
            </w:r>
          </w:p>
          <w:p w14:paraId="3C01330D" w14:textId="229DE066" w:rsidR="00D8675C" w:rsidRPr="00A27183" w:rsidRDefault="00D8675C" w:rsidP="00D8675C">
            <w:pPr>
              <w:pStyle w:val="UtilComTabletext"/>
              <w:spacing w:line="280" w:lineRule="exact"/>
            </w:pPr>
          </w:p>
        </w:tc>
        <w:tc>
          <w:tcPr>
            <w:tcW w:w="6379" w:type="dxa"/>
            <w:tcBorders>
              <w:top w:val="single" w:sz="6" w:space="0" w:color="A6A6A6" w:themeColor="background1" w:themeShade="A6"/>
            </w:tcBorders>
            <w:tcMar>
              <w:top w:w="0" w:type="dxa"/>
              <w:left w:w="57" w:type="dxa"/>
              <w:bottom w:w="28" w:type="dxa"/>
              <w:right w:w="57" w:type="dxa"/>
            </w:tcMar>
          </w:tcPr>
          <w:p w14:paraId="15104F38" w14:textId="77777777" w:rsidR="00D8675C" w:rsidRDefault="00D8675C" w:rsidP="00056708">
            <w:pPr>
              <w:pStyle w:val="UtilComTabletext"/>
              <w:spacing w:line="280" w:lineRule="exact"/>
            </w:pPr>
            <w:r>
              <w:t>Network services provided at the request of a network user with higher (or lower, where permissible) quality or reliability standards than are required under applicable legislation, codes or other regulatory instruments</w:t>
            </w:r>
          </w:p>
          <w:p w14:paraId="20122211" w14:textId="1F42D531" w:rsidR="00D8675C" w:rsidRDefault="00D8675C" w:rsidP="00D8675C">
            <w:pPr>
              <w:pStyle w:val="UtilComTabletext"/>
              <w:spacing w:line="280" w:lineRule="exact"/>
            </w:pPr>
            <w:r>
              <w:t>Quoted Network Services include above standard or non</w:t>
            </w:r>
            <w:r w:rsidR="00DB74AA">
              <w:t>-</w:t>
            </w:r>
            <w:r>
              <w:t>standard services associated with:</w:t>
            </w:r>
          </w:p>
          <w:p w14:paraId="72B1B526" w14:textId="7CB9E684" w:rsidR="00D8675C" w:rsidRDefault="00D8675C" w:rsidP="00243FBE">
            <w:pPr>
              <w:pStyle w:val="UtilComTabletext"/>
              <w:numPr>
                <w:ilvl w:val="0"/>
                <w:numId w:val="24"/>
              </w:numPr>
              <w:spacing w:line="280" w:lineRule="exact"/>
            </w:pPr>
            <w:r>
              <w:t xml:space="preserve">planning, designing and constructing the </w:t>
            </w:r>
            <w:r w:rsidR="006F18A5">
              <w:t xml:space="preserve">electricity </w:t>
            </w:r>
            <w:r>
              <w:t>network;</w:t>
            </w:r>
          </w:p>
          <w:p w14:paraId="267F5DE1" w14:textId="0E6AE563" w:rsidR="00D8675C" w:rsidRDefault="00D8675C" w:rsidP="00243FBE">
            <w:pPr>
              <w:pStyle w:val="UtilComTabletext"/>
              <w:numPr>
                <w:ilvl w:val="0"/>
                <w:numId w:val="24"/>
              </w:numPr>
              <w:spacing w:line="280" w:lineRule="exact"/>
            </w:pPr>
            <w:r>
              <w:t xml:space="preserve">maintaining and operating the </w:t>
            </w:r>
            <w:r w:rsidR="006F18A5">
              <w:t xml:space="preserve">electricity </w:t>
            </w:r>
            <w:r>
              <w:t>network;</w:t>
            </w:r>
          </w:p>
          <w:p w14:paraId="7F4149F1" w14:textId="12C0A250" w:rsidR="00D8675C" w:rsidRDefault="00D8675C" w:rsidP="00243FBE">
            <w:pPr>
              <w:pStyle w:val="UtilComTabletext"/>
              <w:numPr>
                <w:ilvl w:val="0"/>
                <w:numId w:val="24"/>
              </w:numPr>
              <w:spacing w:line="280" w:lineRule="exact"/>
            </w:pPr>
            <w:r>
              <w:t>emergency response and administrative support; and</w:t>
            </w:r>
          </w:p>
          <w:p w14:paraId="06BE8E27" w14:textId="61F97F15" w:rsidR="00D8675C" w:rsidRDefault="00D8675C" w:rsidP="00243FBE">
            <w:pPr>
              <w:pStyle w:val="UtilComTabletext"/>
              <w:numPr>
                <w:ilvl w:val="0"/>
                <w:numId w:val="24"/>
              </w:numPr>
              <w:spacing w:line="280" w:lineRule="exact"/>
            </w:pPr>
            <w:r>
              <w:t>other associated services</w:t>
            </w:r>
            <w:r w:rsidR="00DB74AA">
              <w:t>,</w:t>
            </w:r>
          </w:p>
          <w:p w14:paraId="57601B59" w14:textId="77777777" w:rsidR="00D8675C" w:rsidRDefault="00D8675C" w:rsidP="00D8675C">
            <w:pPr>
              <w:pStyle w:val="UtilComTabletext"/>
              <w:spacing w:line="280" w:lineRule="exact"/>
            </w:pPr>
            <w:r>
              <w:t>to the performance standard agreed with the network user.</w:t>
            </w:r>
          </w:p>
          <w:p w14:paraId="1D06137B" w14:textId="77777777" w:rsidR="00D8675C" w:rsidRDefault="00D8675C" w:rsidP="00D8675C">
            <w:pPr>
              <w:pStyle w:val="UtilComTabletext"/>
              <w:spacing w:line="280" w:lineRule="exact"/>
            </w:pPr>
            <w:r>
              <w:t>Under Quoted Network Services, network users are only charged the incremental cost of the work above the cost of the mandated standard Network Service.</w:t>
            </w:r>
          </w:p>
          <w:p w14:paraId="2DBBD47D" w14:textId="0D26099D" w:rsidR="00D8675C" w:rsidRPr="00A27183" w:rsidRDefault="00D8675C" w:rsidP="00D8675C">
            <w:pPr>
              <w:pStyle w:val="UtilComTabletext"/>
              <w:spacing w:line="280" w:lineRule="exact"/>
            </w:pPr>
            <w:r>
              <w:t xml:space="preserve">Quoted Network Services exclude above standard or non-standard Connection Services which make use of dedicated assets.  </w:t>
            </w:r>
          </w:p>
        </w:tc>
      </w:tr>
      <w:tr w:rsidR="00D8675C" w:rsidRPr="00A27183" w14:paraId="31A598AA" w14:textId="77777777" w:rsidTr="008E229D">
        <w:trPr>
          <w:cantSplit/>
          <w:trHeight w:val="357"/>
        </w:trPr>
        <w:tc>
          <w:tcPr>
            <w:tcW w:w="2835" w:type="dxa"/>
            <w:tcMar>
              <w:top w:w="0" w:type="dxa"/>
              <w:left w:w="57" w:type="dxa"/>
              <w:bottom w:w="28" w:type="dxa"/>
              <w:right w:w="57" w:type="dxa"/>
            </w:tcMar>
          </w:tcPr>
          <w:p w14:paraId="4F8BE8BE" w14:textId="3563D160" w:rsidR="00D8675C" w:rsidRDefault="00D8675C" w:rsidP="00056708">
            <w:pPr>
              <w:pStyle w:val="UtilComTabletext"/>
              <w:spacing w:line="280" w:lineRule="exact"/>
            </w:pPr>
            <w:r>
              <w:t xml:space="preserve">Quoted connection services </w:t>
            </w:r>
          </w:p>
          <w:p w14:paraId="5C184E7D" w14:textId="179E39B1" w:rsidR="00D8675C" w:rsidRPr="00A27183" w:rsidRDefault="00D8675C" w:rsidP="00D8675C">
            <w:pPr>
              <w:pStyle w:val="UtilComTabletext"/>
              <w:spacing w:line="280" w:lineRule="exact"/>
            </w:pPr>
          </w:p>
        </w:tc>
        <w:tc>
          <w:tcPr>
            <w:tcW w:w="6379" w:type="dxa"/>
            <w:tcMar>
              <w:top w:w="0" w:type="dxa"/>
              <w:left w:w="57" w:type="dxa"/>
              <w:bottom w:w="28" w:type="dxa"/>
              <w:right w:w="57" w:type="dxa"/>
            </w:tcMar>
          </w:tcPr>
          <w:p w14:paraId="2B87F67D" w14:textId="77777777" w:rsidR="00D8675C" w:rsidRDefault="00D8675C" w:rsidP="00056708">
            <w:pPr>
              <w:pStyle w:val="UtilComTabletext"/>
              <w:spacing w:line="280" w:lineRule="exact"/>
            </w:pPr>
            <w:r>
              <w:t>Connection services provided at the request of a network user with higher (or lower, where permissible) quality or reliability standards than are required under applicable legislation, codes or other regulatory instruments</w:t>
            </w:r>
          </w:p>
          <w:p w14:paraId="1A07F487" w14:textId="329DCE2D" w:rsidR="00D8675C" w:rsidRDefault="00611326" w:rsidP="00056708">
            <w:pPr>
              <w:pStyle w:val="UtilComTabletext"/>
              <w:spacing w:line="280" w:lineRule="exact"/>
            </w:pPr>
            <w:r>
              <w:t xml:space="preserve">Quoted </w:t>
            </w:r>
            <w:r w:rsidR="00D8675C">
              <w:t>connection services include</w:t>
            </w:r>
            <w:r>
              <w:t xml:space="preserve"> above standard or non</w:t>
            </w:r>
            <w:r w:rsidR="00DB74AA">
              <w:t>-</w:t>
            </w:r>
            <w:r>
              <w:t>standard services associated with</w:t>
            </w:r>
            <w:r w:rsidR="00D8675C">
              <w:t>:</w:t>
            </w:r>
          </w:p>
          <w:p w14:paraId="69C753B6" w14:textId="6957E552" w:rsidR="00611326" w:rsidRDefault="00611326" w:rsidP="00243FBE">
            <w:pPr>
              <w:pStyle w:val="UtilComTabletext"/>
              <w:numPr>
                <w:ilvl w:val="0"/>
                <w:numId w:val="25"/>
              </w:numPr>
              <w:spacing w:line="280" w:lineRule="exact"/>
            </w:pPr>
            <w:r>
              <w:t>commissioning of connection assets;</w:t>
            </w:r>
          </w:p>
          <w:p w14:paraId="1EE353FF" w14:textId="279FE737" w:rsidR="00611326" w:rsidRDefault="00611326" w:rsidP="00243FBE">
            <w:pPr>
              <w:pStyle w:val="UtilComTabletext"/>
              <w:numPr>
                <w:ilvl w:val="0"/>
                <w:numId w:val="25"/>
              </w:numPr>
              <w:spacing w:line="280" w:lineRule="exact"/>
            </w:pPr>
            <w:r>
              <w:t>service connection;</w:t>
            </w:r>
          </w:p>
          <w:p w14:paraId="121A202D" w14:textId="16514439" w:rsidR="00611326" w:rsidRDefault="00611326" w:rsidP="00243FBE">
            <w:pPr>
              <w:pStyle w:val="UtilComTabletext"/>
              <w:numPr>
                <w:ilvl w:val="0"/>
                <w:numId w:val="25"/>
              </w:numPr>
              <w:spacing w:line="280" w:lineRule="exact"/>
            </w:pPr>
            <w:r>
              <w:t>installation inspection; and</w:t>
            </w:r>
          </w:p>
          <w:p w14:paraId="0F511D37" w14:textId="763BC751" w:rsidR="00611326" w:rsidRDefault="00611326" w:rsidP="00243FBE">
            <w:pPr>
              <w:pStyle w:val="UtilComTabletext"/>
              <w:numPr>
                <w:ilvl w:val="0"/>
                <w:numId w:val="25"/>
              </w:numPr>
              <w:spacing w:line="280" w:lineRule="exact"/>
            </w:pPr>
            <w:r>
              <w:t>operating and maintaining connection assets</w:t>
            </w:r>
          </w:p>
          <w:p w14:paraId="35DA89AB" w14:textId="77777777" w:rsidR="00611326" w:rsidRDefault="00611326" w:rsidP="00611326">
            <w:pPr>
              <w:pStyle w:val="UtilComTabletext"/>
              <w:spacing w:line="280" w:lineRule="exact"/>
            </w:pPr>
            <w:r>
              <w:t>to the performance standard agreed with the network user.</w:t>
            </w:r>
          </w:p>
          <w:p w14:paraId="1BE031ED" w14:textId="77777777" w:rsidR="00611326" w:rsidRDefault="00611326" w:rsidP="00611326">
            <w:pPr>
              <w:pStyle w:val="UtilComTabletext"/>
              <w:spacing w:line="280" w:lineRule="exact"/>
            </w:pPr>
            <w:r>
              <w:t>Quoted Connection Services also include:</w:t>
            </w:r>
          </w:p>
          <w:p w14:paraId="02E80B8C" w14:textId="3EEBEEE6" w:rsidR="00611326" w:rsidRDefault="00611326" w:rsidP="00243FBE">
            <w:pPr>
              <w:pStyle w:val="UtilComTabletext"/>
              <w:numPr>
                <w:ilvl w:val="0"/>
                <w:numId w:val="26"/>
              </w:numPr>
              <w:spacing w:line="280" w:lineRule="exact"/>
            </w:pPr>
            <w:r>
              <w:t>supply abolishment; and</w:t>
            </w:r>
          </w:p>
          <w:p w14:paraId="1B0FA10D" w14:textId="7C38CC43" w:rsidR="00611326" w:rsidRDefault="00611326" w:rsidP="00243FBE">
            <w:pPr>
              <w:pStyle w:val="UtilComTabletext"/>
              <w:numPr>
                <w:ilvl w:val="0"/>
                <w:numId w:val="26"/>
              </w:numPr>
              <w:spacing w:line="280" w:lineRule="exact"/>
            </w:pPr>
            <w:r>
              <w:t>ancillary Connection Services.</w:t>
            </w:r>
          </w:p>
          <w:p w14:paraId="7D2914AE" w14:textId="3FE2A759" w:rsidR="00611326" w:rsidRDefault="00611326" w:rsidP="00611326">
            <w:pPr>
              <w:pStyle w:val="UtilComTabletext"/>
              <w:spacing w:line="280" w:lineRule="exact"/>
            </w:pPr>
            <w:r>
              <w:t xml:space="preserve">Associated services for which </w:t>
            </w:r>
            <w:r w:rsidR="002165F7">
              <w:t>PWC Networks</w:t>
            </w:r>
            <w:r>
              <w:t xml:space="preserve"> may seek payment from the user include, but are not necessarily limited to:</w:t>
            </w:r>
          </w:p>
          <w:p w14:paraId="3E3C8DB9" w14:textId="6E5A57D9" w:rsidR="00D8675C" w:rsidRDefault="00D8675C" w:rsidP="00D8675C">
            <w:pPr>
              <w:pStyle w:val="UtilComTabletext"/>
              <w:numPr>
                <w:ilvl w:val="0"/>
                <w:numId w:val="10"/>
              </w:numPr>
              <w:spacing w:line="280" w:lineRule="exact"/>
            </w:pPr>
            <w:r>
              <w:t xml:space="preserve">responding to enquiries in relation to the provision of the </w:t>
            </w:r>
            <w:r w:rsidR="00792F6D">
              <w:t xml:space="preserve">above standard or </w:t>
            </w:r>
            <w:r>
              <w:t>non-standard connection</w:t>
            </w:r>
            <w:r w:rsidR="00792F6D">
              <w:t xml:space="preserve"> services</w:t>
            </w:r>
            <w:r w:rsidR="00521756">
              <w:t>;</w:t>
            </w:r>
          </w:p>
          <w:p w14:paraId="3415D244" w14:textId="305D955E" w:rsidR="00D8675C" w:rsidRDefault="00D8675C" w:rsidP="00D8675C">
            <w:pPr>
              <w:pStyle w:val="UtilComTabletext"/>
              <w:numPr>
                <w:ilvl w:val="0"/>
                <w:numId w:val="10"/>
              </w:numPr>
              <w:spacing w:line="280" w:lineRule="exact"/>
            </w:pPr>
            <w:r>
              <w:t xml:space="preserve">provision of technical specifications in </w:t>
            </w:r>
            <w:r w:rsidR="00792F6D">
              <w:t xml:space="preserve">relation </w:t>
            </w:r>
            <w:r>
              <w:t>to the connection</w:t>
            </w:r>
            <w:r w:rsidR="00792F6D">
              <w:t>;</w:t>
            </w:r>
          </w:p>
          <w:p w14:paraId="44304F4C" w14:textId="2E6BB06F" w:rsidR="00D8675C" w:rsidRDefault="00D8675C" w:rsidP="00D8675C">
            <w:pPr>
              <w:pStyle w:val="UtilComTabletext"/>
              <w:numPr>
                <w:ilvl w:val="0"/>
                <w:numId w:val="10"/>
              </w:numPr>
              <w:spacing w:line="280" w:lineRule="exact"/>
            </w:pPr>
            <w:r>
              <w:t xml:space="preserve">provision of duplicate </w:t>
            </w:r>
            <w:r w:rsidR="00792F6D">
              <w:t xml:space="preserve"> or underground </w:t>
            </w:r>
            <w:r>
              <w:t>supply</w:t>
            </w:r>
            <w:r w:rsidR="00792F6D">
              <w:t xml:space="preserve"> where requested by a network user; and</w:t>
            </w:r>
          </w:p>
          <w:p w14:paraId="1D739DDE" w14:textId="181485E6" w:rsidR="00D8675C" w:rsidRDefault="00D8675C" w:rsidP="00792F6D">
            <w:pPr>
              <w:pStyle w:val="UtilComTabletext"/>
              <w:numPr>
                <w:ilvl w:val="0"/>
                <w:numId w:val="10"/>
              </w:numPr>
              <w:spacing w:line="280" w:lineRule="exact"/>
            </w:pPr>
            <w:r>
              <w:t xml:space="preserve">preliminary communications with </w:t>
            </w:r>
            <w:r w:rsidR="00792F6D">
              <w:t xml:space="preserve">potential or existing network </w:t>
            </w:r>
            <w:r>
              <w:t xml:space="preserve">user where more than 6 hours work is </w:t>
            </w:r>
            <w:r w:rsidR="00792F6D">
              <w:t xml:space="preserve">or is likely to be </w:t>
            </w:r>
            <w:r>
              <w:t>required.</w:t>
            </w:r>
          </w:p>
          <w:p w14:paraId="163A2F2B" w14:textId="77777777" w:rsidR="00792F6D" w:rsidRDefault="00792F6D" w:rsidP="00792F6D">
            <w:pPr>
              <w:pStyle w:val="UtilComTabletext"/>
              <w:spacing w:line="280" w:lineRule="exact"/>
            </w:pPr>
            <w:r>
              <w:t>Under Quoted Connection Services, network users are only charged the incremental cost of the work above the cost of the mandated standard Connection Service.</w:t>
            </w:r>
          </w:p>
          <w:p w14:paraId="0C5EF339" w14:textId="51303387" w:rsidR="00792F6D" w:rsidRPr="00A27183" w:rsidRDefault="00792F6D" w:rsidP="00792F6D">
            <w:pPr>
              <w:pStyle w:val="UtilComTabletext"/>
              <w:spacing w:line="280" w:lineRule="exact"/>
            </w:pPr>
            <w:r>
              <w:t>Connection Services are provided at the request of a network user and are dedicated to the individual network user. Connection assets include all of the dedicated electrical equipment that is used to transfer electricity to (entry) or from (exit) the shared electricity network at the connection point.</w:t>
            </w:r>
          </w:p>
        </w:tc>
      </w:tr>
      <w:tr w:rsidR="00D8675C" w:rsidRPr="00A27183" w14:paraId="5ABB396C" w14:textId="77777777" w:rsidTr="008E229D">
        <w:trPr>
          <w:cantSplit/>
          <w:trHeight w:val="357"/>
        </w:trPr>
        <w:tc>
          <w:tcPr>
            <w:tcW w:w="2835" w:type="dxa"/>
            <w:tcMar>
              <w:top w:w="0" w:type="dxa"/>
              <w:left w:w="57" w:type="dxa"/>
              <w:bottom w:w="28" w:type="dxa"/>
              <w:right w:w="57" w:type="dxa"/>
            </w:tcMar>
          </w:tcPr>
          <w:p w14:paraId="71B4023C" w14:textId="2C9206DF" w:rsidR="00D8675C" w:rsidRDefault="006A4545" w:rsidP="00056708">
            <w:pPr>
              <w:pStyle w:val="UtilComTabletext"/>
              <w:spacing w:line="280" w:lineRule="exact"/>
            </w:pPr>
            <w:r>
              <w:t xml:space="preserve">Quoted metering </w:t>
            </w:r>
            <w:r w:rsidR="00D8675C">
              <w:t xml:space="preserve">services </w:t>
            </w:r>
          </w:p>
          <w:p w14:paraId="494FA529" w14:textId="53B74A40" w:rsidR="00D8675C" w:rsidRPr="00A27183" w:rsidRDefault="00D8675C" w:rsidP="006A4545">
            <w:pPr>
              <w:pStyle w:val="UtilComTabletext"/>
              <w:spacing w:line="280" w:lineRule="exact"/>
            </w:pPr>
          </w:p>
        </w:tc>
        <w:tc>
          <w:tcPr>
            <w:tcW w:w="6379" w:type="dxa"/>
            <w:tcMar>
              <w:top w:w="0" w:type="dxa"/>
              <w:left w:w="57" w:type="dxa"/>
              <w:bottom w:w="28" w:type="dxa"/>
              <w:right w:w="57" w:type="dxa"/>
            </w:tcMar>
          </w:tcPr>
          <w:p w14:paraId="0F7FE2A0" w14:textId="3F892494" w:rsidR="00D8675C" w:rsidRDefault="00D8675C" w:rsidP="00056708">
            <w:pPr>
              <w:pStyle w:val="UtilComTabletext"/>
              <w:spacing w:line="280" w:lineRule="exact"/>
            </w:pPr>
            <w:r>
              <w:t>Metering services</w:t>
            </w:r>
            <w:r w:rsidR="006A4545">
              <w:t>,</w:t>
            </w:r>
            <w:r>
              <w:t xml:space="preserve"> </w:t>
            </w:r>
            <w:r w:rsidR="006A4545">
              <w:t>including</w:t>
            </w:r>
            <w:r>
              <w:t xml:space="preserve"> meter data services</w:t>
            </w:r>
            <w:r w:rsidR="006A4545">
              <w:t>,</w:t>
            </w:r>
            <w:r>
              <w:t xml:space="preserve"> provided at the request of a network user of a type that exceeds the normal requirements for the type of </w:t>
            </w:r>
            <w:r w:rsidR="006A4545">
              <w:t xml:space="preserve">network </w:t>
            </w:r>
            <w:r>
              <w:t>user</w:t>
            </w:r>
            <w:r w:rsidR="002165F7">
              <w:t>.</w:t>
            </w:r>
          </w:p>
          <w:p w14:paraId="3825C79A" w14:textId="687092CE" w:rsidR="00D8675C" w:rsidRDefault="006A4545" w:rsidP="00056708">
            <w:pPr>
              <w:pStyle w:val="UtilComTabletext"/>
              <w:spacing w:line="280" w:lineRule="exact"/>
            </w:pPr>
            <w:r>
              <w:t>Quoted metering</w:t>
            </w:r>
            <w:r w:rsidR="00D8675C">
              <w:t xml:space="preserve"> services include</w:t>
            </w:r>
            <w:r>
              <w:t>, but are not necessarily limited to</w:t>
            </w:r>
            <w:r w:rsidR="00D8675C">
              <w:t>:</w:t>
            </w:r>
          </w:p>
          <w:p w14:paraId="1C67309F" w14:textId="41BCCD77" w:rsidR="00D8675C" w:rsidRDefault="006A4545" w:rsidP="006A4545">
            <w:pPr>
              <w:pStyle w:val="UtilComTabletext"/>
              <w:numPr>
                <w:ilvl w:val="0"/>
                <w:numId w:val="10"/>
              </w:numPr>
              <w:spacing w:line="280" w:lineRule="exact"/>
            </w:pPr>
            <w:r>
              <w:t xml:space="preserve">provision, </w:t>
            </w:r>
            <w:r w:rsidR="00D8675C">
              <w:t xml:space="preserve">installation and commissioning of </w:t>
            </w:r>
            <w:r>
              <w:t xml:space="preserve">additional or above standard or </w:t>
            </w:r>
            <w:r w:rsidR="00D8675C">
              <w:t xml:space="preserve">non-standard metering </w:t>
            </w:r>
            <w:r>
              <w:t>assets;</w:t>
            </w:r>
          </w:p>
          <w:p w14:paraId="3DC0F6CA" w14:textId="7671AFF5" w:rsidR="00D8675C" w:rsidRDefault="00D8675C" w:rsidP="006A4545">
            <w:pPr>
              <w:pStyle w:val="UtilComTabletext"/>
              <w:numPr>
                <w:ilvl w:val="0"/>
                <w:numId w:val="10"/>
              </w:numPr>
              <w:spacing w:line="280" w:lineRule="exact"/>
            </w:pPr>
            <w:r>
              <w:t xml:space="preserve">periodic </w:t>
            </w:r>
            <w:r w:rsidR="006A4545">
              <w:t xml:space="preserve">accuracy </w:t>
            </w:r>
            <w:r>
              <w:t xml:space="preserve">testing of additional </w:t>
            </w:r>
            <w:r w:rsidR="006A4545">
              <w:t xml:space="preserve">of additional or above standard or </w:t>
            </w:r>
            <w:r>
              <w:t xml:space="preserve">non-standard metering </w:t>
            </w:r>
            <w:r w:rsidR="006A4545">
              <w:t>assets; and</w:t>
            </w:r>
          </w:p>
          <w:p w14:paraId="4183D48F" w14:textId="77777777" w:rsidR="00D8675C" w:rsidRDefault="00D8675C" w:rsidP="006A4545">
            <w:pPr>
              <w:pStyle w:val="UtilComTabletext"/>
              <w:numPr>
                <w:ilvl w:val="0"/>
                <w:numId w:val="10"/>
              </w:numPr>
              <w:spacing w:line="280" w:lineRule="exact"/>
            </w:pPr>
            <w:r>
              <w:t xml:space="preserve">maintenance and replacement of </w:t>
            </w:r>
            <w:r w:rsidR="006A4545">
              <w:t xml:space="preserve">additional or above standard or </w:t>
            </w:r>
            <w:r>
              <w:t>non-standard metering assets</w:t>
            </w:r>
            <w:r w:rsidR="006A4545">
              <w:t>.</w:t>
            </w:r>
          </w:p>
          <w:p w14:paraId="1F291EDA" w14:textId="77777777" w:rsidR="006A4545" w:rsidRDefault="006A4545" w:rsidP="006A4545">
            <w:pPr>
              <w:pStyle w:val="UtilComTabletext"/>
              <w:spacing w:line="280" w:lineRule="exact"/>
            </w:pPr>
            <w:r>
              <w:t>Quoted meter data services include:</w:t>
            </w:r>
          </w:p>
          <w:p w14:paraId="079150D0" w14:textId="10AF720A" w:rsidR="006A4545" w:rsidRDefault="006A4545" w:rsidP="009F4718">
            <w:pPr>
              <w:pStyle w:val="UtilComTabletext"/>
              <w:numPr>
                <w:ilvl w:val="0"/>
                <w:numId w:val="10"/>
              </w:numPr>
              <w:spacing w:line="280" w:lineRule="exact"/>
            </w:pPr>
            <w:r>
              <w:t>reading, either locally or remotely, of additional or above standard or non-standard meters provided at the request of the network user;</w:t>
            </w:r>
          </w:p>
          <w:p w14:paraId="6CD5F734" w14:textId="37D8E250" w:rsidR="006A4545" w:rsidRDefault="006A4545" w:rsidP="009F4718">
            <w:pPr>
              <w:pStyle w:val="UtilComTabletext"/>
              <w:numPr>
                <w:ilvl w:val="0"/>
                <w:numId w:val="10"/>
              </w:numPr>
              <w:spacing w:line="280" w:lineRule="exact"/>
            </w:pPr>
            <w:r>
              <w:t>installing and maintaining communications for additional or above standard or non-standard remotely read meters; and</w:t>
            </w:r>
          </w:p>
          <w:p w14:paraId="67797635" w14:textId="38142B7D" w:rsidR="006A4545" w:rsidRDefault="006A4545" w:rsidP="009F4718">
            <w:pPr>
              <w:pStyle w:val="UtilComTabletext"/>
              <w:numPr>
                <w:ilvl w:val="0"/>
                <w:numId w:val="10"/>
              </w:numPr>
              <w:spacing w:line="280" w:lineRule="exact"/>
            </w:pPr>
            <w:r>
              <w:t>transfer of meter data to the meter data system and management of the stored meter data, for additional or above standard or non-standard meters.</w:t>
            </w:r>
          </w:p>
          <w:p w14:paraId="39B8B3E2" w14:textId="77777777" w:rsidR="006A4545" w:rsidRDefault="006A4545" w:rsidP="006A4545">
            <w:pPr>
              <w:pStyle w:val="UtilComTabletext"/>
              <w:spacing w:line="280" w:lineRule="exact"/>
            </w:pPr>
            <w:r>
              <w:t>Quoted ancillary Metering Services include:</w:t>
            </w:r>
          </w:p>
          <w:p w14:paraId="7DD9BCC4" w14:textId="663F1481" w:rsidR="006A4545" w:rsidRDefault="006A4545" w:rsidP="00DB74AA">
            <w:pPr>
              <w:pStyle w:val="UtilComTabletext"/>
              <w:numPr>
                <w:ilvl w:val="0"/>
                <w:numId w:val="10"/>
              </w:numPr>
              <w:spacing w:line="280" w:lineRule="exact"/>
            </w:pPr>
            <w:r>
              <w:t>non-standard read of a standard meter, either locally or remotely; and</w:t>
            </w:r>
          </w:p>
          <w:p w14:paraId="252B98FA" w14:textId="02C91717" w:rsidR="006A4545" w:rsidRDefault="006A4545" w:rsidP="00DB74AA">
            <w:pPr>
              <w:pStyle w:val="UtilComTabletext"/>
              <w:numPr>
                <w:ilvl w:val="0"/>
                <w:numId w:val="10"/>
              </w:numPr>
              <w:spacing w:line="280" w:lineRule="exact"/>
            </w:pPr>
            <w:r>
              <w:t>non-routine transfer of meter data to participant billing systems or network users.</w:t>
            </w:r>
          </w:p>
          <w:p w14:paraId="14986658" w14:textId="77777777" w:rsidR="006A4545" w:rsidRDefault="006A4545" w:rsidP="006A4545">
            <w:pPr>
              <w:pStyle w:val="UtilComTabletext"/>
              <w:spacing w:line="280" w:lineRule="exact"/>
            </w:pPr>
            <w:r>
              <w:t>Under Quoted Metering Services, network users are only charged the incremental cost of the work above the cost of the mandated standard Metering Service.</w:t>
            </w:r>
          </w:p>
          <w:p w14:paraId="2EC8719C" w14:textId="637EF307" w:rsidR="006A4545" w:rsidRPr="00A27183" w:rsidRDefault="006A4545" w:rsidP="006A4545">
            <w:pPr>
              <w:pStyle w:val="UtilComTabletext"/>
              <w:spacing w:line="280" w:lineRule="exact"/>
            </w:pPr>
            <w:r>
              <w:t>Several of the more commonly provided excluded metering services are subject to standard fees (Fee based services).</w:t>
            </w:r>
          </w:p>
        </w:tc>
      </w:tr>
      <w:tr w:rsidR="00D8675C" w:rsidRPr="00A27183" w14:paraId="18323AE0" w14:textId="77777777" w:rsidTr="008E229D">
        <w:trPr>
          <w:cantSplit/>
          <w:trHeight w:val="357"/>
        </w:trPr>
        <w:tc>
          <w:tcPr>
            <w:tcW w:w="2835" w:type="dxa"/>
            <w:tcMar>
              <w:top w:w="0" w:type="dxa"/>
              <w:left w:w="57" w:type="dxa"/>
              <w:bottom w:w="28" w:type="dxa"/>
              <w:right w:w="57" w:type="dxa"/>
            </w:tcMar>
          </w:tcPr>
          <w:p w14:paraId="14A2130B" w14:textId="02784E2F" w:rsidR="00D8675C" w:rsidRPr="00A27183" w:rsidRDefault="00D8675C" w:rsidP="00E0578C">
            <w:pPr>
              <w:pStyle w:val="UtilComTabletext"/>
              <w:spacing w:line="280" w:lineRule="exact"/>
            </w:pPr>
            <w:r>
              <w:t xml:space="preserve">Asset relocation, temporary disconnection and reconnection </w:t>
            </w:r>
          </w:p>
        </w:tc>
        <w:tc>
          <w:tcPr>
            <w:tcW w:w="6379" w:type="dxa"/>
            <w:tcMar>
              <w:top w:w="0" w:type="dxa"/>
              <w:left w:w="57" w:type="dxa"/>
              <w:bottom w:w="28" w:type="dxa"/>
              <w:right w:w="57" w:type="dxa"/>
            </w:tcMar>
          </w:tcPr>
          <w:p w14:paraId="28C13C47" w14:textId="35EDACBF" w:rsidR="00D8675C" w:rsidRPr="00A27183" w:rsidRDefault="00D8675C" w:rsidP="00056708">
            <w:pPr>
              <w:pStyle w:val="UtilComTabletext"/>
              <w:spacing w:line="280" w:lineRule="exact"/>
            </w:pPr>
            <w:r>
              <w:t xml:space="preserve">Removal, relocation or other </w:t>
            </w:r>
            <w:r w:rsidR="00E0578C">
              <w:t xml:space="preserve">permanent or </w:t>
            </w:r>
            <w:r>
              <w:t>temporary change to PWC Network assets at the request of a network user</w:t>
            </w:r>
            <w:r w:rsidR="006633DF">
              <w:t>.</w:t>
            </w:r>
          </w:p>
        </w:tc>
      </w:tr>
      <w:tr w:rsidR="00D8675C" w:rsidRPr="00A27183" w14:paraId="29679B6A" w14:textId="77777777" w:rsidTr="008E229D">
        <w:trPr>
          <w:cantSplit/>
          <w:trHeight w:val="357"/>
        </w:trPr>
        <w:tc>
          <w:tcPr>
            <w:tcW w:w="2835" w:type="dxa"/>
            <w:tcMar>
              <w:top w:w="0" w:type="dxa"/>
              <w:left w:w="57" w:type="dxa"/>
              <w:bottom w:w="28" w:type="dxa"/>
              <w:right w:w="57" w:type="dxa"/>
            </w:tcMar>
          </w:tcPr>
          <w:p w14:paraId="577B83D1" w14:textId="77777777" w:rsidR="00D8675C" w:rsidRPr="00A27183" w:rsidRDefault="00D8675C" w:rsidP="00056708">
            <w:pPr>
              <w:pStyle w:val="UtilComTabletext"/>
              <w:spacing w:line="280" w:lineRule="exact"/>
            </w:pPr>
            <w:r>
              <w:t>Emergency recoverable works</w:t>
            </w:r>
          </w:p>
        </w:tc>
        <w:tc>
          <w:tcPr>
            <w:tcW w:w="6379" w:type="dxa"/>
            <w:tcMar>
              <w:top w:w="0" w:type="dxa"/>
              <w:left w:w="57" w:type="dxa"/>
              <w:bottom w:w="28" w:type="dxa"/>
              <w:right w:w="57" w:type="dxa"/>
            </w:tcMar>
          </w:tcPr>
          <w:p w14:paraId="387CDE44" w14:textId="6AFB73E1" w:rsidR="00D8675C" w:rsidRPr="00A27183" w:rsidRDefault="00D8675C" w:rsidP="00056708">
            <w:pPr>
              <w:pStyle w:val="UtilComTabletext"/>
              <w:spacing w:line="280" w:lineRule="exact"/>
            </w:pPr>
            <w:r>
              <w:t xml:space="preserve">Repairs to shared </w:t>
            </w:r>
            <w:r w:rsidR="002165F7">
              <w:t xml:space="preserve">electricity </w:t>
            </w:r>
            <w:r>
              <w:t>network or network connections caused by a third party (for example</w:t>
            </w:r>
            <w:r w:rsidR="00DB74AA">
              <w:t>,</w:t>
            </w:r>
            <w:r>
              <w:t xml:space="preserve"> due to vehicle accident)</w:t>
            </w:r>
            <w:r w:rsidR="006633DF">
              <w:t>.</w:t>
            </w:r>
          </w:p>
        </w:tc>
      </w:tr>
      <w:tr w:rsidR="00D8675C" w:rsidRPr="00A27183" w14:paraId="5DBF8A43" w14:textId="77777777" w:rsidTr="008E229D">
        <w:trPr>
          <w:cantSplit/>
          <w:trHeight w:val="357"/>
        </w:trPr>
        <w:tc>
          <w:tcPr>
            <w:tcW w:w="2835" w:type="dxa"/>
            <w:tcMar>
              <w:top w:w="0" w:type="dxa"/>
              <w:left w:w="57" w:type="dxa"/>
              <w:bottom w:w="28" w:type="dxa"/>
              <w:right w:w="57" w:type="dxa"/>
            </w:tcMar>
          </w:tcPr>
          <w:p w14:paraId="0BA0ED23" w14:textId="77777777" w:rsidR="00D8675C" w:rsidRPr="00A27183" w:rsidRDefault="00D8675C" w:rsidP="00056708">
            <w:pPr>
              <w:pStyle w:val="UtilComTabletext"/>
              <w:spacing w:line="280" w:lineRule="exact"/>
            </w:pPr>
            <w:r>
              <w:t>Services associated with temporary supply</w:t>
            </w:r>
          </w:p>
        </w:tc>
        <w:tc>
          <w:tcPr>
            <w:tcW w:w="6379" w:type="dxa"/>
            <w:tcMar>
              <w:top w:w="0" w:type="dxa"/>
              <w:left w:w="57" w:type="dxa"/>
              <w:bottom w:w="28" w:type="dxa"/>
              <w:right w:w="57" w:type="dxa"/>
            </w:tcMar>
          </w:tcPr>
          <w:p w14:paraId="7BD44D80" w14:textId="77777777" w:rsidR="006633DF" w:rsidRDefault="006633DF" w:rsidP="00056708">
            <w:pPr>
              <w:pStyle w:val="UtilComTabletext"/>
              <w:spacing w:line="280" w:lineRule="exact"/>
            </w:pPr>
            <w:r>
              <w:t>Services associated with temporary supply include:</w:t>
            </w:r>
          </w:p>
          <w:p w14:paraId="37B61F1F" w14:textId="539E761F" w:rsidR="00D8675C" w:rsidRDefault="006633DF" w:rsidP="00243FBE">
            <w:pPr>
              <w:pStyle w:val="UtilComTabletext"/>
              <w:numPr>
                <w:ilvl w:val="0"/>
                <w:numId w:val="29"/>
              </w:numPr>
              <w:spacing w:line="280" w:lineRule="exact"/>
            </w:pPr>
            <w:r>
              <w:t xml:space="preserve">provision </w:t>
            </w:r>
            <w:r w:rsidR="00D8675C">
              <w:t xml:space="preserve">electric plant </w:t>
            </w:r>
            <w:r>
              <w:t xml:space="preserve">or stand-by generator </w:t>
            </w:r>
            <w:r w:rsidR="00D8675C">
              <w:t>for temporary supply at the request of a network user</w:t>
            </w:r>
            <w:r>
              <w:t>; and</w:t>
            </w:r>
          </w:p>
          <w:p w14:paraId="60D4C612" w14:textId="01265AEF" w:rsidR="00D8675C" w:rsidRPr="00A27183" w:rsidRDefault="006633DF" w:rsidP="00243FBE">
            <w:pPr>
              <w:pStyle w:val="UtilComTabletext"/>
              <w:numPr>
                <w:ilvl w:val="0"/>
                <w:numId w:val="29"/>
              </w:numPr>
              <w:spacing w:line="280" w:lineRule="exact"/>
            </w:pPr>
            <w:r>
              <w:t xml:space="preserve">provision </w:t>
            </w:r>
            <w:r w:rsidR="00D8675C">
              <w:t>of temporary supplies at both low and high voltage at the request of a network user</w:t>
            </w:r>
            <w:r>
              <w:t>.</w:t>
            </w:r>
          </w:p>
        </w:tc>
      </w:tr>
      <w:tr w:rsidR="00D8675C" w:rsidRPr="00A27183" w14:paraId="3488EC77"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67ABD27B" w14:textId="1AAE26BB" w:rsidR="00D8675C" w:rsidRPr="00A27183" w:rsidRDefault="00D8675C" w:rsidP="00056708">
            <w:pPr>
              <w:pStyle w:val="UtilComTabletext"/>
              <w:spacing w:line="280" w:lineRule="exact"/>
            </w:pPr>
            <w:r>
              <w:t>Illegal connections and damage to network equipment</w:t>
            </w:r>
          </w:p>
        </w:tc>
        <w:tc>
          <w:tcPr>
            <w:tcW w:w="6379" w:type="dxa"/>
            <w:tcBorders>
              <w:bottom w:val="single" w:sz="6" w:space="0" w:color="A6A6A6" w:themeColor="background1" w:themeShade="A6"/>
            </w:tcBorders>
            <w:tcMar>
              <w:top w:w="0" w:type="dxa"/>
              <w:left w:w="57" w:type="dxa"/>
              <w:bottom w:w="28" w:type="dxa"/>
              <w:right w:w="57" w:type="dxa"/>
            </w:tcMar>
          </w:tcPr>
          <w:p w14:paraId="45B6991E" w14:textId="377B23DE" w:rsidR="00D8675C" w:rsidRDefault="00D8675C" w:rsidP="00056708">
            <w:pPr>
              <w:pStyle w:val="UtilComTabletext"/>
              <w:spacing w:line="280" w:lineRule="exact"/>
            </w:pPr>
            <w:r>
              <w:t xml:space="preserve">Costs incurred by PWC Networks as a result of a </w:t>
            </w:r>
            <w:r w:rsidR="006633DF">
              <w:t xml:space="preserve">network user </w:t>
            </w:r>
            <w:r>
              <w:t>not complying with relevant contractual obligations</w:t>
            </w:r>
            <w:r w:rsidR="006633DF">
              <w:t>.</w:t>
            </w:r>
          </w:p>
          <w:p w14:paraId="091CE4F9" w14:textId="0A1BD977" w:rsidR="00D8675C" w:rsidRPr="00A27183" w:rsidRDefault="00D8675C" w:rsidP="006633DF">
            <w:pPr>
              <w:pStyle w:val="UtilComTabletext"/>
              <w:spacing w:line="280" w:lineRule="exact"/>
            </w:pPr>
            <w:r>
              <w:t>Repair of equipment damaged by a network user or third party</w:t>
            </w:r>
            <w:r w:rsidR="006633DF">
              <w:t>.</w:t>
            </w:r>
          </w:p>
        </w:tc>
      </w:tr>
      <w:tr w:rsidR="00D8675C" w:rsidRPr="00A27183" w14:paraId="6F84FDB4"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7B3702D3" w14:textId="77777777" w:rsidR="00D8675C" w:rsidRPr="00A27183" w:rsidRDefault="00D8675C" w:rsidP="00056708">
            <w:pPr>
              <w:pStyle w:val="UtilComTabletext"/>
              <w:spacing w:line="280" w:lineRule="exact"/>
            </w:pPr>
            <w:r>
              <w:t>Provision of non-standard street light assets</w:t>
            </w:r>
          </w:p>
        </w:tc>
        <w:tc>
          <w:tcPr>
            <w:tcW w:w="6379" w:type="dxa"/>
            <w:tcBorders>
              <w:bottom w:val="single" w:sz="6" w:space="0" w:color="A6A6A6" w:themeColor="background1" w:themeShade="A6"/>
            </w:tcBorders>
            <w:tcMar>
              <w:top w:w="0" w:type="dxa"/>
              <w:left w:w="57" w:type="dxa"/>
              <w:bottom w:w="28" w:type="dxa"/>
              <w:right w:w="57" w:type="dxa"/>
            </w:tcMar>
          </w:tcPr>
          <w:p w14:paraId="087444ED" w14:textId="4A7432DC" w:rsidR="00D8675C" w:rsidRPr="00A27183" w:rsidRDefault="00D8675C" w:rsidP="00056708">
            <w:pPr>
              <w:pStyle w:val="UtilComTabletext"/>
              <w:spacing w:line="280" w:lineRule="exact"/>
            </w:pPr>
            <w:r>
              <w:t>Provision, construction and maintenance of street light assets based on non-standard designs or new technology such as LED</w:t>
            </w:r>
            <w:r w:rsidR="006633DF">
              <w:t>.</w:t>
            </w:r>
          </w:p>
        </w:tc>
      </w:tr>
      <w:tr w:rsidR="00D8675C" w:rsidRPr="00A27183" w14:paraId="19FF3F75"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081D7E8B" w14:textId="77777777" w:rsidR="00D8675C" w:rsidRPr="00A27183" w:rsidRDefault="00D8675C" w:rsidP="00056708">
            <w:pPr>
              <w:pStyle w:val="UtilComTabletext"/>
              <w:spacing w:line="280" w:lineRule="exact"/>
            </w:pPr>
            <w:r>
              <w:t>Wasted attendance</w:t>
            </w:r>
          </w:p>
        </w:tc>
        <w:tc>
          <w:tcPr>
            <w:tcW w:w="6379" w:type="dxa"/>
            <w:tcBorders>
              <w:bottom w:val="single" w:sz="6" w:space="0" w:color="A6A6A6" w:themeColor="background1" w:themeShade="A6"/>
            </w:tcBorders>
            <w:tcMar>
              <w:top w:w="0" w:type="dxa"/>
              <w:left w:w="57" w:type="dxa"/>
              <w:bottom w:w="28" w:type="dxa"/>
              <w:right w:w="57" w:type="dxa"/>
            </w:tcMar>
          </w:tcPr>
          <w:p w14:paraId="6E8C5E01" w14:textId="697252B1" w:rsidR="00D8675C" w:rsidRPr="00A27183" w:rsidRDefault="00D8675C" w:rsidP="006633DF">
            <w:pPr>
              <w:pStyle w:val="UtilComTabletext"/>
              <w:spacing w:line="280" w:lineRule="exact"/>
            </w:pPr>
            <w:r>
              <w:t xml:space="preserve">Additional costs incurred by PWC Networks where service provision could not be undertaken </w:t>
            </w:r>
            <w:r w:rsidR="006633DF">
              <w:t>and/</w:t>
            </w:r>
            <w:r>
              <w:t xml:space="preserve">or completed as planned due to action or inaction </w:t>
            </w:r>
            <w:r w:rsidR="006633DF">
              <w:t xml:space="preserve">of a </w:t>
            </w:r>
            <w:r>
              <w:t>network user or their agent</w:t>
            </w:r>
            <w:r w:rsidR="006633DF">
              <w:t>.</w:t>
            </w:r>
          </w:p>
        </w:tc>
      </w:tr>
      <w:tr w:rsidR="00D8675C" w:rsidRPr="00A27183" w14:paraId="4896969E"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72532EF2" w14:textId="77777777" w:rsidR="00D8675C" w:rsidRPr="00A27183" w:rsidRDefault="00D8675C" w:rsidP="00056708">
            <w:pPr>
              <w:pStyle w:val="UtilComTabletext"/>
              <w:spacing w:line="280" w:lineRule="exact"/>
            </w:pPr>
            <w:r>
              <w:t>Asset location and identification services</w:t>
            </w:r>
          </w:p>
        </w:tc>
        <w:tc>
          <w:tcPr>
            <w:tcW w:w="6379" w:type="dxa"/>
            <w:tcBorders>
              <w:bottom w:val="single" w:sz="6" w:space="0" w:color="A6A6A6" w:themeColor="background1" w:themeShade="A6"/>
            </w:tcBorders>
            <w:tcMar>
              <w:top w:w="0" w:type="dxa"/>
              <w:left w:w="57" w:type="dxa"/>
              <w:bottom w:w="28" w:type="dxa"/>
              <w:right w:w="57" w:type="dxa"/>
            </w:tcMar>
          </w:tcPr>
          <w:p w14:paraId="7C3CEE80" w14:textId="019DF877" w:rsidR="00D8675C" w:rsidRPr="00A27183" w:rsidRDefault="00D8675C" w:rsidP="00056708">
            <w:pPr>
              <w:pStyle w:val="UtilComTabletext"/>
              <w:spacing w:line="280" w:lineRule="exact"/>
            </w:pPr>
            <w:r>
              <w:t>PWC Networks’ identification of its assets, including location of buried cables, at the request of a network user</w:t>
            </w:r>
            <w:r w:rsidR="006633DF">
              <w:t>.</w:t>
            </w:r>
          </w:p>
        </w:tc>
      </w:tr>
      <w:tr w:rsidR="00D8675C" w:rsidRPr="00A27183" w14:paraId="33A9347A"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246296E3" w14:textId="77777777" w:rsidR="00D8675C" w:rsidRPr="00A27183" w:rsidRDefault="00D8675C" w:rsidP="00056708">
            <w:pPr>
              <w:pStyle w:val="UtilComTabletext"/>
              <w:spacing w:line="280" w:lineRule="exact"/>
            </w:pPr>
            <w:r>
              <w:t>High load transport escorts</w:t>
            </w:r>
          </w:p>
        </w:tc>
        <w:tc>
          <w:tcPr>
            <w:tcW w:w="6379" w:type="dxa"/>
            <w:tcBorders>
              <w:bottom w:val="single" w:sz="6" w:space="0" w:color="A6A6A6" w:themeColor="background1" w:themeShade="A6"/>
            </w:tcBorders>
            <w:tcMar>
              <w:top w:w="0" w:type="dxa"/>
              <w:left w:w="57" w:type="dxa"/>
              <w:bottom w:w="28" w:type="dxa"/>
              <w:right w:w="57" w:type="dxa"/>
            </w:tcMar>
          </w:tcPr>
          <w:p w14:paraId="7543588E" w14:textId="24518B47" w:rsidR="00D8675C" w:rsidRPr="00A27183" w:rsidRDefault="00D8675C" w:rsidP="00056708">
            <w:pPr>
              <w:pStyle w:val="UtilComTabletext"/>
              <w:spacing w:line="280" w:lineRule="exact"/>
            </w:pPr>
            <w:r>
              <w:t>Provision of high load transport escort</w:t>
            </w:r>
            <w:r w:rsidR="006633DF">
              <w:t>, including administration costs.</w:t>
            </w:r>
          </w:p>
        </w:tc>
      </w:tr>
      <w:tr w:rsidR="00D8675C" w:rsidRPr="00A27183" w14:paraId="6CDEE423"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2BCBFBEE" w14:textId="77777777" w:rsidR="00D8675C" w:rsidRPr="00A27183" w:rsidRDefault="00D8675C" w:rsidP="00056708">
            <w:pPr>
              <w:pStyle w:val="UtilComTabletext"/>
              <w:spacing w:line="280" w:lineRule="exact"/>
            </w:pPr>
            <w:r>
              <w:t>Covering of low voltage mains</w:t>
            </w:r>
          </w:p>
        </w:tc>
        <w:tc>
          <w:tcPr>
            <w:tcW w:w="6379" w:type="dxa"/>
            <w:tcBorders>
              <w:bottom w:val="single" w:sz="6" w:space="0" w:color="A6A6A6" w:themeColor="background1" w:themeShade="A6"/>
            </w:tcBorders>
            <w:tcMar>
              <w:top w:w="0" w:type="dxa"/>
              <w:left w:w="57" w:type="dxa"/>
              <w:bottom w:w="28" w:type="dxa"/>
              <w:right w:w="57" w:type="dxa"/>
            </w:tcMar>
          </w:tcPr>
          <w:p w14:paraId="4B8C9FE5" w14:textId="61DB2D6F" w:rsidR="00D8675C" w:rsidRPr="00A27183" w:rsidRDefault="006633DF" w:rsidP="006633DF">
            <w:pPr>
              <w:pStyle w:val="UtilComTabletext"/>
              <w:spacing w:line="280" w:lineRule="exact"/>
            </w:pPr>
            <w:r>
              <w:t xml:space="preserve">Insulation coverage </w:t>
            </w:r>
            <w:r w:rsidR="00D8675C">
              <w:t>of low voltage mains at the request of a network user or other person</w:t>
            </w:r>
            <w:r>
              <w:t>.</w:t>
            </w:r>
          </w:p>
        </w:tc>
      </w:tr>
      <w:tr w:rsidR="00547A7B" w:rsidRPr="00A27183" w14:paraId="48A6F47A" w14:textId="77777777" w:rsidTr="00D8675C">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3E5F06AB" w14:textId="36BF782A" w:rsidR="00547A7B" w:rsidRDefault="00547A7B" w:rsidP="00056708">
            <w:pPr>
              <w:pStyle w:val="UtilComTabletext"/>
              <w:spacing w:line="280" w:lineRule="exact"/>
            </w:pPr>
            <w:r>
              <w:rPr>
                <w:b/>
                <w:u w:val="single"/>
              </w:rPr>
              <w:t>Fee-based</w:t>
            </w:r>
            <w:r w:rsidRPr="00ED0B62">
              <w:rPr>
                <w:b/>
                <w:u w:val="single"/>
              </w:rPr>
              <w:t xml:space="preserve"> services</w:t>
            </w:r>
          </w:p>
        </w:tc>
        <w:tc>
          <w:tcPr>
            <w:tcW w:w="6379" w:type="dxa"/>
            <w:tcBorders>
              <w:bottom w:val="single" w:sz="6" w:space="0" w:color="A6A6A6" w:themeColor="background1" w:themeShade="A6"/>
            </w:tcBorders>
            <w:tcMar>
              <w:top w:w="0" w:type="dxa"/>
              <w:left w:w="57" w:type="dxa"/>
              <w:bottom w:w="28" w:type="dxa"/>
              <w:right w:w="57" w:type="dxa"/>
            </w:tcMar>
          </w:tcPr>
          <w:p w14:paraId="5E8FAB2E" w14:textId="77777777" w:rsidR="00547A7B" w:rsidRDefault="00547A7B" w:rsidP="00547A7B">
            <w:pPr>
              <w:pStyle w:val="UtilComTabletext"/>
              <w:spacing w:line="280" w:lineRule="exact"/>
            </w:pPr>
          </w:p>
        </w:tc>
      </w:tr>
      <w:tr w:rsidR="00547A7B" w:rsidRPr="00A27183" w14:paraId="5814CB13" w14:textId="77777777" w:rsidTr="00D8675C">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66B6E6BC" w14:textId="30BF7B7C" w:rsidR="00547A7B" w:rsidRDefault="00547A7B" w:rsidP="00056708">
            <w:pPr>
              <w:pStyle w:val="UtilComTabletext"/>
              <w:spacing w:line="280" w:lineRule="exact"/>
            </w:pPr>
            <w:r>
              <w:t>Fee-based metering services</w:t>
            </w:r>
          </w:p>
        </w:tc>
        <w:tc>
          <w:tcPr>
            <w:tcW w:w="6379" w:type="dxa"/>
            <w:tcBorders>
              <w:bottom w:val="single" w:sz="6" w:space="0" w:color="A6A6A6" w:themeColor="background1" w:themeShade="A6"/>
            </w:tcBorders>
            <w:tcMar>
              <w:top w:w="0" w:type="dxa"/>
              <w:left w:w="57" w:type="dxa"/>
              <w:bottom w:w="28" w:type="dxa"/>
              <w:right w:w="57" w:type="dxa"/>
            </w:tcMar>
          </w:tcPr>
          <w:p w14:paraId="20420354" w14:textId="77777777" w:rsidR="00547A7B" w:rsidRDefault="00547A7B" w:rsidP="00547A7B">
            <w:pPr>
              <w:pStyle w:val="UtilComTabletext"/>
              <w:spacing w:line="280" w:lineRule="exact"/>
            </w:pPr>
            <w:r>
              <w:t>Fee-Based Metering service provided at the request of a network user include, but are not necessarily limited to:</w:t>
            </w:r>
          </w:p>
          <w:p w14:paraId="1F867560" w14:textId="1112C9F7" w:rsidR="00547A7B" w:rsidRDefault="00547A7B" w:rsidP="00243FBE">
            <w:pPr>
              <w:pStyle w:val="UtilComTabletext"/>
              <w:numPr>
                <w:ilvl w:val="0"/>
                <w:numId w:val="30"/>
              </w:numPr>
              <w:spacing w:line="280" w:lineRule="exact"/>
            </w:pPr>
            <w:r>
              <w:t>out of sequence (unscheduled) meter reading services;</w:t>
            </w:r>
          </w:p>
          <w:p w14:paraId="04519EC6" w14:textId="1A2E1208" w:rsidR="00547A7B" w:rsidRDefault="00547A7B" w:rsidP="00243FBE">
            <w:pPr>
              <w:pStyle w:val="UtilComTabletext"/>
              <w:numPr>
                <w:ilvl w:val="0"/>
                <w:numId w:val="30"/>
              </w:numPr>
              <w:spacing w:line="280" w:lineRule="exact"/>
            </w:pPr>
            <w:r>
              <w:t>meter program changes;</w:t>
            </w:r>
          </w:p>
          <w:p w14:paraId="4A44BC90" w14:textId="0203CBC6" w:rsidR="00547A7B" w:rsidRDefault="00547A7B" w:rsidP="00243FBE">
            <w:pPr>
              <w:pStyle w:val="UtilComTabletext"/>
              <w:numPr>
                <w:ilvl w:val="0"/>
                <w:numId w:val="30"/>
              </w:numPr>
              <w:spacing w:line="280" w:lineRule="exact"/>
            </w:pPr>
            <w:r>
              <w:t>testing or inspection of metering assets;</w:t>
            </w:r>
          </w:p>
          <w:p w14:paraId="4A02C7B7" w14:textId="1982D852" w:rsidR="00547A7B" w:rsidRDefault="00547A7B" w:rsidP="00243FBE">
            <w:pPr>
              <w:pStyle w:val="UtilComTabletext"/>
              <w:numPr>
                <w:ilvl w:val="0"/>
                <w:numId w:val="30"/>
              </w:numPr>
              <w:spacing w:line="280" w:lineRule="exact"/>
            </w:pPr>
            <w:r>
              <w:t>removal or relocation of metering assets;</w:t>
            </w:r>
          </w:p>
          <w:p w14:paraId="67B4846E" w14:textId="75703AE5" w:rsidR="00547A7B" w:rsidRDefault="00547A7B" w:rsidP="00243FBE">
            <w:pPr>
              <w:pStyle w:val="UtilComTabletext"/>
              <w:numPr>
                <w:ilvl w:val="0"/>
                <w:numId w:val="30"/>
              </w:numPr>
              <w:spacing w:line="280" w:lineRule="exact"/>
            </w:pPr>
            <w:r>
              <w:t>the exchange or replacement of metering assets;</w:t>
            </w:r>
          </w:p>
          <w:p w14:paraId="13495EB5" w14:textId="539BB565" w:rsidR="00547A7B" w:rsidRDefault="00547A7B" w:rsidP="00243FBE">
            <w:pPr>
              <w:pStyle w:val="UtilComTabletext"/>
              <w:numPr>
                <w:ilvl w:val="0"/>
                <w:numId w:val="30"/>
              </w:numPr>
              <w:spacing w:line="280" w:lineRule="exact"/>
            </w:pPr>
            <w:r>
              <w:t>installation of prepayment meters; and</w:t>
            </w:r>
          </w:p>
          <w:p w14:paraId="00C30B11" w14:textId="4006228B" w:rsidR="00547A7B" w:rsidRDefault="00547A7B" w:rsidP="00243FBE">
            <w:pPr>
              <w:pStyle w:val="UtilComTabletext"/>
              <w:numPr>
                <w:ilvl w:val="0"/>
                <w:numId w:val="30"/>
              </w:numPr>
              <w:spacing w:line="280" w:lineRule="exact"/>
            </w:pPr>
            <w:r>
              <w:t>provision of a permanent three-phase service.</w:t>
            </w:r>
          </w:p>
          <w:p w14:paraId="11BE9989" w14:textId="7BBEEB67" w:rsidR="00547A7B" w:rsidRDefault="00547A7B" w:rsidP="00547A7B">
            <w:pPr>
              <w:pStyle w:val="UtilComTabletext"/>
              <w:spacing w:line="280" w:lineRule="exact"/>
            </w:pPr>
            <w:r>
              <w:t>The provision of less routine services is subject to quotation (Quoted Services).</w:t>
            </w:r>
          </w:p>
        </w:tc>
      </w:tr>
      <w:tr w:rsidR="00D8675C" w:rsidRPr="00A27183" w14:paraId="5B41B2D6"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7DBCC6FD" w14:textId="77777777" w:rsidR="00D8675C" w:rsidRPr="00A27183" w:rsidRDefault="00D8675C" w:rsidP="00056708">
            <w:pPr>
              <w:pStyle w:val="UtilComTabletext"/>
              <w:spacing w:line="280" w:lineRule="exact"/>
            </w:pPr>
            <w:r>
              <w:t>Street light services</w:t>
            </w:r>
          </w:p>
        </w:tc>
        <w:tc>
          <w:tcPr>
            <w:tcW w:w="6379" w:type="dxa"/>
            <w:tcBorders>
              <w:bottom w:val="single" w:sz="6" w:space="0" w:color="A6A6A6" w:themeColor="background1" w:themeShade="A6"/>
            </w:tcBorders>
            <w:tcMar>
              <w:top w:w="0" w:type="dxa"/>
              <w:left w:w="57" w:type="dxa"/>
              <w:bottom w:w="28" w:type="dxa"/>
              <w:right w:w="57" w:type="dxa"/>
            </w:tcMar>
          </w:tcPr>
          <w:p w14:paraId="4E2ACE85" w14:textId="11FB6A55" w:rsidR="00D8675C" w:rsidRPr="00A27183" w:rsidRDefault="00D8675C" w:rsidP="00547A7B">
            <w:pPr>
              <w:pStyle w:val="UtilComTabletext"/>
              <w:spacing w:line="280" w:lineRule="exact"/>
            </w:pPr>
            <w:r>
              <w:t>Provision, construction and maintenance of street lighting assets</w:t>
            </w:r>
            <w:r w:rsidR="00547A7B">
              <w:t>.</w:t>
            </w:r>
            <w:r>
              <w:t xml:space="preserve"> </w:t>
            </w:r>
          </w:p>
        </w:tc>
      </w:tr>
      <w:tr w:rsidR="00D8675C" w:rsidRPr="00A27183" w14:paraId="42235A83"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2B430A59" w14:textId="77777777" w:rsidR="00D8675C" w:rsidRPr="00A27183" w:rsidRDefault="00D8675C" w:rsidP="00056708">
            <w:pPr>
              <w:pStyle w:val="UtilComTabletext"/>
              <w:spacing w:line="280" w:lineRule="exact"/>
            </w:pPr>
            <w:r>
              <w:t>Non-standard data services</w:t>
            </w:r>
          </w:p>
        </w:tc>
        <w:tc>
          <w:tcPr>
            <w:tcW w:w="6379" w:type="dxa"/>
            <w:tcBorders>
              <w:bottom w:val="single" w:sz="6" w:space="0" w:color="A6A6A6" w:themeColor="background1" w:themeShade="A6"/>
            </w:tcBorders>
            <w:tcMar>
              <w:top w:w="0" w:type="dxa"/>
              <w:left w:w="57" w:type="dxa"/>
              <w:bottom w:w="28" w:type="dxa"/>
              <w:right w:w="57" w:type="dxa"/>
            </w:tcMar>
          </w:tcPr>
          <w:p w14:paraId="45F0CE33" w14:textId="7A6E60AF" w:rsidR="00D8675C" w:rsidRPr="00A27183" w:rsidRDefault="00D8675C" w:rsidP="00056708">
            <w:pPr>
              <w:pStyle w:val="UtilComTabletext"/>
              <w:spacing w:line="280" w:lineRule="exact"/>
            </w:pPr>
            <w:r>
              <w:t>Provision of non-standard data services</w:t>
            </w:r>
            <w:r w:rsidR="00ED7422">
              <w:t xml:space="preserve"> of a routine nature.</w:t>
            </w:r>
          </w:p>
        </w:tc>
      </w:tr>
      <w:tr w:rsidR="00D8675C" w:rsidRPr="00A27183" w14:paraId="70AB865B"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3AB30210" w14:textId="77777777" w:rsidR="00D8675C" w:rsidRPr="00A27183" w:rsidRDefault="00D8675C" w:rsidP="00056708">
            <w:pPr>
              <w:pStyle w:val="UtilComTabletext"/>
              <w:spacing w:line="280" w:lineRule="exact"/>
            </w:pPr>
            <w:r>
              <w:t>Disconnection and reconnection</w:t>
            </w:r>
          </w:p>
        </w:tc>
        <w:tc>
          <w:tcPr>
            <w:tcW w:w="6379" w:type="dxa"/>
            <w:tcBorders>
              <w:bottom w:val="single" w:sz="6" w:space="0" w:color="A6A6A6" w:themeColor="background1" w:themeShade="A6"/>
            </w:tcBorders>
            <w:tcMar>
              <w:top w:w="0" w:type="dxa"/>
              <w:left w:w="57" w:type="dxa"/>
              <w:bottom w:w="28" w:type="dxa"/>
              <w:right w:w="57" w:type="dxa"/>
            </w:tcMar>
          </w:tcPr>
          <w:p w14:paraId="0062FDB4" w14:textId="77801607" w:rsidR="00D8675C" w:rsidRPr="00A27183" w:rsidRDefault="00D8675C" w:rsidP="00056708">
            <w:pPr>
              <w:pStyle w:val="UtilComTabletext"/>
              <w:spacing w:line="280" w:lineRule="exact"/>
            </w:pPr>
            <w:r>
              <w:t>Providing temporary disconnection and reconnection of supply at a connection point at the request of a network user or market participant and in accordance with the terms of the Network Technical Code</w:t>
            </w:r>
            <w:r w:rsidR="00ED7422">
              <w:t>.</w:t>
            </w:r>
          </w:p>
        </w:tc>
      </w:tr>
      <w:tr w:rsidR="00D8675C" w:rsidRPr="00A27183" w14:paraId="42B1C262"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5C06C656" w14:textId="34F13ED9" w:rsidR="00D8675C" w:rsidRPr="00A27183" w:rsidRDefault="00D8675C" w:rsidP="00056708">
            <w:pPr>
              <w:pStyle w:val="UtilComTabletext"/>
              <w:spacing w:line="280" w:lineRule="exact"/>
            </w:pPr>
            <w:r>
              <w:t>Fault response – not PWC Networks</w:t>
            </w:r>
            <w:r w:rsidR="009F4718">
              <w:t>’</w:t>
            </w:r>
            <w:r>
              <w:t xml:space="preserve"> equipment</w:t>
            </w:r>
          </w:p>
        </w:tc>
        <w:tc>
          <w:tcPr>
            <w:tcW w:w="6379" w:type="dxa"/>
            <w:tcBorders>
              <w:bottom w:val="single" w:sz="6" w:space="0" w:color="A6A6A6" w:themeColor="background1" w:themeShade="A6"/>
            </w:tcBorders>
            <w:tcMar>
              <w:top w:w="0" w:type="dxa"/>
              <w:left w:w="57" w:type="dxa"/>
              <w:bottom w:w="28" w:type="dxa"/>
              <w:right w:w="57" w:type="dxa"/>
            </w:tcMar>
          </w:tcPr>
          <w:p w14:paraId="0AF3B6A0" w14:textId="07D9FF83" w:rsidR="00D8675C" w:rsidRPr="00A27183" w:rsidRDefault="00D8675C" w:rsidP="00056708">
            <w:pPr>
              <w:pStyle w:val="UtilComTabletext"/>
              <w:spacing w:line="280" w:lineRule="exact"/>
            </w:pPr>
            <w:r>
              <w:t>Attendance in response to advice of a fault by a network user where the fault is not associated with PWC Networks’ assets or metering equipment</w:t>
            </w:r>
            <w:r w:rsidR="00ED7422">
              <w:t>.</w:t>
            </w:r>
          </w:p>
        </w:tc>
      </w:tr>
      <w:tr w:rsidR="00D8675C" w:rsidRPr="00A27183" w14:paraId="16D25180"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7CF9FCAA" w14:textId="77777777" w:rsidR="00D8675C" w:rsidRPr="00A27183" w:rsidRDefault="00D8675C" w:rsidP="00056708">
            <w:pPr>
              <w:pStyle w:val="UtilComTabletext"/>
              <w:spacing w:line="280" w:lineRule="exact"/>
            </w:pPr>
            <w:r>
              <w:t>Installation of minor equipment to the network</w:t>
            </w:r>
          </w:p>
        </w:tc>
        <w:tc>
          <w:tcPr>
            <w:tcW w:w="6379" w:type="dxa"/>
            <w:tcBorders>
              <w:bottom w:val="single" w:sz="6" w:space="0" w:color="A6A6A6" w:themeColor="background1" w:themeShade="A6"/>
            </w:tcBorders>
            <w:tcMar>
              <w:top w:w="0" w:type="dxa"/>
              <w:left w:w="57" w:type="dxa"/>
              <w:bottom w:w="28" w:type="dxa"/>
              <w:right w:w="57" w:type="dxa"/>
            </w:tcMar>
          </w:tcPr>
          <w:p w14:paraId="1D5F030A" w14:textId="77777777" w:rsidR="00D8675C" w:rsidRDefault="00D8675C" w:rsidP="00056708">
            <w:pPr>
              <w:pStyle w:val="UtilComTabletext"/>
              <w:spacing w:line="280" w:lineRule="exact"/>
            </w:pPr>
            <w:r>
              <w:t>This includes but is not necessarily limited to:</w:t>
            </w:r>
          </w:p>
          <w:p w14:paraId="512BE688" w14:textId="77777777" w:rsidR="00ED7422" w:rsidRDefault="00D8675C" w:rsidP="00ED7422">
            <w:pPr>
              <w:pStyle w:val="UtilComTabletext"/>
              <w:numPr>
                <w:ilvl w:val="0"/>
                <w:numId w:val="10"/>
              </w:numPr>
              <w:spacing w:line="280" w:lineRule="exact"/>
            </w:pPr>
            <w:r>
              <w:t>installation of tiger tails on PWC Networks assets</w:t>
            </w:r>
            <w:r w:rsidR="00ED7422">
              <w:t>;</w:t>
            </w:r>
          </w:p>
          <w:p w14:paraId="61046515" w14:textId="752AF739" w:rsidR="00D8675C" w:rsidRDefault="00D8675C" w:rsidP="00ED7422">
            <w:pPr>
              <w:pStyle w:val="UtilComTabletext"/>
              <w:numPr>
                <w:ilvl w:val="0"/>
                <w:numId w:val="10"/>
              </w:numPr>
              <w:spacing w:line="280" w:lineRule="exact"/>
            </w:pPr>
            <w:r>
              <w:t>polylogger test equipment at the user's premises</w:t>
            </w:r>
            <w:r w:rsidR="00ED7422">
              <w:t>; and</w:t>
            </w:r>
          </w:p>
          <w:p w14:paraId="00A6B74A" w14:textId="29A3CF3C" w:rsidR="00D8675C" w:rsidRPr="00A27183" w:rsidRDefault="00D8675C" w:rsidP="00ED7422">
            <w:pPr>
              <w:pStyle w:val="UtilComTabletext"/>
              <w:numPr>
                <w:ilvl w:val="0"/>
                <w:numId w:val="10"/>
              </w:numPr>
              <w:spacing w:line="280" w:lineRule="exact"/>
            </w:pPr>
            <w:r>
              <w:t>rental cost of minor equipment</w:t>
            </w:r>
            <w:r w:rsidR="00ED7422">
              <w:t>.</w:t>
            </w:r>
          </w:p>
        </w:tc>
      </w:tr>
      <w:tr w:rsidR="00D8675C" w:rsidRPr="00A27183" w14:paraId="74779914"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21507365" w14:textId="1C37D41D" w:rsidR="00D8675C" w:rsidRPr="00A27183" w:rsidRDefault="00D8675C" w:rsidP="00056708">
            <w:pPr>
              <w:pStyle w:val="UtilComTabletext"/>
              <w:spacing w:line="280" w:lineRule="exact"/>
            </w:pPr>
            <w:r>
              <w:t>Travel costs</w:t>
            </w:r>
          </w:p>
        </w:tc>
        <w:tc>
          <w:tcPr>
            <w:tcW w:w="6379" w:type="dxa"/>
            <w:tcBorders>
              <w:bottom w:val="single" w:sz="6" w:space="0" w:color="A6A6A6" w:themeColor="background1" w:themeShade="A6"/>
            </w:tcBorders>
            <w:tcMar>
              <w:top w:w="0" w:type="dxa"/>
              <w:left w:w="57" w:type="dxa"/>
              <w:bottom w:w="28" w:type="dxa"/>
              <w:right w:w="57" w:type="dxa"/>
            </w:tcMar>
          </w:tcPr>
          <w:p w14:paraId="2667BAD7" w14:textId="42EC2FDB" w:rsidR="00D8675C" w:rsidRPr="00A27183" w:rsidRDefault="00D8675C" w:rsidP="005E7A8A">
            <w:pPr>
              <w:pStyle w:val="UtilComTabletext"/>
              <w:spacing w:line="280" w:lineRule="exact"/>
            </w:pPr>
            <w:r>
              <w:t>Where PWC Networks</w:t>
            </w:r>
            <w:r w:rsidR="009F4718">
              <w:t>’</w:t>
            </w:r>
            <w:r>
              <w:t xml:space="preserve"> personnel are required to attend rural locations more than 100kms from the</w:t>
            </w:r>
            <w:r w:rsidR="005D3DBC">
              <w:t xml:space="preserve"> relevant PWC Networks</w:t>
            </w:r>
            <w:r>
              <w:t xml:space="preserve"> depot</w:t>
            </w:r>
            <w:r w:rsidR="005E7A8A">
              <w:t>.</w:t>
            </w:r>
          </w:p>
        </w:tc>
      </w:tr>
    </w:tbl>
    <w:p w14:paraId="100828E1" w14:textId="77777777" w:rsidR="0079458F" w:rsidRDefault="0079458F" w:rsidP="00056708">
      <w:pPr>
        <w:pStyle w:val="UtilComTabletext"/>
        <w:tabs>
          <w:tab w:val="left" w:pos="2892"/>
        </w:tabs>
        <w:spacing w:line="280" w:lineRule="exact"/>
        <w:ind w:left="57"/>
        <w:rPr>
          <w:vanish/>
        </w:rPr>
      </w:pPr>
    </w:p>
    <w:p w14:paraId="3CACD937" w14:textId="77777777" w:rsidR="0079458F" w:rsidRDefault="0079458F">
      <w:pPr>
        <w:spacing w:before="0" w:after="0" w:line="240" w:lineRule="auto"/>
        <w:rPr>
          <w:b/>
          <w:sz w:val="24"/>
          <w:szCs w:val="24"/>
        </w:rPr>
      </w:pPr>
      <w:r>
        <w:br w:type="page"/>
      </w:r>
    </w:p>
    <w:p w14:paraId="5C33D834" w14:textId="120AA01B" w:rsidR="0079458F" w:rsidRPr="00BE238D" w:rsidRDefault="0079458F" w:rsidP="0079458F">
      <w:pPr>
        <w:pStyle w:val="UtilComHeading3"/>
      </w:pPr>
      <w:r>
        <w:t>Excluded network access services subject to effective competition</w:t>
      </w:r>
    </w:p>
    <w:tbl>
      <w:tblPr>
        <w:tblStyle w:val="TableGrid"/>
        <w:tblW w:w="9214" w:type="dxa"/>
        <w:tblInd w:w="57"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ook w:val="01E0" w:firstRow="1" w:lastRow="1" w:firstColumn="1" w:lastColumn="1" w:noHBand="0" w:noVBand="0"/>
      </w:tblPr>
      <w:tblGrid>
        <w:gridCol w:w="2835"/>
        <w:gridCol w:w="6379"/>
      </w:tblGrid>
      <w:tr w:rsidR="0079458F" w:rsidRPr="00BE238D" w14:paraId="477FEF42" w14:textId="77777777" w:rsidTr="009734C3">
        <w:trPr>
          <w:cantSplit/>
          <w:trHeight w:val="357"/>
          <w:tblHeader/>
        </w:trPr>
        <w:tc>
          <w:tcPr>
            <w:tcW w:w="2835" w:type="dxa"/>
            <w:tcBorders>
              <w:bottom w:val="single" w:sz="6" w:space="0" w:color="A6A6A6" w:themeColor="background1" w:themeShade="A6"/>
            </w:tcBorders>
            <w:tcMar>
              <w:top w:w="0" w:type="dxa"/>
              <w:left w:w="57" w:type="dxa"/>
              <w:bottom w:w="28" w:type="dxa"/>
              <w:right w:w="57" w:type="dxa"/>
            </w:tcMar>
            <w:vAlign w:val="bottom"/>
          </w:tcPr>
          <w:p w14:paraId="18433921" w14:textId="77777777" w:rsidR="0079458F" w:rsidRPr="00BE238D" w:rsidRDefault="0079458F" w:rsidP="009734C3">
            <w:pPr>
              <w:pStyle w:val="UtilComTabletext"/>
              <w:spacing w:line="280" w:lineRule="exact"/>
              <w:rPr>
                <w:b/>
              </w:rPr>
            </w:pPr>
            <w:r>
              <w:rPr>
                <w:b/>
              </w:rPr>
              <w:t>Service group</w:t>
            </w:r>
          </w:p>
        </w:tc>
        <w:tc>
          <w:tcPr>
            <w:tcW w:w="6379" w:type="dxa"/>
            <w:tcBorders>
              <w:bottom w:val="single" w:sz="6" w:space="0" w:color="A6A6A6" w:themeColor="background1" w:themeShade="A6"/>
            </w:tcBorders>
            <w:tcMar>
              <w:top w:w="0" w:type="dxa"/>
              <w:left w:w="57" w:type="dxa"/>
              <w:bottom w:w="28" w:type="dxa"/>
              <w:right w:w="57" w:type="dxa"/>
            </w:tcMar>
            <w:vAlign w:val="bottom"/>
          </w:tcPr>
          <w:p w14:paraId="65F37297" w14:textId="77777777" w:rsidR="0079458F" w:rsidRPr="00BE238D" w:rsidRDefault="0079458F" w:rsidP="009734C3">
            <w:pPr>
              <w:pStyle w:val="UtilComTabletext"/>
              <w:spacing w:line="280" w:lineRule="exact"/>
              <w:rPr>
                <w:b/>
              </w:rPr>
            </w:pPr>
            <w:r>
              <w:rPr>
                <w:b/>
              </w:rPr>
              <w:t>Activities description</w:t>
            </w:r>
          </w:p>
        </w:tc>
      </w:tr>
      <w:tr w:rsidR="00D8675C" w:rsidRPr="00A27183" w14:paraId="1B3886F6"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2ED7F1CC" w14:textId="77777777" w:rsidR="00D8675C" w:rsidRPr="00A27183" w:rsidRDefault="00D8675C" w:rsidP="00056708">
            <w:pPr>
              <w:pStyle w:val="UtilComTabletext"/>
              <w:spacing w:line="280" w:lineRule="exact"/>
            </w:pPr>
            <w:r>
              <w:t>Equipment rental for non-network purposes</w:t>
            </w:r>
          </w:p>
        </w:tc>
        <w:tc>
          <w:tcPr>
            <w:tcW w:w="6379" w:type="dxa"/>
            <w:tcBorders>
              <w:bottom w:val="single" w:sz="6" w:space="0" w:color="A6A6A6" w:themeColor="background1" w:themeShade="A6"/>
            </w:tcBorders>
            <w:tcMar>
              <w:top w:w="0" w:type="dxa"/>
              <w:left w:w="57" w:type="dxa"/>
              <w:bottom w:w="28" w:type="dxa"/>
              <w:right w:w="57" w:type="dxa"/>
            </w:tcMar>
          </w:tcPr>
          <w:p w14:paraId="2D63F2A8" w14:textId="77777777" w:rsidR="00D8675C" w:rsidRDefault="00D8675C" w:rsidP="00056708">
            <w:pPr>
              <w:pStyle w:val="UtilComTabletext"/>
              <w:spacing w:line="280" w:lineRule="exact"/>
            </w:pPr>
            <w:r>
              <w:t>Equipment rental charges may be but are not necessarily limited to the following:</w:t>
            </w:r>
          </w:p>
          <w:p w14:paraId="6E60DECF" w14:textId="4E15EFAB" w:rsidR="00D8675C" w:rsidRDefault="00D8675C" w:rsidP="0079458F">
            <w:pPr>
              <w:pStyle w:val="UtilComTabletext"/>
              <w:numPr>
                <w:ilvl w:val="0"/>
                <w:numId w:val="10"/>
              </w:numPr>
              <w:spacing w:line="280" w:lineRule="exact"/>
            </w:pPr>
            <w:r>
              <w:t>for the attachment of communications services such as coaxial or fibre optic cables</w:t>
            </w:r>
            <w:r w:rsidR="0079458F">
              <w:t>;</w:t>
            </w:r>
          </w:p>
          <w:p w14:paraId="1550ABDB" w14:textId="3A98410C" w:rsidR="00D8675C" w:rsidRDefault="00D8675C" w:rsidP="0079458F">
            <w:pPr>
              <w:pStyle w:val="UtilComTabletext"/>
              <w:numPr>
                <w:ilvl w:val="0"/>
                <w:numId w:val="10"/>
              </w:numPr>
              <w:spacing w:line="280" w:lineRule="exact"/>
            </w:pPr>
            <w:r>
              <w:t>for pole attachments, ducts or conduits</w:t>
            </w:r>
            <w:r w:rsidR="0079458F">
              <w:t>; and</w:t>
            </w:r>
          </w:p>
          <w:p w14:paraId="52DD9F63" w14:textId="7E043F99" w:rsidR="00D8675C" w:rsidRPr="00A27183" w:rsidRDefault="00D8675C" w:rsidP="0079458F">
            <w:pPr>
              <w:pStyle w:val="UtilComTabletext"/>
              <w:numPr>
                <w:ilvl w:val="0"/>
                <w:numId w:val="10"/>
              </w:numPr>
              <w:spacing w:line="280" w:lineRule="exact"/>
            </w:pPr>
            <w:r>
              <w:t>for the use of tunnels or ducts by communications or other services</w:t>
            </w:r>
            <w:r w:rsidR="0079458F">
              <w:t>.</w:t>
            </w:r>
          </w:p>
        </w:tc>
      </w:tr>
      <w:tr w:rsidR="00D8675C" w:rsidRPr="00A27183" w14:paraId="6E68B36B" w14:textId="77777777" w:rsidTr="008E229D">
        <w:trPr>
          <w:cantSplit/>
          <w:trHeight w:val="357"/>
        </w:trPr>
        <w:tc>
          <w:tcPr>
            <w:tcW w:w="2835" w:type="dxa"/>
            <w:tcBorders>
              <w:bottom w:val="single" w:sz="6" w:space="0" w:color="A6A6A6" w:themeColor="background1" w:themeShade="A6"/>
            </w:tcBorders>
            <w:tcMar>
              <w:top w:w="0" w:type="dxa"/>
              <w:left w:w="57" w:type="dxa"/>
              <w:bottom w:w="28" w:type="dxa"/>
              <w:right w:w="57" w:type="dxa"/>
            </w:tcMar>
          </w:tcPr>
          <w:p w14:paraId="36F2B02B" w14:textId="77777777" w:rsidR="00D8675C" w:rsidRPr="00A27183" w:rsidRDefault="00D8675C" w:rsidP="00056708">
            <w:pPr>
              <w:pStyle w:val="UtilComTabletext"/>
              <w:spacing w:line="280" w:lineRule="exact"/>
            </w:pPr>
            <w:r>
              <w:t>Investigation and testing services</w:t>
            </w:r>
          </w:p>
        </w:tc>
        <w:tc>
          <w:tcPr>
            <w:tcW w:w="6379" w:type="dxa"/>
            <w:tcBorders>
              <w:bottom w:val="single" w:sz="6" w:space="0" w:color="A6A6A6" w:themeColor="background1" w:themeShade="A6"/>
            </w:tcBorders>
            <w:tcMar>
              <w:top w:w="0" w:type="dxa"/>
              <w:left w:w="57" w:type="dxa"/>
              <w:bottom w:w="28" w:type="dxa"/>
              <w:right w:w="57" w:type="dxa"/>
            </w:tcMar>
          </w:tcPr>
          <w:p w14:paraId="175D3937" w14:textId="0C5B3654" w:rsidR="00D8675C" w:rsidRPr="00A27183" w:rsidRDefault="00D8675C" w:rsidP="0079458F">
            <w:pPr>
              <w:pStyle w:val="UtilComTabletext"/>
              <w:spacing w:line="280" w:lineRule="exact"/>
            </w:pPr>
            <w:r w:rsidRPr="00C95D5B">
              <w:t xml:space="preserve">Investigation and testing services requested by a </w:t>
            </w:r>
            <w:r w:rsidR="0079458F">
              <w:t>network user.</w:t>
            </w:r>
          </w:p>
        </w:tc>
      </w:tr>
      <w:tr w:rsidR="00D8675C" w:rsidRPr="00A27183" w14:paraId="37698257" w14:textId="77777777" w:rsidTr="008E229D">
        <w:trPr>
          <w:cantSplit/>
          <w:trHeight w:val="357"/>
        </w:trPr>
        <w:tc>
          <w:tcPr>
            <w:tcW w:w="2835" w:type="dxa"/>
            <w:tcBorders>
              <w:top w:val="single" w:sz="6" w:space="0" w:color="A6A6A6" w:themeColor="background1" w:themeShade="A6"/>
              <w:bottom w:val="single" w:sz="6" w:space="0" w:color="auto"/>
            </w:tcBorders>
            <w:tcMar>
              <w:top w:w="0" w:type="dxa"/>
              <w:left w:w="57" w:type="dxa"/>
              <w:bottom w:w="28" w:type="dxa"/>
              <w:right w:w="57" w:type="dxa"/>
            </w:tcMar>
          </w:tcPr>
          <w:p w14:paraId="2947F6D6" w14:textId="77777777" w:rsidR="00D8675C" w:rsidRPr="00A27183" w:rsidRDefault="00D8675C" w:rsidP="00056708">
            <w:pPr>
              <w:pStyle w:val="UtilComTabletext"/>
              <w:spacing w:line="280" w:lineRule="exact"/>
            </w:pPr>
            <w:r w:rsidRPr="00C95D5B">
              <w:t>Contestable networks engineering consulting services</w:t>
            </w:r>
          </w:p>
        </w:tc>
        <w:tc>
          <w:tcPr>
            <w:tcW w:w="6379" w:type="dxa"/>
            <w:tcBorders>
              <w:top w:val="single" w:sz="6" w:space="0" w:color="A6A6A6" w:themeColor="background1" w:themeShade="A6"/>
              <w:bottom w:val="single" w:sz="6" w:space="0" w:color="auto"/>
            </w:tcBorders>
            <w:tcMar>
              <w:top w:w="0" w:type="dxa"/>
              <w:left w:w="57" w:type="dxa"/>
              <w:bottom w:w="28" w:type="dxa"/>
              <w:right w:w="57" w:type="dxa"/>
            </w:tcMar>
          </w:tcPr>
          <w:p w14:paraId="48D53BF2" w14:textId="23403982" w:rsidR="00D8675C" w:rsidRPr="00A27183" w:rsidRDefault="00D8675C" w:rsidP="00056708">
            <w:pPr>
              <w:pStyle w:val="UtilComTabletext"/>
              <w:spacing w:line="280" w:lineRule="exact"/>
            </w:pPr>
            <w:r>
              <w:t xml:space="preserve">Consulting services provided by PWC Networks to </w:t>
            </w:r>
            <w:r w:rsidR="0079458F">
              <w:t xml:space="preserve">network users and </w:t>
            </w:r>
            <w:r>
              <w:t>third parties</w:t>
            </w:r>
            <w:r w:rsidR="0079458F">
              <w:t>.</w:t>
            </w:r>
          </w:p>
        </w:tc>
      </w:tr>
    </w:tbl>
    <w:p w14:paraId="65BA0BC2" w14:textId="77777777" w:rsidR="00EA7AE8" w:rsidRPr="000B21F0" w:rsidRDefault="00EA7AE8" w:rsidP="00EA7AE8"/>
    <w:p w14:paraId="2BCD64A6" w14:textId="283C0DAC" w:rsidR="003A29B2" w:rsidDel="00DA71C5" w:rsidRDefault="003A29B2" w:rsidP="005F54A0">
      <w:pPr>
        <w:pStyle w:val="NumberLevel2"/>
        <w:tabs>
          <w:tab w:val="left" w:pos="0"/>
        </w:tabs>
        <w:ind w:left="0" w:firstLine="0"/>
        <w:rPr>
          <w:lang w:val="en-AU"/>
        </w:rPr>
      </w:pPr>
    </w:p>
    <w:tbl>
      <w:tblPr>
        <w:tblW w:w="0" w:type="auto"/>
        <w:tblLayout w:type="fixed"/>
        <w:tblLook w:val="01E0" w:firstRow="1" w:lastRow="1" w:firstColumn="1" w:lastColumn="1" w:noHBand="0" w:noVBand="0"/>
      </w:tblPr>
      <w:tblGrid>
        <w:gridCol w:w="9288"/>
      </w:tblGrid>
      <w:tr w:rsidR="003A29B2" w14:paraId="34E7AE33" w14:textId="77777777" w:rsidTr="00BA785E">
        <w:tc>
          <w:tcPr>
            <w:tcW w:w="9288" w:type="dxa"/>
          </w:tcPr>
          <w:p w14:paraId="019B10FF" w14:textId="712D5CF8" w:rsidR="003A29B2" w:rsidRPr="00A554E9" w:rsidRDefault="003A29B2" w:rsidP="003A29B2">
            <w:pPr>
              <w:pStyle w:val="AppendixHeading"/>
              <w:pageBreakBefore/>
            </w:pPr>
            <w:r>
              <w:br w:type="page"/>
            </w:r>
            <w:r w:rsidRPr="00A554E9">
              <w:t xml:space="preserve">appendix </w:t>
            </w:r>
            <w:r>
              <w:t>B</w:t>
            </w:r>
          </w:p>
        </w:tc>
      </w:tr>
      <w:tr w:rsidR="003A29B2" w:rsidRPr="002165F7" w14:paraId="63145D87" w14:textId="77777777" w:rsidTr="00BA785E">
        <w:tc>
          <w:tcPr>
            <w:tcW w:w="9288" w:type="dxa"/>
          </w:tcPr>
          <w:p w14:paraId="3712B0C6" w14:textId="6D6FDEBB" w:rsidR="003A29B2" w:rsidRPr="002165F7" w:rsidRDefault="003A29B2">
            <w:pPr>
              <w:pStyle w:val="UtilComChapterHeading"/>
            </w:pPr>
            <w:bookmarkStart w:id="354" w:name="_Toc386013153"/>
            <w:r w:rsidRPr="002165F7">
              <w:t xml:space="preserve">Annual </w:t>
            </w:r>
            <w:r w:rsidR="00751815">
              <w:t>R</w:t>
            </w:r>
            <w:r w:rsidR="00751815" w:rsidRPr="002165F7">
              <w:t xml:space="preserve">eporting </w:t>
            </w:r>
            <w:r w:rsidR="00751815">
              <w:t>R</w:t>
            </w:r>
            <w:r w:rsidR="00751815" w:rsidRPr="002165F7">
              <w:t>equirements</w:t>
            </w:r>
            <w:bookmarkEnd w:id="354"/>
          </w:p>
        </w:tc>
      </w:tr>
    </w:tbl>
    <w:p w14:paraId="3A4E8FD1" w14:textId="77C0ADA2" w:rsidR="009734C3" w:rsidRPr="002165F7" w:rsidRDefault="009734C3" w:rsidP="009734C3">
      <w:pPr>
        <w:rPr>
          <w:lang w:val="en-AU"/>
        </w:rPr>
      </w:pPr>
      <w:r w:rsidRPr="002165F7">
        <w:rPr>
          <w:lang w:val="en-AU"/>
        </w:rPr>
        <w:t xml:space="preserve">In a number of chapters of this </w:t>
      </w:r>
      <w:r w:rsidR="002165F7">
        <w:rPr>
          <w:lang w:val="en-AU"/>
        </w:rPr>
        <w:t>Statement of Reasons</w:t>
      </w:r>
      <w:r w:rsidRPr="002165F7">
        <w:rPr>
          <w:lang w:val="en-AU"/>
        </w:rPr>
        <w:t>, the Commission has indicated that certain information will be required to be reported by PWC Networks on an annual basis. This information is generally required to ensure the correct application of the approved control mechanisms, or for annual pricing purposes, amongst other reasons.</w:t>
      </w:r>
    </w:p>
    <w:p w14:paraId="0F4C9B4D" w14:textId="19021812" w:rsidR="009734C3" w:rsidRPr="002165F7" w:rsidRDefault="009734C3" w:rsidP="009734C3">
      <w:pPr>
        <w:rPr>
          <w:lang w:val="en-AU"/>
        </w:rPr>
      </w:pPr>
      <w:r w:rsidRPr="002165F7">
        <w:rPr>
          <w:lang w:val="en-AU"/>
        </w:rPr>
        <w:t xml:space="preserve">The purpose of this </w:t>
      </w:r>
      <w:r w:rsidR="009F4718">
        <w:rPr>
          <w:lang w:val="en-AU"/>
        </w:rPr>
        <w:t>A</w:t>
      </w:r>
      <w:r w:rsidRPr="002165F7">
        <w:rPr>
          <w:lang w:val="en-AU"/>
        </w:rPr>
        <w:t xml:space="preserve">ppendix is to provide a summary of the information the Commission has indicated would need to be reported by the PWC Networks during the 2014-19 regulatory control period to ensure compliance with the </w:t>
      </w:r>
      <w:r w:rsidR="002165F7">
        <w:rPr>
          <w:lang w:val="en-AU"/>
        </w:rPr>
        <w:t>2014 Network Price Determination</w:t>
      </w:r>
      <w:r w:rsidRPr="002165F7">
        <w:rPr>
          <w:lang w:val="en-AU"/>
        </w:rPr>
        <w:t xml:space="preserve">. </w:t>
      </w:r>
    </w:p>
    <w:p w14:paraId="0D7D5E63" w14:textId="754C008A" w:rsidR="000C1280" w:rsidRPr="002165F7" w:rsidRDefault="009734C3" w:rsidP="009734C3">
      <w:pPr>
        <w:rPr>
          <w:lang w:val="en-AU"/>
        </w:rPr>
      </w:pPr>
      <w:r w:rsidRPr="002165F7">
        <w:rPr>
          <w:lang w:val="en-AU"/>
        </w:rPr>
        <w:t xml:space="preserve">Additionally, the Commission </w:t>
      </w:r>
      <w:r w:rsidR="00E00B7B" w:rsidRPr="002165F7">
        <w:rPr>
          <w:lang w:val="en-AU"/>
        </w:rPr>
        <w:t xml:space="preserve">will </w:t>
      </w:r>
      <w:r w:rsidRPr="002165F7">
        <w:rPr>
          <w:lang w:val="en-AU"/>
        </w:rPr>
        <w:t xml:space="preserve">work with PWC Networks over the 2014-19 regulatory control period to develop annual reporting requirements to ensure that there is sufficient data collection and granularity to provide a better dataset </w:t>
      </w:r>
      <w:r w:rsidR="000C1280" w:rsidRPr="002165F7">
        <w:rPr>
          <w:lang w:val="en-AU"/>
        </w:rPr>
        <w:t xml:space="preserve">for the </w:t>
      </w:r>
      <w:r w:rsidR="002165F7">
        <w:rPr>
          <w:lang w:val="en-AU"/>
        </w:rPr>
        <w:t>Post </w:t>
      </w:r>
      <w:r w:rsidR="000C1280" w:rsidRPr="002165F7">
        <w:rPr>
          <w:lang w:val="en-AU"/>
        </w:rPr>
        <w:t>2019 Network Price Determination</w:t>
      </w:r>
      <w:r w:rsidR="009E2601">
        <w:rPr>
          <w:lang w:val="en-AU"/>
        </w:rPr>
        <w:t>.</w:t>
      </w:r>
      <w:r w:rsidR="000C1280" w:rsidRPr="002165F7">
        <w:rPr>
          <w:lang w:val="en-AU"/>
        </w:rPr>
        <w:t xml:space="preserve"> </w:t>
      </w:r>
      <w:r w:rsidRPr="002165F7">
        <w:rPr>
          <w:lang w:val="en-AU"/>
        </w:rPr>
        <w:t xml:space="preserve"> </w:t>
      </w:r>
    </w:p>
    <w:p w14:paraId="72F02AD3" w14:textId="6217B413" w:rsidR="009734C3" w:rsidRPr="002165F7" w:rsidRDefault="000C1280" w:rsidP="009734C3">
      <w:pPr>
        <w:rPr>
          <w:lang w:val="en-AU"/>
        </w:rPr>
      </w:pPr>
      <w:r w:rsidRPr="002165F7">
        <w:rPr>
          <w:lang w:val="en-AU"/>
        </w:rPr>
        <w:t>T</w:t>
      </w:r>
      <w:r w:rsidR="009734C3" w:rsidRPr="002165F7">
        <w:rPr>
          <w:lang w:val="en-AU"/>
        </w:rPr>
        <w:t xml:space="preserve">he </w:t>
      </w:r>
      <w:r w:rsidRPr="002165F7">
        <w:rPr>
          <w:lang w:val="en-AU"/>
        </w:rPr>
        <w:t>Commission</w:t>
      </w:r>
      <w:r w:rsidR="009734C3" w:rsidRPr="002165F7">
        <w:rPr>
          <w:lang w:val="en-AU"/>
        </w:rPr>
        <w:t xml:space="preserve"> anticipates that this information will be collected via a </w:t>
      </w:r>
      <w:r w:rsidR="009F4718">
        <w:rPr>
          <w:lang w:val="en-AU"/>
        </w:rPr>
        <w:t>r</w:t>
      </w:r>
      <w:r w:rsidR="009734C3" w:rsidRPr="002165F7">
        <w:rPr>
          <w:lang w:val="en-AU"/>
        </w:rPr>
        <w:t xml:space="preserve">egulatory </w:t>
      </w:r>
      <w:r w:rsidR="009F4718">
        <w:rPr>
          <w:lang w:val="en-AU"/>
        </w:rPr>
        <w:t>i</w:t>
      </w:r>
      <w:r w:rsidR="009734C3" w:rsidRPr="002165F7">
        <w:rPr>
          <w:lang w:val="en-AU"/>
        </w:rPr>
        <w:t xml:space="preserve">nformation </w:t>
      </w:r>
      <w:r w:rsidR="009F4718">
        <w:rPr>
          <w:lang w:val="en-AU"/>
        </w:rPr>
        <w:t>n</w:t>
      </w:r>
      <w:r w:rsidR="002165F7">
        <w:rPr>
          <w:lang w:val="en-AU"/>
        </w:rPr>
        <w:t>otice</w:t>
      </w:r>
      <w:r w:rsidR="002165F7" w:rsidRPr="002165F7">
        <w:rPr>
          <w:lang w:val="en-AU"/>
        </w:rPr>
        <w:t xml:space="preserve"> </w:t>
      </w:r>
      <w:r w:rsidRPr="002165F7">
        <w:rPr>
          <w:lang w:val="en-AU"/>
        </w:rPr>
        <w:t xml:space="preserve">issued pursuant to the Commission’s information gathering powers set out in section 25 of the </w:t>
      </w:r>
      <w:r w:rsidRPr="002165F7">
        <w:rPr>
          <w:i/>
          <w:lang w:val="en-AU"/>
        </w:rPr>
        <w:t>Utilities Commission Act</w:t>
      </w:r>
      <w:r w:rsidR="009734C3" w:rsidRPr="002165F7">
        <w:rPr>
          <w:lang w:val="en-AU"/>
        </w:rPr>
        <w:t>.</w:t>
      </w:r>
    </w:p>
    <w:p w14:paraId="67A94D2E" w14:textId="7D98013C" w:rsidR="009734C3" w:rsidRPr="002165F7" w:rsidRDefault="009734C3" w:rsidP="009734C3">
      <w:pPr>
        <w:rPr>
          <w:lang w:val="en-AU"/>
        </w:rPr>
      </w:pPr>
      <w:r w:rsidRPr="002165F7">
        <w:rPr>
          <w:lang w:val="en-AU"/>
        </w:rPr>
        <w:t>Information contained in the table below has been drawn from the chapters in this decision.</w:t>
      </w:r>
    </w:p>
    <w:tbl>
      <w:tblPr>
        <w:tblStyle w:val="TableGrid"/>
        <w:tblW w:w="9214" w:type="dxa"/>
        <w:tblInd w:w="57"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ook w:val="01E0" w:firstRow="1" w:lastRow="1" w:firstColumn="1" w:lastColumn="1" w:noHBand="0" w:noVBand="0"/>
      </w:tblPr>
      <w:tblGrid>
        <w:gridCol w:w="2410"/>
        <w:gridCol w:w="3402"/>
        <w:gridCol w:w="3402"/>
      </w:tblGrid>
      <w:tr w:rsidR="00D964F3" w:rsidRPr="002165F7" w14:paraId="3B6EB913" w14:textId="77777777" w:rsidTr="008E229D">
        <w:trPr>
          <w:cantSplit/>
          <w:trHeight w:val="357"/>
          <w:tblHeader/>
        </w:trPr>
        <w:tc>
          <w:tcPr>
            <w:tcW w:w="2410" w:type="dxa"/>
            <w:tcBorders>
              <w:bottom w:val="single" w:sz="6" w:space="0" w:color="A6A6A6" w:themeColor="background1" w:themeShade="A6"/>
            </w:tcBorders>
            <w:tcMar>
              <w:top w:w="0" w:type="dxa"/>
              <w:left w:w="57" w:type="dxa"/>
              <w:bottom w:w="28" w:type="dxa"/>
              <w:right w:w="57" w:type="dxa"/>
            </w:tcMar>
            <w:vAlign w:val="bottom"/>
          </w:tcPr>
          <w:p w14:paraId="1F927A2A" w14:textId="3CEDD8B6" w:rsidR="00D964F3" w:rsidRPr="002165F7" w:rsidRDefault="00D964F3" w:rsidP="00586E64">
            <w:pPr>
              <w:pStyle w:val="UtilComTabletext"/>
              <w:spacing w:line="280" w:lineRule="exact"/>
              <w:rPr>
                <w:b/>
              </w:rPr>
            </w:pPr>
            <w:r w:rsidRPr="002165F7">
              <w:rPr>
                <w:b/>
              </w:rPr>
              <w:t>Chapter</w:t>
            </w:r>
          </w:p>
        </w:tc>
        <w:tc>
          <w:tcPr>
            <w:tcW w:w="3402" w:type="dxa"/>
            <w:tcBorders>
              <w:bottom w:val="single" w:sz="6" w:space="0" w:color="A6A6A6" w:themeColor="background1" w:themeShade="A6"/>
            </w:tcBorders>
          </w:tcPr>
          <w:p w14:paraId="1C8E9A3F" w14:textId="168B3610" w:rsidR="00D964F3" w:rsidRPr="002165F7" w:rsidRDefault="00D964F3" w:rsidP="00586E64">
            <w:pPr>
              <w:pStyle w:val="UtilComTabletext"/>
              <w:spacing w:line="280" w:lineRule="exact"/>
              <w:rPr>
                <w:b/>
              </w:rPr>
            </w:pPr>
            <w:r w:rsidRPr="002165F7">
              <w:rPr>
                <w:b/>
              </w:rPr>
              <w:t>Reporting requirement</w:t>
            </w:r>
          </w:p>
        </w:tc>
        <w:tc>
          <w:tcPr>
            <w:tcW w:w="3402" w:type="dxa"/>
            <w:tcBorders>
              <w:bottom w:val="single" w:sz="6" w:space="0" w:color="A6A6A6" w:themeColor="background1" w:themeShade="A6"/>
            </w:tcBorders>
            <w:tcMar>
              <w:top w:w="0" w:type="dxa"/>
              <w:left w:w="57" w:type="dxa"/>
              <w:bottom w:w="28" w:type="dxa"/>
              <w:right w:w="57" w:type="dxa"/>
            </w:tcMar>
            <w:vAlign w:val="bottom"/>
          </w:tcPr>
          <w:p w14:paraId="51656F61" w14:textId="551004BA" w:rsidR="00D964F3" w:rsidRPr="002165F7" w:rsidRDefault="00D964F3" w:rsidP="00586E64">
            <w:pPr>
              <w:pStyle w:val="UtilComTabletext"/>
              <w:spacing w:line="280" w:lineRule="exact"/>
              <w:rPr>
                <w:b/>
              </w:rPr>
            </w:pPr>
            <w:r w:rsidRPr="002165F7">
              <w:rPr>
                <w:b/>
              </w:rPr>
              <w:t>Purpose</w:t>
            </w:r>
          </w:p>
        </w:tc>
      </w:tr>
      <w:tr w:rsidR="00D964F3" w:rsidRPr="002165F7" w14:paraId="31351661" w14:textId="77777777" w:rsidTr="008E229D">
        <w:trPr>
          <w:cantSplit/>
          <w:trHeight w:val="357"/>
        </w:trPr>
        <w:tc>
          <w:tcPr>
            <w:tcW w:w="2410" w:type="dxa"/>
            <w:tcBorders>
              <w:bottom w:val="single" w:sz="6" w:space="0" w:color="A6A6A6" w:themeColor="background1" w:themeShade="A6"/>
            </w:tcBorders>
            <w:tcMar>
              <w:top w:w="0" w:type="dxa"/>
              <w:left w:w="57" w:type="dxa"/>
              <w:bottom w:w="28" w:type="dxa"/>
              <w:right w:w="57" w:type="dxa"/>
            </w:tcMar>
          </w:tcPr>
          <w:p w14:paraId="21BEE9C4" w14:textId="127906B0" w:rsidR="00D964F3" w:rsidRPr="002165F7" w:rsidRDefault="008E3A02" w:rsidP="00586E64">
            <w:pPr>
              <w:pStyle w:val="UtilComTabletext"/>
              <w:spacing w:line="280" w:lineRule="exact"/>
            </w:pPr>
            <w:r w:rsidRPr="002165F7">
              <w:t>Annual inflation adjustment – Chapter 4</w:t>
            </w:r>
          </w:p>
        </w:tc>
        <w:tc>
          <w:tcPr>
            <w:tcW w:w="3402" w:type="dxa"/>
            <w:tcBorders>
              <w:bottom w:val="single" w:sz="6" w:space="0" w:color="A6A6A6" w:themeColor="background1" w:themeShade="A6"/>
            </w:tcBorders>
          </w:tcPr>
          <w:p w14:paraId="5845DB81" w14:textId="2C8ED270" w:rsidR="00D964F3" w:rsidRPr="002165F7" w:rsidRDefault="008E3A02" w:rsidP="002165F7">
            <w:pPr>
              <w:pStyle w:val="UtilComTabletext"/>
              <w:spacing w:line="280" w:lineRule="exact"/>
            </w:pPr>
            <w:r w:rsidRPr="002165F7">
              <w:t>The percentage change in the CPI from March in regulatory year t-2 to March in regulatory year t-1</w:t>
            </w:r>
            <w:r w:rsidR="009E2601">
              <w:t>.</w:t>
            </w:r>
          </w:p>
        </w:tc>
        <w:tc>
          <w:tcPr>
            <w:tcW w:w="3402" w:type="dxa"/>
            <w:tcBorders>
              <w:bottom w:val="single" w:sz="6" w:space="0" w:color="A6A6A6" w:themeColor="background1" w:themeShade="A6"/>
            </w:tcBorders>
            <w:tcMar>
              <w:top w:w="0" w:type="dxa"/>
              <w:left w:w="57" w:type="dxa"/>
              <w:bottom w:w="28" w:type="dxa"/>
              <w:right w:w="57" w:type="dxa"/>
            </w:tcMar>
          </w:tcPr>
          <w:p w14:paraId="5623A9C7" w14:textId="6C9FE3D9" w:rsidR="00D964F3" w:rsidRPr="002165F7" w:rsidRDefault="00160691" w:rsidP="00D964F3">
            <w:pPr>
              <w:pStyle w:val="UtilComTabletext"/>
              <w:spacing w:line="280" w:lineRule="exact"/>
            </w:pPr>
            <w:r w:rsidRPr="002165F7">
              <w:t xml:space="preserve">Adjustment to the annual revenue requirement each </w:t>
            </w:r>
            <w:r w:rsidR="002165F7">
              <w:t xml:space="preserve">regulatory </w:t>
            </w:r>
            <w:r w:rsidRPr="002165F7">
              <w:t>year.</w:t>
            </w:r>
          </w:p>
        </w:tc>
      </w:tr>
      <w:tr w:rsidR="00D964F3" w:rsidRPr="002165F7" w14:paraId="5F7D0F75" w14:textId="77777777" w:rsidTr="008E229D">
        <w:trPr>
          <w:cantSplit/>
          <w:trHeight w:val="357"/>
        </w:trPr>
        <w:tc>
          <w:tcPr>
            <w:tcW w:w="2410" w:type="dxa"/>
            <w:tcBorders>
              <w:bottom w:val="single" w:sz="6" w:space="0" w:color="A6A6A6" w:themeColor="background1" w:themeShade="A6"/>
            </w:tcBorders>
            <w:tcMar>
              <w:top w:w="0" w:type="dxa"/>
              <w:left w:w="57" w:type="dxa"/>
              <w:bottom w:w="28" w:type="dxa"/>
              <w:right w:w="57" w:type="dxa"/>
            </w:tcMar>
          </w:tcPr>
          <w:p w14:paraId="1C55341D" w14:textId="77777777" w:rsidR="009E2601" w:rsidRDefault="00160691" w:rsidP="00586E64">
            <w:pPr>
              <w:pStyle w:val="UtilComTabletext"/>
              <w:spacing w:line="280" w:lineRule="exact"/>
            </w:pPr>
            <w:r w:rsidRPr="002165F7">
              <w:t>Unders and overs</w:t>
            </w:r>
          </w:p>
          <w:p w14:paraId="5CA84DF8" w14:textId="3E3AD184" w:rsidR="00D964F3" w:rsidRPr="002165F7" w:rsidRDefault="00160691" w:rsidP="009E2601">
            <w:pPr>
              <w:pStyle w:val="UtilComTabletext"/>
              <w:spacing w:line="280" w:lineRule="exact"/>
            </w:pPr>
            <w:r w:rsidRPr="002165F7">
              <w:t>–</w:t>
            </w:r>
            <w:r w:rsidR="009E2601">
              <w:t xml:space="preserve"> </w:t>
            </w:r>
            <w:r w:rsidRPr="002165F7">
              <w:t>Chapter 4</w:t>
            </w:r>
          </w:p>
        </w:tc>
        <w:tc>
          <w:tcPr>
            <w:tcW w:w="3402" w:type="dxa"/>
            <w:tcBorders>
              <w:bottom w:val="single" w:sz="6" w:space="0" w:color="A6A6A6" w:themeColor="background1" w:themeShade="A6"/>
            </w:tcBorders>
          </w:tcPr>
          <w:p w14:paraId="03EC6BCA" w14:textId="7E2BE70E" w:rsidR="00D964F3" w:rsidRPr="002165F7" w:rsidRDefault="00160691" w:rsidP="002165F7">
            <w:pPr>
              <w:pStyle w:val="UtilComTabletext"/>
              <w:spacing w:line="280" w:lineRule="exact"/>
            </w:pPr>
            <w:r w:rsidRPr="002165F7">
              <w:t xml:space="preserve">Information as set out in Schedule 5 of </w:t>
            </w:r>
            <w:r w:rsidR="002165F7">
              <w:t>the 2014</w:t>
            </w:r>
            <w:r w:rsidRPr="002165F7">
              <w:t xml:space="preserve"> Network Price Determination</w:t>
            </w:r>
            <w:r w:rsidR="009E2601">
              <w:t>.</w:t>
            </w:r>
          </w:p>
        </w:tc>
        <w:tc>
          <w:tcPr>
            <w:tcW w:w="3402" w:type="dxa"/>
            <w:tcBorders>
              <w:bottom w:val="single" w:sz="6" w:space="0" w:color="A6A6A6" w:themeColor="background1" w:themeShade="A6"/>
            </w:tcBorders>
            <w:tcMar>
              <w:top w:w="0" w:type="dxa"/>
              <w:left w:w="57" w:type="dxa"/>
              <w:bottom w:w="28" w:type="dxa"/>
              <w:right w:w="57" w:type="dxa"/>
            </w:tcMar>
          </w:tcPr>
          <w:p w14:paraId="3FC40EEA" w14:textId="5A4EB9F1" w:rsidR="00D964F3" w:rsidRPr="002165F7" w:rsidRDefault="00160691" w:rsidP="00586E64">
            <w:pPr>
              <w:pStyle w:val="UtilComTabletext"/>
              <w:spacing w:line="280" w:lineRule="exact"/>
            </w:pPr>
            <w:r w:rsidRPr="002165F7">
              <w:t xml:space="preserve">Any under/over recovery of network revenue from the provision of regulated network access services in the past should be accounted for each </w:t>
            </w:r>
            <w:r w:rsidR="00D96805">
              <w:t xml:space="preserve">regulatory </w:t>
            </w:r>
            <w:r w:rsidRPr="002165F7">
              <w:t>year.</w:t>
            </w:r>
          </w:p>
        </w:tc>
      </w:tr>
      <w:tr w:rsidR="00D964F3" w:rsidRPr="00A27183" w14:paraId="3E43DF61" w14:textId="77777777" w:rsidTr="008E229D">
        <w:trPr>
          <w:cantSplit/>
          <w:trHeight w:val="357"/>
        </w:trPr>
        <w:tc>
          <w:tcPr>
            <w:tcW w:w="2410" w:type="dxa"/>
            <w:tcBorders>
              <w:top w:val="single" w:sz="6" w:space="0" w:color="A6A6A6" w:themeColor="background1" w:themeShade="A6"/>
              <w:bottom w:val="single" w:sz="6" w:space="0" w:color="auto"/>
            </w:tcBorders>
            <w:tcMar>
              <w:top w:w="0" w:type="dxa"/>
              <w:left w:w="57" w:type="dxa"/>
              <w:bottom w:w="28" w:type="dxa"/>
              <w:right w:w="57" w:type="dxa"/>
            </w:tcMar>
          </w:tcPr>
          <w:p w14:paraId="71847E61" w14:textId="77777777" w:rsidR="009E2601" w:rsidRDefault="00160691" w:rsidP="00586E64">
            <w:pPr>
              <w:pStyle w:val="UtilComTabletext"/>
              <w:spacing w:line="280" w:lineRule="exact"/>
            </w:pPr>
            <w:r w:rsidRPr="002165F7">
              <w:t xml:space="preserve">Pricing proposal </w:t>
            </w:r>
          </w:p>
          <w:p w14:paraId="5BC6DD49" w14:textId="02F14FBF" w:rsidR="00D964F3" w:rsidRPr="002165F7" w:rsidRDefault="00160691" w:rsidP="00586E64">
            <w:pPr>
              <w:pStyle w:val="UtilComTabletext"/>
              <w:spacing w:line="280" w:lineRule="exact"/>
            </w:pPr>
            <w:r w:rsidRPr="002165F7">
              <w:t>– Chapter 16</w:t>
            </w:r>
          </w:p>
        </w:tc>
        <w:tc>
          <w:tcPr>
            <w:tcW w:w="3402" w:type="dxa"/>
            <w:tcBorders>
              <w:top w:val="single" w:sz="6" w:space="0" w:color="A6A6A6" w:themeColor="background1" w:themeShade="A6"/>
              <w:bottom w:val="single" w:sz="6" w:space="0" w:color="auto"/>
            </w:tcBorders>
          </w:tcPr>
          <w:p w14:paraId="4FDF9D18" w14:textId="005DE109" w:rsidR="00D964F3" w:rsidRPr="002165F7" w:rsidRDefault="00160691" w:rsidP="009E2601">
            <w:pPr>
              <w:pStyle w:val="UtilComTabletext"/>
              <w:spacing w:line="280" w:lineRule="exact"/>
            </w:pPr>
            <w:r w:rsidRPr="002165F7">
              <w:t>Statement setting out proposed reference tariffs for standard network access services for the next regulatory year, including details of how the</w:t>
            </w:r>
            <w:r w:rsidR="00E23A17">
              <w:t xml:space="preserve"> reference</w:t>
            </w:r>
            <w:r w:rsidRPr="002165F7">
              <w:t xml:space="preserve"> tariffs and charges have been calculated </w:t>
            </w:r>
            <w:r w:rsidR="00E23A17">
              <w:t>b</w:t>
            </w:r>
            <w:r w:rsidRPr="002165F7">
              <w:t xml:space="preserve">y application of the principles set out in the </w:t>
            </w:r>
            <w:r w:rsidR="00FB2EC5" w:rsidRPr="002165F7">
              <w:t>Network Access</w:t>
            </w:r>
            <w:r w:rsidR="009E2601">
              <w:t> </w:t>
            </w:r>
            <w:r w:rsidR="00FB2EC5" w:rsidRPr="002165F7">
              <w:t>Code</w:t>
            </w:r>
            <w:r w:rsidRPr="002165F7">
              <w:t>.</w:t>
            </w:r>
          </w:p>
        </w:tc>
        <w:tc>
          <w:tcPr>
            <w:tcW w:w="3402" w:type="dxa"/>
            <w:tcBorders>
              <w:top w:val="single" w:sz="6" w:space="0" w:color="A6A6A6" w:themeColor="background1" w:themeShade="A6"/>
              <w:bottom w:val="single" w:sz="6" w:space="0" w:color="auto"/>
            </w:tcBorders>
            <w:tcMar>
              <w:top w:w="0" w:type="dxa"/>
              <w:left w:w="57" w:type="dxa"/>
              <w:bottom w:w="28" w:type="dxa"/>
              <w:right w:w="57" w:type="dxa"/>
            </w:tcMar>
          </w:tcPr>
          <w:p w14:paraId="772414EE" w14:textId="4CA69FE9" w:rsidR="00D964F3" w:rsidRPr="00A27183" w:rsidRDefault="00160691" w:rsidP="00586E64">
            <w:pPr>
              <w:pStyle w:val="UtilComTabletext"/>
              <w:spacing w:line="280" w:lineRule="exact"/>
            </w:pPr>
            <w:r w:rsidRPr="002165F7">
              <w:t xml:space="preserve">Approval of </w:t>
            </w:r>
            <w:r w:rsidR="00E23A17">
              <w:t xml:space="preserve">reference </w:t>
            </w:r>
            <w:r w:rsidRPr="002165F7">
              <w:t xml:space="preserve">tariffs and charges for regulated network </w:t>
            </w:r>
            <w:r w:rsidR="00D96805">
              <w:t xml:space="preserve">access </w:t>
            </w:r>
            <w:r w:rsidRPr="002165F7">
              <w:t>services.</w:t>
            </w:r>
          </w:p>
        </w:tc>
      </w:tr>
    </w:tbl>
    <w:p w14:paraId="5438BC09" w14:textId="77777777" w:rsidR="00D964F3" w:rsidRPr="002D654F" w:rsidRDefault="00D964F3" w:rsidP="009734C3">
      <w:pPr>
        <w:rPr>
          <w:lang w:val="en-AU"/>
        </w:rPr>
      </w:pPr>
    </w:p>
    <w:tbl>
      <w:tblPr>
        <w:tblW w:w="0" w:type="auto"/>
        <w:tblLayout w:type="fixed"/>
        <w:tblLook w:val="01E0" w:firstRow="1" w:lastRow="1" w:firstColumn="1" w:lastColumn="1" w:noHBand="0" w:noVBand="0"/>
      </w:tblPr>
      <w:tblGrid>
        <w:gridCol w:w="9288"/>
      </w:tblGrid>
      <w:tr w:rsidR="00A03CD2" w14:paraId="57066C0F" w14:textId="77777777" w:rsidTr="00A03CD2">
        <w:tc>
          <w:tcPr>
            <w:tcW w:w="9288" w:type="dxa"/>
          </w:tcPr>
          <w:p w14:paraId="4E817230" w14:textId="73164A41" w:rsidR="00A03CD2" w:rsidRPr="00A554E9" w:rsidRDefault="00A03CD2" w:rsidP="00160691">
            <w:pPr>
              <w:pStyle w:val="AppendixHeading"/>
              <w:pageBreakBefore/>
            </w:pPr>
            <w:r>
              <w:br w:type="page"/>
            </w:r>
            <w:r w:rsidRPr="00A554E9">
              <w:t xml:space="preserve">appendix </w:t>
            </w:r>
            <w:r w:rsidR="00160691">
              <w:t>c</w:t>
            </w:r>
          </w:p>
        </w:tc>
      </w:tr>
      <w:tr w:rsidR="00A03CD2" w14:paraId="55A02C11" w14:textId="77777777" w:rsidTr="00A03CD2">
        <w:tc>
          <w:tcPr>
            <w:tcW w:w="9288" w:type="dxa"/>
          </w:tcPr>
          <w:p w14:paraId="2C6C6660" w14:textId="77777777" w:rsidR="00A03CD2" w:rsidRDefault="00A03CD2" w:rsidP="00A03CD2">
            <w:pPr>
              <w:pStyle w:val="UtilComChapterHeading"/>
            </w:pPr>
            <w:bookmarkStart w:id="355" w:name="_Toc385241602"/>
            <w:bookmarkStart w:id="356" w:name="_Toc386013154"/>
            <w:r>
              <w:t>Submissions</w:t>
            </w:r>
            <w:bookmarkEnd w:id="355"/>
            <w:bookmarkEnd w:id="356"/>
          </w:p>
        </w:tc>
      </w:tr>
    </w:tbl>
    <w:p w14:paraId="7CC7750B" w14:textId="0AC49708" w:rsidR="00A03CD2" w:rsidRPr="000B21F0" w:rsidRDefault="00814542" w:rsidP="00A03CD2">
      <w:r w:rsidRPr="00814542">
        <w:t xml:space="preserve">The </w:t>
      </w:r>
      <w:r>
        <w:t>Commission</w:t>
      </w:r>
      <w:r w:rsidRPr="00814542">
        <w:t xml:space="preserve"> received submissions on </w:t>
      </w:r>
      <w:r>
        <w:t>PWC Networks</w:t>
      </w:r>
      <w:r w:rsidRPr="00814542">
        <w:t xml:space="preserve">’ </w:t>
      </w:r>
      <w:r w:rsidR="006C4707">
        <w:t xml:space="preserve">initial </w:t>
      </w:r>
      <w:r w:rsidRPr="00814542">
        <w:t>regulatory proposal from the following interested parties:</w:t>
      </w:r>
    </w:p>
    <w:p w14:paraId="0AE22448" w14:textId="77777777" w:rsidR="00EA7AE8" w:rsidRDefault="005423D2" w:rsidP="00160691">
      <w:pPr>
        <w:pStyle w:val="ListParagraph"/>
        <w:numPr>
          <w:ilvl w:val="0"/>
          <w:numId w:val="8"/>
        </w:numPr>
        <w:ind w:left="426" w:hanging="426"/>
      </w:pPr>
      <w:r>
        <w:t>Northern Territory Major Energy Users Group</w:t>
      </w:r>
    </w:p>
    <w:p w14:paraId="2096863F" w14:textId="77777777" w:rsidR="005423D2" w:rsidRDefault="005423D2" w:rsidP="00160691">
      <w:pPr>
        <w:pStyle w:val="ListParagraph"/>
        <w:numPr>
          <w:ilvl w:val="0"/>
          <w:numId w:val="8"/>
        </w:numPr>
        <w:ind w:left="426" w:hanging="426"/>
      </w:pPr>
      <w:r w:rsidRPr="005423D2">
        <w:t>Northern Territory Council of Social Service Inc.</w:t>
      </w:r>
    </w:p>
    <w:p w14:paraId="49A8D92E" w14:textId="77777777" w:rsidR="005423D2" w:rsidRDefault="005423D2" w:rsidP="00160691">
      <w:pPr>
        <w:pStyle w:val="ListParagraph"/>
        <w:numPr>
          <w:ilvl w:val="0"/>
          <w:numId w:val="8"/>
        </w:numPr>
        <w:ind w:left="426" w:hanging="426"/>
      </w:pPr>
      <w:r>
        <w:t>Dr Francis Clark</w:t>
      </w:r>
    </w:p>
    <w:p w14:paraId="6DA09FB0" w14:textId="77777777" w:rsidR="006F6285" w:rsidRDefault="006F6285" w:rsidP="00160691">
      <w:pPr>
        <w:pStyle w:val="ListParagraph"/>
        <w:numPr>
          <w:ilvl w:val="0"/>
          <w:numId w:val="8"/>
        </w:numPr>
        <w:ind w:left="426" w:hanging="426"/>
      </w:pPr>
      <w:r>
        <w:t>The Ho</w:t>
      </w:r>
      <w:r w:rsidR="00800581">
        <w:t>norable</w:t>
      </w:r>
      <w:r>
        <w:t xml:space="preserve"> </w:t>
      </w:r>
      <w:r w:rsidR="0091171D" w:rsidRPr="0091171D">
        <w:t>David Tollner MLA</w:t>
      </w:r>
      <w:r w:rsidR="0091171D">
        <w:t>, Treasurer</w:t>
      </w:r>
    </w:p>
    <w:p w14:paraId="461B04F2" w14:textId="77777777" w:rsidR="00165672" w:rsidRPr="000B465A" w:rsidRDefault="005945C9" w:rsidP="00160691">
      <w:pPr>
        <w:pStyle w:val="ListParagraph"/>
        <w:numPr>
          <w:ilvl w:val="0"/>
          <w:numId w:val="8"/>
        </w:numPr>
        <w:ind w:left="426" w:hanging="426"/>
      </w:pPr>
      <w:r>
        <w:rPr>
          <w:lang w:val="en-AU"/>
        </w:rPr>
        <w:t xml:space="preserve">Property </w:t>
      </w:r>
      <w:r w:rsidRPr="000B465A">
        <w:t>Council</w:t>
      </w:r>
      <w:r>
        <w:rPr>
          <w:lang w:val="en-AU"/>
        </w:rPr>
        <w:t xml:space="preserve"> of Australia – Northern Territory Division</w:t>
      </w:r>
    </w:p>
    <w:p w14:paraId="159981DF" w14:textId="77777777" w:rsidR="00165672" w:rsidRPr="000B465A" w:rsidRDefault="00165672" w:rsidP="000B465A">
      <w:pPr>
        <w:pStyle w:val="ListParagraph"/>
      </w:pPr>
    </w:p>
    <w:p w14:paraId="3D180634" w14:textId="77777777" w:rsidR="00165672" w:rsidRDefault="00165672" w:rsidP="000B465A">
      <w:r w:rsidRPr="00814542">
        <w:t xml:space="preserve">The </w:t>
      </w:r>
      <w:r>
        <w:t>Commission</w:t>
      </w:r>
      <w:r w:rsidRPr="00814542">
        <w:t xml:space="preserve"> received submissions on </w:t>
      </w:r>
      <w:r>
        <w:t>its Draft Determination and PWC Networks</w:t>
      </w:r>
      <w:r w:rsidRPr="00814542">
        <w:t xml:space="preserve">’ </w:t>
      </w:r>
      <w:r>
        <w:t xml:space="preserve">revised </w:t>
      </w:r>
      <w:r w:rsidRPr="00814542">
        <w:t>regulatory proposal from the following interested parties:</w:t>
      </w:r>
    </w:p>
    <w:p w14:paraId="5DB2C996" w14:textId="77777777" w:rsidR="00165672" w:rsidRDefault="00165672" w:rsidP="00160691">
      <w:pPr>
        <w:pStyle w:val="ListParagraph"/>
        <w:numPr>
          <w:ilvl w:val="0"/>
          <w:numId w:val="8"/>
        </w:numPr>
        <w:ind w:left="426" w:hanging="426"/>
      </w:pPr>
      <w:r>
        <w:t>Northern Territory Major Energy Users Group</w:t>
      </w:r>
    </w:p>
    <w:p w14:paraId="2EEC7162" w14:textId="77777777" w:rsidR="00165672" w:rsidRDefault="00165672" w:rsidP="00160691">
      <w:pPr>
        <w:pStyle w:val="ListParagraph"/>
        <w:numPr>
          <w:ilvl w:val="0"/>
          <w:numId w:val="8"/>
        </w:numPr>
        <w:ind w:left="426" w:hanging="426"/>
      </w:pPr>
      <w:r>
        <w:t xml:space="preserve">The Honorable David Tollner MLA, </w:t>
      </w:r>
      <w:r w:rsidR="00800581">
        <w:t>Treasurer</w:t>
      </w:r>
    </w:p>
    <w:p w14:paraId="3FC69A0A" w14:textId="77777777" w:rsidR="00165672" w:rsidRDefault="00165672" w:rsidP="00160691">
      <w:pPr>
        <w:pStyle w:val="ListParagraph"/>
        <w:numPr>
          <w:ilvl w:val="0"/>
          <w:numId w:val="8"/>
        </w:numPr>
        <w:ind w:left="426" w:hanging="426"/>
      </w:pPr>
      <w:r>
        <w:t>Local Government Association of the Northern Territory</w:t>
      </w:r>
    </w:p>
    <w:p w14:paraId="41103884" w14:textId="77777777" w:rsidR="00165672" w:rsidRDefault="00FE1BF6" w:rsidP="00160691">
      <w:pPr>
        <w:pStyle w:val="ListParagraph"/>
        <w:numPr>
          <w:ilvl w:val="0"/>
          <w:numId w:val="8"/>
        </w:numPr>
        <w:ind w:left="426" w:hanging="426"/>
      </w:pPr>
      <w:r>
        <w:t>Trans Tasman Energy Group</w:t>
      </w:r>
    </w:p>
    <w:p w14:paraId="5948CB56" w14:textId="58AD83A6" w:rsidR="00160691" w:rsidRDefault="00160691" w:rsidP="00160691">
      <w:pPr>
        <w:pStyle w:val="ListParagraph"/>
        <w:numPr>
          <w:ilvl w:val="0"/>
          <w:numId w:val="8"/>
        </w:numPr>
        <w:ind w:left="426" w:hanging="426"/>
      </w:pPr>
      <w:r>
        <w:t>Power and Water Corporation (Draft Determination only)</w:t>
      </w:r>
    </w:p>
    <w:p w14:paraId="2654F35A" w14:textId="77777777" w:rsidR="00165672" w:rsidRPr="000B21F0" w:rsidRDefault="00165672" w:rsidP="000B465A">
      <w:pPr>
        <w:pStyle w:val="ListParagraph"/>
      </w:pPr>
    </w:p>
    <w:sectPr w:rsidR="00165672" w:rsidRPr="000B21F0" w:rsidSect="00BB4311">
      <w:headerReference w:type="even" r:id="rId33"/>
      <w:pgSz w:w="11907" w:h="16840" w:code="9"/>
      <w:pgMar w:top="851" w:right="1134" w:bottom="993" w:left="1701" w:header="567" w:footer="567"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5C6E3F" w14:textId="77777777" w:rsidR="004E09D0" w:rsidRDefault="004E09D0">
      <w:r>
        <w:separator/>
      </w:r>
    </w:p>
    <w:p w14:paraId="23FE5C4D" w14:textId="77777777" w:rsidR="004E09D0" w:rsidRDefault="004E09D0"/>
  </w:endnote>
  <w:endnote w:type="continuationSeparator" w:id="0">
    <w:p w14:paraId="403FC88C" w14:textId="77777777" w:rsidR="004E09D0" w:rsidRDefault="004E09D0">
      <w:r>
        <w:continuationSeparator/>
      </w:r>
    </w:p>
    <w:p w14:paraId="69FD83E4" w14:textId="77777777" w:rsidR="004E09D0" w:rsidRDefault="004E09D0"/>
  </w:endnote>
  <w:endnote w:type="continuationNotice" w:id="1">
    <w:p w14:paraId="15E051EC" w14:textId="77777777" w:rsidR="004E09D0" w:rsidRDefault="004E09D0">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Bookman Old Style">
    <w:panose1 w:val="02050604050505020204"/>
    <w:charset w:val="00"/>
    <w:family w:val="roman"/>
    <w:pitch w:val="variable"/>
    <w:sig w:usb0="00000287" w:usb1="00000000" w:usb2="00000000" w:usb3="00000000" w:csb0="0000009F" w:csb1="00000000"/>
  </w:font>
  <w:font w:name="Arial MT Std Light">
    <w:panose1 w:val="00000000000000000000"/>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C557F" w14:textId="1205EF79" w:rsidR="004E09D0" w:rsidRPr="00EA0992" w:rsidRDefault="004E09D0" w:rsidP="00EA0992">
    <w:pPr>
      <w:pStyle w:val="Footer"/>
      <w:pBdr>
        <w:top w:val="single" w:sz="4" w:space="1" w:color="auto"/>
      </w:pBdr>
      <w:tabs>
        <w:tab w:val="clear" w:pos="4320"/>
        <w:tab w:val="clear" w:pos="8640"/>
        <w:tab w:val="right" w:pos="8505"/>
      </w:tabs>
      <w:rPr>
        <w:rFonts w:cs="Arial"/>
        <w:szCs w:val="18"/>
      </w:rPr>
    </w:pPr>
    <w:r w:rsidRPr="00EA0992">
      <w:rPr>
        <w:rFonts w:cs="Arial"/>
        <w:szCs w:val="18"/>
      </w:rPr>
      <w:fldChar w:fldCharType="begin"/>
    </w:r>
    <w:r w:rsidRPr="00EA0992">
      <w:rPr>
        <w:rFonts w:cs="Arial"/>
        <w:szCs w:val="18"/>
      </w:rPr>
      <w:instrText xml:space="preserve"> FILENAME </w:instrText>
    </w:r>
    <w:r w:rsidRPr="00EA0992">
      <w:rPr>
        <w:rFonts w:cs="Arial"/>
        <w:szCs w:val="18"/>
      </w:rPr>
      <w:fldChar w:fldCharType="separate"/>
    </w:r>
    <w:r w:rsidR="005B0810">
      <w:rPr>
        <w:rFonts w:cs="Arial"/>
        <w:noProof/>
        <w:szCs w:val="18"/>
      </w:rPr>
      <w:t>2014 Network Price Determination - Final Determination - Part A Statement of Reasons</w:t>
    </w:r>
    <w:r w:rsidRPr="00EA0992">
      <w:rPr>
        <w:rFonts w:cs="Arial"/>
        <w:szCs w:val="18"/>
      </w:rPr>
      <w:fldChar w:fldCharType="end"/>
    </w:r>
    <w:r w:rsidRPr="00EA0992">
      <w:rPr>
        <w:rFonts w:cs="Arial"/>
        <w:szCs w:val="18"/>
      </w:rPr>
      <w:tab/>
    </w:r>
    <w:r w:rsidRPr="00EA0992">
      <w:rPr>
        <w:rFonts w:cs="Arial"/>
        <w:szCs w:val="18"/>
      </w:rPr>
      <w:fldChar w:fldCharType="begin"/>
    </w:r>
    <w:r w:rsidRPr="00EA0992">
      <w:rPr>
        <w:rFonts w:cs="Arial"/>
        <w:szCs w:val="18"/>
      </w:rPr>
      <w:instrText xml:space="preserve"> DATE  \@ "MMMM yyyy" </w:instrText>
    </w:r>
    <w:r w:rsidRPr="00EA0992">
      <w:rPr>
        <w:rFonts w:cs="Arial"/>
        <w:szCs w:val="18"/>
      </w:rPr>
      <w:fldChar w:fldCharType="separate"/>
    </w:r>
    <w:r w:rsidR="00780CFE">
      <w:rPr>
        <w:rFonts w:cs="Arial"/>
        <w:noProof/>
        <w:szCs w:val="18"/>
      </w:rPr>
      <w:t>January 2015</w:t>
    </w:r>
    <w:r w:rsidRPr="00EA0992">
      <w:rPr>
        <w:rFonts w:cs="Arial"/>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68BE5B" w14:textId="77777777" w:rsidR="004E09D0" w:rsidRDefault="004E09D0">
    <w:pPr>
      <w:framePr w:wrap="none" w:vAnchor="text" w:hAnchor="margin" w:xAlign="center" w:y="1"/>
    </w:pPr>
    <w:r>
      <w:fldChar w:fldCharType="begin"/>
    </w:r>
    <w:r>
      <w:instrText xml:space="preserve">PAGE  </w:instrText>
    </w:r>
    <w:r>
      <w:fldChar w:fldCharType="separate"/>
    </w:r>
    <w:r>
      <w:rPr>
        <w:noProof/>
      </w:rPr>
      <w:t>2</w:t>
    </w:r>
    <w:r>
      <w:rPr>
        <w:noProof/>
      </w:rPr>
      <w:fldChar w:fldCharType="end"/>
    </w:r>
  </w:p>
  <w:p w14:paraId="615B71AA" w14:textId="77777777" w:rsidR="004E09D0" w:rsidRDefault="004E09D0">
    <w:pPr>
      <w:rPr>
        <w: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center" w:tblpY="14176"/>
      <w:tblOverlap w:val="never"/>
      <w:tblW w:w="13592" w:type="dxa"/>
      <w:tblCellMar>
        <w:left w:w="86" w:type="dxa"/>
        <w:right w:w="86" w:type="dxa"/>
      </w:tblCellMar>
      <w:tblLook w:val="0000" w:firstRow="0" w:lastRow="0" w:firstColumn="0" w:lastColumn="0" w:noHBand="0" w:noVBand="0"/>
    </w:tblPr>
    <w:tblGrid>
      <w:gridCol w:w="2780"/>
      <w:gridCol w:w="5406"/>
      <w:gridCol w:w="5406"/>
    </w:tblGrid>
    <w:tr w:rsidR="004E09D0" w:rsidRPr="00CD0BDF" w14:paraId="5B4098AA" w14:textId="77777777" w:rsidTr="00BB4311">
      <w:trPr>
        <w:trHeight w:val="848"/>
      </w:trPr>
      <w:tc>
        <w:tcPr>
          <w:tcW w:w="2780" w:type="dxa"/>
          <w:vAlign w:val="center"/>
        </w:tcPr>
        <w:p w14:paraId="58F3379A" w14:textId="77777777" w:rsidR="004E09D0" w:rsidRPr="008E3BC6" w:rsidRDefault="004E09D0" w:rsidP="00547327">
          <w:pPr>
            <w:pStyle w:val="CompanyInformation"/>
            <w:rPr>
              <w:rFonts w:cs="Arial"/>
            </w:rPr>
          </w:pPr>
        </w:p>
      </w:tc>
      <w:tc>
        <w:tcPr>
          <w:tcW w:w="5406" w:type="dxa"/>
          <w:vAlign w:val="bottom"/>
        </w:tcPr>
        <w:p w14:paraId="05A8EF88" w14:textId="77777777" w:rsidR="004E09D0" w:rsidRPr="00BD2B44" w:rsidRDefault="004E09D0" w:rsidP="00BB4311">
          <w:pPr>
            <w:pStyle w:val="UtilComHeaderInfo"/>
            <w:tabs>
              <w:tab w:val="left" w:pos="622"/>
            </w:tabs>
            <w:ind w:firstLine="622"/>
            <w:jc w:val="left"/>
          </w:pPr>
          <w:r>
            <w:t>38</w:t>
          </w:r>
          <w:r w:rsidRPr="00BD2B44">
            <w:t xml:space="preserve"> Cavenagh Street DARWIN NT 0800</w:t>
          </w:r>
        </w:p>
        <w:p w14:paraId="3CF9ED0D" w14:textId="77777777" w:rsidR="004E09D0" w:rsidRDefault="004E09D0" w:rsidP="00BB4311">
          <w:pPr>
            <w:pStyle w:val="UtilComHeaderInfo"/>
            <w:tabs>
              <w:tab w:val="left" w:pos="622"/>
            </w:tabs>
            <w:ind w:firstLine="622"/>
            <w:jc w:val="left"/>
          </w:pPr>
          <w:r>
            <w:t xml:space="preserve">GPO Box 915 </w:t>
          </w:r>
          <w:r w:rsidRPr="00BD2B44">
            <w:t>DARWIN NT 0801</w:t>
          </w:r>
        </w:p>
        <w:p w14:paraId="5B07F1D9" w14:textId="77777777" w:rsidR="004E09D0" w:rsidRPr="00544957" w:rsidRDefault="004E09D0" w:rsidP="00BB4311">
          <w:pPr>
            <w:pStyle w:val="UtilComHeaderInfo"/>
            <w:tabs>
              <w:tab w:val="left" w:pos="622"/>
            </w:tabs>
            <w:ind w:firstLine="622"/>
            <w:jc w:val="left"/>
            <w:rPr>
              <w:lang w:val="fr-FR"/>
            </w:rPr>
          </w:pPr>
          <w:r w:rsidRPr="00CA2AEE">
            <w:rPr>
              <w:lang w:val="fr-FR"/>
            </w:rPr>
            <w:t>Email: utilities.commission@nt.gov.au</w:t>
          </w:r>
        </w:p>
        <w:p w14:paraId="5AD601C6" w14:textId="77777777" w:rsidR="004E09D0" w:rsidRPr="00CD0BDF" w:rsidRDefault="004E09D0" w:rsidP="00BB4311">
          <w:pPr>
            <w:pStyle w:val="UtilComHeaderInfo"/>
            <w:tabs>
              <w:tab w:val="left" w:pos="622"/>
            </w:tabs>
            <w:ind w:firstLine="622"/>
            <w:jc w:val="left"/>
            <w:rPr>
              <w:rFonts w:cs="Arial"/>
            </w:rPr>
          </w:pPr>
          <w:r>
            <w:t xml:space="preserve">Website: </w:t>
          </w:r>
          <w:hyperlink r:id="rId1" w:history="1">
            <w:r w:rsidRPr="00560459">
              <w:rPr>
                <w:rStyle w:val="Hyperlink"/>
              </w:rPr>
              <w:t>www.utilicom.nt.gov.au</w:t>
            </w:r>
          </w:hyperlink>
          <w:r>
            <w:t xml:space="preserve"> </w:t>
          </w:r>
        </w:p>
      </w:tc>
      <w:tc>
        <w:tcPr>
          <w:tcW w:w="5406" w:type="dxa"/>
          <w:vAlign w:val="bottom"/>
        </w:tcPr>
        <w:p w14:paraId="5F0EF101" w14:textId="77777777" w:rsidR="004E09D0" w:rsidRPr="00CD0BDF" w:rsidRDefault="004E09D0" w:rsidP="00547327">
          <w:pPr>
            <w:pStyle w:val="UtilComHeaderInfo"/>
            <w:rPr>
              <w:rFonts w:cs="Arial"/>
            </w:rPr>
          </w:pPr>
        </w:p>
      </w:tc>
    </w:tr>
    <w:tr w:rsidR="004E09D0" w:rsidRPr="00CD0BDF" w14:paraId="24D03760" w14:textId="77777777" w:rsidTr="00BB4311">
      <w:trPr>
        <w:trHeight w:val="848"/>
      </w:trPr>
      <w:tc>
        <w:tcPr>
          <w:tcW w:w="2780" w:type="dxa"/>
          <w:vAlign w:val="center"/>
        </w:tcPr>
        <w:p w14:paraId="5869EA42" w14:textId="77777777" w:rsidR="004E09D0" w:rsidRPr="008E3BC6" w:rsidRDefault="004E09D0" w:rsidP="00547327">
          <w:pPr>
            <w:pStyle w:val="CompanyInformation"/>
            <w:rPr>
              <w:rFonts w:cs="Arial"/>
            </w:rPr>
          </w:pPr>
        </w:p>
      </w:tc>
      <w:tc>
        <w:tcPr>
          <w:tcW w:w="5406" w:type="dxa"/>
          <w:vAlign w:val="bottom"/>
        </w:tcPr>
        <w:p w14:paraId="724CBF97" w14:textId="77777777" w:rsidR="004E09D0" w:rsidRDefault="004E09D0" w:rsidP="00C86D49">
          <w:pPr>
            <w:pStyle w:val="UtilComHeaderInfo"/>
            <w:jc w:val="left"/>
          </w:pPr>
        </w:p>
      </w:tc>
      <w:tc>
        <w:tcPr>
          <w:tcW w:w="5406" w:type="dxa"/>
          <w:vAlign w:val="bottom"/>
        </w:tcPr>
        <w:p w14:paraId="055EE6FD" w14:textId="77777777" w:rsidR="004E09D0" w:rsidRPr="00CD0BDF" w:rsidRDefault="004E09D0" w:rsidP="00547327">
          <w:pPr>
            <w:pStyle w:val="UtilComHeaderInfo"/>
            <w:rPr>
              <w:rFonts w:cs="Arial"/>
            </w:rPr>
          </w:pPr>
        </w:p>
      </w:tc>
    </w:tr>
  </w:tbl>
  <w:p w14:paraId="582DA1C6" w14:textId="77777777" w:rsidR="004E09D0" w:rsidRDefault="004E09D0" w:rsidP="00547327">
    <w:pPr>
      <w:pStyle w:val="Footer"/>
      <w:spacing w:line="280" w:lineRule="atLeast"/>
    </w:pPr>
  </w:p>
  <w:p w14:paraId="69A417F9" w14:textId="77777777" w:rsidR="004E09D0" w:rsidRDefault="004E09D0"/>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78399C" w14:textId="26F69765" w:rsidR="004E09D0" w:rsidRPr="00EA0992" w:rsidRDefault="004E09D0" w:rsidP="003C101A">
    <w:pPr>
      <w:pStyle w:val="Footer"/>
      <w:pBdr>
        <w:top w:val="single" w:sz="4" w:space="1" w:color="99CCFF"/>
      </w:pBdr>
      <w:tabs>
        <w:tab w:val="clear" w:pos="4320"/>
        <w:tab w:val="clear" w:pos="8640"/>
        <w:tab w:val="right" w:pos="9072"/>
      </w:tabs>
      <w:spacing w:line="280" w:lineRule="exact"/>
      <w:rPr>
        <w:rFonts w:cs="Arial"/>
        <w:szCs w:val="18"/>
      </w:rPr>
    </w:pPr>
    <w:r>
      <w:t xml:space="preserve">2014 FINAL DETERMINATION </w:t>
    </w:r>
    <w:r w:rsidRPr="00EA0992">
      <w:tab/>
    </w:r>
    <w:r>
      <w:fldChar w:fldCharType="begin"/>
    </w:r>
    <w:r>
      <w:instrText xml:space="preserve"> DATE  \@ "MMMM yyyy" </w:instrText>
    </w:r>
    <w:r>
      <w:fldChar w:fldCharType="separate"/>
    </w:r>
    <w:r w:rsidR="00780CFE">
      <w:rPr>
        <w:noProof/>
      </w:rPr>
      <w:t>January 2015</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60C932" w14:textId="0CF3047C" w:rsidR="004E09D0" w:rsidRPr="00EA0992" w:rsidRDefault="004E09D0" w:rsidP="003C101A">
    <w:pPr>
      <w:pStyle w:val="Footer"/>
      <w:pBdr>
        <w:top w:val="single" w:sz="4" w:space="1" w:color="99CCFF"/>
      </w:pBdr>
      <w:tabs>
        <w:tab w:val="clear" w:pos="4320"/>
        <w:tab w:val="clear" w:pos="8640"/>
        <w:tab w:val="right" w:pos="9072"/>
      </w:tabs>
      <w:spacing w:line="280" w:lineRule="exact"/>
      <w:rPr>
        <w:rFonts w:cs="Arial"/>
        <w:szCs w:val="18"/>
      </w:rPr>
    </w:pPr>
    <w:r>
      <w:rPr>
        <w:rFonts w:cs="Arial"/>
        <w:szCs w:val="18"/>
      </w:rPr>
      <w:t>Final Determination</w:t>
    </w:r>
    <w:r w:rsidRPr="00EA0992">
      <w:rPr>
        <w:rFonts w:cs="Arial"/>
        <w:szCs w:val="18"/>
      </w:rPr>
      <w:tab/>
    </w:r>
    <w:r w:rsidRPr="00EA0992">
      <w:rPr>
        <w:rFonts w:cs="Arial"/>
        <w:szCs w:val="18"/>
      </w:rPr>
      <w:fldChar w:fldCharType="begin"/>
    </w:r>
    <w:r w:rsidRPr="00EA0992">
      <w:rPr>
        <w:rFonts w:cs="Arial"/>
        <w:szCs w:val="18"/>
      </w:rPr>
      <w:instrText xml:space="preserve"> DATE  \@ "MMMM yyyy" </w:instrText>
    </w:r>
    <w:r w:rsidRPr="00EA0992">
      <w:rPr>
        <w:rFonts w:cs="Arial"/>
        <w:szCs w:val="18"/>
      </w:rPr>
      <w:fldChar w:fldCharType="separate"/>
    </w:r>
    <w:r w:rsidR="00780CFE">
      <w:rPr>
        <w:rFonts w:cs="Arial"/>
        <w:noProof/>
        <w:szCs w:val="18"/>
      </w:rPr>
      <w:t>January 2015</w:t>
    </w:r>
    <w:r w:rsidRPr="00EA0992">
      <w:rPr>
        <w:rFonts w:cs="Arial"/>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27A959" w14:textId="77777777" w:rsidR="004E09D0" w:rsidRDefault="004E09D0">
      <w:r>
        <w:separator/>
      </w:r>
    </w:p>
    <w:p w14:paraId="7A989159" w14:textId="77777777" w:rsidR="004E09D0" w:rsidRDefault="004E09D0"/>
  </w:footnote>
  <w:footnote w:type="continuationSeparator" w:id="0">
    <w:p w14:paraId="6D901012" w14:textId="77777777" w:rsidR="004E09D0" w:rsidRDefault="004E09D0">
      <w:r>
        <w:continuationSeparator/>
      </w:r>
    </w:p>
    <w:p w14:paraId="4AC56AFD" w14:textId="77777777" w:rsidR="004E09D0" w:rsidRDefault="004E09D0"/>
  </w:footnote>
  <w:footnote w:type="continuationNotice" w:id="1">
    <w:p w14:paraId="11051A75" w14:textId="77777777" w:rsidR="004E09D0" w:rsidRDefault="004E09D0">
      <w:pPr>
        <w:spacing w:before="0" w:after="0" w:line="240" w:lineRule="auto"/>
      </w:pPr>
    </w:p>
  </w:footnote>
  <w:footnote w:id="2">
    <w:p w14:paraId="24087D8B" w14:textId="77777777" w:rsidR="004E09D0" w:rsidRPr="00D21B92" w:rsidRDefault="004E09D0" w:rsidP="00BB4311">
      <w:pPr>
        <w:pStyle w:val="FootnoteText"/>
        <w:tabs>
          <w:tab w:val="left" w:pos="284"/>
        </w:tabs>
        <w:spacing w:before="80" w:line="200" w:lineRule="exact"/>
        <w:rPr>
          <w:lang w:val="en-AU"/>
        </w:rPr>
      </w:pPr>
      <w:r>
        <w:rPr>
          <w:rStyle w:val="FootnoteReference"/>
        </w:rPr>
        <w:footnoteRef/>
      </w:r>
      <w:r>
        <w:t xml:space="preserve"> </w:t>
      </w:r>
      <w:r>
        <w:tab/>
      </w:r>
      <w:r>
        <w:rPr>
          <w:rStyle w:val="UtilComReferenceSourceChar"/>
        </w:rPr>
        <w:t xml:space="preserve">Utilities Commission, </w:t>
      </w:r>
      <w:hyperlink r:id="rId1" w:history="1">
        <w:r w:rsidRPr="00FF4B21">
          <w:rPr>
            <w:rStyle w:val="Hyperlink"/>
            <w:sz w:val="18"/>
            <w:szCs w:val="18"/>
          </w:rPr>
          <w:t>Final Determination Networks Pricing: 2009 Regulatory Reset</w:t>
        </w:r>
      </w:hyperlink>
      <w:r w:rsidRPr="00FF4B21">
        <w:rPr>
          <w:rStyle w:val="UtilComReferenceSourceChar"/>
        </w:rPr>
        <w:t>,</w:t>
      </w:r>
      <w:r>
        <w:rPr>
          <w:rStyle w:val="UtilComReferenceSourceChar"/>
        </w:rPr>
        <w:t xml:space="preserve"> March 2009.</w:t>
      </w:r>
    </w:p>
  </w:footnote>
  <w:footnote w:id="3">
    <w:p w14:paraId="21D3C7D8" w14:textId="0F33108F" w:rsidR="004E09D0" w:rsidRPr="006957AB" w:rsidRDefault="004E09D0" w:rsidP="00BB4311">
      <w:pPr>
        <w:pStyle w:val="FootnoteText"/>
        <w:tabs>
          <w:tab w:val="left" w:pos="284"/>
        </w:tabs>
        <w:spacing w:before="80" w:line="200" w:lineRule="exact"/>
        <w:rPr>
          <w:lang w:val="en-AU"/>
        </w:rPr>
      </w:pPr>
      <w:r>
        <w:rPr>
          <w:rStyle w:val="FootnoteReference"/>
        </w:rPr>
        <w:footnoteRef/>
      </w:r>
      <w:r>
        <w:t xml:space="preserve"> </w:t>
      </w:r>
      <w:r>
        <w:tab/>
      </w:r>
      <w:r>
        <w:rPr>
          <w:rStyle w:val="UtilComReferenceSourceChar"/>
        </w:rPr>
        <w:t xml:space="preserve">Utilities Commission, </w:t>
      </w:r>
      <w:hyperlink r:id="rId2" w:history="1">
        <w:r w:rsidRPr="00905AF8">
          <w:rPr>
            <w:rStyle w:val="Hyperlink"/>
            <w:sz w:val="18"/>
            <w:szCs w:val="18"/>
          </w:rPr>
          <w:t>2014-19 Network Price Determination: Draft Determination</w:t>
        </w:r>
      </w:hyperlink>
      <w:r w:rsidRPr="00FF4B21">
        <w:rPr>
          <w:rStyle w:val="UtilComReferenceSourceChar"/>
        </w:rPr>
        <w:t>,</w:t>
      </w:r>
      <w:r>
        <w:rPr>
          <w:rStyle w:val="UtilComReferenceSourceChar"/>
        </w:rPr>
        <w:t xml:space="preserve"> December 2013.</w:t>
      </w:r>
    </w:p>
  </w:footnote>
  <w:footnote w:id="4">
    <w:p w14:paraId="6CDAC748" w14:textId="196DCD71" w:rsidR="004E09D0" w:rsidRPr="00905AF8"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3" w:history="1">
        <w:r w:rsidRPr="00905AF8">
          <w:rPr>
            <w:rStyle w:val="Hyperlink"/>
            <w:sz w:val="18"/>
            <w:szCs w:val="18"/>
          </w:rPr>
          <w:t>2014-19 Network Price Determination: Framework and Approach Decision Paper</w:t>
        </w:r>
      </w:hyperlink>
      <w:r w:rsidRPr="00FF4B21">
        <w:rPr>
          <w:rStyle w:val="UtilComReferenceSourceChar"/>
        </w:rPr>
        <w:t>,</w:t>
      </w:r>
      <w:r>
        <w:rPr>
          <w:rStyle w:val="UtilComReferenceSourceChar"/>
        </w:rPr>
        <w:t xml:space="preserve"> December 2013.</w:t>
      </w:r>
    </w:p>
  </w:footnote>
  <w:footnote w:id="5">
    <w:p w14:paraId="4217CFFC" w14:textId="77777777" w:rsidR="004E09D0" w:rsidRPr="00A74CBC" w:rsidRDefault="004E09D0" w:rsidP="00BB4311">
      <w:pPr>
        <w:pStyle w:val="FootnoteText"/>
        <w:tabs>
          <w:tab w:val="left" w:pos="284"/>
        </w:tabs>
        <w:spacing w:before="80" w:line="200" w:lineRule="exact"/>
        <w:ind w:left="284" w:hanging="284"/>
        <w:rPr>
          <w:lang w:val="en-AU"/>
        </w:rPr>
      </w:pPr>
      <w:r>
        <w:rPr>
          <w:rStyle w:val="FootnoteReference"/>
        </w:rPr>
        <w:footnoteRef/>
      </w:r>
      <w:r>
        <w:tab/>
      </w:r>
      <w:r w:rsidRPr="00565C45">
        <w:rPr>
          <w:sz w:val="18"/>
          <w:szCs w:val="18"/>
        </w:rPr>
        <w:t xml:space="preserve">First </w:t>
      </w:r>
      <w:r w:rsidRPr="00A74CBC">
        <w:rPr>
          <w:sz w:val="18"/>
          <w:szCs w:val="18"/>
          <w:lang w:val="en-AU"/>
        </w:rPr>
        <w:t>regulatory control period 1</w:t>
      </w:r>
      <w:r>
        <w:rPr>
          <w:sz w:val="18"/>
          <w:szCs w:val="18"/>
          <w:lang w:val="en-AU"/>
        </w:rPr>
        <w:t> </w:t>
      </w:r>
      <w:r w:rsidRPr="00A74CBC">
        <w:rPr>
          <w:sz w:val="18"/>
          <w:szCs w:val="18"/>
          <w:lang w:val="en-AU"/>
        </w:rPr>
        <w:t>July</w:t>
      </w:r>
      <w:r>
        <w:rPr>
          <w:sz w:val="18"/>
          <w:szCs w:val="18"/>
          <w:lang w:val="en-AU"/>
        </w:rPr>
        <w:t> </w:t>
      </w:r>
      <w:r w:rsidRPr="00A74CBC">
        <w:rPr>
          <w:sz w:val="18"/>
          <w:szCs w:val="18"/>
          <w:lang w:val="en-AU"/>
        </w:rPr>
        <w:t>200</w:t>
      </w:r>
      <w:r>
        <w:rPr>
          <w:sz w:val="18"/>
          <w:szCs w:val="18"/>
          <w:lang w:val="en-AU"/>
        </w:rPr>
        <w:t>1</w:t>
      </w:r>
      <w:r w:rsidRPr="00A74CBC">
        <w:rPr>
          <w:sz w:val="18"/>
          <w:szCs w:val="18"/>
          <w:lang w:val="en-AU"/>
        </w:rPr>
        <w:t xml:space="preserve"> to 30</w:t>
      </w:r>
      <w:r>
        <w:rPr>
          <w:sz w:val="18"/>
          <w:szCs w:val="18"/>
          <w:lang w:val="en-AU"/>
        </w:rPr>
        <w:t> </w:t>
      </w:r>
      <w:r w:rsidRPr="00A74CBC">
        <w:rPr>
          <w:sz w:val="18"/>
          <w:szCs w:val="18"/>
          <w:lang w:val="en-AU"/>
        </w:rPr>
        <w:t>June</w:t>
      </w:r>
      <w:r>
        <w:rPr>
          <w:sz w:val="18"/>
          <w:szCs w:val="18"/>
          <w:lang w:val="en-AU"/>
        </w:rPr>
        <w:t> </w:t>
      </w:r>
      <w:r w:rsidRPr="00A74CBC">
        <w:rPr>
          <w:sz w:val="18"/>
          <w:szCs w:val="18"/>
          <w:lang w:val="en-AU"/>
        </w:rPr>
        <w:t>200</w:t>
      </w:r>
      <w:r>
        <w:rPr>
          <w:sz w:val="18"/>
          <w:szCs w:val="18"/>
          <w:lang w:val="en-AU"/>
        </w:rPr>
        <w:t>4</w:t>
      </w:r>
      <w:r w:rsidRPr="00A74CBC">
        <w:rPr>
          <w:sz w:val="18"/>
          <w:szCs w:val="18"/>
          <w:lang w:val="en-AU"/>
        </w:rPr>
        <w:t xml:space="preserve">, </w:t>
      </w:r>
      <w:r>
        <w:rPr>
          <w:sz w:val="18"/>
          <w:szCs w:val="18"/>
          <w:lang w:val="en-AU"/>
        </w:rPr>
        <w:t xml:space="preserve">second </w:t>
      </w:r>
      <w:r w:rsidRPr="00A74CBC">
        <w:rPr>
          <w:sz w:val="18"/>
          <w:szCs w:val="18"/>
          <w:lang w:val="en-AU"/>
        </w:rPr>
        <w:t>regulatory control period 1</w:t>
      </w:r>
      <w:r>
        <w:rPr>
          <w:sz w:val="18"/>
          <w:szCs w:val="18"/>
          <w:lang w:val="en-AU"/>
        </w:rPr>
        <w:t> </w:t>
      </w:r>
      <w:r w:rsidRPr="00A74CBC">
        <w:rPr>
          <w:sz w:val="18"/>
          <w:szCs w:val="18"/>
          <w:lang w:val="en-AU"/>
        </w:rPr>
        <w:t>July</w:t>
      </w:r>
      <w:r>
        <w:rPr>
          <w:sz w:val="18"/>
          <w:szCs w:val="18"/>
          <w:lang w:val="en-AU"/>
        </w:rPr>
        <w:t> </w:t>
      </w:r>
      <w:r w:rsidRPr="00A74CBC">
        <w:rPr>
          <w:sz w:val="18"/>
          <w:szCs w:val="18"/>
          <w:lang w:val="en-AU"/>
        </w:rPr>
        <w:t>200</w:t>
      </w:r>
      <w:r>
        <w:rPr>
          <w:sz w:val="18"/>
          <w:szCs w:val="18"/>
          <w:lang w:val="en-AU"/>
        </w:rPr>
        <w:t>4</w:t>
      </w:r>
      <w:r w:rsidRPr="00A74CBC">
        <w:rPr>
          <w:sz w:val="18"/>
          <w:szCs w:val="18"/>
          <w:lang w:val="en-AU"/>
        </w:rPr>
        <w:t xml:space="preserve"> to 30</w:t>
      </w:r>
      <w:r>
        <w:rPr>
          <w:sz w:val="18"/>
          <w:szCs w:val="18"/>
          <w:lang w:val="en-AU"/>
        </w:rPr>
        <w:t> </w:t>
      </w:r>
      <w:r w:rsidRPr="00A74CBC">
        <w:rPr>
          <w:sz w:val="18"/>
          <w:szCs w:val="18"/>
          <w:lang w:val="en-AU"/>
        </w:rPr>
        <w:t>June</w:t>
      </w:r>
      <w:r>
        <w:rPr>
          <w:sz w:val="18"/>
          <w:szCs w:val="18"/>
          <w:lang w:val="en-AU"/>
        </w:rPr>
        <w:t> </w:t>
      </w:r>
      <w:r w:rsidRPr="00A74CBC">
        <w:rPr>
          <w:sz w:val="18"/>
          <w:szCs w:val="18"/>
          <w:lang w:val="en-AU"/>
        </w:rPr>
        <w:t>200</w:t>
      </w:r>
      <w:r>
        <w:rPr>
          <w:sz w:val="18"/>
          <w:szCs w:val="18"/>
          <w:lang w:val="en-AU"/>
        </w:rPr>
        <w:t>9</w:t>
      </w:r>
      <w:r w:rsidRPr="00A74CBC">
        <w:rPr>
          <w:sz w:val="18"/>
          <w:szCs w:val="18"/>
          <w:lang w:val="en-AU"/>
        </w:rPr>
        <w:t xml:space="preserve">, </w:t>
      </w:r>
      <w:r>
        <w:rPr>
          <w:sz w:val="18"/>
          <w:szCs w:val="18"/>
          <w:lang w:val="en-AU"/>
        </w:rPr>
        <w:t>third</w:t>
      </w:r>
      <w:r w:rsidRPr="00A74CBC">
        <w:rPr>
          <w:sz w:val="18"/>
          <w:szCs w:val="18"/>
          <w:lang w:val="en-AU"/>
        </w:rPr>
        <w:t xml:space="preserve"> regulatory control period (</w:t>
      </w:r>
      <w:r>
        <w:rPr>
          <w:sz w:val="18"/>
          <w:szCs w:val="18"/>
          <w:lang w:val="en-AU"/>
        </w:rPr>
        <w:t>current</w:t>
      </w:r>
      <w:r w:rsidRPr="00A74CBC">
        <w:rPr>
          <w:sz w:val="18"/>
          <w:szCs w:val="18"/>
          <w:lang w:val="en-AU"/>
        </w:rPr>
        <w:t>) 1</w:t>
      </w:r>
      <w:r>
        <w:rPr>
          <w:sz w:val="18"/>
          <w:szCs w:val="18"/>
          <w:lang w:val="en-AU"/>
        </w:rPr>
        <w:t> </w:t>
      </w:r>
      <w:r w:rsidRPr="00A74CBC">
        <w:rPr>
          <w:sz w:val="18"/>
          <w:szCs w:val="18"/>
          <w:lang w:val="en-AU"/>
        </w:rPr>
        <w:t>July</w:t>
      </w:r>
      <w:r>
        <w:rPr>
          <w:sz w:val="18"/>
          <w:szCs w:val="18"/>
          <w:lang w:val="en-AU"/>
        </w:rPr>
        <w:t> </w:t>
      </w:r>
      <w:r w:rsidRPr="00A74CBC">
        <w:rPr>
          <w:sz w:val="18"/>
          <w:szCs w:val="18"/>
          <w:lang w:val="en-AU"/>
        </w:rPr>
        <w:t>20</w:t>
      </w:r>
      <w:r>
        <w:rPr>
          <w:sz w:val="18"/>
          <w:szCs w:val="18"/>
          <w:lang w:val="en-AU"/>
        </w:rPr>
        <w:t>09</w:t>
      </w:r>
      <w:r w:rsidRPr="00A74CBC">
        <w:rPr>
          <w:sz w:val="18"/>
          <w:szCs w:val="18"/>
          <w:lang w:val="en-AU"/>
        </w:rPr>
        <w:t xml:space="preserve"> to 30</w:t>
      </w:r>
      <w:r>
        <w:rPr>
          <w:sz w:val="18"/>
          <w:szCs w:val="18"/>
          <w:lang w:val="en-AU"/>
        </w:rPr>
        <w:t> </w:t>
      </w:r>
      <w:r w:rsidRPr="00A74CBC">
        <w:rPr>
          <w:sz w:val="18"/>
          <w:szCs w:val="18"/>
          <w:lang w:val="en-AU"/>
        </w:rPr>
        <w:t>June</w:t>
      </w:r>
      <w:r>
        <w:rPr>
          <w:sz w:val="18"/>
          <w:szCs w:val="18"/>
          <w:lang w:val="en-AU"/>
        </w:rPr>
        <w:t> </w:t>
      </w:r>
      <w:r w:rsidRPr="00A74CBC">
        <w:rPr>
          <w:sz w:val="18"/>
          <w:szCs w:val="18"/>
          <w:lang w:val="en-AU"/>
        </w:rPr>
        <w:t>201</w:t>
      </w:r>
      <w:r>
        <w:rPr>
          <w:sz w:val="18"/>
          <w:szCs w:val="18"/>
          <w:lang w:val="en-AU"/>
        </w:rPr>
        <w:t>4.</w:t>
      </w:r>
    </w:p>
  </w:footnote>
  <w:footnote w:id="6">
    <w:p w14:paraId="2692CFCA" w14:textId="77777777" w:rsidR="004E09D0" w:rsidRPr="00E15DC7"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4" w:history="1">
        <w:r w:rsidRPr="00FF4B21">
          <w:rPr>
            <w:rStyle w:val="Hyperlink"/>
            <w:sz w:val="18"/>
            <w:szCs w:val="18"/>
          </w:rPr>
          <w:t>2014 Network Price Determination: Framework and Approach Consultation Paper</w:t>
        </w:r>
      </w:hyperlink>
      <w:r w:rsidRPr="00FF4B21">
        <w:rPr>
          <w:rStyle w:val="UtilComReferenceSourceChar"/>
        </w:rPr>
        <w:t>,</w:t>
      </w:r>
      <w:r>
        <w:rPr>
          <w:rStyle w:val="UtilComReferenceSourceChar"/>
        </w:rPr>
        <w:t xml:space="preserve"> June 2012.</w:t>
      </w:r>
    </w:p>
  </w:footnote>
  <w:footnote w:id="7">
    <w:p w14:paraId="693A38AB" w14:textId="77777777" w:rsidR="004E09D0" w:rsidRPr="005820F4" w:rsidRDefault="004E09D0" w:rsidP="00BB4311">
      <w:pPr>
        <w:pStyle w:val="FootnoteText"/>
        <w:tabs>
          <w:tab w:val="left" w:pos="284"/>
        </w:tabs>
        <w:spacing w:before="80" w:line="200" w:lineRule="exact"/>
        <w:ind w:left="284" w:hanging="284"/>
        <w:rPr>
          <w:lang w:val="en-AU"/>
        </w:rPr>
      </w:pPr>
      <w:r>
        <w:rPr>
          <w:rStyle w:val="FootnoteReference"/>
        </w:rPr>
        <w:footnoteRef/>
      </w:r>
      <w:r>
        <w:tab/>
      </w:r>
      <w:r>
        <w:rPr>
          <w:rStyle w:val="UtilComReferenceSourceChar"/>
        </w:rPr>
        <w:t xml:space="preserve">Utilities Commission, </w:t>
      </w:r>
      <w:hyperlink r:id="rId5" w:history="1">
        <w:r w:rsidRPr="00FF4B21">
          <w:rPr>
            <w:rStyle w:val="Hyperlink"/>
            <w:sz w:val="18"/>
            <w:szCs w:val="18"/>
          </w:rPr>
          <w:t>2014 Network Price Determination: Framework and Approach Decision Paper</w:t>
        </w:r>
      </w:hyperlink>
      <w:r>
        <w:rPr>
          <w:rStyle w:val="UtilComReferenceSourceChar"/>
        </w:rPr>
        <w:t>, November 2012.</w:t>
      </w:r>
    </w:p>
  </w:footnote>
  <w:footnote w:id="8">
    <w:p w14:paraId="2AD06F6B" w14:textId="77777777" w:rsidR="004E09D0" w:rsidRPr="00EB56AA" w:rsidRDefault="004E09D0" w:rsidP="00035DCE">
      <w:pPr>
        <w:pStyle w:val="FootnoteText"/>
        <w:tabs>
          <w:tab w:val="left" w:pos="284"/>
        </w:tabs>
        <w:spacing w:before="80" w:after="0" w:line="200" w:lineRule="exact"/>
        <w:rPr>
          <w:lang w:val="en-AU"/>
        </w:rPr>
      </w:pPr>
      <w:r>
        <w:rPr>
          <w:rStyle w:val="FootnoteReference"/>
        </w:rPr>
        <w:footnoteRef/>
      </w:r>
      <w:r>
        <w:rPr>
          <w:rStyle w:val="UtilComReferenceSourceChar"/>
        </w:rPr>
        <w:t xml:space="preserve"> </w:t>
      </w:r>
      <w:r>
        <w:rPr>
          <w:rStyle w:val="UtilComReferenceSourceChar"/>
        </w:rPr>
        <w:tab/>
      </w:r>
      <w:r w:rsidRPr="00EB56AA">
        <w:rPr>
          <w:rStyle w:val="UtilComReferenceSourceChar"/>
        </w:rPr>
        <w:t xml:space="preserve">A full list of submissions received can be found in </w:t>
      </w:r>
      <w:r w:rsidRPr="00B93AAB">
        <w:rPr>
          <w:rStyle w:val="UtilComReferenceSourceChar"/>
        </w:rPr>
        <w:t>Appendix C</w:t>
      </w:r>
      <w:r w:rsidRPr="00EB56AA">
        <w:rPr>
          <w:rStyle w:val="UtilComReferenceSourceChar"/>
        </w:rPr>
        <w:t>.</w:t>
      </w:r>
    </w:p>
  </w:footnote>
  <w:footnote w:id="9">
    <w:p w14:paraId="70966B4D" w14:textId="0D8BB310" w:rsidR="004E09D0" w:rsidRPr="00AF189E" w:rsidRDefault="004E09D0" w:rsidP="00BB4311">
      <w:pPr>
        <w:pStyle w:val="FootnoteText"/>
        <w:spacing w:before="80" w:line="200" w:lineRule="exact"/>
        <w:ind w:left="284" w:hanging="284"/>
        <w:rPr>
          <w:rStyle w:val="UtilComReferenceSourceChar"/>
        </w:rPr>
      </w:pPr>
      <w:r w:rsidRPr="00D624BF">
        <w:rPr>
          <w:rStyle w:val="FootnoteReference"/>
        </w:rPr>
        <w:footnoteRef/>
      </w:r>
      <w:r w:rsidRPr="00D624BF">
        <w:t xml:space="preserve"> </w:t>
      </w:r>
      <w:r>
        <w:tab/>
      </w:r>
      <w:r w:rsidRPr="00D624BF">
        <w:rPr>
          <w:rStyle w:val="UtilComReferenceSourceChar"/>
        </w:rPr>
        <w:t xml:space="preserve">Under the NER, a transmission network is generally considered to be a network operating at nominal voltages of 220 kV and above, although there is scope for the AER to deem networks operating at lower nominal voltages to be transmission networks. In the Territory, there is one 132 kV line connecting Darwin and Katherine and a small number of 66 kV lines. While these may be considered to provide a transmission function for network planning purposes, for the purposes of the 2014 Network Price Determination, the Commission has taken the view that the regulated electricity networks operated by PWC Networks </w:t>
      </w:r>
      <w:r>
        <w:rPr>
          <w:rStyle w:val="UtilComReferenceSourceChar"/>
        </w:rPr>
        <w:t>are</w:t>
      </w:r>
      <w:r w:rsidRPr="00D624BF">
        <w:rPr>
          <w:rStyle w:val="UtilComReferenceSourceChar"/>
        </w:rPr>
        <w:t xml:space="preserve"> equivalent to ‘distribution system</w:t>
      </w:r>
      <w:r>
        <w:rPr>
          <w:rStyle w:val="UtilComReferenceSourceChar"/>
        </w:rPr>
        <w:t>s’</w:t>
      </w:r>
      <w:r w:rsidRPr="00D624BF">
        <w:rPr>
          <w:rStyle w:val="UtilComReferenceSourceChar"/>
        </w:rPr>
        <w:t xml:space="preserve"> under the NER and the network access services provided by PWC Networks are equivalent to ‘distribution services’ under the NER.</w:t>
      </w:r>
      <w:r w:rsidRPr="00AF189E">
        <w:rPr>
          <w:rStyle w:val="UtilComReferenceSourceChar"/>
        </w:rPr>
        <w:t xml:space="preserve"> </w:t>
      </w:r>
    </w:p>
  </w:footnote>
  <w:footnote w:id="10">
    <w:p w14:paraId="6770945B" w14:textId="77777777" w:rsidR="004E09D0" w:rsidRPr="00353169" w:rsidRDefault="004E09D0" w:rsidP="00035DCE">
      <w:pPr>
        <w:pStyle w:val="FootnoteText"/>
        <w:tabs>
          <w:tab w:val="left" w:pos="284"/>
        </w:tabs>
        <w:spacing w:after="0"/>
        <w:rPr>
          <w:rStyle w:val="UtilComReferenceSourceChar"/>
          <w:lang w:val="en-AU"/>
        </w:rPr>
      </w:pPr>
      <w:r>
        <w:rPr>
          <w:rStyle w:val="FootnoteReference"/>
        </w:rPr>
        <w:footnoteRef/>
      </w:r>
      <w:r>
        <w:tab/>
      </w:r>
      <w:r w:rsidRPr="00353169">
        <w:rPr>
          <w:rStyle w:val="UtilComReferenceSourceChar"/>
        </w:rPr>
        <w:t xml:space="preserve">Utilities Commission, </w:t>
      </w:r>
      <w:hyperlink r:id="rId6" w:history="1">
        <w:r w:rsidRPr="00353169">
          <w:rPr>
            <w:rStyle w:val="Hyperlink"/>
            <w:sz w:val="18"/>
            <w:szCs w:val="18"/>
          </w:rPr>
          <w:t>Cost pass through application – Final determination</w:t>
        </w:r>
      </w:hyperlink>
      <w:r w:rsidRPr="00353169">
        <w:rPr>
          <w:rStyle w:val="UtilComReferenceSourceChar"/>
        </w:rPr>
        <w:t>, May</w:t>
      </w:r>
      <w:r>
        <w:rPr>
          <w:rStyle w:val="UtilComReferenceSourceChar"/>
        </w:rPr>
        <w:t> </w:t>
      </w:r>
      <w:r w:rsidRPr="00353169">
        <w:rPr>
          <w:rStyle w:val="UtilComReferenceSourceChar"/>
        </w:rPr>
        <w:t>2013</w:t>
      </w:r>
    </w:p>
  </w:footnote>
  <w:footnote w:id="11">
    <w:p w14:paraId="00E18993" w14:textId="77777777" w:rsidR="004E09D0" w:rsidRPr="006B30BF" w:rsidRDefault="004E09D0" w:rsidP="00BB4311">
      <w:pPr>
        <w:pStyle w:val="FootnoteText"/>
        <w:tabs>
          <w:tab w:val="left" w:pos="284"/>
        </w:tabs>
        <w:spacing w:before="80" w:line="200" w:lineRule="exact"/>
        <w:ind w:left="284" w:hanging="284"/>
        <w:rPr>
          <w:rStyle w:val="UtilComReferenceSourceChar"/>
        </w:rPr>
      </w:pPr>
      <w:r>
        <w:rPr>
          <w:rStyle w:val="FootnoteReference"/>
        </w:rPr>
        <w:footnoteRef/>
      </w:r>
      <w:r>
        <w:tab/>
      </w:r>
      <w:hyperlink r:id="rId7" w:history="1">
        <w:r w:rsidRPr="0095380E">
          <w:rPr>
            <w:rStyle w:val="Hyperlink"/>
            <w:sz w:val="18"/>
            <w:szCs w:val="18"/>
          </w:rPr>
          <w:t>Independent Enquiry into Casuarina Substation Events and Substation Management across Darwin – Final Report</w:t>
        </w:r>
      </w:hyperlink>
      <w:r w:rsidRPr="006B30BF">
        <w:rPr>
          <w:rStyle w:val="UtilComReferenceSourceChar"/>
        </w:rPr>
        <w:t>, February</w:t>
      </w:r>
      <w:r>
        <w:rPr>
          <w:rStyle w:val="UtilComReferenceSourceChar"/>
        </w:rPr>
        <w:t> </w:t>
      </w:r>
      <w:r w:rsidRPr="006B30BF">
        <w:rPr>
          <w:rStyle w:val="UtilComReferenceSourceChar"/>
        </w:rPr>
        <w:t>2009.</w:t>
      </w:r>
    </w:p>
  </w:footnote>
  <w:footnote w:id="12">
    <w:p w14:paraId="67677D67" w14:textId="77777777" w:rsidR="004E09D0" w:rsidRPr="00477514" w:rsidRDefault="004E09D0" w:rsidP="00BB4311">
      <w:pPr>
        <w:pStyle w:val="FootnoteText"/>
        <w:tabs>
          <w:tab w:val="left" w:pos="284"/>
        </w:tabs>
        <w:spacing w:before="80" w:line="200" w:lineRule="exact"/>
        <w:ind w:left="284" w:hanging="284"/>
        <w:rPr>
          <w:rStyle w:val="UtilComReferenceSourceChar"/>
        </w:rPr>
      </w:pPr>
      <w:r>
        <w:rPr>
          <w:rStyle w:val="FootnoteReference"/>
        </w:rPr>
        <w:footnoteRef/>
      </w:r>
      <w:r>
        <w:t xml:space="preserve"> </w:t>
      </w:r>
      <w:r>
        <w:tab/>
      </w:r>
      <w:r w:rsidRPr="00477514">
        <w:rPr>
          <w:rStyle w:val="UtilComReferenceSourceChar"/>
        </w:rPr>
        <w:t>Power and Water Corporation</w:t>
      </w:r>
      <w:r>
        <w:rPr>
          <w:rStyle w:val="UtilComReferenceSourceChar"/>
        </w:rPr>
        <w:t xml:space="preserve">, </w:t>
      </w:r>
      <w:hyperlink r:id="rId8" w:history="1">
        <w:r w:rsidRPr="00477514">
          <w:rPr>
            <w:rStyle w:val="Hyperlink"/>
            <w:sz w:val="18"/>
            <w:szCs w:val="18"/>
          </w:rPr>
          <w:t>Network Cost Pass Through Application – Response to the Commission’s request for further information</w:t>
        </w:r>
      </w:hyperlink>
      <w:r>
        <w:rPr>
          <w:rStyle w:val="UtilComReferenceSourceChar"/>
        </w:rPr>
        <w:t>, February 2013, page 2.</w:t>
      </w:r>
    </w:p>
  </w:footnote>
  <w:footnote w:id="13">
    <w:p w14:paraId="064C769C" w14:textId="77777777" w:rsidR="004E09D0" w:rsidRPr="00A43BC5" w:rsidRDefault="004E09D0" w:rsidP="00BB4311">
      <w:pPr>
        <w:pStyle w:val="FootnoteText"/>
        <w:tabs>
          <w:tab w:val="left" w:pos="284"/>
        </w:tabs>
        <w:spacing w:before="80" w:line="240" w:lineRule="auto"/>
        <w:contextualSpacing/>
        <w:rPr>
          <w:rStyle w:val="UtilComReferenceSourceChar"/>
          <w:lang w:val="en-AU"/>
        </w:rPr>
      </w:pPr>
      <w:r>
        <w:rPr>
          <w:rStyle w:val="FootnoteReference"/>
        </w:rPr>
        <w:footnoteRef/>
      </w:r>
      <w:r>
        <w:t xml:space="preserve"> </w:t>
      </w:r>
      <w:r>
        <w:tab/>
      </w:r>
      <w:r w:rsidRPr="00A43BC5">
        <w:rPr>
          <w:rStyle w:val="UtilComReferenceSourceChar"/>
        </w:rPr>
        <w:t>NEL section 7</w:t>
      </w:r>
      <w:r>
        <w:rPr>
          <w:rStyle w:val="UtilComReferenceSourceChar"/>
        </w:rPr>
        <w:t>.</w:t>
      </w:r>
    </w:p>
  </w:footnote>
  <w:footnote w:id="14">
    <w:p w14:paraId="3E6EF884" w14:textId="77777777" w:rsidR="004E09D0" w:rsidRPr="008E6859" w:rsidRDefault="004E09D0" w:rsidP="00BB4311">
      <w:pPr>
        <w:pStyle w:val="FootnoteText"/>
        <w:tabs>
          <w:tab w:val="left" w:pos="284"/>
        </w:tabs>
        <w:spacing w:before="80" w:line="240" w:lineRule="auto"/>
        <w:contextualSpacing/>
        <w:rPr>
          <w:rStyle w:val="UtilComReferenceSourceChar"/>
          <w:lang w:val="en-AU"/>
        </w:rPr>
      </w:pPr>
      <w:r>
        <w:rPr>
          <w:rStyle w:val="FootnoteReference"/>
        </w:rPr>
        <w:footnoteRef/>
      </w:r>
      <w:r>
        <w:t xml:space="preserve"> </w:t>
      </w:r>
      <w:r>
        <w:tab/>
      </w:r>
      <w:r w:rsidRPr="008E6859">
        <w:rPr>
          <w:rStyle w:val="UtilComReferenceSourceChar"/>
        </w:rPr>
        <w:t>NEL section 16</w:t>
      </w:r>
      <w:r>
        <w:rPr>
          <w:rStyle w:val="UtilComReferenceSourceChar"/>
        </w:rPr>
        <w:t>.</w:t>
      </w:r>
    </w:p>
  </w:footnote>
  <w:footnote w:id="15">
    <w:p w14:paraId="492FC2AD" w14:textId="77777777" w:rsidR="004E09D0" w:rsidRPr="00485959" w:rsidRDefault="004E09D0" w:rsidP="00BB4311">
      <w:pPr>
        <w:pStyle w:val="FootnoteText"/>
        <w:tabs>
          <w:tab w:val="left" w:pos="284"/>
        </w:tabs>
        <w:spacing w:before="80" w:line="240" w:lineRule="auto"/>
        <w:contextualSpacing/>
        <w:rPr>
          <w:sz w:val="18"/>
          <w:szCs w:val="18"/>
          <w:lang w:val="en-AU"/>
        </w:rPr>
      </w:pPr>
      <w:r>
        <w:rPr>
          <w:rStyle w:val="FootnoteReference"/>
        </w:rPr>
        <w:footnoteRef/>
      </w:r>
      <w:r>
        <w:t xml:space="preserve"> </w:t>
      </w:r>
      <w:r>
        <w:tab/>
      </w:r>
      <w:r w:rsidRPr="00A43BC5">
        <w:rPr>
          <w:rStyle w:val="UtilComReferenceSourceChar"/>
        </w:rPr>
        <w:t>NE</w:t>
      </w:r>
      <w:r>
        <w:rPr>
          <w:rStyle w:val="UtilComReferenceSourceChar"/>
        </w:rPr>
        <w:t>R</w:t>
      </w:r>
      <w:r w:rsidRPr="00A43BC5">
        <w:rPr>
          <w:rStyle w:val="UtilComReferenceSourceChar"/>
        </w:rPr>
        <w:t xml:space="preserve"> </w:t>
      </w:r>
      <w:r>
        <w:rPr>
          <w:rStyle w:val="UtilComReferenceSourceChar"/>
        </w:rPr>
        <w:t>clauses</w:t>
      </w:r>
      <w:r w:rsidRPr="00A43BC5">
        <w:rPr>
          <w:rStyle w:val="UtilComReferenceSourceChar"/>
        </w:rPr>
        <w:t xml:space="preserve"> </w:t>
      </w:r>
      <w:r>
        <w:rPr>
          <w:rStyle w:val="UtilComReferenceSourceChar"/>
        </w:rPr>
        <w:t>6.3.1 and 6.3.2.</w:t>
      </w:r>
    </w:p>
  </w:footnote>
  <w:footnote w:id="16">
    <w:p w14:paraId="4240C27C" w14:textId="0FAAA6BC" w:rsidR="004E09D0" w:rsidRPr="000B465A" w:rsidRDefault="004E09D0" w:rsidP="00BB4311">
      <w:pPr>
        <w:pStyle w:val="FootnoteText"/>
        <w:spacing w:before="80" w:line="240" w:lineRule="auto"/>
        <w:contextualSpacing/>
        <w:rPr>
          <w:lang w:val="en-AU"/>
        </w:rPr>
      </w:pPr>
      <w:r>
        <w:rPr>
          <w:rStyle w:val="FootnoteReference"/>
        </w:rPr>
        <w:footnoteRef/>
      </w:r>
      <w:r>
        <w:t xml:space="preserve"> </w:t>
      </w:r>
      <w:r w:rsidRPr="000B465A">
        <w:rPr>
          <w:rStyle w:val="UtilComReferenceSourceChar"/>
        </w:rPr>
        <w:t xml:space="preserve">Clause 66, </w:t>
      </w:r>
      <w:r>
        <w:rPr>
          <w:rStyle w:val="UtilComReferenceSourceChar"/>
        </w:rPr>
        <w:t>Network Access Code</w:t>
      </w:r>
    </w:p>
  </w:footnote>
  <w:footnote w:id="17">
    <w:p w14:paraId="4971E36A" w14:textId="20CB42FB" w:rsidR="004E09D0" w:rsidRPr="007D7703" w:rsidRDefault="004E09D0" w:rsidP="00BB4311">
      <w:pPr>
        <w:pStyle w:val="FootnoteText"/>
        <w:tabs>
          <w:tab w:val="left" w:pos="284"/>
        </w:tabs>
        <w:spacing w:before="80" w:after="0" w:line="240" w:lineRule="auto"/>
        <w:rPr>
          <w:rStyle w:val="UtilComReferenceSourceCha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 xml:space="preserve">ause </w:t>
      </w:r>
      <w:r w:rsidRPr="007D7703">
        <w:rPr>
          <w:rStyle w:val="UtilComReferenceSourceChar"/>
        </w:rPr>
        <w:t>81(2)</w:t>
      </w:r>
      <w:r>
        <w:rPr>
          <w:rStyle w:val="UtilComReferenceSourceChar"/>
        </w:rPr>
        <w:t>.</w:t>
      </w:r>
    </w:p>
  </w:footnote>
  <w:footnote w:id="18">
    <w:p w14:paraId="2A6E2F13" w14:textId="77777777" w:rsidR="004E09D0" w:rsidRPr="007D7703" w:rsidRDefault="004E09D0" w:rsidP="00E17F83">
      <w:pPr>
        <w:pStyle w:val="FootnoteText"/>
        <w:tabs>
          <w:tab w:val="left" w:pos="284"/>
        </w:tabs>
        <w:spacing w:before="0" w:after="0" w:line="240" w:lineRule="auto"/>
        <w:rPr>
          <w:rStyle w:val="UtilComReferenceSourceCha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 xml:space="preserve">ause </w:t>
      </w:r>
      <w:r w:rsidRPr="007D7703">
        <w:rPr>
          <w:rStyle w:val="UtilComReferenceSourceChar"/>
        </w:rPr>
        <w:t>75(5)</w:t>
      </w:r>
      <w:r>
        <w:rPr>
          <w:rStyle w:val="UtilComReferenceSourceChar"/>
        </w:rPr>
        <w:t>.</w:t>
      </w:r>
    </w:p>
  </w:footnote>
  <w:footnote w:id="19">
    <w:p w14:paraId="3BD52045" w14:textId="5CA88CEF" w:rsidR="004E09D0" w:rsidRPr="003F1E94" w:rsidRDefault="004E09D0" w:rsidP="00BB4311">
      <w:pPr>
        <w:pStyle w:val="FootnoteText"/>
        <w:tabs>
          <w:tab w:val="left" w:pos="284"/>
        </w:tabs>
        <w:spacing w:line="200" w:lineRule="exact"/>
        <w:ind w:left="284" w:hanging="284"/>
        <w:rPr>
          <w:rStyle w:val="UtilComReferenceSourceChar"/>
        </w:rPr>
      </w:pPr>
      <w:r w:rsidRPr="003F1E94">
        <w:rPr>
          <w:rStyle w:val="FootnoteReference"/>
        </w:rPr>
        <w:footnoteRef/>
      </w:r>
      <w:r w:rsidRPr="003F1E94">
        <w:tab/>
      </w:r>
      <w:r w:rsidRPr="003F1E94">
        <w:rPr>
          <w:rStyle w:val="UtilComReferenceSourceChar"/>
        </w:rPr>
        <w:t>The Framework Statement and PWC</w:t>
      </w:r>
      <w:r>
        <w:rPr>
          <w:rStyle w:val="UtilComReferenceSourceChar"/>
        </w:rPr>
        <w:t xml:space="preserve"> Networks</w:t>
      </w:r>
      <w:r w:rsidRPr="003F1E94">
        <w:rPr>
          <w:rStyle w:val="UtilComReferenceSourceChar"/>
        </w:rPr>
        <w:t>’ regulatory proposals refer to regulated network access services and excluded network access service</w:t>
      </w:r>
      <w:r>
        <w:rPr>
          <w:rStyle w:val="UtilComReferenceSourceChar"/>
        </w:rPr>
        <w:t>s</w:t>
      </w:r>
      <w:r w:rsidRPr="003F1E94">
        <w:rPr>
          <w:rStyle w:val="UtilComReferenceSourceChar"/>
        </w:rPr>
        <w:t xml:space="preserve"> using the terminology that would be used to classify those services under the NER. For the purposes of the 2014 Network Price Determination, the Commission has taken the view that:</w:t>
      </w:r>
    </w:p>
    <w:p w14:paraId="719C6D11" w14:textId="7A43B913" w:rsidR="004E09D0" w:rsidRPr="003F1E94" w:rsidRDefault="004E09D0" w:rsidP="00243FBE">
      <w:pPr>
        <w:pStyle w:val="FootnoteText"/>
        <w:numPr>
          <w:ilvl w:val="0"/>
          <w:numId w:val="49"/>
        </w:numPr>
        <w:tabs>
          <w:tab w:val="left" w:pos="284"/>
        </w:tabs>
        <w:spacing w:line="200" w:lineRule="exact"/>
        <w:rPr>
          <w:rStyle w:val="UtilComReferenceSourceChar"/>
        </w:rPr>
      </w:pPr>
      <w:r w:rsidRPr="003F1E94">
        <w:rPr>
          <w:rStyle w:val="UtilComReferenceSourceChar"/>
        </w:rPr>
        <w:t>regulated network access services would be classified as 'standard control services' under the NER and should therefore be regulated in a manner which is consistent with the requirements of Chapter 6 of the NER that apply to standard control services;</w:t>
      </w:r>
    </w:p>
    <w:p w14:paraId="1911229C" w14:textId="52379F89" w:rsidR="004E09D0" w:rsidRPr="003F1E94" w:rsidRDefault="004E09D0" w:rsidP="00243FBE">
      <w:pPr>
        <w:pStyle w:val="FootnoteText"/>
        <w:numPr>
          <w:ilvl w:val="0"/>
          <w:numId w:val="49"/>
        </w:numPr>
        <w:tabs>
          <w:tab w:val="left" w:pos="284"/>
        </w:tabs>
        <w:spacing w:line="200" w:lineRule="exact"/>
        <w:rPr>
          <w:rStyle w:val="UtilComReferenceSourceChar"/>
        </w:rPr>
      </w:pPr>
      <w:r w:rsidRPr="003F1E94">
        <w:rPr>
          <w:rStyle w:val="UtilComReferenceSourceChar"/>
        </w:rPr>
        <w:t>the requirements of Chapter 6 of the NER that apply to standard control services represent generally accepted regulatory practice with respect to the economic regulation of regulated network access services at this time; and</w:t>
      </w:r>
    </w:p>
    <w:p w14:paraId="577CCC16" w14:textId="2F5B2D89" w:rsidR="004E09D0" w:rsidRPr="003F1E94" w:rsidRDefault="004E09D0" w:rsidP="00243FBE">
      <w:pPr>
        <w:pStyle w:val="FootnoteText"/>
        <w:numPr>
          <w:ilvl w:val="0"/>
          <w:numId w:val="49"/>
        </w:numPr>
        <w:tabs>
          <w:tab w:val="left" w:pos="284"/>
        </w:tabs>
        <w:spacing w:line="200" w:lineRule="exact"/>
        <w:rPr>
          <w:rStyle w:val="UtilComReferenceSourceChar"/>
        </w:rPr>
      </w:pPr>
      <w:r w:rsidRPr="003F1E94">
        <w:rPr>
          <w:rStyle w:val="UtilComReferenceSourceChar"/>
        </w:rPr>
        <w:t>excluded network access services would not be classified as standard control services under the NER.</w:t>
      </w:r>
    </w:p>
  </w:footnote>
  <w:footnote w:id="20">
    <w:p w14:paraId="69AE413B" w14:textId="02B7BA66" w:rsidR="004E09D0" w:rsidRPr="00480AA5" w:rsidRDefault="004E09D0" w:rsidP="00DF09D6">
      <w:pPr>
        <w:pStyle w:val="FootnoteText"/>
        <w:tabs>
          <w:tab w:val="left" w:pos="284"/>
        </w:tabs>
        <w:spacing w:before="0" w:after="0" w:line="240" w:lineRule="auto"/>
        <w:rPr>
          <w:sz w:val="18"/>
          <w:szCs w:val="18"/>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67.</w:t>
      </w:r>
    </w:p>
  </w:footnote>
  <w:footnote w:id="21">
    <w:p w14:paraId="5D095B15" w14:textId="5D7679D9" w:rsidR="004E09D0" w:rsidRPr="00E513C5" w:rsidRDefault="004E09D0" w:rsidP="00DF09D6">
      <w:pPr>
        <w:pStyle w:val="FootnoteText"/>
        <w:tabs>
          <w:tab w:val="left" w:pos="284"/>
        </w:tabs>
        <w:spacing w:before="0" w:after="0" w:line="240" w:lineRule="auto"/>
        <w:rPr>
          <w:rStyle w:val="UtilComReferenceSourceCha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3.</w:t>
      </w:r>
    </w:p>
  </w:footnote>
  <w:footnote w:id="22">
    <w:p w14:paraId="4AF82EFD" w14:textId="77777777" w:rsidR="004E09D0" w:rsidRPr="00E513C5" w:rsidRDefault="004E09D0" w:rsidP="00DF09D6">
      <w:pPr>
        <w:pStyle w:val="FootnoteText"/>
        <w:tabs>
          <w:tab w:val="left" w:pos="284"/>
        </w:tabs>
        <w:rPr>
          <w:rStyle w:val="UtilComReferenceSourceChar"/>
          <w:lang w:val="en-AU"/>
        </w:rPr>
      </w:pPr>
      <w:r>
        <w:rPr>
          <w:rStyle w:val="FootnoteReference"/>
        </w:rPr>
        <w:footnoteRef/>
      </w:r>
      <w:r>
        <w:t xml:space="preserve"> </w:t>
      </w:r>
      <w:r>
        <w:tab/>
      </w:r>
      <w:r w:rsidRPr="007D7703">
        <w:rPr>
          <w:rStyle w:val="UtilComReferenceSourceChar"/>
        </w:rPr>
        <w:t>N</w:t>
      </w:r>
      <w:r>
        <w:rPr>
          <w:rStyle w:val="UtilComReferenceSourceChar"/>
        </w:rPr>
        <w:t>ER Chapter 10.</w:t>
      </w:r>
    </w:p>
  </w:footnote>
  <w:footnote w:id="23">
    <w:p w14:paraId="402FBBD0" w14:textId="77777777" w:rsidR="004E09D0" w:rsidRPr="00410612" w:rsidRDefault="004E09D0" w:rsidP="002A1F7B">
      <w:pPr>
        <w:pStyle w:val="FootnoteText"/>
        <w:tabs>
          <w:tab w:val="left" w:pos="284"/>
        </w:tabs>
        <w:spacing w:before="80"/>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72(3).</w:t>
      </w:r>
    </w:p>
  </w:footnote>
  <w:footnote w:id="24">
    <w:p w14:paraId="2A5784D0" w14:textId="0F802E53" w:rsidR="004E09D0" w:rsidRPr="0059679E" w:rsidRDefault="004E09D0" w:rsidP="00CB1056">
      <w:pPr>
        <w:pStyle w:val="FootnoteText"/>
        <w:tabs>
          <w:tab w:val="left" w:pos="284"/>
        </w:tabs>
        <w:spacing w:line="200" w:lineRule="exact"/>
        <w:ind w:left="284" w:hanging="284"/>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66(3).</w:t>
      </w:r>
    </w:p>
  </w:footnote>
  <w:footnote w:id="25">
    <w:p w14:paraId="5753B4FF" w14:textId="77777777" w:rsidR="004E09D0" w:rsidRPr="001F42BA"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This includes customers using between 750MWh and 2GWh per annum, for whom there is currently a Pricing Order in place that limits the rate at which PWC can increase an individual customer’s retail tariff.</w:t>
      </w:r>
    </w:p>
  </w:footnote>
  <w:footnote w:id="26">
    <w:p w14:paraId="5F9B53FF" w14:textId="4F8BECEA" w:rsidR="004E09D0" w:rsidRPr="00210C7E" w:rsidRDefault="004E09D0" w:rsidP="00BB4311">
      <w:pPr>
        <w:pStyle w:val="FootnoteText"/>
        <w:tabs>
          <w:tab w:val="left" w:pos="284"/>
        </w:tabs>
        <w:spacing w:before="80" w:line="200" w:lineRule="exact"/>
        <w:ind w:left="284" w:hanging="284"/>
        <w:rPr>
          <w:rStyle w:val="UtilComReferenceSourceChar"/>
        </w:rPr>
      </w:pPr>
      <w:r w:rsidRPr="00210C7E">
        <w:rPr>
          <w:rStyle w:val="FootnoteReference"/>
        </w:rPr>
        <w:footnoteRef/>
      </w:r>
      <w:r w:rsidRPr="00210C7E">
        <w:t xml:space="preserve"> </w:t>
      </w:r>
      <w:r w:rsidRPr="00210C7E">
        <w:tab/>
      </w:r>
      <w:r w:rsidRPr="00210C7E">
        <w:rPr>
          <w:rStyle w:val="UtilComReferenceSourceChar"/>
        </w:rPr>
        <w:t>The Framework Statement and PWC</w:t>
      </w:r>
      <w:r>
        <w:rPr>
          <w:rStyle w:val="UtilComReferenceSourceChar"/>
        </w:rPr>
        <w:t xml:space="preserve"> Networks</w:t>
      </w:r>
      <w:r w:rsidRPr="00210C7E">
        <w:rPr>
          <w:rStyle w:val="UtilComReferenceSourceChar"/>
        </w:rPr>
        <w:t xml:space="preserve">’ regulatory proposals describe cost allocation between network </w:t>
      </w:r>
      <w:r>
        <w:rPr>
          <w:rStyle w:val="UtilComReferenceSourceChar"/>
        </w:rPr>
        <w:t xml:space="preserve">access </w:t>
      </w:r>
      <w:r w:rsidRPr="00210C7E">
        <w:rPr>
          <w:rStyle w:val="UtilComReferenceSourceChar"/>
        </w:rPr>
        <w:t>services using the terminology that would be used to classify those services under the NER</w:t>
      </w:r>
      <w:r>
        <w:rPr>
          <w:rStyle w:val="UtilComReferenceSourceChar"/>
        </w:rPr>
        <w:t>.</w:t>
      </w:r>
      <w:r w:rsidRPr="00210C7E">
        <w:rPr>
          <w:rStyle w:val="UtilComReferenceSourceChar"/>
        </w:rPr>
        <w:t xml:space="preserve"> For the purposes of the 2014 Network Price Determination, the Commission has taken the view that:</w:t>
      </w:r>
    </w:p>
    <w:p w14:paraId="64F24ABB" w14:textId="77777777" w:rsidR="004E09D0" w:rsidRPr="00210C7E" w:rsidRDefault="004E09D0" w:rsidP="00BB4311">
      <w:pPr>
        <w:pStyle w:val="FootnoteText"/>
        <w:numPr>
          <w:ilvl w:val="0"/>
          <w:numId w:val="49"/>
        </w:numPr>
        <w:tabs>
          <w:tab w:val="left" w:pos="284"/>
        </w:tabs>
        <w:spacing w:before="80" w:line="200" w:lineRule="exact"/>
        <w:rPr>
          <w:rStyle w:val="UtilComReferenceSourceChar"/>
        </w:rPr>
      </w:pPr>
      <w:r w:rsidRPr="00210C7E">
        <w:rPr>
          <w:rStyle w:val="UtilComReferenceSourceChar"/>
        </w:rPr>
        <w:t>regulated network access services would be classified as 'standard control services' under the NER and should therefore be regulated in a manner which is consistent with the requirements of Chapter 6 of the NER that apply to standard control services;</w:t>
      </w:r>
    </w:p>
    <w:p w14:paraId="3E29D3C1" w14:textId="77777777" w:rsidR="004E09D0" w:rsidRPr="00210C7E" w:rsidRDefault="004E09D0" w:rsidP="00BB4311">
      <w:pPr>
        <w:pStyle w:val="FootnoteText"/>
        <w:numPr>
          <w:ilvl w:val="0"/>
          <w:numId w:val="49"/>
        </w:numPr>
        <w:tabs>
          <w:tab w:val="left" w:pos="284"/>
        </w:tabs>
        <w:spacing w:before="80" w:line="200" w:lineRule="exact"/>
        <w:rPr>
          <w:rStyle w:val="UtilComReferenceSourceChar"/>
        </w:rPr>
      </w:pPr>
      <w:r w:rsidRPr="00210C7E">
        <w:rPr>
          <w:rStyle w:val="UtilComReferenceSourceChar"/>
        </w:rPr>
        <w:t>the requirements of Chapter 6 of the NER that apply to standard control services represent generally accepted regulatory practice with respect to the economic regulation of regulated network access services at this time; and</w:t>
      </w:r>
    </w:p>
    <w:p w14:paraId="41538DF4" w14:textId="65AD7B90" w:rsidR="004E09D0" w:rsidRPr="00210C7E" w:rsidRDefault="004E09D0" w:rsidP="00BB4311">
      <w:pPr>
        <w:pStyle w:val="FootnoteText"/>
        <w:numPr>
          <w:ilvl w:val="0"/>
          <w:numId w:val="49"/>
        </w:numPr>
        <w:tabs>
          <w:tab w:val="left" w:pos="284"/>
        </w:tabs>
        <w:spacing w:before="80" w:line="200" w:lineRule="exact"/>
        <w:rPr>
          <w:rStyle w:val="UtilComReferenceSourceChar"/>
        </w:rPr>
      </w:pPr>
      <w:r w:rsidRPr="00210C7E">
        <w:rPr>
          <w:rStyle w:val="UtilComReferenceSourceChar"/>
        </w:rPr>
        <w:t xml:space="preserve">excluded network access services would not be classified as standard control services under the NER. </w:t>
      </w:r>
    </w:p>
  </w:footnote>
  <w:footnote w:id="27">
    <w:p w14:paraId="153C9692" w14:textId="77777777" w:rsidR="004E09D0" w:rsidRPr="00874358" w:rsidRDefault="004E09D0" w:rsidP="00D063B8">
      <w:pPr>
        <w:pStyle w:val="FootnoteText"/>
        <w:tabs>
          <w:tab w:val="left" w:pos="284"/>
        </w:tabs>
        <w:spacing w:before="80" w:after="0"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9" w:history="1">
        <w:r w:rsidRPr="00FF4B21">
          <w:rPr>
            <w:rStyle w:val="Hyperlink"/>
            <w:sz w:val="18"/>
            <w:szCs w:val="18"/>
          </w:rPr>
          <w:t>Northern Territory Electricity Ring-fencing Code, version 3</w:t>
        </w:r>
      </w:hyperlink>
      <w:r>
        <w:rPr>
          <w:rStyle w:val="UtilComReferenceSourceChar"/>
        </w:rPr>
        <w:t>, January 2009.</w:t>
      </w:r>
    </w:p>
  </w:footnote>
  <w:footnote w:id="28">
    <w:p w14:paraId="69B656EC" w14:textId="4D608F2E" w:rsidR="004E09D0" w:rsidRPr="000227FE" w:rsidRDefault="004E09D0" w:rsidP="00BB4311">
      <w:pPr>
        <w:pStyle w:val="FootnoteText"/>
        <w:tabs>
          <w:tab w:val="left" w:pos="284"/>
        </w:tabs>
        <w:spacing w:before="80" w:after="0" w:line="200" w:lineRule="exact"/>
        <w:ind w:left="284" w:hanging="284"/>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7(3)</w:t>
      </w:r>
    </w:p>
  </w:footnote>
  <w:footnote w:id="29">
    <w:p w14:paraId="133185C3" w14:textId="0C61A411" w:rsidR="004E09D0" w:rsidRPr="000227FE" w:rsidRDefault="004E09D0" w:rsidP="00BB4311">
      <w:pPr>
        <w:pStyle w:val="FootnoteText"/>
        <w:tabs>
          <w:tab w:val="left" w:pos="284"/>
        </w:tabs>
        <w:spacing w:before="80" w:after="0" w:line="200" w:lineRule="exact"/>
        <w:ind w:left="284" w:hanging="284"/>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 xml:space="preserve">ause 7(4)(c) </w:t>
      </w:r>
    </w:p>
  </w:footnote>
  <w:footnote w:id="30">
    <w:p w14:paraId="23FDEBE3" w14:textId="77777777" w:rsidR="004E09D0" w:rsidRPr="00461515" w:rsidRDefault="004E09D0" w:rsidP="00D063B8">
      <w:pPr>
        <w:pStyle w:val="FootnoteText"/>
        <w:spacing w:before="80" w:after="0" w:line="200" w:lineRule="exact"/>
        <w:ind w:left="284" w:hanging="284"/>
        <w:rPr>
          <w:lang w:val="en-AU"/>
        </w:rPr>
      </w:pPr>
      <w:r>
        <w:rPr>
          <w:rStyle w:val="FootnoteReference"/>
        </w:rPr>
        <w:footnoteRef/>
      </w:r>
      <w:r>
        <w:t xml:space="preserve"> </w:t>
      </w:r>
      <w:r>
        <w:tab/>
      </w:r>
      <w:r>
        <w:rPr>
          <w:rStyle w:val="UtilComReferenceSourceChar"/>
        </w:rPr>
        <w:t xml:space="preserve">Australian Energy Regulator, </w:t>
      </w:r>
      <w:hyperlink r:id="rId10" w:history="1">
        <w:r w:rsidRPr="008E76F1">
          <w:rPr>
            <w:rStyle w:val="Hyperlink"/>
            <w:sz w:val="18"/>
            <w:szCs w:val="18"/>
          </w:rPr>
          <w:t>Electricity Distribution Network Service Providers - Cost Allocation Guidelines</w:t>
        </w:r>
      </w:hyperlink>
      <w:r>
        <w:rPr>
          <w:rStyle w:val="UtilComReferenceSourceChar"/>
        </w:rPr>
        <w:t xml:space="preserve">, </w:t>
      </w:r>
      <w:r w:rsidRPr="00461515">
        <w:rPr>
          <w:rStyle w:val="UtilComReferenceSourceChar"/>
        </w:rPr>
        <w:t>June 2008</w:t>
      </w:r>
      <w:r>
        <w:rPr>
          <w:rStyle w:val="UtilComReferenceSourceChar"/>
        </w:rPr>
        <w:t>.</w:t>
      </w:r>
    </w:p>
  </w:footnote>
  <w:footnote w:id="31">
    <w:p w14:paraId="0E8DBCAE" w14:textId="72344D8B" w:rsidR="004E09D0" w:rsidRPr="00697CA4" w:rsidRDefault="004E09D0" w:rsidP="003F529D">
      <w:pPr>
        <w:pStyle w:val="FootnoteText"/>
        <w:tabs>
          <w:tab w:val="left" w:pos="284"/>
        </w:tabs>
        <w:spacing w:before="0" w:after="0" w:line="240" w:lineRule="auto"/>
        <w:ind w:left="284" w:hanging="284"/>
        <w:rPr>
          <w:rStyle w:val="UtilComReferenceSourceChar"/>
        </w:rPr>
      </w:pPr>
      <w:r>
        <w:rPr>
          <w:rStyle w:val="FootnoteReference"/>
        </w:rPr>
        <w:footnoteRef/>
      </w:r>
      <w:r>
        <w:t xml:space="preserve"> </w:t>
      </w:r>
      <w:r>
        <w:tab/>
      </w:r>
      <w:r w:rsidRPr="00697CA4">
        <w:rPr>
          <w:rStyle w:val="UtilComReferenceSourceChar"/>
        </w:rPr>
        <w:t>PWC</w:t>
      </w:r>
      <w:r>
        <w:rPr>
          <w:rStyle w:val="UtilComReferenceSourceChar"/>
        </w:rPr>
        <w:t>’s</w:t>
      </w:r>
      <w:r w:rsidRPr="00697CA4">
        <w:rPr>
          <w:rStyle w:val="UtilComReferenceSourceChar"/>
        </w:rPr>
        <w:t xml:space="preserve"> CAM uses the </w:t>
      </w:r>
      <w:r>
        <w:rPr>
          <w:rStyle w:val="UtilComReferenceSourceChar"/>
        </w:rPr>
        <w:t xml:space="preserve">service classification </w:t>
      </w:r>
      <w:r w:rsidRPr="00697CA4">
        <w:rPr>
          <w:rStyle w:val="UtilComReferenceSourceChar"/>
        </w:rPr>
        <w:t xml:space="preserve">terminology </w:t>
      </w:r>
      <w:r>
        <w:rPr>
          <w:rStyle w:val="UtilComReferenceSourceChar"/>
        </w:rPr>
        <w:t>used in</w:t>
      </w:r>
      <w:r w:rsidRPr="00697CA4">
        <w:rPr>
          <w:rStyle w:val="UtilComReferenceSourceChar"/>
        </w:rPr>
        <w:t xml:space="preserve"> the NER, </w:t>
      </w:r>
      <w:r>
        <w:rPr>
          <w:rStyle w:val="UtilComReferenceSourceChar"/>
        </w:rPr>
        <w:t>consistent with the approach taken in the Framework Statement.</w:t>
      </w:r>
    </w:p>
  </w:footnote>
  <w:footnote w:id="32">
    <w:p w14:paraId="6E8C0B57" w14:textId="654542AB" w:rsidR="004E09D0" w:rsidRPr="00EB7AF3" w:rsidRDefault="004E09D0" w:rsidP="00EB7AF3">
      <w:pPr>
        <w:pStyle w:val="FootnoteText"/>
        <w:tabs>
          <w:tab w:val="left" w:pos="284"/>
        </w:tabs>
        <w:spacing w:line="200" w:lineRule="exact"/>
        <w:ind w:left="284" w:hanging="284"/>
        <w:rPr>
          <w:lang w:val="en-AU"/>
        </w:rPr>
      </w:pPr>
      <w:r>
        <w:rPr>
          <w:rStyle w:val="FootnoteReference"/>
        </w:rPr>
        <w:footnoteRef/>
      </w:r>
      <w:r>
        <w:t xml:space="preserve"> </w:t>
      </w:r>
      <w:r>
        <w:tab/>
      </w:r>
      <w:r w:rsidRPr="00EB7AF3">
        <w:rPr>
          <w:rStyle w:val="UtilComReferenceSourceChar"/>
        </w:rPr>
        <w:t>PWC Networks does not provide any services that would be classified as services under the NER.</w:t>
      </w:r>
    </w:p>
  </w:footnote>
  <w:footnote w:id="33">
    <w:p w14:paraId="0D9C0849" w14:textId="77777777" w:rsidR="004E09D0" w:rsidRPr="007F7275" w:rsidRDefault="004E09D0" w:rsidP="00BB4311">
      <w:pPr>
        <w:pStyle w:val="FootnoteText"/>
        <w:tabs>
          <w:tab w:val="left" w:pos="284"/>
        </w:tabs>
        <w:spacing w:before="80" w:line="200" w:lineRule="exact"/>
        <w:rPr>
          <w:rStyle w:val="UtilComReferenceSourceChar"/>
          <w:lang w:val="en-AU"/>
        </w:rPr>
      </w:pPr>
      <w:r>
        <w:rPr>
          <w:rStyle w:val="FootnoteReference"/>
        </w:rPr>
        <w:footnoteRef/>
      </w:r>
      <w:r w:rsidRPr="007F7275">
        <w:rPr>
          <w:rStyle w:val="UtilComReferenceSourceChar"/>
        </w:rPr>
        <w:t xml:space="preserve"> </w:t>
      </w:r>
      <w:r>
        <w:rPr>
          <w:rStyle w:val="UtilComReferenceSourceChar"/>
        </w:rPr>
        <w:tab/>
      </w:r>
      <w:r w:rsidRPr="007F7275">
        <w:rPr>
          <w:rStyle w:val="UtilComReferenceSourceChar"/>
        </w:rPr>
        <w:t xml:space="preserve">AER, </w:t>
      </w:r>
      <w:hyperlink r:id="rId11" w:history="1">
        <w:r w:rsidRPr="009B3ACB">
          <w:rPr>
            <w:rStyle w:val="Hyperlink"/>
            <w:sz w:val="18"/>
            <w:szCs w:val="18"/>
          </w:rPr>
          <w:t>Final decision, Electricity distribution network service providers, Roll forward model</w:t>
        </w:r>
      </w:hyperlink>
      <w:r w:rsidRPr="007F7275">
        <w:rPr>
          <w:rStyle w:val="UtilComReferenceSourceChar"/>
        </w:rPr>
        <w:t>, June 2008.</w:t>
      </w:r>
    </w:p>
  </w:footnote>
  <w:footnote w:id="34">
    <w:p w14:paraId="35F69FC7" w14:textId="77777777" w:rsidR="004E09D0" w:rsidRPr="004D42B4"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Utilities Commission</w:t>
      </w:r>
      <w:r w:rsidRPr="007F7275">
        <w:rPr>
          <w:rStyle w:val="UtilComReferenceSourceChar"/>
        </w:rPr>
        <w:t xml:space="preserve">, </w:t>
      </w:r>
      <w:hyperlink r:id="rId12" w:history="1">
        <w:r w:rsidRPr="009B3ACB">
          <w:rPr>
            <w:rStyle w:val="Hyperlink"/>
            <w:sz w:val="18"/>
            <w:szCs w:val="18"/>
          </w:rPr>
          <w:t>Networks Pricing: Asset Valuation Off-Ramp Final Decision Statement Of Reasons</w:t>
        </w:r>
      </w:hyperlink>
      <w:r w:rsidRPr="007F7275">
        <w:rPr>
          <w:rStyle w:val="UtilComReferenceSourceChar"/>
        </w:rPr>
        <w:t xml:space="preserve">, </w:t>
      </w:r>
      <w:r>
        <w:rPr>
          <w:rStyle w:val="UtilComReferenceSourceChar"/>
        </w:rPr>
        <w:t>April</w:t>
      </w:r>
      <w:r w:rsidRPr="007F7275">
        <w:rPr>
          <w:rStyle w:val="UtilComReferenceSourceChar"/>
        </w:rPr>
        <w:t xml:space="preserve"> 200</w:t>
      </w:r>
      <w:r>
        <w:rPr>
          <w:rStyle w:val="UtilComReferenceSourceChar"/>
        </w:rPr>
        <w:t>5</w:t>
      </w:r>
      <w:r w:rsidRPr="007F7275">
        <w:rPr>
          <w:rStyle w:val="UtilComReferenceSourceChar"/>
        </w:rPr>
        <w:t>.</w:t>
      </w:r>
    </w:p>
  </w:footnote>
  <w:footnote w:id="35">
    <w:p w14:paraId="515C652A" w14:textId="77777777" w:rsidR="004E09D0" w:rsidRPr="00F3229E" w:rsidRDefault="004E09D0" w:rsidP="00BB4311">
      <w:pPr>
        <w:pStyle w:val="FootnoteText"/>
        <w:tabs>
          <w:tab w:val="left" w:pos="284"/>
        </w:tabs>
        <w:spacing w:before="80" w:line="200" w:lineRule="exact"/>
        <w:ind w:left="284" w:hanging="284"/>
        <w:rPr>
          <w:rStyle w:val="UtilComReferenceSourceChar"/>
          <w:lang w:val="en-AU"/>
        </w:rPr>
      </w:pPr>
      <w:r>
        <w:rPr>
          <w:rStyle w:val="FootnoteReference"/>
        </w:rPr>
        <w:footnoteRef/>
      </w:r>
      <w:r>
        <w:t xml:space="preserve"> </w:t>
      </w:r>
      <w:r>
        <w:tab/>
      </w:r>
      <w:r w:rsidRPr="00F3229E">
        <w:rPr>
          <w:rStyle w:val="UtilComReferenceSourceChar"/>
        </w:rPr>
        <w:t xml:space="preserve">In its </w:t>
      </w:r>
      <w:r>
        <w:rPr>
          <w:rStyle w:val="UtilComReferenceSourceChar"/>
        </w:rPr>
        <w:t>regulatory proposal, PWC Networks has termed this ODRC. The two acronyms, DORC and ODRC, have the same meaning.</w:t>
      </w:r>
    </w:p>
  </w:footnote>
  <w:footnote w:id="36">
    <w:p w14:paraId="60A1EE39" w14:textId="51DBBA39" w:rsidR="004E09D0" w:rsidRPr="00F36873" w:rsidRDefault="004E09D0" w:rsidP="00BB4311">
      <w:pPr>
        <w:pStyle w:val="FootnoteText"/>
        <w:tabs>
          <w:tab w:val="left" w:pos="284"/>
        </w:tabs>
        <w:spacing w:before="80" w:after="0" w:line="200" w:lineRule="exact"/>
        <w:ind w:left="284" w:hanging="284"/>
        <w:rPr>
          <w:rStyle w:val="UtilComReferenceSourceChar"/>
          <w:lang w:val="en-AU"/>
        </w:rPr>
      </w:pPr>
      <w:r>
        <w:rPr>
          <w:rStyle w:val="FootnoteReference"/>
        </w:rPr>
        <w:footnoteRef/>
      </w:r>
      <w:r>
        <w:t xml:space="preserve"> </w:t>
      </w:r>
      <w:r>
        <w:tab/>
      </w:r>
      <w:r w:rsidRPr="00F36873">
        <w:rPr>
          <w:rStyle w:val="UtilComReferenceSourceChar"/>
        </w:rPr>
        <w:t xml:space="preserve">For pricing approvals in the </w:t>
      </w:r>
      <w:r>
        <w:rPr>
          <w:rStyle w:val="UtilComReferenceSourceChar"/>
        </w:rPr>
        <w:t>2009-14</w:t>
      </w:r>
      <w:r w:rsidRPr="00F36873">
        <w:rPr>
          <w:rStyle w:val="UtilComReferenceSourceChar"/>
        </w:rPr>
        <w:t xml:space="preserve"> regulatory control period</w:t>
      </w:r>
      <w:r>
        <w:rPr>
          <w:rStyle w:val="UtilComReferenceSourceChar"/>
        </w:rPr>
        <w:t>, the Commission used the year on year four quarter Mar-Dec average of CPI (to remove any quarter on quarter volatility), rather than the quarter to quarter CPI used by the AER. For the 2014-19 regulatory control period, the Commission</w:t>
      </w:r>
      <w:r w:rsidRPr="00F36873">
        <w:rPr>
          <w:rStyle w:val="UtilComReferenceSourceChar"/>
        </w:rPr>
        <w:t xml:space="preserve"> </w:t>
      </w:r>
      <w:r>
        <w:rPr>
          <w:rStyle w:val="UtilComReferenceSourceChar"/>
        </w:rPr>
        <w:t>would change its</w:t>
      </w:r>
      <w:r w:rsidRPr="00F36873">
        <w:rPr>
          <w:rStyle w:val="UtilComReferenceSourceChar"/>
        </w:rPr>
        <w:t xml:space="preserve"> approach to the CPI adjustment </w:t>
      </w:r>
      <w:r>
        <w:rPr>
          <w:rStyle w:val="UtilComReferenceSourceChar"/>
        </w:rPr>
        <w:t>to bring</w:t>
      </w:r>
      <w:r w:rsidRPr="00F36873">
        <w:rPr>
          <w:rStyle w:val="UtilComReferenceSourceChar"/>
        </w:rPr>
        <w:t xml:space="preserve"> the Territory in to line with the approach commonly used by the AER</w:t>
      </w:r>
      <w:r>
        <w:rPr>
          <w:rStyle w:val="UtilComReferenceSourceChar"/>
        </w:rPr>
        <w:t>. This</w:t>
      </w:r>
      <w:r w:rsidRPr="00F36873">
        <w:rPr>
          <w:rStyle w:val="UtilComReferenceSourceChar"/>
        </w:rPr>
        <w:t xml:space="preserve"> should provide more certainty and consistency for future determinations.</w:t>
      </w:r>
    </w:p>
  </w:footnote>
  <w:footnote w:id="37">
    <w:p w14:paraId="3F3CE51C" w14:textId="251FD562" w:rsidR="004E09D0" w:rsidRPr="009F7C93" w:rsidRDefault="004E09D0">
      <w:pPr>
        <w:pStyle w:val="FootnoteText"/>
        <w:tabs>
          <w:tab w:val="left" w:pos="284"/>
        </w:tabs>
        <w:spacing w:before="0" w:after="0" w:line="240" w:lineRule="auto"/>
        <w:rPr>
          <w:lang w:val="en-AU"/>
        </w:rPr>
      </w:pPr>
      <w:r>
        <w:rPr>
          <w:rStyle w:val="FootnoteReference"/>
        </w:rPr>
        <w:footnoteRef/>
      </w:r>
      <w:r>
        <w:t xml:space="preserve"> </w:t>
      </w:r>
      <w:r>
        <w:tab/>
      </w:r>
      <w:r>
        <w:rPr>
          <w:sz w:val="16"/>
          <w:szCs w:val="16"/>
          <w:lang w:val="en-AU"/>
        </w:rPr>
        <w:t>Network Access Code</w:t>
      </w:r>
      <w:r w:rsidRPr="009F7C93">
        <w:rPr>
          <w:sz w:val="16"/>
          <w:szCs w:val="16"/>
          <w:lang w:val="en-AU"/>
        </w:rPr>
        <w:t xml:space="preserve"> </w:t>
      </w:r>
      <w:r>
        <w:rPr>
          <w:sz w:val="16"/>
          <w:szCs w:val="16"/>
          <w:lang w:val="en-AU"/>
        </w:rPr>
        <w:t xml:space="preserve">clause </w:t>
      </w:r>
      <w:r w:rsidRPr="009F7C93">
        <w:rPr>
          <w:sz w:val="16"/>
          <w:szCs w:val="16"/>
          <w:lang w:val="en-AU"/>
        </w:rPr>
        <w:t>78 (1)</w:t>
      </w:r>
      <w:r>
        <w:rPr>
          <w:sz w:val="16"/>
          <w:szCs w:val="16"/>
          <w:lang w:val="en-AU"/>
        </w:rPr>
        <w:t>.</w:t>
      </w:r>
    </w:p>
  </w:footnote>
  <w:footnote w:id="38">
    <w:p w14:paraId="1E2E4C4C" w14:textId="18D8B23F" w:rsidR="004E09D0" w:rsidRPr="00B01C99" w:rsidRDefault="004E09D0" w:rsidP="00BB4311">
      <w:pPr>
        <w:pStyle w:val="FootnoteText"/>
        <w:tabs>
          <w:tab w:val="left" w:pos="284"/>
        </w:tabs>
        <w:spacing w:before="80" w:after="0" w:line="200" w:lineRule="exact"/>
        <w:ind w:left="284" w:hanging="284"/>
        <w:rPr>
          <w:sz w:val="16"/>
          <w:szCs w:val="16"/>
          <w:lang w:val="en-AU"/>
        </w:rPr>
      </w:pPr>
      <w:r>
        <w:rPr>
          <w:rStyle w:val="FootnoteReference"/>
        </w:rPr>
        <w:footnoteRef/>
      </w:r>
      <w:r>
        <w:t xml:space="preserve"> </w:t>
      </w:r>
      <w:r>
        <w:tab/>
      </w:r>
      <w:r w:rsidRPr="00B01C99">
        <w:rPr>
          <w:sz w:val="16"/>
          <w:szCs w:val="16"/>
          <w:lang w:val="en-AU"/>
        </w:rPr>
        <w:t>PWC</w:t>
      </w:r>
      <w:r>
        <w:rPr>
          <w:sz w:val="16"/>
          <w:szCs w:val="16"/>
          <w:lang w:val="en-AU"/>
        </w:rPr>
        <w:t xml:space="preserve"> Networks’</w:t>
      </w:r>
      <w:r w:rsidRPr="00B01C99">
        <w:rPr>
          <w:sz w:val="16"/>
          <w:szCs w:val="16"/>
          <w:lang w:val="en-AU"/>
        </w:rPr>
        <w:t xml:space="preserve"> </w:t>
      </w:r>
      <w:r>
        <w:rPr>
          <w:sz w:val="16"/>
          <w:szCs w:val="16"/>
          <w:lang w:val="en-AU"/>
        </w:rPr>
        <w:t>regulatory proposal page 47</w:t>
      </w:r>
      <w:r w:rsidRPr="00B01C99">
        <w:rPr>
          <w:sz w:val="16"/>
          <w:szCs w:val="16"/>
          <w:lang w:val="en-AU"/>
        </w:rPr>
        <w:t>cited Deloitte Access Economics, Territory Economic Review, July 2013, page.</w:t>
      </w:r>
      <w:r>
        <w:rPr>
          <w:sz w:val="16"/>
          <w:szCs w:val="16"/>
          <w:lang w:val="en-AU"/>
        </w:rPr>
        <w:t> </w:t>
      </w:r>
      <w:r w:rsidRPr="00B01C99">
        <w:rPr>
          <w:sz w:val="16"/>
          <w:szCs w:val="16"/>
          <w:lang w:val="en-AU"/>
        </w:rPr>
        <w:t>11.</w:t>
      </w:r>
    </w:p>
  </w:footnote>
  <w:footnote w:id="39">
    <w:p w14:paraId="7131D360" w14:textId="77777777" w:rsidR="004E09D0" w:rsidRPr="00FF6270" w:rsidRDefault="004E09D0" w:rsidP="00BB4311">
      <w:pPr>
        <w:pStyle w:val="FootnoteText"/>
        <w:tabs>
          <w:tab w:val="left" w:pos="284"/>
        </w:tabs>
        <w:spacing w:before="80" w:after="0" w:line="200" w:lineRule="exact"/>
        <w:ind w:left="284" w:hanging="284"/>
        <w:rPr>
          <w:lang w:val="en-AU"/>
        </w:rPr>
      </w:pPr>
      <w:r>
        <w:rPr>
          <w:rStyle w:val="FootnoteReference"/>
        </w:rPr>
        <w:footnoteRef/>
      </w:r>
      <w:r>
        <w:t xml:space="preserve"> </w:t>
      </w:r>
      <w:r>
        <w:tab/>
      </w:r>
      <w:r w:rsidRPr="00B01C99">
        <w:rPr>
          <w:sz w:val="16"/>
          <w:szCs w:val="16"/>
          <w:lang w:val="en-AU"/>
        </w:rPr>
        <w:t>Ibid, p</w:t>
      </w:r>
      <w:r>
        <w:rPr>
          <w:sz w:val="16"/>
          <w:szCs w:val="16"/>
          <w:lang w:val="en-AU"/>
        </w:rPr>
        <w:t>age</w:t>
      </w:r>
      <w:r w:rsidRPr="00B01C99">
        <w:rPr>
          <w:sz w:val="16"/>
          <w:szCs w:val="16"/>
          <w:lang w:val="en-AU"/>
        </w:rPr>
        <w:t>. 47.</w:t>
      </w:r>
    </w:p>
  </w:footnote>
  <w:footnote w:id="40">
    <w:p w14:paraId="1F870CED" w14:textId="77777777" w:rsidR="004E09D0" w:rsidRPr="00F77716" w:rsidRDefault="004E09D0" w:rsidP="00BB4311">
      <w:pPr>
        <w:pStyle w:val="FootnoteText"/>
        <w:tabs>
          <w:tab w:val="left" w:pos="284"/>
        </w:tabs>
        <w:spacing w:before="80" w:after="0" w:line="200" w:lineRule="exact"/>
        <w:ind w:left="284" w:hanging="284"/>
        <w:rPr>
          <w:lang w:val="en-AU"/>
        </w:rPr>
      </w:pPr>
      <w:r>
        <w:rPr>
          <w:rStyle w:val="FootnoteReference"/>
        </w:rPr>
        <w:footnoteRef/>
      </w:r>
      <w:r>
        <w:t xml:space="preserve"> </w:t>
      </w:r>
      <w:r>
        <w:tab/>
      </w:r>
      <w:r w:rsidRPr="00B01C99">
        <w:rPr>
          <w:sz w:val="16"/>
          <w:szCs w:val="16"/>
          <w:lang w:val="en-AU"/>
        </w:rPr>
        <w:t>NTMEU, Submission to the Utilities Commission on Power and Water Corporations Network Pricing proposal: 2014 Regulatory Reset, p</w:t>
      </w:r>
      <w:r>
        <w:rPr>
          <w:sz w:val="16"/>
          <w:szCs w:val="16"/>
          <w:lang w:val="en-AU"/>
        </w:rPr>
        <w:t>age</w:t>
      </w:r>
      <w:r w:rsidRPr="00B01C99">
        <w:rPr>
          <w:sz w:val="16"/>
          <w:szCs w:val="16"/>
          <w:lang w:val="en-AU"/>
        </w:rPr>
        <w:t>.20.</w:t>
      </w:r>
    </w:p>
  </w:footnote>
  <w:footnote w:id="41">
    <w:p w14:paraId="1B07AE1A" w14:textId="0ECCFBAC" w:rsidR="004E09D0" w:rsidRPr="00AB3B72" w:rsidRDefault="004E09D0" w:rsidP="00E5415A">
      <w:pPr>
        <w:pStyle w:val="FootnoteText"/>
        <w:tabs>
          <w:tab w:val="left" w:pos="284"/>
        </w:tabs>
        <w:spacing w:before="0" w:after="0" w:line="200" w:lineRule="exact"/>
        <w:ind w:left="284" w:hanging="284"/>
        <w:rPr>
          <w:lang w:val="en-AU"/>
        </w:rPr>
      </w:pPr>
      <w:r>
        <w:rPr>
          <w:rStyle w:val="FootnoteReference"/>
        </w:rPr>
        <w:footnoteRef/>
      </w:r>
      <w:r>
        <w:t xml:space="preserve"> </w:t>
      </w:r>
      <w:r>
        <w:tab/>
      </w:r>
      <w:r w:rsidRPr="00B01C99">
        <w:rPr>
          <w:sz w:val="16"/>
          <w:szCs w:val="16"/>
          <w:lang w:val="en-AU"/>
        </w:rPr>
        <w:t xml:space="preserve">PWC </w:t>
      </w:r>
      <w:r>
        <w:rPr>
          <w:sz w:val="16"/>
          <w:szCs w:val="16"/>
          <w:lang w:val="en-AU"/>
        </w:rPr>
        <w:t>Networks’ regulatory proposal page 47</w:t>
      </w:r>
      <w:r w:rsidRPr="00B01C99">
        <w:rPr>
          <w:sz w:val="16"/>
          <w:szCs w:val="16"/>
          <w:lang w:val="en-AU"/>
        </w:rPr>
        <w:t>cited Deloitte Access Economics, Territory Economic Review, July 2013, page</w:t>
      </w:r>
      <w:r>
        <w:rPr>
          <w:sz w:val="16"/>
          <w:szCs w:val="16"/>
          <w:lang w:val="en-AU"/>
        </w:rPr>
        <w:t>. </w:t>
      </w:r>
      <w:r w:rsidRPr="00B01C99">
        <w:rPr>
          <w:sz w:val="16"/>
          <w:szCs w:val="16"/>
          <w:lang w:val="en-AU"/>
        </w:rPr>
        <w:t>11</w:t>
      </w:r>
    </w:p>
  </w:footnote>
  <w:footnote w:id="42">
    <w:p w14:paraId="10AED24C" w14:textId="68DFA270" w:rsidR="004E09D0" w:rsidRPr="00CF1B89" w:rsidRDefault="004E09D0" w:rsidP="00E5415A">
      <w:pPr>
        <w:pStyle w:val="FootnoteText"/>
        <w:tabs>
          <w:tab w:val="left" w:pos="284"/>
        </w:tabs>
        <w:spacing w:before="0" w:after="0" w:line="200" w:lineRule="exact"/>
        <w:ind w:left="284" w:hanging="284"/>
        <w:rPr>
          <w:sz w:val="16"/>
          <w:szCs w:val="16"/>
          <w:lang w:val="en-AU"/>
        </w:rPr>
      </w:pPr>
      <w:r>
        <w:rPr>
          <w:rStyle w:val="FootnoteReference"/>
        </w:rPr>
        <w:footnoteRef/>
      </w:r>
      <w:r>
        <w:t xml:space="preserve"> </w:t>
      </w:r>
      <w:r>
        <w:tab/>
      </w:r>
      <w:r w:rsidRPr="00CF1B89">
        <w:rPr>
          <w:sz w:val="16"/>
          <w:szCs w:val="16"/>
          <w:lang w:val="en-AU"/>
        </w:rPr>
        <w:t>Ibid, p</w:t>
      </w:r>
      <w:r>
        <w:rPr>
          <w:sz w:val="16"/>
          <w:szCs w:val="16"/>
          <w:lang w:val="en-AU"/>
        </w:rPr>
        <w:t xml:space="preserve">age. </w:t>
      </w:r>
      <w:r w:rsidRPr="00CF1B89">
        <w:rPr>
          <w:sz w:val="16"/>
          <w:szCs w:val="16"/>
          <w:lang w:val="en-AU"/>
        </w:rPr>
        <w:t>48</w:t>
      </w:r>
    </w:p>
  </w:footnote>
  <w:footnote w:id="43">
    <w:p w14:paraId="1DC65F97" w14:textId="77777777" w:rsidR="004E09D0" w:rsidRPr="00E73C4F" w:rsidRDefault="004E09D0" w:rsidP="00E5415A">
      <w:pPr>
        <w:pStyle w:val="FootnoteText"/>
        <w:tabs>
          <w:tab w:val="left" w:pos="284"/>
        </w:tabs>
        <w:spacing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13" w:history="1">
        <w:r w:rsidRPr="00E73C4F">
          <w:rPr>
            <w:rStyle w:val="Hyperlink"/>
            <w:sz w:val="18"/>
            <w:szCs w:val="18"/>
          </w:rPr>
          <w:t>Northern Territory Electricity Standards of Service Code</w:t>
        </w:r>
      </w:hyperlink>
      <w:r w:rsidRPr="00E73C4F">
        <w:rPr>
          <w:sz w:val="18"/>
          <w:szCs w:val="18"/>
        </w:rPr>
        <w:t xml:space="preserve">, </w:t>
      </w:r>
      <w:r>
        <w:rPr>
          <w:rStyle w:val="UtilComReferenceSourceChar"/>
        </w:rPr>
        <w:t>December 2012.</w:t>
      </w:r>
    </w:p>
  </w:footnote>
  <w:footnote w:id="44">
    <w:p w14:paraId="5E4DDD40" w14:textId="77777777" w:rsidR="004E09D0" w:rsidRPr="00E73C4F" w:rsidRDefault="004E09D0" w:rsidP="00E5415A">
      <w:pPr>
        <w:pStyle w:val="FootnoteText"/>
        <w:tabs>
          <w:tab w:val="left" w:pos="284"/>
        </w:tabs>
        <w:spacing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14" w:history="1">
        <w:r w:rsidRPr="00E73C4F">
          <w:rPr>
            <w:rStyle w:val="Hyperlink"/>
            <w:sz w:val="18"/>
            <w:szCs w:val="18"/>
          </w:rPr>
          <w:t>Northern Territory Guaranteed Service Level Code</w:t>
        </w:r>
      </w:hyperlink>
      <w:r w:rsidRPr="00E73C4F">
        <w:rPr>
          <w:sz w:val="18"/>
          <w:szCs w:val="18"/>
        </w:rPr>
        <w:t xml:space="preserve">, </w:t>
      </w:r>
      <w:r>
        <w:rPr>
          <w:rStyle w:val="UtilComReferenceSourceChar"/>
        </w:rPr>
        <w:t>January 2012.</w:t>
      </w:r>
    </w:p>
  </w:footnote>
  <w:footnote w:id="45">
    <w:p w14:paraId="6C2DBF55" w14:textId="419F620D" w:rsidR="004E09D0" w:rsidRPr="00893266" w:rsidRDefault="004E09D0" w:rsidP="00BB4311">
      <w:pPr>
        <w:pStyle w:val="FootnoteText"/>
        <w:tabs>
          <w:tab w:val="left" w:pos="284"/>
        </w:tabs>
        <w:spacing w:before="80" w:line="200" w:lineRule="exact"/>
        <w:rPr>
          <w:rStyle w:val="UtilComReferenceSourceChar"/>
          <w:lang w:val="en-AU"/>
        </w:rPr>
      </w:pPr>
      <w:r>
        <w:rPr>
          <w:rStyle w:val="FootnoteReference"/>
        </w:rPr>
        <w:footnoteRef/>
      </w:r>
      <w:r>
        <w:t xml:space="preserve"> </w:t>
      </w:r>
      <w:r>
        <w:tab/>
      </w:r>
      <w:r>
        <w:rPr>
          <w:rStyle w:val="UtilComReferenceSourceChar"/>
        </w:rPr>
        <w:t>ESS Code c</w:t>
      </w:r>
      <w:r w:rsidRPr="00893266">
        <w:rPr>
          <w:rStyle w:val="UtilComReferenceSourceChar"/>
        </w:rPr>
        <w:t>lause 3.1.2(a) and Schedule 2</w:t>
      </w:r>
      <w:r>
        <w:rPr>
          <w:rStyle w:val="UtilComReferenceSourceChar"/>
        </w:rPr>
        <w:t>.</w:t>
      </w:r>
    </w:p>
  </w:footnote>
  <w:footnote w:id="46">
    <w:p w14:paraId="41E8683C" w14:textId="77777777" w:rsidR="004E09D0" w:rsidRPr="00F47336" w:rsidRDefault="004E09D0" w:rsidP="006B6ED7">
      <w:pPr>
        <w:pStyle w:val="FootnoteText"/>
        <w:tabs>
          <w:tab w:val="left" w:pos="284"/>
        </w:tabs>
        <w:spacing w:before="80" w:line="200" w:lineRule="exact"/>
        <w:ind w:left="284" w:hanging="284"/>
        <w:rPr>
          <w:rStyle w:val="UtilComReferenceSourceChar"/>
          <w:lang w:val="en-AU"/>
        </w:rPr>
      </w:pPr>
      <w:r>
        <w:rPr>
          <w:rStyle w:val="FootnoteReference"/>
        </w:rPr>
        <w:footnoteRef/>
      </w:r>
      <w:r>
        <w:t xml:space="preserve"> </w:t>
      </w:r>
      <w:r>
        <w:tab/>
      </w:r>
      <w:r w:rsidRPr="00A43F6D">
        <w:rPr>
          <w:rStyle w:val="UtilComReferenceSourceChar"/>
        </w:rPr>
        <w:t xml:space="preserve">The </w:t>
      </w:r>
      <w:r w:rsidRPr="00F47336">
        <w:rPr>
          <w:rStyle w:val="UtilComReferenceSourceChar"/>
        </w:rPr>
        <w:t>Feeder Category Guidelines</w:t>
      </w:r>
      <w:r>
        <w:rPr>
          <w:rStyle w:val="UtilComReferenceSourceChar"/>
        </w:rPr>
        <w:t xml:space="preserve"> were</w:t>
      </w:r>
      <w:r w:rsidRPr="00F47336">
        <w:rPr>
          <w:rStyle w:val="UtilComReferenceSourceChar"/>
        </w:rPr>
        <w:t xml:space="preserve"> developed in accordance with the </w:t>
      </w:r>
      <w:r>
        <w:rPr>
          <w:rStyle w:val="UtilComReferenceSourceChar"/>
        </w:rPr>
        <w:t>ESS</w:t>
      </w:r>
      <w:r w:rsidRPr="00F47336">
        <w:rPr>
          <w:rStyle w:val="UtilComReferenceSourceChar"/>
        </w:rPr>
        <w:t xml:space="preserve"> Code on 1 December 2012</w:t>
      </w:r>
      <w:r>
        <w:rPr>
          <w:rStyle w:val="UtilComReferenceSourceChar"/>
        </w:rPr>
        <w:t>.</w:t>
      </w:r>
    </w:p>
  </w:footnote>
  <w:footnote w:id="47">
    <w:p w14:paraId="79889847" w14:textId="6DE03434" w:rsidR="004E09D0" w:rsidRPr="00F47336" w:rsidRDefault="004E09D0" w:rsidP="00BB4311">
      <w:pPr>
        <w:pStyle w:val="FootnoteText"/>
        <w:tabs>
          <w:tab w:val="left" w:pos="284"/>
        </w:tabs>
        <w:spacing w:before="80" w:line="200" w:lineRule="exact"/>
        <w:rPr>
          <w:rStyle w:val="UtilComReferenceSourceChar"/>
          <w:lang w:val="en-AU"/>
        </w:rPr>
      </w:pPr>
      <w:r>
        <w:rPr>
          <w:rStyle w:val="FootnoteReference"/>
        </w:rPr>
        <w:footnoteRef/>
      </w:r>
      <w:r>
        <w:t xml:space="preserve"> </w:t>
      </w:r>
      <w:r>
        <w:tab/>
      </w:r>
      <w:r w:rsidRPr="00F47336">
        <w:rPr>
          <w:rStyle w:val="UtilComReferenceSourceChar"/>
        </w:rPr>
        <w:t>A</w:t>
      </w:r>
      <w:r>
        <w:rPr>
          <w:rStyle w:val="UtilComReferenceSourceChar"/>
        </w:rPr>
        <w:t>ll</w:t>
      </w:r>
      <w:r w:rsidRPr="00F47336">
        <w:rPr>
          <w:rStyle w:val="UtilComReferenceSourceChar"/>
        </w:rPr>
        <w:t xml:space="preserve"> network interruption</w:t>
      </w:r>
      <w:r>
        <w:rPr>
          <w:rStyle w:val="UtilComReferenceSourceChar"/>
        </w:rPr>
        <w:t>s</w:t>
      </w:r>
      <w:r w:rsidRPr="00F47336">
        <w:rPr>
          <w:rStyle w:val="UtilComReferenceSourceChar"/>
        </w:rPr>
        <w:t xml:space="preserve"> excluding those</w:t>
      </w:r>
      <w:r>
        <w:rPr>
          <w:rStyle w:val="UtilComReferenceSourceChar"/>
        </w:rPr>
        <w:t xml:space="preserve"> of</w:t>
      </w:r>
      <w:r w:rsidRPr="00F47336">
        <w:rPr>
          <w:rStyle w:val="UtilComReferenceSourceChar"/>
        </w:rPr>
        <w:t xml:space="preserve"> less than one minute in duration.</w:t>
      </w:r>
    </w:p>
  </w:footnote>
  <w:footnote w:id="48">
    <w:p w14:paraId="0846C43F" w14:textId="77777777" w:rsidR="004E09D0" w:rsidRPr="002E5C3F"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15" w:history="1">
        <w:r w:rsidRPr="002E5C3F">
          <w:rPr>
            <w:rStyle w:val="Hyperlink"/>
            <w:sz w:val="18"/>
            <w:szCs w:val="18"/>
          </w:rPr>
          <w:t>Customer Service Incentive Scheme for Northern Territory Electricity Customers Final Report</w:t>
        </w:r>
      </w:hyperlink>
      <w:r>
        <w:rPr>
          <w:rStyle w:val="UtilComReferenceSourceChar"/>
        </w:rPr>
        <w:t>, July 2010.</w:t>
      </w:r>
    </w:p>
  </w:footnote>
  <w:footnote w:id="49">
    <w:p w14:paraId="1DE3604F" w14:textId="593460A1" w:rsidR="004E09D0" w:rsidRPr="001D1227"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16" w:history="1">
        <w:r w:rsidRPr="00BC5AD6">
          <w:rPr>
            <w:rStyle w:val="Hyperlink"/>
            <w:sz w:val="18"/>
            <w:szCs w:val="18"/>
          </w:rPr>
          <w:t>2014 Network Price Determination: Framework and Approach Decision Paper</w:t>
        </w:r>
      </w:hyperlink>
      <w:r w:rsidRPr="00BC5AD6">
        <w:rPr>
          <w:rStyle w:val="UtilComReferenceSourceChar"/>
        </w:rPr>
        <w:t>,</w:t>
      </w:r>
      <w:r>
        <w:rPr>
          <w:rStyle w:val="UtilComReferenceSourceChar"/>
        </w:rPr>
        <w:t xml:space="preserve"> November 2012, page 77.</w:t>
      </w:r>
    </w:p>
  </w:footnote>
  <w:footnote w:id="50">
    <w:p w14:paraId="36F26BC0" w14:textId="77777777" w:rsidR="004E09D0" w:rsidRPr="008E79F5" w:rsidRDefault="004E09D0" w:rsidP="00BB4311">
      <w:pPr>
        <w:pStyle w:val="FootnoteText"/>
        <w:tabs>
          <w:tab w:val="left" w:pos="284"/>
        </w:tabs>
        <w:spacing w:before="80"/>
        <w:rPr>
          <w:lang w:val="en-AU"/>
        </w:rPr>
      </w:pPr>
      <w:r>
        <w:rPr>
          <w:rStyle w:val="FootnoteReference"/>
        </w:rPr>
        <w:footnoteRef/>
      </w:r>
      <w:r>
        <w:t xml:space="preserve"> </w:t>
      </w:r>
      <w:r>
        <w:tab/>
      </w:r>
      <w:r>
        <w:rPr>
          <w:rStyle w:val="UtilComReferenceSourceChar"/>
        </w:rPr>
        <w:t xml:space="preserve">Utilities Commission, </w:t>
      </w:r>
      <w:hyperlink r:id="rId17" w:history="1">
        <w:r w:rsidRPr="00B754A6">
          <w:rPr>
            <w:rStyle w:val="Hyperlink"/>
            <w:sz w:val="18"/>
            <w:szCs w:val="18"/>
          </w:rPr>
          <w:t>Cost Pass Through Application Final Determination</w:t>
        </w:r>
      </w:hyperlink>
      <w:r>
        <w:rPr>
          <w:rStyle w:val="UtilComReferenceSourceChar"/>
        </w:rPr>
        <w:t>, May 2013.</w:t>
      </w:r>
    </w:p>
  </w:footnote>
  <w:footnote w:id="51">
    <w:p w14:paraId="0D1C6F4F" w14:textId="78E30161" w:rsidR="004E09D0" w:rsidRPr="00BB4963" w:rsidRDefault="004E09D0" w:rsidP="00BB4311">
      <w:pPr>
        <w:pStyle w:val="FootnoteText"/>
        <w:tabs>
          <w:tab w:val="left" w:pos="284"/>
        </w:tabs>
        <w:spacing w:before="80"/>
        <w:rPr>
          <w:lang w:val="en-AU"/>
        </w:rPr>
      </w:pPr>
      <w:r>
        <w:rPr>
          <w:rStyle w:val="FootnoteReference"/>
        </w:rPr>
        <w:footnoteRef/>
      </w:r>
      <w:r>
        <w:t xml:space="preserve"> </w:t>
      </w:r>
      <w:r>
        <w:tab/>
      </w:r>
      <w:r w:rsidRPr="00BB4963">
        <w:rPr>
          <w:rStyle w:val="UtilComReferenceSourceChar"/>
        </w:rPr>
        <w:t>The NCCP is discussed in Chapter 16</w:t>
      </w:r>
      <w:r>
        <w:rPr>
          <w:rStyle w:val="UtilComReferenceSourceChar"/>
        </w:rPr>
        <w:t xml:space="preserve"> in the Statement of Reasons</w:t>
      </w:r>
      <w:r w:rsidRPr="00BB4963">
        <w:rPr>
          <w:rStyle w:val="UtilComReferenceSourceChar"/>
        </w:rPr>
        <w:t>.</w:t>
      </w:r>
    </w:p>
  </w:footnote>
  <w:footnote w:id="52">
    <w:p w14:paraId="16E6D2EA" w14:textId="577D4939" w:rsidR="004E09D0" w:rsidRPr="0059348B" w:rsidRDefault="004E09D0" w:rsidP="00BB4311">
      <w:pPr>
        <w:pStyle w:val="FootnoteText"/>
        <w:tabs>
          <w:tab w:val="left" w:pos="284"/>
        </w:tabs>
        <w:spacing w:before="80" w:line="200" w:lineRule="exact"/>
        <w:ind w:left="284" w:hanging="284"/>
        <w:rPr>
          <w:rStyle w:val="UtilComReferenceSourceChar"/>
        </w:rPr>
      </w:pPr>
      <w:r>
        <w:rPr>
          <w:rStyle w:val="FootnoteReference"/>
        </w:rPr>
        <w:footnoteRef/>
      </w:r>
      <w:r>
        <w:t xml:space="preserve"> </w:t>
      </w:r>
      <w:r>
        <w:tab/>
      </w:r>
      <w:r w:rsidRPr="0059348B">
        <w:rPr>
          <w:rStyle w:val="UtilComReferenceSourceChar"/>
        </w:rPr>
        <w:t xml:space="preserve">For example, </w:t>
      </w:r>
      <w:r>
        <w:rPr>
          <w:rStyle w:val="UtilComReferenceSourceChar"/>
        </w:rPr>
        <w:t>in</w:t>
      </w:r>
      <w:r w:rsidRPr="0059348B">
        <w:rPr>
          <w:rStyle w:val="UtilComReferenceSourceChar"/>
        </w:rPr>
        <w:t xml:space="preserve"> the 2010-15 </w:t>
      </w:r>
      <w:r>
        <w:rPr>
          <w:rStyle w:val="UtilComReferenceSourceChar"/>
        </w:rPr>
        <w:t xml:space="preserve">distribution </w:t>
      </w:r>
      <w:r w:rsidRPr="0059348B">
        <w:rPr>
          <w:rStyle w:val="UtilComReferenceSourceChar"/>
        </w:rPr>
        <w:t>determination for Ergon</w:t>
      </w:r>
      <w:r>
        <w:rPr>
          <w:rStyle w:val="UtilComReferenceSourceChar"/>
        </w:rPr>
        <w:t xml:space="preserve"> Energy</w:t>
      </w:r>
      <w:r w:rsidRPr="0059348B">
        <w:rPr>
          <w:rStyle w:val="UtilComReferenceSourceChar"/>
        </w:rPr>
        <w:t xml:space="preserve">, replacement capex was </w:t>
      </w:r>
      <w:r>
        <w:rPr>
          <w:rStyle w:val="UtilComReferenceSourceChar"/>
        </w:rPr>
        <w:t>16 per cent</w:t>
      </w:r>
      <w:r w:rsidRPr="0059348B">
        <w:rPr>
          <w:rStyle w:val="UtilComReferenceSourceChar"/>
        </w:rPr>
        <w:t xml:space="preserve"> of the opening RAB (which had 64</w:t>
      </w:r>
      <w:r>
        <w:rPr>
          <w:rStyle w:val="UtilComReferenceSourceChar"/>
        </w:rPr>
        <w:t xml:space="preserve"> per cent</w:t>
      </w:r>
      <w:r w:rsidRPr="0059348B">
        <w:rPr>
          <w:rStyle w:val="UtilComReferenceSourceChar"/>
        </w:rPr>
        <w:t xml:space="preserve"> of its life remaining on a weighted average basis) and </w:t>
      </w:r>
      <w:r>
        <w:rPr>
          <w:rStyle w:val="UtilComReferenceSourceChar"/>
        </w:rPr>
        <w:t>in</w:t>
      </w:r>
      <w:r w:rsidRPr="0059348B">
        <w:rPr>
          <w:rStyle w:val="UtilComReferenceSourceChar"/>
        </w:rPr>
        <w:t xml:space="preserve"> the </w:t>
      </w:r>
      <w:r>
        <w:rPr>
          <w:rStyle w:val="UtilComReferenceSourceChar"/>
        </w:rPr>
        <w:br/>
      </w:r>
      <w:r w:rsidRPr="0059348B">
        <w:rPr>
          <w:rStyle w:val="UtilComReferenceSourceChar"/>
        </w:rPr>
        <w:t>2010-15</w:t>
      </w:r>
      <w:r>
        <w:rPr>
          <w:rStyle w:val="UtilComReferenceSourceChar"/>
        </w:rPr>
        <w:t xml:space="preserve"> distribution</w:t>
      </w:r>
      <w:r w:rsidRPr="0059348B">
        <w:rPr>
          <w:rStyle w:val="UtilComReferenceSourceChar"/>
        </w:rPr>
        <w:t xml:space="preserve"> determination for ETSA Utilities, replacement capex was </w:t>
      </w:r>
      <w:r>
        <w:rPr>
          <w:rStyle w:val="UtilComReferenceSourceChar"/>
        </w:rPr>
        <w:t>12 per cent</w:t>
      </w:r>
      <w:r w:rsidRPr="0059348B">
        <w:rPr>
          <w:rStyle w:val="UtilComReferenceSourceChar"/>
        </w:rPr>
        <w:t xml:space="preserve"> of the opening RAB (which had 38</w:t>
      </w:r>
      <w:r>
        <w:rPr>
          <w:rStyle w:val="UtilComReferenceSourceChar"/>
        </w:rPr>
        <w:t xml:space="preserve"> per cent</w:t>
      </w:r>
      <w:r w:rsidRPr="0059348B">
        <w:rPr>
          <w:rStyle w:val="UtilComReferenceSourceChar"/>
        </w:rPr>
        <w:t xml:space="preserve"> of its life remaining on a weighted average basis)</w:t>
      </w:r>
      <w:r>
        <w:rPr>
          <w:rStyle w:val="UtilComReferenceSourceChar"/>
        </w:rPr>
        <w:t>.</w:t>
      </w:r>
    </w:p>
  </w:footnote>
  <w:footnote w:id="53">
    <w:p w14:paraId="30360ABD" w14:textId="77777777" w:rsidR="004E09D0" w:rsidRPr="00E72BA8"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sidRPr="00E72BA8">
        <w:rPr>
          <w:rStyle w:val="UtilComReferenceSourceChar"/>
        </w:rPr>
        <w:t xml:space="preserve">Real cost escalation applied to PB recommendations by </w:t>
      </w:r>
      <w:r>
        <w:rPr>
          <w:rStyle w:val="UtilComReferenceSourceChar"/>
        </w:rPr>
        <w:t xml:space="preserve">the </w:t>
      </w:r>
      <w:r w:rsidRPr="00E72BA8">
        <w:rPr>
          <w:rStyle w:val="UtilComReferenceSourceChar"/>
        </w:rPr>
        <w:t>Commission</w:t>
      </w:r>
      <w:r>
        <w:rPr>
          <w:rStyle w:val="UtilComReferenceSourceChar"/>
        </w:rPr>
        <w:t>.</w:t>
      </w:r>
    </w:p>
  </w:footnote>
  <w:footnote w:id="54">
    <w:p w14:paraId="2446C330" w14:textId="09DCDB11" w:rsidR="004E09D0" w:rsidRPr="00FF1B48" w:rsidRDefault="004E09D0" w:rsidP="00BB4311">
      <w:pPr>
        <w:pStyle w:val="FootnoteText"/>
        <w:tabs>
          <w:tab w:val="left" w:pos="284"/>
        </w:tabs>
        <w:spacing w:before="80" w:line="200" w:lineRule="exact"/>
        <w:rPr>
          <w:rStyle w:val="UtilComReferenceSourceChar"/>
        </w:rPr>
      </w:pPr>
      <w:r>
        <w:rPr>
          <w:rStyle w:val="FootnoteReference"/>
        </w:rPr>
        <w:footnoteRef/>
      </w:r>
      <w:r>
        <w:t xml:space="preserve"> </w:t>
      </w:r>
      <w:r>
        <w:tab/>
      </w:r>
      <w:r w:rsidRPr="00FF1B48">
        <w:rPr>
          <w:rStyle w:val="UtilComReferenceSourceChar"/>
        </w:rPr>
        <w:t>The treatment of contingent projects is discussed in Chapter 14</w:t>
      </w:r>
      <w:r>
        <w:rPr>
          <w:rStyle w:val="UtilComReferenceSourceChar"/>
        </w:rPr>
        <w:t xml:space="preserve"> in this Statement of Reasons.</w:t>
      </w:r>
    </w:p>
  </w:footnote>
  <w:footnote w:id="55">
    <w:p w14:paraId="49BAC9B3" w14:textId="77777777" w:rsidR="004E09D0" w:rsidRPr="00E72BA8" w:rsidRDefault="004E09D0" w:rsidP="00BB4311">
      <w:pPr>
        <w:pStyle w:val="FootnoteText"/>
        <w:tabs>
          <w:tab w:val="left" w:pos="284"/>
        </w:tabs>
        <w:spacing w:before="80" w:line="200" w:lineRule="exact"/>
        <w:rPr>
          <w:lang w:val="en-AU"/>
        </w:rPr>
      </w:pPr>
      <w:r>
        <w:rPr>
          <w:rStyle w:val="FootnoteReference"/>
        </w:rPr>
        <w:footnoteRef/>
      </w:r>
      <w:r>
        <w:t xml:space="preserve"> </w:t>
      </w:r>
      <w:r>
        <w:tab/>
      </w:r>
      <w:r w:rsidRPr="00E72BA8">
        <w:rPr>
          <w:rStyle w:val="UtilComReferenceSourceChar"/>
        </w:rPr>
        <w:t xml:space="preserve">Real cost escalation applied to PB recommendations by </w:t>
      </w:r>
      <w:r>
        <w:rPr>
          <w:rStyle w:val="UtilComReferenceSourceChar"/>
        </w:rPr>
        <w:t xml:space="preserve">the </w:t>
      </w:r>
      <w:r w:rsidRPr="00E72BA8">
        <w:rPr>
          <w:rStyle w:val="UtilComReferenceSourceChar"/>
        </w:rPr>
        <w:t>Commission</w:t>
      </w:r>
      <w:r>
        <w:rPr>
          <w:rStyle w:val="UtilComReferenceSourceChar"/>
        </w:rPr>
        <w:t>.</w:t>
      </w:r>
    </w:p>
  </w:footnote>
  <w:footnote w:id="56">
    <w:p w14:paraId="1DD8B9E3" w14:textId="77777777" w:rsidR="004E09D0" w:rsidRPr="008E79F5" w:rsidRDefault="004E09D0" w:rsidP="008E79F5">
      <w:pPr>
        <w:pStyle w:val="FootnoteText"/>
        <w:rPr>
          <w:lang w:val="en-AU"/>
        </w:rPr>
      </w:pPr>
      <w:r>
        <w:rPr>
          <w:rStyle w:val="FootnoteReference"/>
        </w:rPr>
        <w:footnoteRef/>
      </w:r>
      <w:r>
        <w:t xml:space="preserve"> </w:t>
      </w:r>
      <w:r>
        <w:rPr>
          <w:rStyle w:val="UtilComReferenceSourceChar"/>
        </w:rPr>
        <w:t xml:space="preserve">Utilities Commission, </w:t>
      </w:r>
      <w:hyperlink r:id="rId18" w:history="1">
        <w:r w:rsidRPr="00FA3CF1">
          <w:rPr>
            <w:rStyle w:val="Hyperlink"/>
            <w:sz w:val="18"/>
            <w:szCs w:val="18"/>
          </w:rPr>
          <w:t>Cost Pass Through Application Final Determination</w:t>
        </w:r>
      </w:hyperlink>
      <w:r w:rsidRPr="00FA3CF1">
        <w:rPr>
          <w:rStyle w:val="UtilComReferenceSourceChar"/>
        </w:rPr>
        <w:t>,</w:t>
      </w:r>
      <w:r>
        <w:rPr>
          <w:rStyle w:val="UtilComReferenceSourceChar"/>
        </w:rPr>
        <w:t xml:space="preserve"> May 2013.</w:t>
      </w:r>
    </w:p>
  </w:footnote>
  <w:footnote w:id="57">
    <w:p w14:paraId="1E5FF57C" w14:textId="77777777" w:rsidR="004E09D0" w:rsidRPr="00E77315" w:rsidRDefault="004E09D0" w:rsidP="00BB4311">
      <w:pPr>
        <w:pStyle w:val="FootnoteText"/>
        <w:tabs>
          <w:tab w:val="left" w:pos="284"/>
        </w:tabs>
        <w:spacing w:before="80" w:line="200" w:lineRule="exact"/>
        <w:ind w:left="284" w:hanging="284"/>
        <w:rPr>
          <w:lang w:val="en-AU"/>
        </w:rPr>
      </w:pPr>
      <w:r>
        <w:rPr>
          <w:rStyle w:val="FootnoteReference"/>
        </w:rPr>
        <w:footnoteRef/>
      </w:r>
      <w:r>
        <w:t xml:space="preserve"> </w:t>
      </w:r>
      <w:r>
        <w:tab/>
      </w:r>
      <w:r>
        <w:rPr>
          <w:rStyle w:val="UtilComReferenceSourceChar"/>
        </w:rPr>
        <w:t xml:space="preserve">Utilities Commission, </w:t>
      </w:r>
      <w:hyperlink r:id="rId19" w:history="1">
        <w:r w:rsidRPr="00A15280">
          <w:rPr>
            <w:rStyle w:val="Hyperlink"/>
            <w:sz w:val="18"/>
            <w:szCs w:val="18"/>
          </w:rPr>
          <w:t>Review of Options for Implementation of a Customer Service Incentive Scheme For Electricity Customers</w:t>
        </w:r>
      </w:hyperlink>
      <w:r>
        <w:rPr>
          <w:rStyle w:val="UtilComReferenceSourceChar"/>
        </w:rPr>
        <w:t>, July 2010, page.27.</w:t>
      </w:r>
    </w:p>
  </w:footnote>
  <w:footnote w:id="58">
    <w:p w14:paraId="62595C7A" w14:textId="78DB119D" w:rsidR="004E09D0" w:rsidRPr="00E72BA8" w:rsidRDefault="004E09D0" w:rsidP="00980011">
      <w:pPr>
        <w:pStyle w:val="FootnoteText"/>
        <w:tabs>
          <w:tab w:val="left" w:pos="284"/>
        </w:tabs>
        <w:rPr>
          <w:lang w:val="en-AU"/>
        </w:rPr>
      </w:pPr>
      <w:r>
        <w:rPr>
          <w:rStyle w:val="FootnoteReference"/>
        </w:rPr>
        <w:footnoteRef/>
      </w:r>
      <w:r>
        <w:t xml:space="preserve"> </w:t>
      </w:r>
      <w:r>
        <w:tab/>
      </w:r>
      <w:r w:rsidRPr="00E72BA8">
        <w:rPr>
          <w:rStyle w:val="UtilComReferenceSourceChar"/>
        </w:rPr>
        <w:t xml:space="preserve">Real cost escalation applied to PB recommendations by </w:t>
      </w:r>
      <w:r>
        <w:rPr>
          <w:rStyle w:val="UtilComReferenceSourceChar"/>
        </w:rPr>
        <w:t xml:space="preserve">the </w:t>
      </w:r>
      <w:r w:rsidRPr="00E72BA8">
        <w:rPr>
          <w:rStyle w:val="UtilComReferenceSourceChar"/>
        </w:rPr>
        <w:t>Commission</w:t>
      </w:r>
      <w:r>
        <w:rPr>
          <w:rStyle w:val="UtilComReferenceSourceChar"/>
        </w:rPr>
        <w:t>.</w:t>
      </w:r>
    </w:p>
  </w:footnote>
  <w:footnote w:id="59">
    <w:p w14:paraId="193DAAA3" w14:textId="77777777" w:rsidR="004E09D0" w:rsidRPr="00E72BA8" w:rsidRDefault="004E09D0" w:rsidP="00FD675B">
      <w:pPr>
        <w:pStyle w:val="FootnoteText"/>
        <w:tabs>
          <w:tab w:val="left" w:pos="284"/>
        </w:tabs>
        <w:rPr>
          <w:lang w:val="en-AU"/>
        </w:rPr>
      </w:pPr>
      <w:r>
        <w:rPr>
          <w:rStyle w:val="FootnoteReference"/>
        </w:rPr>
        <w:footnoteRef/>
      </w:r>
      <w:r>
        <w:t xml:space="preserve"> </w:t>
      </w:r>
      <w:r>
        <w:tab/>
      </w:r>
      <w:r w:rsidRPr="00E72BA8">
        <w:rPr>
          <w:rStyle w:val="UtilComReferenceSourceChar"/>
        </w:rPr>
        <w:t xml:space="preserve">Real cost escalation applied to PB recommendations by </w:t>
      </w:r>
      <w:r>
        <w:rPr>
          <w:rStyle w:val="UtilComReferenceSourceChar"/>
        </w:rPr>
        <w:t xml:space="preserve">the </w:t>
      </w:r>
      <w:r w:rsidRPr="00E72BA8">
        <w:rPr>
          <w:rStyle w:val="UtilComReferenceSourceChar"/>
        </w:rPr>
        <w:t>Commission</w:t>
      </w:r>
    </w:p>
  </w:footnote>
  <w:footnote w:id="60">
    <w:p w14:paraId="68831786" w14:textId="77777777" w:rsidR="004E09D0" w:rsidRPr="001968CE" w:rsidRDefault="004E09D0" w:rsidP="00BB4311">
      <w:pPr>
        <w:pStyle w:val="FootnoteText"/>
        <w:tabs>
          <w:tab w:val="left" w:pos="284"/>
        </w:tabs>
        <w:spacing w:before="80" w:line="200" w:lineRule="exact"/>
        <w:rPr>
          <w:rStyle w:val="UtilComReferenceSourceChar"/>
          <w:lang w:val="en-AU"/>
        </w:rPr>
      </w:pPr>
      <w:r>
        <w:rPr>
          <w:rStyle w:val="FootnoteReference"/>
        </w:rPr>
        <w:footnoteRef/>
      </w:r>
      <w:r>
        <w:t xml:space="preserve"> </w:t>
      </w:r>
      <w:r>
        <w:tab/>
      </w:r>
      <w:r w:rsidRPr="001968CE">
        <w:rPr>
          <w:rStyle w:val="UtilComReferenceSourceChar"/>
        </w:rPr>
        <w:t xml:space="preserve">AER, </w:t>
      </w:r>
      <w:hyperlink r:id="rId20" w:history="1">
        <w:r w:rsidRPr="00570B8D">
          <w:rPr>
            <w:rStyle w:val="Hyperlink"/>
            <w:i/>
            <w:sz w:val="18"/>
            <w:szCs w:val="18"/>
          </w:rPr>
          <w:t xml:space="preserve">Better Regulation: </w:t>
        </w:r>
        <w:r>
          <w:rPr>
            <w:rStyle w:val="Hyperlink"/>
            <w:i/>
            <w:sz w:val="18"/>
            <w:szCs w:val="18"/>
          </w:rPr>
          <w:t>R</w:t>
        </w:r>
        <w:r w:rsidRPr="00570B8D">
          <w:rPr>
            <w:rStyle w:val="Hyperlink"/>
            <w:i/>
            <w:sz w:val="18"/>
            <w:szCs w:val="18"/>
          </w:rPr>
          <w:t>ate of return guideline</w:t>
        </w:r>
      </w:hyperlink>
      <w:r w:rsidRPr="001968CE">
        <w:rPr>
          <w:rStyle w:val="UtilComReferenceSourceChar"/>
        </w:rPr>
        <w:t xml:space="preserve">, </w:t>
      </w:r>
      <w:r>
        <w:rPr>
          <w:rStyle w:val="UtilComReferenceSourceChar"/>
        </w:rPr>
        <w:t>December</w:t>
      </w:r>
      <w:r w:rsidRPr="001968CE">
        <w:rPr>
          <w:rStyle w:val="UtilComReferenceSourceChar"/>
        </w:rPr>
        <w:t xml:space="preserve"> 2013</w:t>
      </w:r>
      <w:r>
        <w:rPr>
          <w:rStyle w:val="UtilComReferenceSourceChar"/>
        </w:rPr>
        <w:t>.</w:t>
      </w:r>
    </w:p>
  </w:footnote>
  <w:footnote w:id="61">
    <w:p w14:paraId="082A6D43" w14:textId="77777777" w:rsidR="004E09D0" w:rsidRPr="003A7F92" w:rsidRDefault="004E09D0" w:rsidP="00BB4311">
      <w:pPr>
        <w:pStyle w:val="FootnoteText"/>
        <w:tabs>
          <w:tab w:val="left" w:pos="284"/>
        </w:tabs>
        <w:spacing w:before="80" w:line="200" w:lineRule="exact"/>
        <w:ind w:left="284" w:hanging="284"/>
        <w:rPr>
          <w:rStyle w:val="UtilComReferenceSourceChar"/>
        </w:rPr>
      </w:pPr>
      <w:r>
        <w:rPr>
          <w:rStyle w:val="FootnoteReference"/>
        </w:rPr>
        <w:footnoteRef/>
      </w:r>
      <w:r>
        <w:t xml:space="preserve"> </w:t>
      </w:r>
      <w:r>
        <w:tab/>
      </w:r>
      <w:r>
        <w:rPr>
          <w:rStyle w:val="UtilComReferenceSourceChar"/>
        </w:rPr>
        <w:t xml:space="preserve">A proprietary </w:t>
      </w:r>
      <w:r w:rsidRPr="00982F12">
        <w:rPr>
          <w:rStyle w:val="UtilComReferenceSourceChar"/>
        </w:rPr>
        <w:t xml:space="preserve">fair </w:t>
      </w:r>
      <w:r>
        <w:rPr>
          <w:rStyle w:val="UtilComReferenceSourceChar"/>
        </w:rPr>
        <w:t>value</w:t>
      </w:r>
      <w:r w:rsidRPr="00982F12">
        <w:rPr>
          <w:rStyle w:val="UtilComReferenceSourceChar"/>
        </w:rPr>
        <w:t>, or best fit</w:t>
      </w:r>
      <w:r>
        <w:rPr>
          <w:rStyle w:val="UtilComReferenceSourceChar"/>
        </w:rPr>
        <w:t>,</w:t>
      </w:r>
      <w:r w:rsidRPr="00982F12">
        <w:rPr>
          <w:rStyle w:val="UtilComReferenceSourceChar"/>
        </w:rPr>
        <w:t xml:space="preserve"> curve,</w:t>
      </w:r>
      <w:r>
        <w:rPr>
          <w:rStyle w:val="UtilComReferenceSourceChar"/>
        </w:rPr>
        <w:t xml:space="preserve"> for BBB rated corporate bonds developed by Bloomberg and used by subscribers to determine a theoretical value for where a selected bond should trade compared to similar bonds.</w:t>
      </w:r>
    </w:p>
  </w:footnote>
  <w:footnote w:id="62">
    <w:p w14:paraId="266FF80D" w14:textId="0E0DE748" w:rsidR="004E09D0" w:rsidRPr="003B4F98" w:rsidRDefault="004E09D0" w:rsidP="00064016">
      <w:pPr>
        <w:pStyle w:val="FootnoteText"/>
        <w:spacing w:before="80" w:after="0" w:line="200" w:lineRule="exact"/>
        <w:ind w:left="284" w:hanging="284"/>
        <w:rPr>
          <w:lang w:val="en-AU"/>
        </w:rPr>
      </w:pPr>
      <w:r>
        <w:rPr>
          <w:rStyle w:val="FootnoteReference"/>
        </w:rPr>
        <w:footnoteRef/>
      </w:r>
      <w:r>
        <w:t xml:space="preserve"> </w:t>
      </w:r>
      <w:r>
        <w:tab/>
      </w:r>
      <w:r w:rsidRPr="003B4F98">
        <w:rPr>
          <w:rStyle w:val="UtilComReferenceSourceChar"/>
        </w:rPr>
        <w:t>Clause 6.6.1 of the NER was amended by the National Electricity Amendment (Cost pass through arrangements for Network Service Providers) Rule 2012 No. 4 made by the Australian Energy Market Commission on 2 August 2012.</w:t>
      </w:r>
    </w:p>
  </w:footnote>
  <w:footnote w:id="63">
    <w:p w14:paraId="2EF05A1A" w14:textId="466E7CCA" w:rsidR="004E09D0" w:rsidRPr="003B4F98" w:rsidRDefault="004E09D0" w:rsidP="00064016">
      <w:pPr>
        <w:pStyle w:val="FootnoteText"/>
        <w:spacing w:before="80" w:after="0" w:line="200" w:lineRule="exact"/>
        <w:ind w:left="284" w:hanging="284"/>
        <w:rPr>
          <w:lang w:val="en-AU"/>
        </w:rPr>
      </w:pPr>
      <w:r>
        <w:rPr>
          <w:rStyle w:val="FootnoteReference"/>
        </w:rPr>
        <w:footnoteRef/>
      </w:r>
      <w:r>
        <w:t xml:space="preserve"> </w:t>
      </w:r>
      <w:r>
        <w:tab/>
      </w:r>
      <w:r w:rsidRPr="003B4F98">
        <w:rPr>
          <w:rStyle w:val="UtilComReferenceSourceChar"/>
        </w:rPr>
        <w:t>A retailer insolvency event was not a prescribed pass through event under clause 6.6.1 of the NER at the time that the Framework Statement was published by the Commission.</w:t>
      </w:r>
    </w:p>
  </w:footnote>
  <w:footnote w:id="64">
    <w:p w14:paraId="473CAC2F" w14:textId="17B61DBD" w:rsidR="004E09D0" w:rsidRPr="003B4F98" w:rsidRDefault="004E09D0" w:rsidP="00064016">
      <w:pPr>
        <w:pStyle w:val="FootnoteText"/>
        <w:spacing w:before="80" w:after="0" w:line="200" w:lineRule="exact"/>
        <w:ind w:left="284" w:hanging="284"/>
        <w:rPr>
          <w:lang w:val="en-AU"/>
        </w:rPr>
      </w:pPr>
      <w:r>
        <w:rPr>
          <w:rStyle w:val="FootnoteReference"/>
        </w:rPr>
        <w:footnoteRef/>
      </w:r>
      <w:r>
        <w:t xml:space="preserve"> </w:t>
      </w:r>
      <w:r>
        <w:tab/>
      </w:r>
      <w:r w:rsidRPr="003B4F98">
        <w:rPr>
          <w:rStyle w:val="UtilComReferenceSourceChar"/>
        </w:rPr>
        <w:t>Clause 6.6.1 of the NER was amended by the National Electricity Amendment (Cost pass through arrangements for Network Service Providers) Rule 2012 No. 4 made by the Australian Energy Market Commission on 2 August 2012.</w:t>
      </w:r>
    </w:p>
  </w:footnote>
  <w:footnote w:id="65">
    <w:p w14:paraId="4D7D171E" w14:textId="1FD66F7A" w:rsidR="004E09D0" w:rsidRPr="000022D0" w:rsidRDefault="004E09D0" w:rsidP="00AF25B5">
      <w:pPr>
        <w:pStyle w:val="FootnoteText"/>
        <w:spacing w:before="80" w:after="0" w:line="200" w:lineRule="exact"/>
        <w:ind w:left="284" w:hanging="284"/>
        <w:rPr>
          <w:lang w:val="en-AU"/>
        </w:rPr>
      </w:pPr>
      <w:r>
        <w:rPr>
          <w:rStyle w:val="FootnoteReference"/>
        </w:rPr>
        <w:footnoteRef/>
      </w:r>
      <w:r>
        <w:t xml:space="preserve"> </w:t>
      </w:r>
      <w:r>
        <w:tab/>
      </w:r>
      <w:r w:rsidRPr="000022D0">
        <w:rPr>
          <w:rStyle w:val="UtilComReferenceSourceChar"/>
        </w:rPr>
        <w:t>PWC</w:t>
      </w:r>
      <w:r w:rsidR="00064016">
        <w:rPr>
          <w:rStyle w:val="UtilComReferenceSourceChar"/>
        </w:rPr>
        <w:t xml:space="preserve">, </w:t>
      </w:r>
      <w:r w:rsidR="00064016" w:rsidRPr="00064016">
        <w:rPr>
          <w:rStyle w:val="UtilComReferenceSourceChar"/>
        </w:rPr>
        <w:t>August 2013, ‘Business Needs Identification PRD30309 – Darwin East Arm Zone Substation’, Appendix</w:t>
      </w:r>
      <w:r w:rsidR="00064016">
        <w:rPr>
          <w:rStyle w:val="UtilComReferenceSourceChar"/>
        </w:rPr>
        <w:t> </w:t>
      </w:r>
      <w:r w:rsidR="00064016" w:rsidRPr="00064016">
        <w:rPr>
          <w:rStyle w:val="UtilComReferenceSourceChar"/>
        </w:rPr>
        <w:t>B Network Planning Report East Arm Zone Substation (ref D2012/636415), Section 4.1, p</w:t>
      </w:r>
      <w:r w:rsidR="00D65997">
        <w:rPr>
          <w:rStyle w:val="UtilComReferenceSourceChar"/>
        </w:rPr>
        <w:t xml:space="preserve">age </w:t>
      </w:r>
      <w:r w:rsidR="00064016" w:rsidRPr="00064016">
        <w:rPr>
          <w:rStyle w:val="UtilComReferenceSourceChar"/>
        </w:rPr>
        <w:t>13</w:t>
      </w:r>
      <w:r w:rsidR="00D65997">
        <w:rPr>
          <w:rStyle w:val="UtilComReferenceSourceChar"/>
        </w:rPr>
        <w:t>.</w:t>
      </w:r>
    </w:p>
  </w:footnote>
  <w:footnote w:id="66">
    <w:p w14:paraId="72A82FF7" w14:textId="2094DBA1" w:rsidR="004E09D0" w:rsidRPr="000022D0" w:rsidRDefault="004E09D0" w:rsidP="00AF25B5">
      <w:pPr>
        <w:pStyle w:val="FootnoteText"/>
        <w:spacing w:before="80" w:after="0" w:line="200" w:lineRule="exact"/>
        <w:ind w:left="284" w:hanging="284"/>
        <w:rPr>
          <w:lang w:val="en-AU"/>
        </w:rPr>
      </w:pPr>
      <w:r>
        <w:rPr>
          <w:rStyle w:val="FootnoteReference"/>
        </w:rPr>
        <w:footnoteRef/>
      </w:r>
      <w:r>
        <w:t xml:space="preserve"> </w:t>
      </w:r>
      <w:r>
        <w:tab/>
      </w:r>
      <w:r w:rsidR="00064016">
        <w:rPr>
          <w:rStyle w:val="UtilComReferenceSourceChar"/>
        </w:rPr>
        <w:t>ibid</w:t>
      </w:r>
      <w:r w:rsidRPr="000022D0">
        <w:rPr>
          <w:rStyle w:val="UtilComReferenceSourceChar"/>
        </w:rPr>
        <w:t>, p</w:t>
      </w:r>
      <w:r w:rsidR="00064016">
        <w:rPr>
          <w:rStyle w:val="UtilComReferenceSourceChar"/>
        </w:rPr>
        <w:t xml:space="preserve">age </w:t>
      </w:r>
      <w:r w:rsidRPr="000022D0">
        <w:rPr>
          <w:rStyle w:val="UtilComReferenceSourceChar"/>
        </w:rPr>
        <w:t>1</w:t>
      </w:r>
      <w:r>
        <w:rPr>
          <w:rStyle w:val="UtilComReferenceSourceChar"/>
        </w:rPr>
        <w:t>4</w:t>
      </w:r>
      <w:r w:rsidR="00064016">
        <w:rPr>
          <w:rStyle w:val="UtilComReferenceSourceChar"/>
        </w:rPr>
        <w:t>.</w:t>
      </w:r>
    </w:p>
  </w:footnote>
  <w:footnote w:id="67">
    <w:p w14:paraId="024103EC" w14:textId="77777777" w:rsidR="004E09D0" w:rsidRPr="00AB1661" w:rsidRDefault="004E09D0" w:rsidP="002A24BC">
      <w:pPr>
        <w:pStyle w:val="FootnoteText"/>
        <w:tabs>
          <w:tab w:val="left" w:pos="284"/>
        </w:tabs>
        <w:rPr>
          <w:lang w:val="en-AU"/>
        </w:rPr>
      </w:pPr>
      <w:r>
        <w:rPr>
          <w:rStyle w:val="FootnoteReference"/>
        </w:rPr>
        <w:footnoteRef/>
      </w:r>
      <w:r>
        <w:t xml:space="preserve"> </w:t>
      </w:r>
      <w:r>
        <w:tab/>
      </w:r>
      <w:r>
        <w:rPr>
          <w:rStyle w:val="UtilComReferenceSourceChar"/>
        </w:rPr>
        <w:t xml:space="preserve">Utilities Commission, </w:t>
      </w:r>
      <w:hyperlink r:id="rId21" w:history="1">
        <w:r w:rsidRPr="00485AF0">
          <w:rPr>
            <w:rStyle w:val="Hyperlink"/>
            <w:sz w:val="18"/>
            <w:szCs w:val="18"/>
          </w:rPr>
          <w:t>Cost Pass Through Application: Final Determination</w:t>
        </w:r>
      </w:hyperlink>
      <w:r>
        <w:rPr>
          <w:rStyle w:val="UtilComReferenceSourceChar"/>
        </w:rPr>
        <w:t>, May 2013.</w:t>
      </w:r>
    </w:p>
  </w:footnote>
  <w:footnote w:id="68">
    <w:p w14:paraId="1E705B83" w14:textId="5149D336" w:rsidR="004E09D0" w:rsidRPr="001F6D9C" w:rsidRDefault="004E09D0" w:rsidP="00564B3F">
      <w:pPr>
        <w:pStyle w:val="FootnoteText"/>
        <w:tabs>
          <w:tab w:val="left" w:pos="284"/>
        </w:tabs>
        <w:spacing w:before="80" w:after="0" w:line="240" w:lineRule="auto"/>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62</w:t>
      </w:r>
      <w:r w:rsidRPr="007D7703">
        <w:rPr>
          <w:rStyle w:val="UtilComReferenceSourceChar"/>
        </w:rPr>
        <w:t>(</w:t>
      </w:r>
      <w:r>
        <w:rPr>
          <w:rStyle w:val="UtilComReferenceSourceChar"/>
        </w:rPr>
        <w:t>1</w:t>
      </w:r>
      <w:r w:rsidRPr="007D7703">
        <w:rPr>
          <w:rStyle w:val="UtilComReferenceSourceChar"/>
        </w:rPr>
        <w:t>)</w:t>
      </w:r>
      <w:r>
        <w:rPr>
          <w:rStyle w:val="UtilComReferenceSourceChar"/>
        </w:rPr>
        <w:t>(c).</w:t>
      </w:r>
    </w:p>
  </w:footnote>
  <w:footnote w:id="69">
    <w:p w14:paraId="577366E9" w14:textId="50FDD27D" w:rsidR="004E09D0" w:rsidRPr="00564B3F" w:rsidRDefault="004E09D0" w:rsidP="00564B3F">
      <w:pPr>
        <w:pStyle w:val="FootnoteText"/>
        <w:tabs>
          <w:tab w:val="left" w:pos="284"/>
        </w:tabs>
        <w:spacing w:before="0" w:after="0" w:line="240" w:lineRule="auto"/>
        <w:rPr>
          <w:rStyle w:val="UtilComReferenceSourceChar"/>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81</w:t>
      </w:r>
      <w:r w:rsidRPr="007D7703">
        <w:rPr>
          <w:rStyle w:val="UtilComReferenceSourceChar"/>
        </w:rPr>
        <w:t>(</w:t>
      </w:r>
      <w:r>
        <w:rPr>
          <w:rStyle w:val="UtilComReferenceSourceChar"/>
        </w:rPr>
        <w:t>2</w:t>
      </w:r>
      <w:r w:rsidRPr="007D7703">
        <w:rPr>
          <w:rStyle w:val="UtilComReferenceSourceChar"/>
        </w:rPr>
        <w:t>)</w:t>
      </w:r>
      <w:r>
        <w:rPr>
          <w:rStyle w:val="UtilComReferenceSourceChar"/>
        </w:rPr>
        <w:t>.</w:t>
      </w:r>
    </w:p>
  </w:footnote>
  <w:footnote w:id="70">
    <w:p w14:paraId="013FECF0" w14:textId="3117CF43" w:rsidR="004E09D0" w:rsidRPr="00564B3F" w:rsidRDefault="004E09D0" w:rsidP="00564B3F">
      <w:pPr>
        <w:pStyle w:val="FootnoteText"/>
        <w:tabs>
          <w:tab w:val="left" w:pos="284"/>
        </w:tabs>
        <w:spacing w:before="0" w:after="0" w:line="240" w:lineRule="auto"/>
        <w:rPr>
          <w:rStyle w:val="UtilComReferenceSourceChar"/>
        </w:rPr>
      </w:pPr>
      <w:r w:rsidRPr="00564B3F">
        <w:rPr>
          <w:rStyle w:val="FootnoteReference"/>
        </w:rPr>
        <w:footnoteRef/>
      </w:r>
      <w:r w:rsidRPr="00564B3F">
        <w:rPr>
          <w:rStyle w:val="UtilComReferenceSourceChar"/>
        </w:rPr>
        <w:t xml:space="preserve"> </w:t>
      </w:r>
      <w:r w:rsidRPr="00564B3F">
        <w:rPr>
          <w:rStyle w:val="UtilComReferenceSourceChar"/>
        </w:rPr>
        <w:tab/>
        <w:t xml:space="preserve">Utilities Commission, </w:t>
      </w:r>
      <w:hyperlink r:id="rId22" w:history="1">
        <w:r w:rsidRPr="00564B3F">
          <w:rPr>
            <w:rStyle w:val="UtilComReferenceSourceChar"/>
          </w:rPr>
          <w:t>Electricity Distribution System Extension: Approval</w:t>
        </w:r>
      </w:hyperlink>
      <w:r w:rsidRPr="00564B3F">
        <w:rPr>
          <w:rStyle w:val="UtilComReferenceSourceChar"/>
        </w:rPr>
        <w:t>, 1 July 2006.</w:t>
      </w:r>
    </w:p>
    <w:p w14:paraId="0C716312" w14:textId="77777777" w:rsidR="004E09D0" w:rsidRPr="00672008" w:rsidRDefault="004E09D0" w:rsidP="00672008">
      <w:pPr>
        <w:pStyle w:val="FootnoteText"/>
        <w:spacing w:before="0" w:after="0" w:line="240" w:lineRule="auto"/>
        <w:rPr>
          <w:lang w:val="en-AU"/>
        </w:rPr>
      </w:pPr>
      <w:r>
        <w:rPr>
          <w:rFonts w:cs="Arial MT Std Light"/>
          <w:color w:val="000000"/>
          <w:sz w:val="18"/>
          <w:szCs w:val="18"/>
        </w:rPr>
        <w:t xml:space="preserve"> </w:t>
      </w:r>
      <w:r>
        <w:t xml:space="preserve"> </w:t>
      </w:r>
    </w:p>
  </w:footnote>
  <w:footnote w:id="71">
    <w:p w14:paraId="044D3974" w14:textId="35DDFC52" w:rsidR="004E09D0" w:rsidRPr="00F932C0" w:rsidRDefault="004E09D0" w:rsidP="00BB4311">
      <w:pPr>
        <w:pStyle w:val="FootnoteText"/>
        <w:spacing w:line="240" w:lineRule="auto"/>
        <w:rPr>
          <w:lang w:val="en-AU"/>
        </w:rPr>
      </w:pPr>
      <w:r>
        <w:rPr>
          <w:rStyle w:val="FootnoteReference"/>
        </w:rPr>
        <w:footnoteRef/>
      </w:r>
      <w:r>
        <w:t xml:space="preserve"> </w:t>
      </w:r>
      <w:r>
        <w:rPr>
          <w:rStyle w:val="UtilComReferenceSourceChar"/>
        </w:rPr>
        <w:t>Network Access Code</w:t>
      </w:r>
      <w:r w:rsidRPr="007D7703">
        <w:rPr>
          <w:rStyle w:val="UtilComReferenceSourceChar"/>
        </w:rPr>
        <w:t xml:space="preserve"> cl</w:t>
      </w:r>
      <w:r>
        <w:rPr>
          <w:rStyle w:val="UtilComReferenceSourceChar"/>
        </w:rPr>
        <w:t>ause 62(b).</w:t>
      </w:r>
    </w:p>
  </w:footnote>
  <w:footnote w:id="72">
    <w:p w14:paraId="7AA0F336" w14:textId="1BF3CE3F" w:rsidR="004E09D0" w:rsidRPr="00F932C0" w:rsidRDefault="004E09D0" w:rsidP="00BB4311">
      <w:pPr>
        <w:pStyle w:val="FootnoteText"/>
        <w:spacing w:line="240" w:lineRule="auto"/>
        <w:rPr>
          <w:lang w:val="en-AU"/>
        </w:rPr>
      </w:pPr>
      <w:r>
        <w:rPr>
          <w:rStyle w:val="FootnoteReference"/>
        </w:rPr>
        <w:footnoteRef/>
      </w:r>
      <w:r>
        <w:t xml:space="preserve"> </w:t>
      </w:r>
      <w:r>
        <w:rPr>
          <w:rStyle w:val="UtilComReferenceSourceChar"/>
        </w:rPr>
        <w:t>Network Access Code</w:t>
      </w:r>
      <w:r w:rsidRPr="007D7703">
        <w:rPr>
          <w:rStyle w:val="UtilComReferenceSourceChar"/>
        </w:rPr>
        <w:t xml:space="preserve"> cl</w:t>
      </w:r>
      <w:r>
        <w:rPr>
          <w:rStyle w:val="UtilComReferenceSourceChar"/>
        </w:rPr>
        <w:t>ause 75(1).</w:t>
      </w:r>
    </w:p>
  </w:footnote>
  <w:footnote w:id="73">
    <w:p w14:paraId="74F25FA3" w14:textId="52DB5F90" w:rsidR="004E09D0" w:rsidRPr="008524B0" w:rsidRDefault="004E09D0" w:rsidP="00BB4311">
      <w:pPr>
        <w:pStyle w:val="FootnoteText"/>
        <w:tabs>
          <w:tab w:val="left" w:pos="284"/>
        </w:tabs>
        <w:spacing w:line="240" w:lineRule="auto"/>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75</w:t>
      </w:r>
      <w:r w:rsidRPr="007D7703">
        <w:rPr>
          <w:rStyle w:val="UtilComReferenceSourceChar"/>
        </w:rPr>
        <w:t>(</w:t>
      </w:r>
      <w:r>
        <w:rPr>
          <w:rStyle w:val="UtilComReferenceSourceChar"/>
        </w:rPr>
        <w:t>5</w:t>
      </w:r>
      <w:r w:rsidRPr="007D7703">
        <w:rPr>
          <w:rStyle w:val="UtilComReferenceSourceChar"/>
        </w:rPr>
        <w:t>)</w:t>
      </w:r>
      <w:r>
        <w:rPr>
          <w:rStyle w:val="UtilComReferenceSourceChar"/>
        </w:rPr>
        <w:t>.</w:t>
      </w:r>
    </w:p>
  </w:footnote>
  <w:footnote w:id="74">
    <w:p w14:paraId="114BDB1A" w14:textId="44EDF69F" w:rsidR="004E09D0" w:rsidRPr="008524B0" w:rsidRDefault="004E09D0" w:rsidP="00BB4311">
      <w:pPr>
        <w:pStyle w:val="FootnoteText"/>
        <w:tabs>
          <w:tab w:val="left" w:pos="284"/>
        </w:tabs>
        <w:spacing w:line="240" w:lineRule="auto"/>
        <w:rPr>
          <w:lang w:val="en-AU"/>
        </w:rPr>
      </w:pPr>
      <w:r>
        <w:rPr>
          <w:rStyle w:val="FootnoteReference"/>
        </w:rPr>
        <w:footnoteRef/>
      </w:r>
      <w:r>
        <w:t xml:space="preserve"> </w:t>
      </w:r>
      <w:r>
        <w:tab/>
      </w:r>
      <w:r>
        <w:rPr>
          <w:rStyle w:val="UtilComReferenceSourceChar"/>
        </w:rPr>
        <w:t>Network Access Code</w:t>
      </w:r>
      <w:r w:rsidRPr="007D7703">
        <w:rPr>
          <w:rStyle w:val="UtilComReferenceSourceChar"/>
        </w:rPr>
        <w:t xml:space="preserve"> cl</w:t>
      </w:r>
      <w:r>
        <w:rPr>
          <w:rStyle w:val="UtilComReferenceSourceChar"/>
        </w:rPr>
        <w:t>ause 78</w:t>
      </w:r>
      <w:r w:rsidRPr="007D7703">
        <w:rPr>
          <w:rStyle w:val="UtilComReferenceSourceChar"/>
        </w:rPr>
        <w:t>(</w:t>
      </w:r>
      <w:r>
        <w:rPr>
          <w:rStyle w:val="UtilComReferenceSourceChar"/>
        </w:rPr>
        <w:t>1</w:t>
      </w:r>
      <w:r w:rsidRPr="007D7703">
        <w:rPr>
          <w:rStyle w:val="UtilComReferenceSourceChar"/>
        </w:rPr>
        <w:t>)</w:t>
      </w:r>
      <w:r>
        <w:rPr>
          <w:rStyle w:val="UtilComReferenceSourceCha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213F4D" w14:textId="77777777" w:rsidR="004E09D0" w:rsidRDefault="004E09D0" w:rsidP="00EA0992">
    <w:pPr>
      <w:pStyle w:val="Header"/>
      <w:pBdr>
        <w:bottom w:val="single" w:sz="4" w:space="1" w:color="auto"/>
      </w:pBdr>
      <w:jc w:val="center"/>
    </w:pPr>
    <w:r>
      <w:fldChar w:fldCharType="begin"/>
    </w:r>
    <w:r>
      <w:instrText xml:space="preserve"> PAGE </w:instrText>
    </w:r>
    <w:r>
      <w:fldChar w:fldCharType="separate"/>
    </w:r>
    <w:r>
      <w:rPr>
        <w:noProof/>
      </w:rPr>
      <w:t>3</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3B2F10" w14:textId="77777777" w:rsidR="004E09D0" w:rsidRPr="003C101A" w:rsidRDefault="004E09D0" w:rsidP="00457A43">
    <w:pPr>
      <w:pBdr>
        <w:bottom w:val="single" w:sz="4" w:space="1" w:color="99CCFF"/>
      </w:pBdr>
      <w:jc w:val="center"/>
      <w:rPr>
        <w:sz w:val="18"/>
        <w:szCs w:val="18"/>
      </w:rPr>
    </w:pPr>
    <w:r w:rsidRPr="003C101A">
      <w:rPr>
        <w:sz w:val="18"/>
        <w:szCs w:val="18"/>
      </w:rPr>
      <w:fldChar w:fldCharType="begin"/>
    </w:r>
    <w:r w:rsidRPr="003C101A">
      <w:rPr>
        <w:sz w:val="18"/>
        <w:szCs w:val="18"/>
      </w:rPr>
      <w:instrText xml:space="preserve"> PAGE </w:instrText>
    </w:r>
    <w:r w:rsidRPr="003C101A">
      <w:rPr>
        <w:sz w:val="18"/>
        <w:szCs w:val="18"/>
      </w:rPr>
      <w:fldChar w:fldCharType="separate"/>
    </w:r>
    <w:r w:rsidR="00A00104">
      <w:rPr>
        <w:noProof/>
        <w:sz w:val="18"/>
        <w:szCs w:val="18"/>
      </w:rPr>
      <w:t>167</w:t>
    </w:r>
    <w:r w:rsidRPr="003C101A">
      <w:rPr>
        <w:sz w:val="18"/>
        <w:szCs w:val="18"/>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A8FE9B" w14:textId="77777777" w:rsidR="004E09D0" w:rsidRPr="004B16CB" w:rsidRDefault="004E09D0" w:rsidP="00547327">
    <w:pPr>
      <w:pStyle w:val="Header"/>
      <w:rPr>
        <w:szCs w:val="18"/>
      </w:rPr>
    </w:pPr>
    <w:r>
      <w:rPr>
        <w:noProof/>
        <w:szCs w:val="18"/>
        <w:lang w:val="en-AU" w:eastAsia="en-AU"/>
      </w:rPr>
      <w:drawing>
        <wp:anchor distT="0" distB="0" distL="114300" distR="114300" simplePos="0" relativeHeight="251658752" behindDoc="1" locked="0" layoutInCell="1" allowOverlap="1" wp14:anchorId="247943BE" wp14:editId="5B2899D4">
          <wp:simplePos x="0" y="0"/>
          <wp:positionH relativeFrom="column">
            <wp:posOffset>-1565910</wp:posOffset>
          </wp:positionH>
          <wp:positionV relativeFrom="paragraph">
            <wp:posOffset>1477645</wp:posOffset>
          </wp:positionV>
          <wp:extent cx="2077085" cy="8991600"/>
          <wp:effectExtent l="19050" t="0" r="0" b="0"/>
          <wp:wrapNone/>
          <wp:docPr id="3" name="Picture 1" descr="site-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te-background"/>
                  <pic:cNvPicPr>
                    <a:picLocks noChangeAspect="1" noChangeArrowheads="1"/>
                  </pic:cNvPicPr>
                </pic:nvPicPr>
                <pic:blipFill>
                  <a:blip r:embed="rId1"/>
                  <a:srcRect l="84180" t="1447" r="3357"/>
                  <a:stretch>
                    <a:fillRect/>
                  </a:stretch>
                </pic:blipFill>
                <pic:spPr bwMode="auto">
                  <a:xfrm>
                    <a:off x="0" y="0"/>
                    <a:ext cx="2077085" cy="8991600"/>
                  </a:xfrm>
                  <a:prstGeom prst="rect">
                    <a:avLst/>
                  </a:prstGeom>
                  <a:noFill/>
                </pic:spPr>
              </pic:pic>
            </a:graphicData>
          </a:graphic>
        </wp:anchor>
      </w:drawing>
    </w:r>
    <w:r>
      <w:rPr>
        <w:noProof/>
        <w:szCs w:val="18"/>
        <w:lang w:val="en-AU" w:eastAsia="en-AU"/>
      </w:rPr>
      <w:drawing>
        <wp:anchor distT="0" distB="0" distL="114300" distR="114300" simplePos="0" relativeHeight="251657728" behindDoc="1" locked="0" layoutInCell="1" allowOverlap="1" wp14:anchorId="3FA230A2" wp14:editId="4C308FCB">
          <wp:simplePos x="0" y="0"/>
          <wp:positionH relativeFrom="column">
            <wp:posOffset>673100</wp:posOffset>
          </wp:positionH>
          <wp:positionV relativeFrom="paragraph">
            <wp:posOffset>-369570</wp:posOffset>
          </wp:positionV>
          <wp:extent cx="6477000" cy="958215"/>
          <wp:effectExtent l="19050" t="0" r="0" b="0"/>
          <wp:wrapNone/>
          <wp:docPr id="2" name="Picture 5" descr="PPP Utilitie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PP Utilities 01"/>
                  <pic:cNvPicPr>
                    <a:picLocks noChangeAspect="1" noChangeArrowheads="1"/>
                  </pic:cNvPicPr>
                </pic:nvPicPr>
                <pic:blipFill>
                  <a:blip r:embed="rId2"/>
                  <a:srcRect b="19519"/>
                  <a:stretch>
                    <a:fillRect/>
                  </a:stretch>
                </pic:blipFill>
                <pic:spPr bwMode="auto">
                  <a:xfrm>
                    <a:off x="0" y="0"/>
                    <a:ext cx="6477000" cy="958215"/>
                  </a:xfrm>
                  <a:prstGeom prst="rect">
                    <a:avLst/>
                  </a:prstGeom>
                  <a:noFill/>
                </pic:spPr>
              </pic:pic>
            </a:graphicData>
          </a:graphic>
        </wp:anchor>
      </w:drawing>
    </w:r>
    <w:r>
      <w:rPr>
        <w:noProof/>
        <w:szCs w:val="18"/>
        <w:lang w:val="en-AU" w:eastAsia="en-AU"/>
      </w:rPr>
      <w:drawing>
        <wp:anchor distT="0" distB="0" distL="114300" distR="114300" simplePos="0" relativeHeight="251656704" behindDoc="1" locked="0" layoutInCell="1" allowOverlap="1" wp14:anchorId="7E092985" wp14:editId="408ADE29">
          <wp:simplePos x="0" y="0"/>
          <wp:positionH relativeFrom="column">
            <wp:posOffset>-918210</wp:posOffset>
          </wp:positionH>
          <wp:positionV relativeFrom="paragraph">
            <wp:posOffset>-208280</wp:posOffset>
          </wp:positionV>
          <wp:extent cx="1513840" cy="801370"/>
          <wp:effectExtent l="19050" t="0" r="0" b="0"/>
          <wp:wrapNone/>
          <wp:docPr id="1" name="Picture 25" descr="UC_recoloured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C_recoloured_cmyk"/>
                  <pic:cNvPicPr>
                    <a:picLocks noChangeAspect="1" noChangeArrowheads="1"/>
                  </pic:cNvPicPr>
                </pic:nvPicPr>
                <pic:blipFill>
                  <a:blip r:embed="rId3"/>
                  <a:srcRect/>
                  <a:stretch>
                    <a:fillRect/>
                  </a:stretch>
                </pic:blipFill>
                <pic:spPr bwMode="auto">
                  <a:xfrm>
                    <a:off x="0" y="0"/>
                    <a:ext cx="1513840" cy="80137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45E9F4" w14:textId="77777777" w:rsidR="004E09D0" w:rsidRPr="00CD0BDF" w:rsidRDefault="004E09D0" w:rsidP="00457A43">
    <w:pPr>
      <w:pStyle w:val="Header"/>
      <w:pBdr>
        <w:bottom w:val="single" w:sz="4" w:space="1" w:color="99CCFF"/>
      </w:pBdr>
      <w:jc w:val="center"/>
      <w:rPr>
        <w:rFonts w:cs="Arial"/>
        <w:sz w:val="18"/>
        <w:szCs w:val="18"/>
      </w:rPr>
    </w:pPr>
    <w:r w:rsidRPr="00CD0BDF">
      <w:rPr>
        <w:rFonts w:cs="Arial"/>
        <w:sz w:val="18"/>
        <w:szCs w:val="18"/>
      </w:rPr>
      <w:fldChar w:fldCharType="begin"/>
    </w:r>
    <w:r w:rsidRPr="00CD0BDF">
      <w:rPr>
        <w:rFonts w:cs="Arial"/>
        <w:sz w:val="18"/>
        <w:szCs w:val="18"/>
      </w:rPr>
      <w:instrText xml:space="preserve"> PAGE </w:instrText>
    </w:r>
    <w:r w:rsidRPr="00CD0BDF">
      <w:rPr>
        <w:rFonts w:cs="Arial"/>
        <w:sz w:val="18"/>
        <w:szCs w:val="18"/>
      </w:rPr>
      <w:fldChar w:fldCharType="separate"/>
    </w:r>
    <w:r w:rsidR="00780CFE">
      <w:rPr>
        <w:rFonts w:cs="Arial"/>
        <w:noProof/>
        <w:sz w:val="18"/>
        <w:szCs w:val="18"/>
      </w:rPr>
      <w:t>i</w:t>
    </w:r>
    <w:r w:rsidRPr="00CD0BDF">
      <w:rPr>
        <w:rFonts w:cs="Arial"/>
        <w:sz w:val="18"/>
        <w:szCs w:val="18"/>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5C31C" w14:textId="77777777" w:rsidR="004E09D0" w:rsidRPr="00CD0BDF" w:rsidRDefault="004E09D0" w:rsidP="00457A43">
    <w:pPr>
      <w:pStyle w:val="Header"/>
      <w:pBdr>
        <w:bottom w:val="single" w:sz="4" w:space="1" w:color="99CCFF"/>
      </w:pBdr>
      <w:jc w:val="center"/>
      <w:rPr>
        <w:rFonts w:cs="Arial"/>
        <w:sz w:val="18"/>
        <w:szCs w:val="18"/>
      </w:rPr>
    </w:pPr>
    <w:r w:rsidRPr="00CD0BDF">
      <w:rPr>
        <w:rFonts w:cs="Arial"/>
        <w:sz w:val="18"/>
        <w:szCs w:val="18"/>
      </w:rPr>
      <w:fldChar w:fldCharType="begin"/>
    </w:r>
    <w:r w:rsidRPr="00CD0BDF">
      <w:rPr>
        <w:rFonts w:cs="Arial"/>
        <w:sz w:val="18"/>
        <w:szCs w:val="18"/>
      </w:rPr>
      <w:instrText xml:space="preserve"> PAGE </w:instrText>
    </w:r>
    <w:r w:rsidRPr="00CD0BDF">
      <w:rPr>
        <w:rFonts w:cs="Arial"/>
        <w:sz w:val="18"/>
        <w:szCs w:val="18"/>
      </w:rPr>
      <w:fldChar w:fldCharType="separate"/>
    </w:r>
    <w:r w:rsidR="00A00104">
      <w:rPr>
        <w:rFonts w:cs="Arial"/>
        <w:noProof/>
        <w:sz w:val="18"/>
        <w:szCs w:val="18"/>
      </w:rPr>
      <w:t>13</w:t>
    </w:r>
    <w:r w:rsidRPr="00CD0BDF">
      <w:rPr>
        <w:rFonts w:cs="Arial"/>
        <w:sz w:val="18"/>
        <w:szCs w:val="18"/>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4D161" w14:textId="77777777" w:rsidR="004E09D0" w:rsidRDefault="004E09D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698C5B2"/>
    <w:lvl w:ilvl="0">
      <w:numFmt w:val="decimal"/>
      <w:pStyle w:val="Caption"/>
      <w:lvlText w:val="*"/>
      <w:lvlJc w:val="left"/>
    </w:lvl>
  </w:abstractNum>
  <w:abstractNum w:abstractNumId="1">
    <w:nsid w:val="012E6C73"/>
    <w:multiLevelType w:val="multilevel"/>
    <w:tmpl w:val="ADF4D6A4"/>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2">
    <w:nsid w:val="04820DE2"/>
    <w:multiLevelType w:val="multilevel"/>
    <w:tmpl w:val="C312FC06"/>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3">
    <w:nsid w:val="067B39C8"/>
    <w:multiLevelType w:val="hybridMultilevel"/>
    <w:tmpl w:val="E7C63F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ADF3D71"/>
    <w:multiLevelType w:val="multilevel"/>
    <w:tmpl w:val="9E78FF3C"/>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5">
    <w:nsid w:val="0CE021E6"/>
    <w:multiLevelType w:val="hybridMultilevel"/>
    <w:tmpl w:val="59E28BEA"/>
    <w:lvl w:ilvl="0" w:tplc="0C090001">
      <w:start w:val="1"/>
      <w:numFmt w:val="bullet"/>
      <w:lvlText w:val=""/>
      <w:lvlJc w:val="left"/>
      <w:pPr>
        <w:ind w:left="1494" w:hanging="360"/>
      </w:pPr>
      <w:rPr>
        <w:rFonts w:ascii="Symbol" w:hAnsi="Symbol" w:hint="default"/>
      </w:rPr>
    </w:lvl>
    <w:lvl w:ilvl="1" w:tplc="0C090003" w:tentative="1">
      <w:start w:val="1"/>
      <w:numFmt w:val="bullet"/>
      <w:lvlText w:val="o"/>
      <w:lvlJc w:val="left"/>
      <w:pPr>
        <w:ind w:left="2214" w:hanging="360"/>
      </w:pPr>
      <w:rPr>
        <w:rFonts w:ascii="Courier New" w:hAnsi="Courier New" w:cs="Courier New" w:hint="default"/>
      </w:rPr>
    </w:lvl>
    <w:lvl w:ilvl="2" w:tplc="0C090005" w:tentative="1">
      <w:start w:val="1"/>
      <w:numFmt w:val="bullet"/>
      <w:lvlText w:val=""/>
      <w:lvlJc w:val="left"/>
      <w:pPr>
        <w:ind w:left="2934" w:hanging="360"/>
      </w:pPr>
      <w:rPr>
        <w:rFonts w:ascii="Wingdings" w:hAnsi="Wingdings" w:hint="default"/>
      </w:rPr>
    </w:lvl>
    <w:lvl w:ilvl="3" w:tplc="0C090001" w:tentative="1">
      <w:start w:val="1"/>
      <w:numFmt w:val="bullet"/>
      <w:lvlText w:val=""/>
      <w:lvlJc w:val="left"/>
      <w:pPr>
        <w:ind w:left="3654" w:hanging="360"/>
      </w:pPr>
      <w:rPr>
        <w:rFonts w:ascii="Symbol" w:hAnsi="Symbol" w:hint="default"/>
      </w:rPr>
    </w:lvl>
    <w:lvl w:ilvl="4" w:tplc="0C090003" w:tentative="1">
      <w:start w:val="1"/>
      <w:numFmt w:val="bullet"/>
      <w:lvlText w:val="o"/>
      <w:lvlJc w:val="left"/>
      <w:pPr>
        <w:ind w:left="4374" w:hanging="360"/>
      </w:pPr>
      <w:rPr>
        <w:rFonts w:ascii="Courier New" w:hAnsi="Courier New" w:cs="Courier New" w:hint="default"/>
      </w:rPr>
    </w:lvl>
    <w:lvl w:ilvl="5" w:tplc="0C090005" w:tentative="1">
      <w:start w:val="1"/>
      <w:numFmt w:val="bullet"/>
      <w:lvlText w:val=""/>
      <w:lvlJc w:val="left"/>
      <w:pPr>
        <w:ind w:left="5094" w:hanging="360"/>
      </w:pPr>
      <w:rPr>
        <w:rFonts w:ascii="Wingdings" w:hAnsi="Wingdings" w:hint="default"/>
      </w:rPr>
    </w:lvl>
    <w:lvl w:ilvl="6" w:tplc="0C090001" w:tentative="1">
      <w:start w:val="1"/>
      <w:numFmt w:val="bullet"/>
      <w:lvlText w:val=""/>
      <w:lvlJc w:val="left"/>
      <w:pPr>
        <w:ind w:left="5814" w:hanging="360"/>
      </w:pPr>
      <w:rPr>
        <w:rFonts w:ascii="Symbol" w:hAnsi="Symbol" w:hint="default"/>
      </w:rPr>
    </w:lvl>
    <w:lvl w:ilvl="7" w:tplc="0C090003" w:tentative="1">
      <w:start w:val="1"/>
      <w:numFmt w:val="bullet"/>
      <w:lvlText w:val="o"/>
      <w:lvlJc w:val="left"/>
      <w:pPr>
        <w:ind w:left="6534" w:hanging="360"/>
      </w:pPr>
      <w:rPr>
        <w:rFonts w:ascii="Courier New" w:hAnsi="Courier New" w:cs="Courier New" w:hint="default"/>
      </w:rPr>
    </w:lvl>
    <w:lvl w:ilvl="8" w:tplc="0C090005" w:tentative="1">
      <w:start w:val="1"/>
      <w:numFmt w:val="bullet"/>
      <w:lvlText w:val=""/>
      <w:lvlJc w:val="left"/>
      <w:pPr>
        <w:ind w:left="7254" w:hanging="360"/>
      </w:pPr>
      <w:rPr>
        <w:rFonts w:ascii="Wingdings" w:hAnsi="Wingdings" w:hint="default"/>
      </w:rPr>
    </w:lvl>
  </w:abstractNum>
  <w:abstractNum w:abstractNumId="6">
    <w:nsid w:val="0D11077F"/>
    <w:multiLevelType w:val="multilevel"/>
    <w:tmpl w:val="7DA252B4"/>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7">
    <w:nsid w:val="0F335520"/>
    <w:multiLevelType w:val="multilevel"/>
    <w:tmpl w:val="E160BF7A"/>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8">
    <w:nsid w:val="11B74CCF"/>
    <w:multiLevelType w:val="hybridMultilevel"/>
    <w:tmpl w:val="DAE89C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45C49F4"/>
    <w:multiLevelType w:val="hybridMultilevel"/>
    <w:tmpl w:val="BD7850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163F302B"/>
    <w:multiLevelType w:val="hybridMultilevel"/>
    <w:tmpl w:val="E36894AC"/>
    <w:lvl w:ilvl="0" w:tplc="FB08EF2A">
      <w:start w:val="1"/>
      <w:numFmt w:val="lowerRoman"/>
      <w:lvlText w:val="(%1)"/>
      <w:lvlJc w:val="left"/>
      <w:pPr>
        <w:ind w:left="1854" w:hanging="720"/>
      </w:pPr>
      <w:rPr>
        <w:rFonts w:hint="default"/>
      </w:rPr>
    </w:lvl>
    <w:lvl w:ilvl="1" w:tplc="0C090019" w:tentative="1">
      <w:start w:val="1"/>
      <w:numFmt w:val="lowerLetter"/>
      <w:lvlText w:val="%2."/>
      <w:lvlJc w:val="left"/>
      <w:pPr>
        <w:ind w:left="2214" w:hanging="360"/>
      </w:pPr>
    </w:lvl>
    <w:lvl w:ilvl="2" w:tplc="0C09001B" w:tentative="1">
      <w:start w:val="1"/>
      <w:numFmt w:val="lowerRoman"/>
      <w:lvlText w:val="%3."/>
      <w:lvlJc w:val="right"/>
      <w:pPr>
        <w:ind w:left="2934" w:hanging="180"/>
      </w:pPr>
    </w:lvl>
    <w:lvl w:ilvl="3" w:tplc="0C09000F" w:tentative="1">
      <w:start w:val="1"/>
      <w:numFmt w:val="decimal"/>
      <w:lvlText w:val="%4."/>
      <w:lvlJc w:val="left"/>
      <w:pPr>
        <w:ind w:left="3654" w:hanging="360"/>
      </w:pPr>
    </w:lvl>
    <w:lvl w:ilvl="4" w:tplc="0C090019" w:tentative="1">
      <w:start w:val="1"/>
      <w:numFmt w:val="lowerLetter"/>
      <w:lvlText w:val="%5."/>
      <w:lvlJc w:val="left"/>
      <w:pPr>
        <w:ind w:left="4374" w:hanging="360"/>
      </w:pPr>
    </w:lvl>
    <w:lvl w:ilvl="5" w:tplc="0C09001B" w:tentative="1">
      <w:start w:val="1"/>
      <w:numFmt w:val="lowerRoman"/>
      <w:lvlText w:val="%6."/>
      <w:lvlJc w:val="right"/>
      <w:pPr>
        <w:ind w:left="5094" w:hanging="180"/>
      </w:pPr>
    </w:lvl>
    <w:lvl w:ilvl="6" w:tplc="0C09000F" w:tentative="1">
      <w:start w:val="1"/>
      <w:numFmt w:val="decimal"/>
      <w:lvlText w:val="%7."/>
      <w:lvlJc w:val="left"/>
      <w:pPr>
        <w:ind w:left="5814" w:hanging="360"/>
      </w:pPr>
    </w:lvl>
    <w:lvl w:ilvl="7" w:tplc="0C090019" w:tentative="1">
      <w:start w:val="1"/>
      <w:numFmt w:val="lowerLetter"/>
      <w:lvlText w:val="%8."/>
      <w:lvlJc w:val="left"/>
      <w:pPr>
        <w:ind w:left="6534" w:hanging="360"/>
      </w:pPr>
    </w:lvl>
    <w:lvl w:ilvl="8" w:tplc="0C09001B" w:tentative="1">
      <w:start w:val="1"/>
      <w:numFmt w:val="lowerRoman"/>
      <w:lvlText w:val="%9."/>
      <w:lvlJc w:val="right"/>
      <w:pPr>
        <w:ind w:left="7254" w:hanging="180"/>
      </w:pPr>
    </w:lvl>
  </w:abstractNum>
  <w:abstractNum w:abstractNumId="11">
    <w:nsid w:val="17164F27"/>
    <w:multiLevelType w:val="multilevel"/>
    <w:tmpl w:val="C26C4E16"/>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12">
    <w:nsid w:val="1B95601C"/>
    <w:multiLevelType w:val="hybridMultilevel"/>
    <w:tmpl w:val="58C610E0"/>
    <w:lvl w:ilvl="0" w:tplc="0C090001">
      <w:start w:val="1"/>
      <w:numFmt w:val="bullet"/>
      <w:lvlText w:val=""/>
      <w:lvlJc w:val="left"/>
      <w:pPr>
        <w:ind w:left="405" w:hanging="360"/>
      </w:pPr>
      <w:rPr>
        <w:rFonts w:ascii="Symbol" w:hAnsi="Symbol" w:hint="default"/>
      </w:rPr>
    </w:lvl>
    <w:lvl w:ilvl="1" w:tplc="0C090003">
      <w:start w:val="1"/>
      <w:numFmt w:val="bullet"/>
      <w:lvlText w:val="o"/>
      <w:lvlJc w:val="left"/>
      <w:pPr>
        <w:ind w:left="1125" w:hanging="360"/>
      </w:pPr>
      <w:rPr>
        <w:rFonts w:ascii="Courier New" w:hAnsi="Courier New" w:cs="Courier New" w:hint="default"/>
      </w:rPr>
    </w:lvl>
    <w:lvl w:ilvl="2" w:tplc="0C090005" w:tentative="1">
      <w:start w:val="1"/>
      <w:numFmt w:val="bullet"/>
      <w:lvlText w:val=""/>
      <w:lvlJc w:val="left"/>
      <w:pPr>
        <w:ind w:left="1845" w:hanging="360"/>
      </w:pPr>
      <w:rPr>
        <w:rFonts w:ascii="Wingdings" w:hAnsi="Wingdings" w:hint="default"/>
      </w:rPr>
    </w:lvl>
    <w:lvl w:ilvl="3" w:tplc="0C090001" w:tentative="1">
      <w:start w:val="1"/>
      <w:numFmt w:val="bullet"/>
      <w:lvlText w:val=""/>
      <w:lvlJc w:val="left"/>
      <w:pPr>
        <w:ind w:left="2565" w:hanging="360"/>
      </w:pPr>
      <w:rPr>
        <w:rFonts w:ascii="Symbol" w:hAnsi="Symbol" w:hint="default"/>
      </w:rPr>
    </w:lvl>
    <w:lvl w:ilvl="4" w:tplc="0C090003" w:tentative="1">
      <w:start w:val="1"/>
      <w:numFmt w:val="bullet"/>
      <w:lvlText w:val="o"/>
      <w:lvlJc w:val="left"/>
      <w:pPr>
        <w:ind w:left="3285" w:hanging="360"/>
      </w:pPr>
      <w:rPr>
        <w:rFonts w:ascii="Courier New" w:hAnsi="Courier New" w:cs="Courier New" w:hint="default"/>
      </w:rPr>
    </w:lvl>
    <w:lvl w:ilvl="5" w:tplc="0C090005" w:tentative="1">
      <w:start w:val="1"/>
      <w:numFmt w:val="bullet"/>
      <w:lvlText w:val=""/>
      <w:lvlJc w:val="left"/>
      <w:pPr>
        <w:ind w:left="4005" w:hanging="360"/>
      </w:pPr>
      <w:rPr>
        <w:rFonts w:ascii="Wingdings" w:hAnsi="Wingdings" w:hint="default"/>
      </w:rPr>
    </w:lvl>
    <w:lvl w:ilvl="6" w:tplc="0C090001" w:tentative="1">
      <w:start w:val="1"/>
      <w:numFmt w:val="bullet"/>
      <w:lvlText w:val=""/>
      <w:lvlJc w:val="left"/>
      <w:pPr>
        <w:ind w:left="4725" w:hanging="360"/>
      </w:pPr>
      <w:rPr>
        <w:rFonts w:ascii="Symbol" w:hAnsi="Symbol" w:hint="default"/>
      </w:rPr>
    </w:lvl>
    <w:lvl w:ilvl="7" w:tplc="0C090003" w:tentative="1">
      <w:start w:val="1"/>
      <w:numFmt w:val="bullet"/>
      <w:lvlText w:val="o"/>
      <w:lvlJc w:val="left"/>
      <w:pPr>
        <w:ind w:left="5445" w:hanging="360"/>
      </w:pPr>
      <w:rPr>
        <w:rFonts w:ascii="Courier New" w:hAnsi="Courier New" w:cs="Courier New" w:hint="default"/>
      </w:rPr>
    </w:lvl>
    <w:lvl w:ilvl="8" w:tplc="0C090005" w:tentative="1">
      <w:start w:val="1"/>
      <w:numFmt w:val="bullet"/>
      <w:lvlText w:val=""/>
      <w:lvlJc w:val="left"/>
      <w:pPr>
        <w:ind w:left="6165" w:hanging="360"/>
      </w:pPr>
      <w:rPr>
        <w:rFonts w:ascii="Wingdings" w:hAnsi="Wingdings" w:hint="default"/>
      </w:rPr>
    </w:lvl>
  </w:abstractNum>
  <w:abstractNum w:abstractNumId="13">
    <w:nsid w:val="1BCC2156"/>
    <w:multiLevelType w:val="hybridMultilevel"/>
    <w:tmpl w:val="178EE7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C703CAB"/>
    <w:multiLevelType w:val="multilevel"/>
    <w:tmpl w:val="9DF2D6BA"/>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15">
    <w:nsid w:val="1DF8652E"/>
    <w:multiLevelType w:val="hybridMultilevel"/>
    <w:tmpl w:val="48BE334C"/>
    <w:lvl w:ilvl="0" w:tplc="775C7120">
      <w:start w:val="1"/>
      <w:numFmt w:val="lowerRoman"/>
      <w:lvlText w:val="(%1)"/>
      <w:lvlJc w:val="left"/>
      <w:pPr>
        <w:ind w:left="1429" w:hanging="720"/>
      </w:pPr>
      <w:rPr>
        <w:rFonts w:hint="default"/>
      </w:rPr>
    </w:lvl>
    <w:lvl w:ilvl="1" w:tplc="0C090019" w:tentative="1">
      <w:start w:val="1"/>
      <w:numFmt w:val="lowerLetter"/>
      <w:lvlText w:val="%2."/>
      <w:lvlJc w:val="left"/>
      <w:pPr>
        <w:ind w:left="1789" w:hanging="360"/>
      </w:pPr>
    </w:lvl>
    <w:lvl w:ilvl="2" w:tplc="0C09001B" w:tentative="1">
      <w:start w:val="1"/>
      <w:numFmt w:val="lowerRoman"/>
      <w:lvlText w:val="%3."/>
      <w:lvlJc w:val="right"/>
      <w:pPr>
        <w:ind w:left="2509" w:hanging="180"/>
      </w:pPr>
    </w:lvl>
    <w:lvl w:ilvl="3" w:tplc="0C09000F" w:tentative="1">
      <w:start w:val="1"/>
      <w:numFmt w:val="decimal"/>
      <w:lvlText w:val="%4."/>
      <w:lvlJc w:val="left"/>
      <w:pPr>
        <w:ind w:left="3229" w:hanging="360"/>
      </w:pPr>
    </w:lvl>
    <w:lvl w:ilvl="4" w:tplc="0C090019" w:tentative="1">
      <w:start w:val="1"/>
      <w:numFmt w:val="lowerLetter"/>
      <w:lvlText w:val="%5."/>
      <w:lvlJc w:val="left"/>
      <w:pPr>
        <w:ind w:left="3949" w:hanging="360"/>
      </w:pPr>
    </w:lvl>
    <w:lvl w:ilvl="5" w:tplc="0C09001B" w:tentative="1">
      <w:start w:val="1"/>
      <w:numFmt w:val="lowerRoman"/>
      <w:lvlText w:val="%6."/>
      <w:lvlJc w:val="right"/>
      <w:pPr>
        <w:ind w:left="4669" w:hanging="180"/>
      </w:pPr>
    </w:lvl>
    <w:lvl w:ilvl="6" w:tplc="0C09000F" w:tentative="1">
      <w:start w:val="1"/>
      <w:numFmt w:val="decimal"/>
      <w:lvlText w:val="%7."/>
      <w:lvlJc w:val="left"/>
      <w:pPr>
        <w:ind w:left="5389" w:hanging="360"/>
      </w:pPr>
    </w:lvl>
    <w:lvl w:ilvl="7" w:tplc="0C090019" w:tentative="1">
      <w:start w:val="1"/>
      <w:numFmt w:val="lowerLetter"/>
      <w:lvlText w:val="%8."/>
      <w:lvlJc w:val="left"/>
      <w:pPr>
        <w:ind w:left="6109" w:hanging="360"/>
      </w:pPr>
    </w:lvl>
    <w:lvl w:ilvl="8" w:tplc="0C09001B" w:tentative="1">
      <w:start w:val="1"/>
      <w:numFmt w:val="lowerRoman"/>
      <w:lvlText w:val="%9."/>
      <w:lvlJc w:val="right"/>
      <w:pPr>
        <w:ind w:left="6829" w:hanging="180"/>
      </w:pPr>
    </w:lvl>
  </w:abstractNum>
  <w:abstractNum w:abstractNumId="16">
    <w:nsid w:val="1ED100A6"/>
    <w:multiLevelType w:val="hybridMultilevel"/>
    <w:tmpl w:val="2FCC30D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FC916E6"/>
    <w:multiLevelType w:val="multilevel"/>
    <w:tmpl w:val="3EF2161A"/>
    <w:lvl w:ilvl="0">
      <w:start w:val="1"/>
      <w:numFmt w:val="bullet"/>
      <w:lvlText w:val=""/>
      <w:lvlJc w:val="left"/>
      <w:pPr>
        <w:tabs>
          <w:tab w:val="num" w:pos="964"/>
        </w:tabs>
        <w:ind w:left="964" w:hanging="397"/>
      </w:pPr>
      <w:rPr>
        <w:rFonts w:ascii="Symbol" w:hAnsi="Symbol" w:hint="default"/>
        <w:color w:val="auto"/>
      </w:rPr>
    </w:lvl>
    <w:lvl w:ilvl="1">
      <w:start w:val="1"/>
      <w:numFmt w:val="bullet"/>
      <w:lvlText w:val="-"/>
      <w:lvlJc w:val="left"/>
      <w:pPr>
        <w:tabs>
          <w:tab w:val="num" w:pos="563"/>
        </w:tabs>
        <w:ind w:left="1931" w:hanging="491"/>
      </w:pPr>
      <w:rPr>
        <w:rFonts w:ascii="Arial" w:hAnsi="Arial" w:hint="default"/>
      </w:rPr>
    </w:lvl>
    <w:lvl w:ilvl="2">
      <w:start w:val="1"/>
      <w:numFmt w:val="decimal"/>
      <w:lvlText w:val="%1.%2.%3"/>
      <w:lvlJc w:val="left"/>
      <w:pPr>
        <w:tabs>
          <w:tab w:val="num" w:pos="864"/>
        </w:tabs>
        <w:ind w:left="864" w:hanging="720"/>
      </w:pPr>
      <w:rPr>
        <w:rFonts w:hint="default"/>
      </w:rPr>
    </w:lvl>
    <w:lvl w:ilvl="3">
      <w:start w:val="1"/>
      <w:numFmt w:val="decimal"/>
      <w:lvlText w:val="%1.%2.%3.%4"/>
      <w:lvlJc w:val="left"/>
      <w:pPr>
        <w:tabs>
          <w:tab w:val="num" w:pos="936"/>
        </w:tabs>
        <w:ind w:left="936" w:hanging="720"/>
      </w:pPr>
      <w:rPr>
        <w:rFonts w:hint="default"/>
      </w:rPr>
    </w:lvl>
    <w:lvl w:ilvl="4">
      <w:start w:val="1"/>
      <w:numFmt w:val="decimal"/>
      <w:lvlText w:val="%1.%2.%3.%4.%5"/>
      <w:lvlJc w:val="left"/>
      <w:pPr>
        <w:tabs>
          <w:tab w:val="num" w:pos="1368"/>
        </w:tabs>
        <w:ind w:left="1368" w:hanging="1080"/>
      </w:pPr>
      <w:rPr>
        <w:rFonts w:hint="default"/>
      </w:rPr>
    </w:lvl>
    <w:lvl w:ilvl="5">
      <w:start w:val="1"/>
      <w:numFmt w:val="decimal"/>
      <w:lvlText w:val="%1.%2.%3.%4.%5.%6"/>
      <w:lvlJc w:val="left"/>
      <w:pPr>
        <w:tabs>
          <w:tab w:val="num" w:pos="1440"/>
        </w:tabs>
        <w:ind w:left="1440" w:hanging="1080"/>
      </w:pPr>
      <w:rPr>
        <w:rFonts w:hint="default"/>
      </w:rPr>
    </w:lvl>
    <w:lvl w:ilvl="6">
      <w:start w:val="1"/>
      <w:numFmt w:val="decimal"/>
      <w:lvlText w:val="%1.%2.%3.%4.%5.%6.%7"/>
      <w:lvlJc w:val="left"/>
      <w:pPr>
        <w:tabs>
          <w:tab w:val="num" w:pos="1872"/>
        </w:tabs>
        <w:ind w:left="1872" w:hanging="1440"/>
      </w:pPr>
      <w:rPr>
        <w:rFonts w:hint="default"/>
      </w:rPr>
    </w:lvl>
    <w:lvl w:ilvl="7">
      <w:start w:val="1"/>
      <w:numFmt w:val="decimal"/>
      <w:lvlText w:val="%1.%2.%3.%4.%5.%6.%7.%8"/>
      <w:lvlJc w:val="left"/>
      <w:pPr>
        <w:tabs>
          <w:tab w:val="num" w:pos="1944"/>
        </w:tabs>
        <w:ind w:left="1944" w:hanging="1440"/>
      </w:pPr>
      <w:rPr>
        <w:rFonts w:hint="default"/>
      </w:rPr>
    </w:lvl>
    <w:lvl w:ilvl="8">
      <w:start w:val="1"/>
      <w:numFmt w:val="decimal"/>
      <w:lvlText w:val="%1.%2.%3.%4.%5.%6.%7.%8.%9"/>
      <w:lvlJc w:val="left"/>
      <w:pPr>
        <w:tabs>
          <w:tab w:val="num" w:pos="2016"/>
        </w:tabs>
        <w:ind w:left="2016" w:hanging="1440"/>
      </w:pPr>
      <w:rPr>
        <w:rFonts w:hint="default"/>
      </w:rPr>
    </w:lvl>
  </w:abstractNum>
  <w:abstractNum w:abstractNumId="18">
    <w:nsid w:val="213C2363"/>
    <w:multiLevelType w:val="multilevel"/>
    <w:tmpl w:val="3CB0A85C"/>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19">
    <w:nsid w:val="23A530B5"/>
    <w:multiLevelType w:val="hybridMultilevel"/>
    <w:tmpl w:val="2F367D56"/>
    <w:lvl w:ilvl="0" w:tplc="FB56AD20">
      <w:start w:val="1"/>
      <w:numFmt w:val="lowerRoman"/>
      <w:lvlText w:val="(%1)"/>
      <w:lvlJc w:val="left"/>
      <w:pPr>
        <w:ind w:left="1429" w:hanging="720"/>
      </w:pPr>
      <w:rPr>
        <w:rFonts w:hint="default"/>
      </w:rPr>
    </w:lvl>
    <w:lvl w:ilvl="1" w:tplc="0C090019" w:tentative="1">
      <w:start w:val="1"/>
      <w:numFmt w:val="lowerLetter"/>
      <w:lvlText w:val="%2."/>
      <w:lvlJc w:val="left"/>
      <w:pPr>
        <w:ind w:left="1789" w:hanging="360"/>
      </w:pPr>
    </w:lvl>
    <w:lvl w:ilvl="2" w:tplc="0C09001B" w:tentative="1">
      <w:start w:val="1"/>
      <w:numFmt w:val="lowerRoman"/>
      <w:lvlText w:val="%3."/>
      <w:lvlJc w:val="right"/>
      <w:pPr>
        <w:ind w:left="2509" w:hanging="180"/>
      </w:pPr>
    </w:lvl>
    <w:lvl w:ilvl="3" w:tplc="0C09000F" w:tentative="1">
      <w:start w:val="1"/>
      <w:numFmt w:val="decimal"/>
      <w:lvlText w:val="%4."/>
      <w:lvlJc w:val="left"/>
      <w:pPr>
        <w:ind w:left="3229" w:hanging="360"/>
      </w:pPr>
    </w:lvl>
    <w:lvl w:ilvl="4" w:tplc="0C090019" w:tentative="1">
      <w:start w:val="1"/>
      <w:numFmt w:val="lowerLetter"/>
      <w:lvlText w:val="%5."/>
      <w:lvlJc w:val="left"/>
      <w:pPr>
        <w:ind w:left="3949" w:hanging="360"/>
      </w:pPr>
    </w:lvl>
    <w:lvl w:ilvl="5" w:tplc="0C09001B" w:tentative="1">
      <w:start w:val="1"/>
      <w:numFmt w:val="lowerRoman"/>
      <w:lvlText w:val="%6."/>
      <w:lvlJc w:val="right"/>
      <w:pPr>
        <w:ind w:left="4669" w:hanging="180"/>
      </w:pPr>
    </w:lvl>
    <w:lvl w:ilvl="6" w:tplc="0C09000F" w:tentative="1">
      <w:start w:val="1"/>
      <w:numFmt w:val="decimal"/>
      <w:lvlText w:val="%7."/>
      <w:lvlJc w:val="left"/>
      <w:pPr>
        <w:ind w:left="5389" w:hanging="360"/>
      </w:pPr>
    </w:lvl>
    <w:lvl w:ilvl="7" w:tplc="0C090019" w:tentative="1">
      <w:start w:val="1"/>
      <w:numFmt w:val="lowerLetter"/>
      <w:lvlText w:val="%8."/>
      <w:lvlJc w:val="left"/>
      <w:pPr>
        <w:ind w:left="6109" w:hanging="360"/>
      </w:pPr>
    </w:lvl>
    <w:lvl w:ilvl="8" w:tplc="0C09001B" w:tentative="1">
      <w:start w:val="1"/>
      <w:numFmt w:val="lowerRoman"/>
      <w:lvlText w:val="%9."/>
      <w:lvlJc w:val="right"/>
      <w:pPr>
        <w:ind w:left="6829" w:hanging="180"/>
      </w:pPr>
    </w:lvl>
  </w:abstractNum>
  <w:abstractNum w:abstractNumId="20">
    <w:nsid w:val="2A0006DA"/>
    <w:multiLevelType w:val="hybridMultilevel"/>
    <w:tmpl w:val="13642E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2DF13BB3"/>
    <w:multiLevelType w:val="multilevel"/>
    <w:tmpl w:val="390E2EF2"/>
    <w:lvl w:ilvl="0">
      <w:start w:val="1"/>
      <w:numFmt w:val="decimal"/>
      <w:lvlRestart w:val="0"/>
      <w:pStyle w:val="MELevel1"/>
      <w:lvlText w:val="%1."/>
      <w:lvlJc w:val="left"/>
      <w:pPr>
        <w:tabs>
          <w:tab w:val="num" w:pos="720"/>
        </w:tabs>
        <w:ind w:left="720" w:hanging="720"/>
      </w:pPr>
      <w:rPr>
        <w:rFonts w:ascii="Times New Roman" w:hAnsi="Times New Roman" w:cs="Times New Roman"/>
        <w:sz w:val="24"/>
      </w:rPr>
    </w:lvl>
    <w:lvl w:ilvl="1">
      <w:start w:val="1"/>
      <w:numFmt w:val="decimal"/>
      <w:pStyle w:val="MELevel2"/>
      <w:lvlText w:val="%1.%2"/>
      <w:lvlJc w:val="left"/>
      <w:pPr>
        <w:tabs>
          <w:tab w:val="num" w:pos="720"/>
        </w:tabs>
        <w:ind w:left="720" w:hanging="720"/>
      </w:pPr>
      <w:rPr>
        <w:rFonts w:ascii="Times New Roman" w:hAnsi="Times New Roman" w:cs="Times New Roman"/>
        <w:sz w:val="24"/>
      </w:rPr>
    </w:lvl>
    <w:lvl w:ilvl="2">
      <w:start w:val="1"/>
      <w:numFmt w:val="lowerLetter"/>
      <w:pStyle w:val="MELevel3"/>
      <w:lvlText w:val="(%3)"/>
      <w:lvlJc w:val="left"/>
      <w:pPr>
        <w:tabs>
          <w:tab w:val="num" w:pos="1440"/>
        </w:tabs>
        <w:ind w:left="1440" w:hanging="720"/>
      </w:pPr>
      <w:rPr>
        <w:rFonts w:ascii="Times New Roman" w:hAnsi="Times New Roman" w:cs="Times New Roman"/>
        <w:sz w:val="24"/>
      </w:rPr>
    </w:lvl>
    <w:lvl w:ilvl="3">
      <w:start w:val="1"/>
      <w:numFmt w:val="lowerRoman"/>
      <w:pStyle w:val="MELevel4"/>
      <w:lvlText w:val="(%4)"/>
      <w:lvlJc w:val="left"/>
      <w:pPr>
        <w:tabs>
          <w:tab w:val="num" w:pos="2160"/>
        </w:tabs>
        <w:ind w:left="2160" w:hanging="720"/>
      </w:pPr>
      <w:rPr>
        <w:rFonts w:ascii="Times New Roman" w:hAnsi="Times New Roman" w:cs="Times New Roman"/>
        <w:sz w:val="24"/>
      </w:rPr>
    </w:lvl>
    <w:lvl w:ilvl="4">
      <w:start w:val="1"/>
      <w:numFmt w:val="upperLetter"/>
      <w:pStyle w:val="MELevel5"/>
      <w:lvlText w:val="(%5)"/>
      <w:lvlJc w:val="left"/>
      <w:pPr>
        <w:tabs>
          <w:tab w:val="num" w:pos="2880"/>
        </w:tabs>
        <w:ind w:left="2880" w:hanging="720"/>
      </w:pPr>
      <w:rPr>
        <w:rFonts w:ascii="Times New Roman" w:hAnsi="Times New Roman" w:cs="Times New Roman"/>
        <w:sz w:val="24"/>
      </w:rPr>
    </w:lvl>
    <w:lvl w:ilvl="5">
      <w:start w:val="1"/>
      <w:numFmt w:val="upperRoman"/>
      <w:pStyle w:val="MELevel6"/>
      <w:lvlText w:val="(%6)"/>
      <w:lvlJc w:val="left"/>
      <w:pPr>
        <w:tabs>
          <w:tab w:val="num" w:pos="3600"/>
        </w:tabs>
        <w:ind w:left="3600" w:hanging="720"/>
      </w:pPr>
      <w:rPr>
        <w:rFonts w:ascii="Times New Roman" w:hAnsi="Times New Roman" w:cs="Times New Roman"/>
        <w:sz w:val="24"/>
      </w:rPr>
    </w:lvl>
    <w:lvl w:ilvl="6">
      <w:start w:val="1"/>
      <w:numFmt w:val="none"/>
      <w:suff w:val="nothing"/>
      <w:lvlText w:val="%7"/>
      <w:lvlJc w:val="left"/>
      <w:rPr>
        <w:rFonts w:cs="Times New Roman"/>
      </w:rPr>
    </w:lvl>
    <w:lvl w:ilvl="7">
      <w:start w:val="1"/>
      <w:numFmt w:val="none"/>
      <w:suff w:val="nothing"/>
      <w:lvlText w:val="%8"/>
      <w:lvlJc w:val="left"/>
      <w:rPr>
        <w:rFonts w:cs="Times New Roman"/>
      </w:rPr>
    </w:lvl>
    <w:lvl w:ilvl="8">
      <w:start w:val="120"/>
      <w:numFmt w:val="none"/>
      <w:suff w:val="nothing"/>
      <w:lvlText w:val="%9"/>
      <w:lvlJc w:val="left"/>
      <w:rPr>
        <w:rFonts w:cs="Times New Roman"/>
      </w:rPr>
    </w:lvl>
  </w:abstractNum>
  <w:abstractNum w:abstractNumId="22">
    <w:nsid w:val="2FB97C83"/>
    <w:multiLevelType w:val="multilevel"/>
    <w:tmpl w:val="59101CA6"/>
    <w:styleLink w:val="Style1"/>
    <w:lvl w:ilvl="0">
      <w:start w:val="1"/>
      <w:numFmt w:val="bullet"/>
      <w:lvlText w:val=""/>
      <w:lvlJc w:val="left"/>
      <w:pPr>
        <w:tabs>
          <w:tab w:val="num" w:pos="964"/>
        </w:tabs>
        <w:ind w:left="964" w:hanging="397"/>
      </w:pPr>
      <w:rPr>
        <w:rFonts w:ascii="Symbol" w:hAnsi="Symbol" w:hint="default"/>
        <w:color w:val="auto"/>
      </w:rPr>
    </w:lvl>
    <w:lvl w:ilvl="1">
      <w:start w:val="1"/>
      <w:numFmt w:val="bullet"/>
      <w:lvlText w:val=""/>
      <w:lvlJc w:val="left"/>
      <w:pPr>
        <w:tabs>
          <w:tab w:val="num" w:pos="563"/>
        </w:tabs>
        <w:ind w:left="1931" w:hanging="491"/>
      </w:pPr>
      <w:rPr>
        <w:rFonts w:ascii="Wingdings" w:hAnsi="Wingdings" w:hint="default"/>
      </w:rPr>
    </w:lvl>
    <w:lvl w:ilvl="2">
      <w:start w:val="1"/>
      <w:numFmt w:val="decimal"/>
      <w:lvlText w:val="%1.%2.%3"/>
      <w:lvlJc w:val="left"/>
      <w:pPr>
        <w:tabs>
          <w:tab w:val="num" w:pos="864"/>
        </w:tabs>
        <w:ind w:left="864" w:hanging="720"/>
      </w:pPr>
      <w:rPr>
        <w:rFonts w:hint="default"/>
      </w:rPr>
    </w:lvl>
    <w:lvl w:ilvl="3">
      <w:start w:val="1"/>
      <w:numFmt w:val="decimal"/>
      <w:lvlText w:val="%1.%2.%3.%4"/>
      <w:lvlJc w:val="left"/>
      <w:pPr>
        <w:tabs>
          <w:tab w:val="num" w:pos="936"/>
        </w:tabs>
        <w:ind w:left="936" w:hanging="720"/>
      </w:pPr>
      <w:rPr>
        <w:rFonts w:hint="default"/>
      </w:rPr>
    </w:lvl>
    <w:lvl w:ilvl="4">
      <w:start w:val="1"/>
      <w:numFmt w:val="decimal"/>
      <w:lvlText w:val="%1.%2.%3.%4.%5"/>
      <w:lvlJc w:val="left"/>
      <w:pPr>
        <w:tabs>
          <w:tab w:val="num" w:pos="1368"/>
        </w:tabs>
        <w:ind w:left="1368" w:hanging="1080"/>
      </w:pPr>
      <w:rPr>
        <w:rFonts w:hint="default"/>
      </w:rPr>
    </w:lvl>
    <w:lvl w:ilvl="5">
      <w:start w:val="1"/>
      <w:numFmt w:val="decimal"/>
      <w:lvlText w:val="%1.%2.%3.%4.%5.%6"/>
      <w:lvlJc w:val="left"/>
      <w:pPr>
        <w:tabs>
          <w:tab w:val="num" w:pos="1440"/>
        </w:tabs>
        <w:ind w:left="1440" w:hanging="1080"/>
      </w:pPr>
      <w:rPr>
        <w:rFonts w:hint="default"/>
      </w:rPr>
    </w:lvl>
    <w:lvl w:ilvl="6">
      <w:start w:val="1"/>
      <w:numFmt w:val="decimal"/>
      <w:lvlText w:val="%1.%2.%3.%4.%5.%6.%7"/>
      <w:lvlJc w:val="left"/>
      <w:pPr>
        <w:tabs>
          <w:tab w:val="num" w:pos="1872"/>
        </w:tabs>
        <w:ind w:left="1872" w:hanging="1440"/>
      </w:pPr>
      <w:rPr>
        <w:rFonts w:hint="default"/>
      </w:rPr>
    </w:lvl>
    <w:lvl w:ilvl="7">
      <w:start w:val="1"/>
      <w:numFmt w:val="decimal"/>
      <w:lvlText w:val="%1.%2.%3.%4.%5.%6.%7.%8"/>
      <w:lvlJc w:val="left"/>
      <w:pPr>
        <w:tabs>
          <w:tab w:val="num" w:pos="1944"/>
        </w:tabs>
        <w:ind w:left="1944" w:hanging="1440"/>
      </w:pPr>
      <w:rPr>
        <w:rFonts w:hint="default"/>
      </w:rPr>
    </w:lvl>
    <w:lvl w:ilvl="8">
      <w:start w:val="1"/>
      <w:numFmt w:val="decimal"/>
      <w:lvlText w:val="%1.%2.%3.%4.%5.%6.%7.%8.%9"/>
      <w:lvlJc w:val="left"/>
      <w:pPr>
        <w:tabs>
          <w:tab w:val="num" w:pos="2016"/>
        </w:tabs>
        <w:ind w:left="2016" w:hanging="1440"/>
      </w:pPr>
      <w:rPr>
        <w:rFonts w:hint="default"/>
      </w:rPr>
    </w:lvl>
  </w:abstractNum>
  <w:abstractNum w:abstractNumId="23">
    <w:nsid w:val="396E7DC2"/>
    <w:multiLevelType w:val="hybridMultilevel"/>
    <w:tmpl w:val="AA6EC0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AE222AB"/>
    <w:multiLevelType w:val="multilevel"/>
    <w:tmpl w:val="59101CA6"/>
    <w:numStyleLink w:val="Style1"/>
  </w:abstractNum>
  <w:abstractNum w:abstractNumId="25">
    <w:nsid w:val="3F5573BF"/>
    <w:multiLevelType w:val="multilevel"/>
    <w:tmpl w:val="93B40034"/>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26">
    <w:nsid w:val="41686883"/>
    <w:multiLevelType w:val="multilevel"/>
    <w:tmpl w:val="B9629EE2"/>
    <w:lvl w:ilvl="0">
      <w:start w:val="1"/>
      <w:numFmt w:val="bullet"/>
      <w:pStyle w:val="UtilComBulletText"/>
      <w:lvlText w:val=""/>
      <w:lvlJc w:val="left"/>
      <w:pPr>
        <w:tabs>
          <w:tab w:val="num" w:pos="964"/>
        </w:tabs>
        <w:ind w:left="964" w:hanging="397"/>
      </w:pPr>
      <w:rPr>
        <w:rFonts w:ascii="Symbol" w:hAnsi="Symbol" w:hint="default"/>
        <w:color w:val="auto"/>
      </w:rPr>
    </w:lvl>
    <w:lvl w:ilvl="1">
      <w:start w:val="1"/>
      <w:numFmt w:val="bullet"/>
      <w:lvlText w:val=""/>
      <w:lvlJc w:val="left"/>
      <w:pPr>
        <w:tabs>
          <w:tab w:val="num" w:pos="563"/>
        </w:tabs>
        <w:ind w:left="563" w:hanging="491"/>
      </w:pPr>
      <w:rPr>
        <w:rFonts w:ascii="Symbol" w:hAnsi="Symbol" w:hint="default"/>
        <w:color w:val="auto"/>
      </w:rPr>
    </w:lvl>
    <w:lvl w:ilvl="2">
      <w:start w:val="1"/>
      <w:numFmt w:val="decimal"/>
      <w:lvlText w:val="%1.%2.%3"/>
      <w:lvlJc w:val="left"/>
      <w:pPr>
        <w:tabs>
          <w:tab w:val="num" w:pos="864"/>
        </w:tabs>
        <w:ind w:left="864" w:hanging="720"/>
      </w:pPr>
      <w:rPr>
        <w:rFonts w:hint="default"/>
      </w:rPr>
    </w:lvl>
    <w:lvl w:ilvl="3">
      <w:start w:val="1"/>
      <w:numFmt w:val="decimal"/>
      <w:lvlText w:val="%1.%2.%3.%4"/>
      <w:lvlJc w:val="left"/>
      <w:pPr>
        <w:tabs>
          <w:tab w:val="num" w:pos="936"/>
        </w:tabs>
        <w:ind w:left="936" w:hanging="720"/>
      </w:pPr>
      <w:rPr>
        <w:rFonts w:hint="default"/>
      </w:rPr>
    </w:lvl>
    <w:lvl w:ilvl="4">
      <w:start w:val="1"/>
      <w:numFmt w:val="decimal"/>
      <w:lvlText w:val="%1.%2.%3.%4.%5"/>
      <w:lvlJc w:val="left"/>
      <w:pPr>
        <w:tabs>
          <w:tab w:val="num" w:pos="1368"/>
        </w:tabs>
        <w:ind w:left="1368" w:hanging="1080"/>
      </w:pPr>
      <w:rPr>
        <w:rFonts w:hint="default"/>
      </w:rPr>
    </w:lvl>
    <w:lvl w:ilvl="5">
      <w:start w:val="1"/>
      <w:numFmt w:val="decimal"/>
      <w:lvlText w:val="%1.%2.%3.%4.%5.%6"/>
      <w:lvlJc w:val="left"/>
      <w:pPr>
        <w:tabs>
          <w:tab w:val="num" w:pos="1440"/>
        </w:tabs>
        <w:ind w:left="1440" w:hanging="1080"/>
      </w:pPr>
      <w:rPr>
        <w:rFonts w:hint="default"/>
      </w:rPr>
    </w:lvl>
    <w:lvl w:ilvl="6">
      <w:start w:val="1"/>
      <w:numFmt w:val="decimal"/>
      <w:lvlText w:val="%1.%2.%3.%4.%5.%6.%7"/>
      <w:lvlJc w:val="left"/>
      <w:pPr>
        <w:tabs>
          <w:tab w:val="num" w:pos="1872"/>
        </w:tabs>
        <w:ind w:left="1872" w:hanging="1440"/>
      </w:pPr>
      <w:rPr>
        <w:rFonts w:hint="default"/>
      </w:rPr>
    </w:lvl>
    <w:lvl w:ilvl="7">
      <w:start w:val="1"/>
      <w:numFmt w:val="decimal"/>
      <w:lvlText w:val="%1.%2.%3.%4.%5.%6.%7.%8"/>
      <w:lvlJc w:val="left"/>
      <w:pPr>
        <w:tabs>
          <w:tab w:val="num" w:pos="1944"/>
        </w:tabs>
        <w:ind w:left="1944" w:hanging="1440"/>
      </w:pPr>
      <w:rPr>
        <w:rFonts w:hint="default"/>
      </w:rPr>
    </w:lvl>
    <w:lvl w:ilvl="8">
      <w:start w:val="1"/>
      <w:numFmt w:val="decimal"/>
      <w:lvlText w:val="%1.%2.%3.%4.%5.%6.%7.%8.%9"/>
      <w:lvlJc w:val="left"/>
      <w:pPr>
        <w:tabs>
          <w:tab w:val="num" w:pos="2016"/>
        </w:tabs>
        <w:ind w:left="2016" w:hanging="1440"/>
      </w:pPr>
      <w:rPr>
        <w:rFonts w:hint="default"/>
      </w:rPr>
    </w:lvl>
  </w:abstractNum>
  <w:abstractNum w:abstractNumId="27">
    <w:nsid w:val="41D30035"/>
    <w:multiLevelType w:val="hybridMultilevel"/>
    <w:tmpl w:val="1C043B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46672225"/>
    <w:multiLevelType w:val="hybridMultilevel"/>
    <w:tmpl w:val="28E084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AF13F0C"/>
    <w:multiLevelType w:val="hybridMultilevel"/>
    <w:tmpl w:val="5DC486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0">
    <w:nsid w:val="5483727F"/>
    <w:multiLevelType w:val="hybridMultilevel"/>
    <w:tmpl w:val="91B0B0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59D4630A"/>
    <w:multiLevelType w:val="multilevel"/>
    <w:tmpl w:val="8C8C7FD0"/>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32">
    <w:nsid w:val="5BA22A9C"/>
    <w:multiLevelType w:val="multilevel"/>
    <w:tmpl w:val="BECC5212"/>
    <w:lvl w:ilvl="0">
      <w:start w:val="1"/>
      <w:numFmt w:val="decimal"/>
      <w:lvlText w:val="Chapter %1"/>
      <w:lvlJc w:val="left"/>
      <w:pPr>
        <w:tabs>
          <w:tab w:val="num" w:pos="574"/>
        </w:tabs>
        <w:ind w:left="574" w:hanging="432"/>
      </w:pPr>
      <w:rPr>
        <w:rFonts w:hint="default"/>
      </w:rPr>
    </w:lvl>
    <w:lvl w:ilvl="1">
      <w:start w:val="1"/>
      <w:numFmt w:val="lowerLetter"/>
      <w:lvlText w:val="%2)"/>
      <w:lvlJc w:val="left"/>
      <w:pPr>
        <w:tabs>
          <w:tab w:val="num" w:pos="3270"/>
        </w:tabs>
        <w:ind w:left="3270"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nsid w:val="5C062A77"/>
    <w:multiLevelType w:val="multilevel"/>
    <w:tmpl w:val="25F0BB2A"/>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34">
    <w:nsid w:val="5CC6651F"/>
    <w:multiLevelType w:val="multilevel"/>
    <w:tmpl w:val="C89A6710"/>
    <w:lvl w:ilvl="0">
      <w:start w:val="1"/>
      <w:numFmt w:val="decimal"/>
      <w:lvlText w:val="Chapter %1"/>
      <w:lvlJc w:val="left"/>
      <w:pPr>
        <w:tabs>
          <w:tab w:val="num" w:pos="574"/>
        </w:tabs>
        <w:ind w:left="574" w:hanging="432"/>
      </w:pPr>
      <w:rPr>
        <w:rFonts w:hint="default"/>
      </w:rPr>
    </w:lvl>
    <w:lvl w:ilvl="1">
      <w:start w:val="1"/>
      <w:numFmt w:val="decimal"/>
      <w:lvlText w:val="%1.%2"/>
      <w:lvlJc w:val="left"/>
      <w:pPr>
        <w:tabs>
          <w:tab w:val="num" w:pos="3270"/>
        </w:tabs>
        <w:ind w:left="3270" w:hanging="576"/>
      </w:pPr>
      <w:rPr>
        <w:rFonts w:hint="default"/>
      </w:rPr>
    </w:lvl>
    <w:lvl w:ilvl="2">
      <w:start w:val="1"/>
      <w:numFmt w:val="bullet"/>
      <w:lvlText w:val=""/>
      <w:lvlJc w:val="left"/>
      <w:pPr>
        <w:tabs>
          <w:tab w:val="num" w:pos="720"/>
        </w:tabs>
        <w:ind w:left="720" w:hanging="720"/>
      </w:pPr>
      <w:rPr>
        <w:rFonts w:ascii="Symbol" w:hAnsi="Symbol"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5DCC2C9D"/>
    <w:multiLevelType w:val="hybridMultilevel"/>
    <w:tmpl w:val="9D265E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5E6B7B55"/>
    <w:multiLevelType w:val="hybridMultilevel"/>
    <w:tmpl w:val="AF7E1C08"/>
    <w:lvl w:ilvl="0" w:tplc="801A0C00">
      <w:start w:val="1"/>
      <w:numFmt w:val="lowerLetter"/>
      <w:lvlText w:val="(%1)"/>
      <w:lvlJc w:val="left"/>
      <w:pPr>
        <w:ind w:left="1069" w:hanging="360"/>
      </w:pPr>
      <w:rPr>
        <w:rFonts w:hint="default"/>
      </w:rPr>
    </w:lvl>
    <w:lvl w:ilvl="1" w:tplc="0C090019" w:tentative="1">
      <w:start w:val="1"/>
      <w:numFmt w:val="lowerLetter"/>
      <w:lvlText w:val="%2."/>
      <w:lvlJc w:val="left"/>
      <w:pPr>
        <w:ind w:left="1789" w:hanging="360"/>
      </w:pPr>
    </w:lvl>
    <w:lvl w:ilvl="2" w:tplc="0C09001B" w:tentative="1">
      <w:start w:val="1"/>
      <w:numFmt w:val="lowerRoman"/>
      <w:lvlText w:val="%3."/>
      <w:lvlJc w:val="right"/>
      <w:pPr>
        <w:ind w:left="2509" w:hanging="180"/>
      </w:pPr>
    </w:lvl>
    <w:lvl w:ilvl="3" w:tplc="0C09000F" w:tentative="1">
      <w:start w:val="1"/>
      <w:numFmt w:val="decimal"/>
      <w:lvlText w:val="%4."/>
      <w:lvlJc w:val="left"/>
      <w:pPr>
        <w:ind w:left="3229" w:hanging="360"/>
      </w:pPr>
    </w:lvl>
    <w:lvl w:ilvl="4" w:tplc="0C090019" w:tentative="1">
      <w:start w:val="1"/>
      <w:numFmt w:val="lowerLetter"/>
      <w:lvlText w:val="%5."/>
      <w:lvlJc w:val="left"/>
      <w:pPr>
        <w:ind w:left="3949" w:hanging="360"/>
      </w:pPr>
    </w:lvl>
    <w:lvl w:ilvl="5" w:tplc="0C09001B" w:tentative="1">
      <w:start w:val="1"/>
      <w:numFmt w:val="lowerRoman"/>
      <w:lvlText w:val="%6."/>
      <w:lvlJc w:val="right"/>
      <w:pPr>
        <w:ind w:left="4669" w:hanging="180"/>
      </w:pPr>
    </w:lvl>
    <w:lvl w:ilvl="6" w:tplc="0C09000F" w:tentative="1">
      <w:start w:val="1"/>
      <w:numFmt w:val="decimal"/>
      <w:lvlText w:val="%7."/>
      <w:lvlJc w:val="left"/>
      <w:pPr>
        <w:ind w:left="5389" w:hanging="360"/>
      </w:pPr>
    </w:lvl>
    <w:lvl w:ilvl="7" w:tplc="0C090019" w:tentative="1">
      <w:start w:val="1"/>
      <w:numFmt w:val="lowerLetter"/>
      <w:lvlText w:val="%8."/>
      <w:lvlJc w:val="left"/>
      <w:pPr>
        <w:ind w:left="6109" w:hanging="360"/>
      </w:pPr>
    </w:lvl>
    <w:lvl w:ilvl="8" w:tplc="0C09001B" w:tentative="1">
      <w:start w:val="1"/>
      <w:numFmt w:val="lowerRoman"/>
      <w:lvlText w:val="%9."/>
      <w:lvlJc w:val="right"/>
      <w:pPr>
        <w:ind w:left="6829" w:hanging="180"/>
      </w:pPr>
    </w:lvl>
  </w:abstractNum>
  <w:abstractNum w:abstractNumId="37">
    <w:nsid w:val="60D341A2"/>
    <w:multiLevelType w:val="multilevel"/>
    <w:tmpl w:val="6C209490"/>
    <w:lvl w:ilvl="0">
      <w:start w:val="1"/>
      <w:numFmt w:val="decimal"/>
      <w:lvlText w:val="Chapter %1"/>
      <w:lvlJc w:val="left"/>
      <w:pPr>
        <w:tabs>
          <w:tab w:val="num" w:pos="574"/>
        </w:tabs>
        <w:ind w:left="574" w:hanging="432"/>
      </w:pPr>
      <w:rPr>
        <w:rFonts w:hint="default"/>
      </w:rPr>
    </w:lvl>
    <w:lvl w:ilvl="1">
      <w:start w:val="1"/>
      <w:numFmt w:val="lowerLetter"/>
      <w:lvlText w:val="%2)"/>
      <w:lvlJc w:val="left"/>
      <w:pPr>
        <w:tabs>
          <w:tab w:val="num" w:pos="3270"/>
        </w:tabs>
        <w:ind w:left="3270"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nsid w:val="62FD57C2"/>
    <w:multiLevelType w:val="multilevel"/>
    <w:tmpl w:val="A274D8C0"/>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39">
    <w:nsid w:val="63A57CD8"/>
    <w:multiLevelType w:val="multilevel"/>
    <w:tmpl w:val="93B40034"/>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40">
    <w:nsid w:val="68D87C1F"/>
    <w:multiLevelType w:val="multilevel"/>
    <w:tmpl w:val="0AF4A68C"/>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41">
    <w:nsid w:val="6DC85453"/>
    <w:multiLevelType w:val="hybridMultilevel"/>
    <w:tmpl w:val="6978B6F2"/>
    <w:lvl w:ilvl="0" w:tplc="A24A9DE4">
      <w:start w:val="1"/>
      <w:numFmt w:val="bullet"/>
      <w:pStyle w:val="BulletedList"/>
      <w:lvlText w:val=""/>
      <w:lvlJc w:val="left"/>
      <w:pPr>
        <w:tabs>
          <w:tab w:val="num" w:pos="720"/>
        </w:tabs>
        <w:ind w:left="720" w:hanging="360"/>
      </w:pPr>
      <w:rPr>
        <w:rFonts w:ascii="Symbol" w:hAnsi="Symbol" w:hint="default"/>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6E5503EC"/>
    <w:multiLevelType w:val="hybridMultilevel"/>
    <w:tmpl w:val="69B0F3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71DA172D"/>
    <w:multiLevelType w:val="hybridMultilevel"/>
    <w:tmpl w:val="BFB633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77862409"/>
    <w:multiLevelType w:val="hybridMultilevel"/>
    <w:tmpl w:val="70E69B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78D42584"/>
    <w:multiLevelType w:val="hybridMultilevel"/>
    <w:tmpl w:val="D4CAF4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7C755EB8"/>
    <w:multiLevelType w:val="multilevel"/>
    <w:tmpl w:val="2BF8236C"/>
    <w:lvl w:ilvl="0">
      <w:start w:val="1"/>
      <w:numFmt w:val="decimal"/>
      <w:lvlText w:val="Chapter %1"/>
      <w:lvlJc w:val="left"/>
      <w:pPr>
        <w:tabs>
          <w:tab w:val="num" w:pos="2134"/>
        </w:tabs>
        <w:ind w:left="2134" w:hanging="432"/>
      </w:pPr>
      <w:rPr>
        <w:rFonts w:hint="default"/>
      </w:rPr>
    </w:lvl>
    <w:lvl w:ilvl="1">
      <w:start w:val="1"/>
      <w:numFmt w:val="bullet"/>
      <w:lvlText w:val=""/>
      <w:lvlJc w:val="left"/>
      <w:pPr>
        <w:tabs>
          <w:tab w:val="num" w:pos="2278"/>
        </w:tabs>
        <w:ind w:left="2278" w:hanging="576"/>
      </w:pPr>
      <w:rPr>
        <w:rFonts w:ascii="Symbol" w:hAnsi="Symbol" w:hint="default"/>
      </w:rPr>
    </w:lvl>
    <w:lvl w:ilvl="2">
      <w:start w:val="1"/>
      <w:numFmt w:val="decimal"/>
      <w:lvlText w:val="%1.%2.%3"/>
      <w:lvlJc w:val="left"/>
      <w:pPr>
        <w:tabs>
          <w:tab w:val="num" w:pos="2422"/>
        </w:tabs>
        <w:ind w:left="2422" w:hanging="720"/>
      </w:pPr>
      <w:rPr>
        <w:rFonts w:hint="default"/>
      </w:rPr>
    </w:lvl>
    <w:lvl w:ilvl="3">
      <w:start w:val="1"/>
      <w:numFmt w:val="decimal"/>
      <w:lvlText w:val="%1.%2.%3.%4"/>
      <w:lvlJc w:val="left"/>
      <w:pPr>
        <w:tabs>
          <w:tab w:val="num" w:pos="2566"/>
        </w:tabs>
        <w:ind w:left="2566" w:hanging="864"/>
      </w:pPr>
      <w:rPr>
        <w:rFonts w:hint="default"/>
      </w:rPr>
    </w:lvl>
    <w:lvl w:ilvl="4">
      <w:start w:val="1"/>
      <w:numFmt w:val="decimal"/>
      <w:lvlText w:val="%1.%2.%3.%4.%5"/>
      <w:lvlJc w:val="left"/>
      <w:pPr>
        <w:tabs>
          <w:tab w:val="num" w:pos="2710"/>
        </w:tabs>
        <w:ind w:left="2710" w:hanging="1008"/>
      </w:pPr>
      <w:rPr>
        <w:rFonts w:hint="default"/>
      </w:rPr>
    </w:lvl>
    <w:lvl w:ilvl="5">
      <w:start w:val="1"/>
      <w:numFmt w:val="decimal"/>
      <w:lvlText w:val="%1.%2.%3.%4.%5.%6"/>
      <w:lvlJc w:val="left"/>
      <w:pPr>
        <w:tabs>
          <w:tab w:val="num" w:pos="2854"/>
        </w:tabs>
        <w:ind w:left="2854" w:hanging="1152"/>
      </w:pPr>
      <w:rPr>
        <w:rFonts w:hint="default"/>
      </w:rPr>
    </w:lvl>
    <w:lvl w:ilvl="6">
      <w:start w:val="1"/>
      <w:numFmt w:val="decimal"/>
      <w:lvlText w:val="%1.%2.%3.%4.%5.%6.%7"/>
      <w:lvlJc w:val="left"/>
      <w:pPr>
        <w:tabs>
          <w:tab w:val="num" w:pos="2998"/>
        </w:tabs>
        <w:ind w:left="2998" w:hanging="1296"/>
      </w:pPr>
      <w:rPr>
        <w:rFonts w:hint="default"/>
      </w:rPr>
    </w:lvl>
    <w:lvl w:ilvl="7">
      <w:start w:val="1"/>
      <w:numFmt w:val="decimal"/>
      <w:lvlText w:val="%1.%2.%3.%4.%5.%6.%7.%8"/>
      <w:lvlJc w:val="left"/>
      <w:pPr>
        <w:tabs>
          <w:tab w:val="num" w:pos="3142"/>
        </w:tabs>
        <w:ind w:left="3142" w:hanging="1440"/>
      </w:pPr>
      <w:rPr>
        <w:rFonts w:hint="default"/>
      </w:rPr>
    </w:lvl>
    <w:lvl w:ilvl="8">
      <w:start w:val="1"/>
      <w:numFmt w:val="decimal"/>
      <w:lvlText w:val="%1.%2.%3.%4.%5.%6.%7.%8.%9"/>
      <w:lvlJc w:val="left"/>
      <w:pPr>
        <w:tabs>
          <w:tab w:val="num" w:pos="3286"/>
        </w:tabs>
        <w:ind w:left="3286" w:hanging="1584"/>
      </w:pPr>
      <w:rPr>
        <w:rFonts w:hint="default"/>
      </w:rPr>
    </w:lvl>
  </w:abstractNum>
  <w:abstractNum w:abstractNumId="47">
    <w:nsid w:val="7CCF5218"/>
    <w:multiLevelType w:val="hybridMultilevel"/>
    <w:tmpl w:val="5CC6A594"/>
    <w:lvl w:ilvl="0" w:tplc="0C090001">
      <w:start w:val="1"/>
      <w:numFmt w:val="bullet"/>
      <w:lvlText w:val=""/>
      <w:lvlJc w:val="left"/>
      <w:pPr>
        <w:ind w:left="1287" w:hanging="360"/>
      </w:pPr>
      <w:rPr>
        <w:rFonts w:ascii="Symbol" w:hAnsi="Symbol" w:hint="default"/>
      </w:rPr>
    </w:lvl>
    <w:lvl w:ilvl="1" w:tplc="0C090003">
      <w:start w:val="1"/>
      <w:numFmt w:val="bullet"/>
      <w:lvlText w:val="o"/>
      <w:lvlJc w:val="left"/>
      <w:pPr>
        <w:ind w:left="2007" w:hanging="360"/>
      </w:pPr>
      <w:rPr>
        <w:rFonts w:ascii="Courier New" w:hAnsi="Courier New" w:cs="Courier New" w:hint="default"/>
      </w:rPr>
    </w:lvl>
    <w:lvl w:ilvl="2" w:tplc="9FB69968">
      <w:numFmt w:val="bullet"/>
      <w:lvlText w:val="•"/>
      <w:lvlJc w:val="left"/>
      <w:pPr>
        <w:ind w:left="2727" w:hanging="360"/>
      </w:pPr>
      <w:rPr>
        <w:rFonts w:ascii="Arial" w:eastAsia="Times New Roman" w:hAnsi="Arial" w:cs="Arial"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48">
    <w:nsid w:val="7EA673FA"/>
    <w:multiLevelType w:val="multilevel"/>
    <w:tmpl w:val="B91E62B4"/>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abstractNum w:abstractNumId="49">
    <w:nsid w:val="7EDA3EF3"/>
    <w:multiLevelType w:val="multilevel"/>
    <w:tmpl w:val="41A8596C"/>
    <w:lvl w:ilvl="0">
      <w:start w:val="1"/>
      <w:numFmt w:val="lowerLetter"/>
      <w:lvlText w:val="%1)"/>
      <w:lvlJc w:val="left"/>
      <w:pPr>
        <w:tabs>
          <w:tab w:val="num" w:pos="1106"/>
        </w:tabs>
        <w:ind w:left="1106" w:hanging="397"/>
      </w:pPr>
      <w:rPr>
        <w:rFonts w:hint="default"/>
        <w:color w:val="auto"/>
      </w:rPr>
    </w:lvl>
    <w:lvl w:ilvl="1">
      <w:start w:val="1"/>
      <w:numFmt w:val="bullet"/>
      <w:lvlText w:val=""/>
      <w:lvlJc w:val="left"/>
      <w:pPr>
        <w:tabs>
          <w:tab w:val="num" w:pos="705"/>
        </w:tabs>
        <w:ind w:left="705" w:hanging="491"/>
      </w:pPr>
      <w:rPr>
        <w:rFonts w:ascii="Symbol" w:hAnsi="Symbol" w:hint="default"/>
        <w:color w:val="auto"/>
      </w:rPr>
    </w:lvl>
    <w:lvl w:ilvl="2">
      <w:start w:val="1"/>
      <w:numFmt w:val="decimal"/>
      <w:lvlText w:val="%1.%2.%3"/>
      <w:lvlJc w:val="left"/>
      <w:pPr>
        <w:tabs>
          <w:tab w:val="num" w:pos="1006"/>
        </w:tabs>
        <w:ind w:left="1006" w:hanging="720"/>
      </w:pPr>
      <w:rPr>
        <w:rFonts w:hint="default"/>
      </w:rPr>
    </w:lvl>
    <w:lvl w:ilvl="3">
      <w:start w:val="1"/>
      <w:numFmt w:val="decimal"/>
      <w:lvlText w:val="%1.%2.%3.%4"/>
      <w:lvlJc w:val="left"/>
      <w:pPr>
        <w:tabs>
          <w:tab w:val="num" w:pos="1078"/>
        </w:tabs>
        <w:ind w:left="1078" w:hanging="720"/>
      </w:pPr>
      <w:rPr>
        <w:rFonts w:hint="default"/>
      </w:rPr>
    </w:lvl>
    <w:lvl w:ilvl="4">
      <w:start w:val="1"/>
      <w:numFmt w:val="decimal"/>
      <w:lvlText w:val="%1.%2.%3.%4.%5"/>
      <w:lvlJc w:val="left"/>
      <w:pPr>
        <w:tabs>
          <w:tab w:val="num" w:pos="1510"/>
        </w:tabs>
        <w:ind w:left="1510" w:hanging="1080"/>
      </w:pPr>
      <w:rPr>
        <w:rFonts w:hint="default"/>
      </w:rPr>
    </w:lvl>
    <w:lvl w:ilvl="5">
      <w:start w:val="1"/>
      <w:numFmt w:val="decimal"/>
      <w:lvlText w:val="%1.%2.%3.%4.%5.%6"/>
      <w:lvlJc w:val="left"/>
      <w:pPr>
        <w:tabs>
          <w:tab w:val="num" w:pos="1582"/>
        </w:tabs>
        <w:ind w:left="1582" w:hanging="1080"/>
      </w:pPr>
      <w:rPr>
        <w:rFonts w:hint="default"/>
      </w:rPr>
    </w:lvl>
    <w:lvl w:ilvl="6">
      <w:start w:val="1"/>
      <w:numFmt w:val="decimal"/>
      <w:lvlText w:val="%1.%2.%3.%4.%5.%6.%7"/>
      <w:lvlJc w:val="left"/>
      <w:pPr>
        <w:tabs>
          <w:tab w:val="num" w:pos="2014"/>
        </w:tabs>
        <w:ind w:left="2014" w:hanging="1440"/>
      </w:pPr>
      <w:rPr>
        <w:rFonts w:hint="default"/>
      </w:rPr>
    </w:lvl>
    <w:lvl w:ilvl="7">
      <w:start w:val="1"/>
      <w:numFmt w:val="decimal"/>
      <w:lvlText w:val="%1.%2.%3.%4.%5.%6.%7.%8"/>
      <w:lvlJc w:val="left"/>
      <w:pPr>
        <w:tabs>
          <w:tab w:val="num" w:pos="2086"/>
        </w:tabs>
        <w:ind w:left="2086" w:hanging="1440"/>
      </w:pPr>
      <w:rPr>
        <w:rFonts w:hint="default"/>
      </w:rPr>
    </w:lvl>
    <w:lvl w:ilvl="8">
      <w:start w:val="1"/>
      <w:numFmt w:val="decimal"/>
      <w:lvlText w:val="%1.%2.%3.%4.%5.%6.%7.%8.%9"/>
      <w:lvlJc w:val="left"/>
      <w:pPr>
        <w:tabs>
          <w:tab w:val="num" w:pos="2158"/>
        </w:tabs>
        <w:ind w:left="2158" w:hanging="1440"/>
      </w:pPr>
      <w:rPr>
        <w:rFonts w:hint="default"/>
      </w:rPr>
    </w:lvl>
  </w:abstractNum>
  <w:num w:numId="1">
    <w:abstractNumId w:val="0"/>
    <w:lvlOverride w:ilvl="0">
      <w:lvl w:ilvl="0">
        <w:start w:val="1"/>
        <w:numFmt w:val="bullet"/>
        <w:pStyle w:val="Caption"/>
        <w:lvlText w:val=""/>
        <w:legacy w:legacy="1" w:legacySpace="0" w:legacyIndent="120"/>
        <w:lvlJc w:val="left"/>
        <w:pPr>
          <w:ind w:left="1920" w:hanging="120"/>
        </w:pPr>
        <w:rPr>
          <w:rFonts w:ascii="Symbol" w:hAnsi="Symbol" w:hint="default"/>
          <w:sz w:val="18"/>
        </w:rPr>
      </w:lvl>
    </w:lvlOverride>
  </w:num>
  <w:num w:numId="2">
    <w:abstractNumId w:val="41"/>
  </w:num>
  <w:num w:numId="3">
    <w:abstractNumId w:val="26"/>
  </w:num>
  <w:num w:numId="4">
    <w:abstractNumId w:val="34"/>
  </w:num>
  <w:num w:numId="5">
    <w:abstractNumId w:val="34"/>
  </w:num>
  <w:num w:numId="6">
    <w:abstractNumId w:val="24"/>
  </w:num>
  <w:num w:numId="7">
    <w:abstractNumId w:val="22"/>
  </w:num>
  <w:num w:numId="8">
    <w:abstractNumId w:val="27"/>
  </w:num>
  <w:num w:numId="9">
    <w:abstractNumId w:val="12"/>
  </w:num>
  <w:num w:numId="10">
    <w:abstractNumId w:val="29"/>
  </w:num>
  <w:num w:numId="11">
    <w:abstractNumId w:val="46"/>
  </w:num>
  <w:num w:numId="12">
    <w:abstractNumId w:val="47"/>
  </w:num>
  <w:num w:numId="13">
    <w:abstractNumId w:val="17"/>
  </w:num>
  <w:num w:numId="14">
    <w:abstractNumId w:val="43"/>
  </w:num>
  <w:num w:numId="15">
    <w:abstractNumId w:val="21"/>
  </w:num>
  <w:num w:numId="16">
    <w:abstractNumId w:val="37"/>
  </w:num>
  <w:num w:numId="17">
    <w:abstractNumId w:val="32"/>
  </w:num>
  <w:num w:numId="18">
    <w:abstractNumId w:val="25"/>
  </w:num>
  <w:num w:numId="19">
    <w:abstractNumId w:val="16"/>
  </w:num>
  <w:num w:numId="20">
    <w:abstractNumId w:val="23"/>
  </w:num>
  <w:num w:numId="21">
    <w:abstractNumId w:val="30"/>
  </w:num>
  <w:num w:numId="22">
    <w:abstractNumId w:val="42"/>
  </w:num>
  <w:num w:numId="23">
    <w:abstractNumId w:val="13"/>
  </w:num>
  <w:num w:numId="24">
    <w:abstractNumId w:val="3"/>
  </w:num>
  <w:num w:numId="25">
    <w:abstractNumId w:val="35"/>
  </w:num>
  <w:num w:numId="26">
    <w:abstractNumId w:val="20"/>
  </w:num>
  <w:num w:numId="27">
    <w:abstractNumId w:val="45"/>
  </w:num>
  <w:num w:numId="28">
    <w:abstractNumId w:val="44"/>
  </w:num>
  <w:num w:numId="29">
    <w:abstractNumId w:val="9"/>
  </w:num>
  <w:num w:numId="30">
    <w:abstractNumId w:val="28"/>
  </w:num>
  <w:num w:numId="31">
    <w:abstractNumId w:val="39"/>
  </w:num>
  <w:num w:numId="32">
    <w:abstractNumId w:val="48"/>
  </w:num>
  <w:num w:numId="33">
    <w:abstractNumId w:val="4"/>
  </w:num>
  <w:num w:numId="34">
    <w:abstractNumId w:val="1"/>
  </w:num>
  <w:num w:numId="35">
    <w:abstractNumId w:val="31"/>
  </w:num>
  <w:num w:numId="36">
    <w:abstractNumId w:val="38"/>
  </w:num>
  <w:num w:numId="37">
    <w:abstractNumId w:val="18"/>
  </w:num>
  <w:num w:numId="38">
    <w:abstractNumId w:val="49"/>
  </w:num>
  <w:num w:numId="39">
    <w:abstractNumId w:val="11"/>
  </w:num>
  <w:num w:numId="40">
    <w:abstractNumId w:val="7"/>
  </w:num>
  <w:num w:numId="41">
    <w:abstractNumId w:val="33"/>
  </w:num>
  <w:num w:numId="42">
    <w:abstractNumId w:val="40"/>
  </w:num>
  <w:num w:numId="43">
    <w:abstractNumId w:val="6"/>
  </w:num>
  <w:num w:numId="44">
    <w:abstractNumId w:val="2"/>
  </w:num>
  <w:num w:numId="45">
    <w:abstractNumId w:val="15"/>
  </w:num>
  <w:num w:numId="46">
    <w:abstractNumId w:val="10"/>
  </w:num>
  <w:num w:numId="47">
    <w:abstractNumId w:val="19"/>
  </w:num>
  <w:num w:numId="48">
    <w:abstractNumId w:val="36"/>
  </w:num>
  <w:num w:numId="49">
    <w:abstractNumId w:val="8"/>
  </w:num>
  <w:num w:numId="50">
    <w:abstractNumId w:val="5"/>
  </w:num>
  <w:num w:numId="51">
    <w:abstractNumId w:val="26"/>
  </w:num>
  <w:num w:numId="52">
    <w:abstractNumId w:val="26"/>
  </w:num>
  <w:num w:numId="53">
    <w:abstractNumId w:val="14"/>
  </w:num>
  <w:num w:numId="54">
    <w:abstractNumId w:val="26"/>
  </w:num>
  <w:num w:numId="55">
    <w:abstractNumId w:val="26"/>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activeWritingStyle w:appName="MSWord" w:lang="en-US" w:vendorID="8" w:dllVersion="513"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enforcement="1" w:cryptProviderType="rsaFull" w:cryptAlgorithmClass="hash" w:cryptAlgorithmType="typeAny" w:cryptAlgorithmSid="4" w:cryptSpinCount="100000" w:hash="Y1oPSGY7RlTBWopc/2kwDPmQzNM=" w:salt="2YEb6HJqeI5xnz0HGmAB9Q=="/>
  <w:defaultTabStop w:val="720"/>
  <w:drawingGridHorizontalSpacing w:val="187"/>
  <w:drawingGridVerticalSpacing w:val="187"/>
  <w:doNotUseMarginsForDrawingGridOrigin/>
  <w:drawingGridHorizontalOrigin w:val="1699"/>
  <w:drawingGridVerticalOrigin w:val="1987"/>
  <w:noPunctuationKerning/>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7327"/>
    <w:rsid w:val="000012AA"/>
    <w:rsid w:val="00001A3C"/>
    <w:rsid w:val="000022D0"/>
    <w:rsid w:val="0000263C"/>
    <w:rsid w:val="00003986"/>
    <w:rsid w:val="00004202"/>
    <w:rsid w:val="000048D0"/>
    <w:rsid w:val="00004B5B"/>
    <w:rsid w:val="0000681E"/>
    <w:rsid w:val="00006B84"/>
    <w:rsid w:val="000101EA"/>
    <w:rsid w:val="0001087C"/>
    <w:rsid w:val="00010A02"/>
    <w:rsid w:val="000110A3"/>
    <w:rsid w:val="00011BC3"/>
    <w:rsid w:val="00011F28"/>
    <w:rsid w:val="0001335C"/>
    <w:rsid w:val="000134C4"/>
    <w:rsid w:val="00013B0E"/>
    <w:rsid w:val="000140FA"/>
    <w:rsid w:val="00014542"/>
    <w:rsid w:val="0001674B"/>
    <w:rsid w:val="00016B65"/>
    <w:rsid w:val="0001779F"/>
    <w:rsid w:val="000227FE"/>
    <w:rsid w:val="00023102"/>
    <w:rsid w:val="0002398B"/>
    <w:rsid w:val="00024444"/>
    <w:rsid w:val="000257EB"/>
    <w:rsid w:val="00033B04"/>
    <w:rsid w:val="00034059"/>
    <w:rsid w:val="000341C3"/>
    <w:rsid w:val="00035A3B"/>
    <w:rsid w:val="00035DCE"/>
    <w:rsid w:val="00036CAB"/>
    <w:rsid w:val="00036DA7"/>
    <w:rsid w:val="000410E9"/>
    <w:rsid w:val="00041FA5"/>
    <w:rsid w:val="00042981"/>
    <w:rsid w:val="000447E0"/>
    <w:rsid w:val="000451D4"/>
    <w:rsid w:val="00045905"/>
    <w:rsid w:val="00045AA3"/>
    <w:rsid w:val="00045EAF"/>
    <w:rsid w:val="00046643"/>
    <w:rsid w:val="00046FD6"/>
    <w:rsid w:val="0004774D"/>
    <w:rsid w:val="0005098E"/>
    <w:rsid w:val="00050AA2"/>
    <w:rsid w:val="0005233A"/>
    <w:rsid w:val="00054215"/>
    <w:rsid w:val="00054C00"/>
    <w:rsid w:val="00055192"/>
    <w:rsid w:val="00056708"/>
    <w:rsid w:val="0005758B"/>
    <w:rsid w:val="000607E8"/>
    <w:rsid w:val="00063087"/>
    <w:rsid w:val="000630EE"/>
    <w:rsid w:val="00064016"/>
    <w:rsid w:val="00067AFC"/>
    <w:rsid w:val="000704CE"/>
    <w:rsid w:val="000708FA"/>
    <w:rsid w:val="000713E3"/>
    <w:rsid w:val="000715E0"/>
    <w:rsid w:val="0007216A"/>
    <w:rsid w:val="000745B7"/>
    <w:rsid w:val="00074946"/>
    <w:rsid w:val="00074CFD"/>
    <w:rsid w:val="000760D5"/>
    <w:rsid w:val="00076DB6"/>
    <w:rsid w:val="00077523"/>
    <w:rsid w:val="000775D1"/>
    <w:rsid w:val="00077954"/>
    <w:rsid w:val="00080720"/>
    <w:rsid w:val="00082276"/>
    <w:rsid w:val="00083A7F"/>
    <w:rsid w:val="00083FAA"/>
    <w:rsid w:val="00084456"/>
    <w:rsid w:val="00084551"/>
    <w:rsid w:val="00085AF3"/>
    <w:rsid w:val="00085D69"/>
    <w:rsid w:val="00085EBA"/>
    <w:rsid w:val="0008641C"/>
    <w:rsid w:val="00086628"/>
    <w:rsid w:val="00086889"/>
    <w:rsid w:val="00087264"/>
    <w:rsid w:val="00087986"/>
    <w:rsid w:val="00090A5C"/>
    <w:rsid w:val="0009333A"/>
    <w:rsid w:val="000939E6"/>
    <w:rsid w:val="000943D3"/>
    <w:rsid w:val="00094A91"/>
    <w:rsid w:val="00094E59"/>
    <w:rsid w:val="00094E7A"/>
    <w:rsid w:val="00095183"/>
    <w:rsid w:val="000964EE"/>
    <w:rsid w:val="00096EEA"/>
    <w:rsid w:val="00097C3F"/>
    <w:rsid w:val="000A1DB4"/>
    <w:rsid w:val="000A2365"/>
    <w:rsid w:val="000A248D"/>
    <w:rsid w:val="000A2B88"/>
    <w:rsid w:val="000A2E49"/>
    <w:rsid w:val="000A3526"/>
    <w:rsid w:val="000A3DB7"/>
    <w:rsid w:val="000A4188"/>
    <w:rsid w:val="000A42CF"/>
    <w:rsid w:val="000A4EF7"/>
    <w:rsid w:val="000A54B3"/>
    <w:rsid w:val="000A6BFA"/>
    <w:rsid w:val="000A74EC"/>
    <w:rsid w:val="000A7A25"/>
    <w:rsid w:val="000B0A4D"/>
    <w:rsid w:val="000B0B58"/>
    <w:rsid w:val="000B0D34"/>
    <w:rsid w:val="000B106E"/>
    <w:rsid w:val="000B21F0"/>
    <w:rsid w:val="000B32A3"/>
    <w:rsid w:val="000B465A"/>
    <w:rsid w:val="000B6299"/>
    <w:rsid w:val="000B637D"/>
    <w:rsid w:val="000B712C"/>
    <w:rsid w:val="000B7B49"/>
    <w:rsid w:val="000B7E70"/>
    <w:rsid w:val="000C089E"/>
    <w:rsid w:val="000C1280"/>
    <w:rsid w:val="000C1567"/>
    <w:rsid w:val="000C17AE"/>
    <w:rsid w:val="000C1D76"/>
    <w:rsid w:val="000C2BAB"/>
    <w:rsid w:val="000C4A86"/>
    <w:rsid w:val="000C5D55"/>
    <w:rsid w:val="000C5EE4"/>
    <w:rsid w:val="000C6589"/>
    <w:rsid w:val="000D0B8E"/>
    <w:rsid w:val="000D0F17"/>
    <w:rsid w:val="000D2EC0"/>
    <w:rsid w:val="000D5DD0"/>
    <w:rsid w:val="000D7AAB"/>
    <w:rsid w:val="000E1C44"/>
    <w:rsid w:val="000E52B8"/>
    <w:rsid w:val="000E6907"/>
    <w:rsid w:val="000E6AF3"/>
    <w:rsid w:val="000E76D9"/>
    <w:rsid w:val="000F23DB"/>
    <w:rsid w:val="000F3038"/>
    <w:rsid w:val="000F303A"/>
    <w:rsid w:val="000F3B5C"/>
    <w:rsid w:val="000F404F"/>
    <w:rsid w:val="000F4B9A"/>
    <w:rsid w:val="000F6E31"/>
    <w:rsid w:val="000F71ED"/>
    <w:rsid w:val="000F734F"/>
    <w:rsid w:val="0010082F"/>
    <w:rsid w:val="001008AA"/>
    <w:rsid w:val="00101EAE"/>
    <w:rsid w:val="00104537"/>
    <w:rsid w:val="00104762"/>
    <w:rsid w:val="00105316"/>
    <w:rsid w:val="00105589"/>
    <w:rsid w:val="00106580"/>
    <w:rsid w:val="00106A26"/>
    <w:rsid w:val="00106C83"/>
    <w:rsid w:val="00107178"/>
    <w:rsid w:val="00107D48"/>
    <w:rsid w:val="00110E8B"/>
    <w:rsid w:val="00111134"/>
    <w:rsid w:val="0011209F"/>
    <w:rsid w:val="0011295E"/>
    <w:rsid w:val="001133A1"/>
    <w:rsid w:val="00113A07"/>
    <w:rsid w:val="001144DC"/>
    <w:rsid w:val="00114B1D"/>
    <w:rsid w:val="00114E65"/>
    <w:rsid w:val="00115654"/>
    <w:rsid w:val="00115DFD"/>
    <w:rsid w:val="00116B4C"/>
    <w:rsid w:val="001171D6"/>
    <w:rsid w:val="001177B4"/>
    <w:rsid w:val="001209C6"/>
    <w:rsid w:val="00122BBA"/>
    <w:rsid w:val="00123C01"/>
    <w:rsid w:val="00124423"/>
    <w:rsid w:val="001257D5"/>
    <w:rsid w:val="00125E7A"/>
    <w:rsid w:val="0012666A"/>
    <w:rsid w:val="00127A28"/>
    <w:rsid w:val="00127B06"/>
    <w:rsid w:val="001305C3"/>
    <w:rsid w:val="001309E9"/>
    <w:rsid w:val="001317B0"/>
    <w:rsid w:val="00133C70"/>
    <w:rsid w:val="001341F0"/>
    <w:rsid w:val="00134A11"/>
    <w:rsid w:val="00134DD9"/>
    <w:rsid w:val="00134FA0"/>
    <w:rsid w:val="001363CF"/>
    <w:rsid w:val="00136EF9"/>
    <w:rsid w:val="001426EE"/>
    <w:rsid w:val="001430C0"/>
    <w:rsid w:val="00143213"/>
    <w:rsid w:val="00143247"/>
    <w:rsid w:val="00143377"/>
    <w:rsid w:val="001434EE"/>
    <w:rsid w:val="00144ACA"/>
    <w:rsid w:val="00145796"/>
    <w:rsid w:val="00145AAB"/>
    <w:rsid w:val="00147004"/>
    <w:rsid w:val="00151330"/>
    <w:rsid w:val="00151356"/>
    <w:rsid w:val="00152CEA"/>
    <w:rsid w:val="00152EC5"/>
    <w:rsid w:val="00154F23"/>
    <w:rsid w:val="00155201"/>
    <w:rsid w:val="0015679A"/>
    <w:rsid w:val="001576E1"/>
    <w:rsid w:val="001600A5"/>
    <w:rsid w:val="00160691"/>
    <w:rsid w:val="0016078C"/>
    <w:rsid w:val="00160B60"/>
    <w:rsid w:val="00162818"/>
    <w:rsid w:val="00163BEF"/>
    <w:rsid w:val="00164ED4"/>
    <w:rsid w:val="001652BB"/>
    <w:rsid w:val="00165672"/>
    <w:rsid w:val="00165840"/>
    <w:rsid w:val="00165CDF"/>
    <w:rsid w:val="001673A2"/>
    <w:rsid w:val="00167770"/>
    <w:rsid w:val="001716D2"/>
    <w:rsid w:val="00172163"/>
    <w:rsid w:val="00172769"/>
    <w:rsid w:val="001732EB"/>
    <w:rsid w:val="0017343A"/>
    <w:rsid w:val="001745AE"/>
    <w:rsid w:val="001751F6"/>
    <w:rsid w:val="001760B5"/>
    <w:rsid w:val="00176446"/>
    <w:rsid w:val="00176BC8"/>
    <w:rsid w:val="0017703A"/>
    <w:rsid w:val="001776C4"/>
    <w:rsid w:val="00184F77"/>
    <w:rsid w:val="00185936"/>
    <w:rsid w:val="00185AA9"/>
    <w:rsid w:val="0018608B"/>
    <w:rsid w:val="0018648D"/>
    <w:rsid w:val="00190802"/>
    <w:rsid w:val="00190F78"/>
    <w:rsid w:val="001911C2"/>
    <w:rsid w:val="0019275F"/>
    <w:rsid w:val="0019447E"/>
    <w:rsid w:val="001952ED"/>
    <w:rsid w:val="0019585F"/>
    <w:rsid w:val="00195E50"/>
    <w:rsid w:val="00196551"/>
    <w:rsid w:val="001968CE"/>
    <w:rsid w:val="0019743C"/>
    <w:rsid w:val="0019748E"/>
    <w:rsid w:val="00197E45"/>
    <w:rsid w:val="001A3421"/>
    <w:rsid w:val="001A4A1A"/>
    <w:rsid w:val="001A4AEB"/>
    <w:rsid w:val="001A4BFF"/>
    <w:rsid w:val="001A4E81"/>
    <w:rsid w:val="001A7915"/>
    <w:rsid w:val="001A7BB4"/>
    <w:rsid w:val="001A7D56"/>
    <w:rsid w:val="001B1783"/>
    <w:rsid w:val="001B1A7E"/>
    <w:rsid w:val="001B4282"/>
    <w:rsid w:val="001B5558"/>
    <w:rsid w:val="001B5A73"/>
    <w:rsid w:val="001B7115"/>
    <w:rsid w:val="001C118D"/>
    <w:rsid w:val="001C1D74"/>
    <w:rsid w:val="001C2CA4"/>
    <w:rsid w:val="001C2FA4"/>
    <w:rsid w:val="001C4A6B"/>
    <w:rsid w:val="001C5658"/>
    <w:rsid w:val="001C59B6"/>
    <w:rsid w:val="001C5A9B"/>
    <w:rsid w:val="001C692B"/>
    <w:rsid w:val="001D023E"/>
    <w:rsid w:val="001D102C"/>
    <w:rsid w:val="001D1227"/>
    <w:rsid w:val="001D2066"/>
    <w:rsid w:val="001D21E9"/>
    <w:rsid w:val="001D23B4"/>
    <w:rsid w:val="001D240D"/>
    <w:rsid w:val="001D25EB"/>
    <w:rsid w:val="001D327D"/>
    <w:rsid w:val="001D5122"/>
    <w:rsid w:val="001D53E7"/>
    <w:rsid w:val="001D5704"/>
    <w:rsid w:val="001D7657"/>
    <w:rsid w:val="001D78D3"/>
    <w:rsid w:val="001D7CF6"/>
    <w:rsid w:val="001E0357"/>
    <w:rsid w:val="001E1058"/>
    <w:rsid w:val="001E143D"/>
    <w:rsid w:val="001E261A"/>
    <w:rsid w:val="001E33EC"/>
    <w:rsid w:val="001E3D81"/>
    <w:rsid w:val="001E47EE"/>
    <w:rsid w:val="001E4C13"/>
    <w:rsid w:val="001E4D9A"/>
    <w:rsid w:val="001E6003"/>
    <w:rsid w:val="001E620B"/>
    <w:rsid w:val="001F086B"/>
    <w:rsid w:val="001F0A6B"/>
    <w:rsid w:val="001F0FFB"/>
    <w:rsid w:val="001F13AA"/>
    <w:rsid w:val="001F16A6"/>
    <w:rsid w:val="001F220A"/>
    <w:rsid w:val="001F36EB"/>
    <w:rsid w:val="001F42BA"/>
    <w:rsid w:val="001F485A"/>
    <w:rsid w:val="001F49B3"/>
    <w:rsid w:val="001F54EF"/>
    <w:rsid w:val="001F5DEB"/>
    <w:rsid w:val="001F6BE8"/>
    <w:rsid w:val="001F6D9C"/>
    <w:rsid w:val="001F70F5"/>
    <w:rsid w:val="00201FD2"/>
    <w:rsid w:val="002027B1"/>
    <w:rsid w:val="002040DE"/>
    <w:rsid w:val="002045BF"/>
    <w:rsid w:val="002046E5"/>
    <w:rsid w:val="00204DF6"/>
    <w:rsid w:val="00205386"/>
    <w:rsid w:val="0020583D"/>
    <w:rsid w:val="00206B94"/>
    <w:rsid w:val="002074D5"/>
    <w:rsid w:val="00207549"/>
    <w:rsid w:val="002104A3"/>
    <w:rsid w:val="002109E3"/>
    <w:rsid w:val="00210AD5"/>
    <w:rsid w:val="00210C7E"/>
    <w:rsid w:val="00210E83"/>
    <w:rsid w:val="0021208C"/>
    <w:rsid w:val="0021239F"/>
    <w:rsid w:val="0021320D"/>
    <w:rsid w:val="00213DC7"/>
    <w:rsid w:val="00213E3C"/>
    <w:rsid w:val="00214519"/>
    <w:rsid w:val="00215068"/>
    <w:rsid w:val="002165F7"/>
    <w:rsid w:val="0021699C"/>
    <w:rsid w:val="00220D7E"/>
    <w:rsid w:val="00221585"/>
    <w:rsid w:val="00222331"/>
    <w:rsid w:val="002225E5"/>
    <w:rsid w:val="002237F4"/>
    <w:rsid w:val="00225582"/>
    <w:rsid w:val="00225FAB"/>
    <w:rsid w:val="0022712C"/>
    <w:rsid w:val="0023054E"/>
    <w:rsid w:val="0023346A"/>
    <w:rsid w:val="0023453B"/>
    <w:rsid w:val="00237AF3"/>
    <w:rsid w:val="00240D29"/>
    <w:rsid w:val="00240D91"/>
    <w:rsid w:val="00240F4B"/>
    <w:rsid w:val="0024206D"/>
    <w:rsid w:val="00242167"/>
    <w:rsid w:val="00242685"/>
    <w:rsid w:val="0024347A"/>
    <w:rsid w:val="0024393C"/>
    <w:rsid w:val="00243FBE"/>
    <w:rsid w:val="0024565A"/>
    <w:rsid w:val="002463EA"/>
    <w:rsid w:val="00246B7B"/>
    <w:rsid w:val="00246C67"/>
    <w:rsid w:val="00246D0C"/>
    <w:rsid w:val="002473B3"/>
    <w:rsid w:val="002508DC"/>
    <w:rsid w:val="002516F8"/>
    <w:rsid w:val="0025305F"/>
    <w:rsid w:val="002534F1"/>
    <w:rsid w:val="00254327"/>
    <w:rsid w:val="002554E3"/>
    <w:rsid w:val="00255BA5"/>
    <w:rsid w:val="0025706B"/>
    <w:rsid w:val="0025718D"/>
    <w:rsid w:val="0026202E"/>
    <w:rsid w:val="00262201"/>
    <w:rsid w:val="00262D52"/>
    <w:rsid w:val="00263814"/>
    <w:rsid w:val="00263E57"/>
    <w:rsid w:val="00263EC3"/>
    <w:rsid w:val="0026467C"/>
    <w:rsid w:val="00264E61"/>
    <w:rsid w:val="0026697E"/>
    <w:rsid w:val="002669BC"/>
    <w:rsid w:val="00267B6F"/>
    <w:rsid w:val="0027078E"/>
    <w:rsid w:val="00270B81"/>
    <w:rsid w:val="002719F3"/>
    <w:rsid w:val="0027244C"/>
    <w:rsid w:val="00274F90"/>
    <w:rsid w:val="00275223"/>
    <w:rsid w:val="002754D1"/>
    <w:rsid w:val="002755ED"/>
    <w:rsid w:val="002771EC"/>
    <w:rsid w:val="0027767C"/>
    <w:rsid w:val="0028038F"/>
    <w:rsid w:val="00281841"/>
    <w:rsid w:val="00282118"/>
    <w:rsid w:val="002846C8"/>
    <w:rsid w:val="00284BFA"/>
    <w:rsid w:val="00284E14"/>
    <w:rsid w:val="00284F4E"/>
    <w:rsid w:val="00285FEA"/>
    <w:rsid w:val="0028691C"/>
    <w:rsid w:val="002877CB"/>
    <w:rsid w:val="00287C97"/>
    <w:rsid w:val="0029039D"/>
    <w:rsid w:val="00293215"/>
    <w:rsid w:val="00294A96"/>
    <w:rsid w:val="00295D8E"/>
    <w:rsid w:val="00296B6B"/>
    <w:rsid w:val="002A1823"/>
    <w:rsid w:val="002A1C3E"/>
    <w:rsid w:val="002A1F7B"/>
    <w:rsid w:val="002A24BC"/>
    <w:rsid w:val="002A2C6F"/>
    <w:rsid w:val="002A30BA"/>
    <w:rsid w:val="002A3CD0"/>
    <w:rsid w:val="002A426A"/>
    <w:rsid w:val="002A48E2"/>
    <w:rsid w:val="002A49BF"/>
    <w:rsid w:val="002A4F45"/>
    <w:rsid w:val="002A5270"/>
    <w:rsid w:val="002A5CBB"/>
    <w:rsid w:val="002A5D75"/>
    <w:rsid w:val="002A7E60"/>
    <w:rsid w:val="002B1150"/>
    <w:rsid w:val="002B1938"/>
    <w:rsid w:val="002B2BEF"/>
    <w:rsid w:val="002B33F9"/>
    <w:rsid w:val="002B3B76"/>
    <w:rsid w:val="002B5BB1"/>
    <w:rsid w:val="002B6C7A"/>
    <w:rsid w:val="002B6F63"/>
    <w:rsid w:val="002C154F"/>
    <w:rsid w:val="002C1C56"/>
    <w:rsid w:val="002C1CF3"/>
    <w:rsid w:val="002C1E0A"/>
    <w:rsid w:val="002C29BF"/>
    <w:rsid w:val="002C341B"/>
    <w:rsid w:val="002C451D"/>
    <w:rsid w:val="002C52D5"/>
    <w:rsid w:val="002C537E"/>
    <w:rsid w:val="002C5C65"/>
    <w:rsid w:val="002C6484"/>
    <w:rsid w:val="002C70C6"/>
    <w:rsid w:val="002C75A8"/>
    <w:rsid w:val="002C7723"/>
    <w:rsid w:val="002D2B54"/>
    <w:rsid w:val="002D2F24"/>
    <w:rsid w:val="002D3240"/>
    <w:rsid w:val="002D35EA"/>
    <w:rsid w:val="002D49A6"/>
    <w:rsid w:val="002D4F09"/>
    <w:rsid w:val="002D510D"/>
    <w:rsid w:val="002D55D3"/>
    <w:rsid w:val="002D5729"/>
    <w:rsid w:val="002D635A"/>
    <w:rsid w:val="002D654F"/>
    <w:rsid w:val="002D674D"/>
    <w:rsid w:val="002D7732"/>
    <w:rsid w:val="002D7B97"/>
    <w:rsid w:val="002D7C10"/>
    <w:rsid w:val="002E120A"/>
    <w:rsid w:val="002E130D"/>
    <w:rsid w:val="002E19E2"/>
    <w:rsid w:val="002E1EAE"/>
    <w:rsid w:val="002E3669"/>
    <w:rsid w:val="002E37A3"/>
    <w:rsid w:val="002E5C3F"/>
    <w:rsid w:val="002E6E34"/>
    <w:rsid w:val="002F053A"/>
    <w:rsid w:val="002F09B8"/>
    <w:rsid w:val="002F179F"/>
    <w:rsid w:val="002F3191"/>
    <w:rsid w:val="002F39DA"/>
    <w:rsid w:val="002F528B"/>
    <w:rsid w:val="002F6164"/>
    <w:rsid w:val="002F777D"/>
    <w:rsid w:val="002F7DB9"/>
    <w:rsid w:val="0030001A"/>
    <w:rsid w:val="003000DD"/>
    <w:rsid w:val="0030167B"/>
    <w:rsid w:val="003018B7"/>
    <w:rsid w:val="00304710"/>
    <w:rsid w:val="00304A5E"/>
    <w:rsid w:val="0030556F"/>
    <w:rsid w:val="00306D82"/>
    <w:rsid w:val="00306FC6"/>
    <w:rsid w:val="00307617"/>
    <w:rsid w:val="00307ECC"/>
    <w:rsid w:val="00310C16"/>
    <w:rsid w:val="0031142A"/>
    <w:rsid w:val="003122B7"/>
    <w:rsid w:val="003123E4"/>
    <w:rsid w:val="0031314C"/>
    <w:rsid w:val="003145D9"/>
    <w:rsid w:val="00314C89"/>
    <w:rsid w:val="00314CE4"/>
    <w:rsid w:val="00315107"/>
    <w:rsid w:val="00315845"/>
    <w:rsid w:val="003159C1"/>
    <w:rsid w:val="00317566"/>
    <w:rsid w:val="00320471"/>
    <w:rsid w:val="0032071E"/>
    <w:rsid w:val="0032079B"/>
    <w:rsid w:val="00321BDA"/>
    <w:rsid w:val="00321ED1"/>
    <w:rsid w:val="003223B0"/>
    <w:rsid w:val="003226E2"/>
    <w:rsid w:val="0032305B"/>
    <w:rsid w:val="00323F7B"/>
    <w:rsid w:val="00323FDE"/>
    <w:rsid w:val="00326006"/>
    <w:rsid w:val="003261B8"/>
    <w:rsid w:val="00326303"/>
    <w:rsid w:val="003272E2"/>
    <w:rsid w:val="0032796F"/>
    <w:rsid w:val="00327F32"/>
    <w:rsid w:val="00331E22"/>
    <w:rsid w:val="00334767"/>
    <w:rsid w:val="00335887"/>
    <w:rsid w:val="00336498"/>
    <w:rsid w:val="003369ED"/>
    <w:rsid w:val="003419BE"/>
    <w:rsid w:val="0034317E"/>
    <w:rsid w:val="003435B6"/>
    <w:rsid w:val="00343972"/>
    <w:rsid w:val="003448B5"/>
    <w:rsid w:val="00344BE4"/>
    <w:rsid w:val="00344E2C"/>
    <w:rsid w:val="00346C4A"/>
    <w:rsid w:val="00346DAA"/>
    <w:rsid w:val="00346F6E"/>
    <w:rsid w:val="00347403"/>
    <w:rsid w:val="0035037B"/>
    <w:rsid w:val="003525BD"/>
    <w:rsid w:val="00353133"/>
    <w:rsid w:val="00353169"/>
    <w:rsid w:val="0035350A"/>
    <w:rsid w:val="003548AC"/>
    <w:rsid w:val="00354ADF"/>
    <w:rsid w:val="00356212"/>
    <w:rsid w:val="00356A7E"/>
    <w:rsid w:val="003578EF"/>
    <w:rsid w:val="00357ACA"/>
    <w:rsid w:val="003603C7"/>
    <w:rsid w:val="0036087D"/>
    <w:rsid w:val="00360B25"/>
    <w:rsid w:val="00361275"/>
    <w:rsid w:val="0036137C"/>
    <w:rsid w:val="00362309"/>
    <w:rsid w:val="003627D6"/>
    <w:rsid w:val="00363469"/>
    <w:rsid w:val="00363642"/>
    <w:rsid w:val="0036380F"/>
    <w:rsid w:val="00363F9C"/>
    <w:rsid w:val="00364068"/>
    <w:rsid w:val="003645FA"/>
    <w:rsid w:val="00365608"/>
    <w:rsid w:val="0036583B"/>
    <w:rsid w:val="0036612C"/>
    <w:rsid w:val="0036669B"/>
    <w:rsid w:val="00371524"/>
    <w:rsid w:val="00371BEF"/>
    <w:rsid w:val="00371D0E"/>
    <w:rsid w:val="00372BE7"/>
    <w:rsid w:val="003730D1"/>
    <w:rsid w:val="0037429B"/>
    <w:rsid w:val="003742B4"/>
    <w:rsid w:val="003751D8"/>
    <w:rsid w:val="00375409"/>
    <w:rsid w:val="00375609"/>
    <w:rsid w:val="003759CC"/>
    <w:rsid w:val="00377611"/>
    <w:rsid w:val="003801B6"/>
    <w:rsid w:val="003802B4"/>
    <w:rsid w:val="00380F2C"/>
    <w:rsid w:val="00381068"/>
    <w:rsid w:val="00381C20"/>
    <w:rsid w:val="0038316C"/>
    <w:rsid w:val="00383B95"/>
    <w:rsid w:val="0038497A"/>
    <w:rsid w:val="00387283"/>
    <w:rsid w:val="0038729C"/>
    <w:rsid w:val="00390CEA"/>
    <w:rsid w:val="003910EC"/>
    <w:rsid w:val="00391B04"/>
    <w:rsid w:val="003926EC"/>
    <w:rsid w:val="00394CE9"/>
    <w:rsid w:val="003951D7"/>
    <w:rsid w:val="0039567C"/>
    <w:rsid w:val="0039640E"/>
    <w:rsid w:val="00397A06"/>
    <w:rsid w:val="00397C05"/>
    <w:rsid w:val="003A126B"/>
    <w:rsid w:val="003A1D74"/>
    <w:rsid w:val="003A29B2"/>
    <w:rsid w:val="003A41E6"/>
    <w:rsid w:val="003A5A05"/>
    <w:rsid w:val="003A69B6"/>
    <w:rsid w:val="003A7F92"/>
    <w:rsid w:val="003B0268"/>
    <w:rsid w:val="003B084C"/>
    <w:rsid w:val="003B0EB8"/>
    <w:rsid w:val="003B24E5"/>
    <w:rsid w:val="003B273C"/>
    <w:rsid w:val="003B28CD"/>
    <w:rsid w:val="003B3035"/>
    <w:rsid w:val="003B328E"/>
    <w:rsid w:val="003B3EC9"/>
    <w:rsid w:val="003B4F98"/>
    <w:rsid w:val="003B543F"/>
    <w:rsid w:val="003B5B37"/>
    <w:rsid w:val="003B6615"/>
    <w:rsid w:val="003C0751"/>
    <w:rsid w:val="003C101A"/>
    <w:rsid w:val="003C308A"/>
    <w:rsid w:val="003C346E"/>
    <w:rsid w:val="003C3DFF"/>
    <w:rsid w:val="003C413B"/>
    <w:rsid w:val="003C42A5"/>
    <w:rsid w:val="003C4F98"/>
    <w:rsid w:val="003C68A2"/>
    <w:rsid w:val="003C70EC"/>
    <w:rsid w:val="003C7E67"/>
    <w:rsid w:val="003D015A"/>
    <w:rsid w:val="003D17FA"/>
    <w:rsid w:val="003D1BBE"/>
    <w:rsid w:val="003D3309"/>
    <w:rsid w:val="003D4281"/>
    <w:rsid w:val="003E24C9"/>
    <w:rsid w:val="003E2959"/>
    <w:rsid w:val="003E464E"/>
    <w:rsid w:val="003E6E0F"/>
    <w:rsid w:val="003E714E"/>
    <w:rsid w:val="003F0B6D"/>
    <w:rsid w:val="003F1E94"/>
    <w:rsid w:val="003F2E59"/>
    <w:rsid w:val="003F31D9"/>
    <w:rsid w:val="003F3723"/>
    <w:rsid w:val="003F41F5"/>
    <w:rsid w:val="003F529D"/>
    <w:rsid w:val="003F547A"/>
    <w:rsid w:val="003F66D9"/>
    <w:rsid w:val="003F6759"/>
    <w:rsid w:val="003F69B6"/>
    <w:rsid w:val="003F75B2"/>
    <w:rsid w:val="003F7EA4"/>
    <w:rsid w:val="004007A0"/>
    <w:rsid w:val="00400FB3"/>
    <w:rsid w:val="0040101D"/>
    <w:rsid w:val="00401920"/>
    <w:rsid w:val="004019F1"/>
    <w:rsid w:val="00403265"/>
    <w:rsid w:val="00403E9D"/>
    <w:rsid w:val="00405CB3"/>
    <w:rsid w:val="00406241"/>
    <w:rsid w:val="004062DB"/>
    <w:rsid w:val="00406455"/>
    <w:rsid w:val="00410099"/>
    <w:rsid w:val="00410612"/>
    <w:rsid w:val="00410B90"/>
    <w:rsid w:val="00413A88"/>
    <w:rsid w:val="004152BB"/>
    <w:rsid w:val="004155D5"/>
    <w:rsid w:val="00416AD7"/>
    <w:rsid w:val="00417035"/>
    <w:rsid w:val="004176AD"/>
    <w:rsid w:val="0042090B"/>
    <w:rsid w:val="00420CD4"/>
    <w:rsid w:val="0042131C"/>
    <w:rsid w:val="00421399"/>
    <w:rsid w:val="00421DA5"/>
    <w:rsid w:val="00422311"/>
    <w:rsid w:val="004223B2"/>
    <w:rsid w:val="00422CD4"/>
    <w:rsid w:val="00423D2B"/>
    <w:rsid w:val="00423E52"/>
    <w:rsid w:val="0042407B"/>
    <w:rsid w:val="00424C29"/>
    <w:rsid w:val="00425C4A"/>
    <w:rsid w:val="004278AC"/>
    <w:rsid w:val="00427DE3"/>
    <w:rsid w:val="004305FF"/>
    <w:rsid w:val="0043071F"/>
    <w:rsid w:val="0043107D"/>
    <w:rsid w:val="00431A9F"/>
    <w:rsid w:val="004323A1"/>
    <w:rsid w:val="004336BD"/>
    <w:rsid w:val="00434D05"/>
    <w:rsid w:val="0044029A"/>
    <w:rsid w:val="0044179E"/>
    <w:rsid w:val="00441CE6"/>
    <w:rsid w:val="00442571"/>
    <w:rsid w:val="00442D06"/>
    <w:rsid w:val="00442E2F"/>
    <w:rsid w:val="00442F72"/>
    <w:rsid w:val="00444132"/>
    <w:rsid w:val="0044449C"/>
    <w:rsid w:val="004446CE"/>
    <w:rsid w:val="0044494E"/>
    <w:rsid w:val="004458DE"/>
    <w:rsid w:val="00445EE5"/>
    <w:rsid w:val="00446F67"/>
    <w:rsid w:val="004518C6"/>
    <w:rsid w:val="00452059"/>
    <w:rsid w:val="0045214C"/>
    <w:rsid w:val="00452AD3"/>
    <w:rsid w:val="00453C45"/>
    <w:rsid w:val="00453DF9"/>
    <w:rsid w:val="004546D8"/>
    <w:rsid w:val="00455C2F"/>
    <w:rsid w:val="00456E85"/>
    <w:rsid w:val="00456F53"/>
    <w:rsid w:val="00457889"/>
    <w:rsid w:val="00457A43"/>
    <w:rsid w:val="004604BE"/>
    <w:rsid w:val="00460A08"/>
    <w:rsid w:val="00461515"/>
    <w:rsid w:val="0046479D"/>
    <w:rsid w:val="00464CAC"/>
    <w:rsid w:val="00464F29"/>
    <w:rsid w:val="004662B1"/>
    <w:rsid w:val="0046764A"/>
    <w:rsid w:val="00470217"/>
    <w:rsid w:val="004705A9"/>
    <w:rsid w:val="00470E10"/>
    <w:rsid w:val="00470EC1"/>
    <w:rsid w:val="00470F1B"/>
    <w:rsid w:val="00470F33"/>
    <w:rsid w:val="00471003"/>
    <w:rsid w:val="00471515"/>
    <w:rsid w:val="00471E1D"/>
    <w:rsid w:val="004725E3"/>
    <w:rsid w:val="00474092"/>
    <w:rsid w:val="004742D0"/>
    <w:rsid w:val="00476205"/>
    <w:rsid w:val="004764F4"/>
    <w:rsid w:val="0047730C"/>
    <w:rsid w:val="00477514"/>
    <w:rsid w:val="00477A71"/>
    <w:rsid w:val="00480AA5"/>
    <w:rsid w:val="00481E71"/>
    <w:rsid w:val="00484786"/>
    <w:rsid w:val="00484D19"/>
    <w:rsid w:val="004850F7"/>
    <w:rsid w:val="004857AA"/>
    <w:rsid w:val="00485959"/>
    <w:rsid w:val="00485AF0"/>
    <w:rsid w:val="00486243"/>
    <w:rsid w:val="004866B3"/>
    <w:rsid w:val="00487C6F"/>
    <w:rsid w:val="00487EB2"/>
    <w:rsid w:val="00490FBC"/>
    <w:rsid w:val="0049115D"/>
    <w:rsid w:val="004914B8"/>
    <w:rsid w:val="00491CAA"/>
    <w:rsid w:val="004930C6"/>
    <w:rsid w:val="004931BC"/>
    <w:rsid w:val="004932FC"/>
    <w:rsid w:val="0049377B"/>
    <w:rsid w:val="00493A04"/>
    <w:rsid w:val="00493A2A"/>
    <w:rsid w:val="00493C94"/>
    <w:rsid w:val="00493DE8"/>
    <w:rsid w:val="00493EF3"/>
    <w:rsid w:val="00496744"/>
    <w:rsid w:val="004967A3"/>
    <w:rsid w:val="0049684C"/>
    <w:rsid w:val="00497DE5"/>
    <w:rsid w:val="004A04A1"/>
    <w:rsid w:val="004A0CE2"/>
    <w:rsid w:val="004A1321"/>
    <w:rsid w:val="004A4AAF"/>
    <w:rsid w:val="004A56DF"/>
    <w:rsid w:val="004A625B"/>
    <w:rsid w:val="004A7FDA"/>
    <w:rsid w:val="004B0BDE"/>
    <w:rsid w:val="004B12E4"/>
    <w:rsid w:val="004B4085"/>
    <w:rsid w:val="004B4592"/>
    <w:rsid w:val="004B5562"/>
    <w:rsid w:val="004B577B"/>
    <w:rsid w:val="004B5A6B"/>
    <w:rsid w:val="004B5D17"/>
    <w:rsid w:val="004B5D32"/>
    <w:rsid w:val="004B63D8"/>
    <w:rsid w:val="004B6DBF"/>
    <w:rsid w:val="004B6EC0"/>
    <w:rsid w:val="004B721B"/>
    <w:rsid w:val="004B7730"/>
    <w:rsid w:val="004C0751"/>
    <w:rsid w:val="004C0A39"/>
    <w:rsid w:val="004C0CB0"/>
    <w:rsid w:val="004C37FC"/>
    <w:rsid w:val="004C475B"/>
    <w:rsid w:val="004C58AB"/>
    <w:rsid w:val="004C6187"/>
    <w:rsid w:val="004C78BD"/>
    <w:rsid w:val="004D0382"/>
    <w:rsid w:val="004D0ACD"/>
    <w:rsid w:val="004D1382"/>
    <w:rsid w:val="004D157E"/>
    <w:rsid w:val="004D174D"/>
    <w:rsid w:val="004D3D1B"/>
    <w:rsid w:val="004D3E22"/>
    <w:rsid w:val="004D42B4"/>
    <w:rsid w:val="004D42E0"/>
    <w:rsid w:val="004D478C"/>
    <w:rsid w:val="004D52BF"/>
    <w:rsid w:val="004D551E"/>
    <w:rsid w:val="004D5765"/>
    <w:rsid w:val="004D5B12"/>
    <w:rsid w:val="004D6008"/>
    <w:rsid w:val="004D637C"/>
    <w:rsid w:val="004D6F5B"/>
    <w:rsid w:val="004D6F69"/>
    <w:rsid w:val="004E09D0"/>
    <w:rsid w:val="004E1933"/>
    <w:rsid w:val="004E19E2"/>
    <w:rsid w:val="004E350C"/>
    <w:rsid w:val="004E3725"/>
    <w:rsid w:val="004E3F2F"/>
    <w:rsid w:val="004E4796"/>
    <w:rsid w:val="004E487C"/>
    <w:rsid w:val="004E50C6"/>
    <w:rsid w:val="004E5506"/>
    <w:rsid w:val="004E5C5C"/>
    <w:rsid w:val="004E6B6D"/>
    <w:rsid w:val="004E7574"/>
    <w:rsid w:val="004F199C"/>
    <w:rsid w:val="004F213A"/>
    <w:rsid w:val="004F2757"/>
    <w:rsid w:val="004F47FE"/>
    <w:rsid w:val="004F4C42"/>
    <w:rsid w:val="004F506A"/>
    <w:rsid w:val="004F5C56"/>
    <w:rsid w:val="004F7474"/>
    <w:rsid w:val="004F769A"/>
    <w:rsid w:val="004F77B0"/>
    <w:rsid w:val="004F78E0"/>
    <w:rsid w:val="004F7D97"/>
    <w:rsid w:val="00500DE5"/>
    <w:rsid w:val="0050137E"/>
    <w:rsid w:val="005026F0"/>
    <w:rsid w:val="00502833"/>
    <w:rsid w:val="00502E7C"/>
    <w:rsid w:val="00504FEE"/>
    <w:rsid w:val="00505D68"/>
    <w:rsid w:val="00506B14"/>
    <w:rsid w:val="0050701C"/>
    <w:rsid w:val="005108E4"/>
    <w:rsid w:val="00511734"/>
    <w:rsid w:val="00511851"/>
    <w:rsid w:val="00511A3F"/>
    <w:rsid w:val="005148AF"/>
    <w:rsid w:val="00516DE1"/>
    <w:rsid w:val="005177F7"/>
    <w:rsid w:val="00517937"/>
    <w:rsid w:val="00517B51"/>
    <w:rsid w:val="00517C2B"/>
    <w:rsid w:val="00520A74"/>
    <w:rsid w:val="00521756"/>
    <w:rsid w:val="00521EB2"/>
    <w:rsid w:val="0052233D"/>
    <w:rsid w:val="00522FF9"/>
    <w:rsid w:val="005234E6"/>
    <w:rsid w:val="005243AC"/>
    <w:rsid w:val="00524C16"/>
    <w:rsid w:val="00524EA7"/>
    <w:rsid w:val="00525814"/>
    <w:rsid w:val="00526D0C"/>
    <w:rsid w:val="005276EC"/>
    <w:rsid w:val="0052797B"/>
    <w:rsid w:val="00531287"/>
    <w:rsid w:val="0053158D"/>
    <w:rsid w:val="00531FD0"/>
    <w:rsid w:val="00534838"/>
    <w:rsid w:val="00535D77"/>
    <w:rsid w:val="005360D2"/>
    <w:rsid w:val="00536D9B"/>
    <w:rsid w:val="00537BEB"/>
    <w:rsid w:val="00540053"/>
    <w:rsid w:val="0054040A"/>
    <w:rsid w:val="00540FB2"/>
    <w:rsid w:val="005414FA"/>
    <w:rsid w:val="0054234F"/>
    <w:rsid w:val="00542378"/>
    <w:rsid w:val="005423D2"/>
    <w:rsid w:val="0054367D"/>
    <w:rsid w:val="0054414B"/>
    <w:rsid w:val="005469F0"/>
    <w:rsid w:val="00547327"/>
    <w:rsid w:val="0054735D"/>
    <w:rsid w:val="005473E7"/>
    <w:rsid w:val="005474FE"/>
    <w:rsid w:val="005476DF"/>
    <w:rsid w:val="00547A7B"/>
    <w:rsid w:val="00550501"/>
    <w:rsid w:val="00550C54"/>
    <w:rsid w:val="00551877"/>
    <w:rsid w:val="00551AEE"/>
    <w:rsid w:val="0055417A"/>
    <w:rsid w:val="00554AEF"/>
    <w:rsid w:val="00555C32"/>
    <w:rsid w:val="00557632"/>
    <w:rsid w:val="005606EC"/>
    <w:rsid w:val="005611D0"/>
    <w:rsid w:val="005614AB"/>
    <w:rsid w:val="00562B13"/>
    <w:rsid w:val="0056323D"/>
    <w:rsid w:val="00563F5A"/>
    <w:rsid w:val="0056457D"/>
    <w:rsid w:val="00564B3F"/>
    <w:rsid w:val="00564CCD"/>
    <w:rsid w:val="00564FF9"/>
    <w:rsid w:val="0056767A"/>
    <w:rsid w:val="00567D42"/>
    <w:rsid w:val="005700DD"/>
    <w:rsid w:val="005708E7"/>
    <w:rsid w:val="00570B39"/>
    <w:rsid w:val="00570B8D"/>
    <w:rsid w:val="00570C18"/>
    <w:rsid w:val="00570D08"/>
    <w:rsid w:val="0057210A"/>
    <w:rsid w:val="0057228A"/>
    <w:rsid w:val="005725B3"/>
    <w:rsid w:val="00574617"/>
    <w:rsid w:val="00574BF3"/>
    <w:rsid w:val="005752C7"/>
    <w:rsid w:val="00575C37"/>
    <w:rsid w:val="00576771"/>
    <w:rsid w:val="00576E51"/>
    <w:rsid w:val="00577D04"/>
    <w:rsid w:val="00577FBA"/>
    <w:rsid w:val="00580316"/>
    <w:rsid w:val="005813C9"/>
    <w:rsid w:val="005820F4"/>
    <w:rsid w:val="005821AC"/>
    <w:rsid w:val="0058327D"/>
    <w:rsid w:val="00583507"/>
    <w:rsid w:val="005864C9"/>
    <w:rsid w:val="00586508"/>
    <w:rsid w:val="00586988"/>
    <w:rsid w:val="00586E64"/>
    <w:rsid w:val="005901F6"/>
    <w:rsid w:val="00590E06"/>
    <w:rsid w:val="0059173A"/>
    <w:rsid w:val="005919EA"/>
    <w:rsid w:val="00592488"/>
    <w:rsid w:val="00592B56"/>
    <w:rsid w:val="0059348B"/>
    <w:rsid w:val="00593D5F"/>
    <w:rsid w:val="005945C9"/>
    <w:rsid w:val="00594747"/>
    <w:rsid w:val="005955C1"/>
    <w:rsid w:val="00595C00"/>
    <w:rsid w:val="0059679E"/>
    <w:rsid w:val="00596D70"/>
    <w:rsid w:val="00597542"/>
    <w:rsid w:val="005A0B65"/>
    <w:rsid w:val="005A19A6"/>
    <w:rsid w:val="005A1A7E"/>
    <w:rsid w:val="005A1C58"/>
    <w:rsid w:val="005A3A31"/>
    <w:rsid w:val="005A68E7"/>
    <w:rsid w:val="005A6959"/>
    <w:rsid w:val="005A6DA7"/>
    <w:rsid w:val="005A6DF8"/>
    <w:rsid w:val="005A6FD9"/>
    <w:rsid w:val="005A7504"/>
    <w:rsid w:val="005A7F1C"/>
    <w:rsid w:val="005B0810"/>
    <w:rsid w:val="005B1AF3"/>
    <w:rsid w:val="005B2A4C"/>
    <w:rsid w:val="005B2AE4"/>
    <w:rsid w:val="005B324C"/>
    <w:rsid w:val="005B40DE"/>
    <w:rsid w:val="005B4423"/>
    <w:rsid w:val="005B4C38"/>
    <w:rsid w:val="005B5692"/>
    <w:rsid w:val="005B6305"/>
    <w:rsid w:val="005B6B13"/>
    <w:rsid w:val="005C08E3"/>
    <w:rsid w:val="005C0A5F"/>
    <w:rsid w:val="005C1830"/>
    <w:rsid w:val="005C38D9"/>
    <w:rsid w:val="005C5021"/>
    <w:rsid w:val="005C5A99"/>
    <w:rsid w:val="005C6980"/>
    <w:rsid w:val="005C7867"/>
    <w:rsid w:val="005C7A4C"/>
    <w:rsid w:val="005D090D"/>
    <w:rsid w:val="005D1743"/>
    <w:rsid w:val="005D1A1E"/>
    <w:rsid w:val="005D3C5E"/>
    <w:rsid w:val="005D3DBC"/>
    <w:rsid w:val="005D488A"/>
    <w:rsid w:val="005D4C1E"/>
    <w:rsid w:val="005E1183"/>
    <w:rsid w:val="005E208D"/>
    <w:rsid w:val="005E22AF"/>
    <w:rsid w:val="005E312F"/>
    <w:rsid w:val="005E3AB0"/>
    <w:rsid w:val="005E4AC9"/>
    <w:rsid w:val="005E4FF6"/>
    <w:rsid w:val="005E507E"/>
    <w:rsid w:val="005E55C6"/>
    <w:rsid w:val="005E5D95"/>
    <w:rsid w:val="005E5E2E"/>
    <w:rsid w:val="005E6095"/>
    <w:rsid w:val="005E6888"/>
    <w:rsid w:val="005E7A8A"/>
    <w:rsid w:val="005F04C6"/>
    <w:rsid w:val="005F177A"/>
    <w:rsid w:val="005F1890"/>
    <w:rsid w:val="005F3A85"/>
    <w:rsid w:val="005F54A0"/>
    <w:rsid w:val="005F5975"/>
    <w:rsid w:val="005F5BEE"/>
    <w:rsid w:val="005F5F0E"/>
    <w:rsid w:val="005F6FEB"/>
    <w:rsid w:val="005F772A"/>
    <w:rsid w:val="00600E4F"/>
    <w:rsid w:val="00600E5A"/>
    <w:rsid w:val="00601791"/>
    <w:rsid w:val="00601BAE"/>
    <w:rsid w:val="00602036"/>
    <w:rsid w:val="006052C3"/>
    <w:rsid w:val="006054B8"/>
    <w:rsid w:val="006056C8"/>
    <w:rsid w:val="00607326"/>
    <w:rsid w:val="00607DC3"/>
    <w:rsid w:val="00610AA2"/>
    <w:rsid w:val="00611326"/>
    <w:rsid w:val="006137AA"/>
    <w:rsid w:val="00615637"/>
    <w:rsid w:val="0061614B"/>
    <w:rsid w:val="00617C81"/>
    <w:rsid w:val="00617FD9"/>
    <w:rsid w:val="00620AD6"/>
    <w:rsid w:val="00622427"/>
    <w:rsid w:val="00622883"/>
    <w:rsid w:val="00622DD1"/>
    <w:rsid w:val="00622FA2"/>
    <w:rsid w:val="00623C75"/>
    <w:rsid w:val="00627102"/>
    <w:rsid w:val="006309F5"/>
    <w:rsid w:val="006313AC"/>
    <w:rsid w:val="00631EEF"/>
    <w:rsid w:val="00632104"/>
    <w:rsid w:val="006334FC"/>
    <w:rsid w:val="00633CC9"/>
    <w:rsid w:val="00634217"/>
    <w:rsid w:val="00634295"/>
    <w:rsid w:val="006350F2"/>
    <w:rsid w:val="00635AB3"/>
    <w:rsid w:val="006366D5"/>
    <w:rsid w:val="006404BF"/>
    <w:rsid w:val="00641528"/>
    <w:rsid w:val="0064296C"/>
    <w:rsid w:val="00643A67"/>
    <w:rsid w:val="00643D37"/>
    <w:rsid w:val="00644CBA"/>
    <w:rsid w:val="00645CB5"/>
    <w:rsid w:val="006464E0"/>
    <w:rsid w:val="00646512"/>
    <w:rsid w:val="006469C4"/>
    <w:rsid w:val="00647F68"/>
    <w:rsid w:val="006508BA"/>
    <w:rsid w:val="00650C34"/>
    <w:rsid w:val="00650D45"/>
    <w:rsid w:val="00651709"/>
    <w:rsid w:val="00651B43"/>
    <w:rsid w:val="00652602"/>
    <w:rsid w:val="00653F13"/>
    <w:rsid w:val="00653F79"/>
    <w:rsid w:val="0065536E"/>
    <w:rsid w:val="00655785"/>
    <w:rsid w:val="006557CF"/>
    <w:rsid w:val="00656823"/>
    <w:rsid w:val="00660A58"/>
    <w:rsid w:val="00661526"/>
    <w:rsid w:val="00662CB3"/>
    <w:rsid w:val="006633DF"/>
    <w:rsid w:val="006637BA"/>
    <w:rsid w:val="006641BD"/>
    <w:rsid w:val="006665D9"/>
    <w:rsid w:val="00666B96"/>
    <w:rsid w:val="00666E59"/>
    <w:rsid w:val="006707C0"/>
    <w:rsid w:val="00670845"/>
    <w:rsid w:val="00671B8E"/>
    <w:rsid w:val="00672008"/>
    <w:rsid w:val="0067469C"/>
    <w:rsid w:val="00674864"/>
    <w:rsid w:val="0067739F"/>
    <w:rsid w:val="00677990"/>
    <w:rsid w:val="00677BC3"/>
    <w:rsid w:val="006812BD"/>
    <w:rsid w:val="00682B2F"/>
    <w:rsid w:val="00683206"/>
    <w:rsid w:val="0068394E"/>
    <w:rsid w:val="00685179"/>
    <w:rsid w:val="00685AE5"/>
    <w:rsid w:val="00685E74"/>
    <w:rsid w:val="00687DFF"/>
    <w:rsid w:val="006915B8"/>
    <w:rsid w:val="006917A0"/>
    <w:rsid w:val="00693F03"/>
    <w:rsid w:val="00694054"/>
    <w:rsid w:val="00694B7B"/>
    <w:rsid w:val="006957AB"/>
    <w:rsid w:val="00695E1F"/>
    <w:rsid w:val="0069641A"/>
    <w:rsid w:val="006974F1"/>
    <w:rsid w:val="00697A8F"/>
    <w:rsid w:val="00697CA4"/>
    <w:rsid w:val="006A0368"/>
    <w:rsid w:val="006A076F"/>
    <w:rsid w:val="006A20A9"/>
    <w:rsid w:val="006A24F7"/>
    <w:rsid w:val="006A3058"/>
    <w:rsid w:val="006A3129"/>
    <w:rsid w:val="006A402B"/>
    <w:rsid w:val="006A4486"/>
    <w:rsid w:val="006A4545"/>
    <w:rsid w:val="006A4864"/>
    <w:rsid w:val="006A48AB"/>
    <w:rsid w:val="006A5F67"/>
    <w:rsid w:val="006A6701"/>
    <w:rsid w:val="006A69F0"/>
    <w:rsid w:val="006A7BEB"/>
    <w:rsid w:val="006B0E6D"/>
    <w:rsid w:val="006B17D3"/>
    <w:rsid w:val="006B25B4"/>
    <w:rsid w:val="006B25C1"/>
    <w:rsid w:val="006B26CC"/>
    <w:rsid w:val="006B2AD1"/>
    <w:rsid w:val="006B30BF"/>
    <w:rsid w:val="006B323E"/>
    <w:rsid w:val="006B3898"/>
    <w:rsid w:val="006B424B"/>
    <w:rsid w:val="006B433A"/>
    <w:rsid w:val="006B490F"/>
    <w:rsid w:val="006B6ED7"/>
    <w:rsid w:val="006B769D"/>
    <w:rsid w:val="006C1ABA"/>
    <w:rsid w:val="006C2EF6"/>
    <w:rsid w:val="006C35C0"/>
    <w:rsid w:val="006C4707"/>
    <w:rsid w:val="006C4BE0"/>
    <w:rsid w:val="006C5C1F"/>
    <w:rsid w:val="006C66DA"/>
    <w:rsid w:val="006C766A"/>
    <w:rsid w:val="006C76B6"/>
    <w:rsid w:val="006D084A"/>
    <w:rsid w:val="006D1642"/>
    <w:rsid w:val="006D2ABD"/>
    <w:rsid w:val="006D3DB2"/>
    <w:rsid w:val="006D4B75"/>
    <w:rsid w:val="006E0618"/>
    <w:rsid w:val="006E09C2"/>
    <w:rsid w:val="006E1428"/>
    <w:rsid w:val="006E295D"/>
    <w:rsid w:val="006E354D"/>
    <w:rsid w:val="006E364D"/>
    <w:rsid w:val="006E370C"/>
    <w:rsid w:val="006E3A87"/>
    <w:rsid w:val="006E3D6D"/>
    <w:rsid w:val="006E465B"/>
    <w:rsid w:val="006E5149"/>
    <w:rsid w:val="006E6161"/>
    <w:rsid w:val="006E61E8"/>
    <w:rsid w:val="006E7DB8"/>
    <w:rsid w:val="006F02E4"/>
    <w:rsid w:val="006F0659"/>
    <w:rsid w:val="006F18A5"/>
    <w:rsid w:val="006F1C85"/>
    <w:rsid w:val="006F24A4"/>
    <w:rsid w:val="006F343E"/>
    <w:rsid w:val="006F34D0"/>
    <w:rsid w:val="006F5B2F"/>
    <w:rsid w:val="006F6285"/>
    <w:rsid w:val="006F74CC"/>
    <w:rsid w:val="00700CC5"/>
    <w:rsid w:val="0070104B"/>
    <w:rsid w:val="007023A9"/>
    <w:rsid w:val="00703F55"/>
    <w:rsid w:val="007040D6"/>
    <w:rsid w:val="00705E7A"/>
    <w:rsid w:val="0070674C"/>
    <w:rsid w:val="00706BC3"/>
    <w:rsid w:val="00710953"/>
    <w:rsid w:val="00711156"/>
    <w:rsid w:val="00711A49"/>
    <w:rsid w:val="00712A1E"/>
    <w:rsid w:val="00713302"/>
    <w:rsid w:val="00713584"/>
    <w:rsid w:val="007136FE"/>
    <w:rsid w:val="00713C69"/>
    <w:rsid w:val="0071594F"/>
    <w:rsid w:val="00717FBA"/>
    <w:rsid w:val="00720551"/>
    <w:rsid w:val="007207C3"/>
    <w:rsid w:val="00720BFB"/>
    <w:rsid w:val="00720E08"/>
    <w:rsid w:val="00721DD2"/>
    <w:rsid w:val="0072216C"/>
    <w:rsid w:val="007229DE"/>
    <w:rsid w:val="00722A26"/>
    <w:rsid w:val="00723395"/>
    <w:rsid w:val="007241E6"/>
    <w:rsid w:val="00725823"/>
    <w:rsid w:val="00725BF5"/>
    <w:rsid w:val="00730FF0"/>
    <w:rsid w:val="0073107E"/>
    <w:rsid w:val="0073149C"/>
    <w:rsid w:val="00731738"/>
    <w:rsid w:val="0073173B"/>
    <w:rsid w:val="00731BF6"/>
    <w:rsid w:val="00737971"/>
    <w:rsid w:val="00737C41"/>
    <w:rsid w:val="00740370"/>
    <w:rsid w:val="007403D9"/>
    <w:rsid w:val="00740AA0"/>
    <w:rsid w:val="007422FB"/>
    <w:rsid w:val="00742795"/>
    <w:rsid w:val="00743256"/>
    <w:rsid w:val="00745248"/>
    <w:rsid w:val="007463D3"/>
    <w:rsid w:val="00746486"/>
    <w:rsid w:val="007471E2"/>
    <w:rsid w:val="00747203"/>
    <w:rsid w:val="0075053D"/>
    <w:rsid w:val="00751815"/>
    <w:rsid w:val="00753D39"/>
    <w:rsid w:val="0075404D"/>
    <w:rsid w:val="00755B8D"/>
    <w:rsid w:val="00755F62"/>
    <w:rsid w:val="00756B82"/>
    <w:rsid w:val="007575BE"/>
    <w:rsid w:val="00763366"/>
    <w:rsid w:val="007635D9"/>
    <w:rsid w:val="00763A83"/>
    <w:rsid w:val="00764CAF"/>
    <w:rsid w:val="00764FDD"/>
    <w:rsid w:val="00765B85"/>
    <w:rsid w:val="007669D5"/>
    <w:rsid w:val="00766DBA"/>
    <w:rsid w:val="00770909"/>
    <w:rsid w:val="007711A6"/>
    <w:rsid w:val="00771EA7"/>
    <w:rsid w:val="007746CD"/>
    <w:rsid w:val="00774823"/>
    <w:rsid w:val="00780CFE"/>
    <w:rsid w:val="00780EFC"/>
    <w:rsid w:val="00781407"/>
    <w:rsid w:val="00781B15"/>
    <w:rsid w:val="00781F39"/>
    <w:rsid w:val="0078287B"/>
    <w:rsid w:val="00783EBA"/>
    <w:rsid w:val="0078457A"/>
    <w:rsid w:val="0078489C"/>
    <w:rsid w:val="007856B2"/>
    <w:rsid w:val="007877E4"/>
    <w:rsid w:val="00787ED4"/>
    <w:rsid w:val="007908A7"/>
    <w:rsid w:val="0079238C"/>
    <w:rsid w:val="00792F6D"/>
    <w:rsid w:val="007935E0"/>
    <w:rsid w:val="0079458F"/>
    <w:rsid w:val="00794B2D"/>
    <w:rsid w:val="00795455"/>
    <w:rsid w:val="00795460"/>
    <w:rsid w:val="00795AEF"/>
    <w:rsid w:val="00796616"/>
    <w:rsid w:val="00796707"/>
    <w:rsid w:val="007977AC"/>
    <w:rsid w:val="007A002E"/>
    <w:rsid w:val="007A03BF"/>
    <w:rsid w:val="007A0D96"/>
    <w:rsid w:val="007A0E26"/>
    <w:rsid w:val="007A104E"/>
    <w:rsid w:val="007A2EC0"/>
    <w:rsid w:val="007A555F"/>
    <w:rsid w:val="007A562A"/>
    <w:rsid w:val="007A6DD6"/>
    <w:rsid w:val="007A729A"/>
    <w:rsid w:val="007B00C7"/>
    <w:rsid w:val="007B064D"/>
    <w:rsid w:val="007B0DFB"/>
    <w:rsid w:val="007B1EBC"/>
    <w:rsid w:val="007B347B"/>
    <w:rsid w:val="007B5320"/>
    <w:rsid w:val="007B5742"/>
    <w:rsid w:val="007B72AC"/>
    <w:rsid w:val="007B77FE"/>
    <w:rsid w:val="007C0087"/>
    <w:rsid w:val="007C14A7"/>
    <w:rsid w:val="007C1FD4"/>
    <w:rsid w:val="007C2A17"/>
    <w:rsid w:val="007C3E80"/>
    <w:rsid w:val="007C429E"/>
    <w:rsid w:val="007C4616"/>
    <w:rsid w:val="007C466C"/>
    <w:rsid w:val="007C48E5"/>
    <w:rsid w:val="007C4959"/>
    <w:rsid w:val="007D2794"/>
    <w:rsid w:val="007D301F"/>
    <w:rsid w:val="007D33D8"/>
    <w:rsid w:val="007D537A"/>
    <w:rsid w:val="007D6CDC"/>
    <w:rsid w:val="007D7334"/>
    <w:rsid w:val="007D7703"/>
    <w:rsid w:val="007D799E"/>
    <w:rsid w:val="007E07E6"/>
    <w:rsid w:val="007E0C7B"/>
    <w:rsid w:val="007E0F8F"/>
    <w:rsid w:val="007E1861"/>
    <w:rsid w:val="007E222E"/>
    <w:rsid w:val="007E260A"/>
    <w:rsid w:val="007E320E"/>
    <w:rsid w:val="007E3A05"/>
    <w:rsid w:val="007E431C"/>
    <w:rsid w:val="007E4665"/>
    <w:rsid w:val="007E4BB4"/>
    <w:rsid w:val="007E4CBE"/>
    <w:rsid w:val="007E54F2"/>
    <w:rsid w:val="007E58EE"/>
    <w:rsid w:val="007E71A1"/>
    <w:rsid w:val="007F0074"/>
    <w:rsid w:val="007F01D9"/>
    <w:rsid w:val="007F044E"/>
    <w:rsid w:val="007F0458"/>
    <w:rsid w:val="007F0562"/>
    <w:rsid w:val="007F08C3"/>
    <w:rsid w:val="007F0FA1"/>
    <w:rsid w:val="007F11C4"/>
    <w:rsid w:val="007F134E"/>
    <w:rsid w:val="007F1C91"/>
    <w:rsid w:val="007F1CB8"/>
    <w:rsid w:val="007F3385"/>
    <w:rsid w:val="007F56B6"/>
    <w:rsid w:val="007F618B"/>
    <w:rsid w:val="007F6798"/>
    <w:rsid w:val="007F7275"/>
    <w:rsid w:val="00800581"/>
    <w:rsid w:val="00800DDA"/>
    <w:rsid w:val="00801A06"/>
    <w:rsid w:val="00801FAE"/>
    <w:rsid w:val="00803353"/>
    <w:rsid w:val="0080467F"/>
    <w:rsid w:val="00805916"/>
    <w:rsid w:val="00806F83"/>
    <w:rsid w:val="008074BC"/>
    <w:rsid w:val="008074DA"/>
    <w:rsid w:val="00807516"/>
    <w:rsid w:val="00810171"/>
    <w:rsid w:val="00810873"/>
    <w:rsid w:val="00810ACA"/>
    <w:rsid w:val="00812A4E"/>
    <w:rsid w:val="00814542"/>
    <w:rsid w:val="00814950"/>
    <w:rsid w:val="00815A91"/>
    <w:rsid w:val="00815D63"/>
    <w:rsid w:val="00817FA0"/>
    <w:rsid w:val="00820195"/>
    <w:rsid w:val="00822ABB"/>
    <w:rsid w:val="00823E9D"/>
    <w:rsid w:val="00826E88"/>
    <w:rsid w:val="0082799C"/>
    <w:rsid w:val="00832442"/>
    <w:rsid w:val="008325D5"/>
    <w:rsid w:val="008328B7"/>
    <w:rsid w:val="00833C02"/>
    <w:rsid w:val="00834EED"/>
    <w:rsid w:val="00834FA2"/>
    <w:rsid w:val="00835374"/>
    <w:rsid w:val="00835D72"/>
    <w:rsid w:val="00835E0E"/>
    <w:rsid w:val="00837188"/>
    <w:rsid w:val="00837DEF"/>
    <w:rsid w:val="008408D2"/>
    <w:rsid w:val="00840B77"/>
    <w:rsid w:val="0084241D"/>
    <w:rsid w:val="00844441"/>
    <w:rsid w:val="00844D08"/>
    <w:rsid w:val="00844EC8"/>
    <w:rsid w:val="008456C6"/>
    <w:rsid w:val="0084645C"/>
    <w:rsid w:val="008476D5"/>
    <w:rsid w:val="008479AF"/>
    <w:rsid w:val="00850C08"/>
    <w:rsid w:val="008524B0"/>
    <w:rsid w:val="00853347"/>
    <w:rsid w:val="008535C7"/>
    <w:rsid w:val="00853A71"/>
    <w:rsid w:val="00854E27"/>
    <w:rsid w:val="00855EC3"/>
    <w:rsid w:val="00857E0C"/>
    <w:rsid w:val="008600B6"/>
    <w:rsid w:val="00860539"/>
    <w:rsid w:val="0086342F"/>
    <w:rsid w:val="00864A1F"/>
    <w:rsid w:val="0086516C"/>
    <w:rsid w:val="00865471"/>
    <w:rsid w:val="00866518"/>
    <w:rsid w:val="00867C47"/>
    <w:rsid w:val="00872B23"/>
    <w:rsid w:val="00872C67"/>
    <w:rsid w:val="00872F22"/>
    <w:rsid w:val="00874358"/>
    <w:rsid w:val="008745DC"/>
    <w:rsid w:val="0087523A"/>
    <w:rsid w:val="008762AA"/>
    <w:rsid w:val="00877167"/>
    <w:rsid w:val="00877B81"/>
    <w:rsid w:val="0088050B"/>
    <w:rsid w:val="00880E09"/>
    <w:rsid w:val="00881921"/>
    <w:rsid w:val="00882553"/>
    <w:rsid w:val="00882DC8"/>
    <w:rsid w:val="00883391"/>
    <w:rsid w:val="00884B6E"/>
    <w:rsid w:val="008873E2"/>
    <w:rsid w:val="008877FC"/>
    <w:rsid w:val="008879B6"/>
    <w:rsid w:val="008903C6"/>
    <w:rsid w:val="0089041A"/>
    <w:rsid w:val="00891685"/>
    <w:rsid w:val="00891D4A"/>
    <w:rsid w:val="00893057"/>
    <w:rsid w:val="00893060"/>
    <w:rsid w:val="00893266"/>
    <w:rsid w:val="008936F5"/>
    <w:rsid w:val="00894381"/>
    <w:rsid w:val="0089442F"/>
    <w:rsid w:val="00895349"/>
    <w:rsid w:val="00895480"/>
    <w:rsid w:val="00895879"/>
    <w:rsid w:val="00895B07"/>
    <w:rsid w:val="00896028"/>
    <w:rsid w:val="00896063"/>
    <w:rsid w:val="008962DF"/>
    <w:rsid w:val="00896796"/>
    <w:rsid w:val="008A18E5"/>
    <w:rsid w:val="008A2D35"/>
    <w:rsid w:val="008A33DF"/>
    <w:rsid w:val="008A48D9"/>
    <w:rsid w:val="008A49BA"/>
    <w:rsid w:val="008A4A6C"/>
    <w:rsid w:val="008A4CA3"/>
    <w:rsid w:val="008A5114"/>
    <w:rsid w:val="008A5966"/>
    <w:rsid w:val="008A599D"/>
    <w:rsid w:val="008B1697"/>
    <w:rsid w:val="008B1F03"/>
    <w:rsid w:val="008B2A8E"/>
    <w:rsid w:val="008B3A8D"/>
    <w:rsid w:val="008B4426"/>
    <w:rsid w:val="008B46E3"/>
    <w:rsid w:val="008B4CA9"/>
    <w:rsid w:val="008B54F4"/>
    <w:rsid w:val="008B572F"/>
    <w:rsid w:val="008B7668"/>
    <w:rsid w:val="008B7F1D"/>
    <w:rsid w:val="008C11DD"/>
    <w:rsid w:val="008C15CF"/>
    <w:rsid w:val="008C1623"/>
    <w:rsid w:val="008C57CF"/>
    <w:rsid w:val="008C665D"/>
    <w:rsid w:val="008C6E82"/>
    <w:rsid w:val="008D23A6"/>
    <w:rsid w:val="008D288E"/>
    <w:rsid w:val="008D292E"/>
    <w:rsid w:val="008D3158"/>
    <w:rsid w:val="008D416A"/>
    <w:rsid w:val="008D4660"/>
    <w:rsid w:val="008E0D8A"/>
    <w:rsid w:val="008E1179"/>
    <w:rsid w:val="008E170F"/>
    <w:rsid w:val="008E229D"/>
    <w:rsid w:val="008E364F"/>
    <w:rsid w:val="008E3A02"/>
    <w:rsid w:val="008E3DF9"/>
    <w:rsid w:val="008E3F94"/>
    <w:rsid w:val="008E4B9F"/>
    <w:rsid w:val="008E5366"/>
    <w:rsid w:val="008E5406"/>
    <w:rsid w:val="008E5939"/>
    <w:rsid w:val="008E5DA1"/>
    <w:rsid w:val="008E6859"/>
    <w:rsid w:val="008E6A7C"/>
    <w:rsid w:val="008E7123"/>
    <w:rsid w:val="008E7414"/>
    <w:rsid w:val="008E76F1"/>
    <w:rsid w:val="008E79F5"/>
    <w:rsid w:val="008E7ABC"/>
    <w:rsid w:val="008E7B95"/>
    <w:rsid w:val="008F01C4"/>
    <w:rsid w:val="008F042E"/>
    <w:rsid w:val="008F056A"/>
    <w:rsid w:val="008F068D"/>
    <w:rsid w:val="008F11BD"/>
    <w:rsid w:val="008F1BCC"/>
    <w:rsid w:val="008F1C9D"/>
    <w:rsid w:val="008F1F06"/>
    <w:rsid w:val="008F214C"/>
    <w:rsid w:val="008F2EEB"/>
    <w:rsid w:val="008F3070"/>
    <w:rsid w:val="008F34A9"/>
    <w:rsid w:val="008F3830"/>
    <w:rsid w:val="008F66DB"/>
    <w:rsid w:val="008F795C"/>
    <w:rsid w:val="008F7A49"/>
    <w:rsid w:val="00900775"/>
    <w:rsid w:val="00900C27"/>
    <w:rsid w:val="00900CC9"/>
    <w:rsid w:val="00900CD6"/>
    <w:rsid w:val="00902800"/>
    <w:rsid w:val="00903271"/>
    <w:rsid w:val="00903422"/>
    <w:rsid w:val="00903690"/>
    <w:rsid w:val="00905582"/>
    <w:rsid w:val="0090579C"/>
    <w:rsid w:val="00905AF8"/>
    <w:rsid w:val="00906F1B"/>
    <w:rsid w:val="00910053"/>
    <w:rsid w:val="00910A3B"/>
    <w:rsid w:val="00910E54"/>
    <w:rsid w:val="0091171D"/>
    <w:rsid w:val="00912889"/>
    <w:rsid w:val="00913508"/>
    <w:rsid w:val="0091391A"/>
    <w:rsid w:val="00913E11"/>
    <w:rsid w:val="00914B73"/>
    <w:rsid w:val="00914DB4"/>
    <w:rsid w:val="00916B97"/>
    <w:rsid w:val="00917AB7"/>
    <w:rsid w:val="0092013D"/>
    <w:rsid w:val="00920C21"/>
    <w:rsid w:val="00921677"/>
    <w:rsid w:val="00922449"/>
    <w:rsid w:val="009236C7"/>
    <w:rsid w:val="00925766"/>
    <w:rsid w:val="00926610"/>
    <w:rsid w:val="0093030E"/>
    <w:rsid w:val="009303FE"/>
    <w:rsid w:val="0093137B"/>
    <w:rsid w:val="009316C0"/>
    <w:rsid w:val="0093351A"/>
    <w:rsid w:val="00933A08"/>
    <w:rsid w:val="0093504F"/>
    <w:rsid w:val="00935A2B"/>
    <w:rsid w:val="00935D6E"/>
    <w:rsid w:val="009373CC"/>
    <w:rsid w:val="0094088B"/>
    <w:rsid w:val="00940B3F"/>
    <w:rsid w:val="00943603"/>
    <w:rsid w:val="009454AF"/>
    <w:rsid w:val="009468DE"/>
    <w:rsid w:val="00946E50"/>
    <w:rsid w:val="009472E2"/>
    <w:rsid w:val="0095119D"/>
    <w:rsid w:val="00952273"/>
    <w:rsid w:val="009528B8"/>
    <w:rsid w:val="009537D2"/>
    <w:rsid w:val="0095380E"/>
    <w:rsid w:val="009542E9"/>
    <w:rsid w:val="00956103"/>
    <w:rsid w:val="0095623C"/>
    <w:rsid w:val="00956846"/>
    <w:rsid w:val="00956D95"/>
    <w:rsid w:val="0095730B"/>
    <w:rsid w:val="00957E34"/>
    <w:rsid w:val="00957F6E"/>
    <w:rsid w:val="00960295"/>
    <w:rsid w:val="00960AFB"/>
    <w:rsid w:val="00961152"/>
    <w:rsid w:val="0096192C"/>
    <w:rsid w:val="00963F8E"/>
    <w:rsid w:val="0096684F"/>
    <w:rsid w:val="009707B7"/>
    <w:rsid w:val="00971582"/>
    <w:rsid w:val="00971A83"/>
    <w:rsid w:val="00971EC0"/>
    <w:rsid w:val="009734C3"/>
    <w:rsid w:val="00975FD6"/>
    <w:rsid w:val="00977262"/>
    <w:rsid w:val="00977F71"/>
    <w:rsid w:val="00980011"/>
    <w:rsid w:val="0098067D"/>
    <w:rsid w:val="00980D81"/>
    <w:rsid w:val="0098163C"/>
    <w:rsid w:val="0098191B"/>
    <w:rsid w:val="009825AC"/>
    <w:rsid w:val="0098261D"/>
    <w:rsid w:val="00982F12"/>
    <w:rsid w:val="00983812"/>
    <w:rsid w:val="00984955"/>
    <w:rsid w:val="00984DBC"/>
    <w:rsid w:val="00985561"/>
    <w:rsid w:val="009860CA"/>
    <w:rsid w:val="00986979"/>
    <w:rsid w:val="00987128"/>
    <w:rsid w:val="0098741F"/>
    <w:rsid w:val="00987C54"/>
    <w:rsid w:val="00992D0D"/>
    <w:rsid w:val="00992EDD"/>
    <w:rsid w:val="00994CD3"/>
    <w:rsid w:val="009964A1"/>
    <w:rsid w:val="00996865"/>
    <w:rsid w:val="009A046B"/>
    <w:rsid w:val="009A0692"/>
    <w:rsid w:val="009A0EBC"/>
    <w:rsid w:val="009A1B61"/>
    <w:rsid w:val="009A2127"/>
    <w:rsid w:val="009A34F1"/>
    <w:rsid w:val="009A3B67"/>
    <w:rsid w:val="009A3CAA"/>
    <w:rsid w:val="009A3D86"/>
    <w:rsid w:val="009A447F"/>
    <w:rsid w:val="009A495A"/>
    <w:rsid w:val="009A4C2A"/>
    <w:rsid w:val="009A515F"/>
    <w:rsid w:val="009A51FB"/>
    <w:rsid w:val="009A56CA"/>
    <w:rsid w:val="009A5951"/>
    <w:rsid w:val="009A6936"/>
    <w:rsid w:val="009A7B9E"/>
    <w:rsid w:val="009A7E29"/>
    <w:rsid w:val="009B00D3"/>
    <w:rsid w:val="009B06F8"/>
    <w:rsid w:val="009B31E9"/>
    <w:rsid w:val="009B3ACB"/>
    <w:rsid w:val="009B4CD1"/>
    <w:rsid w:val="009B51AB"/>
    <w:rsid w:val="009B6043"/>
    <w:rsid w:val="009B63AD"/>
    <w:rsid w:val="009B6C2E"/>
    <w:rsid w:val="009B6F6B"/>
    <w:rsid w:val="009B7C37"/>
    <w:rsid w:val="009B7D23"/>
    <w:rsid w:val="009C1C6A"/>
    <w:rsid w:val="009C1FE3"/>
    <w:rsid w:val="009C23A6"/>
    <w:rsid w:val="009C26E6"/>
    <w:rsid w:val="009C4623"/>
    <w:rsid w:val="009C5131"/>
    <w:rsid w:val="009C544F"/>
    <w:rsid w:val="009C61F1"/>
    <w:rsid w:val="009C6FA5"/>
    <w:rsid w:val="009C7311"/>
    <w:rsid w:val="009C7905"/>
    <w:rsid w:val="009D0DBF"/>
    <w:rsid w:val="009D0F4D"/>
    <w:rsid w:val="009D10F9"/>
    <w:rsid w:val="009D17F7"/>
    <w:rsid w:val="009D184D"/>
    <w:rsid w:val="009D4634"/>
    <w:rsid w:val="009D4EE6"/>
    <w:rsid w:val="009D64CF"/>
    <w:rsid w:val="009D6F0A"/>
    <w:rsid w:val="009D7428"/>
    <w:rsid w:val="009D7F4C"/>
    <w:rsid w:val="009E01BF"/>
    <w:rsid w:val="009E0643"/>
    <w:rsid w:val="009E13A8"/>
    <w:rsid w:val="009E2601"/>
    <w:rsid w:val="009E276D"/>
    <w:rsid w:val="009E39EB"/>
    <w:rsid w:val="009E3EE4"/>
    <w:rsid w:val="009E4CDE"/>
    <w:rsid w:val="009E5004"/>
    <w:rsid w:val="009E5735"/>
    <w:rsid w:val="009E57A2"/>
    <w:rsid w:val="009E5DB7"/>
    <w:rsid w:val="009F1175"/>
    <w:rsid w:val="009F1A03"/>
    <w:rsid w:val="009F1A71"/>
    <w:rsid w:val="009F1EE2"/>
    <w:rsid w:val="009F298D"/>
    <w:rsid w:val="009F4718"/>
    <w:rsid w:val="009F5F71"/>
    <w:rsid w:val="009F6688"/>
    <w:rsid w:val="009F6B4D"/>
    <w:rsid w:val="009F6D85"/>
    <w:rsid w:val="009F7D6E"/>
    <w:rsid w:val="009F7F55"/>
    <w:rsid w:val="00A00104"/>
    <w:rsid w:val="00A02429"/>
    <w:rsid w:val="00A03CD2"/>
    <w:rsid w:val="00A03EE9"/>
    <w:rsid w:val="00A041E2"/>
    <w:rsid w:val="00A0523E"/>
    <w:rsid w:val="00A06278"/>
    <w:rsid w:val="00A06487"/>
    <w:rsid w:val="00A06655"/>
    <w:rsid w:val="00A06E71"/>
    <w:rsid w:val="00A116A9"/>
    <w:rsid w:val="00A11D17"/>
    <w:rsid w:val="00A124CB"/>
    <w:rsid w:val="00A12A61"/>
    <w:rsid w:val="00A13560"/>
    <w:rsid w:val="00A13627"/>
    <w:rsid w:val="00A14749"/>
    <w:rsid w:val="00A15280"/>
    <w:rsid w:val="00A153EC"/>
    <w:rsid w:val="00A15B76"/>
    <w:rsid w:val="00A16B66"/>
    <w:rsid w:val="00A17CA4"/>
    <w:rsid w:val="00A23585"/>
    <w:rsid w:val="00A235EB"/>
    <w:rsid w:val="00A23B8A"/>
    <w:rsid w:val="00A243A1"/>
    <w:rsid w:val="00A254DD"/>
    <w:rsid w:val="00A25BFF"/>
    <w:rsid w:val="00A25E29"/>
    <w:rsid w:val="00A2605C"/>
    <w:rsid w:val="00A267C8"/>
    <w:rsid w:val="00A27183"/>
    <w:rsid w:val="00A308A7"/>
    <w:rsid w:val="00A31632"/>
    <w:rsid w:val="00A316C2"/>
    <w:rsid w:val="00A31DA6"/>
    <w:rsid w:val="00A32B7A"/>
    <w:rsid w:val="00A33788"/>
    <w:rsid w:val="00A33AC3"/>
    <w:rsid w:val="00A34EC1"/>
    <w:rsid w:val="00A3505A"/>
    <w:rsid w:val="00A355B9"/>
    <w:rsid w:val="00A36CDD"/>
    <w:rsid w:val="00A37BD8"/>
    <w:rsid w:val="00A43BC5"/>
    <w:rsid w:val="00A43EB7"/>
    <w:rsid w:val="00A43F6D"/>
    <w:rsid w:val="00A44F35"/>
    <w:rsid w:val="00A45C3F"/>
    <w:rsid w:val="00A45D67"/>
    <w:rsid w:val="00A45E68"/>
    <w:rsid w:val="00A460E8"/>
    <w:rsid w:val="00A4638B"/>
    <w:rsid w:val="00A46A61"/>
    <w:rsid w:val="00A47D04"/>
    <w:rsid w:val="00A50B4F"/>
    <w:rsid w:val="00A5123D"/>
    <w:rsid w:val="00A515F5"/>
    <w:rsid w:val="00A51673"/>
    <w:rsid w:val="00A521BC"/>
    <w:rsid w:val="00A5276E"/>
    <w:rsid w:val="00A527A3"/>
    <w:rsid w:val="00A535F7"/>
    <w:rsid w:val="00A53BC2"/>
    <w:rsid w:val="00A549BB"/>
    <w:rsid w:val="00A554E9"/>
    <w:rsid w:val="00A55EBB"/>
    <w:rsid w:val="00A56082"/>
    <w:rsid w:val="00A578CC"/>
    <w:rsid w:val="00A60093"/>
    <w:rsid w:val="00A61C2A"/>
    <w:rsid w:val="00A6269B"/>
    <w:rsid w:val="00A6334C"/>
    <w:rsid w:val="00A643B5"/>
    <w:rsid w:val="00A665C3"/>
    <w:rsid w:val="00A6684B"/>
    <w:rsid w:val="00A672D2"/>
    <w:rsid w:val="00A67C5C"/>
    <w:rsid w:val="00A7159D"/>
    <w:rsid w:val="00A72757"/>
    <w:rsid w:val="00A735ED"/>
    <w:rsid w:val="00A7381F"/>
    <w:rsid w:val="00A74202"/>
    <w:rsid w:val="00A7447C"/>
    <w:rsid w:val="00A745CA"/>
    <w:rsid w:val="00A74AFB"/>
    <w:rsid w:val="00A7551A"/>
    <w:rsid w:val="00A755D2"/>
    <w:rsid w:val="00A756DF"/>
    <w:rsid w:val="00A7594D"/>
    <w:rsid w:val="00A75B70"/>
    <w:rsid w:val="00A765A2"/>
    <w:rsid w:val="00A776F5"/>
    <w:rsid w:val="00A778F6"/>
    <w:rsid w:val="00A806E4"/>
    <w:rsid w:val="00A80951"/>
    <w:rsid w:val="00A8175E"/>
    <w:rsid w:val="00A82085"/>
    <w:rsid w:val="00A82486"/>
    <w:rsid w:val="00A82507"/>
    <w:rsid w:val="00A82783"/>
    <w:rsid w:val="00A82F40"/>
    <w:rsid w:val="00A8381B"/>
    <w:rsid w:val="00A84BC0"/>
    <w:rsid w:val="00A84EF7"/>
    <w:rsid w:val="00A85D46"/>
    <w:rsid w:val="00A9000C"/>
    <w:rsid w:val="00A9036F"/>
    <w:rsid w:val="00A91F2C"/>
    <w:rsid w:val="00A921CD"/>
    <w:rsid w:val="00A92943"/>
    <w:rsid w:val="00A94219"/>
    <w:rsid w:val="00A94714"/>
    <w:rsid w:val="00A96B9E"/>
    <w:rsid w:val="00A979BA"/>
    <w:rsid w:val="00A97F33"/>
    <w:rsid w:val="00AA0AF1"/>
    <w:rsid w:val="00AA0C49"/>
    <w:rsid w:val="00AA1900"/>
    <w:rsid w:val="00AA1C62"/>
    <w:rsid w:val="00AA2618"/>
    <w:rsid w:val="00AA4175"/>
    <w:rsid w:val="00AA4695"/>
    <w:rsid w:val="00AA4B8C"/>
    <w:rsid w:val="00AA66CB"/>
    <w:rsid w:val="00AA7346"/>
    <w:rsid w:val="00AA7FC6"/>
    <w:rsid w:val="00AB01FA"/>
    <w:rsid w:val="00AB0805"/>
    <w:rsid w:val="00AB1661"/>
    <w:rsid w:val="00AB169B"/>
    <w:rsid w:val="00AB1729"/>
    <w:rsid w:val="00AB1AFD"/>
    <w:rsid w:val="00AB202F"/>
    <w:rsid w:val="00AB27EE"/>
    <w:rsid w:val="00AB2C62"/>
    <w:rsid w:val="00AB3FF5"/>
    <w:rsid w:val="00AB50E4"/>
    <w:rsid w:val="00AB6A66"/>
    <w:rsid w:val="00AC030B"/>
    <w:rsid w:val="00AC1AA1"/>
    <w:rsid w:val="00AC1FE6"/>
    <w:rsid w:val="00AC22D0"/>
    <w:rsid w:val="00AC24A4"/>
    <w:rsid w:val="00AC27D1"/>
    <w:rsid w:val="00AC27F8"/>
    <w:rsid w:val="00AC3F9E"/>
    <w:rsid w:val="00AC45CD"/>
    <w:rsid w:val="00AC4A96"/>
    <w:rsid w:val="00AC4D21"/>
    <w:rsid w:val="00AC6120"/>
    <w:rsid w:val="00AC6617"/>
    <w:rsid w:val="00AC6FF3"/>
    <w:rsid w:val="00AC7BA3"/>
    <w:rsid w:val="00AD09D4"/>
    <w:rsid w:val="00AD305D"/>
    <w:rsid w:val="00AD325D"/>
    <w:rsid w:val="00AD502D"/>
    <w:rsid w:val="00AD56D9"/>
    <w:rsid w:val="00AD57EE"/>
    <w:rsid w:val="00AD5D62"/>
    <w:rsid w:val="00AD65B1"/>
    <w:rsid w:val="00AE0595"/>
    <w:rsid w:val="00AE1738"/>
    <w:rsid w:val="00AE1D8B"/>
    <w:rsid w:val="00AE276F"/>
    <w:rsid w:val="00AE36AF"/>
    <w:rsid w:val="00AE38B3"/>
    <w:rsid w:val="00AE4836"/>
    <w:rsid w:val="00AE4C4C"/>
    <w:rsid w:val="00AE5CA7"/>
    <w:rsid w:val="00AE627D"/>
    <w:rsid w:val="00AE64C5"/>
    <w:rsid w:val="00AE72B5"/>
    <w:rsid w:val="00AE7ADB"/>
    <w:rsid w:val="00AE7FE2"/>
    <w:rsid w:val="00AF01FC"/>
    <w:rsid w:val="00AF189E"/>
    <w:rsid w:val="00AF1961"/>
    <w:rsid w:val="00AF25B5"/>
    <w:rsid w:val="00AF2B7B"/>
    <w:rsid w:val="00AF3858"/>
    <w:rsid w:val="00AF3E5C"/>
    <w:rsid w:val="00AF4A64"/>
    <w:rsid w:val="00AF59DE"/>
    <w:rsid w:val="00AF63CA"/>
    <w:rsid w:val="00AF6E6D"/>
    <w:rsid w:val="00AF7C51"/>
    <w:rsid w:val="00B01724"/>
    <w:rsid w:val="00B01884"/>
    <w:rsid w:val="00B0486D"/>
    <w:rsid w:val="00B053E4"/>
    <w:rsid w:val="00B05D16"/>
    <w:rsid w:val="00B0708D"/>
    <w:rsid w:val="00B07474"/>
    <w:rsid w:val="00B1000A"/>
    <w:rsid w:val="00B107FD"/>
    <w:rsid w:val="00B10826"/>
    <w:rsid w:val="00B10D5A"/>
    <w:rsid w:val="00B121CF"/>
    <w:rsid w:val="00B1237C"/>
    <w:rsid w:val="00B12B0C"/>
    <w:rsid w:val="00B1331B"/>
    <w:rsid w:val="00B13B47"/>
    <w:rsid w:val="00B13FC7"/>
    <w:rsid w:val="00B15734"/>
    <w:rsid w:val="00B16948"/>
    <w:rsid w:val="00B17B70"/>
    <w:rsid w:val="00B17F98"/>
    <w:rsid w:val="00B211B0"/>
    <w:rsid w:val="00B225A3"/>
    <w:rsid w:val="00B23533"/>
    <w:rsid w:val="00B23593"/>
    <w:rsid w:val="00B235D0"/>
    <w:rsid w:val="00B235F7"/>
    <w:rsid w:val="00B23AE1"/>
    <w:rsid w:val="00B242D3"/>
    <w:rsid w:val="00B2530C"/>
    <w:rsid w:val="00B257F1"/>
    <w:rsid w:val="00B270E2"/>
    <w:rsid w:val="00B2778B"/>
    <w:rsid w:val="00B27BAF"/>
    <w:rsid w:val="00B27F3B"/>
    <w:rsid w:val="00B305DF"/>
    <w:rsid w:val="00B30F59"/>
    <w:rsid w:val="00B32158"/>
    <w:rsid w:val="00B322B6"/>
    <w:rsid w:val="00B3333C"/>
    <w:rsid w:val="00B34279"/>
    <w:rsid w:val="00B3436C"/>
    <w:rsid w:val="00B34E81"/>
    <w:rsid w:val="00B3638E"/>
    <w:rsid w:val="00B41637"/>
    <w:rsid w:val="00B4287E"/>
    <w:rsid w:val="00B431D0"/>
    <w:rsid w:val="00B43800"/>
    <w:rsid w:val="00B43B89"/>
    <w:rsid w:val="00B444DA"/>
    <w:rsid w:val="00B4532E"/>
    <w:rsid w:val="00B47A29"/>
    <w:rsid w:val="00B47D46"/>
    <w:rsid w:val="00B50E85"/>
    <w:rsid w:val="00B5146A"/>
    <w:rsid w:val="00B52ECB"/>
    <w:rsid w:val="00B548AB"/>
    <w:rsid w:val="00B548C6"/>
    <w:rsid w:val="00B5504A"/>
    <w:rsid w:val="00B56EB3"/>
    <w:rsid w:val="00B577A7"/>
    <w:rsid w:val="00B57C26"/>
    <w:rsid w:val="00B57F2C"/>
    <w:rsid w:val="00B601CF"/>
    <w:rsid w:val="00B606A9"/>
    <w:rsid w:val="00B614C0"/>
    <w:rsid w:val="00B61C0E"/>
    <w:rsid w:val="00B6231C"/>
    <w:rsid w:val="00B62594"/>
    <w:rsid w:val="00B62822"/>
    <w:rsid w:val="00B63669"/>
    <w:rsid w:val="00B63A20"/>
    <w:rsid w:val="00B6588A"/>
    <w:rsid w:val="00B6632F"/>
    <w:rsid w:val="00B667B2"/>
    <w:rsid w:val="00B66F29"/>
    <w:rsid w:val="00B673BB"/>
    <w:rsid w:val="00B72E04"/>
    <w:rsid w:val="00B73758"/>
    <w:rsid w:val="00B754A6"/>
    <w:rsid w:val="00B760D7"/>
    <w:rsid w:val="00B76A4D"/>
    <w:rsid w:val="00B76E9E"/>
    <w:rsid w:val="00B778D2"/>
    <w:rsid w:val="00B80A0B"/>
    <w:rsid w:val="00B81F4D"/>
    <w:rsid w:val="00B82AAB"/>
    <w:rsid w:val="00B82AB1"/>
    <w:rsid w:val="00B849AA"/>
    <w:rsid w:val="00B84AEA"/>
    <w:rsid w:val="00B87432"/>
    <w:rsid w:val="00B8786F"/>
    <w:rsid w:val="00B90BBF"/>
    <w:rsid w:val="00B92A00"/>
    <w:rsid w:val="00B9302A"/>
    <w:rsid w:val="00B932B1"/>
    <w:rsid w:val="00B93AAB"/>
    <w:rsid w:val="00B9552D"/>
    <w:rsid w:val="00B96EAA"/>
    <w:rsid w:val="00B97588"/>
    <w:rsid w:val="00BA00C4"/>
    <w:rsid w:val="00BA0D8C"/>
    <w:rsid w:val="00BA0F7C"/>
    <w:rsid w:val="00BA1106"/>
    <w:rsid w:val="00BA13C8"/>
    <w:rsid w:val="00BA28F2"/>
    <w:rsid w:val="00BA2F70"/>
    <w:rsid w:val="00BA3D89"/>
    <w:rsid w:val="00BA4273"/>
    <w:rsid w:val="00BA4364"/>
    <w:rsid w:val="00BA4F72"/>
    <w:rsid w:val="00BA63E9"/>
    <w:rsid w:val="00BA6E5D"/>
    <w:rsid w:val="00BA785E"/>
    <w:rsid w:val="00BA7FAD"/>
    <w:rsid w:val="00BB0F36"/>
    <w:rsid w:val="00BB1F03"/>
    <w:rsid w:val="00BB2153"/>
    <w:rsid w:val="00BB255C"/>
    <w:rsid w:val="00BB332E"/>
    <w:rsid w:val="00BB353A"/>
    <w:rsid w:val="00BB3D56"/>
    <w:rsid w:val="00BB3E26"/>
    <w:rsid w:val="00BB4311"/>
    <w:rsid w:val="00BB4963"/>
    <w:rsid w:val="00BB4EB2"/>
    <w:rsid w:val="00BB553A"/>
    <w:rsid w:val="00BB5C52"/>
    <w:rsid w:val="00BB62BE"/>
    <w:rsid w:val="00BB73E4"/>
    <w:rsid w:val="00BB759D"/>
    <w:rsid w:val="00BB799F"/>
    <w:rsid w:val="00BC0DF2"/>
    <w:rsid w:val="00BC141C"/>
    <w:rsid w:val="00BC1575"/>
    <w:rsid w:val="00BC2B5A"/>
    <w:rsid w:val="00BC312B"/>
    <w:rsid w:val="00BC35B1"/>
    <w:rsid w:val="00BC3F41"/>
    <w:rsid w:val="00BC3FA5"/>
    <w:rsid w:val="00BC55DE"/>
    <w:rsid w:val="00BC5AD6"/>
    <w:rsid w:val="00BC5AF3"/>
    <w:rsid w:val="00BC6225"/>
    <w:rsid w:val="00BD04B7"/>
    <w:rsid w:val="00BD1077"/>
    <w:rsid w:val="00BD1607"/>
    <w:rsid w:val="00BD2CDE"/>
    <w:rsid w:val="00BD30DD"/>
    <w:rsid w:val="00BD35D3"/>
    <w:rsid w:val="00BD4251"/>
    <w:rsid w:val="00BD444C"/>
    <w:rsid w:val="00BD461D"/>
    <w:rsid w:val="00BD5676"/>
    <w:rsid w:val="00BD61D5"/>
    <w:rsid w:val="00BE147B"/>
    <w:rsid w:val="00BE238D"/>
    <w:rsid w:val="00BE23CE"/>
    <w:rsid w:val="00BE2903"/>
    <w:rsid w:val="00BE3950"/>
    <w:rsid w:val="00BE505E"/>
    <w:rsid w:val="00BE6912"/>
    <w:rsid w:val="00BE7946"/>
    <w:rsid w:val="00BF0329"/>
    <w:rsid w:val="00BF0CEB"/>
    <w:rsid w:val="00BF1B44"/>
    <w:rsid w:val="00BF338A"/>
    <w:rsid w:val="00BF44C8"/>
    <w:rsid w:val="00BF4DCC"/>
    <w:rsid w:val="00BF4E9E"/>
    <w:rsid w:val="00BF50ED"/>
    <w:rsid w:val="00BF5BB0"/>
    <w:rsid w:val="00BF5C4F"/>
    <w:rsid w:val="00C008A5"/>
    <w:rsid w:val="00C0166D"/>
    <w:rsid w:val="00C016EF"/>
    <w:rsid w:val="00C02A2A"/>
    <w:rsid w:val="00C02D48"/>
    <w:rsid w:val="00C03E2C"/>
    <w:rsid w:val="00C05748"/>
    <w:rsid w:val="00C05873"/>
    <w:rsid w:val="00C070F2"/>
    <w:rsid w:val="00C07AC9"/>
    <w:rsid w:val="00C07F11"/>
    <w:rsid w:val="00C10B28"/>
    <w:rsid w:val="00C1460B"/>
    <w:rsid w:val="00C149FB"/>
    <w:rsid w:val="00C1581C"/>
    <w:rsid w:val="00C16EC7"/>
    <w:rsid w:val="00C20F29"/>
    <w:rsid w:val="00C224A7"/>
    <w:rsid w:val="00C22664"/>
    <w:rsid w:val="00C22794"/>
    <w:rsid w:val="00C22E4C"/>
    <w:rsid w:val="00C22FD0"/>
    <w:rsid w:val="00C238E7"/>
    <w:rsid w:val="00C25C07"/>
    <w:rsid w:val="00C25C4B"/>
    <w:rsid w:val="00C25FAB"/>
    <w:rsid w:val="00C26331"/>
    <w:rsid w:val="00C27314"/>
    <w:rsid w:val="00C31710"/>
    <w:rsid w:val="00C31D8C"/>
    <w:rsid w:val="00C33D9D"/>
    <w:rsid w:val="00C34232"/>
    <w:rsid w:val="00C358C2"/>
    <w:rsid w:val="00C35B7B"/>
    <w:rsid w:val="00C35E81"/>
    <w:rsid w:val="00C37131"/>
    <w:rsid w:val="00C3736D"/>
    <w:rsid w:val="00C377F7"/>
    <w:rsid w:val="00C40304"/>
    <w:rsid w:val="00C41808"/>
    <w:rsid w:val="00C41830"/>
    <w:rsid w:val="00C41C13"/>
    <w:rsid w:val="00C4297F"/>
    <w:rsid w:val="00C4358C"/>
    <w:rsid w:val="00C438D6"/>
    <w:rsid w:val="00C4401D"/>
    <w:rsid w:val="00C44BF6"/>
    <w:rsid w:val="00C44C00"/>
    <w:rsid w:val="00C45093"/>
    <w:rsid w:val="00C4541D"/>
    <w:rsid w:val="00C45FA4"/>
    <w:rsid w:val="00C46AC2"/>
    <w:rsid w:val="00C5090D"/>
    <w:rsid w:val="00C50D26"/>
    <w:rsid w:val="00C51022"/>
    <w:rsid w:val="00C51260"/>
    <w:rsid w:val="00C51929"/>
    <w:rsid w:val="00C52D39"/>
    <w:rsid w:val="00C5396E"/>
    <w:rsid w:val="00C5416D"/>
    <w:rsid w:val="00C55F54"/>
    <w:rsid w:val="00C56189"/>
    <w:rsid w:val="00C563C1"/>
    <w:rsid w:val="00C56A5D"/>
    <w:rsid w:val="00C56F7F"/>
    <w:rsid w:val="00C57BB0"/>
    <w:rsid w:val="00C57D81"/>
    <w:rsid w:val="00C60D88"/>
    <w:rsid w:val="00C62D47"/>
    <w:rsid w:val="00C63267"/>
    <w:rsid w:val="00C63A61"/>
    <w:rsid w:val="00C64801"/>
    <w:rsid w:val="00C64D3E"/>
    <w:rsid w:val="00C65A88"/>
    <w:rsid w:val="00C6670A"/>
    <w:rsid w:val="00C6792E"/>
    <w:rsid w:val="00C67D5B"/>
    <w:rsid w:val="00C7054F"/>
    <w:rsid w:val="00C70BE4"/>
    <w:rsid w:val="00C70E95"/>
    <w:rsid w:val="00C70FB8"/>
    <w:rsid w:val="00C71D9B"/>
    <w:rsid w:val="00C73B40"/>
    <w:rsid w:val="00C74C7E"/>
    <w:rsid w:val="00C76810"/>
    <w:rsid w:val="00C770E9"/>
    <w:rsid w:val="00C773DC"/>
    <w:rsid w:val="00C8050B"/>
    <w:rsid w:val="00C8097D"/>
    <w:rsid w:val="00C818BC"/>
    <w:rsid w:val="00C81DEB"/>
    <w:rsid w:val="00C826B2"/>
    <w:rsid w:val="00C82700"/>
    <w:rsid w:val="00C8408A"/>
    <w:rsid w:val="00C85467"/>
    <w:rsid w:val="00C8623C"/>
    <w:rsid w:val="00C8689B"/>
    <w:rsid w:val="00C86D49"/>
    <w:rsid w:val="00C870CA"/>
    <w:rsid w:val="00C91A9D"/>
    <w:rsid w:val="00C91E1F"/>
    <w:rsid w:val="00C924AD"/>
    <w:rsid w:val="00C936F4"/>
    <w:rsid w:val="00C93753"/>
    <w:rsid w:val="00C95D49"/>
    <w:rsid w:val="00C95D5B"/>
    <w:rsid w:val="00C9740F"/>
    <w:rsid w:val="00C97BEC"/>
    <w:rsid w:val="00CA0582"/>
    <w:rsid w:val="00CA0711"/>
    <w:rsid w:val="00CA1AEC"/>
    <w:rsid w:val="00CA1CFE"/>
    <w:rsid w:val="00CA1D34"/>
    <w:rsid w:val="00CA3A3B"/>
    <w:rsid w:val="00CA40DF"/>
    <w:rsid w:val="00CA459B"/>
    <w:rsid w:val="00CA5026"/>
    <w:rsid w:val="00CA5254"/>
    <w:rsid w:val="00CA783E"/>
    <w:rsid w:val="00CA7899"/>
    <w:rsid w:val="00CA7C55"/>
    <w:rsid w:val="00CB0FC7"/>
    <w:rsid w:val="00CB1056"/>
    <w:rsid w:val="00CB258F"/>
    <w:rsid w:val="00CB2A27"/>
    <w:rsid w:val="00CB2B02"/>
    <w:rsid w:val="00CB38EF"/>
    <w:rsid w:val="00CB3F0D"/>
    <w:rsid w:val="00CB4711"/>
    <w:rsid w:val="00CB4726"/>
    <w:rsid w:val="00CB4CEA"/>
    <w:rsid w:val="00CB5113"/>
    <w:rsid w:val="00CB5B5C"/>
    <w:rsid w:val="00CB5E3C"/>
    <w:rsid w:val="00CB5E5A"/>
    <w:rsid w:val="00CB7754"/>
    <w:rsid w:val="00CB79B5"/>
    <w:rsid w:val="00CB7ACE"/>
    <w:rsid w:val="00CC06E7"/>
    <w:rsid w:val="00CC1207"/>
    <w:rsid w:val="00CC49A2"/>
    <w:rsid w:val="00CC5391"/>
    <w:rsid w:val="00CC5FB6"/>
    <w:rsid w:val="00CC61A1"/>
    <w:rsid w:val="00CC7A8A"/>
    <w:rsid w:val="00CD008B"/>
    <w:rsid w:val="00CD0BDF"/>
    <w:rsid w:val="00CD0C0D"/>
    <w:rsid w:val="00CD0D35"/>
    <w:rsid w:val="00CD113C"/>
    <w:rsid w:val="00CD2A05"/>
    <w:rsid w:val="00CD3005"/>
    <w:rsid w:val="00CD5510"/>
    <w:rsid w:val="00CD69F1"/>
    <w:rsid w:val="00CD78D4"/>
    <w:rsid w:val="00CE074C"/>
    <w:rsid w:val="00CE09D3"/>
    <w:rsid w:val="00CE288C"/>
    <w:rsid w:val="00CE5D43"/>
    <w:rsid w:val="00CE63BF"/>
    <w:rsid w:val="00CE6F2D"/>
    <w:rsid w:val="00CE710F"/>
    <w:rsid w:val="00CE7D6E"/>
    <w:rsid w:val="00CF07A5"/>
    <w:rsid w:val="00CF0A04"/>
    <w:rsid w:val="00CF1D30"/>
    <w:rsid w:val="00CF2180"/>
    <w:rsid w:val="00CF21F0"/>
    <w:rsid w:val="00CF252A"/>
    <w:rsid w:val="00CF42C9"/>
    <w:rsid w:val="00CF5E89"/>
    <w:rsid w:val="00CF7DD8"/>
    <w:rsid w:val="00D011CC"/>
    <w:rsid w:val="00D01771"/>
    <w:rsid w:val="00D01825"/>
    <w:rsid w:val="00D04105"/>
    <w:rsid w:val="00D04983"/>
    <w:rsid w:val="00D063B8"/>
    <w:rsid w:val="00D0770A"/>
    <w:rsid w:val="00D11BCF"/>
    <w:rsid w:val="00D1280A"/>
    <w:rsid w:val="00D12FC8"/>
    <w:rsid w:val="00D139D3"/>
    <w:rsid w:val="00D14154"/>
    <w:rsid w:val="00D14580"/>
    <w:rsid w:val="00D1714D"/>
    <w:rsid w:val="00D17B03"/>
    <w:rsid w:val="00D21B92"/>
    <w:rsid w:val="00D21D9F"/>
    <w:rsid w:val="00D250C2"/>
    <w:rsid w:val="00D25E28"/>
    <w:rsid w:val="00D25E5A"/>
    <w:rsid w:val="00D260B2"/>
    <w:rsid w:val="00D2687A"/>
    <w:rsid w:val="00D27249"/>
    <w:rsid w:val="00D2786D"/>
    <w:rsid w:val="00D304B9"/>
    <w:rsid w:val="00D30F78"/>
    <w:rsid w:val="00D31E17"/>
    <w:rsid w:val="00D32B9A"/>
    <w:rsid w:val="00D32D25"/>
    <w:rsid w:val="00D32DF2"/>
    <w:rsid w:val="00D3346B"/>
    <w:rsid w:val="00D337DD"/>
    <w:rsid w:val="00D339E3"/>
    <w:rsid w:val="00D33C8E"/>
    <w:rsid w:val="00D35D56"/>
    <w:rsid w:val="00D36321"/>
    <w:rsid w:val="00D36DF0"/>
    <w:rsid w:val="00D40797"/>
    <w:rsid w:val="00D40F75"/>
    <w:rsid w:val="00D41C7C"/>
    <w:rsid w:val="00D44660"/>
    <w:rsid w:val="00D46813"/>
    <w:rsid w:val="00D47264"/>
    <w:rsid w:val="00D472EE"/>
    <w:rsid w:val="00D47D57"/>
    <w:rsid w:val="00D506FA"/>
    <w:rsid w:val="00D514A4"/>
    <w:rsid w:val="00D5157C"/>
    <w:rsid w:val="00D51D4B"/>
    <w:rsid w:val="00D524AC"/>
    <w:rsid w:val="00D534BC"/>
    <w:rsid w:val="00D5387C"/>
    <w:rsid w:val="00D55ED3"/>
    <w:rsid w:val="00D56660"/>
    <w:rsid w:val="00D570AE"/>
    <w:rsid w:val="00D5724E"/>
    <w:rsid w:val="00D5726A"/>
    <w:rsid w:val="00D57556"/>
    <w:rsid w:val="00D61B20"/>
    <w:rsid w:val="00D624BF"/>
    <w:rsid w:val="00D638A5"/>
    <w:rsid w:val="00D63D79"/>
    <w:rsid w:val="00D65997"/>
    <w:rsid w:val="00D719F0"/>
    <w:rsid w:val="00D7446E"/>
    <w:rsid w:val="00D76FC7"/>
    <w:rsid w:val="00D77E3B"/>
    <w:rsid w:val="00D801A5"/>
    <w:rsid w:val="00D80C1E"/>
    <w:rsid w:val="00D8104F"/>
    <w:rsid w:val="00D814DB"/>
    <w:rsid w:val="00D81C2B"/>
    <w:rsid w:val="00D81CC2"/>
    <w:rsid w:val="00D82F70"/>
    <w:rsid w:val="00D83772"/>
    <w:rsid w:val="00D83DD0"/>
    <w:rsid w:val="00D8463F"/>
    <w:rsid w:val="00D848C2"/>
    <w:rsid w:val="00D85822"/>
    <w:rsid w:val="00D8675C"/>
    <w:rsid w:val="00D86DAD"/>
    <w:rsid w:val="00D8712A"/>
    <w:rsid w:val="00D87EB2"/>
    <w:rsid w:val="00D90301"/>
    <w:rsid w:val="00D90701"/>
    <w:rsid w:val="00D90DCD"/>
    <w:rsid w:val="00D90F40"/>
    <w:rsid w:val="00D91746"/>
    <w:rsid w:val="00D91A58"/>
    <w:rsid w:val="00D95FA4"/>
    <w:rsid w:val="00D964F3"/>
    <w:rsid w:val="00D96805"/>
    <w:rsid w:val="00D96A58"/>
    <w:rsid w:val="00D97B4F"/>
    <w:rsid w:val="00DA1413"/>
    <w:rsid w:val="00DA17C6"/>
    <w:rsid w:val="00DA21BD"/>
    <w:rsid w:val="00DA2F61"/>
    <w:rsid w:val="00DA3A23"/>
    <w:rsid w:val="00DA454F"/>
    <w:rsid w:val="00DA4922"/>
    <w:rsid w:val="00DA59C9"/>
    <w:rsid w:val="00DA71C5"/>
    <w:rsid w:val="00DA754E"/>
    <w:rsid w:val="00DB03A2"/>
    <w:rsid w:val="00DB1A4E"/>
    <w:rsid w:val="00DB1C31"/>
    <w:rsid w:val="00DB3B01"/>
    <w:rsid w:val="00DB3BD7"/>
    <w:rsid w:val="00DB4BC2"/>
    <w:rsid w:val="00DB4D2C"/>
    <w:rsid w:val="00DB5548"/>
    <w:rsid w:val="00DB6474"/>
    <w:rsid w:val="00DB702F"/>
    <w:rsid w:val="00DB74AA"/>
    <w:rsid w:val="00DB7BAC"/>
    <w:rsid w:val="00DC0C19"/>
    <w:rsid w:val="00DC1E22"/>
    <w:rsid w:val="00DC322B"/>
    <w:rsid w:val="00DC32AB"/>
    <w:rsid w:val="00DC3F92"/>
    <w:rsid w:val="00DC52FF"/>
    <w:rsid w:val="00DC64A9"/>
    <w:rsid w:val="00DC6E54"/>
    <w:rsid w:val="00DD00BD"/>
    <w:rsid w:val="00DD1213"/>
    <w:rsid w:val="00DD18D2"/>
    <w:rsid w:val="00DD200F"/>
    <w:rsid w:val="00DD2D5C"/>
    <w:rsid w:val="00DD2EB7"/>
    <w:rsid w:val="00DD6B4B"/>
    <w:rsid w:val="00DD71BC"/>
    <w:rsid w:val="00DD7A8A"/>
    <w:rsid w:val="00DD7B29"/>
    <w:rsid w:val="00DE084E"/>
    <w:rsid w:val="00DE5237"/>
    <w:rsid w:val="00DE5EA6"/>
    <w:rsid w:val="00DE6BCA"/>
    <w:rsid w:val="00DE7B6D"/>
    <w:rsid w:val="00DF01CF"/>
    <w:rsid w:val="00DF074C"/>
    <w:rsid w:val="00DF09D6"/>
    <w:rsid w:val="00DF1062"/>
    <w:rsid w:val="00DF1BA6"/>
    <w:rsid w:val="00DF215B"/>
    <w:rsid w:val="00DF27F5"/>
    <w:rsid w:val="00DF2B83"/>
    <w:rsid w:val="00DF2FCF"/>
    <w:rsid w:val="00DF5F54"/>
    <w:rsid w:val="00DF62C0"/>
    <w:rsid w:val="00DF6649"/>
    <w:rsid w:val="00E00B7B"/>
    <w:rsid w:val="00E00F2C"/>
    <w:rsid w:val="00E0154C"/>
    <w:rsid w:val="00E018F9"/>
    <w:rsid w:val="00E01914"/>
    <w:rsid w:val="00E01DD8"/>
    <w:rsid w:val="00E0578C"/>
    <w:rsid w:val="00E05F32"/>
    <w:rsid w:val="00E06321"/>
    <w:rsid w:val="00E07D5C"/>
    <w:rsid w:val="00E1177E"/>
    <w:rsid w:val="00E12325"/>
    <w:rsid w:val="00E12652"/>
    <w:rsid w:val="00E12B7E"/>
    <w:rsid w:val="00E12C4B"/>
    <w:rsid w:val="00E12DCD"/>
    <w:rsid w:val="00E13677"/>
    <w:rsid w:val="00E14863"/>
    <w:rsid w:val="00E149C6"/>
    <w:rsid w:val="00E1561E"/>
    <w:rsid w:val="00E15DC7"/>
    <w:rsid w:val="00E1695C"/>
    <w:rsid w:val="00E16A0C"/>
    <w:rsid w:val="00E176CB"/>
    <w:rsid w:val="00E17F83"/>
    <w:rsid w:val="00E21249"/>
    <w:rsid w:val="00E22790"/>
    <w:rsid w:val="00E23A17"/>
    <w:rsid w:val="00E2482D"/>
    <w:rsid w:val="00E24F72"/>
    <w:rsid w:val="00E25C03"/>
    <w:rsid w:val="00E27AB6"/>
    <w:rsid w:val="00E32188"/>
    <w:rsid w:val="00E336B1"/>
    <w:rsid w:val="00E345B9"/>
    <w:rsid w:val="00E34D79"/>
    <w:rsid w:val="00E34FD4"/>
    <w:rsid w:val="00E36181"/>
    <w:rsid w:val="00E3688B"/>
    <w:rsid w:val="00E36F5D"/>
    <w:rsid w:val="00E37385"/>
    <w:rsid w:val="00E37511"/>
    <w:rsid w:val="00E37C5D"/>
    <w:rsid w:val="00E41CDC"/>
    <w:rsid w:val="00E41EA7"/>
    <w:rsid w:val="00E427AE"/>
    <w:rsid w:val="00E42FA9"/>
    <w:rsid w:val="00E430A4"/>
    <w:rsid w:val="00E44B45"/>
    <w:rsid w:val="00E4539B"/>
    <w:rsid w:val="00E45A89"/>
    <w:rsid w:val="00E45BEB"/>
    <w:rsid w:val="00E463DD"/>
    <w:rsid w:val="00E46673"/>
    <w:rsid w:val="00E467B1"/>
    <w:rsid w:val="00E47AC1"/>
    <w:rsid w:val="00E50784"/>
    <w:rsid w:val="00E511BF"/>
    <w:rsid w:val="00E513C5"/>
    <w:rsid w:val="00E517DC"/>
    <w:rsid w:val="00E52379"/>
    <w:rsid w:val="00E52846"/>
    <w:rsid w:val="00E529C5"/>
    <w:rsid w:val="00E5415A"/>
    <w:rsid w:val="00E568B1"/>
    <w:rsid w:val="00E56D9E"/>
    <w:rsid w:val="00E57219"/>
    <w:rsid w:val="00E5795E"/>
    <w:rsid w:val="00E606DF"/>
    <w:rsid w:val="00E60A6A"/>
    <w:rsid w:val="00E61FD5"/>
    <w:rsid w:val="00E62C76"/>
    <w:rsid w:val="00E630D5"/>
    <w:rsid w:val="00E635B2"/>
    <w:rsid w:val="00E63691"/>
    <w:rsid w:val="00E639C8"/>
    <w:rsid w:val="00E65A3C"/>
    <w:rsid w:val="00E66D90"/>
    <w:rsid w:val="00E70748"/>
    <w:rsid w:val="00E71498"/>
    <w:rsid w:val="00E71B8C"/>
    <w:rsid w:val="00E71D0C"/>
    <w:rsid w:val="00E7213D"/>
    <w:rsid w:val="00E72404"/>
    <w:rsid w:val="00E72BA8"/>
    <w:rsid w:val="00E73A08"/>
    <w:rsid w:val="00E73C4F"/>
    <w:rsid w:val="00E75ABB"/>
    <w:rsid w:val="00E75FB0"/>
    <w:rsid w:val="00E76762"/>
    <w:rsid w:val="00E77315"/>
    <w:rsid w:val="00E77E1D"/>
    <w:rsid w:val="00E8009E"/>
    <w:rsid w:val="00E81261"/>
    <w:rsid w:val="00E82B48"/>
    <w:rsid w:val="00E82D5F"/>
    <w:rsid w:val="00E83000"/>
    <w:rsid w:val="00E8402C"/>
    <w:rsid w:val="00E9115D"/>
    <w:rsid w:val="00E92638"/>
    <w:rsid w:val="00E92654"/>
    <w:rsid w:val="00E92668"/>
    <w:rsid w:val="00E930F0"/>
    <w:rsid w:val="00E93547"/>
    <w:rsid w:val="00E93CA6"/>
    <w:rsid w:val="00E93D25"/>
    <w:rsid w:val="00EA075B"/>
    <w:rsid w:val="00EA0992"/>
    <w:rsid w:val="00EA440B"/>
    <w:rsid w:val="00EA53A3"/>
    <w:rsid w:val="00EA5A1D"/>
    <w:rsid w:val="00EA6710"/>
    <w:rsid w:val="00EA7AE8"/>
    <w:rsid w:val="00EA7CEE"/>
    <w:rsid w:val="00EB0BB2"/>
    <w:rsid w:val="00EB199B"/>
    <w:rsid w:val="00EB2780"/>
    <w:rsid w:val="00EB28C9"/>
    <w:rsid w:val="00EB2BE9"/>
    <w:rsid w:val="00EB3199"/>
    <w:rsid w:val="00EB3245"/>
    <w:rsid w:val="00EB32A5"/>
    <w:rsid w:val="00EB44D7"/>
    <w:rsid w:val="00EB4A39"/>
    <w:rsid w:val="00EB56AA"/>
    <w:rsid w:val="00EB71C1"/>
    <w:rsid w:val="00EB724C"/>
    <w:rsid w:val="00EB73BE"/>
    <w:rsid w:val="00EB7AF3"/>
    <w:rsid w:val="00EC0004"/>
    <w:rsid w:val="00EC1AB1"/>
    <w:rsid w:val="00EC1C5F"/>
    <w:rsid w:val="00EC2AD8"/>
    <w:rsid w:val="00EC3B28"/>
    <w:rsid w:val="00EC43FA"/>
    <w:rsid w:val="00EC556C"/>
    <w:rsid w:val="00EC65F0"/>
    <w:rsid w:val="00EC79AB"/>
    <w:rsid w:val="00EC7F70"/>
    <w:rsid w:val="00ED0382"/>
    <w:rsid w:val="00ED073E"/>
    <w:rsid w:val="00ED23D2"/>
    <w:rsid w:val="00ED3DE8"/>
    <w:rsid w:val="00ED42D9"/>
    <w:rsid w:val="00ED5593"/>
    <w:rsid w:val="00ED5DF5"/>
    <w:rsid w:val="00ED66E5"/>
    <w:rsid w:val="00ED73AD"/>
    <w:rsid w:val="00ED7422"/>
    <w:rsid w:val="00ED7D20"/>
    <w:rsid w:val="00EE067A"/>
    <w:rsid w:val="00EE144A"/>
    <w:rsid w:val="00EE1502"/>
    <w:rsid w:val="00EE23A0"/>
    <w:rsid w:val="00EE2804"/>
    <w:rsid w:val="00EE30FA"/>
    <w:rsid w:val="00EE34AF"/>
    <w:rsid w:val="00EE5A08"/>
    <w:rsid w:val="00EE5B17"/>
    <w:rsid w:val="00EE6C15"/>
    <w:rsid w:val="00EE71F7"/>
    <w:rsid w:val="00EF0B1A"/>
    <w:rsid w:val="00EF0D01"/>
    <w:rsid w:val="00EF13C2"/>
    <w:rsid w:val="00EF320F"/>
    <w:rsid w:val="00EF3EB0"/>
    <w:rsid w:val="00EF48A9"/>
    <w:rsid w:val="00EF6E93"/>
    <w:rsid w:val="00EF77D8"/>
    <w:rsid w:val="00F00194"/>
    <w:rsid w:val="00F003E5"/>
    <w:rsid w:val="00F00637"/>
    <w:rsid w:val="00F01DA3"/>
    <w:rsid w:val="00F02028"/>
    <w:rsid w:val="00F02511"/>
    <w:rsid w:val="00F02FEE"/>
    <w:rsid w:val="00F03BF1"/>
    <w:rsid w:val="00F03D86"/>
    <w:rsid w:val="00F055C5"/>
    <w:rsid w:val="00F06D3B"/>
    <w:rsid w:val="00F06F7A"/>
    <w:rsid w:val="00F074EE"/>
    <w:rsid w:val="00F10F7E"/>
    <w:rsid w:val="00F1197B"/>
    <w:rsid w:val="00F12853"/>
    <w:rsid w:val="00F13328"/>
    <w:rsid w:val="00F13708"/>
    <w:rsid w:val="00F13BDA"/>
    <w:rsid w:val="00F14664"/>
    <w:rsid w:val="00F163D5"/>
    <w:rsid w:val="00F168BF"/>
    <w:rsid w:val="00F1726C"/>
    <w:rsid w:val="00F17C40"/>
    <w:rsid w:val="00F17C50"/>
    <w:rsid w:val="00F20AC4"/>
    <w:rsid w:val="00F20C80"/>
    <w:rsid w:val="00F211B7"/>
    <w:rsid w:val="00F21440"/>
    <w:rsid w:val="00F21B6A"/>
    <w:rsid w:val="00F21DDE"/>
    <w:rsid w:val="00F22737"/>
    <w:rsid w:val="00F23BC9"/>
    <w:rsid w:val="00F2410D"/>
    <w:rsid w:val="00F2447D"/>
    <w:rsid w:val="00F2449D"/>
    <w:rsid w:val="00F2471C"/>
    <w:rsid w:val="00F248A5"/>
    <w:rsid w:val="00F249F0"/>
    <w:rsid w:val="00F24B7C"/>
    <w:rsid w:val="00F26093"/>
    <w:rsid w:val="00F2639C"/>
    <w:rsid w:val="00F275BF"/>
    <w:rsid w:val="00F27807"/>
    <w:rsid w:val="00F27EE5"/>
    <w:rsid w:val="00F30BC0"/>
    <w:rsid w:val="00F31A2F"/>
    <w:rsid w:val="00F3222D"/>
    <w:rsid w:val="00F3229E"/>
    <w:rsid w:val="00F3258B"/>
    <w:rsid w:val="00F3264F"/>
    <w:rsid w:val="00F336E1"/>
    <w:rsid w:val="00F33BD0"/>
    <w:rsid w:val="00F34CBE"/>
    <w:rsid w:val="00F3583F"/>
    <w:rsid w:val="00F36204"/>
    <w:rsid w:val="00F36873"/>
    <w:rsid w:val="00F371C4"/>
    <w:rsid w:val="00F372B8"/>
    <w:rsid w:val="00F4062C"/>
    <w:rsid w:val="00F41090"/>
    <w:rsid w:val="00F41693"/>
    <w:rsid w:val="00F4170B"/>
    <w:rsid w:val="00F43171"/>
    <w:rsid w:val="00F45708"/>
    <w:rsid w:val="00F46200"/>
    <w:rsid w:val="00F46746"/>
    <w:rsid w:val="00F46766"/>
    <w:rsid w:val="00F47336"/>
    <w:rsid w:val="00F47462"/>
    <w:rsid w:val="00F477BA"/>
    <w:rsid w:val="00F47AF7"/>
    <w:rsid w:val="00F504D9"/>
    <w:rsid w:val="00F5108F"/>
    <w:rsid w:val="00F51D2B"/>
    <w:rsid w:val="00F53614"/>
    <w:rsid w:val="00F5534B"/>
    <w:rsid w:val="00F5565F"/>
    <w:rsid w:val="00F570DB"/>
    <w:rsid w:val="00F5733D"/>
    <w:rsid w:val="00F60A71"/>
    <w:rsid w:val="00F618E0"/>
    <w:rsid w:val="00F62A8D"/>
    <w:rsid w:val="00F63407"/>
    <w:rsid w:val="00F63DAC"/>
    <w:rsid w:val="00F6467F"/>
    <w:rsid w:val="00F6486C"/>
    <w:rsid w:val="00F64D48"/>
    <w:rsid w:val="00F65B8F"/>
    <w:rsid w:val="00F65CE6"/>
    <w:rsid w:val="00F666E2"/>
    <w:rsid w:val="00F667CE"/>
    <w:rsid w:val="00F668C7"/>
    <w:rsid w:val="00F67344"/>
    <w:rsid w:val="00F709A9"/>
    <w:rsid w:val="00F70C93"/>
    <w:rsid w:val="00F72EFA"/>
    <w:rsid w:val="00F7469F"/>
    <w:rsid w:val="00F754A5"/>
    <w:rsid w:val="00F76871"/>
    <w:rsid w:val="00F80604"/>
    <w:rsid w:val="00F80DB2"/>
    <w:rsid w:val="00F831AE"/>
    <w:rsid w:val="00F857DE"/>
    <w:rsid w:val="00F85D21"/>
    <w:rsid w:val="00F86342"/>
    <w:rsid w:val="00F8644E"/>
    <w:rsid w:val="00F86640"/>
    <w:rsid w:val="00F87AC6"/>
    <w:rsid w:val="00F87D9F"/>
    <w:rsid w:val="00F90D5A"/>
    <w:rsid w:val="00F9138D"/>
    <w:rsid w:val="00F9251E"/>
    <w:rsid w:val="00F932C0"/>
    <w:rsid w:val="00F934A5"/>
    <w:rsid w:val="00F94EB4"/>
    <w:rsid w:val="00F954D4"/>
    <w:rsid w:val="00F956C8"/>
    <w:rsid w:val="00F95E50"/>
    <w:rsid w:val="00F9672D"/>
    <w:rsid w:val="00F9713A"/>
    <w:rsid w:val="00F97697"/>
    <w:rsid w:val="00FA032A"/>
    <w:rsid w:val="00FA06B1"/>
    <w:rsid w:val="00FA15CF"/>
    <w:rsid w:val="00FA2985"/>
    <w:rsid w:val="00FA300C"/>
    <w:rsid w:val="00FA3CCC"/>
    <w:rsid w:val="00FA3CF1"/>
    <w:rsid w:val="00FA48BC"/>
    <w:rsid w:val="00FA4BC1"/>
    <w:rsid w:val="00FA4C2C"/>
    <w:rsid w:val="00FA5B56"/>
    <w:rsid w:val="00FA5FCC"/>
    <w:rsid w:val="00FA609E"/>
    <w:rsid w:val="00FA67BA"/>
    <w:rsid w:val="00FA7D1F"/>
    <w:rsid w:val="00FB09E9"/>
    <w:rsid w:val="00FB0B5B"/>
    <w:rsid w:val="00FB1098"/>
    <w:rsid w:val="00FB1564"/>
    <w:rsid w:val="00FB1607"/>
    <w:rsid w:val="00FB2EC5"/>
    <w:rsid w:val="00FB33DD"/>
    <w:rsid w:val="00FB3BCD"/>
    <w:rsid w:val="00FB50C8"/>
    <w:rsid w:val="00FB51F4"/>
    <w:rsid w:val="00FB54CD"/>
    <w:rsid w:val="00FB6BA5"/>
    <w:rsid w:val="00FC085F"/>
    <w:rsid w:val="00FC1AF7"/>
    <w:rsid w:val="00FC1B76"/>
    <w:rsid w:val="00FC287F"/>
    <w:rsid w:val="00FC2968"/>
    <w:rsid w:val="00FC3149"/>
    <w:rsid w:val="00FC4C2E"/>
    <w:rsid w:val="00FC5144"/>
    <w:rsid w:val="00FC6816"/>
    <w:rsid w:val="00FC6FC5"/>
    <w:rsid w:val="00FC733D"/>
    <w:rsid w:val="00FD06BE"/>
    <w:rsid w:val="00FD06F6"/>
    <w:rsid w:val="00FD0CAE"/>
    <w:rsid w:val="00FD3193"/>
    <w:rsid w:val="00FD34AE"/>
    <w:rsid w:val="00FD36EF"/>
    <w:rsid w:val="00FD39C0"/>
    <w:rsid w:val="00FD4554"/>
    <w:rsid w:val="00FD4774"/>
    <w:rsid w:val="00FD5181"/>
    <w:rsid w:val="00FD5D0D"/>
    <w:rsid w:val="00FD5D58"/>
    <w:rsid w:val="00FD5E9B"/>
    <w:rsid w:val="00FD675B"/>
    <w:rsid w:val="00FE01F1"/>
    <w:rsid w:val="00FE06C8"/>
    <w:rsid w:val="00FE0BCB"/>
    <w:rsid w:val="00FE19CE"/>
    <w:rsid w:val="00FE1BF6"/>
    <w:rsid w:val="00FE1EF6"/>
    <w:rsid w:val="00FE3374"/>
    <w:rsid w:val="00FE4BF8"/>
    <w:rsid w:val="00FE5A31"/>
    <w:rsid w:val="00FE5B6F"/>
    <w:rsid w:val="00FE6468"/>
    <w:rsid w:val="00FE7007"/>
    <w:rsid w:val="00FE79B4"/>
    <w:rsid w:val="00FF019D"/>
    <w:rsid w:val="00FF0959"/>
    <w:rsid w:val="00FF0F5B"/>
    <w:rsid w:val="00FF15EF"/>
    <w:rsid w:val="00FF1B48"/>
    <w:rsid w:val="00FF2383"/>
    <w:rsid w:val="00FF2A59"/>
    <w:rsid w:val="00FF343C"/>
    <w:rsid w:val="00FF347C"/>
    <w:rsid w:val="00FF4B21"/>
    <w:rsid w:val="00FF6930"/>
    <w:rsid w:val="00FF6A5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7BD8"/>
    <w:pPr>
      <w:spacing w:before="60" w:after="60" w:line="300" w:lineRule="exact"/>
    </w:pPr>
    <w:rPr>
      <w:rFonts w:ascii="Arial" w:hAnsi="Arial"/>
      <w:sz w:val="22"/>
      <w:lang w:val="en-US" w:eastAsia="en-US"/>
    </w:rPr>
  </w:style>
  <w:style w:type="paragraph" w:styleId="Heading1">
    <w:name w:val="heading 1"/>
    <w:basedOn w:val="Normal"/>
    <w:next w:val="Normal"/>
    <w:qFormat/>
    <w:rsid w:val="009F1EE2"/>
    <w:pPr>
      <w:spacing w:before="240" w:after="120" w:line="360" w:lineRule="exact"/>
      <w:outlineLvl w:val="0"/>
    </w:pPr>
    <w:rPr>
      <w:b/>
      <w:sz w:val="28"/>
      <w:szCs w:val="28"/>
    </w:rPr>
  </w:style>
  <w:style w:type="paragraph" w:styleId="Heading2">
    <w:name w:val="heading 2"/>
    <w:basedOn w:val="Normal"/>
    <w:next w:val="Normal"/>
    <w:link w:val="Heading2Char"/>
    <w:qFormat/>
    <w:rsid w:val="009F1EE2"/>
    <w:pPr>
      <w:keepNext/>
      <w:spacing w:before="0" w:line="320" w:lineRule="exact"/>
      <w:outlineLvl w:val="1"/>
    </w:pPr>
    <w:rPr>
      <w:b/>
      <w:sz w:val="24"/>
    </w:rPr>
  </w:style>
  <w:style w:type="paragraph" w:styleId="Heading3">
    <w:name w:val="heading 3"/>
    <w:basedOn w:val="Heading2"/>
    <w:next w:val="Normal"/>
    <w:qFormat/>
    <w:rsid w:val="00C8050B"/>
    <w:pPr>
      <w:outlineLvl w:val="2"/>
    </w:pPr>
  </w:style>
  <w:style w:type="paragraph" w:styleId="Heading4">
    <w:name w:val="heading 4"/>
    <w:basedOn w:val="Normal"/>
    <w:next w:val="Normal"/>
    <w:qFormat/>
    <w:rsid w:val="003F6759"/>
    <w:pPr>
      <w:keepNext/>
      <w:keepLines/>
      <w:spacing w:after="240" w:line="240" w:lineRule="atLeast"/>
      <w:outlineLvl w:val="3"/>
    </w:pPr>
    <w:rPr>
      <w:spacing w:val="-4"/>
      <w:kern w:val="28"/>
    </w:rPr>
  </w:style>
  <w:style w:type="paragraph" w:styleId="Heading5">
    <w:name w:val="heading 5"/>
    <w:basedOn w:val="Normal"/>
    <w:next w:val="Normal"/>
    <w:qFormat/>
    <w:rsid w:val="003F6759"/>
    <w:pPr>
      <w:keepNext/>
      <w:keepLines/>
      <w:spacing w:line="240" w:lineRule="atLeast"/>
      <w:ind w:left="1440"/>
      <w:outlineLvl w:val="4"/>
    </w:pPr>
    <w:rPr>
      <w:spacing w:val="-4"/>
      <w:kern w:val="28"/>
    </w:rPr>
  </w:style>
  <w:style w:type="paragraph" w:styleId="Heading6">
    <w:name w:val="heading 6"/>
    <w:basedOn w:val="Normal"/>
    <w:next w:val="Normal"/>
    <w:qFormat/>
    <w:rsid w:val="003F6759"/>
    <w:pPr>
      <w:keepNext/>
      <w:keepLines/>
      <w:spacing w:before="140" w:line="220" w:lineRule="atLeast"/>
      <w:ind w:left="1440"/>
      <w:outlineLvl w:val="5"/>
    </w:pPr>
    <w:rPr>
      <w:i/>
      <w:spacing w:val="-4"/>
      <w:kern w:val="28"/>
    </w:rPr>
  </w:style>
  <w:style w:type="paragraph" w:styleId="Heading7">
    <w:name w:val="heading 7"/>
    <w:aliases w:val="cover date"/>
    <w:basedOn w:val="Normal"/>
    <w:next w:val="Normal"/>
    <w:qFormat/>
    <w:rsid w:val="003F6759"/>
    <w:pPr>
      <w:keepNext/>
      <w:keepLines/>
      <w:spacing w:before="140" w:line="220" w:lineRule="atLeast"/>
      <w:outlineLvl w:val="6"/>
    </w:pPr>
    <w:rPr>
      <w:spacing w:val="-4"/>
      <w:kern w:val="28"/>
    </w:rPr>
  </w:style>
  <w:style w:type="paragraph" w:styleId="Heading8">
    <w:name w:val="heading 8"/>
    <w:aliases w:val="Cover header"/>
    <w:basedOn w:val="Normal"/>
    <w:next w:val="Normal"/>
    <w:qFormat/>
    <w:rsid w:val="003F6759"/>
    <w:pPr>
      <w:keepNext/>
      <w:keepLines/>
      <w:spacing w:before="140" w:line="220" w:lineRule="atLeast"/>
      <w:outlineLvl w:val="7"/>
    </w:pPr>
    <w:rPr>
      <w:i/>
      <w:spacing w:val="-4"/>
      <w:kern w:val="28"/>
      <w:sz w:val="18"/>
    </w:rPr>
  </w:style>
  <w:style w:type="paragraph" w:styleId="Heading9">
    <w:name w:val="heading 9"/>
    <w:basedOn w:val="Normal"/>
    <w:next w:val="Normal"/>
    <w:qFormat/>
    <w:rsid w:val="003F6759"/>
    <w:pPr>
      <w:keepNext/>
      <w:keepLines/>
      <w:spacing w:before="140" w:line="220" w:lineRule="atLeast"/>
      <w:outlineLvl w:val="8"/>
    </w:pPr>
    <w:rPr>
      <w:spacing w:val="-4"/>
      <w:kern w:val="28"/>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F1EE2"/>
    <w:rPr>
      <w:rFonts w:ascii="Arial" w:hAnsi="Arial"/>
      <w:b/>
      <w:sz w:val="24"/>
      <w:lang w:val="en-US" w:eastAsia="en-US"/>
    </w:rPr>
  </w:style>
  <w:style w:type="paragraph" w:customStyle="1" w:styleId="CompanyInformation">
    <w:name w:val="Company Information"/>
    <w:basedOn w:val="Normal"/>
    <w:link w:val="CompanyInformationChar"/>
    <w:semiHidden/>
    <w:rsid w:val="002D2F24"/>
    <w:pPr>
      <w:spacing w:line="240" w:lineRule="auto"/>
    </w:pPr>
    <w:rPr>
      <w:color w:val="808080"/>
      <w:sz w:val="15"/>
    </w:rPr>
  </w:style>
  <w:style w:type="character" w:customStyle="1" w:styleId="CompanyInformationChar">
    <w:name w:val="Company Information Char"/>
    <w:basedOn w:val="DefaultParagraphFont"/>
    <w:link w:val="CompanyInformation"/>
    <w:rsid w:val="002D2F24"/>
    <w:rPr>
      <w:rFonts w:ascii="Verdana" w:hAnsi="Verdana"/>
      <w:color w:val="808080"/>
      <w:sz w:val="15"/>
      <w:lang w:val="en-US" w:eastAsia="en-US" w:bidi="ar-SA"/>
    </w:rPr>
  </w:style>
  <w:style w:type="paragraph" w:customStyle="1" w:styleId="InsideTitle">
    <w:name w:val="Inside Title"/>
    <w:basedOn w:val="Normal"/>
    <w:semiHidden/>
    <w:rsid w:val="00872B23"/>
    <w:pPr>
      <w:keepNext/>
      <w:spacing w:before="2400" w:line="240" w:lineRule="auto"/>
    </w:pPr>
    <w:rPr>
      <w:b/>
      <w:sz w:val="32"/>
    </w:rPr>
  </w:style>
  <w:style w:type="paragraph" w:styleId="Caption">
    <w:name w:val="caption"/>
    <w:basedOn w:val="Normal"/>
    <w:next w:val="Normal"/>
    <w:rsid w:val="003F6759"/>
    <w:pPr>
      <w:keepNext/>
      <w:numPr>
        <w:numId w:val="1"/>
      </w:numPr>
      <w:spacing w:after="240" w:line="220" w:lineRule="atLeast"/>
    </w:pPr>
    <w:rPr>
      <w:rFonts w:ascii="Arial Narrow" w:hAnsi="Arial Narrow"/>
      <w:sz w:val="18"/>
    </w:rPr>
  </w:style>
  <w:style w:type="paragraph" w:customStyle="1" w:styleId="InsideSubtitle">
    <w:name w:val="Inside Subtitle"/>
    <w:basedOn w:val="Normal"/>
    <w:semiHidden/>
    <w:rsid w:val="0093137B"/>
    <w:pPr>
      <w:spacing w:after="200" w:line="240" w:lineRule="auto"/>
    </w:pPr>
    <w:rPr>
      <w:i/>
      <w:sz w:val="24"/>
    </w:rPr>
  </w:style>
  <w:style w:type="paragraph" w:customStyle="1" w:styleId="BulletedList">
    <w:name w:val="Bulleted List"/>
    <w:basedOn w:val="Normal"/>
    <w:link w:val="BulletedListChar"/>
    <w:semiHidden/>
    <w:rsid w:val="000C089E"/>
    <w:pPr>
      <w:numPr>
        <w:numId w:val="2"/>
      </w:numPr>
      <w:spacing w:after="80"/>
      <w:contextualSpacing/>
    </w:pPr>
  </w:style>
  <w:style w:type="character" w:customStyle="1" w:styleId="BulletedListChar">
    <w:name w:val="Bulleted List Char"/>
    <w:basedOn w:val="DefaultParagraphFont"/>
    <w:link w:val="BulletedList"/>
    <w:semiHidden/>
    <w:rsid w:val="00971A83"/>
    <w:rPr>
      <w:rFonts w:ascii="Arial" w:hAnsi="Arial"/>
      <w:sz w:val="22"/>
      <w:lang w:val="en-US" w:eastAsia="en-US"/>
    </w:rPr>
  </w:style>
  <w:style w:type="character" w:styleId="CommentReference">
    <w:name w:val="annotation reference"/>
    <w:semiHidden/>
    <w:rsid w:val="00D31E17"/>
    <w:rPr>
      <w:rFonts w:ascii="Arial" w:hAnsi="Arial"/>
      <w:sz w:val="16"/>
    </w:rPr>
  </w:style>
  <w:style w:type="paragraph" w:styleId="CommentText">
    <w:name w:val="annotation text"/>
    <w:basedOn w:val="Normal"/>
    <w:link w:val="CommentTextChar"/>
    <w:semiHidden/>
    <w:rsid w:val="003F6759"/>
  </w:style>
  <w:style w:type="paragraph" w:customStyle="1" w:styleId="NumberedList">
    <w:name w:val="Numbered List"/>
    <w:basedOn w:val="Normal"/>
    <w:link w:val="NumberedListCharChar"/>
    <w:semiHidden/>
    <w:rsid w:val="00D17B03"/>
    <w:pPr>
      <w:spacing w:after="120"/>
    </w:pPr>
  </w:style>
  <w:style w:type="character" w:customStyle="1" w:styleId="NumberedListCharChar">
    <w:name w:val="Numbered List Char Char"/>
    <w:basedOn w:val="DefaultParagraphFont"/>
    <w:link w:val="NumberedList"/>
    <w:rsid w:val="00D17B03"/>
    <w:rPr>
      <w:rFonts w:ascii="Arial" w:hAnsi="Arial"/>
      <w:sz w:val="22"/>
      <w:lang w:val="en-US" w:eastAsia="en-US" w:bidi="ar-SA"/>
    </w:rPr>
  </w:style>
  <w:style w:type="character" w:styleId="EndnoteReference">
    <w:name w:val="endnote reference"/>
    <w:semiHidden/>
    <w:rsid w:val="00D31E17"/>
    <w:rPr>
      <w:vertAlign w:val="superscript"/>
    </w:rPr>
  </w:style>
  <w:style w:type="paragraph" w:styleId="EndnoteText">
    <w:name w:val="endnote text"/>
    <w:basedOn w:val="Normal"/>
    <w:semiHidden/>
    <w:rsid w:val="003F6759"/>
  </w:style>
  <w:style w:type="paragraph" w:customStyle="1" w:styleId="BlockQuotation">
    <w:name w:val="Block Quotation"/>
    <w:basedOn w:val="Normal"/>
    <w:link w:val="BlockQuotationChar"/>
    <w:semiHidden/>
    <w:rsid w:val="000C089E"/>
    <w:pPr>
      <w:spacing w:before="80" w:after="80"/>
      <w:ind w:left="720"/>
    </w:pPr>
    <w:rPr>
      <w:spacing w:val="-10"/>
    </w:rPr>
  </w:style>
  <w:style w:type="character" w:customStyle="1" w:styleId="BlockQuotationChar">
    <w:name w:val="Block Quotation Char"/>
    <w:basedOn w:val="DefaultParagraphFont"/>
    <w:link w:val="BlockQuotation"/>
    <w:rsid w:val="00971A83"/>
    <w:rPr>
      <w:rFonts w:ascii="Verdana" w:hAnsi="Verdana"/>
      <w:spacing w:val="-10"/>
      <w:sz w:val="17"/>
      <w:lang w:val="en-US" w:eastAsia="en-US" w:bidi="ar-SA"/>
    </w:rPr>
  </w:style>
  <w:style w:type="character" w:styleId="FootnoteReference">
    <w:name w:val="footnote reference"/>
    <w:uiPriority w:val="99"/>
    <w:semiHidden/>
    <w:rsid w:val="00D31E17"/>
    <w:rPr>
      <w:vertAlign w:val="superscript"/>
    </w:rPr>
  </w:style>
  <w:style w:type="paragraph" w:styleId="FootnoteText">
    <w:name w:val="footnote text"/>
    <w:basedOn w:val="Normal"/>
    <w:link w:val="FootnoteTextChar"/>
    <w:uiPriority w:val="99"/>
    <w:semiHidden/>
    <w:rsid w:val="003F6759"/>
  </w:style>
  <w:style w:type="paragraph" w:styleId="Header">
    <w:name w:val="header"/>
    <w:basedOn w:val="Normal"/>
    <w:semiHidden/>
    <w:rsid w:val="00A745CA"/>
    <w:pPr>
      <w:tabs>
        <w:tab w:val="center" w:pos="4320"/>
        <w:tab w:val="right" w:pos="8640"/>
      </w:tabs>
    </w:pPr>
  </w:style>
  <w:style w:type="paragraph" w:styleId="Index1">
    <w:name w:val="index 1"/>
    <w:basedOn w:val="Normal"/>
    <w:autoRedefine/>
    <w:semiHidden/>
    <w:rsid w:val="003F6759"/>
  </w:style>
  <w:style w:type="paragraph" w:styleId="Index2">
    <w:name w:val="index 2"/>
    <w:basedOn w:val="Normal"/>
    <w:autoRedefine/>
    <w:semiHidden/>
    <w:rsid w:val="003F6759"/>
    <w:pPr>
      <w:ind w:left="720"/>
    </w:pPr>
  </w:style>
  <w:style w:type="paragraph" w:styleId="Index3">
    <w:name w:val="index 3"/>
    <w:basedOn w:val="Normal"/>
    <w:autoRedefine/>
    <w:semiHidden/>
    <w:rsid w:val="003F6759"/>
  </w:style>
  <w:style w:type="paragraph" w:styleId="Index4">
    <w:name w:val="index 4"/>
    <w:basedOn w:val="Normal"/>
    <w:autoRedefine/>
    <w:semiHidden/>
    <w:rsid w:val="003F6759"/>
    <w:pPr>
      <w:ind w:left="1440"/>
    </w:pPr>
  </w:style>
  <w:style w:type="paragraph" w:styleId="Index5">
    <w:name w:val="index 5"/>
    <w:basedOn w:val="Normal"/>
    <w:autoRedefine/>
    <w:semiHidden/>
    <w:rsid w:val="003F6759"/>
    <w:pPr>
      <w:ind w:left="1800"/>
    </w:pPr>
  </w:style>
  <w:style w:type="paragraph" w:styleId="IndexHeading">
    <w:name w:val="index heading"/>
    <w:basedOn w:val="Normal"/>
    <w:next w:val="Index1"/>
    <w:semiHidden/>
    <w:rsid w:val="003F6759"/>
    <w:pPr>
      <w:spacing w:line="480" w:lineRule="atLeast"/>
    </w:pPr>
    <w:rPr>
      <w:rFonts w:ascii="Arial Black" w:hAnsi="Arial Black"/>
      <w:sz w:val="24"/>
    </w:rPr>
  </w:style>
  <w:style w:type="paragraph" w:customStyle="1" w:styleId="TableCaption">
    <w:name w:val="Table Caption"/>
    <w:basedOn w:val="Normal"/>
    <w:semiHidden/>
    <w:rsid w:val="00AD5D62"/>
    <w:pPr>
      <w:spacing w:before="80" w:after="120"/>
      <w:ind w:left="360"/>
    </w:pPr>
    <w:rPr>
      <w:i/>
      <w:sz w:val="15"/>
    </w:rPr>
  </w:style>
  <w:style w:type="paragraph" w:customStyle="1" w:styleId="UtilComTableColumnHeading">
    <w:name w:val="UtilCom Table Column Heading"/>
    <w:basedOn w:val="Normal"/>
    <w:rsid w:val="002F053A"/>
    <w:rPr>
      <w:rFonts w:cs="Arial"/>
      <w:b/>
      <w:sz w:val="18"/>
      <w:szCs w:val="18"/>
    </w:rPr>
  </w:style>
  <w:style w:type="paragraph" w:customStyle="1" w:styleId="UtilComReportHeading">
    <w:name w:val="UtilCom Report Heading"/>
    <w:basedOn w:val="Normal"/>
    <w:link w:val="UtilComReportHeadingChar"/>
    <w:semiHidden/>
    <w:rsid w:val="00AE1D8B"/>
    <w:pPr>
      <w:spacing w:before="480"/>
      <w:ind w:left="1134"/>
    </w:pPr>
    <w:rPr>
      <w:rFonts w:cs="Arial"/>
      <w:b/>
      <w:caps/>
      <w:sz w:val="40"/>
      <w:szCs w:val="40"/>
    </w:rPr>
  </w:style>
  <w:style w:type="character" w:customStyle="1" w:styleId="UtilComReportHeadingChar">
    <w:name w:val="UtilCom Report Heading Char"/>
    <w:basedOn w:val="DefaultParagraphFont"/>
    <w:link w:val="UtilComReportHeading"/>
    <w:rsid w:val="00AE1D8B"/>
    <w:rPr>
      <w:rFonts w:ascii="Arial" w:hAnsi="Arial" w:cs="Arial"/>
      <w:b/>
      <w:caps/>
      <w:sz w:val="40"/>
      <w:szCs w:val="40"/>
      <w:lang w:val="en-US" w:eastAsia="en-US" w:bidi="ar-SA"/>
    </w:rPr>
  </w:style>
  <w:style w:type="character" w:customStyle="1" w:styleId="UtilComReferenceSourceChar">
    <w:name w:val="UtilCom Reference/Source Char"/>
    <w:link w:val="UtilComReferenceSource"/>
    <w:rsid w:val="00694B7B"/>
    <w:rPr>
      <w:rFonts w:ascii="Arial" w:hAnsi="Arial"/>
      <w:sz w:val="18"/>
      <w:szCs w:val="18"/>
      <w:lang w:val="en-US" w:eastAsia="en-US"/>
    </w:rPr>
  </w:style>
  <w:style w:type="paragraph" w:customStyle="1" w:styleId="UtilComReferenceSource">
    <w:name w:val="UtilCom Reference/Source"/>
    <w:link w:val="UtilComReferenceSourceChar"/>
    <w:rsid w:val="00CA5254"/>
    <w:pPr>
      <w:spacing w:before="60" w:after="120"/>
    </w:pPr>
    <w:rPr>
      <w:rFonts w:ascii="Arial" w:hAnsi="Arial"/>
      <w:sz w:val="18"/>
      <w:szCs w:val="18"/>
      <w:lang w:val="en-US" w:eastAsia="en-US"/>
    </w:rPr>
  </w:style>
  <w:style w:type="paragraph" w:customStyle="1" w:styleId="IndentedBodyText">
    <w:name w:val="Indented Body Text"/>
    <w:basedOn w:val="Normal"/>
    <w:link w:val="IndentedBodyTextChar"/>
    <w:semiHidden/>
    <w:rsid w:val="00CC5FB6"/>
    <w:pPr>
      <w:spacing w:after="80"/>
      <w:ind w:left="360"/>
    </w:pPr>
  </w:style>
  <w:style w:type="character" w:customStyle="1" w:styleId="IndentedBodyTextChar">
    <w:name w:val="Indented Body Text Char"/>
    <w:basedOn w:val="DefaultParagraphFont"/>
    <w:link w:val="IndentedBodyText"/>
    <w:rsid w:val="00CC5FB6"/>
    <w:rPr>
      <w:rFonts w:ascii="Verdana" w:hAnsi="Verdana"/>
      <w:sz w:val="17"/>
      <w:lang w:val="en-US" w:eastAsia="en-US" w:bidi="ar-SA"/>
    </w:rPr>
  </w:style>
  <w:style w:type="paragraph" w:customStyle="1" w:styleId="LineSpace">
    <w:name w:val="Line Space"/>
    <w:basedOn w:val="Normal"/>
    <w:semiHidden/>
    <w:rsid w:val="00CC5FB6"/>
    <w:pPr>
      <w:spacing w:line="240" w:lineRule="auto"/>
    </w:pPr>
    <w:rPr>
      <w:sz w:val="12"/>
    </w:rPr>
  </w:style>
  <w:style w:type="paragraph" w:styleId="BalloonText">
    <w:name w:val="Balloon Text"/>
    <w:basedOn w:val="Normal"/>
    <w:semiHidden/>
    <w:rsid w:val="00753D39"/>
    <w:rPr>
      <w:rFonts w:ascii="Tahoma" w:hAnsi="Tahoma" w:cs="Tahoma"/>
      <w:sz w:val="16"/>
      <w:szCs w:val="16"/>
    </w:rPr>
  </w:style>
  <w:style w:type="paragraph" w:customStyle="1" w:styleId="CompanyInformationBold">
    <w:name w:val="Company Information Bold"/>
    <w:basedOn w:val="CompanyInformation"/>
    <w:semiHidden/>
    <w:rsid w:val="0093137B"/>
    <w:rPr>
      <w:b/>
    </w:rPr>
  </w:style>
  <w:style w:type="paragraph" w:styleId="TableofAuthorities">
    <w:name w:val="table of authorities"/>
    <w:basedOn w:val="Normal"/>
    <w:semiHidden/>
    <w:rsid w:val="00D31E17"/>
    <w:pPr>
      <w:tabs>
        <w:tab w:val="right" w:leader="dot" w:pos="7560"/>
      </w:tabs>
      <w:ind w:left="1440" w:hanging="360"/>
    </w:pPr>
  </w:style>
  <w:style w:type="paragraph" w:styleId="TableofFigures">
    <w:name w:val="table of figures"/>
    <w:basedOn w:val="Normal"/>
    <w:semiHidden/>
    <w:rsid w:val="00720551"/>
    <w:pPr>
      <w:ind w:left="1440" w:hanging="360"/>
    </w:pPr>
  </w:style>
  <w:style w:type="paragraph" w:styleId="TOAHeading">
    <w:name w:val="toa heading"/>
    <w:basedOn w:val="Normal"/>
    <w:next w:val="TableofAuthorities"/>
    <w:semiHidden/>
    <w:rsid w:val="00D31E17"/>
    <w:pPr>
      <w:keepNext/>
      <w:spacing w:line="480" w:lineRule="atLeast"/>
    </w:pPr>
    <w:rPr>
      <w:rFonts w:ascii="Arial Black" w:hAnsi="Arial Black"/>
      <w:b/>
      <w:spacing w:val="-10"/>
      <w:kern w:val="28"/>
    </w:rPr>
  </w:style>
  <w:style w:type="paragraph" w:styleId="TOC1">
    <w:name w:val="toc 1"/>
    <w:basedOn w:val="Normal"/>
    <w:autoRedefine/>
    <w:uiPriority w:val="39"/>
    <w:rsid w:val="00B235F7"/>
    <w:rPr>
      <w:b/>
      <w:spacing w:val="-4"/>
    </w:rPr>
  </w:style>
  <w:style w:type="paragraph" w:styleId="TOC2">
    <w:name w:val="toc 2"/>
    <w:basedOn w:val="Normal"/>
    <w:autoRedefine/>
    <w:uiPriority w:val="39"/>
    <w:rsid w:val="0015679A"/>
    <w:pPr>
      <w:tabs>
        <w:tab w:val="right" w:leader="dot" w:pos="9062"/>
      </w:tabs>
    </w:pPr>
    <w:rPr>
      <w:sz w:val="18"/>
      <w:szCs w:val="18"/>
    </w:rPr>
  </w:style>
  <w:style w:type="paragraph" w:styleId="TOC3">
    <w:name w:val="toc 3"/>
    <w:basedOn w:val="Normal"/>
    <w:autoRedefine/>
    <w:uiPriority w:val="39"/>
    <w:rsid w:val="001F5DEB"/>
    <w:pPr>
      <w:tabs>
        <w:tab w:val="left" w:pos="1418"/>
        <w:tab w:val="right" w:leader="dot" w:pos="9062"/>
      </w:tabs>
      <w:ind w:left="426"/>
    </w:pPr>
    <w:rPr>
      <w:i/>
      <w:sz w:val="18"/>
    </w:rPr>
  </w:style>
  <w:style w:type="paragraph" w:styleId="TOC4">
    <w:name w:val="toc 4"/>
    <w:basedOn w:val="Normal"/>
    <w:autoRedefine/>
    <w:uiPriority w:val="39"/>
    <w:rsid w:val="0011295E"/>
    <w:pPr>
      <w:tabs>
        <w:tab w:val="left" w:pos="1200"/>
        <w:tab w:val="right" w:leader="dot" w:pos="9062"/>
      </w:tabs>
      <w:ind w:left="709"/>
    </w:pPr>
    <w:rPr>
      <w:noProof/>
      <w:sz w:val="18"/>
      <w:szCs w:val="18"/>
    </w:rPr>
  </w:style>
  <w:style w:type="paragraph" w:styleId="TOC5">
    <w:name w:val="toc 5"/>
    <w:basedOn w:val="Normal"/>
    <w:autoRedefine/>
    <w:uiPriority w:val="39"/>
    <w:rsid w:val="00720551"/>
    <w:pPr>
      <w:ind w:left="360"/>
    </w:pPr>
  </w:style>
  <w:style w:type="paragraph" w:customStyle="1" w:styleId="ChapterBold">
    <w:name w:val="Chapter Bold"/>
    <w:basedOn w:val="Normal"/>
    <w:semiHidden/>
    <w:rsid w:val="00781B15"/>
    <w:pPr>
      <w:spacing w:before="960" w:after="240" w:line="400" w:lineRule="atLeast"/>
    </w:pPr>
    <w:rPr>
      <w:b/>
      <w:caps/>
      <w:color w:val="808080"/>
      <w:sz w:val="36"/>
      <w:szCs w:val="36"/>
    </w:rPr>
  </w:style>
  <w:style w:type="paragraph" w:customStyle="1" w:styleId="CompanyInformationItalic">
    <w:name w:val="Company Information Italic"/>
    <w:basedOn w:val="CompanyInformation"/>
    <w:link w:val="CompanyInformationItalicChar"/>
    <w:semiHidden/>
    <w:rsid w:val="002D2F24"/>
    <w:rPr>
      <w:i/>
    </w:rPr>
  </w:style>
  <w:style w:type="character" w:customStyle="1" w:styleId="CompanyInformationItalicChar">
    <w:name w:val="Company Information Italic Char"/>
    <w:basedOn w:val="CompanyInformationChar"/>
    <w:link w:val="CompanyInformationItalic"/>
    <w:rsid w:val="002D2F24"/>
    <w:rPr>
      <w:rFonts w:ascii="Verdana" w:hAnsi="Verdana"/>
      <w:i/>
      <w:color w:val="808080"/>
      <w:sz w:val="15"/>
      <w:lang w:val="en-US" w:eastAsia="en-US" w:bidi="ar-SA"/>
    </w:rPr>
  </w:style>
  <w:style w:type="paragraph" w:styleId="Footer">
    <w:name w:val="footer"/>
    <w:basedOn w:val="Normal"/>
    <w:semiHidden/>
    <w:rsid w:val="00EA0992"/>
    <w:pPr>
      <w:tabs>
        <w:tab w:val="center" w:pos="4320"/>
        <w:tab w:val="right" w:pos="8640"/>
      </w:tabs>
    </w:pPr>
    <w:rPr>
      <w:sz w:val="18"/>
    </w:rPr>
  </w:style>
  <w:style w:type="paragraph" w:customStyle="1" w:styleId="BulletedListBold">
    <w:name w:val="Bulleted List Bold"/>
    <w:basedOn w:val="BulletedList"/>
    <w:link w:val="BulletedListBoldChar"/>
    <w:semiHidden/>
    <w:rsid w:val="00971A83"/>
    <w:rPr>
      <w:b/>
      <w:bCs/>
    </w:rPr>
  </w:style>
  <w:style w:type="character" w:customStyle="1" w:styleId="BulletedListBoldChar">
    <w:name w:val="Bulleted List Bold Char"/>
    <w:basedOn w:val="BulletedListChar"/>
    <w:link w:val="BulletedListBold"/>
    <w:semiHidden/>
    <w:rsid w:val="00971A83"/>
    <w:rPr>
      <w:rFonts w:ascii="Arial" w:hAnsi="Arial"/>
      <w:b/>
      <w:bCs/>
      <w:sz w:val="22"/>
      <w:lang w:val="en-US" w:eastAsia="en-US"/>
    </w:rPr>
  </w:style>
  <w:style w:type="paragraph" w:customStyle="1" w:styleId="NumberedListBold">
    <w:name w:val="Numbered List Bold"/>
    <w:basedOn w:val="NumberedList"/>
    <w:link w:val="NumberedListBoldChar"/>
    <w:semiHidden/>
    <w:rsid w:val="00971A83"/>
    <w:rPr>
      <w:b/>
      <w:bCs/>
    </w:rPr>
  </w:style>
  <w:style w:type="character" w:customStyle="1" w:styleId="NumberedListBoldChar">
    <w:name w:val="Numbered List Bold Char"/>
    <w:basedOn w:val="NumberedListCharChar"/>
    <w:link w:val="NumberedListBold"/>
    <w:rsid w:val="00971A83"/>
    <w:rPr>
      <w:rFonts w:ascii="Arial" w:hAnsi="Arial"/>
      <w:b/>
      <w:bCs/>
      <w:sz w:val="22"/>
      <w:lang w:val="en-US" w:eastAsia="en-US" w:bidi="ar-SA"/>
    </w:rPr>
  </w:style>
  <w:style w:type="character" w:customStyle="1" w:styleId="Lead-inEmphasis">
    <w:name w:val="Lead-in Emphasis"/>
    <w:semiHidden/>
    <w:rsid w:val="00E75ABB"/>
    <w:rPr>
      <w:rFonts w:ascii="Tahoma" w:hAnsi="Tahoma"/>
      <w:b/>
      <w:spacing w:val="4"/>
      <w:kern w:val="0"/>
    </w:rPr>
  </w:style>
  <w:style w:type="paragraph" w:customStyle="1" w:styleId="NumberedText">
    <w:name w:val="NumberedText"/>
    <w:basedOn w:val="Normal"/>
    <w:semiHidden/>
    <w:rsid w:val="00CD0BDF"/>
    <w:pPr>
      <w:tabs>
        <w:tab w:val="left" w:pos="720"/>
      </w:tabs>
      <w:spacing w:before="180" w:line="240" w:lineRule="auto"/>
      <w:ind w:left="431"/>
      <w:jc w:val="both"/>
    </w:pPr>
    <w:rPr>
      <w:sz w:val="20"/>
    </w:rPr>
  </w:style>
  <w:style w:type="paragraph" w:customStyle="1" w:styleId="UtilComHeaderInfo">
    <w:name w:val="UtilCom Header Info"/>
    <w:semiHidden/>
    <w:rsid w:val="00CD0BDF"/>
    <w:pPr>
      <w:spacing w:line="240" w:lineRule="exact"/>
      <w:jc w:val="right"/>
    </w:pPr>
    <w:rPr>
      <w:rFonts w:ascii="Arial" w:hAnsi="Arial"/>
      <w:sz w:val="18"/>
      <w:szCs w:val="18"/>
    </w:rPr>
  </w:style>
  <w:style w:type="paragraph" w:customStyle="1" w:styleId="UtilComAddressInfo">
    <w:name w:val="UtilCom Address Info"/>
    <w:semiHidden/>
    <w:rsid w:val="00CD0BDF"/>
    <w:pPr>
      <w:spacing w:line="240" w:lineRule="exact"/>
      <w:jc w:val="right"/>
    </w:pPr>
    <w:rPr>
      <w:rFonts w:ascii="Arial" w:hAnsi="Arial"/>
      <w:sz w:val="18"/>
      <w:szCs w:val="18"/>
    </w:rPr>
  </w:style>
  <w:style w:type="paragraph" w:customStyle="1" w:styleId="UtilComDate">
    <w:name w:val="UtilCom Date"/>
    <w:basedOn w:val="Normal"/>
    <w:semiHidden/>
    <w:rsid w:val="00AE1D8B"/>
    <w:pPr>
      <w:spacing w:before="480"/>
    </w:pPr>
    <w:rPr>
      <w:rFonts w:cs="Arial"/>
      <w:i/>
      <w:sz w:val="24"/>
    </w:rPr>
  </w:style>
  <w:style w:type="paragraph" w:customStyle="1" w:styleId="Heading11">
    <w:name w:val="Heading 11"/>
    <w:basedOn w:val="Normal"/>
    <w:semiHidden/>
    <w:rsid w:val="006E3A87"/>
    <w:pPr>
      <w:spacing w:before="240" w:line="240" w:lineRule="auto"/>
    </w:pPr>
    <w:rPr>
      <w:b/>
      <w:sz w:val="28"/>
      <w:lang w:val="en-AU"/>
    </w:rPr>
  </w:style>
  <w:style w:type="character" w:styleId="Hyperlink">
    <w:name w:val="Hyperlink"/>
    <w:basedOn w:val="DefaultParagraphFont"/>
    <w:uiPriority w:val="99"/>
    <w:rsid w:val="00EA0992"/>
    <w:rPr>
      <w:color w:val="0000FF"/>
      <w:u w:val="single"/>
    </w:rPr>
  </w:style>
  <w:style w:type="paragraph" w:customStyle="1" w:styleId="NormalText">
    <w:name w:val="NormalText"/>
    <w:basedOn w:val="Normal"/>
    <w:semiHidden/>
    <w:rsid w:val="00EA0992"/>
    <w:pPr>
      <w:spacing w:before="240" w:line="240" w:lineRule="auto"/>
      <w:jc w:val="both"/>
    </w:pPr>
    <w:rPr>
      <w:sz w:val="20"/>
      <w:lang w:val="en-AU"/>
    </w:rPr>
  </w:style>
  <w:style w:type="paragraph" w:customStyle="1" w:styleId="UtilComChapterHeading">
    <w:name w:val="UtilCom Chapter Heading"/>
    <w:basedOn w:val="UtilComHeading2"/>
    <w:next w:val="TOC1"/>
    <w:link w:val="UtilComChapterHeadingChar"/>
    <w:semiHidden/>
    <w:rsid w:val="00457A43"/>
    <w:rPr>
      <w:sz w:val="32"/>
      <w:szCs w:val="28"/>
    </w:rPr>
  </w:style>
  <w:style w:type="paragraph" w:customStyle="1" w:styleId="UtilComHeading2">
    <w:name w:val="UtilCom Heading 2"/>
    <w:basedOn w:val="Heading2"/>
    <w:next w:val="TOC2"/>
    <w:link w:val="UtilComHeading2Char"/>
    <w:rsid w:val="00A755D2"/>
    <w:pPr>
      <w:spacing w:before="240" w:after="120" w:line="360" w:lineRule="exact"/>
    </w:pPr>
    <w:rPr>
      <w:sz w:val="28"/>
    </w:rPr>
  </w:style>
  <w:style w:type="character" w:customStyle="1" w:styleId="UtilComHeading2Char">
    <w:name w:val="UtilCom Heading 2 Char"/>
    <w:basedOn w:val="Heading2Char"/>
    <w:link w:val="UtilComHeading2"/>
    <w:rsid w:val="00A755D2"/>
    <w:rPr>
      <w:rFonts w:ascii="Arial" w:hAnsi="Arial"/>
      <w:b/>
      <w:sz w:val="28"/>
      <w:lang w:val="en-US" w:eastAsia="en-US"/>
    </w:rPr>
  </w:style>
  <w:style w:type="character" w:customStyle="1" w:styleId="UtilComChapterHeadingChar">
    <w:name w:val="UtilCom Chapter Heading Char"/>
    <w:basedOn w:val="UtilComHeading2Char"/>
    <w:link w:val="UtilComChapterHeading"/>
    <w:rsid w:val="00457A43"/>
    <w:rPr>
      <w:rFonts w:ascii="Arial" w:hAnsi="Arial"/>
      <w:b/>
      <w:sz w:val="32"/>
      <w:szCs w:val="28"/>
      <w:lang w:val="en-US" w:eastAsia="en-US"/>
    </w:rPr>
  </w:style>
  <w:style w:type="paragraph" w:customStyle="1" w:styleId="UtilComBodyText">
    <w:name w:val="UtilCom Body Text"/>
    <w:basedOn w:val="Normal"/>
    <w:rsid w:val="00FE79B4"/>
    <w:rPr>
      <w:rFonts w:cs="Arial"/>
      <w:szCs w:val="22"/>
    </w:rPr>
  </w:style>
  <w:style w:type="paragraph" w:customStyle="1" w:styleId="UtilComNumberedText">
    <w:name w:val="UtilCom Numbered Text"/>
    <w:basedOn w:val="Normal"/>
    <w:semiHidden/>
    <w:rsid w:val="00D17B03"/>
    <w:pPr>
      <w:tabs>
        <w:tab w:val="num" w:pos="522"/>
        <w:tab w:val="left" w:pos="993"/>
      </w:tabs>
      <w:spacing w:line="240" w:lineRule="auto"/>
      <w:ind w:left="522" w:hanging="450"/>
    </w:pPr>
    <w:rPr>
      <w:rFonts w:cs="Arial"/>
      <w:szCs w:val="22"/>
    </w:rPr>
  </w:style>
  <w:style w:type="paragraph" w:customStyle="1" w:styleId="UtilComBulletText">
    <w:name w:val="UtilCom Bullet Text"/>
    <w:basedOn w:val="Normal"/>
    <w:link w:val="UtilComBulletTextCharChar"/>
    <w:rsid w:val="00F8644E"/>
    <w:pPr>
      <w:numPr>
        <w:numId w:val="3"/>
      </w:numPr>
      <w:tabs>
        <w:tab w:val="left" w:pos="1134"/>
      </w:tabs>
      <w:spacing w:line="240" w:lineRule="auto"/>
    </w:pPr>
    <w:rPr>
      <w:rFonts w:cs="Arial"/>
      <w:szCs w:val="22"/>
    </w:rPr>
  </w:style>
  <w:style w:type="character" w:customStyle="1" w:styleId="UtilComBulletTextCharChar">
    <w:name w:val="UtilCom Bullet Text Char Char"/>
    <w:link w:val="UtilComBulletText"/>
    <w:locked/>
    <w:rsid w:val="00547327"/>
    <w:rPr>
      <w:rFonts w:ascii="Arial" w:hAnsi="Arial" w:cs="Arial"/>
      <w:sz w:val="22"/>
      <w:szCs w:val="22"/>
      <w:lang w:val="en-US" w:eastAsia="en-US"/>
    </w:rPr>
  </w:style>
  <w:style w:type="paragraph" w:customStyle="1" w:styleId="UtilComHeading3">
    <w:name w:val="UtilCom Heading 3"/>
    <w:basedOn w:val="Heading3"/>
    <w:next w:val="TOC3"/>
    <w:rsid w:val="00127A28"/>
    <w:rPr>
      <w:szCs w:val="24"/>
    </w:rPr>
  </w:style>
  <w:style w:type="paragraph" w:styleId="TOC9">
    <w:name w:val="toc 9"/>
    <w:basedOn w:val="Normal"/>
    <w:next w:val="Normal"/>
    <w:autoRedefine/>
    <w:uiPriority w:val="39"/>
    <w:rsid w:val="004C0CB0"/>
    <w:pPr>
      <w:ind w:left="1760"/>
    </w:pPr>
  </w:style>
  <w:style w:type="paragraph" w:customStyle="1" w:styleId="UtilComNumberItem2">
    <w:name w:val="UtilCom Number Item 2"/>
    <w:basedOn w:val="Normal"/>
    <w:semiHidden/>
    <w:rsid w:val="00A8381B"/>
    <w:pPr>
      <w:tabs>
        <w:tab w:val="num" w:pos="690"/>
      </w:tabs>
      <w:ind w:left="690" w:hanging="450"/>
    </w:pPr>
  </w:style>
  <w:style w:type="paragraph" w:customStyle="1" w:styleId="UtilComTabletext">
    <w:name w:val="UtilCom Table text"/>
    <w:basedOn w:val="Normal"/>
    <w:link w:val="UtilComTabletextChar"/>
    <w:rsid w:val="002F053A"/>
    <w:rPr>
      <w:rFonts w:cs="Arial"/>
      <w:sz w:val="18"/>
      <w:szCs w:val="18"/>
    </w:rPr>
  </w:style>
  <w:style w:type="character" w:customStyle="1" w:styleId="UtilComTabletextChar">
    <w:name w:val="UtilCom Table text Char"/>
    <w:link w:val="UtilComTabletext"/>
    <w:rsid w:val="002755ED"/>
    <w:rPr>
      <w:rFonts w:ascii="Arial" w:hAnsi="Arial" w:cs="Arial"/>
      <w:sz w:val="18"/>
      <w:szCs w:val="18"/>
      <w:lang w:val="en-US" w:eastAsia="en-US"/>
    </w:rPr>
  </w:style>
  <w:style w:type="paragraph" w:customStyle="1" w:styleId="UtilComTableNumbers">
    <w:name w:val="UtilCom Table Numbers"/>
    <w:basedOn w:val="Normal"/>
    <w:rsid w:val="002F053A"/>
    <w:pPr>
      <w:jc w:val="right"/>
    </w:pPr>
    <w:rPr>
      <w:rFonts w:cs="Arial"/>
      <w:sz w:val="18"/>
      <w:szCs w:val="18"/>
    </w:rPr>
  </w:style>
  <w:style w:type="paragraph" w:customStyle="1" w:styleId="UtilComNumbered">
    <w:name w:val="UtilCom Numbered"/>
    <w:basedOn w:val="UtilComNumberItem2"/>
    <w:semiHidden/>
    <w:rsid w:val="001D21E9"/>
    <w:pPr>
      <w:tabs>
        <w:tab w:val="clear" w:pos="690"/>
      </w:tabs>
      <w:ind w:left="0" w:firstLine="0"/>
    </w:pPr>
  </w:style>
  <w:style w:type="paragraph" w:customStyle="1" w:styleId="31UtilComNumber">
    <w:name w:val="3.1 UtilCom Number"/>
    <w:basedOn w:val="UtilComNumberItem2"/>
    <w:semiHidden/>
    <w:rsid w:val="000B21F0"/>
    <w:pPr>
      <w:tabs>
        <w:tab w:val="clear" w:pos="690"/>
        <w:tab w:val="num" w:pos="450"/>
      </w:tabs>
      <w:ind w:left="450"/>
    </w:pPr>
  </w:style>
  <w:style w:type="paragraph" w:customStyle="1" w:styleId="AppendixHeading">
    <w:name w:val="Appendix Heading"/>
    <w:basedOn w:val="ChapterBold"/>
    <w:rsid w:val="00A554E9"/>
    <w:pPr>
      <w:jc w:val="right"/>
      <w:outlineLvl w:val="0"/>
    </w:pPr>
  </w:style>
  <w:style w:type="paragraph" w:customStyle="1" w:styleId="NumberLevel1">
    <w:name w:val="Number Level 1"/>
    <w:basedOn w:val="Normal"/>
    <w:rsid w:val="00BA0D8C"/>
    <w:pPr>
      <w:tabs>
        <w:tab w:val="num" w:pos="432"/>
      </w:tabs>
      <w:spacing w:before="960" w:after="240" w:line="400" w:lineRule="exact"/>
      <w:ind w:left="431" w:hanging="431"/>
    </w:pPr>
    <w:rPr>
      <w:b/>
      <w:caps/>
      <w:color w:val="808080"/>
      <w:sz w:val="36"/>
    </w:rPr>
  </w:style>
  <w:style w:type="paragraph" w:customStyle="1" w:styleId="NumberLevel2">
    <w:name w:val="Number Level 2"/>
    <w:basedOn w:val="Normal"/>
    <w:next w:val="Normal"/>
    <w:link w:val="NumberLevel2CharChar"/>
    <w:rsid w:val="00A041E2"/>
    <w:pPr>
      <w:tabs>
        <w:tab w:val="num" w:pos="576"/>
      </w:tabs>
      <w:ind w:left="576" w:hanging="576"/>
      <w:outlineLvl w:val="3"/>
    </w:pPr>
  </w:style>
  <w:style w:type="character" w:customStyle="1" w:styleId="NumberLevel2CharChar">
    <w:name w:val="Number Level 2 Char Char"/>
    <w:link w:val="NumberLevel2"/>
    <w:rsid w:val="00D32DF2"/>
    <w:rPr>
      <w:rFonts w:ascii="Arial" w:hAnsi="Arial"/>
      <w:sz w:val="22"/>
      <w:lang w:val="en-US" w:eastAsia="en-US"/>
    </w:rPr>
  </w:style>
  <w:style w:type="paragraph" w:customStyle="1" w:styleId="NumberLevel3">
    <w:name w:val="Number Level 3"/>
    <w:basedOn w:val="NumberLevel2"/>
    <w:rsid w:val="00BA0D8C"/>
    <w:pPr>
      <w:tabs>
        <w:tab w:val="clear" w:pos="576"/>
        <w:tab w:val="num" w:pos="720"/>
      </w:tabs>
      <w:ind w:left="720" w:hanging="720"/>
    </w:pPr>
  </w:style>
  <w:style w:type="paragraph" w:customStyle="1" w:styleId="UtilComLetterNumbering">
    <w:name w:val="UtilCom Letter Numbering"/>
    <w:basedOn w:val="Normal"/>
    <w:rsid w:val="00F8644E"/>
  </w:style>
  <w:style w:type="paragraph" w:customStyle="1" w:styleId="UtilComHeading4">
    <w:name w:val="UtilCom Heading 4"/>
    <w:basedOn w:val="TOC4"/>
    <w:next w:val="TOC4"/>
    <w:rsid w:val="00FE79B4"/>
    <w:pPr>
      <w:tabs>
        <w:tab w:val="clear" w:pos="1200"/>
        <w:tab w:val="clear" w:pos="9062"/>
      </w:tabs>
      <w:spacing w:after="0" w:line="312" w:lineRule="auto"/>
      <w:ind w:left="0"/>
      <w:outlineLvl w:val="3"/>
    </w:pPr>
    <w:rPr>
      <w:i/>
      <w:noProof w:val="0"/>
      <w:sz w:val="22"/>
      <w:szCs w:val="22"/>
    </w:rPr>
  </w:style>
  <w:style w:type="paragraph" w:customStyle="1" w:styleId="UtilComQuotationText">
    <w:name w:val="UtilCom Quotation Text"/>
    <w:basedOn w:val="BlockQuotation"/>
    <w:rsid w:val="00517B51"/>
    <w:pPr>
      <w:spacing w:line="312" w:lineRule="auto"/>
      <w:ind w:left="567"/>
    </w:pPr>
    <w:rPr>
      <w:i/>
      <w:spacing w:val="0"/>
      <w:sz w:val="20"/>
    </w:rPr>
  </w:style>
  <w:style w:type="paragraph" w:customStyle="1" w:styleId="UtilComTableTitle">
    <w:name w:val="UtilCom Table Title"/>
    <w:basedOn w:val="UtilComBodyText"/>
    <w:link w:val="UtilComTableTitleChar"/>
    <w:rsid w:val="002755ED"/>
    <w:pPr>
      <w:spacing w:after="120" w:line="320" w:lineRule="exact"/>
    </w:pPr>
    <w:rPr>
      <w:spacing w:val="-14"/>
      <w:lang w:val="en-AU"/>
    </w:rPr>
  </w:style>
  <w:style w:type="character" w:customStyle="1" w:styleId="UtilComTableTitleChar">
    <w:name w:val="UtilCom Table Title Char"/>
    <w:link w:val="UtilComTableTitle"/>
    <w:rsid w:val="002755ED"/>
    <w:rPr>
      <w:rFonts w:ascii="Arial" w:hAnsi="Arial" w:cs="Arial"/>
      <w:spacing w:val="-14"/>
      <w:sz w:val="22"/>
      <w:szCs w:val="22"/>
      <w:lang w:eastAsia="en-US"/>
    </w:rPr>
  </w:style>
  <w:style w:type="paragraph" w:styleId="TOC6">
    <w:name w:val="toc 6"/>
    <w:basedOn w:val="Normal"/>
    <w:next w:val="Normal"/>
    <w:autoRedefine/>
    <w:uiPriority w:val="39"/>
    <w:unhideWhenUsed/>
    <w:rsid w:val="00815A91"/>
    <w:pPr>
      <w:spacing w:before="0" w:after="100" w:line="276" w:lineRule="auto"/>
      <w:ind w:left="1100"/>
    </w:pPr>
    <w:rPr>
      <w:rFonts w:asciiTheme="minorHAnsi" w:eastAsiaTheme="minorEastAsia" w:hAnsiTheme="minorHAnsi" w:cstheme="minorBidi"/>
      <w:szCs w:val="22"/>
      <w:lang w:val="en-AU" w:eastAsia="en-AU"/>
    </w:rPr>
  </w:style>
  <w:style w:type="paragraph" w:styleId="TOC7">
    <w:name w:val="toc 7"/>
    <w:basedOn w:val="Normal"/>
    <w:next w:val="Normal"/>
    <w:autoRedefine/>
    <w:uiPriority w:val="39"/>
    <w:unhideWhenUsed/>
    <w:rsid w:val="00815A91"/>
    <w:pPr>
      <w:spacing w:before="0" w:after="100" w:line="276" w:lineRule="auto"/>
      <w:ind w:left="1320"/>
    </w:pPr>
    <w:rPr>
      <w:rFonts w:asciiTheme="minorHAnsi" w:eastAsiaTheme="minorEastAsia" w:hAnsiTheme="minorHAnsi" w:cstheme="minorBidi"/>
      <w:szCs w:val="22"/>
      <w:lang w:val="en-AU" w:eastAsia="en-AU"/>
    </w:rPr>
  </w:style>
  <w:style w:type="paragraph" w:styleId="TOC8">
    <w:name w:val="toc 8"/>
    <w:basedOn w:val="Normal"/>
    <w:next w:val="Normal"/>
    <w:autoRedefine/>
    <w:uiPriority w:val="39"/>
    <w:unhideWhenUsed/>
    <w:rsid w:val="00815A91"/>
    <w:pPr>
      <w:spacing w:before="0" w:after="100" w:line="276" w:lineRule="auto"/>
      <w:ind w:left="1540"/>
    </w:pPr>
    <w:rPr>
      <w:rFonts w:asciiTheme="minorHAnsi" w:eastAsiaTheme="minorEastAsia" w:hAnsiTheme="minorHAnsi" w:cstheme="minorBidi"/>
      <w:szCs w:val="22"/>
      <w:lang w:val="en-AU" w:eastAsia="en-AU"/>
    </w:rPr>
  </w:style>
  <w:style w:type="paragraph" w:styleId="ListParagraph">
    <w:name w:val="List Paragraph"/>
    <w:basedOn w:val="Normal"/>
    <w:uiPriority w:val="34"/>
    <w:qFormat/>
    <w:rsid w:val="00D0770A"/>
    <w:pPr>
      <w:ind w:left="720"/>
      <w:contextualSpacing/>
    </w:pPr>
  </w:style>
  <w:style w:type="numbering" w:customStyle="1" w:styleId="Style1">
    <w:name w:val="Style1"/>
    <w:uiPriority w:val="99"/>
    <w:rsid w:val="00011BC3"/>
    <w:pPr>
      <w:numPr>
        <w:numId w:val="7"/>
      </w:numPr>
    </w:pPr>
  </w:style>
  <w:style w:type="paragraph" w:customStyle="1" w:styleId="nonumber">
    <w:name w:val="no number"/>
    <w:link w:val="nonumberChar"/>
    <w:rsid w:val="007C4616"/>
    <w:pPr>
      <w:spacing w:before="120"/>
      <w:ind w:left="425"/>
      <w:jc w:val="both"/>
    </w:pPr>
    <w:rPr>
      <w:rFonts w:ascii="Bookman Old Style" w:hAnsi="Bookman Old Style"/>
      <w:noProof/>
      <w:lang w:eastAsia="en-US"/>
    </w:rPr>
  </w:style>
  <w:style w:type="paragraph" w:customStyle="1" w:styleId="Char2CharCharChar">
    <w:name w:val="Char2 Char Char Char"/>
    <w:basedOn w:val="Normal"/>
    <w:rsid w:val="007C4616"/>
    <w:pPr>
      <w:spacing w:before="0" w:after="160" w:line="240" w:lineRule="exact"/>
    </w:pPr>
    <w:rPr>
      <w:rFonts w:ascii="Verdana" w:hAnsi="Verdana"/>
      <w:sz w:val="20"/>
      <w:szCs w:val="24"/>
    </w:rPr>
  </w:style>
  <w:style w:type="character" w:customStyle="1" w:styleId="nonumberChar">
    <w:name w:val="no number Char"/>
    <w:basedOn w:val="DefaultParagraphFont"/>
    <w:link w:val="nonumber"/>
    <w:rsid w:val="007C4616"/>
    <w:rPr>
      <w:rFonts w:ascii="Bookman Old Style" w:hAnsi="Bookman Old Style"/>
      <w:noProof/>
      <w:lang w:eastAsia="en-US"/>
    </w:rPr>
  </w:style>
  <w:style w:type="paragraph" w:customStyle="1" w:styleId="UtilComNumbersIssues">
    <w:name w:val="UtilCom Numbers (Issues)"/>
    <w:basedOn w:val="Normal"/>
    <w:link w:val="UtilComNumbersIssuesChar"/>
    <w:rsid w:val="001F49B3"/>
    <w:pPr>
      <w:spacing w:before="0" w:after="120" w:line="300" w:lineRule="atLeast"/>
    </w:pPr>
    <w:rPr>
      <w:szCs w:val="22"/>
    </w:rPr>
  </w:style>
  <w:style w:type="character" w:customStyle="1" w:styleId="UtilComNumbersIssuesChar">
    <w:name w:val="UtilCom Numbers (Issues) Char"/>
    <w:link w:val="UtilComNumbersIssues"/>
    <w:rsid w:val="001F49B3"/>
    <w:rPr>
      <w:rFonts w:ascii="Arial" w:hAnsi="Arial"/>
      <w:sz w:val="22"/>
      <w:szCs w:val="22"/>
      <w:lang w:val="en-US" w:eastAsia="en-US"/>
    </w:rPr>
  </w:style>
  <w:style w:type="table" w:styleId="TableGrid">
    <w:name w:val="Table Grid"/>
    <w:basedOn w:val="TableNormal"/>
    <w:rsid w:val="00F63D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aliases w:val="b,block,bt,Body text,t1,taten_body,body text,Body Text 1,NoticeText-List,body,B,Body"/>
    <w:basedOn w:val="Normal"/>
    <w:link w:val="BodyTextChar"/>
    <w:rsid w:val="00BE238D"/>
    <w:pPr>
      <w:spacing w:before="0" w:after="0" w:line="240" w:lineRule="auto"/>
      <w:jc w:val="both"/>
    </w:pPr>
    <w:rPr>
      <w:rFonts w:ascii="Bookman Old Style" w:hAnsi="Bookman Old Style"/>
      <w:color w:val="808080"/>
      <w:sz w:val="20"/>
      <w:lang w:val="en-AU"/>
    </w:rPr>
  </w:style>
  <w:style w:type="character" w:customStyle="1" w:styleId="BodyTextChar">
    <w:name w:val="Body Text Char"/>
    <w:aliases w:val="b Char,block Char,bt Char,Body text Char,t1 Char,taten_body Char,body text Char,Body Text 1 Char,NoticeText-List Char,body Char,B Char,Body Char"/>
    <w:basedOn w:val="DefaultParagraphFont"/>
    <w:link w:val="BodyText"/>
    <w:rsid w:val="00BE238D"/>
    <w:rPr>
      <w:rFonts w:ascii="Bookman Old Style" w:hAnsi="Bookman Old Style"/>
      <w:color w:val="808080"/>
      <w:lang w:eastAsia="en-US"/>
    </w:rPr>
  </w:style>
  <w:style w:type="character" w:styleId="PlaceholderText">
    <w:name w:val="Placeholder Text"/>
    <w:basedOn w:val="DefaultParagraphFont"/>
    <w:uiPriority w:val="99"/>
    <w:semiHidden/>
    <w:rsid w:val="009F1A71"/>
    <w:rPr>
      <w:color w:val="808080"/>
    </w:rPr>
  </w:style>
  <w:style w:type="character" w:customStyle="1" w:styleId="FootnoteTextChar">
    <w:name w:val="Footnote Text Char"/>
    <w:basedOn w:val="DefaultParagraphFont"/>
    <w:link w:val="FootnoteText"/>
    <w:uiPriority w:val="99"/>
    <w:semiHidden/>
    <w:rsid w:val="004D1382"/>
    <w:rPr>
      <w:rFonts w:ascii="Arial" w:hAnsi="Arial"/>
      <w:sz w:val="22"/>
      <w:lang w:val="en-US" w:eastAsia="en-US"/>
    </w:rPr>
  </w:style>
  <w:style w:type="paragraph" w:customStyle="1" w:styleId="Default">
    <w:name w:val="Default"/>
    <w:rsid w:val="00F33BD0"/>
    <w:pPr>
      <w:autoSpaceDE w:val="0"/>
      <w:autoSpaceDN w:val="0"/>
      <w:adjustRightInd w:val="0"/>
    </w:pPr>
    <w:rPr>
      <w:rFonts w:ascii="Arial" w:hAnsi="Arial" w:cs="Arial"/>
      <w:color w:val="000000"/>
      <w:sz w:val="24"/>
      <w:szCs w:val="24"/>
    </w:rPr>
  </w:style>
  <w:style w:type="character" w:customStyle="1" w:styleId="A7">
    <w:name w:val="A7"/>
    <w:uiPriority w:val="99"/>
    <w:rsid w:val="00D5726A"/>
    <w:rPr>
      <w:rFonts w:cs="Arial MT Std Light"/>
      <w:color w:val="000000"/>
      <w:sz w:val="21"/>
      <w:szCs w:val="21"/>
    </w:rPr>
  </w:style>
  <w:style w:type="character" w:customStyle="1" w:styleId="A10">
    <w:name w:val="A10"/>
    <w:uiPriority w:val="99"/>
    <w:rsid w:val="00672008"/>
    <w:rPr>
      <w:rFonts w:cs="Arial MT Std Light"/>
      <w:color w:val="000000"/>
      <w:sz w:val="11"/>
      <w:szCs w:val="11"/>
    </w:rPr>
  </w:style>
  <w:style w:type="paragraph" w:styleId="CommentSubject">
    <w:name w:val="annotation subject"/>
    <w:basedOn w:val="CommentText"/>
    <w:next w:val="CommentText"/>
    <w:link w:val="CommentSubjectChar"/>
    <w:semiHidden/>
    <w:unhideWhenUsed/>
    <w:rsid w:val="00C5416D"/>
    <w:pPr>
      <w:spacing w:line="240" w:lineRule="auto"/>
    </w:pPr>
    <w:rPr>
      <w:b/>
      <w:bCs/>
      <w:sz w:val="20"/>
    </w:rPr>
  </w:style>
  <w:style w:type="character" w:customStyle="1" w:styleId="CommentTextChar">
    <w:name w:val="Comment Text Char"/>
    <w:basedOn w:val="DefaultParagraphFont"/>
    <w:link w:val="CommentText"/>
    <w:semiHidden/>
    <w:rsid w:val="00C5416D"/>
    <w:rPr>
      <w:rFonts w:ascii="Arial" w:hAnsi="Arial"/>
      <w:sz w:val="22"/>
      <w:lang w:val="en-US" w:eastAsia="en-US"/>
    </w:rPr>
  </w:style>
  <w:style w:type="character" w:customStyle="1" w:styleId="CommentSubjectChar">
    <w:name w:val="Comment Subject Char"/>
    <w:basedOn w:val="CommentTextChar"/>
    <w:link w:val="CommentSubject"/>
    <w:semiHidden/>
    <w:rsid w:val="00C5416D"/>
    <w:rPr>
      <w:rFonts w:ascii="Arial" w:hAnsi="Arial"/>
      <w:b/>
      <w:bCs/>
      <w:sz w:val="22"/>
      <w:lang w:val="en-US" w:eastAsia="en-US"/>
    </w:rPr>
  </w:style>
  <w:style w:type="character" w:styleId="FollowedHyperlink">
    <w:name w:val="FollowedHyperlink"/>
    <w:basedOn w:val="DefaultParagraphFont"/>
    <w:semiHidden/>
    <w:unhideWhenUsed/>
    <w:rsid w:val="0098741F"/>
    <w:rPr>
      <w:color w:val="800080" w:themeColor="followedHyperlink"/>
      <w:u w:val="single"/>
    </w:rPr>
  </w:style>
  <w:style w:type="paragraph" w:customStyle="1" w:styleId="MELevel1">
    <w:name w:val="ME Level 1"/>
    <w:basedOn w:val="Normal"/>
    <w:qFormat/>
    <w:rsid w:val="00595C00"/>
    <w:pPr>
      <w:numPr>
        <w:numId w:val="15"/>
      </w:numPr>
      <w:spacing w:before="0" w:after="240" w:line="240" w:lineRule="auto"/>
    </w:pPr>
    <w:rPr>
      <w:rFonts w:ascii="Times New Roman" w:hAnsi="Times New Roman"/>
      <w:sz w:val="24"/>
      <w:szCs w:val="24"/>
      <w:lang w:val="en-AU"/>
    </w:rPr>
  </w:style>
  <w:style w:type="paragraph" w:customStyle="1" w:styleId="MELevel2">
    <w:name w:val="ME Level 2"/>
    <w:basedOn w:val="Normal"/>
    <w:qFormat/>
    <w:rsid w:val="00595C00"/>
    <w:pPr>
      <w:numPr>
        <w:ilvl w:val="1"/>
        <w:numId w:val="15"/>
      </w:numPr>
      <w:spacing w:before="0" w:after="240" w:line="240" w:lineRule="auto"/>
    </w:pPr>
    <w:rPr>
      <w:rFonts w:ascii="Times New Roman" w:hAnsi="Times New Roman"/>
      <w:sz w:val="24"/>
      <w:szCs w:val="24"/>
      <w:lang w:val="en-AU"/>
    </w:rPr>
  </w:style>
  <w:style w:type="paragraph" w:customStyle="1" w:styleId="MELevel3">
    <w:name w:val="ME Level 3"/>
    <w:basedOn w:val="Normal"/>
    <w:qFormat/>
    <w:rsid w:val="00595C00"/>
    <w:pPr>
      <w:numPr>
        <w:ilvl w:val="2"/>
        <w:numId w:val="15"/>
      </w:numPr>
      <w:spacing w:before="0" w:after="240" w:line="240" w:lineRule="auto"/>
    </w:pPr>
    <w:rPr>
      <w:rFonts w:ascii="Times New Roman" w:hAnsi="Times New Roman"/>
      <w:sz w:val="24"/>
      <w:szCs w:val="24"/>
      <w:lang w:val="en-AU"/>
    </w:rPr>
  </w:style>
  <w:style w:type="paragraph" w:customStyle="1" w:styleId="MELevel4">
    <w:name w:val="ME Level 4"/>
    <w:basedOn w:val="Normal"/>
    <w:qFormat/>
    <w:rsid w:val="00595C00"/>
    <w:pPr>
      <w:numPr>
        <w:ilvl w:val="3"/>
        <w:numId w:val="15"/>
      </w:numPr>
      <w:spacing w:before="0" w:after="240" w:line="240" w:lineRule="auto"/>
    </w:pPr>
    <w:rPr>
      <w:rFonts w:ascii="Times New Roman" w:hAnsi="Times New Roman"/>
      <w:sz w:val="24"/>
      <w:szCs w:val="24"/>
      <w:lang w:val="en-AU"/>
    </w:rPr>
  </w:style>
  <w:style w:type="paragraph" w:customStyle="1" w:styleId="MELevel5">
    <w:name w:val="ME Level 5"/>
    <w:basedOn w:val="Normal"/>
    <w:qFormat/>
    <w:rsid w:val="00595C00"/>
    <w:pPr>
      <w:numPr>
        <w:ilvl w:val="4"/>
        <w:numId w:val="15"/>
      </w:numPr>
      <w:spacing w:before="0" w:after="240" w:line="240" w:lineRule="auto"/>
    </w:pPr>
    <w:rPr>
      <w:rFonts w:ascii="Times New Roman" w:hAnsi="Times New Roman"/>
      <w:sz w:val="24"/>
      <w:szCs w:val="24"/>
      <w:lang w:val="en-AU"/>
    </w:rPr>
  </w:style>
  <w:style w:type="paragraph" w:customStyle="1" w:styleId="MELevel6">
    <w:name w:val="ME Level 6"/>
    <w:basedOn w:val="Normal"/>
    <w:qFormat/>
    <w:rsid w:val="00595C00"/>
    <w:pPr>
      <w:numPr>
        <w:ilvl w:val="5"/>
        <w:numId w:val="15"/>
      </w:numPr>
      <w:spacing w:before="0" w:after="240" w:line="240" w:lineRule="auto"/>
    </w:pPr>
    <w:rPr>
      <w:rFonts w:ascii="Times New Roman" w:hAnsi="Times New Roman"/>
      <w:sz w:val="24"/>
      <w:szCs w:val="24"/>
      <w:lang w:val="en-AU"/>
    </w:rPr>
  </w:style>
  <w:style w:type="paragraph" w:customStyle="1" w:styleId="Dot">
    <w:name w:val="Dot"/>
    <w:basedOn w:val="ListParagraph"/>
    <w:link w:val="DotChar"/>
    <w:qFormat/>
    <w:rsid w:val="00E71D0C"/>
    <w:pPr>
      <w:spacing w:before="0" w:after="120" w:line="240" w:lineRule="auto"/>
      <w:ind w:left="0"/>
      <w:contextualSpacing w:val="0"/>
    </w:pPr>
    <w:rPr>
      <w:rFonts w:ascii="Tahoma" w:eastAsiaTheme="minorHAnsi" w:hAnsi="Tahoma" w:cstheme="minorBidi"/>
      <w:sz w:val="24"/>
      <w:szCs w:val="22"/>
      <w:lang w:val="en-GB"/>
    </w:rPr>
  </w:style>
  <w:style w:type="character" w:customStyle="1" w:styleId="DotChar">
    <w:name w:val="Dot Char"/>
    <w:basedOn w:val="DefaultParagraphFont"/>
    <w:link w:val="Dot"/>
    <w:rsid w:val="00E71D0C"/>
    <w:rPr>
      <w:rFonts w:ascii="Tahoma" w:eastAsiaTheme="minorHAnsi" w:hAnsi="Tahoma" w:cstheme="minorBidi"/>
      <w:sz w:val="24"/>
      <w:szCs w:val="22"/>
      <w:lang w:val="en-GB" w:eastAsia="en-US"/>
    </w:rPr>
  </w:style>
  <w:style w:type="paragraph" w:customStyle="1" w:styleId="Dotbot">
    <w:name w:val="Dotbot"/>
    <w:basedOn w:val="Dot"/>
    <w:link w:val="DotbotChar"/>
    <w:qFormat/>
    <w:rsid w:val="00E71D0C"/>
    <w:pPr>
      <w:spacing w:after="240"/>
    </w:pPr>
  </w:style>
  <w:style w:type="character" w:customStyle="1" w:styleId="DotbotChar">
    <w:name w:val="Dotbot Char"/>
    <w:basedOn w:val="DotChar"/>
    <w:link w:val="Dotbot"/>
    <w:rsid w:val="00E71D0C"/>
    <w:rPr>
      <w:rFonts w:ascii="Tahoma" w:eastAsiaTheme="minorHAnsi" w:hAnsi="Tahoma" w:cstheme="minorBidi"/>
      <w:sz w:val="24"/>
      <w:szCs w:val="22"/>
      <w:lang w:val="en-GB" w:eastAsia="en-US"/>
    </w:rPr>
  </w:style>
  <w:style w:type="paragraph" w:styleId="List">
    <w:name w:val="List"/>
    <w:basedOn w:val="Normal"/>
    <w:unhideWhenUsed/>
    <w:rsid w:val="00D57556"/>
    <w:pPr>
      <w:ind w:left="283" w:hanging="283"/>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7BD8"/>
    <w:pPr>
      <w:spacing w:before="60" w:after="60" w:line="300" w:lineRule="exact"/>
    </w:pPr>
    <w:rPr>
      <w:rFonts w:ascii="Arial" w:hAnsi="Arial"/>
      <w:sz w:val="22"/>
      <w:lang w:val="en-US" w:eastAsia="en-US"/>
    </w:rPr>
  </w:style>
  <w:style w:type="paragraph" w:styleId="Heading1">
    <w:name w:val="heading 1"/>
    <w:basedOn w:val="Normal"/>
    <w:next w:val="Normal"/>
    <w:qFormat/>
    <w:rsid w:val="009F1EE2"/>
    <w:pPr>
      <w:spacing w:before="240" w:after="120" w:line="360" w:lineRule="exact"/>
      <w:outlineLvl w:val="0"/>
    </w:pPr>
    <w:rPr>
      <w:b/>
      <w:sz w:val="28"/>
      <w:szCs w:val="28"/>
    </w:rPr>
  </w:style>
  <w:style w:type="paragraph" w:styleId="Heading2">
    <w:name w:val="heading 2"/>
    <w:basedOn w:val="Normal"/>
    <w:next w:val="Normal"/>
    <w:link w:val="Heading2Char"/>
    <w:qFormat/>
    <w:rsid w:val="009F1EE2"/>
    <w:pPr>
      <w:keepNext/>
      <w:spacing w:before="0" w:line="320" w:lineRule="exact"/>
      <w:outlineLvl w:val="1"/>
    </w:pPr>
    <w:rPr>
      <w:b/>
      <w:sz w:val="24"/>
    </w:rPr>
  </w:style>
  <w:style w:type="paragraph" w:styleId="Heading3">
    <w:name w:val="heading 3"/>
    <w:basedOn w:val="Heading2"/>
    <w:next w:val="Normal"/>
    <w:qFormat/>
    <w:rsid w:val="00C8050B"/>
    <w:pPr>
      <w:outlineLvl w:val="2"/>
    </w:pPr>
  </w:style>
  <w:style w:type="paragraph" w:styleId="Heading4">
    <w:name w:val="heading 4"/>
    <w:basedOn w:val="Normal"/>
    <w:next w:val="Normal"/>
    <w:qFormat/>
    <w:rsid w:val="003F6759"/>
    <w:pPr>
      <w:keepNext/>
      <w:keepLines/>
      <w:spacing w:after="240" w:line="240" w:lineRule="atLeast"/>
      <w:outlineLvl w:val="3"/>
    </w:pPr>
    <w:rPr>
      <w:spacing w:val="-4"/>
      <w:kern w:val="28"/>
    </w:rPr>
  </w:style>
  <w:style w:type="paragraph" w:styleId="Heading5">
    <w:name w:val="heading 5"/>
    <w:basedOn w:val="Normal"/>
    <w:next w:val="Normal"/>
    <w:qFormat/>
    <w:rsid w:val="003F6759"/>
    <w:pPr>
      <w:keepNext/>
      <w:keepLines/>
      <w:spacing w:line="240" w:lineRule="atLeast"/>
      <w:ind w:left="1440"/>
      <w:outlineLvl w:val="4"/>
    </w:pPr>
    <w:rPr>
      <w:spacing w:val="-4"/>
      <w:kern w:val="28"/>
    </w:rPr>
  </w:style>
  <w:style w:type="paragraph" w:styleId="Heading6">
    <w:name w:val="heading 6"/>
    <w:basedOn w:val="Normal"/>
    <w:next w:val="Normal"/>
    <w:qFormat/>
    <w:rsid w:val="003F6759"/>
    <w:pPr>
      <w:keepNext/>
      <w:keepLines/>
      <w:spacing w:before="140" w:line="220" w:lineRule="atLeast"/>
      <w:ind w:left="1440"/>
      <w:outlineLvl w:val="5"/>
    </w:pPr>
    <w:rPr>
      <w:i/>
      <w:spacing w:val="-4"/>
      <w:kern w:val="28"/>
    </w:rPr>
  </w:style>
  <w:style w:type="paragraph" w:styleId="Heading7">
    <w:name w:val="heading 7"/>
    <w:aliases w:val="cover date"/>
    <w:basedOn w:val="Normal"/>
    <w:next w:val="Normal"/>
    <w:qFormat/>
    <w:rsid w:val="003F6759"/>
    <w:pPr>
      <w:keepNext/>
      <w:keepLines/>
      <w:spacing w:before="140" w:line="220" w:lineRule="atLeast"/>
      <w:outlineLvl w:val="6"/>
    </w:pPr>
    <w:rPr>
      <w:spacing w:val="-4"/>
      <w:kern w:val="28"/>
    </w:rPr>
  </w:style>
  <w:style w:type="paragraph" w:styleId="Heading8">
    <w:name w:val="heading 8"/>
    <w:aliases w:val="Cover header"/>
    <w:basedOn w:val="Normal"/>
    <w:next w:val="Normal"/>
    <w:qFormat/>
    <w:rsid w:val="003F6759"/>
    <w:pPr>
      <w:keepNext/>
      <w:keepLines/>
      <w:spacing w:before="140" w:line="220" w:lineRule="atLeast"/>
      <w:outlineLvl w:val="7"/>
    </w:pPr>
    <w:rPr>
      <w:i/>
      <w:spacing w:val="-4"/>
      <w:kern w:val="28"/>
      <w:sz w:val="18"/>
    </w:rPr>
  </w:style>
  <w:style w:type="paragraph" w:styleId="Heading9">
    <w:name w:val="heading 9"/>
    <w:basedOn w:val="Normal"/>
    <w:next w:val="Normal"/>
    <w:qFormat/>
    <w:rsid w:val="003F6759"/>
    <w:pPr>
      <w:keepNext/>
      <w:keepLines/>
      <w:spacing w:before="140" w:line="220" w:lineRule="atLeast"/>
      <w:outlineLvl w:val="8"/>
    </w:pPr>
    <w:rPr>
      <w:spacing w:val="-4"/>
      <w:kern w:val="28"/>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F1EE2"/>
    <w:rPr>
      <w:rFonts w:ascii="Arial" w:hAnsi="Arial"/>
      <w:b/>
      <w:sz w:val="24"/>
      <w:lang w:val="en-US" w:eastAsia="en-US"/>
    </w:rPr>
  </w:style>
  <w:style w:type="paragraph" w:customStyle="1" w:styleId="CompanyInformation">
    <w:name w:val="Company Information"/>
    <w:basedOn w:val="Normal"/>
    <w:link w:val="CompanyInformationChar"/>
    <w:semiHidden/>
    <w:rsid w:val="002D2F24"/>
    <w:pPr>
      <w:spacing w:line="240" w:lineRule="auto"/>
    </w:pPr>
    <w:rPr>
      <w:color w:val="808080"/>
      <w:sz w:val="15"/>
    </w:rPr>
  </w:style>
  <w:style w:type="character" w:customStyle="1" w:styleId="CompanyInformationChar">
    <w:name w:val="Company Information Char"/>
    <w:basedOn w:val="DefaultParagraphFont"/>
    <w:link w:val="CompanyInformation"/>
    <w:rsid w:val="002D2F24"/>
    <w:rPr>
      <w:rFonts w:ascii="Verdana" w:hAnsi="Verdana"/>
      <w:color w:val="808080"/>
      <w:sz w:val="15"/>
      <w:lang w:val="en-US" w:eastAsia="en-US" w:bidi="ar-SA"/>
    </w:rPr>
  </w:style>
  <w:style w:type="paragraph" w:customStyle="1" w:styleId="InsideTitle">
    <w:name w:val="Inside Title"/>
    <w:basedOn w:val="Normal"/>
    <w:semiHidden/>
    <w:rsid w:val="00872B23"/>
    <w:pPr>
      <w:keepNext/>
      <w:spacing w:before="2400" w:line="240" w:lineRule="auto"/>
    </w:pPr>
    <w:rPr>
      <w:b/>
      <w:sz w:val="32"/>
    </w:rPr>
  </w:style>
  <w:style w:type="paragraph" w:styleId="Caption">
    <w:name w:val="caption"/>
    <w:basedOn w:val="Normal"/>
    <w:next w:val="Normal"/>
    <w:rsid w:val="003F6759"/>
    <w:pPr>
      <w:keepNext/>
      <w:numPr>
        <w:numId w:val="1"/>
      </w:numPr>
      <w:spacing w:after="240" w:line="220" w:lineRule="atLeast"/>
    </w:pPr>
    <w:rPr>
      <w:rFonts w:ascii="Arial Narrow" w:hAnsi="Arial Narrow"/>
      <w:sz w:val="18"/>
    </w:rPr>
  </w:style>
  <w:style w:type="paragraph" w:customStyle="1" w:styleId="InsideSubtitle">
    <w:name w:val="Inside Subtitle"/>
    <w:basedOn w:val="Normal"/>
    <w:semiHidden/>
    <w:rsid w:val="0093137B"/>
    <w:pPr>
      <w:spacing w:after="200" w:line="240" w:lineRule="auto"/>
    </w:pPr>
    <w:rPr>
      <w:i/>
      <w:sz w:val="24"/>
    </w:rPr>
  </w:style>
  <w:style w:type="paragraph" w:customStyle="1" w:styleId="BulletedList">
    <w:name w:val="Bulleted List"/>
    <w:basedOn w:val="Normal"/>
    <w:link w:val="BulletedListChar"/>
    <w:semiHidden/>
    <w:rsid w:val="000C089E"/>
    <w:pPr>
      <w:numPr>
        <w:numId w:val="2"/>
      </w:numPr>
      <w:spacing w:after="80"/>
      <w:contextualSpacing/>
    </w:pPr>
  </w:style>
  <w:style w:type="character" w:customStyle="1" w:styleId="BulletedListChar">
    <w:name w:val="Bulleted List Char"/>
    <w:basedOn w:val="DefaultParagraphFont"/>
    <w:link w:val="BulletedList"/>
    <w:semiHidden/>
    <w:rsid w:val="00971A83"/>
    <w:rPr>
      <w:rFonts w:ascii="Arial" w:hAnsi="Arial"/>
      <w:sz w:val="22"/>
      <w:lang w:val="en-US" w:eastAsia="en-US"/>
    </w:rPr>
  </w:style>
  <w:style w:type="character" w:styleId="CommentReference">
    <w:name w:val="annotation reference"/>
    <w:semiHidden/>
    <w:rsid w:val="00D31E17"/>
    <w:rPr>
      <w:rFonts w:ascii="Arial" w:hAnsi="Arial"/>
      <w:sz w:val="16"/>
    </w:rPr>
  </w:style>
  <w:style w:type="paragraph" w:styleId="CommentText">
    <w:name w:val="annotation text"/>
    <w:basedOn w:val="Normal"/>
    <w:link w:val="CommentTextChar"/>
    <w:semiHidden/>
    <w:rsid w:val="003F6759"/>
  </w:style>
  <w:style w:type="paragraph" w:customStyle="1" w:styleId="NumberedList">
    <w:name w:val="Numbered List"/>
    <w:basedOn w:val="Normal"/>
    <w:link w:val="NumberedListCharChar"/>
    <w:semiHidden/>
    <w:rsid w:val="00D17B03"/>
    <w:pPr>
      <w:spacing w:after="120"/>
    </w:pPr>
  </w:style>
  <w:style w:type="character" w:customStyle="1" w:styleId="NumberedListCharChar">
    <w:name w:val="Numbered List Char Char"/>
    <w:basedOn w:val="DefaultParagraphFont"/>
    <w:link w:val="NumberedList"/>
    <w:rsid w:val="00D17B03"/>
    <w:rPr>
      <w:rFonts w:ascii="Arial" w:hAnsi="Arial"/>
      <w:sz w:val="22"/>
      <w:lang w:val="en-US" w:eastAsia="en-US" w:bidi="ar-SA"/>
    </w:rPr>
  </w:style>
  <w:style w:type="character" w:styleId="EndnoteReference">
    <w:name w:val="endnote reference"/>
    <w:semiHidden/>
    <w:rsid w:val="00D31E17"/>
    <w:rPr>
      <w:vertAlign w:val="superscript"/>
    </w:rPr>
  </w:style>
  <w:style w:type="paragraph" w:styleId="EndnoteText">
    <w:name w:val="endnote text"/>
    <w:basedOn w:val="Normal"/>
    <w:semiHidden/>
    <w:rsid w:val="003F6759"/>
  </w:style>
  <w:style w:type="paragraph" w:customStyle="1" w:styleId="BlockQuotation">
    <w:name w:val="Block Quotation"/>
    <w:basedOn w:val="Normal"/>
    <w:link w:val="BlockQuotationChar"/>
    <w:semiHidden/>
    <w:rsid w:val="000C089E"/>
    <w:pPr>
      <w:spacing w:before="80" w:after="80"/>
      <w:ind w:left="720"/>
    </w:pPr>
    <w:rPr>
      <w:spacing w:val="-10"/>
    </w:rPr>
  </w:style>
  <w:style w:type="character" w:customStyle="1" w:styleId="BlockQuotationChar">
    <w:name w:val="Block Quotation Char"/>
    <w:basedOn w:val="DefaultParagraphFont"/>
    <w:link w:val="BlockQuotation"/>
    <w:rsid w:val="00971A83"/>
    <w:rPr>
      <w:rFonts w:ascii="Verdana" w:hAnsi="Verdana"/>
      <w:spacing w:val="-10"/>
      <w:sz w:val="17"/>
      <w:lang w:val="en-US" w:eastAsia="en-US" w:bidi="ar-SA"/>
    </w:rPr>
  </w:style>
  <w:style w:type="character" w:styleId="FootnoteReference">
    <w:name w:val="footnote reference"/>
    <w:uiPriority w:val="99"/>
    <w:semiHidden/>
    <w:rsid w:val="00D31E17"/>
    <w:rPr>
      <w:vertAlign w:val="superscript"/>
    </w:rPr>
  </w:style>
  <w:style w:type="paragraph" w:styleId="FootnoteText">
    <w:name w:val="footnote text"/>
    <w:basedOn w:val="Normal"/>
    <w:link w:val="FootnoteTextChar"/>
    <w:uiPriority w:val="99"/>
    <w:semiHidden/>
    <w:rsid w:val="003F6759"/>
  </w:style>
  <w:style w:type="paragraph" w:styleId="Header">
    <w:name w:val="header"/>
    <w:basedOn w:val="Normal"/>
    <w:semiHidden/>
    <w:rsid w:val="00A745CA"/>
    <w:pPr>
      <w:tabs>
        <w:tab w:val="center" w:pos="4320"/>
        <w:tab w:val="right" w:pos="8640"/>
      </w:tabs>
    </w:pPr>
  </w:style>
  <w:style w:type="paragraph" w:styleId="Index1">
    <w:name w:val="index 1"/>
    <w:basedOn w:val="Normal"/>
    <w:autoRedefine/>
    <w:semiHidden/>
    <w:rsid w:val="003F6759"/>
  </w:style>
  <w:style w:type="paragraph" w:styleId="Index2">
    <w:name w:val="index 2"/>
    <w:basedOn w:val="Normal"/>
    <w:autoRedefine/>
    <w:semiHidden/>
    <w:rsid w:val="003F6759"/>
    <w:pPr>
      <w:ind w:left="720"/>
    </w:pPr>
  </w:style>
  <w:style w:type="paragraph" w:styleId="Index3">
    <w:name w:val="index 3"/>
    <w:basedOn w:val="Normal"/>
    <w:autoRedefine/>
    <w:semiHidden/>
    <w:rsid w:val="003F6759"/>
  </w:style>
  <w:style w:type="paragraph" w:styleId="Index4">
    <w:name w:val="index 4"/>
    <w:basedOn w:val="Normal"/>
    <w:autoRedefine/>
    <w:semiHidden/>
    <w:rsid w:val="003F6759"/>
    <w:pPr>
      <w:ind w:left="1440"/>
    </w:pPr>
  </w:style>
  <w:style w:type="paragraph" w:styleId="Index5">
    <w:name w:val="index 5"/>
    <w:basedOn w:val="Normal"/>
    <w:autoRedefine/>
    <w:semiHidden/>
    <w:rsid w:val="003F6759"/>
    <w:pPr>
      <w:ind w:left="1800"/>
    </w:pPr>
  </w:style>
  <w:style w:type="paragraph" w:styleId="IndexHeading">
    <w:name w:val="index heading"/>
    <w:basedOn w:val="Normal"/>
    <w:next w:val="Index1"/>
    <w:semiHidden/>
    <w:rsid w:val="003F6759"/>
    <w:pPr>
      <w:spacing w:line="480" w:lineRule="atLeast"/>
    </w:pPr>
    <w:rPr>
      <w:rFonts w:ascii="Arial Black" w:hAnsi="Arial Black"/>
      <w:sz w:val="24"/>
    </w:rPr>
  </w:style>
  <w:style w:type="paragraph" w:customStyle="1" w:styleId="TableCaption">
    <w:name w:val="Table Caption"/>
    <w:basedOn w:val="Normal"/>
    <w:semiHidden/>
    <w:rsid w:val="00AD5D62"/>
    <w:pPr>
      <w:spacing w:before="80" w:after="120"/>
      <w:ind w:left="360"/>
    </w:pPr>
    <w:rPr>
      <w:i/>
      <w:sz w:val="15"/>
    </w:rPr>
  </w:style>
  <w:style w:type="paragraph" w:customStyle="1" w:styleId="UtilComTableColumnHeading">
    <w:name w:val="UtilCom Table Column Heading"/>
    <w:basedOn w:val="Normal"/>
    <w:rsid w:val="002F053A"/>
    <w:rPr>
      <w:rFonts w:cs="Arial"/>
      <w:b/>
      <w:sz w:val="18"/>
      <w:szCs w:val="18"/>
    </w:rPr>
  </w:style>
  <w:style w:type="paragraph" w:customStyle="1" w:styleId="UtilComReportHeading">
    <w:name w:val="UtilCom Report Heading"/>
    <w:basedOn w:val="Normal"/>
    <w:link w:val="UtilComReportHeadingChar"/>
    <w:semiHidden/>
    <w:rsid w:val="00AE1D8B"/>
    <w:pPr>
      <w:spacing w:before="480"/>
      <w:ind w:left="1134"/>
    </w:pPr>
    <w:rPr>
      <w:rFonts w:cs="Arial"/>
      <w:b/>
      <w:caps/>
      <w:sz w:val="40"/>
      <w:szCs w:val="40"/>
    </w:rPr>
  </w:style>
  <w:style w:type="character" w:customStyle="1" w:styleId="UtilComReportHeadingChar">
    <w:name w:val="UtilCom Report Heading Char"/>
    <w:basedOn w:val="DefaultParagraphFont"/>
    <w:link w:val="UtilComReportHeading"/>
    <w:rsid w:val="00AE1D8B"/>
    <w:rPr>
      <w:rFonts w:ascii="Arial" w:hAnsi="Arial" w:cs="Arial"/>
      <w:b/>
      <w:caps/>
      <w:sz w:val="40"/>
      <w:szCs w:val="40"/>
      <w:lang w:val="en-US" w:eastAsia="en-US" w:bidi="ar-SA"/>
    </w:rPr>
  </w:style>
  <w:style w:type="character" w:customStyle="1" w:styleId="UtilComReferenceSourceChar">
    <w:name w:val="UtilCom Reference/Source Char"/>
    <w:link w:val="UtilComReferenceSource"/>
    <w:rsid w:val="00694B7B"/>
    <w:rPr>
      <w:rFonts w:ascii="Arial" w:hAnsi="Arial"/>
      <w:sz w:val="18"/>
      <w:szCs w:val="18"/>
      <w:lang w:val="en-US" w:eastAsia="en-US"/>
    </w:rPr>
  </w:style>
  <w:style w:type="paragraph" w:customStyle="1" w:styleId="UtilComReferenceSource">
    <w:name w:val="UtilCom Reference/Source"/>
    <w:link w:val="UtilComReferenceSourceChar"/>
    <w:rsid w:val="00CA5254"/>
    <w:pPr>
      <w:spacing w:before="60" w:after="120"/>
    </w:pPr>
    <w:rPr>
      <w:rFonts w:ascii="Arial" w:hAnsi="Arial"/>
      <w:sz w:val="18"/>
      <w:szCs w:val="18"/>
      <w:lang w:val="en-US" w:eastAsia="en-US"/>
    </w:rPr>
  </w:style>
  <w:style w:type="paragraph" w:customStyle="1" w:styleId="IndentedBodyText">
    <w:name w:val="Indented Body Text"/>
    <w:basedOn w:val="Normal"/>
    <w:link w:val="IndentedBodyTextChar"/>
    <w:semiHidden/>
    <w:rsid w:val="00CC5FB6"/>
    <w:pPr>
      <w:spacing w:after="80"/>
      <w:ind w:left="360"/>
    </w:pPr>
  </w:style>
  <w:style w:type="character" w:customStyle="1" w:styleId="IndentedBodyTextChar">
    <w:name w:val="Indented Body Text Char"/>
    <w:basedOn w:val="DefaultParagraphFont"/>
    <w:link w:val="IndentedBodyText"/>
    <w:rsid w:val="00CC5FB6"/>
    <w:rPr>
      <w:rFonts w:ascii="Verdana" w:hAnsi="Verdana"/>
      <w:sz w:val="17"/>
      <w:lang w:val="en-US" w:eastAsia="en-US" w:bidi="ar-SA"/>
    </w:rPr>
  </w:style>
  <w:style w:type="paragraph" w:customStyle="1" w:styleId="LineSpace">
    <w:name w:val="Line Space"/>
    <w:basedOn w:val="Normal"/>
    <w:semiHidden/>
    <w:rsid w:val="00CC5FB6"/>
    <w:pPr>
      <w:spacing w:line="240" w:lineRule="auto"/>
    </w:pPr>
    <w:rPr>
      <w:sz w:val="12"/>
    </w:rPr>
  </w:style>
  <w:style w:type="paragraph" w:styleId="BalloonText">
    <w:name w:val="Balloon Text"/>
    <w:basedOn w:val="Normal"/>
    <w:semiHidden/>
    <w:rsid w:val="00753D39"/>
    <w:rPr>
      <w:rFonts w:ascii="Tahoma" w:hAnsi="Tahoma" w:cs="Tahoma"/>
      <w:sz w:val="16"/>
      <w:szCs w:val="16"/>
    </w:rPr>
  </w:style>
  <w:style w:type="paragraph" w:customStyle="1" w:styleId="CompanyInformationBold">
    <w:name w:val="Company Information Bold"/>
    <w:basedOn w:val="CompanyInformation"/>
    <w:semiHidden/>
    <w:rsid w:val="0093137B"/>
    <w:rPr>
      <w:b/>
    </w:rPr>
  </w:style>
  <w:style w:type="paragraph" w:styleId="TableofAuthorities">
    <w:name w:val="table of authorities"/>
    <w:basedOn w:val="Normal"/>
    <w:semiHidden/>
    <w:rsid w:val="00D31E17"/>
    <w:pPr>
      <w:tabs>
        <w:tab w:val="right" w:leader="dot" w:pos="7560"/>
      </w:tabs>
      <w:ind w:left="1440" w:hanging="360"/>
    </w:pPr>
  </w:style>
  <w:style w:type="paragraph" w:styleId="TableofFigures">
    <w:name w:val="table of figures"/>
    <w:basedOn w:val="Normal"/>
    <w:semiHidden/>
    <w:rsid w:val="00720551"/>
    <w:pPr>
      <w:ind w:left="1440" w:hanging="360"/>
    </w:pPr>
  </w:style>
  <w:style w:type="paragraph" w:styleId="TOAHeading">
    <w:name w:val="toa heading"/>
    <w:basedOn w:val="Normal"/>
    <w:next w:val="TableofAuthorities"/>
    <w:semiHidden/>
    <w:rsid w:val="00D31E17"/>
    <w:pPr>
      <w:keepNext/>
      <w:spacing w:line="480" w:lineRule="atLeast"/>
    </w:pPr>
    <w:rPr>
      <w:rFonts w:ascii="Arial Black" w:hAnsi="Arial Black"/>
      <w:b/>
      <w:spacing w:val="-10"/>
      <w:kern w:val="28"/>
    </w:rPr>
  </w:style>
  <w:style w:type="paragraph" w:styleId="TOC1">
    <w:name w:val="toc 1"/>
    <w:basedOn w:val="Normal"/>
    <w:autoRedefine/>
    <w:uiPriority w:val="39"/>
    <w:rsid w:val="00B235F7"/>
    <w:rPr>
      <w:b/>
      <w:spacing w:val="-4"/>
    </w:rPr>
  </w:style>
  <w:style w:type="paragraph" w:styleId="TOC2">
    <w:name w:val="toc 2"/>
    <w:basedOn w:val="Normal"/>
    <w:autoRedefine/>
    <w:uiPriority w:val="39"/>
    <w:rsid w:val="0015679A"/>
    <w:pPr>
      <w:tabs>
        <w:tab w:val="right" w:leader="dot" w:pos="9062"/>
      </w:tabs>
    </w:pPr>
    <w:rPr>
      <w:sz w:val="18"/>
      <w:szCs w:val="18"/>
    </w:rPr>
  </w:style>
  <w:style w:type="paragraph" w:styleId="TOC3">
    <w:name w:val="toc 3"/>
    <w:basedOn w:val="Normal"/>
    <w:autoRedefine/>
    <w:uiPriority w:val="39"/>
    <w:rsid w:val="001F5DEB"/>
    <w:pPr>
      <w:tabs>
        <w:tab w:val="left" w:pos="1418"/>
        <w:tab w:val="right" w:leader="dot" w:pos="9062"/>
      </w:tabs>
      <w:ind w:left="426"/>
    </w:pPr>
    <w:rPr>
      <w:i/>
      <w:sz w:val="18"/>
    </w:rPr>
  </w:style>
  <w:style w:type="paragraph" w:styleId="TOC4">
    <w:name w:val="toc 4"/>
    <w:basedOn w:val="Normal"/>
    <w:autoRedefine/>
    <w:uiPriority w:val="39"/>
    <w:rsid w:val="0011295E"/>
    <w:pPr>
      <w:tabs>
        <w:tab w:val="left" w:pos="1200"/>
        <w:tab w:val="right" w:leader="dot" w:pos="9062"/>
      </w:tabs>
      <w:ind w:left="709"/>
    </w:pPr>
    <w:rPr>
      <w:noProof/>
      <w:sz w:val="18"/>
      <w:szCs w:val="18"/>
    </w:rPr>
  </w:style>
  <w:style w:type="paragraph" w:styleId="TOC5">
    <w:name w:val="toc 5"/>
    <w:basedOn w:val="Normal"/>
    <w:autoRedefine/>
    <w:uiPriority w:val="39"/>
    <w:rsid w:val="00720551"/>
    <w:pPr>
      <w:ind w:left="360"/>
    </w:pPr>
  </w:style>
  <w:style w:type="paragraph" w:customStyle="1" w:styleId="ChapterBold">
    <w:name w:val="Chapter Bold"/>
    <w:basedOn w:val="Normal"/>
    <w:semiHidden/>
    <w:rsid w:val="00781B15"/>
    <w:pPr>
      <w:spacing w:before="960" w:after="240" w:line="400" w:lineRule="atLeast"/>
    </w:pPr>
    <w:rPr>
      <w:b/>
      <w:caps/>
      <w:color w:val="808080"/>
      <w:sz w:val="36"/>
      <w:szCs w:val="36"/>
    </w:rPr>
  </w:style>
  <w:style w:type="paragraph" w:customStyle="1" w:styleId="CompanyInformationItalic">
    <w:name w:val="Company Information Italic"/>
    <w:basedOn w:val="CompanyInformation"/>
    <w:link w:val="CompanyInformationItalicChar"/>
    <w:semiHidden/>
    <w:rsid w:val="002D2F24"/>
    <w:rPr>
      <w:i/>
    </w:rPr>
  </w:style>
  <w:style w:type="character" w:customStyle="1" w:styleId="CompanyInformationItalicChar">
    <w:name w:val="Company Information Italic Char"/>
    <w:basedOn w:val="CompanyInformationChar"/>
    <w:link w:val="CompanyInformationItalic"/>
    <w:rsid w:val="002D2F24"/>
    <w:rPr>
      <w:rFonts w:ascii="Verdana" w:hAnsi="Verdana"/>
      <w:i/>
      <w:color w:val="808080"/>
      <w:sz w:val="15"/>
      <w:lang w:val="en-US" w:eastAsia="en-US" w:bidi="ar-SA"/>
    </w:rPr>
  </w:style>
  <w:style w:type="paragraph" w:styleId="Footer">
    <w:name w:val="footer"/>
    <w:basedOn w:val="Normal"/>
    <w:semiHidden/>
    <w:rsid w:val="00EA0992"/>
    <w:pPr>
      <w:tabs>
        <w:tab w:val="center" w:pos="4320"/>
        <w:tab w:val="right" w:pos="8640"/>
      </w:tabs>
    </w:pPr>
    <w:rPr>
      <w:sz w:val="18"/>
    </w:rPr>
  </w:style>
  <w:style w:type="paragraph" w:customStyle="1" w:styleId="BulletedListBold">
    <w:name w:val="Bulleted List Bold"/>
    <w:basedOn w:val="BulletedList"/>
    <w:link w:val="BulletedListBoldChar"/>
    <w:semiHidden/>
    <w:rsid w:val="00971A83"/>
    <w:rPr>
      <w:b/>
      <w:bCs/>
    </w:rPr>
  </w:style>
  <w:style w:type="character" w:customStyle="1" w:styleId="BulletedListBoldChar">
    <w:name w:val="Bulleted List Bold Char"/>
    <w:basedOn w:val="BulletedListChar"/>
    <w:link w:val="BulletedListBold"/>
    <w:semiHidden/>
    <w:rsid w:val="00971A83"/>
    <w:rPr>
      <w:rFonts w:ascii="Arial" w:hAnsi="Arial"/>
      <w:b/>
      <w:bCs/>
      <w:sz w:val="22"/>
      <w:lang w:val="en-US" w:eastAsia="en-US"/>
    </w:rPr>
  </w:style>
  <w:style w:type="paragraph" w:customStyle="1" w:styleId="NumberedListBold">
    <w:name w:val="Numbered List Bold"/>
    <w:basedOn w:val="NumberedList"/>
    <w:link w:val="NumberedListBoldChar"/>
    <w:semiHidden/>
    <w:rsid w:val="00971A83"/>
    <w:rPr>
      <w:b/>
      <w:bCs/>
    </w:rPr>
  </w:style>
  <w:style w:type="character" w:customStyle="1" w:styleId="NumberedListBoldChar">
    <w:name w:val="Numbered List Bold Char"/>
    <w:basedOn w:val="NumberedListCharChar"/>
    <w:link w:val="NumberedListBold"/>
    <w:rsid w:val="00971A83"/>
    <w:rPr>
      <w:rFonts w:ascii="Arial" w:hAnsi="Arial"/>
      <w:b/>
      <w:bCs/>
      <w:sz w:val="22"/>
      <w:lang w:val="en-US" w:eastAsia="en-US" w:bidi="ar-SA"/>
    </w:rPr>
  </w:style>
  <w:style w:type="character" w:customStyle="1" w:styleId="Lead-inEmphasis">
    <w:name w:val="Lead-in Emphasis"/>
    <w:semiHidden/>
    <w:rsid w:val="00E75ABB"/>
    <w:rPr>
      <w:rFonts w:ascii="Tahoma" w:hAnsi="Tahoma"/>
      <w:b/>
      <w:spacing w:val="4"/>
      <w:kern w:val="0"/>
    </w:rPr>
  </w:style>
  <w:style w:type="paragraph" w:customStyle="1" w:styleId="NumberedText">
    <w:name w:val="NumberedText"/>
    <w:basedOn w:val="Normal"/>
    <w:semiHidden/>
    <w:rsid w:val="00CD0BDF"/>
    <w:pPr>
      <w:tabs>
        <w:tab w:val="left" w:pos="720"/>
      </w:tabs>
      <w:spacing w:before="180" w:line="240" w:lineRule="auto"/>
      <w:ind w:left="431"/>
      <w:jc w:val="both"/>
    </w:pPr>
    <w:rPr>
      <w:sz w:val="20"/>
    </w:rPr>
  </w:style>
  <w:style w:type="paragraph" w:customStyle="1" w:styleId="UtilComHeaderInfo">
    <w:name w:val="UtilCom Header Info"/>
    <w:semiHidden/>
    <w:rsid w:val="00CD0BDF"/>
    <w:pPr>
      <w:spacing w:line="240" w:lineRule="exact"/>
      <w:jc w:val="right"/>
    </w:pPr>
    <w:rPr>
      <w:rFonts w:ascii="Arial" w:hAnsi="Arial"/>
      <w:sz w:val="18"/>
      <w:szCs w:val="18"/>
    </w:rPr>
  </w:style>
  <w:style w:type="paragraph" w:customStyle="1" w:styleId="UtilComAddressInfo">
    <w:name w:val="UtilCom Address Info"/>
    <w:semiHidden/>
    <w:rsid w:val="00CD0BDF"/>
    <w:pPr>
      <w:spacing w:line="240" w:lineRule="exact"/>
      <w:jc w:val="right"/>
    </w:pPr>
    <w:rPr>
      <w:rFonts w:ascii="Arial" w:hAnsi="Arial"/>
      <w:sz w:val="18"/>
      <w:szCs w:val="18"/>
    </w:rPr>
  </w:style>
  <w:style w:type="paragraph" w:customStyle="1" w:styleId="UtilComDate">
    <w:name w:val="UtilCom Date"/>
    <w:basedOn w:val="Normal"/>
    <w:semiHidden/>
    <w:rsid w:val="00AE1D8B"/>
    <w:pPr>
      <w:spacing w:before="480"/>
    </w:pPr>
    <w:rPr>
      <w:rFonts w:cs="Arial"/>
      <w:i/>
      <w:sz w:val="24"/>
    </w:rPr>
  </w:style>
  <w:style w:type="paragraph" w:customStyle="1" w:styleId="Heading11">
    <w:name w:val="Heading 11"/>
    <w:basedOn w:val="Normal"/>
    <w:semiHidden/>
    <w:rsid w:val="006E3A87"/>
    <w:pPr>
      <w:spacing w:before="240" w:line="240" w:lineRule="auto"/>
    </w:pPr>
    <w:rPr>
      <w:b/>
      <w:sz w:val="28"/>
      <w:lang w:val="en-AU"/>
    </w:rPr>
  </w:style>
  <w:style w:type="character" w:styleId="Hyperlink">
    <w:name w:val="Hyperlink"/>
    <w:basedOn w:val="DefaultParagraphFont"/>
    <w:uiPriority w:val="99"/>
    <w:rsid w:val="00EA0992"/>
    <w:rPr>
      <w:color w:val="0000FF"/>
      <w:u w:val="single"/>
    </w:rPr>
  </w:style>
  <w:style w:type="paragraph" w:customStyle="1" w:styleId="NormalText">
    <w:name w:val="NormalText"/>
    <w:basedOn w:val="Normal"/>
    <w:semiHidden/>
    <w:rsid w:val="00EA0992"/>
    <w:pPr>
      <w:spacing w:before="240" w:line="240" w:lineRule="auto"/>
      <w:jc w:val="both"/>
    </w:pPr>
    <w:rPr>
      <w:sz w:val="20"/>
      <w:lang w:val="en-AU"/>
    </w:rPr>
  </w:style>
  <w:style w:type="paragraph" w:customStyle="1" w:styleId="UtilComChapterHeading">
    <w:name w:val="UtilCom Chapter Heading"/>
    <w:basedOn w:val="UtilComHeading2"/>
    <w:next w:val="TOC1"/>
    <w:link w:val="UtilComChapterHeadingChar"/>
    <w:semiHidden/>
    <w:rsid w:val="00457A43"/>
    <w:rPr>
      <w:sz w:val="32"/>
      <w:szCs w:val="28"/>
    </w:rPr>
  </w:style>
  <w:style w:type="paragraph" w:customStyle="1" w:styleId="UtilComHeading2">
    <w:name w:val="UtilCom Heading 2"/>
    <w:basedOn w:val="Heading2"/>
    <w:next w:val="TOC2"/>
    <w:link w:val="UtilComHeading2Char"/>
    <w:rsid w:val="00A755D2"/>
    <w:pPr>
      <w:spacing w:before="240" w:after="120" w:line="360" w:lineRule="exact"/>
    </w:pPr>
    <w:rPr>
      <w:sz w:val="28"/>
    </w:rPr>
  </w:style>
  <w:style w:type="character" w:customStyle="1" w:styleId="UtilComHeading2Char">
    <w:name w:val="UtilCom Heading 2 Char"/>
    <w:basedOn w:val="Heading2Char"/>
    <w:link w:val="UtilComHeading2"/>
    <w:rsid w:val="00A755D2"/>
    <w:rPr>
      <w:rFonts w:ascii="Arial" w:hAnsi="Arial"/>
      <w:b/>
      <w:sz w:val="28"/>
      <w:lang w:val="en-US" w:eastAsia="en-US"/>
    </w:rPr>
  </w:style>
  <w:style w:type="character" w:customStyle="1" w:styleId="UtilComChapterHeadingChar">
    <w:name w:val="UtilCom Chapter Heading Char"/>
    <w:basedOn w:val="UtilComHeading2Char"/>
    <w:link w:val="UtilComChapterHeading"/>
    <w:rsid w:val="00457A43"/>
    <w:rPr>
      <w:rFonts w:ascii="Arial" w:hAnsi="Arial"/>
      <w:b/>
      <w:sz w:val="32"/>
      <w:szCs w:val="28"/>
      <w:lang w:val="en-US" w:eastAsia="en-US"/>
    </w:rPr>
  </w:style>
  <w:style w:type="paragraph" w:customStyle="1" w:styleId="UtilComBodyText">
    <w:name w:val="UtilCom Body Text"/>
    <w:basedOn w:val="Normal"/>
    <w:rsid w:val="00FE79B4"/>
    <w:rPr>
      <w:rFonts w:cs="Arial"/>
      <w:szCs w:val="22"/>
    </w:rPr>
  </w:style>
  <w:style w:type="paragraph" w:customStyle="1" w:styleId="UtilComNumberedText">
    <w:name w:val="UtilCom Numbered Text"/>
    <w:basedOn w:val="Normal"/>
    <w:semiHidden/>
    <w:rsid w:val="00D17B03"/>
    <w:pPr>
      <w:tabs>
        <w:tab w:val="num" w:pos="522"/>
        <w:tab w:val="left" w:pos="993"/>
      </w:tabs>
      <w:spacing w:line="240" w:lineRule="auto"/>
      <w:ind w:left="522" w:hanging="450"/>
    </w:pPr>
    <w:rPr>
      <w:rFonts w:cs="Arial"/>
      <w:szCs w:val="22"/>
    </w:rPr>
  </w:style>
  <w:style w:type="paragraph" w:customStyle="1" w:styleId="UtilComBulletText">
    <w:name w:val="UtilCom Bullet Text"/>
    <w:basedOn w:val="Normal"/>
    <w:link w:val="UtilComBulletTextCharChar"/>
    <w:rsid w:val="00F8644E"/>
    <w:pPr>
      <w:numPr>
        <w:numId w:val="3"/>
      </w:numPr>
      <w:tabs>
        <w:tab w:val="left" w:pos="1134"/>
      </w:tabs>
      <w:spacing w:line="240" w:lineRule="auto"/>
    </w:pPr>
    <w:rPr>
      <w:rFonts w:cs="Arial"/>
      <w:szCs w:val="22"/>
    </w:rPr>
  </w:style>
  <w:style w:type="character" w:customStyle="1" w:styleId="UtilComBulletTextCharChar">
    <w:name w:val="UtilCom Bullet Text Char Char"/>
    <w:link w:val="UtilComBulletText"/>
    <w:locked/>
    <w:rsid w:val="00547327"/>
    <w:rPr>
      <w:rFonts w:ascii="Arial" w:hAnsi="Arial" w:cs="Arial"/>
      <w:sz w:val="22"/>
      <w:szCs w:val="22"/>
      <w:lang w:val="en-US" w:eastAsia="en-US"/>
    </w:rPr>
  </w:style>
  <w:style w:type="paragraph" w:customStyle="1" w:styleId="UtilComHeading3">
    <w:name w:val="UtilCom Heading 3"/>
    <w:basedOn w:val="Heading3"/>
    <w:next w:val="TOC3"/>
    <w:rsid w:val="00127A28"/>
    <w:rPr>
      <w:szCs w:val="24"/>
    </w:rPr>
  </w:style>
  <w:style w:type="paragraph" w:styleId="TOC9">
    <w:name w:val="toc 9"/>
    <w:basedOn w:val="Normal"/>
    <w:next w:val="Normal"/>
    <w:autoRedefine/>
    <w:uiPriority w:val="39"/>
    <w:rsid w:val="004C0CB0"/>
    <w:pPr>
      <w:ind w:left="1760"/>
    </w:pPr>
  </w:style>
  <w:style w:type="paragraph" w:customStyle="1" w:styleId="UtilComNumberItem2">
    <w:name w:val="UtilCom Number Item 2"/>
    <w:basedOn w:val="Normal"/>
    <w:semiHidden/>
    <w:rsid w:val="00A8381B"/>
    <w:pPr>
      <w:tabs>
        <w:tab w:val="num" w:pos="690"/>
      </w:tabs>
      <w:ind w:left="690" w:hanging="450"/>
    </w:pPr>
  </w:style>
  <w:style w:type="paragraph" w:customStyle="1" w:styleId="UtilComTabletext">
    <w:name w:val="UtilCom Table text"/>
    <w:basedOn w:val="Normal"/>
    <w:link w:val="UtilComTabletextChar"/>
    <w:rsid w:val="002F053A"/>
    <w:rPr>
      <w:rFonts w:cs="Arial"/>
      <w:sz w:val="18"/>
      <w:szCs w:val="18"/>
    </w:rPr>
  </w:style>
  <w:style w:type="character" w:customStyle="1" w:styleId="UtilComTabletextChar">
    <w:name w:val="UtilCom Table text Char"/>
    <w:link w:val="UtilComTabletext"/>
    <w:rsid w:val="002755ED"/>
    <w:rPr>
      <w:rFonts w:ascii="Arial" w:hAnsi="Arial" w:cs="Arial"/>
      <w:sz w:val="18"/>
      <w:szCs w:val="18"/>
      <w:lang w:val="en-US" w:eastAsia="en-US"/>
    </w:rPr>
  </w:style>
  <w:style w:type="paragraph" w:customStyle="1" w:styleId="UtilComTableNumbers">
    <w:name w:val="UtilCom Table Numbers"/>
    <w:basedOn w:val="Normal"/>
    <w:rsid w:val="002F053A"/>
    <w:pPr>
      <w:jc w:val="right"/>
    </w:pPr>
    <w:rPr>
      <w:rFonts w:cs="Arial"/>
      <w:sz w:val="18"/>
      <w:szCs w:val="18"/>
    </w:rPr>
  </w:style>
  <w:style w:type="paragraph" w:customStyle="1" w:styleId="UtilComNumbered">
    <w:name w:val="UtilCom Numbered"/>
    <w:basedOn w:val="UtilComNumberItem2"/>
    <w:semiHidden/>
    <w:rsid w:val="001D21E9"/>
    <w:pPr>
      <w:tabs>
        <w:tab w:val="clear" w:pos="690"/>
      </w:tabs>
      <w:ind w:left="0" w:firstLine="0"/>
    </w:pPr>
  </w:style>
  <w:style w:type="paragraph" w:customStyle="1" w:styleId="31UtilComNumber">
    <w:name w:val="3.1 UtilCom Number"/>
    <w:basedOn w:val="UtilComNumberItem2"/>
    <w:semiHidden/>
    <w:rsid w:val="000B21F0"/>
    <w:pPr>
      <w:tabs>
        <w:tab w:val="clear" w:pos="690"/>
        <w:tab w:val="num" w:pos="450"/>
      </w:tabs>
      <w:ind w:left="450"/>
    </w:pPr>
  </w:style>
  <w:style w:type="paragraph" w:customStyle="1" w:styleId="AppendixHeading">
    <w:name w:val="Appendix Heading"/>
    <w:basedOn w:val="ChapterBold"/>
    <w:rsid w:val="00A554E9"/>
    <w:pPr>
      <w:jc w:val="right"/>
      <w:outlineLvl w:val="0"/>
    </w:pPr>
  </w:style>
  <w:style w:type="paragraph" w:customStyle="1" w:styleId="NumberLevel1">
    <w:name w:val="Number Level 1"/>
    <w:basedOn w:val="Normal"/>
    <w:rsid w:val="00BA0D8C"/>
    <w:pPr>
      <w:tabs>
        <w:tab w:val="num" w:pos="432"/>
      </w:tabs>
      <w:spacing w:before="960" w:after="240" w:line="400" w:lineRule="exact"/>
      <w:ind w:left="431" w:hanging="431"/>
    </w:pPr>
    <w:rPr>
      <w:b/>
      <w:caps/>
      <w:color w:val="808080"/>
      <w:sz w:val="36"/>
    </w:rPr>
  </w:style>
  <w:style w:type="paragraph" w:customStyle="1" w:styleId="NumberLevel2">
    <w:name w:val="Number Level 2"/>
    <w:basedOn w:val="Normal"/>
    <w:next w:val="Normal"/>
    <w:link w:val="NumberLevel2CharChar"/>
    <w:rsid w:val="00A041E2"/>
    <w:pPr>
      <w:tabs>
        <w:tab w:val="num" w:pos="576"/>
      </w:tabs>
      <w:ind w:left="576" w:hanging="576"/>
      <w:outlineLvl w:val="3"/>
    </w:pPr>
  </w:style>
  <w:style w:type="character" w:customStyle="1" w:styleId="NumberLevel2CharChar">
    <w:name w:val="Number Level 2 Char Char"/>
    <w:link w:val="NumberLevel2"/>
    <w:rsid w:val="00D32DF2"/>
    <w:rPr>
      <w:rFonts w:ascii="Arial" w:hAnsi="Arial"/>
      <w:sz w:val="22"/>
      <w:lang w:val="en-US" w:eastAsia="en-US"/>
    </w:rPr>
  </w:style>
  <w:style w:type="paragraph" w:customStyle="1" w:styleId="NumberLevel3">
    <w:name w:val="Number Level 3"/>
    <w:basedOn w:val="NumberLevel2"/>
    <w:rsid w:val="00BA0D8C"/>
    <w:pPr>
      <w:tabs>
        <w:tab w:val="clear" w:pos="576"/>
        <w:tab w:val="num" w:pos="720"/>
      </w:tabs>
      <w:ind w:left="720" w:hanging="720"/>
    </w:pPr>
  </w:style>
  <w:style w:type="paragraph" w:customStyle="1" w:styleId="UtilComLetterNumbering">
    <w:name w:val="UtilCom Letter Numbering"/>
    <w:basedOn w:val="Normal"/>
    <w:rsid w:val="00F8644E"/>
  </w:style>
  <w:style w:type="paragraph" w:customStyle="1" w:styleId="UtilComHeading4">
    <w:name w:val="UtilCom Heading 4"/>
    <w:basedOn w:val="TOC4"/>
    <w:next w:val="TOC4"/>
    <w:rsid w:val="00FE79B4"/>
    <w:pPr>
      <w:tabs>
        <w:tab w:val="clear" w:pos="1200"/>
        <w:tab w:val="clear" w:pos="9062"/>
      </w:tabs>
      <w:spacing w:after="0" w:line="312" w:lineRule="auto"/>
      <w:ind w:left="0"/>
      <w:outlineLvl w:val="3"/>
    </w:pPr>
    <w:rPr>
      <w:i/>
      <w:noProof w:val="0"/>
      <w:sz w:val="22"/>
      <w:szCs w:val="22"/>
    </w:rPr>
  </w:style>
  <w:style w:type="paragraph" w:customStyle="1" w:styleId="UtilComQuotationText">
    <w:name w:val="UtilCom Quotation Text"/>
    <w:basedOn w:val="BlockQuotation"/>
    <w:rsid w:val="00517B51"/>
    <w:pPr>
      <w:spacing w:line="312" w:lineRule="auto"/>
      <w:ind w:left="567"/>
    </w:pPr>
    <w:rPr>
      <w:i/>
      <w:spacing w:val="0"/>
      <w:sz w:val="20"/>
    </w:rPr>
  </w:style>
  <w:style w:type="paragraph" w:customStyle="1" w:styleId="UtilComTableTitle">
    <w:name w:val="UtilCom Table Title"/>
    <w:basedOn w:val="UtilComBodyText"/>
    <w:link w:val="UtilComTableTitleChar"/>
    <w:rsid w:val="002755ED"/>
    <w:pPr>
      <w:spacing w:after="120" w:line="320" w:lineRule="exact"/>
    </w:pPr>
    <w:rPr>
      <w:spacing w:val="-14"/>
      <w:lang w:val="en-AU"/>
    </w:rPr>
  </w:style>
  <w:style w:type="character" w:customStyle="1" w:styleId="UtilComTableTitleChar">
    <w:name w:val="UtilCom Table Title Char"/>
    <w:link w:val="UtilComTableTitle"/>
    <w:rsid w:val="002755ED"/>
    <w:rPr>
      <w:rFonts w:ascii="Arial" w:hAnsi="Arial" w:cs="Arial"/>
      <w:spacing w:val="-14"/>
      <w:sz w:val="22"/>
      <w:szCs w:val="22"/>
      <w:lang w:eastAsia="en-US"/>
    </w:rPr>
  </w:style>
  <w:style w:type="paragraph" w:styleId="TOC6">
    <w:name w:val="toc 6"/>
    <w:basedOn w:val="Normal"/>
    <w:next w:val="Normal"/>
    <w:autoRedefine/>
    <w:uiPriority w:val="39"/>
    <w:unhideWhenUsed/>
    <w:rsid w:val="00815A91"/>
    <w:pPr>
      <w:spacing w:before="0" w:after="100" w:line="276" w:lineRule="auto"/>
      <w:ind w:left="1100"/>
    </w:pPr>
    <w:rPr>
      <w:rFonts w:asciiTheme="minorHAnsi" w:eastAsiaTheme="minorEastAsia" w:hAnsiTheme="minorHAnsi" w:cstheme="minorBidi"/>
      <w:szCs w:val="22"/>
      <w:lang w:val="en-AU" w:eastAsia="en-AU"/>
    </w:rPr>
  </w:style>
  <w:style w:type="paragraph" w:styleId="TOC7">
    <w:name w:val="toc 7"/>
    <w:basedOn w:val="Normal"/>
    <w:next w:val="Normal"/>
    <w:autoRedefine/>
    <w:uiPriority w:val="39"/>
    <w:unhideWhenUsed/>
    <w:rsid w:val="00815A91"/>
    <w:pPr>
      <w:spacing w:before="0" w:after="100" w:line="276" w:lineRule="auto"/>
      <w:ind w:left="1320"/>
    </w:pPr>
    <w:rPr>
      <w:rFonts w:asciiTheme="minorHAnsi" w:eastAsiaTheme="minorEastAsia" w:hAnsiTheme="minorHAnsi" w:cstheme="minorBidi"/>
      <w:szCs w:val="22"/>
      <w:lang w:val="en-AU" w:eastAsia="en-AU"/>
    </w:rPr>
  </w:style>
  <w:style w:type="paragraph" w:styleId="TOC8">
    <w:name w:val="toc 8"/>
    <w:basedOn w:val="Normal"/>
    <w:next w:val="Normal"/>
    <w:autoRedefine/>
    <w:uiPriority w:val="39"/>
    <w:unhideWhenUsed/>
    <w:rsid w:val="00815A91"/>
    <w:pPr>
      <w:spacing w:before="0" w:after="100" w:line="276" w:lineRule="auto"/>
      <w:ind w:left="1540"/>
    </w:pPr>
    <w:rPr>
      <w:rFonts w:asciiTheme="minorHAnsi" w:eastAsiaTheme="minorEastAsia" w:hAnsiTheme="minorHAnsi" w:cstheme="minorBidi"/>
      <w:szCs w:val="22"/>
      <w:lang w:val="en-AU" w:eastAsia="en-AU"/>
    </w:rPr>
  </w:style>
  <w:style w:type="paragraph" w:styleId="ListParagraph">
    <w:name w:val="List Paragraph"/>
    <w:basedOn w:val="Normal"/>
    <w:uiPriority w:val="34"/>
    <w:qFormat/>
    <w:rsid w:val="00D0770A"/>
    <w:pPr>
      <w:ind w:left="720"/>
      <w:contextualSpacing/>
    </w:pPr>
  </w:style>
  <w:style w:type="numbering" w:customStyle="1" w:styleId="Style1">
    <w:name w:val="Style1"/>
    <w:uiPriority w:val="99"/>
    <w:rsid w:val="00011BC3"/>
    <w:pPr>
      <w:numPr>
        <w:numId w:val="7"/>
      </w:numPr>
    </w:pPr>
  </w:style>
  <w:style w:type="paragraph" w:customStyle="1" w:styleId="nonumber">
    <w:name w:val="no number"/>
    <w:link w:val="nonumberChar"/>
    <w:rsid w:val="007C4616"/>
    <w:pPr>
      <w:spacing w:before="120"/>
      <w:ind w:left="425"/>
      <w:jc w:val="both"/>
    </w:pPr>
    <w:rPr>
      <w:rFonts w:ascii="Bookman Old Style" w:hAnsi="Bookman Old Style"/>
      <w:noProof/>
      <w:lang w:eastAsia="en-US"/>
    </w:rPr>
  </w:style>
  <w:style w:type="paragraph" w:customStyle="1" w:styleId="Char2CharCharChar">
    <w:name w:val="Char2 Char Char Char"/>
    <w:basedOn w:val="Normal"/>
    <w:rsid w:val="007C4616"/>
    <w:pPr>
      <w:spacing w:before="0" w:after="160" w:line="240" w:lineRule="exact"/>
    </w:pPr>
    <w:rPr>
      <w:rFonts w:ascii="Verdana" w:hAnsi="Verdana"/>
      <w:sz w:val="20"/>
      <w:szCs w:val="24"/>
    </w:rPr>
  </w:style>
  <w:style w:type="character" w:customStyle="1" w:styleId="nonumberChar">
    <w:name w:val="no number Char"/>
    <w:basedOn w:val="DefaultParagraphFont"/>
    <w:link w:val="nonumber"/>
    <w:rsid w:val="007C4616"/>
    <w:rPr>
      <w:rFonts w:ascii="Bookman Old Style" w:hAnsi="Bookman Old Style"/>
      <w:noProof/>
      <w:lang w:eastAsia="en-US"/>
    </w:rPr>
  </w:style>
  <w:style w:type="paragraph" w:customStyle="1" w:styleId="UtilComNumbersIssues">
    <w:name w:val="UtilCom Numbers (Issues)"/>
    <w:basedOn w:val="Normal"/>
    <w:link w:val="UtilComNumbersIssuesChar"/>
    <w:rsid w:val="001F49B3"/>
    <w:pPr>
      <w:spacing w:before="0" w:after="120" w:line="300" w:lineRule="atLeast"/>
    </w:pPr>
    <w:rPr>
      <w:szCs w:val="22"/>
    </w:rPr>
  </w:style>
  <w:style w:type="character" w:customStyle="1" w:styleId="UtilComNumbersIssuesChar">
    <w:name w:val="UtilCom Numbers (Issues) Char"/>
    <w:link w:val="UtilComNumbersIssues"/>
    <w:rsid w:val="001F49B3"/>
    <w:rPr>
      <w:rFonts w:ascii="Arial" w:hAnsi="Arial"/>
      <w:sz w:val="22"/>
      <w:szCs w:val="22"/>
      <w:lang w:val="en-US" w:eastAsia="en-US"/>
    </w:rPr>
  </w:style>
  <w:style w:type="table" w:styleId="TableGrid">
    <w:name w:val="Table Grid"/>
    <w:basedOn w:val="TableNormal"/>
    <w:rsid w:val="00F63D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aliases w:val="b,block,bt,Body text,t1,taten_body,body text,Body Text 1,NoticeText-List,body,B,Body"/>
    <w:basedOn w:val="Normal"/>
    <w:link w:val="BodyTextChar"/>
    <w:rsid w:val="00BE238D"/>
    <w:pPr>
      <w:spacing w:before="0" w:after="0" w:line="240" w:lineRule="auto"/>
      <w:jc w:val="both"/>
    </w:pPr>
    <w:rPr>
      <w:rFonts w:ascii="Bookman Old Style" w:hAnsi="Bookman Old Style"/>
      <w:color w:val="808080"/>
      <w:sz w:val="20"/>
      <w:lang w:val="en-AU"/>
    </w:rPr>
  </w:style>
  <w:style w:type="character" w:customStyle="1" w:styleId="BodyTextChar">
    <w:name w:val="Body Text Char"/>
    <w:aliases w:val="b Char,block Char,bt Char,Body text Char,t1 Char,taten_body Char,body text Char,Body Text 1 Char,NoticeText-List Char,body Char,B Char,Body Char"/>
    <w:basedOn w:val="DefaultParagraphFont"/>
    <w:link w:val="BodyText"/>
    <w:rsid w:val="00BE238D"/>
    <w:rPr>
      <w:rFonts w:ascii="Bookman Old Style" w:hAnsi="Bookman Old Style"/>
      <w:color w:val="808080"/>
      <w:lang w:eastAsia="en-US"/>
    </w:rPr>
  </w:style>
  <w:style w:type="character" w:styleId="PlaceholderText">
    <w:name w:val="Placeholder Text"/>
    <w:basedOn w:val="DefaultParagraphFont"/>
    <w:uiPriority w:val="99"/>
    <w:semiHidden/>
    <w:rsid w:val="009F1A71"/>
    <w:rPr>
      <w:color w:val="808080"/>
    </w:rPr>
  </w:style>
  <w:style w:type="character" w:customStyle="1" w:styleId="FootnoteTextChar">
    <w:name w:val="Footnote Text Char"/>
    <w:basedOn w:val="DefaultParagraphFont"/>
    <w:link w:val="FootnoteText"/>
    <w:uiPriority w:val="99"/>
    <w:semiHidden/>
    <w:rsid w:val="004D1382"/>
    <w:rPr>
      <w:rFonts w:ascii="Arial" w:hAnsi="Arial"/>
      <w:sz w:val="22"/>
      <w:lang w:val="en-US" w:eastAsia="en-US"/>
    </w:rPr>
  </w:style>
  <w:style w:type="paragraph" w:customStyle="1" w:styleId="Default">
    <w:name w:val="Default"/>
    <w:rsid w:val="00F33BD0"/>
    <w:pPr>
      <w:autoSpaceDE w:val="0"/>
      <w:autoSpaceDN w:val="0"/>
      <w:adjustRightInd w:val="0"/>
    </w:pPr>
    <w:rPr>
      <w:rFonts w:ascii="Arial" w:hAnsi="Arial" w:cs="Arial"/>
      <w:color w:val="000000"/>
      <w:sz w:val="24"/>
      <w:szCs w:val="24"/>
    </w:rPr>
  </w:style>
  <w:style w:type="character" w:customStyle="1" w:styleId="A7">
    <w:name w:val="A7"/>
    <w:uiPriority w:val="99"/>
    <w:rsid w:val="00D5726A"/>
    <w:rPr>
      <w:rFonts w:cs="Arial MT Std Light"/>
      <w:color w:val="000000"/>
      <w:sz w:val="21"/>
      <w:szCs w:val="21"/>
    </w:rPr>
  </w:style>
  <w:style w:type="character" w:customStyle="1" w:styleId="A10">
    <w:name w:val="A10"/>
    <w:uiPriority w:val="99"/>
    <w:rsid w:val="00672008"/>
    <w:rPr>
      <w:rFonts w:cs="Arial MT Std Light"/>
      <w:color w:val="000000"/>
      <w:sz w:val="11"/>
      <w:szCs w:val="11"/>
    </w:rPr>
  </w:style>
  <w:style w:type="paragraph" w:styleId="CommentSubject">
    <w:name w:val="annotation subject"/>
    <w:basedOn w:val="CommentText"/>
    <w:next w:val="CommentText"/>
    <w:link w:val="CommentSubjectChar"/>
    <w:semiHidden/>
    <w:unhideWhenUsed/>
    <w:rsid w:val="00C5416D"/>
    <w:pPr>
      <w:spacing w:line="240" w:lineRule="auto"/>
    </w:pPr>
    <w:rPr>
      <w:b/>
      <w:bCs/>
      <w:sz w:val="20"/>
    </w:rPr>
  </w:style>
  <w:style w:type="character" w:customStyle="1" w:styleId="CommentTextChar">
    <w:name w:val="Comment Text Char"/>
    <w:basedOn w:val="DefaultParagraphFont"/>
    <w:link w:val="CommentText"/>
    <w:semiHidden/>
    <w:rsid w:val="00C5416D"/>
    <w:rPr>
      <w:rFonts w:ascii="Arial" w:hAnsi="Arial"/>
      <w:sz w:val="22"/>
      <w:lang w:val="en-US" w:eastAsia="en-US"/>
    </w:rPr>
  </w:style>
  <w:style w:type="character" w:customStyle="1" w:styleId="CommentSubjectChar">
    <w:name w:val="Comment Subject Char"/>
    <w:basedOn w:val="CommentTextChar"/>
    <w:link w:val="CommentSubject"/>
    <w:semiHidden/>
    <w:rsid w:val="00C5416D"/>
    <w:rPr>
      <w:rFonts w:ascii="Arial" w:hAnsi="Arial"/>
      <w:b/>
      <w:bCs/>
      <w:sz w:val="22"/>
      <w:lang w:val="en-US" w:eastAsia="en-US"/>
    </w:rPr>
  </w:style>
  <w:style w:type="character" w:styleId="FollowedHyperlink">
    <w:name w:val="FollowedHyperlink"/>
    <w:basedOn w:val="DefaultParagraphFont"/>
    <w:semiHidden/>
    <w:unhideWhenUsed/>
    <w:rsid w:val="0098741F"/>
    <w:rPr>
      <w:color w:val="800080" w:themeColor="followedHyperlink"/>
      <w:u w:val="single"/>
    </w:rPr>
  </w:style>
  <w:style w:type="paragraph" w:customStyle="1" w:styleId="MELevel1">
    <w:name w:val="ME Level 1"/>
    <w:basedOn w:val="Normal"/>
    <w:qFormat/>
    <w:rsid w:val="00595C00"/>
    <w:pPr>
      <w:numPr>
        <w:numId w:val="15"/>
      </w:numPr>
      <w:spacing w:before="0" w:after="240" w:line="240" w:lineRule="auto"/>
    </w:pPr>
    <w:rPr>
      <w:rFonts w:ascii="Times New Roman" w:hAnsi="Times New Roman"/>
      <w:sz w:val="24"/>
      <w:szCs w:val="24"/>
      <w:lang w:val="en-AU"/>
    </w:rPr>
  </w:style>
  <w:style w:type="paragraph" w:customStyle="1" w:styleId="MELevel2">
    <w:name w:val="ME Level 2"/>
    <w:basedOn w:val="Normal"/>
    <w:qFormat/>
    <w:rsid w:val="00595C00"/>
    <w:pPr>
      <w:numPr>
        <w:ilvl w:val="1"/>
        <w:numId w:val="15"/>
      </w:numPr>
      <w:spacing w:before="0" w:after="240" w:line="240" w:lineRule="auto"/>
    </w:pPr>
    <w:rPr>
      <w:rFonts w:ascii="Times New Roman" w:hAnsi="Times New Roman"/>
      <w:sz w:val="24"/>
      <w:szCs w:val="24"/>
      <w:lang w:val="en-AU"/>
    </w:rPr>
  </w:style>
  <w:style w:type="paragraph" w:customStyle="1" w:styleId="MELevel3">
    <w:name w:val="ME Level 3"/>
    <w:basedOn w:val="Normal"/>
    <w:qFormat/>
    <w:rsid w:val="00595C00"/>
    <w:pPr>
      <w:numPr>
        <w:ilvl w:val="2"/>
        <w:numId w:val="15"/>
      </w:numPr>
      <w:spacing w:before="0" w:after="240" w:line="240" w:lineRule="auto"/>
    </w:pPr>
    <w:rPr>
      <w:rFonts w:ascii="Times New Roman" w:hAnsi="Times New Roman"/>
      <w:sz w:val="24"/>
      <w:szCs w:val="24"/>
      <w:lang w:val="en-AU"/>
    </w:rPr>
  </w:style>
  <w:style w:type="paragraph" w:customStyle="1" w:styleId="MELevel4">
    <w:name w:val="ME Level 4"/>
    <w:basedOn w:val="Normal"/>
    <w:qFormat/>
    <w:rsid w:val="00595C00"/>
    <w:pPr>
      <w:numPr>
        <w:ilvl w:val="3"/>
        <w:numId w:val="15"/>
      </w:numPr>
      <w:spacing w:before="0" w:after="240" w:line="240" w:lineRule="auto"/>
    </w:pPr>
    <w:rPr>
      <w:rFonts w:ascii="Times New Roman" w:hAnsi="Times New Roman"/>
      <w:sz w:val="24"/>
      <w:szCs w:val="24"/>
      <w:lang w:val="en-AU"/>
    </w:rPr>
  </w:style>
  <w:style w:type="paragraph" w:customStyle="1" w:styleId="MELevel5">
    <w:name w:val="ME Level 5"/>
    <w:basedOn w:val="Normal"/>
    <w:qFormat/>
    <w:rsid w:val="00595C00"/>
    <w:pPr>
      <w:numPr>
        <w:ilvl w:val="4"/>
        <w:numId w:val="15"/>
      </w:numPr>
      <w:spacing w:before="0" w:after="240" w:line="240" w:lineRule="auto"/>
    </w:pPr>
    <w:rPr>
      <w:rFonts w:ascii="Times New Roman" w:hAnsi="Times New Roman"/>
      <w:sz w:val="24"/>
      <w:szCs w:val="24"/>
      <w:lang w:val="en-AU"/>
    </w:rPr>
  </w:style>
  <w:style w:type="paragraph" w:customStyle="1" w:styleId="MELevel6">
    <w:name w:val="ME Level 6"/>
    <w:basedOn w:val="Normal"/>
    <w:qFormat/>
    <w:rsid w:val="00595C00"/>
    <w:pPr>
      <w:numPr>
        <w:ilvl w:val="5"/>
        <w:numId w:val="15"/>
      </w:numPr>
      <w:spacing w:before="0" w:after="240" w:line="240" w:lineRule="auto"/>
    </w:pPr>
    <w:rPr>
      <w:rFonts w:ascii="Times New Roman" w:hAnsi="Times New Roman"/>
      <w:sz w:val="24"/>
      <w:szCs w:val="24"/>
      <w:lang w:val="en-AU"/>
    </w:rPr>
  </w:style>
  <w:style w:type="paragraph" w:customStyle="1" w:styleId="Dot">
    <w:name w:val="Dot"/>
    <w:basedOn w:val="ListParagraph"/>
    <w:link w:val="DotChar"/>
    <w:qFormat/>
    <w:rsid w:val="00E71D0C"/>
    <w:pPr>
      <w:spacing w:before="0" w:after="120" w:line="240" w:lineRule="auto"/>
      <w:ind w:left="0"/>
      <w:contextualSpacing w:val="0"/>
    </w:pPr>
    <w:rPr>
      <w:rFonts w:ascii="Tahoma" w:eastAsiaTheme="minorHAnsi" w:hAnsi="Tahoma" w:cstheme="minorBidi"/>
      <w:sz w:val="24"/>
      <w:szCs w:val="22"/>
      <w:lang w:val="en-GB"/>
    </w:rPr>
  </w:style>
  <w:style w:type="character" w:customStyle="1" w:styleId="DotChar">
    <w:name w:val="Dot Char"/>
    <w:basedOn w:val="DefaultParagraphFont"/>
    <w:link w:val="Dot"/>
    <w:rsid w:val="00E71D0C"/>
    <w:rPr>
      <w:rFonts w:ascii="Tahoma" w:eastAsiaTheme="minorHAnsi" w:hAnsi="Tahoma" w:cstheme="minorBidi"/>
      <w:sz w:val="24"/>
      <w:szCs w:val="22"/>
      <w:lang w:val="en-GB" w:eastAsia="en-US"/>
    </w:rPr>
  </w:style>
  <w:style w:type="paragraph" w:customStyle="1" w:styleId="Dotbot">
    <w:name w:val="Dotbot"/>
    <w:basedOn w:val="Dot"/>
    <w:link w:val="DotbotChar"/>
    <w:qFormat/>
    <w:rsid w:val="00E71D0C"/>
    <w:pPr>
      <w:spacing w:after="240"/>
    </w:pPr>
  </w:style>
  <w:style w:type="character" w:customStyle="1" w:styleId="DotbotChar">
    <w:name w:val="Dotbot Char"/>
    <w:basedOn w:val="DotChar"/>
    <w:link w:val="Dotbot"/>
    <w:rsid w:val="00E71D0C"/>
    <w:rPr>
      <w:rFonts w:ascii="Tahoma" w:eastAsiaTheme="minorHAnsi" w:hAnsi="Tahoma" w:cstheme="minorBidi"/>
      <w:sz w:val="24"/>
      <w:szCs w:val="22"/>
      <w:lang w:val="en-GB" w:eastAsia="en-US"/>
    </w:rPr>
  </w:style>
  <w:style w:type="paragraph" w:styleId="List">
    <w:name w:val="List"/>
    <w:basedOn w:val="Normal"/>
    <w:unhideWhenUsed/>
    <w:rsid w:val="00D57556"/>
    <w:pPr>
      <w:ind w:left="283" w:hanging="283"/>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487754">
      <w:bodyDiv w:val="1"/>
      <w:marLeft w:val="0"/>
      <w:marRight w:val="0"/>
      <w:marTop w:val="0"/>
      <w:marBottom w:val="0"/>
      <w:divBdr>
        <w:top w:val="none" w:sz="0" w:space="0" w:color="auto"/>
        <w:left w:val="none" w:sz="0" w:space="0" w:color="auto"/>
        <w:bottom w:val="none" w:sz="0" w:space="0" w:color="auto"/>
        <w:right w:val="none" w:sz="0" w:space="0" w:color="auto"/>
      </w:divBdr>
    </w:div>
    <w:div w:id="221864761">
      <w:bodyDiv w:val="1"/>
      <w:marLeft w:val="0"/>
      <w:marRight w:val="0"/>
      <w:marTop w:val="0"/>
      <w:marBottom w:val="0"/>
      <w:divBdr>
        <w:top w:val="none" w:sz="0" w:space="0" w:color="auto"/>
        <w:left w:val="none" w:sz="0" w:space="0" w:color="auto"/>
        <w:bottom w:val="none" w:sz="0" w:space="0" w:color="auto"/>
        <w:right w:val="none" w:sz="0" w:space="0" w:color="auto"/>
      </w:divBdr>
    </w:div>
    <w:div w:id="332152749">
      <w:bodyDiv w:val="1"/>
      <w:marLeft w:val="0"/>
      <w:marRight w:val="0"/>
      <w:marTop w:val="0"/>
      <w:marBottom w:val="0"/>
      <w:divBdr>
        <w:top w:val="none" w:sz="0" w:space="0" w:color="auto"/>
        <w:left w:val="none" w:sz="0" w:space="0" w:color="auto"/>
        <w:bottom w:val="none" w:sz="0" w:space="0" w:color="auto"/>
        <w:right w:val="none" w:sz="0" w:space="0" w:color="auto"/>
      </w:divBdr>
    </w:div>
    <w:div w:id="423654539">
      <w:bodyDiv w:val="1"/>
      <w:marLeft w:val="0"/>
      <w:marRight w:val="0"/>
      <w:marTop w:val="0"/>
      <w:marBottom w:val="0"/>
      <w:divBdr>
        <w:top w:val="none" w:sz="0" w:space="0" w:color="auto"/>
        <w:left w:val="none" w:sz="0" w:space="0" w:color="auto"/>
        <w:bottom w:val="none" w:sz="0" w:space="0" w:color="auto"/>
        <w:right w:val="none" w:sz="0" w:space="0" w:color="auto"/>
      </w:divBdr>
    </w:div>
    <w:div w:id="517278031">
      <w:bodyDiv w:val="1"/>
      <w:marLeft w:val="0"/>
      <w:marRight w:val="0"/>
      <w:marTop w:val="0"/>
      <w:marBottom w:val="0"/>
      <w:divBdr>
        <w:top w:val="none" w:sz="0" w:space="0" w:color="auto"/>
        <w:left w:val="none" w:sz="0" w:space="0" w:color="auto"/>
        <w:bottom w:val="none" w:sz="0" w:space="0" w:color="auto"/>
        <w:right w:val="none" w:sz="0" w:space="0" w:color="auto"/>
      </w:divBdr>
    </w:div>
    <w:div w:id="605965055">
      <w:bodyDiv w:val="1"/>
      <w:marLeft w:val="0"/>
      <w:marRight w:val="0"/>
      <w:marTop w:val="0"/>
      <w:marBottom w:val="0"/>
      <w:divBdr>
        <w:top w:val="none" w:sz="0" w:space="0" w:color="auto"/>
        <w:left w:val="none" w:sz="0" w:space="0" w:color="auto"/>
        <w:bottom w:val="none" w:sz="0" w:space="0" w:color="auto"/>
        <w:right w:val="none" w:sz="0" w:space="0" w:color="auto"/>
      </w:divBdr>
    </w:div>
    <w:div w:id="686903575">
      <w:bodyDiv w:val="1"/>
      <w:marLeft w:val="0"/>
      <w:marRight w:val="0"/>
      <w:marTop w:val="0"/>
      <w:marBottom w:val="0"/>
      <w:divBdr>
        <w:top w:val="none" w:sz="0" w:space="0" w:color="auto"/>
        <w:left w:val="none" w:sz="0" w:space="0" w:color="auto"/>
        <w:bottom w:val="none" w:sz="0" w:space="0" w:color="auto"/>
        <w:right w:val="none" w:sz="0" w:space="0" w:color="auto"/>
      </w:divBdr>
    </w:div>
    <w:div w:id="694690433">
      <w:bodyDiv w:val="1"/>
      <w:marLeft w:val="0"/>
      <w:marRight w:val="0"/>
      <w:marTop w:val="0"/>
      <w:marBottom w:val="0"/>
      <w:divBdr>
        <w:top w:val="none" w:sz="0" w:space="0" w:color="auto"/>
        <w:left w:val="none" w:sz="0" w:space="0" w:color="auto"/>
        <w:bottom w:val="none" w:sz="0" w:space="0" w:color="auto"/>
        <w:right w:val="none" w:sz="0" w:space="0" w:color="auto"/>
      </w:divBdr>
    </w:div>
    <w:div w:id="817958109">
      <w:bodyDiv w:val="1"/>
      <w:marLeft w:val="0"/>
      <w:marRight w:val="0"/>
      <w:marTop w:val="0"/>
      <w:marBottom w:val="0"/>
      <w:divBdr>
        <w:top w:val="none" w:sz="0" w:space="0" w:color="auto"/>
        <w:left w:val="none" w:sz="0" w:space="0" w:color="auto"/>
        <w:bottom w:val="none" w:sz="0" w:space="0" w:color="auto"/>
        <w:right w:val="none" w:sz="0" w:space="0" w:color="auto"/>
      </w:divBdr>
    </w:div>
    <w:div w:id="1029334152">
      <w:bodyDiv w:val="1"/>
      <w:marLeft w:val="0"/>
      <w:marRight w:val="0"/>
      <w:marTop w:val="0"/>
      <w:marBottom w:val="0"/>
      <w:divBdr>
        <w:top w:val="none" w:sz="0" w:space="0" w:color="auto"/>
        <w:left w:val="none" w:sz="0" w:space="0" w:color="auto"/>
        <w:bottom w:val="none" w:sz="0" w:space="0" w:color="auto"/>
        <w:right w:val="none" w:sz="0" w:space="0" w:color="auto"/>
      </w:divBdr>
    </w:div>
    <w:div w:id="1109279523">
      <w:bodyDiv w:val="1"/>
      <w:marLeft w:val="0"/>
      <w:marRight w:val="0"/>
      <w:marTop w:val="0"/>
      <w:marBottom w:val="0"/>
      <w:divBdr>
        <w:top w:val="none" w:sz="0" w:space="0" w:color="auto"/>
        <w:left w:val="none" w:sz="0" w:space="0" w:color="auto"/>
        <w:bottom w:val="none" w:sz="0" w:space="0" w:color="auto"/>
        <w:right w:val="none" w:sz="0" w:space="0" w:color="auto"/>
      </w:divBdr>
    </w:div>
    <w:div w:id="1302923198">
      <w:bodyDiv w:val="1"/>
      <w:marLeft w:val="0"/>
      <w:marRight w:val="0"/>
      <w:marTop w:val="0"/>
      <w:marBottom w:val="0"/>
      <w:divBdr>
        <w:top w:val="none" w:sz="0" w:space="0" w:color="auto"/>
        <w:left w:val="none" w:sz="0" w:space="0" w:color="auto"/>
        <w:bottom w:val="none" w:sz="0" w:space="0" w:color="auto"/>
        <w:right w:val="none" w:sz="0" w:space="0" w:color="auto"/>
      </w:divBdr>
    </w:div>
    <w:div w:id="1521233975">
      <w:bodyDiv w:val="1"/>
      <w:marLeft w:val="0"/>
      <w:marRight w:val="0"/>
      <w:marTop w:val="0"/>
      <w:marBottom w:val="0"/>
      <w:divBdr>
        <w:top w:val="none" w:sz="0" w:space="0" w:color="auto"/>
        <w:left w:val="none" w:sz="0" w:space="0" w:color="auto"/>
        <w:bottom w:val="none" w:sz="0" w:space="0" w:color="auto"/>
        <w:right w:val="none" w:sz="0" w:space="0" w:color="auto"/>
      </w:divBdr>
    </w:div>
    <w:div w:id="1690834452">
      <w:bodyDiv w:val="1"/>
      <w:marLeft w:val="0"/>
      <w:marRight w:val="0"/>
      <w:marTop w:val="0"/>
      <w:marBottom w:val="0"/>
      <w:divBdr>
        <w:top w:val="none" w:sz="0" w:space="0" w:color="auto"/>
        <w:left w:val="none" w:sz="0" w:space="0" w:color="auto"/>
        <w:bottom w:val="none" w:sz="0" w:space="0" w:color="auto"/>
        <w:right w:val="none" w:sz="0" w:space="0" w:color="auto"/>
      </w:divBdr>
    </w:div>
    <w:div w:id="1985351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emf"/><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4.emf"/><Relationship Id="rId33"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header" Target="header5.xml"/><Relationship Id="rId32"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chart" Target="charts/chart1.xml"/><Relationship Id="rId28" Type="http://schemas.openxmlformats.org/officeDocument/2006/relationships/image" Target="media/image6.emf"/><Relationship Id="rId10" Type="http://schemas.openxmlformats.org/officeDocument/2006/relationships/webSettings" Target="webSettings.xml"/><Relationship Id="rId19" Type="http://schemas.openxmlformats.org/officeDocument/2006/relationships/hyperlink" Target="mailto:utilities.commission@nt.gov.au" TargetMode="External"/><Relationship Id="rId31"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hyperlink" Target="http://www.utilicom.nt.gov.au/Electricity/pricing/NetworkPricing/2009RegReset/Pages/default.aspx" TargetMode="External"/><Relationship Id="rId30" Type="http://schemas.openxmlformats.org/officeDocument/2006/relationships/image" Target="media/image8.emf"/><Relationship Id="rId35"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hyperlink" Target="http://www.utilicom.nt.gov.au"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utilicom.nt.gov.au/PMS/Publications/PWC%20Letter%20to%20UC%20-%202013-14%20Cost%20Pass%20Through%20Application%20-%20additional%20information%20(28%20Feb%202013).PDF" TargetMode="External"/><Relationship Id="rId13" Type="http://schemas.openxmlformats.org/officeDocument/2006/relationships/hyperlink" Target="http://www.utilicom.nt.gov.au/PMS/Publications/Final%20ESS%20Code.pdf" TargetMode="External"/><Relationship Id="rId18" Type="http://schemas.openxmlformats.org/officeDocument/2006/relationships/hyperlink" Target="http://www.utilicom.nt.gov.au/PMS/Publications/15%20May%20Final%20Determination.pdf" TargetMode="External"/><Relationship Id="rId3" Type="http://schemas.openxmlformats.org/officeDocument/2006/relationships/hyperlink" Target="http://www.utilicom.nt.gov.au/Newsroom/default.aspx" TargetMode="External"/><Relationship Id="rId21" Type="http://schemas.openxmlformats.org/officeDocument/2006/relationships/hyperlink" Target="http://www.utilicom.nt.gov.au/PMS/Publications/15%20May%20Final%20Determination.pdf" TargetMode="External"/><Relationship Id="rId7" Type="http://schemas.openxmlformats.org/officeDocument/2006/relationships/hyperlink" Target="http://www.powerwater.com.au/about_power_and_water/major_projects/power_supply_update" TargetMode="External"/><Relationship Id="rId12" Type="http://schemas.openxmlformats.org/officeDocument/2006/relationships/hyperlink" Target="http://www.utilicom.nt.gov.au/PMS/Publications/2005_offramp_statement_of_reasons_final_280405_.pdf" TargetMode="External"/><Relationship Id="rId17" Type="http://schemas.openxmlformats.org/officeDocument/2006/relationships/hyperlink" Target="http://www.utilicom.nt.gov.au/PMS/Publications/15%20May%20Final%20Determination.pdf" TargetMode="External"/><Relationship Id="rId2" Type="http://schemas.openxmlformats.org/officeDocument/2006/relationships/hyperlink" Target="http://www.utilicom.nt.gov.au/PMS/Publications/I-NPD-DR-2014-19.pdf" TargetMode="External"/><Relationship Id="rId16" Type="http://schemas.openxmlformats.org/officeDocument/2006/relationships/hyperlink" Target="http://www.utilicom.nt.gov.au/PMS/Publications/2014_Final%20Framework%20Approach_decision_paper_Final_clean_.pdf" TargetMode="External"/><Relationship Id="rId20" Type="http://schemas.openxmlformats.org/officeDocument/2006/relationships/hyperlink" Target="http://www.aer.gov.au/sites/default/files/AER%20Rate%20of%20return%20guideline%20-%20December%202013.pdf" TargetMode="External"/><Relationship Id="rId1" Type="http://schemas.openxmlformats.org/officeDocument/2006/relationships/hyperlink" Target="http://www.utilicom.nt.gov.au/PMS/Publications/2009RegulatoryReset_Final%20Determination%20FINAL%20_with%20corrections_.pdf" TargetMode="External"/><Relationship Id="rId6" Type="http://schemas.openxmlformats.org/officeDocument/2006/relationships/hyperlink" Target="http://www.utilicom.nt.gov.au/PMS/Publications/15%20May%20Final%20Determination.pdf" TargetMode="External"/><Relationship Id="rId11" Type="http://schemas.openxmlformats.org/officeDocument/2006/relationships/hyperlink" Target="http://www.aer.gov.au/sites/default/files/Final%20decision%20-%20Distribution%20roll%20forward%20model%20%28RFM%29%20-%2026%20June%202008.pdf" TargetMode="External"/><Relationship Id="rId5" Type="http://schemas.openxmlformats.org/officeDocument/2006/relationships/hyperlink" Target="http://www.utilicom.nt.gov.au/PMS/Publications/2014_Final%20Framework%20Approach_decision_paper_Final_clean_.pdf" TargetMode="External"/><Relationship Id="rId15" Type="http://schemas.openxmlformats.org/officeDocument/2006/relationships/hyperlink" Target="http://www.utilicom.nt.gov.au/PMS/Publications/FnalReport%20-%20Customer%20Service%20Incentive%20Scheme%20-%20final.pdf" TargetMode="External"/><Relationship Id="rId10" Type="http://schemas.openxmlformats.org/officeDocument/2006/relationships/hyperlink" Target="http://www.aer.gov.au/sites/default/files/Distribution%20cost%20allocation%20guidelines%20and%20Victorian%20guidelines%20%2826%20June%202008%29.pdf" TargetMode="External"/><Relationship Id="rId19" Type="http://schemas.openxmlformats.org/officeDocument/2006/relationships/hyperlink" Target="http://www.utilicom.nt.gov.au/PMS/Publications/FnalReport%20-%20Customer%20Service%20Incentive%20Scheme%20-%20final.pdf" TargetMode="External"/><Relationship Id="rId4" Type="http://schemas.openxmlformats.org/officeDocument/2006/relationships/hyperlink" Target="http://www.utilicom.nt.gov.au/PMS/Publications/FINAL_Network%20Price%20Determination_with%20cover.pdf" TargetMode="External"/><Relationship Id="rId9" Type="http://schemas.openxmlformats.org/officeDocument/2006/relationships/hyperlink" Target="http://www.utilicom.nt.gov.au/PMS/Publications/Ringfencing_Code_v3_final_Jan2009.pdf" TargetMode="External"/><Relationship Id="rId14" Type="http://schemas.openxmlformats.org/officeDocument/2006/relationships/hyperlink" Target="http://www.utilicom.nt.gov.au/PMS/Publications/Final_GSL_Code.pdf" TargetMode="External"/><Relationship Id="rId22" Type="http://schemas.openxmlformats.org/officeDocument/2006/relationships/hyperlink" Target="http://www.utilicom.nt.gov.au/PMS/Publications/Approval%20Instrument%20DSEP%20AT.pdf"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NPD%20Part%20A\Finals\char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432317450178323"/>
          <c:y val="7.9718378910883722E-2"/>
          <c:w val="0.86481228068020355"/>
          <c:h val="0.59414380340939477"/>
        </c:manualLayout>
      </c:layout>
      <c:barChart>
        <c:barDir val="col"/>
        <c:grouping val="stacked"/>
        <c:varyColors val="0"/>
        <c:ser>
          <c:idx val="0"/>
          <c:order val="0"/>
          <c:tx>
            <c:strRef>
              <c:f>'Charts FINAL'!$A$4</c:f>
              <c:strCache>
                <c:ptCount val="1"/>
                <c:pt idx="0">
                  <c:v>Actual Costs</c:v>
                </c:pt>
              </c:strCache>
            </c:strRef>
          </c:tx>
          <c:spPr>
            <a:solidFill>
              <a:srgbClr val="0070C0"/>
            </a:solidFill>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FINAL'!$B$4:$K$4</c:f>
              <c:numCache>
                <c:formatCode>_-* #,##0.000_-;\-* #,##0.000_-;_-* "-"??_-;_-@_-</c:formatCode>
                <c:ptCount val="10"/>
                <c:pt idx="0">
                  <c:v>68.906279249333394</c:v>
                </c:pt>
                <c:pt idx="1">
                  <c:v>82.293865678233487</c:v>
                </c:pt>
                <c:pt idx="2">
                  <c:v>95.413477983918384</c:v>
                </c:pt>
                <c:pt idx="3">
                  <c:v>100.0246099513041</c:v>
                </c:pt>
                <c:pt idx="4">
                  <c:v>97.789024292161926</c:v>
                </c:pt>
              </c:numCache>
            </c:numRef>
          </c:val>
        </c:ser>
        <c:ser>
          <c:idx val="1"/>
          <c:order val="1"/>
          <c:tx>
            <c:strRef>
              <c:f>'Charts FINAL'!$A$5</c:f>
              <c:strCache>
                <c:ptCount val="1"/>
                <c:pt idx="0">
                  <c:v>Allowed Costs</c:v>
                </c:pt>
              </c:strCache>
            </c:strRef>
          </c:tx>
          <c:spPr>
            <a:pattFill prst="wdUpDiag">
              <a:fgClr>
                <a:srgbClr val="0070C0"/>
              </a:fgClr>
              <a:bgClr>
                <a:schemeClr val="bg1"/>
              </a:bgClr>
            </a:pattFill>
            <a:ln>
              <a:solidFill>
                <a:srgbClr val="0070C0"/>
              </a:solidFill>
            </a:ln>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FINAL'!$B$5:$K$5</c:f>
              <c:numCache>
                <c:formatCode>General</c:formatCode>
                <c:ptCount val="10"/>
                <c:pt idx="5" formatCode="_-* #,##0.000_-;\-* #,##0.000_-;_-* &quot;-&quot;??_-;_-@_-">
                  <c:v>100.62722378281518</c:v>
                </c:pt>
                <c:pt idx="6" formatCode="_-* #,##0.000_-;\-* #,##0.000_-;_-* &quot;-&quot;??_-;_-@_-">
                  <c:v>96.740319067610727</c:v>
                </c:pt>
                <c:pt idx="7" formatCode="_-* #,##0.000_-;\-* #,##0.000_-;_-* &quot;-&quot;??_-;_-@_-">
                  <c:v>95.415676931712227</c:v>
                </c:pt>
                <c:pt idx="8" formatCode="_-* #,##0.000_-;\-* #,##0.000_-;_-* &quot;-&quot;??_-;_-@_-">
                  <c:v>90.01634764399347</c:v>
                </c:pt>
                <c:pt idx="9" formatCode="_-* #,##0.000_-;\-* #,##0.000_-;_-* &quot;-&quot;??_-;_-@_-">
                  <c:v>84.190706832409077</c:v>
                </c:pt>
              </c:numCache>
            </c:numRef>
          </c:val>
        </c:ser>
        <c:ser>
          <c:idx val="2"/>
          <c:order val="2"/>
          <c:tx>
            <c:strRef>
              <c:f>'Charts FINAL'!$A$6</c:f>
              <c:strCache>
                <c:ptCount val="1"/>
                <c:pt idx="0">
                  <c:v>Actual Depn</c:v>
                </c:pt>
              </c:strCache>
            </c:strRef>
          </c:tx>
          <c:spPr>
            <a:solidFill>
              <a:srgbClr val="FF0000"/>
            </a:solidFill>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FINAL'!$B$6:$K$6</c:f>
              <c:numCache>
                <c:formatCode>_-* #,##0.000_-;\-* #,##0.000_-;_-* "-"??_-;_-@_-</c:formatCode>
                <c:ptCount val="10"/>
                <c:pt idx="0">
                  <c:v>10.105434782622734</c:v>
                </c:pt>
                <c:pt idx="1">
                  <c:v>6.7480151738874596</c:v>
                </c:pt>
                <c:pt idx="2">
                  <c:v>12.566007310205732</c:v>
                </c:pt>
                <c:pt idx="3">
                  <c:v>4.8694639376449302</c:v>
                </c:pt>
                <c:pt idx="4">
                  <c:v>5.2766097788503146</c:v>
                </c:pt>
              </c:numCache>
            </c:numRef>
          </c:val>
        </c:ser>
        <c:ser>
          <c:idx val="3"/>
          <c:order val="3"/>
          <c:tx>
            <c:strRef>
              <c:f>'Charts FINAL'!$A$7</c:f>
              <c:strCache>
                <c:ptCount val="1"/>
                <c:pt idx="0">
                  <c:v>Allowed Depn</c:v>
                </c:pt>
              </c:strCache>
            </c:strRef>
          </c:tx>
          <c:spPr>
            <a:pattFill prst="wdUpDiag">
              <a:fgClr>
                <a:srgbClr val="FF0000"/>
              </a:fgClr>
              <a:bgClr>
                <a:schemeClr val="bg1"/>
              </a:bgClr>
            </a:pattFill>
            <a:ln>
              <a:solidFill>
                <a:srgbClr val="FF0000"/>
              </a:solidFill>
            </a:ln>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FINAL'!$B$7:$K$7</c:f>
              <c:numCache>
                <c:formatCode>General</c:formatCode>
                <c:ptCount val="10"/>
                <c:pt idx="5" formatCode="_-* #,##0.000_-;\-* #,##0.000_-;_-* &quot;-&quot;??_-;_-@_-">
                  <c:v>27.777278376290901</c:v>
                </c:pt>
                <c:pt idx="6" formatCode="_-* #,##0.000_-;\-* #,##0.000_-;_-* &quot;-&quot;??_-;_-@_-">
                  <c:v>30.461472761507025</c:v>
                </c:pt>
                <c:pt idx="7" formatCode="_-* #,##0.000_-;\-* #,##0.000_-;_-* &quot;-&quot;??_-;_-@_-">
                  <c:v>26.523620574827731</c:v>
                </c:pt>
                <c:pt idx="8" formatCode="_-* #,##0.000_-;\-* #,##0.000_-;_-* &quot;-&quot;??_-;_-@_-">
                  <c:v>28.388691826467795</c:v>
                </c:pt>
                <c:pt idx="9" formatCode="_-* #,##0.000_-;\-* #,##0.000_-;_-* &quot;-&quot;??_-;_-@_-">
                  <c:v>30.726724500604739</c:v>
                </c:pt>
              </c:numCache>
            </c:numRef>
          </c:val>
        </c:ser>
        <c:ser>
          <c:idx val="4"/>
          <c:order val="4"/>
          <c:tx>
            <c:strRef>
              <c:f>'Charts FINAL'!$A$8</c:f>
              <c:strCache>
                <c:ptCount val="1"/>
                <c:pt idx="0">
                  <c:v>Actual Rtn on Cap</c:v>
                </c:pt>
              </c:strCache>
            </c:strRef>
          </c:tx>
          <c:spPr>
            <a:solidFill>
              <a:srgbClr val="FFFF00"/>
            </a:solidFill>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FINAL'!$B$8:$K$8</c:f>
              <c:numCache>
                <c:formatCode>_-* #,##0.000_-;\-* #,##0.000_-;_-* "-"??_-;_-@_-</c:formatCode>
                <c:ptCount val="10"/>
                <c:pt idx="0">
                  <c:v>49.163228179518939</c:v>
                </c:pt>
                <c:pt idx="1">
                  <c:v>55.874152737256381</c:v>
                </c:pt>
                <c:pt idx="2">
                  <c:v>63.92742395858857</c:v>
                </c:pt>
                <c:pt idx="3">
                  <c:v>70.127721179225475</c:v>
                </c:pt>
                <c:pt idx="4">
                  <c:v>79.541281762559024</c:v>
                </c:pt>
              </c:numCache>
            </c:numRef>
          </c:val>
        </c:ser>
        <c:ser>
          <c:idx val="5"/>
          <c:order val="5"/>
          <c:tx>
            <c:strRef>
              <c:f>'Charts FINAL'!$A$9</c:f>
              <c:strCache>
                <c:ptCount val="1"/>
                <c:pt idx="0">
                  <c:v>Allowed Rtn on Cap</c:v>
                </c:pt>
              </c:strCache>
            </c:strRef>
          </c:tx>
          <c:spPr>
            <a:pattFill prst="wdUpDiag">
              <a:fgClr>
                <a:srgbClr val="FFFF00"/>
              </a:fgClr>
              <a:bgClr>
                <a:schemeClr val="bg1"/>
              </a:bgClr>
            </a:pattFill>
            <a:ln>
              <a:solidFill>
                <a:srgbClr val="FFFF00"/>
              </a:solidFill>
            </a:ln>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FINAL'!$B$9:$K$9</c:f>
              <c:numCache>
                <c:formatCode>General</c:formatCode>
                <c:ptCount val="10"/>
                <c:pt idx="5" formatCode="_-* #,##0.000_-;\-* #,##0.000_-;_-* &quot;-&quot;??_-;_-@_-">
                  <c:v>73.010027417266571</c:v>
                </c:pt>
                <c:pt idx="6" formatCode="_-* #,##0.000_-;\-* #,##0.000_-;_-* &quot;-&quot;??_-;_-@_-">
                  <c:v>76.010605370571668</c:v>
                </c:pt>
                <c:pt idx="7" formatCode="_-* #,##0.000_-;\-* #,##0.000_-;_-* &quot;-&quot;??_-;_-@_-">
                  <c:v>76.910900837966295</c:v>
                </c:pt>
                <c:pt idx="8" formatCode="_-* #,##0.000_-;\-* #,##0.000_-;_-* &quot;-&quot;??_-;_-@_-">
                  <c:v>77.236943454855407</c:v>
                </c:pt>
                <c:pt idx="9" formatCode="_-* #,##0.000_-;\-* #,##0.000_-;_-* &quot;-&quot;??_-;_-@_-">
                  <c:v>78.159689598516849</c:v>
                </c:pt>
              </c:numCache>
            </c:numRef>
          </c:val>
        </c:ser>
        <c:ser>
          <c:idx val="6"/>
          <c:order val="6"/>
          <c:tx>
            <c:strRef>
              <c:f>'Charts FINAL'!$A$10</c:f>
              <c:strCache>
                <c:ptCount val="1"/>
                <c:pt idx="0">
                  <c:v>Allowed pass thru</c:v>
                </c:pt>
              </c:strCache>
            </c:strRef>
          </c:tx>
          <c:spPr>
            <a:pattFill prst="wdUpDiag">
              <a:fgClr>
                <a:srgbClr val="00B050"/>
              </a:fgClr>
              <a:bgClr>
                <a:schemeClr val="bg1"/>
              </a:bgClr>
            </a:pattFill>
            <a:ln>
              <a:solidFill>
                <a:srgbClr val="00B050"/>
              </a:solidFill>
            </a:ln>
          </c:spPr>
          <c:invertIfNegative val="0"/>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FINAL'!$B$10:$K$10</c:f>
              <c:numCache>
                <c:formatCode>General</c:formatCode>
                <c:ptCount val="10"/>
                <c:pt idx="5" formatCode="_-* #,##0.000_-;\-* #,##0.000_-;_-* &quot;-&quot;??_-;_-@_-">
                  <c:v>7.1841183524800005</c:v>
                </c:pt>
                <c:pt idx="6" formatCode="_-* #,##0.000_-;\-* #,##0.000_-;_-* &quot;-&quot;??_-;_-@_-">
                  <c:v>7.7491196792387464</c:v>
                </c:pt>
                <c:pt idx="7" formatCode="_-* #,##0.000_-;\-* #,##0.000_-;_-* &quot;-&quot;??_-;_-@_-">
                  <c:v>8.3585560338710181</c:v>
                </c:pt>
                <c:pt idx="8" formatCode="_-* #,##0.000_-;\-* #,##0.000_-;_-* &quot;-&quot;??_-;_-@_-">
                  <c:v>9.015922048351305</c:v>
                </c:pt>
                <c:pt idx="9" formatCode="_-* #,##0.000_-;\-* #,##0.000_-;_-* &quot;-&quot;??_-;_-@_-">
                  <c:v>9.7249871930692287</c:v>
                </c:pt>
              </c:numCache>
            </c:numRef>
          </c:val>
        </c:ser>
        <c:dLbls>
          <c:showLegendKey val="0"/>
          <c:showVal val="0"/>
          <c:showCatName val="0"/>
          <c:showSerName val="0"/>
          <c:showPercent val="0"/>
          <c:showBubbleSize val="0"/>
        </c:dLbls>
        <c:gapWidth val="150"/>
        <c:overlap val="100"/>
        <c:axId val="165129216"/>
        <c:axId val="171373312"/>
      </c:barChart>
      <c:lineChart>
        <c:grouping val="standard"/>
        <c:varyColors val="0"/>
        <c:ser>
          <c:idx val="7"/>
          <c:order val="7"/>
          <c:tx>
            <c:strRef>
              <c:f>'Charts FINAL'!$A$11</c:f>
              <c:strCache>
                <c:ptCount val="1"/>
                <c:pt idx="0">
                  <c:v>Actual Revenue</c:v>
                </c:pt>
              </c:strCache>
            </c:strRef>
          </c:tx>
          <c:spPr>
            <a:ln>
              <a:solidFill>
                <a:schemeClr val="tx1"/>
              </a:solidFill>
            </a:ln>
          </c:spPr>
          <c:marker>
            <c:symbol val="none"/>
          </c:marker>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FINAL'!$B$11:$K$11</c:f>
              <c:numCache>
                <c:formatCode>_-* #,##0.000_-;\-* #,##0.000_-;_-* "-"??_-;_-@_-</c:formatCode>
                <c:ptCount val="10"/>
                <c:pt idx="0">
                  <c:v>102.612804</c:v>
                </c:pt>
                <c:pt idx="1">
                  <c:v>100.60900500000001</c:v>
                </c:pt>
                <c:pt idx="2">
                  <c:v>104.573043</c:v>
                </c:pt>
                <c:pt idx="3">
                  <c:v>112.115386</c:v>
                </c:pt>
                <c:pt idx="4">
                  <c:v>138.75</c:v>
                </c:pt>
              </c:numCache>
            </c:numRef>
          </c:val>
          <c:smooth val="0"/>
        </c:ser>
        <c:ser>
          <c:idx val="8"/>
          <c:order val="8"/>
          <c:tx>
            <c:strRef>
              <c:f>'Charts FINAL'!$A$12</c:f>
              <c:strCache>
                <c:ptCount val="1"/>
                <c:pt idx="0">
                  <c:v>Allowed Revenue</c:v>
                </c:pt>
              </c:strCache>
            </c:strRef>
          </c:tx>
          <c:spPr>
            <a:ln>
              <a:solidFill>
                <a:schemeClr val="tx1"/>
              </a:solidFill>
            </a:ln>
          </c:spPr>
          <c:marker>
            <c:symbol val="none"/>
          </c:marker>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FINAL'!$B$12:$K$12</c:f>
              <c:numCache>
                <c:formatCode>General</c:formatCode>
                <c:ptCount val="10"/>
                <c:pt idx="5" formatCode="_-* #,##0.000_-;\-* #,##0.000_-;_-* &quot;-&quot;??_-;_-@_-">
                  <c:v>184.73820613960171</c:v>
                </c:pt>
                <c:pt idx="6" formatCode="_-* #,##0.000_-;\-* #,##0.000_-;_-* &quot;-&quot;??_-;_-@_-">
                  <c:v>204.6847597329068</c:v>
                </c:pt>
                <c:pt idx="7" formatCode="_-* #,##0.000_-;\-* #,##0.000_-;_-* &quot;-&quot;??_-;_-@_-">
                  <c:v>216.28567786028876</c:v>
                </c:pt>
                <c:pt idx="8" formatCode="_-* #,##0.000_-;\-* #,##0.000_-;_-* &quot;-&quot;??_-;_-@_-">
                  <c:v>217.44972737853283</c:v>
                </c:pt>
                <c:pt idx="9" formatCode="_-* #,##0.000_-;\-* #,##0.000_-;_-* &quot;-&quot;??_-;_-@_-">
                  <c:v>218.6200418112841</c:v>
                </c:pt>
              </c:numCache>
            </c:numRef>
          </c:val>
          <c:smooth val="0"/>
        </c:ser>
        <c:ser>
          <c:idx val="9"/>
          <c:order val="9"/>
          <c:tx>
            <c:strRef>
              <c:f>'Charts FINAL'!$A$13</c:f>
              <c:strCache>
                <c:ptCount val="1"/>
                <c:pt idx="0">
                  <c:v>PWC proposed revenue</c:v>
                </c:pt>
              </c:strCache>
            </c:strRef>
          </c:tx>
          <c:spPr>
            <a:ln>
              <a:solidFill>
                <a:schemeClr val="tx2"/>
              </a:solidFill>
              <a:prstDash val="sysDash"/>
            </a:ln>
          </c:spPr>
          <c:marker>
            <c:symbol val="none"/>
          </c:marker>
          <c:cat>
            <c:strRef>
              <c:f>'Charts FINAL'!$B$3:$K$3</c:f>
              <c:strCache>
                <c:ptCount val="10"/>
                <c:pt idx="0">
                  <c:v>2009-10</c:v>
                </c:pt>
                <c:pt idx="1">
                  <c:v>2010-11</c:v>
                </c:pt>
                <c:pt idx="2">
                  <c:v>2011-12</c:v>
                </c:pt>
                <c:pt idx="3">
                  <c:v>2012-13</c:v>
                </c:pt>
                <c:pt idx="4">
                  <c:v>2013-14</c:v>
                </c:pt>
                <c:pt idx="5">
                  <c:v>2014-15</c:v>
                </c:pt>
                <c:pt idx="6">
                  <c:v>2015-16</c:v>
                </c:pt>
                <c:pt idx="7">
                  <c:v>2016-17</c:v>
                </c:pt>
                <c:pt idx="8">
                  <c:v>2017-18</c:v>
                </c:pt>
                <c:pt idx="9">
                  <c:v>2018-19</c:v>
                </c:pt>
              </c:strCache>
            </c:strRef>
          </c:cat>
          <c:val>
            <c:numRef>
              <c:f>'Charts FINAL'!$B$13:$K$13</c:f>
              <c:numCache>
                <c:formatCode>General</c:formatCode>
                <c:ptCount val="10"/>
                <c:pt idx="5" formatCode="_-* #,##0.000_-;\-* #,##0.000_-;_-* &quot;-&quot;??_-;_-@_-">
                  <c:v>229.45074840233028</c:v>
                </c:pt>
                <c:pt idx="6" formatCode="_-* #,##0.000_-;\-* #,##0.000_-;_-* &quot;-&quot;??_-;_-@_-">
                  <c:v>238.92804903070859</c:v>
                </c:pt>
                <c:pt idx="7" formatCode="_-* #,##0.000_-;\-* #,##0.000_-;_-* &quot;-&quot;??_-;_-@_-">
                  <c:v>243.61507230585977</c:v>
                </c:pt>
                <c:pt idx="8" formatCode="_-* #,##0.000_-;\-* #,##0.000_-;_-* &quot;-&quot;??_-;_-@_-">
                  <c:v>248.1380938394644</c:v>
                </c:pt>
                <c:pt idx="9" formatCode="_-* #,##0.000_-;\-* #,##0.000_-;_-* &quot;-&quot;??_-;_-@_-">
                  <c:v>255.43256464964173</c:v>
                </c:pt>
              </c:numCache>
            </c:numRef>
          </c:val>
          <c:smooth val="0"/>
        </c:ser>
        <c:dLbls>
          <c:showLegendKey val="0"/>
          <c:showVal val="0"/>
          <c:showCatName val="0"/>
          <c:showSerName val="0"/>
          <c:showPercent val="0"/>
          <c:showBubbleSize val="0"/>
        </c:dLbls>
        <c:marker val="1"/>
        <c:smooth val="0"/>
        <c:axId val="165129216"/>
        <c:axId val="171373312"/>
      </c:lineChart>
      <c:catAx>
        <c:axId val="165129216"/>
        <c:scaling>
          <c:orientation val="minMax"/>
        </c:scaling>
        <c:delete val="0"/>
        <c:axPos val="b"/>
        <c:majorTickMark val="out"/>
        <c:minorTickMark val="none"/>
        <c:tickLblPos val="nextTo"/>
        <c:crossAx val="171373312"/>
        <c:crosses val="autoZero"/>
        <c:auto val="1"/>
        <c:lblAlgn val="ctr"/>
        <c:lblOffset val="100"/>
        <c:noMultiLvlLbl val="0"/>
      </c:catAx>
      <c:valAx>
        <c:axId val="171373312"/>
        <c:scaling>
          <c:orientation val="minMax"/>
        </c:scaling>
        <c:delete val="0"/>
        <c:axPos val="l"/>
        <c:majorGridlines/>
        <c:title>
          <c:tx>
            <c:rich>
              <a:bodyPr rot="0" vert="horz"/>
              <a:lstStyle/>
              <a:p>
                <a:pPr>
                  <a:defRPr/>
                </a:pPr>
                <a:r>
                  <a:rPr lang="en-US"/>
                  <a:t>$nominal </a:t>
                </a:r>
              </a:p>
            </c:rich>
          </c:tx>
          <c:layout>
            <c:manualLayout>
              <c:xMode val="edge"/>
              <c:yMode val="edge"/>
              <c:x val="1.2480499219968799E-2"/>
              <c:y val="7.7548979080834294E-4"/>
            </c:manualLayout>
          </c:layout>
          <c:overlay val="0"/>
        </c:title>
        <c:numFmt formatCode="_-* #,##0.000_-;\-* #,##0.000_-;_-* &quot;-&quot;??_-;_-@_-" sourceLinked="1"/>
        <c:majorTickMark val="out"/>
        <c:minorTickMark val="none"/>
        <c:tickLblPos val="nextTo"/>
        <c:crossAx val="165129216"/>
        <c:crosses val="autoZero"/>
        <c:crossBetween val="between"/>
      </c:valAx>
    </c:plotArea>
    <c:legend>
      <c:legendPos val="r"/>
      <c:legendEntry>
        <c:idx val="0"/>
        <c:txPr>
          <a:bodyPr/>
          <a:lstStyle/>
          <a:p>
            <a:pPr>
              <a:defRPr sz="800"/>
            </a:pPr>
            <a:endParaRPr lang="en-US"/>
          </a:p>
        </c:txPr>
      </c:legendEntry>
      <c:legendEntry>
        <c:idx val="1"/>
        <c:txPr>
          <a:bodyPr/>
          <a:lstStyle/>
          <a:p>
            <a:pPr>
              <a:defRPr sz="800"/>
            </a:pPr>
            <a:endParaRPr lang="en-US"/>
          </a:p>
        </c:txPr>
      </c:legendEntry>
      <c:legendEntry>
        <c:idx val="2"/>
        <c:txPr>
          <a:bodyPr/>
          <a:lstStyle/>
          <a:p>
            <a:pPr>
              <a:defRPr sz="800"/>
            </a:pPr>
            <a:endParaRPr lang="en-US"/>
          </a:p>
        </c:txPr>
      </c:legendEntry>
      <c:legendEntry>
        <c:idx val="3"/>
        <c:txPr>
          <a:bodyPr/>
          <a:lstStyle/>
          <a:p>
            <a:pPr>
              <a:defRPr sz="800"/>
            </a:pPr>
            <a:endParaRPr lang="en-US"/>
          </a:p>
        </c:txPr>
      </c:legendEntry>
      <c:legendEntry>
        <c:idx val="4"/>
        <c:txPr>
          <a:bodyPr/>
          <a:lstStyle/>
          <a:p>
            <a:pPr>
              <a:defRPr sz="800"/>
            </a:pPr>
            <a:endParaRPr lang="en-US"/>
          </a:p>
        </c:txPr>
      </c:legendEntry>
      <c:legendEntry>
        <c:idx val="5"/>
        <c:txPr>
          <a:bodyPr/>
          <a:lstStyle/>
          <a:p>
            <a:pPr>
              <a:defRPr sz="800"/>
            </a:pPr>
            <a:endParaRPr lang="en-US"/>
          </a:p>
        </c:txPr>
      </c:legendEntry>
      <c:legendEntry>
        <c:idx val="6"/>
        <c:txPr>
          <a:bodyPr/>
          <a:lstStyle/>
          <a:p>
            <a:pPr>
              <a:defRPr sz="800"/>
            </a:pPr>
            <a:endParaRPr lang="en-US"/>
          </a:p>
        </c:txPr>
      </c:legendEntry>
      <c:legendEntry>
        <c:idx val="7"/>
        <c:txPr>
          <a:bodyPr/>
          <a:lstStyle/>
          <a:p>
            <a:pPr>
              <a:defRPr sz="800"/>
            </a:pPr>
            <a:endParaRPr lang="en-US"/>
          </a:p>
        </c:txPr>
      </c:legendEntry>
      <c:legendEntry>
        <c:idx val="8"/>
        <c:txPr>
          <a:bodyPr/>
          <a:lstStyle/>
          <a:p>
            <a:pPr>
              <a:defRPr sz="800"/>
            </a:pPr>
            <a:endParaRPr lang="en-US"/>
          </a:p>
        </c:txPr>
      </c:legendEntry>
      <c:legendEntry>
        <c:idx val="9"/>
        <c:txPr>
          <a:bodyPr/>
          <a:lstStyle/>
          <a:p>
            <a:pPr>
              <a:defRPr sz="800"/>
            </a:pPr>
            <a:endParaRPr lang="en-US"/>
          </a:p>
        </c:txPr>
      </c:legendEntry>
      <c:layout>
        <c:manualLayout>
          <c:xMode val="edge"/>
          <c:yMode val="edge"/>
          <c:x val="2.0217098447717432E-2"/>
          <c:y val="0.84464442150104591"/>
          <c:w val="0.95274181990901685"/>
          <c:h val="0.13700210105157731"/>
        </c:manualLayout>
      </c:layout>
      <c:overlay val="0"/>
    </c:legend>
    <c:plotVisOnly val="1"/>
    <c:dispBlanksAs val="gap"/>
    <c:showDLblsOverMax val="0"/>
  </c:chart>
  <c:spPr>
    <a:ln>
      <a:solidFill>
        <a:schemeClr val="accent1"/>
      </a:solid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732A70C922B6143BA1C1EFF719AB478" ma:contentTypeVersion="0" ma:contentTypeDescription="Create a new document." ma:contentTypeScope="" ma:versionID="78d2db27aa790d55cba1ee79a3115084">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5B7F98-CDB6-4962-B100-73BF94431A29}"/>
</file>

<file path=customXml/itemProps2.xml><?xml version="1.0" encoding="utf-8"?>
<ds:datastoreItem xmlns:ds="http://schemas.openxmlformats.org/officeDocument/2006/customXml" ds:itemID="{318C3DB0-6573-4E9F-AD08-38D424E33911}"/>
</file>

<file path=customXml/itemProps3.xml><?xml version="1.0" encoding="utf-8"?>
<ds:datastoreItem xmlns:ds="http://schemas.openxmlformats.org/officeDocument/2006/customXml" ds:itemID="{5EAE78F8-3A4D-462F-92F6-523AB42A0760}"/>
</file>

<file path=customXml/itemProps4.xml><?xml version="1.0" encoding="utf-8"?>
<ds:datastoreItem xmlns:ds="http://schemas.openxmlformats.org/officeDocument/2006/customXml" ds:itemID="{CCE7BA87-A866-4167-85F5-3B1CE05CA752}"/>
</file>

<file path=customXml/itemProps5.xml><?xml version="1.0" encoding="utf-8"?>
<ds:datastoreItem xmlns:ds="http://schemas.openxmlformats.org/officeDocument/2006/customXml" ds:itemID="{5C599DAD-59FF-4837-A17F-1FD84EFBD31D}"/>
</file>

<file path=docProps/app.xml><?xml version="1.0" encoding="utf-8"?>
<Properties xmlns="http://schemas.openxmlformats.org/officeDocument/2006/extended-properties" xmlns:vt="http://schemas.openxmlformats.org/officeDocument/2006/docPropsVTypes">
  <Template>D58FA66</Template>
  <TotalTime>0</TotalTime>
  <Pages>3</Pages>
  <Words>69649</Words>
  <Characters>397000</Characters>
  <Application>Microsoft Office Word</Application>
  <DocSecurity>8</DocSecurity>
  <Lines>3308</Lines>
  <Paragraphs>931</Paragraphs>
  <ScaleCrop>false</ScaleCrop>
  <HeadingPairs>
    <vt:vector size="2" baseType="variant">
      <vt:variant>
        <vt:lpstr>Title</vt:lpstr>
      </vt:variant>
      <vt:variant>
        <vt:i4>1</vt:i4>
      </vt:variant>
    </vt:vector>
  </HeadingPairs>
  <TitlesOfParts>
    <vt:vector size="1" baseType="lpstr">
      <vt:lpstr>UTILCOM REPORT HEADING</vt:lpstr>
    </vt:vector>
  </TitlesOfParts>
  <Company>Microsoft Corporation</Company>
  <LinksUpToDate>false</LinksUpToDate>
  <CharactersWithSpaces>465718</CharactersWithSpaces>
  <SharedDoc>false</SharedDoc>
  <HLinks>
    <vt:vector size="300" baseType="variant">
      <vt:variant>
        <vt:i4>3276826</vt:i4>
      </vt:variant>
      <vt:variant>
        <vt:i4>297</vt:i4>
      </vt:variant>
      <vt:variant>
        <vt:i4>0</vt:i4>
      </vt:variant>
      <vt:variant>
        <vt:i4>5</vt:i4>
      </vt:variant>
      <vt:variant>
        <vt:lpwstr>mailto:utilities.commission@nt.gov.au</vt:lpwstr>
      </vt:variant>
      <vt:variant>
        <vt:lpwstr/>
      </vt:variant>
      <vt:variant>
        <vt:i4>1114167</vt:i4>
      </vt:variant>
      <vt:variant>
        <vt:i4>290</vt:i4>
      </vt:variant>
      <vt:variant>
        <vt:i4>0</vt:i4>
      </vt:variant>
      <vt:variant>
        <vt:i4>5</vt:i4>
      </vt:variant>
      <vt:variant>
        <vt:lpwstr/>
      </vt:variant>
      <vt:variant>
        <vt:lpwstr>_Toc252365159</vt:lpwstr>
      </vt:variant>
      <vt:variant>
        <vt:i4>1114167</vt:i4>
      </vt:variant>
      <vt:variant>
        <vt:i4>284</vt:i4>
      </vt:variant>
      <vt:variant>
        <vt:i4>0</vt:i4>
      </vt:variant>
      <vt:variant>
        <vt:i4>5</vt:i4>
      </vt:variant>
      <vt:variant>
        <vt:lpwstr/>
      </vt:variant>
      <vt:variant>
        <vt:lpwstr>_Toc252365158</vt:lpwstr>
      </vt:variant>
      <vt:variant>
        <vt:i4>1114167</vt:i4>
      </vt:variant>
      <vt:variant>
        <vt:i4>278</vt:i4>
      </vt:variant>
      <vt:variant>
        <vt:i4>0</vt:i4>
      </vt:variant>
      <vt:variant>
        <vt:i4>5</vt:i4>
      </vt:variant>
      <vt:variant>
        <vt:lpwstr/>
      </vt:variant>
      <vt:variant>
        <vt:lpwstr>_Toc252365157</vt:lpwstr>
      </vt:variant>
      <vt:variant>
        <vt:i4>1114167</vt:i4>
      </vt:variant>
      <vt:variant>
        <vt:i4>272</vt:i4>
      </vt:variant>
      <vt:variant>
        <vt:i4>0</vt:i4>
      </vt:variant>
      <vt:variant>
        <vt:i4>5</vt:i4>
      </vt:variant>
      <vt:variant>
        <vt:lpwstr/>
      </vt:variant>
      <vt:variant>
        <vt:lpwstr>_Toc252365156</vt:lpwstr>
      </vt:variant>
      <vt:variant>
        <vt:i4>1114167</vt:i4>
      </vt:variant>
      <vt:variant>
        <vt:i4>266</vt:i4>
      </vt:variant>
      <vt:variant>
        <vt:i4>0</vt:i4>
      </vt:variant>
      <vt:variant>
        <vt:i4>5</vt:i4>
      </vt:variant>
      <vt:variant>
        <vt:lpwstr/>
      </vt:variant>
      <vt:variant>
        <vt:lpwstr>_Toc252365155</vt:lpwstr>
      </vt:variant>
      <vt:variant>
        <vt:i4>1114167</vt:i4>
      </vt:variant>
      <vt:variant>
        <vt:i4>260</vt:i4>
      </vt:variant>
      <vt:variant>
        <vt:i4>0</vt:i4>
      </vt:variant>
      <vt:variant>
        <vt:i4>5</vt:i4>
      </vt:variant>
      <vt:variant>
        <vt:lpwstr/>
      </vt:variant>
      <vt:variant>
        <vt:lpwstr>_Toc252365154</vt:lpwstr>
      </vt:variant>
      <vt:variant>
        <vt:i4>1114167</vt:i4>
      </vt:variant>
      <vt:variant>
        <vt:i4>254</vt:i4>
      </vt:variant>
      <vt:variant>
        <vt:i4>0</vt:i4>
      </vt:variant>
      <vt:variant>
        <vt:i4>5</vt:i4>
      </vt:variant>
      <vt:variant>
        <vt:lpwstr/>
      </vt:variant>
      <vt:variant>
        <vt:lpwstr>_Toc252365153</vt:lpwstr>
      </vt:variant>
      <vt:variant>
        <vt:i4>1114167</vt:i4>
      </vt:variant>
      <vt:variant>
        <vt:i4>248</vt:i4>
      </vt:variant>
      <vt:variant>
        <vt:i4>0</vt:i4>
      </vt:variant>
      <vt:variant>
        <vt:i4>5</vt:i4>
      </vt:variant>
      <vt:variant>
        <vt:lpwstr/>
      </vt:variant>
      <vt:variant>
        <vt:lpwstr>_Toc252365152</vt:lpwstr>
      </vt:variant>
      <vt:variant>
        <vt:i4>1114167</vt:i4>
      </vt:variant>
      <vt:variant>
        <vt:i4>242</vt:i4>
      </vt:variant>
      <vt:variant>
        <vt:i4>0</vt:i4>
      </vt:variant>
      <vt:variant>
        <vt:i4>5</vt:i4>
      </vt:variant>
      <vt:variant>
        <vt:lpwstr/>
      </vt:variant>
      <vt:variant>
        <vt:lpwstr>_Toc252365151</vt:lpwstr>
      </vt:variant>
      <vt:variant>
        <vt:i4>1114167</vt:i4>
      </vt:variant>
      <vt:variant>
        <vt:i4>236</vt:i4>
      </vt:variant>
      <vt:variant>
        <vt:i4>0</vt:i4>
      </vt:variant>
      <vt:variant>
        <vt:i4>5</vt:i4>
      </vt:variant>
      <vt:variant>
        <vt:lpwstr/>
      </vt:variant>
      <vt:variant>
        <vt:lpwstr>_Toc252365150</vt:lpwstr>
      </vt:variant>
      <vt:variant>
        <vt:i4>1048631</vt:i4>
      </vt:variant>
      <vt:variant>
        <vt:i4>230</vt:i4>
      </vt:variant>
      <vt:variant>
        <vt:i4>0</vt:i4>
      </vt:variant>
      <vt:variant>
        <vt:i4>5</vt:i4>
      </vt:variant>
      <vt:variant>
        <vt:lpwstr/>
      </vt:variant>
      <vt:variant>
        <vt:lpwstr>_Toc252365149</vt:lpwstr>
      </vt:variant>
      <vt:variant>
        <vt:i4>1048631</vt:i4>
      </vt:variant>
      <vt:variant>
        <vt:i4>224</vt:i4>
      </vt:variant>
      <vt:variant>
        <vt:i4>0</vt:i4>
      </vt:variant>
      <vt:variant>
        <vt:i4>5</vt:i4>
      </vt:variant>
      <vt:variant>
        <vt:lpwstr/>
      </vt:variant>
      <vt:variant>
        <vt:lpwstr>_Toc252365148</vt:lpwstr>
      </vt:variant>
      <vt:variant>
        <vt:i4>1048631</vt:i4>
      </vt:variant>
      <vt:variant>
        <vt:i4>218</vt:i4>
      </vt:variant>
      <vt:variant>
        <vt:i4>0</vt:i4>
      </vt:variant>
      <vt:variant>
        <vt:i4>5</vt:i4>
      </vt:variant>
      <vt:variant>
        <vt:lpwstr/>
      </vt:variant>
      <vt:variant>
        <vt:lpwstr>_Toc252365147</vt:lpwstr>
      </vt:variant>
      <vt:variant>
        <vt:i4>1048631</vt:i4>
      </vt:variant>
      <vt:variant>
        <vt:i4>212</vt:i4>
      </vt:variant>
      <vt:variant>
        <vt:i4>0</vt:i4>
      </vt:variant>
      <vt:variant>
        <vt:i4>5</vt:i4>
      </vt:variant>
      <vt:variant>
        <vt:lpwstr/>
      </vt:variant>
      <vt:variant>
        <vt:lpwstr>_Toc252365146</vt:lpwstr>
      </vt:variant>
      <vt:variant>
        <vt:i4>1048631</vt:i4>
      </vt:variant>
      <vt:variant>
        <vt:i4>206</vt:i4>
      </vt:variant>
      <vt:variant>
        <vt:i4>0</vt:i4>
      </vt:variant>
      <vt:variant>
        <vt:i4>5</vt:i4>
      </vt:variant>
      <vt:variant>
        <vt:lpwstr/>
      </vt:variant>
      <vt:variant>
        <vt:lpwstr>_Toc252365145</vt:lpwstr>
      </vt:variant>
      <vt:variant>
        <vt:i4>1048631</vt:i4>
      </vt:variant>
      <vt:variant>
        <vt:i4>200</vt:i4>
      </vt:variant>
      <vt:variant>
        <vt:i4>0</vt:i4>
      </vt:variant>
      <vt:variant>
        <vt:i4>5</vt:i4>
      </vt:variant>
      <vt:variant>
        <vt:lpwstr/>
      </vt:variant>
      <vt:variant>
        <vt:lpwstr>_Toc252365144</vt:lpwstr>
      </vt:variant>
      <vt:variant>
        <vt:i4>1048631</vt:i4>
      </vt:variant>
      <vt:variant>
        <vt:i4>194</vt:i4>
      </vt:variant>
      <vt:variant>
        <vt:i4>0</vt:i4>
      </vt:variant>
      <vt:variant>
        <vt:i4>5</vt:i4>
      </vt:variant>
      <vt:variant>
        <vt:lpwstr/>
      </vt:variant>
      <vt:variant>
        <vt:lpwstr>_Toc252365143</vt:lpwstr>
      </vt:variant>
      <vt:variant>
        <vt:i4>1048631</vt:i4>
      </vt:variant>
      <vt:variant>
        <vt:i4>188</vt:i4>
      </vt:variant>
      <vt:variant>
        <vt:i4>0</vt:i4>
      </vt:variant>
      <vt:variant>
        <vt:i4>5</vt:i4>
      </vt:variant>
      <vt:variant>
        <vt:lpwstr/>
      </vt:variant>
      <vt:variant>
        <vt:lpwstr>_Toc252365142</vt:lpwstr>
      </vt:variant>
      <vt:variant>
        <vt:i4>1048631</vt:i4>
      </vt:variant>
      <vt:variant>
        <vt:i4>182</vt:i4>
      </vt:variant>
      <vt:variant>
        <vt:i4>0</vt:i4>
      </vt:variant>
      <vt:variant>
        <vt:i4>5</vt:i4>
      </vt:variant>
      <vt:variant>
        <vt:lpwstr/>
      </vt:variant>
      <vt:variant>
        <vt:lpwstr>_Toc252365141</vt:lpwstr>
      </vt:variant>
      <vt:variant>
        <vt:i4>1048631</vt:i4>
      </vt:variant>
      <vt:variant>
        <vt:i4>176</vt:i4>
      </vt:variant>
      <vt:variant>
        <vt:i4>0</vt:i4>
      </vt:variant>
      <vt:variant>
        <vt:i4>5</vt:i4>
      </vt:variant>
      <vt:variant>
        <vt:lpwstr/>
      </vt:variant>
      <vt:variant>
        <vt:lpwstr>_Toc252365140</vt:lpwstr>
      </vt:variant>
      <vt:variant>
        <vt:i4>1507383</vt:i4>
      </vt:variant>
      <vt:variant>
        <vt:i4>170</vt:i4>
      </vt:variant>
      <vt:variant>
        <vt:i4>0</vt:i4>
      </vt:variant>
      <vt:variant>
        <vt:i4>5</vt:i4>
      </vt:variant>
      <vt:variant>
        <vt:lpwstr/>
      </vt:variant>
      <vt:variant>
        <vt:lpwstr>_Toc252365139</vt:lpwstr>
      </vt:variant>
      <vt:variant>
        <vt:i4>1507383</vt:i4>
      </vt:variant>
      <vt:variant>
        <vt:i4>164</vt:i4>
      </vt:variant>
      <vt:variant>
        <vt:i4>0</vt:i4>
      </vt:variant>
      <vt:variant>
        <vt:i4>5</vt:i4>
      </vt:variant>
      <vt:variant>
        <vt:lpwstr/>
      </vt:variant>
      <vt:variant>
        <vt:lpwstr>_Toc252365138</vt:lpwstr>
      </vt:variant>
      <vt:variant>
        <vt:i4>1507383</vt:i4>
      </vt:variant>
      <vt:variant>
        <vt:i4>158</vt:i4>
      </vt:variant>
      <vt:variant>
        <vt:i4>0</vt:i4>
      </vt:variant>
      <vt:variant>
        <vt:i4>5</vt:i4>
      </vt:variant>
      <vt:variant>
        <vt:lpwstr/>
      </vt:variant>
      <vt:variant>
        <vt:lpwstr>_Toc252365137</vt:lpwstr>
      </vt:variant>
      <vt:variant>
        <vt:i4>1507383</vt:i4>
      </vt:variant>
      <vt:variant>
        <vt:i4>152</vt:i4>
      </vt:variant>
      <vt:variant>
        <vt:i4>0</vt:i4>
      </vt:variant>
      <vt:variant>
        <vt:i4>5</vt:i4>
      </vt:variant>
      <vt:variant>
        <vt:lpwstr/>
      </vt:variant>
      <vt:variant>
        <vt:lpwstr>_Toc252365136</vt:lpwstr>
      </vt:variant>
      <vt:variant>
        <vt:i4>1507383</vt:i4>
      </vt:variant>
      <vt:variant>
        <vt:i4>146</vt:i4>
      </vt:variant>
      <vt:variant>
        <vt:i4>0</vt:i4>
      </vt:variant>
      <vt:variant>
        <vt:i4>5</vt:i4>
      </vt:variant>
      <vt:variant>
        <vt:lpwstr/>
      </vt:variant>
      <vt:variant>
        <vt:lpwstr>_Toc252365135</vt:lpwstr>
      </vt:variant>
      <vt:variant>
        <vt:i4>1507383</vt:i4>
      </vt:variant>
      <vt:variant>
        <vt:i4>140</vt:i4>
      </vt:variant>
      <vt:variant>
        <vt:i4>0</vt:i4>
      </vt:variant>
      <vt:variant>
        <vt:i4>5</vt:i4>
      </vt:variant>
      <vt:variant>
        <vt:lpwstr/>
      </vt:variant>
      <vt:variant>
        <vt:lpwstr>_Toc252365134</vt:lpwstr>
      </vt:variant>
      <vt:variant>
        <vt:i4>1507383</vt:i4>
      </vt:variant>
      <vt:variant>
        <vt:i4>134</vt:i4>
      </vt:variant>
      <vt:variant>
        <vt:i4>0</vt:i4>
      </vt:variant>
      <vt:variant>
        <vt:i4>5</vt:i4>
      </vt:variant>
      <vt:variant>
        <vt:lpwstr/>
      </vt:variant>
      <vt:variant>
        <vt:lpwstr>_Toc252365133</vt:lpwstr>
      </vt:variant>
      <vt:variant>
        <vt:i4>1507383</vt:i4>
      </vt:variant>
      <vt:variant>
        <vt:i4>128</vt:i4>
      </vt:variant>
      <vt:variant>
        <vt:i4>0</vt:i4>
      </vt:variant>
      <vt:variant>
        <vt:i4>5</vt:i4>
      </vt:variant>
      <vt:variant>
        <vt:lpwstr/>
      </vt:variant>
      <vt:variant>
        <vt:lpwstr>_Toc252365132</vt:lpwstr>
      </vt:variant>
      <vt:variant>
        <vt:i4>1507383</vt:i4>
      </vt:variant>
      <vt:variant>
        <vt:i4>122</vt:i4>
      </vt:variant>
      <vt:variant>
        <vt:i4>0</vt:i4>
      </vt:variant>
      <vt:variant>
        <vt:i4>5</vt:i4>
      </vt:variant>
      <vt:variant>
        <vt:lpwstr/>
      </vt:variant>
      <vt:variant>
        <vt:lpwstr>_Toc252365131</vt:lpwstr>
      </vt:variant>
      <vt:variant>
        <vt:i4>1507383</vt:i4>
      </vt:variant>
      <vt:variant>
        <vt:i4>116</vt:i4>
      </vt:variant>
      <vt:variant>
        <vt:i4>0</vt:i4>
      </vt:variant>
      <vt:variant>
        <vt:i4>5</vt:i4>
      </vt:variant>
      <vt:variant>
        <vt:lpwstr/>
      </vt:variant>
      <vt:variant>
        <vt:lpwstr>_Toc252365130</vt:lpwstr>
      </vt:variant>
      <vt:variant>
        <vt:i4>1441847</vt:i4>
      </vt:variant>
      <vt:variant>
        <vt:i4>110</vt:i4>
      </vt:variant>
      <vt:variant>
        <vt:i4>0</vt:i4>
      </vt:variant>
      <vt:variant>
        <vt:i4>5</vt:i4>
      </vt:variant>
      <vt:variant>
        <vt:lpwstr/>
      </vt:variant>
      <vt:variant>
        <vt:lpwstr>_Toc252365129</vt:lpwstr>
      </vt:variant>
      <vt:variant>
        <vt:i4>1441847</vt:i4>
      </vt:variant>
      <vt:variant>
        <vt:i4>104</vt:i4>
      </vt:variant>
      <vt:variant>
        <vt:i4>0</vt:i4>
      </vt:variant>
      <vt:variant>
        <vt:i4>5</vt:i4>
      </vt:variant>
      <vt:variant>
        <vt:lpwstr/>
      </vt:variant>
      <vt:variant>
        <vt:lpwstr>_Toc252365128</vt:lpwstr>
      </vt:variant>
      <vt:variant>
        <vt:i4>1441847</vt:i4>
      </vt:variant>
      <vt:variant>
        <vt:i4>98</vt:i4>
      </vt:variant>
      <vt:variant>
        <vt:i4>0</vt:i4>
      </vt:variant>
      <vt:variant>
        <vt:i4>5</vt:i4>
      </vt:variant>
      <vt:variant>
        <vt:lpwstr/>
      </vt:variant>
      <vt:variant>
        <vt:lpwstr>_Toc252365127</vt:lpwstr>
      </vt:variant>
      <vt:variant>
        <vt:i4>1441847</vt:i4>
      </vt:variant>
      <vt:variant>
        <vt:i4>92</vt:i4>
      </vt:variant>
      <vt:variant>
        <vt:i4>0</vt:i4>
      </vt:variant>
      <vt:variant>
        <vt:i4>5</vt:i4>
      </vt:variant>
      <vt:variant>
        <vt:lpwstr/>
      </vt:variant>
      <vt:variant>
        <vt:lpwstr>_Toc252365126</vt:lpwstr>
      </vt:variant>
      <vt:variant>
        <vt:i4>1441847</vt:i4>
      </vt:variant>
      <vt:variant>
        <vt:i4>86</vt:i4>
      </vt:variant>
      <vt:variant>
        <vt:i4>0</vt:i4>
      </vt:variant>
      <vt:variant>
        <vt:i4>5</vt:i4>
      </vt:variant>
      <vt:variant>
        <vt:lpwstr/>
      </vt:variant>
      <vt:variant>
        <vt:lpwstr>_Toc252365125</vt:lpwstr>
      </vt:variant>
      <vt:variant>
        <vt:i4>1441847</vt:i4>
      </vt:variant>
      <vt:variant>
        <vt:i4>80</vt:i4>
      </vt:variant>
      <vt:variant>
        <vt:i4>0</vt:i4>
      </vt:variant>
      <vt:variant>
        <vt:i4>5</vt:i4>
      </vt:variant>
      <vt:variant>
        <vt:lpwstr/>
      </vt:variant>
      <vt:variant>
        <vt:lpwstr>_Toc252365124</vt:lpwstr>
      </vt:variant>
      <vt:variant>
        <vt:i4>1441847</vt:i4>
      </vt:variant>
      <vt:variant>
        <vt:i4>74</vt:i4>
      </vt:variant>
      <vt:variant>
        <vt:i4>0</vt:i4>
      </vt:variant>
      <vt:variant>
        <vt:i4>5</vt:i4>
      </vt:variant>
      <vt:variant>
        <vt:lpwstr/>
      </vt:variant>
      <vt:variant>
        <vt:lpwstr>_Toc252365123</vt:lpwstr>
      </vt:variant>
      <vt:variant>
        <vt:i4>1441847</vt:i4>
      </vt:variant>
      <vt:variant>
        <vt:i4>68</vt:i4>
      </vt:variant>
      <vt:variant>
        <vt:i4>0</vt:i4>
      </vt:variant>
      <vt:variant>
        <vt:i4>5</vt:i4>
      </vt:variant>
      <vt:variant>
        <vt:lpwstr/>
      </vt:variant>
      <vt:variant>
        <vt:lpwstr>_Toc252365122</vt:lpwstr>
      </vt:variant>
      <vt:variant>
        <vt:i4>1441847</vt:i4>
      </vt:variant>
      <vt:variant>
        <vt:i4>62</vt:i4>
      </vt:variant>
      <vt:variant>
        <vt:i4>0</vt:i4>
      </vt:variant>
      <vt:variant>
        <vt:i4>5</vt:i4>
      </vt:variant>
      <vt:variant>
        <vt:lpwstr/>
      </vt:variant>
      <vt:variant>
        <vt:lpwstr>_Toc252365121</vt:lpwstr>
      </vt:variant>
      <vt:variant>
        <vt:i4>1441847</vt:i4>
      </vt:variant>
      <vt:variant>
        <vt:i4>56</vt:i4>
      </vt:variant>
      <vt:variant>
        <vt:i4>0</vt:i4>
      </vt:variant>
      <vt:variant>
        <vt:i4>5</vt:i4>
      </vt:variant>
      <vt:variant>
        <vt:lpwstr/>
      </vt:variant>
      <vt:variant>
        <vt:lpwstr>_Toc252365120</vt:lpwstr>
      </vt:variant>
      <vt:variant>
        <vt:i4>1376311</vt:i4>
      </vt:variant>
      <vt:variant>
        <vt:i4>50</vt:i4>
      </vt:variant>
      <vt:variant>
        <vt:i4>0</vt:i4>
      </vt:variant>
      <vt:variant>
        <vt:i4>5</vt:i4>
      </vt:variant>
      <vt:variant>
        <vt:lpwstr/>
      </vt:variant>
      <vt:variant>
        <vt:lpwstr>_Toc252365119</vt:lpwstr>
      </vt:variant>
      <vt:variant>
        <vt:i4>1376311</vt:i4>
      </vt:variant>
      <vt:variant>
        <vt:i4>44</vt:i4>
      </vt:variant>
      <vt:variant>
        <vt:i4>0</vt:i4>
      </vt:variant>
      <vt:variant>
        <vt:i4>5</vt:i4>
      </vt:variant>
      <vt:variant>
        <vt:lpwstr/>
      </vt:variant>
      <vt:variant>
        <vt:lpwstr>_Toc252365118</vt:lpwstr>
      </vt:variant>
      <vt:variant>
        <vt:i4>1376311</vt:i4>
      </vt:variant>
      <vt:variant>
        <vt:i4>38</vt:i4>
      </vt:variant>
      <vt:variant>
        <vt:i4>0</vt:i4>
      </vt:variant>
      <vt:variant>
        <vt:i4>5</vt:i4>
      </vt:variant>
      <vt:variant>
        <vt:lpwstr/>
      </vt:variant>
      <vt:variant>
        <vt:lpwstr>_Toc252365117</vt:lpwstr>
      </vt:variant>
      <vt:variant>
        <vt:i4>1376311</vt:i4>
      </vt:variant>
      <vt:variant>
        <vt:i4>32</vt:i4>
      </vt:variant>
      <vt:variant>
        <vt:i4>0</vt:i4>
      </vt:variant>
      <vt:variant>
        <vt:i4>5</vt:i4>
      </vt:variant>
      <vt:variant>
        <vt:lpwstr/>
      </vt:variant>
      <vt:variant>
        <vt:lpwstr>_Toc252365116</vt:lpwstr>
      </vt:variant>
      <vt:variant>
        <vt:i4>1376311</vt:i4>
      </vt:variant>
      <vt:variant>
        <vt:i4>26</vt:i4>
      </vt:variant>
      <vt:variant>
        <vt:i4>0</vt:i4>
      </vt:variant>
      <vt:variant>
        <vt:i4>5</vt:i4>
      </vt:variant>
      <vt:variant>
        <vt:lpwstr/>
      </vt:variant>
      <vt:variant>
        <vt:lpwstr>_Toc252365115</vt:lpwstr>
      </vt:variant>
      <vt:variant>
        <vt:i4>1376311</vt:i4>
      </vt:variant>
      <vt:variant>
        <vt:i4>20</vt:i4>
      </vt:variant>
      <vt:variant>
        <vt:i4>0</vt:i4>
      </vt:variant>
      <vt:variant>
        <vt:i4>5</vt:i4>
      </vt:variant>
      <vt:variant>
        <vt:lpwstr/>
      </vt:variant>
      <vt:variant>
        <vt:lpwstr>_Toc252365114</vt:lpwstr>
      </vt:variant>
      <vt:variant>
        <vt:i4>1376311</vt:i4>
      </vt:variant>
      <vt:variant>
        <vt:i4>14</vt:i4>
      </vt:variant>
      <vt:variant>
        <vt:i4>0</vt:i4>
      </vt:variant>
      <vt:variant>
        <vt:i4>5</vt:i4>
      </vt:variant>
      <vt:variant>
        <vt:lpwstr/>
      </vt:variant>
      <vt:variant>
        <vt:lpwstr>_Toc252365113</vt:lpwstr>
      </vt:variant>
      <vt:variant>
        <vt:i4>1376311</vt:i4>
      </vt:variant>
      <vt:variant>
        <vt:i4>8</vt:i4>
      </vt:variant>
      <vt:variant>
        <vt:i4>0</vt:i4>
      </vt:variant>
      <vt:variant>
        <vt:i4>5</vt:i4>
      </vt:variant>
      <vt:variant>
        <vt:lpwstr/>
      </vt:variant>
      <vt:variant>
        <vt:lpwstr>_Toc252365112</vt:lpwstr>
      </vt:variant>
      <vt:variant>
        <vt:i4>1376311</vt:i4>
      </vt:variant>
      <vt:variant>
        <vt:i4>2</vt:i4>
      </vt:variant>
      <vt:variant>
        <vt:i4>0</vt:i4>
      </vt:variant>
      <vt:variant>
        <vt:i4>5</vt:i4>
      </vt:variant>
      <vt:variant>
        <vt:lpwstr/>
      </vt:variant>
      <vt:variant>
        <vt:lpwstr>_Toc252365111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2014 Network Price Determination – Part A – Statement of Reasons</dc:title>
  <dc:creator>h4a</dc:creator>
  <cp:lastModifiedBy>Kielbasa, Jakub</cp:lastModifiedBy>
  <cp:revision>2</cp:revision>
  <cp:lastPrinted>2014-04-23T07:37:00Z</cp:lastPrinted>
  <dcterms:created xsi:type="dcterms:W3CDTF">2015-01-16T05:50:00Z</dcterms:created>
  <dcterms:modified xsi:type="dcterms:W3CDTF">2015-01-16T05:50:00Z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TC011847151033</vt:lpwstr>
  </property>
  <property fmtid="{D5CDD505-2E9C-101B-9397-08002B2CF9AE}" pid="3" name="ContentTypeId">
    <vt:lpwstr>0x010100A732A70C922B6143BA1C1EFF719AB478</vt:lpwstr>
  </property>
</Properties>
</file>