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409F" w14:textId="55B4553F" w:rsidR="00EA4DD8" w:rsidRDefault="001C1CF1" w:rsidP="008945B4">
      <w:r w:rsidRPr="00290C63">
        <w:rPr>
          <w:noProof/>
          <w:lang w:eastAsia="en-AU"/>
        </w:rPr>
        <w:drawing>
          <wp:anchor distT="0" distB="0" distL="114300" distR="114300" simplePos="0" relativeHeight="251659264" behindDoc="1" locked="0" layoutInCell="1" allowOverlap="1" wp14:anchorId="0B5C8C03" wp14:editId="02373792">
            <wp:simplePos x="0" y="0"/>
            <wp:positionH relativeFrom="column">
              <wp:posOffset>-947420</wp:posOffset>
            </wp:positionH>
            <wp:positionV relativeFrom="paragraph">
              <wp:posOffset>-795342</wp:posOffset>
            </wp:positionV>
            <wp:extent cx="7632824" cy="10904220"/>
            <wp:effectExtent l="0" t="0" r="6350"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32824" cy="10904220"/>
                    </a:xfrm>
                    <a:prstGeom prst="rect">
                      <a:avLst/>
                    </a:prstGeom>
                    <a:noFill/>
                  </pic:spPr>
                </pic:pic>
              </a:graphicData>
            </a:graphic>
            <wp14:sizeRelH relativeFrom="page">
              <wp14:pctWidth>0</wp14:pctWidth>
            </wp14:sizeRelH>
            <wp14:sizeRelV relativeFrom="page">
              <wp14:pctHeight>0</wp14:pctHeight>
            </wp14:sizeRelV>
          </wp:anchor>
        </w:drawing>
      </w:r>
    </w:p>
    <w:sdt>
      <w:sdtPr>
        <w:id w:val="193283677"/>
        <w:docPartObj>
          <w:docPartGallery w:val="Cover Pages"/>
          <w:docPartUnique/>
        </w:docPartObj>
      </w:sdtPr>
      <w:sdtEndPr>
        <w:rPr>
          <w:lang w:val="en-US"/>
        </w:rPr>
      </w:sdtEndPr>
      <w:sdtContent>
        <w:p w14:paraId="37DD8C97" w14:textId="0F893B3B" w:rsidR="008E7D99" w:rsidRDefault="008E7D99" w:rsidP="008945B4"/>
        <w:tbl>
          <w:tblPr>
            <w:tblStyle w:val="TableGrid"/>
            <w:tblW w:w="0" w:type="auto"/>
            <w:tblBorders>
              <w:top w:val="none" w:sz="0" w:space="0" w:color="auto"/>
              <w:bottom w:val="none" w:sz="0" w:space="0" w:color="auto"/>
            </w:tblBorders>
            <w:tblLook w:val="0400" w:firstRow="0" w:lastRow="0" w:firstColumn="0" w:lastColumn="0" w:noHBand="0" w:noVBand="1"/>
          </w:tblPr>
          <w:tblGrid>
            <w:gridCol w:w="9026"/>
          </w:tblGrid>
          <w:tr w:rsidR="008E7D99" w:rsidRPr="00C755AD" w14:paraId="1D451FF1" w14:textId="77777777" w:rsidTr="00FA4E09">
            <w:trPr>
              <w:trHeight w:val="4227"/>
            </w:trPr>
            <w:tc>
              <w:tcPr>
                <w:tcW w:w="9242" w:type="dxa"/>
              </w:tcPr>
              <w:p w14:paraId="49674C34" w14:textId="4A161279" w:rsidR="008E7D99" w:rsidRPr="005E6C0E" w:rsidRDefault="008E7D99" w:rsidP="00181223"/>
              <w:p w14:paraId="1AE34E72" w14:textId="7B3E3920" w:rsidR="008E7D99" w:rsidRPr="00E27642" w:rsidRDefault="008E7D99" w:rsidP="00E27642"/>
            </w:tc>
          </w:tr>
          <w:tr w:rsidR="008E7D99" w:rsidRPr="00C755AD" w14:paraId="60DDEC5B" w14:textId="77777777" w:rsidTr="00C755AD">
            <w:tc>
              <w:tcPr>
                <w:tcW w:w="9242" w:type="dxa"/>
              </w:tcPr>
              <w:p w14:paraId="7FE720B0" w14:textId="69E0F429" w:rsidR="008E7D99" w:rsidRPr="00C755AD" w:rsidRDefault="00F017F2" w:rsidP="00303C4A">
                <w:pPr>
                  <w:pStyle w:val="Title"/>
                </w:pPr>
                <w:r>
                  <w:t xml:space="preserve">Amendment of the </w:t>
                </w:r>
                <w:r w:rsidR="008E7D99">
                  <w:t xml:space="preserve">Day Ahead Auction Record </w:t>
                </w:r>
                <w:r w:rsidR="00534895">
                  <w:t xml:space="preserve">Keeping Guideline </w:t>
                </w:r>
              </w:p>
            </w:tc>
          </w:tr>
          <w:tr w:rsidR="008E7D99" w:rsidRPr="00C755AD" w14:paraId="607EE9E0" w14:textId="77777777" w:rsidTr="00C755AD">
            <w:tc>
              <w:tcPr>
                <w:tcW w:w="9242" w:type="dxa"/>
              </w:tcPr>
              <w:p w14:paraId="3CC158F8" w14:textId="3BF0F057" w:rsidR="008E7D99" w:rsidRPr="00C755AD" w:rsidRDefault="00534895" w:rsidP="00303C4A">
                <w:pPr>
                  <w:pStyle w:val="Subtitle"/>
                </w:pPr>
                <w:r>
                  <w:t xml:space="preserve">Consultation Paper </w:t>
                </w:r>
                <w:r w:rsidR="00882FB3">
                  <w:t>and Questionnaire</w:t>
                </w:r>
              </w:p>
            </w:tc>
          </w:tr>
          <w:tr w:rsidR="008E7D99" w:rsidRPr="00C755AD" w14:paraId="2CA05E67" w14:textId="77777777" w:rsidTr="00C755AD">
            <w:tc>
              <w:tcPr>
                <w:tcW w:w="9242" w:type="dxa"/>
              </w:tcPr>
              <w:p w14:paraId="7FDF10A9" w14:textId="77777777" w:rsidR="008E7D99" w:rsidRPr="00C755AD" w:rsidRDefault="008E7D99" w:rsidP="00303C4A"/>
              <w:p w14:paraId="2B8F1EE1" w14:textId="337CF139" w:rsidR="008E7D99" w:rsidRPr="00C755AD" w:rsidRDefault="00882FB3" w:rsidP="00303C4A">
                <w:pPr>
                  <w:pStyle w:val="CoverDate"/>
                </w:pPr>
                <w:r>
                  <w:t>April</w:t>
                </w:r>
                <w:r w:rsidR="002A6515">
                  <w:t xml:space="preserve"> </w:t>
                </w:r>
                <w:r w:rsidR="00534895">
                  <w:t>202</w:t>
                </w:r>
                <w:r w:rsidR="002A6515">
                  <w:t>3</w:t>
                </w:r>
              </w:p>
            </w:tc>
          </w:tr>
        </w:tbl>
        <w:p w14:paraId="1F5265E5" w14:textId="6814B568" w:rsidR="008E7D99" w:rsidRPr="003B5A70" w:rsidRDefault="008E7D99" w:rsidP="005E6C0E">
          <w:pPr>
            <w:tabs>
              <w:tab w:val="left" w:pos="340"/>
              <w:tab w:val="left" w:pos="680"/>
              <w:tab w:val="left" w:pos="1021"/>
              <w:tab w:val="left" w:pos="1361"/>
            </w:tabs>
          </w:pPr>
        </w:p>
        <w:p w14:paraId="548B47A1" w14:textId="29611DFA" w:rsidR="00DB7DA1" w:rsidRPr="00DB7DA1" w:rsidRDefault="00DB7DA1" w:rsidP="00D7418F">
          <w:pPr>
            <w:pStyle w:val="Heading1"/>
          </w:pPr>
          <w:r>
            <w:t xml:space="preserve"> </w:t>
          </w:r>
        </w:p>
        <w:p w14:paraId="1567512A" w14:textId="77777777" w:rsidR="00D7418F" w:rsidRDefault="00D7418F" w:rsidP="00DB7DA1">
          <w:pPr>
            <w:rPr>
              <w:lang w:val="en-US"/>
            </w:rPr>
          </w:pPr>
        </w:p>
        <w:p w14:paraId="495C6AFE" w14:textId="77777777" w:rsidR="004D283E" w:rsidRDefault="008E7D99" w:rsidP="004D283E">
          <w:pPr>
            <w:pStyle w:val="Heading1"/>
            <w:rPr>
              <w:lang w:val="en-US"/>
            </w:rPr>
          </w:pPr>
          <w:r>
            <w:rPr>
              <w:lang w:val="en-US"/>
            </w:rPr>
            <w:br w:type="page"/>
          </w:r>
          <w:bookmarkStart w:id="0" w:name="_Toc127793002"/>
          <w:r w:rsidR="004D283E">
            <w:rPr>
              <w:lang w:val="en-US"/>
            </w:rPr>
            <w:lastRenderedPageBreak/>
            <w:t>Contents</w:t>
          </w:r>
          <w:bookmarkEnd w:id="0"/>
          <w:r w:rsidR="004D283E">
            <w:rPr>
              <w:lang w:val="en-US"/>
            </w:rPr>
            <w:t xml:space="preserve"> </w:t>
          </w:r>
        </w:p>
        <w:sdt>
          <w:sdtPr>
            <w:rPr>
              <w:rFonts w:ascii="Palatino Linotype" w:eastAsiaTheme="majorEastAsia" w:hAnsi="Palatino Linotype" w:cstheme="majorBidi"/>
              <w:bCs/>
              <w:noProof w:val="0"/>
              <w:color w:val="410099" w:themeColor="accent1"/>
              <w:sz w:val="36"/>
              <w:szCs w:val="28"/>
              <w:lang w:val="en-AU" w:eastAsia="en-US"/>
            </w:rPr>
            <w:id w:val="2107460516"/>
            <w:docPartObj>
              <w:docPartGallery w:val="Table of Contents"/>
              <w:docPartUnique/>
            </w:docPartObj>
          </w:sdtPr>
          <w:sdtEndPr/>
          <w:sdtContent>
            <w:p w14:paraId="3BCC663E" w14:textId="3FFAEB09" w:rsidR="002B4592" w:rsidRDefault="004D283E" w:rsidP="002B4592">
              <w:pPr>
                <w:pStyle w:val="TOC1"/>
                <w:rPr>
                  <w:rFonts w:asciiTheme="minorHAnsi" w:eastAsiaTheme="minorEastAsia" w:hAnsiTheme="minorHAnsi"/>
                  <w:lang w:val="en-AU" w:eastAsia="en-AU"/>
                </w:rPr>
              </w:pPr>
              <w:r>
                <w:fldChar w:fldCharType="begin"/>
              </w:r>
              <w:r>
                <w:instrText xml:space="preserve"> TOC \o \h \z \u </w:instrText>
              </w:r>
              <w:r>
                <w:fldChar w:fldCharType="separate"/>
              </w:r>
              <w:hyperlink w:anchor="_Toc127793002" w:history="1">
                <w:r w:rsidR="002B4592" w:rsidRPr="002E5060">
                  <w:rPr>
                    <w:rStyle w:val="Hyperlink"/>
                  </w:rPr>
                  <w:t>Contents</w:t>
                </w:r>
                <w:r w:rsidR="002B4592">
                  <w:rPr>
                    <w:webHidden/>
                  </w:rPr>
                  <w:tab/>
                </w:r>
                <w:r w:rsidR="002B4592">
                  <w:rPr>
                    <w:webHidden/>
                  </w:rPr>
                  <w:fldChar w:fldCharType="begin"/>
                </w:r>
                <w:r w:rsidR="002B4592">
                  <w:rPr>
                    <w:webHidden/>
                  </w:rPr>
                  <w:instrText xml:space="preserve"> PAGEREF _Toc127793002 \h </w:instrText>
                </w:r>
                <w:r w:rsidR="002B4592">
                  <w:rPr>
                    <w:webHidden/>
                  </w:rPr>
                </w:r>
                <w:r w:rsidR="002B4592">
                  <w:rPr>
                    <w:webHidden/>
                  </w:rPr>
                  <w:fldChar w:fldCharType="separate"/>
                </w:r>
                <w:r w:rsidR="002B4592">
                  <w:rPr>
                    <w:webHidden/>
                  </w:rPr>
                  <w:t>1</w:t>
                </w:r>
                <w:r w:rsidR="002B4592">
                  <w:rPr>
                    <w:webHidden/>
                  </w:rPr>
                  <w:fldChar w:fldCharType="end"/>
                </w:r>
              </w:hyperlink>
            </w:p>
            <w:p w14:paraId="2B7B1F08" w14:textId="2EFC9304" w:rsidR="002B4592" w:rsidRDefault="00B30F35" w:rsidP="002B4592">
              <w:pPr>
                <w:pStyle w:val="TOC1"/>
                <w:rPr>
                  <w:rFonts w:asciiTheme="minorHAnsi" w:eastAsiaTheme="minorEastAsia" w:hAnsiTheme="minorHAnsi"/>
                  <w:lang w:val="en-AU" w:eastAsia="en-AU"/>
                </w:rPr>
              </w:pPr>
              <w:hyperlink w:anchor="_Toc127793003" w:history="1">
                <w:r w:rsidR="002B4592" w:rsidRPr="002E5060">
                  <w:rPr>
                    <w:rStyle w:val="Hyperlink"/>
                  </w:rPr>
                  <w:t>Summary</w:t>
                </w:r>
                <w:r w:rsidR="002B4592">
                  <w:rPr>
                    <w:webHidden/>
                  </w:rPr>
                  <w:tab/>
                </w:r>
                <w:r w:rsidR="002B4592">
                  <w:rPr>
                    <w:webHidden/>
                  </w:rPr>
                  <w:fldChar w:fldCharType="begin"/>
                </w:r>
                <w:r w:rsidR="002B4592">
                  <w:rPr>
                    <w:webHidden/>
                  </w:rPr>
                  <w:instrText xml:space="preserve"> PAGEREF _Toc127793003 \h </w:instrText>
                </w:r>
                <w:r w:rsidR="002B4592">
                  <w:rPr>
                    <w:webHidden/>
                  </w:rPr>
                </w:r>
                <w:r w:rsidR="002B4592">
                  <w:rPr>
                    <w:webHidden/>
                  </w:rPr>
                  <w:fldChar w:fldCharType="separate"/>
                </w:r>
                <w:r w:rsidR="002B4592">
                  <w:rPr>
                    <w:webHidden/>
                  </w:rPr>
                  <w:t>2</w:t>
                </w:r>
                <w:r w:rsidR="002B4592">
                  <w:rPr>
                    <w:webHidden/>
                  </w:rPr>
                  <w:fldChar w:fldCharType="end"/>
                </w:r>
              </w:hyperlink>
            </w:p>
            <w:p w14:paraId="2D624CD3" w14:textId="76F560F4" w:rsidR="002B4592" w:rsidRDefault="00B30F35" w:rsidP="002B4592">
              <w:pPr>
                <w:pStyle w:val="TOC1"/>
                <w:rPr>
                  <w:rFonts w:asciiTheme="minorHAnsi" w:eastAsiaTheme="minorEastAsia" w:hAnsiTheme="minorHAnsi"/>
                  <w:lang w:val="en-AU" w:eastAsia="en-AU"/>
                </w:rPr>
              </w:pPr>
              <w:hyperlink w:anchor="_Toc127793004" w:history="1">
                <w:r w:rsidR="002B4592" w:rsidRPr="002E5060">
                  <w:rPr>
                    <w:rStyle w:val="Hyperlink"/>
                  </w:rPr>
                  <w:t>1.</w:t>
                </w:r>
                <w:r w:rsidR="002B4592">
                  <w:rPr>
                    <w:rFonts w:asciiTheme="minorHAnsi" w:eastAsiaTheme="minorEastAsia" w:hAnsiTheme="minorHAnsi"/>
                    <w:lang w:val="en-AU" w:eastAsia="en-AU"/>
                  </w:rPr>
                  <w:tab/>
                </w:r>
                <w:r w:rsidR="002B4592" w:rsidRPr="002E5060">
                  <w:rPr>
                    <w:rStyle w:val="Hyperlink"/>
                  </w:rPr>
                  <w:t>Purpose</w:t>
                </w:r>
                <w:r w:rsidR="002B4592">
                  <w:rPr>
                    <w:webHidden/>
                  </w:rPr>
                  <w:tab/>
                </w:r>
                <w:r w:rsidR="002B4592">
                  <w:rPr>
                    <w:webHidden/>
                  </w:rPr>
                  <w:fldChar w:fldCharType="begin"/>
                </w:r>
                <w:r w:rsidR="002B4592">
                  <w:rPr>
                    <w:webHidden/>
                  </w:rPr>
                  <w:instrText xml:space="preserve"> PAGEREF _Toc127793004 \h </w:instrText>
                </w:r>
                <w:r w:rsidR="002B4592">
                  <w:rPr>
                    <w:webHidden/>
                  </w:rPr>
                </w:r>
                <w:r w:rsidR="002B4592">
                  <w:rPr>
                    <w:webHidden/>
                  </w:rPr>
                  <w:fldChar w:fldCharType="separate"/>
                </w:r>
                <w:r w:rsidR="002B4592">
                  <w:rPr>
                    <w:webHidden/>
                  </w:rPr>
                  <w:t>3</w:t>
                </w:r>
                <w:r w:rsidR="002B4592">
                  <w:rPr>
                    <w:webHidden/>
                  </w:rPr>
                  <w:fldChar w:fldCharType="end"/>
                </w:r>
              </w:hyperlink>
            </w:p>
            <w:p w14:paraId="2F2A091B" w14:textId="1AC8975E" w:rsidR="002B4592" w:rsidRDefault="00B30F35" w:rsidP="002B4592">
              <w:pPr>
                <w:pStyle w:val="TOC1"/>
                <w:rPr>
                  <w:rFonts w:asciiTheme="minorHAnsi" w:eastAsiaTheme="minorEastAsia" w:hAnsiTheme="minorHAnsi"/>
                  <w:lang w:val="en-AU" w:eastAsia="en-AU"/>
                </w:rPr>
              </w:pPr>
              <w:hyperlink w:anchor="_Toc127793005" w:history="1">
                <w:r w:rsidR="002B4592" w:rsidRPr="002E5060">
                  <w:rPr>
                    <w:rStyle w:val="Hyperlink"/>
                  </w:rPr>
                  <w:t>2.</w:t>
                </w:r>
                <w:r w:rsidR="002B4592">
                  <w:rPr>
                    <w:rFonts w:asciiTheme="minorHAnsi" w:eastAsiaTheme="minorEastAsia" w:hAnsiTheme="minorHAnsi"/>
                    <w:lang w:val="en-AU" w:eastAsia="en-AU"/>
                  </w:rPr>
                  <w:tab/>
                </w:r>
                <w:r w:rsidR="002B4592" w:rsidRPr="002E5060">
                  <w:rPr>
                    <w:rStyle w:val="Hyperlink"/>
                  </w:rPr>
                  <w:t>Background</w:t>
                </w:r>
                <w:r w:rsidR="002B4592">
                  <w:rPr>
                    <w:webHidden/>
                  </w:rPr>
                  <w:tab/>
                </w:r>
                <w:r w:rsidR="002B4592">
                  <w:rPr>
                    <w:webHidden/>
                  </w:rPr>
                  <w:fldChar w:fldCharType="begin"/>
                </w:r>
                <w:r w:rsidR="002B4592">
                  <w:rPr>
                    <w:webHidden/>
                  </w:rPr>
                  <w:instrText xml:space="preserve"> PAGEREF _Toc127793005 \h </w:instrText>
                </w:r>
                <w:r w:rsidR="002B4592">
                  <w:rPr>
                    <w:webHidden/>
                  </w:rPr>
                </w:r>
                <w:r w:rsidR="002B4592">
                  <w:rPr>
                    <w:webHidden/>
                  </w:rPr>
                  <w:fldChar w:fldCharType="separate"/>
                </w:r>
                <w:r w:rsidR="002B4592">
                  <w:rPr>
                    <w:webHidden/>
                  </w:rPr>
                  <w:t>4</w:t>
                </w:r>
                <w:r w:rsidR="002B4592">
                  <w:rPr>
                    <w:webHidden/>
                  </w:rPr>
                  <w:fldChar w:fldCharType="end"/>
                </w:r>
              </w:hyperlink>
            </w:p>
            <w:p w14:paraId="7AAC0B19" w14:textId="11628AFC" w:rsidR="002B4592" w:rsidRDefault="00B30F35" w:rsidP="002B4592">
              <w:pPr>
                <w:pStyle w:val="TOC1"/>
                <w:rPr>
                  <w:rFonts w:asciiTheme="minorHAnsi" w:eastAsiaTheme="minorEastAsia" w:hAnsiTheme="minorHAnsi"/>
                  <w:lang w:val="en-AU" w:eastAsia="en-AU"/>
                </w:rPr>
              </w:pPr>
              <w:hyperlink w:anchor="_Toc127793006" w:history="1">
                <w:r w:rsidR="002B4592" w:rsidRPr="002E5060">
                  <w:rPr>
                    <w:rStyle w:val="Hyperlink"/>
                  </w:rPr>
                  <w:t>3.</w:t>
                </w:r>
                <w:r w:rsidR="002B4592">
                  <w:rPr>
                    <w:rFonts w:asciiTheme="minorHAnsi" w:eastAsiaTheme="minorEastAsia" w:hAnsiTheme="minorHAnsi"/>
                    <w:lang w:val="en-AU" w:eastAsia="en-AU"/>
                  </w:rPr>
                  <w:tab/>
                </w:r>
                <w:r w:rsidR="002B4592" w:rsidRPr="002E5060">
                  <w:rPr>
                    <w:rStyle w:val="Hyperlink"/>
                  </w:rPr>
                  <w:t>Proposed amendments to the Guideline</w:t>
                </w:r>
                <w:r w:rsidR="002B4592">
                  <w:rPr>
                    <w:webHidden/>
                  </w:rPr>
                  <w:tab/>
                </w:r>
                <w:r w:rsidR="002B4592">
                  <w:rPr>
                    <w:webHidden/>
                  </w:rPr>
                  <w:fldChar w:fldCharType="begin"/>
                </w:r>
                <w:r w:rsidR="002B4592">
                  <w:rPr>
                    <w:webHidden/>
                  </w:rPr>
                  <w:instrText xml:space="preserve"> PAGEREF _Toc127793006 \h </w:instrText>
                </w:r>
                <w:r w:rsidR="002B4592">
                  <w:rPr>
                    <w:webHidden/>
                  </w:rPr>
                </w:r>
                <w:r w:rsidR="002B4592">
                  <w:rPr>
                    <w:webHidden/>
                  </w:rPr>
                  <w:fldChar w:fldCharType="separate"/>
                </w:r>
                <w:r w:rsidR="002B4592">
                  <w:rPr>
                    <w:webHidden/>
                  </w:rPr>
                  <w:t>6</w:t>
                </w:r>
                <w:r w:rsidR="002B4592">
                  <w:rPr>
                    <w:webHidden/>
                  </w:rPr>
                  <w:fldChar w:fldCharType="end"/>
                </w:r>
              </w:hyperlink>
            </w:p>
            <w:p w14:paraId="3532CA6C" w14:textId="4A0A2C75" w:rsidR="002B4592" w:rsidRDefault="00B30F35" w:rsidP="002B4592">
              <w:pPr>
                <w:pStyle w:val="TOC1"/>
                <w:rPr>
                  <w:rFonts w:asciiTheme="minorHAnsi" w:eastAsiaTheme="minorEastAsia" w:hAnsiTheme="minorHAnsi"/>
                  <w:lang w:val="en-AU" w:eastAsia="en-AU"/>
                </w:rPr>
              </w:pPr>
              <w:hyperlink w:anchor="_Toc127793007" w:history="1">
                <w:r w:rsidR="002B4592" w:rsidRPr="002E5060">
                  <w:rPr>
                    <w:rStyle w:val="Hyperlink"/>
                  </w:rPr>
                  <w:t>4.</w:t>
                </w:r>
                <w:r w:rsidR="002B4592">
                  <w:rPr>
                    <w:rFonts w:asciiTheme="minorHAnsi" w:eastAsiaTheme="minorEastAsia" w:hAnsiTheme="minorHAnsi"/>
                    <w:lang w:val="en-AU" w:eastAsia="en-AU"/>
                  </w:rPr>
                  <w:tab/>
                </w:r>
                <w:r w:rsidR="002B4592" w:rsidRPr="002E5060">
                  <w:rPr>
                    <w:rStyle w:val="Hyperlink"/>
                  </w:rPr>
                  <w:t>Consultation process</w:t>
                </w:r>
                <w:r w:rsidR="002B4592">
                  <w:rPr>
                    <w:webHidden/>
                  </w:rPr>
                  <w:tab/>
                </w:r>
                <w:r w:rsidR="002B4592">
                  <w:rPr>
                    <w:webHidden/>
                  </w:rPr>
                  <w:fldChar w:fldCharType="begin"/>
                </w:r>
                <w:r w:rsidR="002B4592">
                  <w:rPr>
                    <w:webHidden/>
                  </w:rPr>
                  <w:instrText xml:space="preserve"> PAGEREF _Toc127793007 \h </w:instrText>
                </w:r>
                <w:r w:rsidR="002B4592">
                  <w:rPr>
                    <w:webHidden/>
                  </w:rPr>
                </w:r>
                <w:r w:rsidR="002B4592">
                  <w:rPr>
                    <w:webHidden/>
                  </w:rPr>
                  <w:fldChar w:fldCharType="separate"/>
                </w:r>
                <w:r w:rsidR="002B4592">
                  <w:rPr>
                    <w:webHidden/>
                  </w:rPr>
                  <w:t>12</w:t>
                </w:r>
                <w:r w:rsidR="002B4592">
                  <w:rPr>
                    <w:webHidden/>
                  </w:rPr>
                  <w:fldChar w:fldCharType="end"/>
                </w:r>
              </w:hyperlink>
            </w:p>
            <w:p w14:paraId="788C7350" w14:textId="5DB86752" w:rsidR="002B4592" w:rsidRDefault="00B30F35">
              <w:pPr>
                <w:pStyle w:val="TOC7"/>
                <w:rPr>
                  <w:rFonts w:asciiTheme="minorHAnsi" w:eastAsiaTheme="minorEastAsia" w:hAnsiTheme="minorHAnsi"/>
                  <w:lang w:eastAsia="en-AU"/>
                </w:rPr>
              </w:pPr>
              <w:hyperlink w:anchor="_Toc127793008" w:history="1">
                <w:r w:rsidR="002B4592" w:rsidRPr="002E5060">
                  <w:rPr>
                    <w:rStyle w:val="Hyperlink"/>
                    <w:b/>
                    <w:bCs/>
                  </w:rPr>
                  <w:t>Schedule 1: Form of nomination and scheduling records for facility operators</w:t>
                </w:r>
                <w:r w:rsidR="002B4592">
                  <w:rPr>
                    <w:webHidden/>
                  </w:rPr>
                  <w:tab/>
                </w:r>
                <w:r w:rsidR="002B4592">
                  <w:rPr>
                    <w:webHidden/>
                  </w:rPr>
                  <w:fldChar w:fldCharType="begin"/>
                </w:r>
                <w:r w:rsidR="002B4592">
                  <w:rPr>
                    <w:webHidden/>
                  </w:rPr>
                  <w:instrText xml:space="preserve"> PAGEREF _Toc127793008 \h </w:instrText>
                </w:r>
                <w:r w:rsidR="002B4592">
                  <w:rPr>
                    <w:webHidden/>
                  </w:rPr>
                </w:r>
                <w:r w:rsidR="002B4592">
                  <w:rPr>
                    <w:webHidden/>
                  </w:rPr>
                  <w:fldChar w:fldCharType="separate"/>
                </w:r>
                <w:r w:rsidR="002B4592">
                  <w:rPr>
                    <w:webHidden/>
                  </w:rPr>
                  <w:t>14</w:t>
                </w:r>
                <w:r w:rsidR="002B4592">
                  <w:rPr>
                    <w:webHidden/>
                  </w:rPr>
                  <w:fldChar w:fldCharType="end"/>
                </w:r>
              </w:hyperlink>
            </w:p>
            <w:p w14:paraId="3F30BB59" w14:textId="24C31579" w:rsidR="002B4592" w:rsidRDefault="00B30F35">
              <w:pPr>
                <w:pStyle w:val="TOC7"/>
                <w:rPr>
                  <w:rFonts w:asciiTheme="minorHAnsi" w:eastAsiaTheme="minorEastAsia" w:hAnsiTheme="minorHAnsi"/>
                  <w:lang w:eastAsia="en-AU"/>
                </w:rPr>
              </w:pPr>
              <w:hyperlink w:anchor="_Toc127793009" w:history="1">
                <w:r w:rsidR="002B4592" w:rsidRPr="002E5060">
                  <w:rPr>
                    <w:rStyle w:val="Hyperlink"/>
                    <w:b/>
                    <w:bCs/>
                  </w:rPr>
                  <w:t>Schedule 2: Form of renomination records for shippers</w:t>
                </w:r>
                <w:r w:rsidR="002B4592">
                  <w:rPr>
                    <w:webHidden/>
                  </w:rPr>
                  <w:tab/>
                </w:r>
                <w:r w:rsidR="002B4592">
                  <w:rPr>
                    <w:webHidden/>
                  </w:rPr>
                  <w:fldChar w:fldCharType="begin"/>
                </w:r>
                <w:r w:rsidR="002B4592">
                  <w:rPr>
                    <w:webHidden/>
                  </w:rPr>
                  <w:instrText xml:space="preserve"> PAGEREF _Toc127793009 \h </w:instrText>
                </w:r>
                <w:r w:rsidR="002B4592">
                  <w:rPr>
                    <w:webHidden/>
                  </w:rPr>
                </w:r>
                <w:r w:rsidR="002B4592">
                  <w:rPr>
                    <w:webHidden/>
                  </w:rPr>
                  <w:fldChar w:fldCharType="separate"/>
                </w:r>
                <w:r w:rsidR="002B4592">
                  <w:rPr>
                    <w:webHidden/>
                  </w:rPr>
                  <w:t>15</w:t>
                </w:r>
                <w:r w:rsidR="002B4592">
                  <w:rPr>
                    <w:webHidden/>
                  </w:rPr>
                  <w:fldChar w:fldCharType="end"/>
                </w:r>
              </w:hyperlink>
            </w:p>
            <w:p w14:paraId="4B9025C4" w14:textId="6CEF587D" w:rsidR="002B4592" w:rsidRDefault="00B30F35" w:rsidP="002B4592">
              <w:pPr>
                <w:pStyle w:val="TOC1"/>
                <w:rPr>
                  <w:rFonts w:asciiTheme="minorHAnsi" w:eastAsiaTheme="minorEastAsia" w:hAnsiTheme="minorHAnsi"/>
                  <w:lang w:val="en-AU" w:eastAsia="en-AU"/>
                </w:rPr>
              </w:pPr>
              <w:hyperlink w:anchor="_Toc127793010" w:history="1">
                <w:r w:rsidR="002B4592" w:rsidRPr="002E5060">
                  <w:rPr>
                    <w:rStyle w:val="Hyperlink"/>
                  </w:rPr>
                  <w:t>Attachment A: Stakeholder feedback template</w:t>
                </w:r>
                <w:r w:rsidR="002B4592">
                  <w:rPr>
                    <w:webHidden/>
                  </w:rPr>
                  <w:tab/>
                </w:r>
                <w:r w:rsidR="002B4592">
                  <w:rPr>
                    <w:webHidden/>
                  </w:rPr>
                  <w:fldChar w:fldCharType="begin"/>
                </w:r>
                <w:r w:rsidR="002B4592">
                  <w:rPr>
                    <w:webHidden/>
                  </w:rPr>
                  <w:instrText xml:space="preserve"> PAGEREF _Toc127793010 \h </w:instrText>
                </w:r>
                <w:r w:rsidR="002B4592">
                  <w:rPr>
                    <w:webHidden/>
                  </w:rPr>
                </w:r>
                <w:r w:rsidR="002B4592">
                  <w:rPr>
                    <w:webHidden/>
                  </w:rPr>
                  <w:fldChar w:fldCharType="separate"/>
                </w:r>
                <w:r w:rsidR="002B4592">
                  <w:rPr>
                    <w:webHidden/>
                  </w:rPr>
                  <w:t>18</w:t>
                </w:r>
                <w:r w:rsidR="002B4592">
                  <w:rPr>
                    <w:webHidden/>
                  </w:rPr>
                  <w:fldChar w:fldCharType="end"/>
                </w:r>
              </w:hyperlink>
            </w:p>
            <w:p w14:paraId="155F5216" w14:textId="0933D4D9" w:rsidR="004D283E" w:rsidRDefault="004D283E" w:rsidP="00230A2F">
              <w:pPr>
                <w:pStyle w:val="Heading1"/>
                <w:tabs>
                  <w:tab w:val="right" w:pos="9026"/>
                </w:tabs>
                <w:rPr>
                  <w:lang w:val="en-US"/>
                </w:rPr>
              </w:pPr>
              <w:r>
                <w:fldChar w:fldCharType="end"/>
              </w:r>
            </w:p>
          </w:sdtContent>
        </w:sdt>
        <w:p w14:paraId="7AE8A1AD" w14:textId="77777777" w:rsidR="00230A2F" w:rsidRDefault="00230A2F">
          <w:pPr>
            <w:rPr>
              <w:rFonts w:ascii="Palatino Linotype" w:eastAsiaTheme="majorEastAsia" w:hAnsi="Palatino Linotype" w:cstheme="majorBidi"/>
              <w:bCs/>
              <w:color w:val="410099" w:themeColor="accent1"/>
              <w:sz w:val="36"/>
              <w:szCs w:val="28"/>
              <w:lang w:val="en-US"/>
            </w:rPr>
          </w:pPr>
          <w:r>
            <w:rPr>
              <w:lang w:val="en-US"/>
            </w:rPr>
            <w:br w:type="page"/>
          </w:r>
        </w:p>
        <w:p w14:paraId="5C44820D" w14:textId="22178226" w:rsidR="00D7418F" w:rsidRDefault="00D7418F" w:rsidP="00DE69A3">
          <w:pPr>
            <w:pStyle w:val="Heading1"/>
            <w:spacing w:line="360" w:lineRule="auto"/>
            <w:rPr>
              <w:lang w:val="en-US"/>
            </w:rPr>
          </w:pPr>
          <w:bookmarkStart w:id="1" w:name="_Toc127793003"/>
          <w:r>
            <w:rPr>
              <w:lang w:val="en-US"/>
            </w:rPr>
            <w:lastRenderedPageBreak/>
            <w:t>Summary</w:t>
          </w:r>
          <w:bookmarkEnd w:id="1"/>
          <w:r>
            <w:rPr>
              <w:lang w:val="en-US"/>
            </w:rPr>
            <w:t xml:space="preserve"> </w:t>
          </w:r>
        </w:p>
        <w:p w14:paraId="5F24BB07" w14:textId="1E71CAE4" w:rsidR="00943879" w:rsidRDefault="00943879" w:rsidP="00DE69A3">
          <w:pPr>
            <w:spacing w:line="360" w:lineRule="auto"/>
            <w:rPr>
              <w:lang w:val="en-US"/>
            </w:rPr>
          </w:pPr>
          <w:r>
            <w:rPr>
              <w:lang w:val="en-US"/>
            </w:rPr>
            <w:t>This consultation paper</w:t>
          </w:r>
          <w:r w:rsidR="00D7418F">
            <w:rPr>
              <w:lang w:val="en-US"/>
            </w:rPr>
            <w:t xml:space="preserve"> invites stakeholders to </w:t>
          </w:r>
          <w:r w:rsidR="00D5621E">
            <w:rPr>
              <w:lang w:val="en-US"/>
            </w:rPr>
            <w:t xml:space="preserve">make </w:t>
          </w:r>
          <w:r w:rsidR="00D7418F">
            <w:rPr>
              <w:lang w:val="en-US"/>
            </w:rPr>
            <w:t xml:space="preserve">written submissions on proposed amendments to the Day Ahead Auction (DAA) Record Keeping Guideline. </w:t>
          </w:r>
        </w:p>
        <w:p w14:paraId="4D82C2A4" w14:textId="07518B4B" w:rsidR="00943879" w:rsidRPr="00943879" w:rsidRDefault="00283624" w:rsidP="001F2532">
          <w:pPr>
            <w:spacing w:line="360" w:lineRule="auto"/>
            <w:rPr>
              <w:lang w:val="en-US"/>
            </w:rPr>
          </w:pPr>
          <w:r w:rsidRPr="00943879">
            <w:rPr>
              <w:lang w:val="en-US"/>
            </w:rPr>
            <w:t xml:space="preserve">The </w:t>
          </w:r>
          <w:r w:rsidR="00943879" w:rsidRPr="00943879">
            <w:rPr>
              <w:lang w:val="en-US"/>
            </w:rPr>
            <w:t>purpose of the changes is</w:t>
          </w:r>
          <w:r w:rsidRPr="00943879">
            <w:rPr>
              <w:lang w:val="en-US"/>
            </w:rPr>
            <w:t xml:space="preserve"> to </w:t>
          </w:r>
          <w:r w:rsidR="00943879" w:rsidRPr="00943879">
            <w:rPr>
              <w:lang w:val="en-US"/>
            </w:rPr>
            <w:t xml:space="preserve">improve the quality of information received in accordance with the Guideline, and to aid </w:t>
          </w:r>
          <w:r w:rsidR="00252FBC">
            <w:rPr>
              <w:lang w:val="en-US"/>
            </w:rPr>
            <w:t xml:space="preserve">facility operator and transportation facility user </w:t>
          </w:r>
          <w:r w:rsidR="00943879" w:rsidRPr="00943879">
            <w:rPr>
              <w:lang w:val="en-US"/>
            </w:rPr>
            <w:t>compliance with the</w:t>
          </w:r>
          <w:r w:rsidR="0031059F">
            <w:rPr>
              <w:lang w:val="en-US"/>
            </w:rPr>
            <w:t xml:space="preserve"> National Gas Rules</w:t>
          </w:r>
          <w:r w:rsidR="00943879" w:rsidRPr="00943879">
            <w:rPr>
              <w:lang w:val="en-US"/>
            </w:rPr>
            <w:t xml:space="preserve"> </w:t>
          </w:r>
          <w:r w:rsidR="0031059F">
            <w:rPr>
              <w:lang w:val="en-US"/>
            </w:rPr>
            <w:t>(</w:t>
          </w:r>
          <w:r w:rsidR="00943879" w:rsidRPr="00943879">
            <w:rPr>
              <w:lang w:val="en-US"/>
            </w:rPr>
            <w:t>NGR</w:t>
          </w:r>
          <w:r w:rsidR="0031059F">
            <w:rPr>
              <w:lang w:val="en-US"/>
            </w:rPr>
            <w:t>)</w:t>
          </w:r>
          <w:r w:rsidR="00943879" w:rsidRPr="00943879">
            <w:rPr>
              <w:lang w:val="en-US"/>
            </w:rPr>
            <w:t xml:space="preserve"> and the</w:t>
          </w:r>
          <w:r w:rsidR="0031059F">
            <w:rPr>
              <w:lang w:val="en-US"/>
            </w:rPr>
            <w:t xml:space="preserve"> National Gas Law</w:t>
          </w:r>
          <w:r w:rsidR="00943879" w:rsidRPr="00943879">
            <w:rPr>
              <w:lang w:val="en-US"/>
            </w:rPr>
            <w:t xml:space="preserve"> </w:t>
          </w:r>
          <w:r w:rsidR="0031059F">
            <w:rPr>
              <w:lang w:val="en-US"/>
            </w:rPr>
            <w:t>(</w:t>
          </w:r>
          <w:r w:rsidR="00943879" w:rsidRPr="00943879">
            <w:rPr>
              <w:lang w:val="en-US"/>
            </w:rPr>
            <w:t>NGL</w:t>
          </w:r>
          <w:r w:rsidR="0031059F">
            <w:rPr>
              <w:lang w:val="en-US"/>
            </w:rPr>
            <w:t>)</w:t>
          </w:r>
          <w:r w:rsidR="00943879" w:rsidRPr="00943879">
            <w:rPr>
              <w:lang w:val="en-US"/>
            </w:rPr>
            <w:t>.</w:t>
          </w:r>
          <w:r w:rsidR="00763C3D">
            <w:rPr>
              <w:lang w:val="en-US"/>
            </w:rPr>
            <w:t xml:space="preserve"> </w:t>
          </w:r>
        </w:p>
        <w:p w14:paraId="012ACF51" w14:textId="77777777" w:rsidR="00061C6B" w:rsidRDefault="00283624" w:rsidP="00283624">
          <w:pPr>
            <w:spacing w:line="360" w:lineRule="auto"/>
            <w:rPr>
              <w:lang w:val="en-US"/>
            </w:rPr>
          </w:pPr>
          <w:r w:rsidRPr="00283624">
            <w:rPr>
              <w:lang w:val="en-US"/>
            </w:rPr>
            <w:t xml:space="preserve">To facilitate </w:t>
          </w:r>
          <w:r>
            <w:rPr>
              <w:lang w:val="en-US"/>
            </w:rPr>
            <w:t xml:space="preserve">the AER’s </w:t>
          </w:r>
          <w:r w:rsidRPr="00283624">
            <w:rPr>
              <w:lang w:val="en-US"/>
            </w:rPr>
            <w:t>oversight of the DAA</w:t>
          </w:r>
          <w:r w:rsidR="00061C6B">
            <w:rPr>
              <w:lang w:val="en-US"/>
            </w:rPr>
            <w:t>:</w:t>
          </w:r>
        </w:p>
        <w:p w14:paraId="78CC8539" w14:textId="1D1749D9" w:rsidR="00061C6B" w:rsidRDefault="00283624" w:rsidP="00F670EF">
          <w:pPr>
            <w:pStyle w:val="ListParagraph"/>
            <w:numPr>
              <w:ilvl w:val="0"/>
              <w:numId w:val="33"/>
            </w:numPr>
            <w:spacing w:line="360" w:lineRule="auto"/>
            <w:rPr>
              <w:lang w:val="en-US"/>
            </w:rPr>
          </w:pPr>
          <w:r w:rsidRPr="001F2532">
            <w:rPr>
              <w:i/>
              <w:iCs/>
              <w:lang w:val="en-US"/>
            </w:rPr>
            <w:t>facility operators</w:t>
          </w:r>
          <w:r w:rsidR="00763C3D">
            <w:rPr>
              <w:i/>
              <w:iCs/>
              <w:lang w:val="en-US"/>
            </w:rPr>
            <w:t xml:space="preserve"> </w:t>
          </w:r>
          <w:r w:rsidRPr="00061C6B">
            <w:rPr>
              <w:lang w:val="en-US"/>
            </w:rPr>
            <w:t>are required to keep specified nomination, renomination and scheduling data and information</w:t>
          </w:r>
          <w:r w:rsidR="00D5621E">
            <w:rPr>
              <w:lang w:val="en-US"/>
            </w:rPr>
            <w:t xml:space="preserve"> for specified facilities</w:t>
          </w:r>
          <w:r w:rsidR="002A5FFB">
            <w:rPr>
              <w:lang w:val="en-US"/>
            </w:rPr>
            <w:t>,</w:t>
          </w:r>
          <w:r w:rsidR="00D5621E">
            <w:rPr>
              <w:rStyle w:val="FootnoteReference"/>
              <w:lang w:val="en-US"/>
            </w:rPr>
            <w:footnoteReference w:id="1"/>
          </w:r>
          <w:r w:rsidR="00D5621E" w:rsidRPr="00061C6B">
            <w:rPr>
              <w:lang w:val="en-US"/>
            </w:rPr>
            <w:t xml:space="preserve"> </w:t>
          </w:r>
          <w:r w:rsidR="00D5621E">
            <w:rPr>
              <w:lang w:val="en-US"/>
            </w:rPr>
            <w:t xml:space="preserve"> and</w:t>
          </w:r>
          <w:r w:rsidRPr="00061C6B">
            <w:rPr>
              <w:lang w:val="en-US"/>
            </w:rPr>
            <w:t xml:space="preserve"> </w:t>
          </w:r>
        </w:p>
        <w:p w14:paraId="20811DCC" w14:textId="78B8864A" w:rsidR="00283624" w:rsidRDefault="00D5621E" w:rsidP="00F670EF">
          <w:pPr>
            <w:pStyle w:val="ListParagraph"/>
            <w:numPr>
              <w:ilvl w:val="0"/>
              <w:numId w:val="33"/>
            </w:numPr>
            <w:spacing w:line="360" w:lineRule="auto"/>
            <w:rPr>
              <w:lang w:val="en-US"/>
            </w:rPr>
          </w:pPr>
          <w:r>
            <w:rPr>
              <w:lang w:val="en-US"/>
            </w:rPr>
            <w:t>t</w:t>
          </w:r>
          <w:r w:rsidR="00283624" w:rsidRPr="00061C6B">
            <w:rPr>
              <w:lang w:val="en-US"/>
            </w:rPr>
            <w:t xml:space="preserve">ransportation facility users </w:t>
          </w:r>
          <w:r w:rsidR="00061C6B">
            <w:rPr>
              <w:lang w:val="en-US"/>
            </w:rPr>
            <w:t xml:space="preserve">(shippers) </w:t>
          </w:r>
          <w:r w:rsidR="00283624" w:rsidRPr="00061C6B">
            <w:rPr>
              <w:lang w:val="en-US"/>
            </w:rPr>
            <w:t xml:space="preserve">must make, </w:t>
          </w:r>
          <w:proofErr w:type="gramStart"/>
          <w:r w:rsidR="00283624" w:rsidRPr="00061C6B">
            <w:rPr>
              <w:lang w:val="en-US"/>
            </w:rPr>
            <w:t>maintain</w:t>
          </w:r>
          <w:proofErr w:type="gramEnd"/>
          <w:r>
            <w:rPr>
              <w:lang w:val="en-US"/>
            </w:rPr>
            <w:t xml:space="preserve"> </w:t>
          </w:r>
          <w:r w:rsidR="00283624" w:rsidRPr="00061C6B">
            <w:rPr>
              <w:lang w:val="en-US"/>
            </w:rPr>
            <w:t>and keep a contemporaneous record of material renomination</w:t>
          </w:r>
          <w:r w:rsidR="00671E6A" w:rsidRPr="00061C6B">
            <w:rPr>
              <w:lang w:val="en-US"/>
            </w:rPr>
            <w:t>s</w:t>
          </w:r>
          <w:r w:rsidR="00283624" w:rsidRPr="00061C6B">
            <w:rPr>
              <w:lang w:val="en-US"/>
            </w:rPr>
            <w:t xml:space="preserve"> (renomination records) of firm and auction services</w:t>
          </w:r>
          <w:r w:rsidR="00061C6B">
            <w:rPr>
              <w:lang w:val="en-US"/>
            </w:rPr>
            <w:t xml:space="preserve"> for</w:t>
          </w:r>
          <w:r>
            <w:rPr>
              <w:lang w:val="en-US"/>
            </w:rPr>
            <w:t xml:space="preserve"> those specified</w:t>
          </w:r>
          <w:r w:rsidR="00061C6B">
            <w:rPr>
              <w:lang w:val="en-US"/>
            </w:rPr>
            <w:t xml:space="preserve"> facilities</w:t>
          </w:r>
          <w:r w:rsidR="002A5FFB">
            <w:rPr>
              <w:lang w:val="en-US"/>
            </w:rPr>
            <w:t>.</w:t>
          </w:r>
          <w:r w:rsidR="00283624" w:rsidRPr="00061C6B">
            <w:rPr>
              <w:lang w:val="en-US"/>
            </w:rPr>
            <w:t xml:space="preserve"> </w:t>
          </w:r>
        </w:p>
        <w:p w14:paraId="2D43B16F" w14:textId="77777777" w:rsidR="004D36FA" w:rsidRDefault="00AD5E67" w:rsidP="0030215C">
          <w:pPr>
            <w:spacing w:line="360" w:lineRule="auto"/>
            <w:rPr>
              <w:lang w:val="en-US"/>
            </w:rPr>
          </w:pPr>
          <w:r w:rsidRPr="00AD5E67">
            <w:rPr>
              <w:lang w:val="en-US"/>
            </w:rPr>
            <w:t xml:space="preserve">The proposed amendments to the Guideline </w:t>
          </w:r>
          <w:r w:rsidR="0030215C" w:rsidRPr="00AD5E67">
            <w:rPr>
              <w:lang w:val="en-US"/>
            </w:rPr>
            <w:t>consist of</w:t>
          </w:r>
          <w:r w:rsidR="004D36FA">
            <w:rPr>
              <w:lang w:val="en-US"/>
            </w:rPr>
            <w:t>:</w:t>
          </w:r>
        </w:p>
        <w:p w14:paraId="3D1B0364" w14:textId="72E8F9DA" w:rsidR="005521F2" w:rsidRDefault="00BD1426" w:rsidP="00F670EF">
          <w:pPr>
            <w:pStyle w:val="ListParagraph"/>
            <w:numPr>
              <w:ilvl w:val="0"/>
              <w:numId w:val="37"/>
            </w:numPr>
            <w:spacing w:line="360" w:lineRule="auto"/>
            <w:rPr>
              <w:lang w:val="en-US"/>
            </w:rPr>
          </w:pPr>
          <w:r>
            <w:rPr>
              <w:lang w:val="en-US"/>
            </w:rPr>
            <w:t>a</w:t>
          </w:r>
          <w:r w:rsidR="0030215C" w:rsidRPr="004D36FA">
            <w:rPr>
              <w:lang w:val="en-US"/>
            </w:rPr>
            <w:t xml:space="preserve">mendments </w:t>
          </w:r>
          <w:r w:rsidR="00AD5E67" w:rsidRPr="004D36FA">
            <w:rPr>
              <w:lang w:val="en-US"/>
            </w:rPr>
            <w:t xml:space="preserve">to </w:t>
          </w:r>
          <w:r w:rsidR="0030215C" w:rsidRPr="004D36FA">
            <w:rPr>
              <w:lang w:val="en-US"/>
            </w:rPr>
            <w:t>how</w:t>
          </w:r>
          <w:r w:rsidR="00AD5E67" w:rsidRPr="004D36FA">
            <w:rPr>
              <w:lang w:val="en-US"/>
            </w:rPr>
            <w:t xml:space="preserve"> facility operators and shippers </w:t>
          </w:r>
          <w:r w:rsidR="005521F2">
            <w:rPr>
              <w:lang w:val="en-US"/>
            </w:rPr>
            <w:t xml:space="preserve">routinely </w:t>
          </w:r>
          <w:r w:rsidR="0030215C" w:rsidRPr="004D36FA">
            <w:rPr>
              <w:lang w:val="en-US"/>
            </w:rPr>
            <w:t xml:space="preserve">report </w:t>
          </w:r>
          <w:r w:rsidR="00AD5E67" w:rsidRPr="004D36FA">
            <w:rPr>
              <w:lang w:val="en-US"/>
            </w:rPr>
            <w:t>data and information to the AER</w:t>
          </w:r>
          <w:r w:rsidR="002A5FFB">
            <w:rPr>
              <w:lang w:val="en-US"/>
            </w:rPr>
            <w:t>,</w:t>
          </w:r>
          <w:r w:rsidR="004D36FA">
            <w:rPr>
              <w:lang w:val="en-US"/>
            </w:rPr>
            <w:t xml:space="preserve"> </w:t>
          </w:r>
        </w:p>
        <w:p w14:paraId="521111CC" w14:textId="24720E50" w:rsidR="0030215C" w:rsidRPr="005521F2" w:rsidRDefault="005521F2" w:rsidP="00C2524B">
          <w:pPr>
            <w:pStyle w:val="ListParagraph"/>
            <w:numPr>
              <w:ilvl w:val="0"/>
              <w:numId w:val="37"/>
            </w:numPr>
            <w:spacing w:line="360" w:lineRule="auto"/>
            <w:rPr>
              <w:lang w:val="en-US"/>
            </w:rPr>
          </w:pPr>
          <w:r w:rsidRPr="004D36FA">
            <w:rPr>
              <w:lang w:val="en-US"/>
            </w:rPr>
            <w:t>minor wording changes for clarity and consistency</w:t>
          </w:r>
          <w:r>
            <w:rPr>
              <w:lang w:val="en-US"/>
            </w:rPr>
            <w:t>,</w:t>
          </w:r>
          <w:r w:rsidRPr="004D36FA">
            <w:rPr>
              <w:lang w:val="en-US"/>
            </w:rPr>
            <w:t xml:space="preserve"> </w:t>
          </w:r>
          <w:r>
            <w:rPr>
              <w:lang w:val="en-US"/>
            </w:rPr>
            <w:t>and</w:t>
          </w:r>
        </w:p>
        <w:p w14:paraId="166E1830" w14:textId="78B7CD71" w:rsidR="004D36FA" w:rsidRPr="004D36FA" w:rsidRDefault="004D36FA" w:rsidP="00F670EF">
          <w:pPr>
            <w:pStyle w:val="ListParagraph"/>
            <w:numPr>
              <w:ilvl w:val="0"/>
              <w:numId w:val="37"/>
            </w:numPr>
            <w:spacing w:line="360" w:lineRule="auto"/>
            <w:rPr>
              <w:lang w:val="en-US"/>
            </w:rPr>
          </w:pPr>
          <w:r w:rsidRPr="006E078F">
            <w:rPr>
              <w:lang w:val="en-US"/>
            </w:rPr>
            <w:t xml:space="preserve">new explicit references to the AER's </w:t>
          </w:r>
          <w:r w:rsidR="00415181">
            <w:rPr>
              <w:lang w:val="en-US"/>
            </w:rPr>
            <w:t xml:space="preserve">market conduct monitoring roles, </w:t>
          </w:r>
          <w:r w:rsidRPr="006E078F">
            <w:rPr>
              <w:lang w:val="en-US"/>
            </w:rPr>
            <w:t>self</w:t>
          </w:r>
          <w:r>
            <w:rPr>
              <w:lang w:val="en-US"/>
            </w:rPr>
            <w:t>-</w:t>
          </w:r>
          <w:r w:rsidRPr="006E078F">
            <w:rPr>
              <w:lang w:val="en-US"/>
            </w:rPr>
            <w:t>reporting guidelines and enforcement options available to the AER</w:t>
          </w:r>
          <w:r w:rsidR="002A5FFB">
            <w:rPr>
              <w:lang w:val="en-US"/>
            </w:rPr>
            <w:t>.</w:t>
          </w:r>
        </w:p>
        <w:p w14:paraId="360DB96D" w14:textId="327C58AA" w:rsidR="00260221" w:rsidRDefault="008F4C0E" w:rsidP="001373F9">
          <w:pPr>
            <w:tabs>
              <w:tab w:val="left" w:pos="340"/>
            </w:tabs>
            <w:spacing w:line="360" w:lineRule="auto"/>
            <w:rPr>
              <w:rStyle w:val="Hyperlink"/>
              <w:lang w:val="en-US"/>
            </w:rPr>
          </w:pPr>
          <w:r>
            <w:rPr>
              <w:lang w:val="en-US"/>
            </w:rPr>
            <w:t xml:space="preserve">Submissions must be lodged </w:t>
          </w:r>
          <w:r w:rsidR="00904B54">
            <w:rPr>
              <w:lang w:val="en-US"/>
            </w:rPr>
            <w:t xml:space="preserve">via email </w:t>
          </w:r>
          <w:r w:rsidR="00E06721">
            <w:rPr>
              <w:lang w:val="en-US"/>
            </w:rPr>
            <w:t>by</w:t>
          </w:r>
          <w:r w:rsidR="00B83023">
            <w:rPr>
              <w:lang w:val="en-US"/>
            </w:rPr>
            <w:t xml:space="preserve"> </w:t>
          </w:r>
          <w:r w:rsidR="00B83023" w:rsidRPr="00B83023">
            <w:rPr>
              <w:b/>
              <w:bCs/>
              <w:u w:val="single"/>
              <w:lang w:val="en-US"/>
            </w:rPr>
            <w:t>5</w:t>
          </w:r>
          <w:r w:rsidR="00654951">
            <w:rPr>
              <w:b/>
              <w:bCs/>
              <w:u w:val="single"/>
              <w:lang w:val="en-US"/>
            </w:rPr>
            <w:t xml:space="preserve"> PM,</w:t>
          </w:r>
          <w:r w:rsidR="00E06721" w:rsidRPr="00B83023">
            <w:rPr>
              <w:b/>
              <w:bCs/>
              <w:u w:val="single"/>
              <w:lang w:val="en-US"/>
            </w:rPr>
            <w:t xml:space="preserve"> </w:t>
          </w:r>
          <w:r w:rsidR="00D1549F">
            <w:rPr>
              <w:b/>
              <w:bCs/>
              <w:u w:val="single"/>
              <w:lang w:val="en-US"/>
            </w:rPr>
            <w:t>12</w:t>
          </w:r>
          <w:r w:rsidR="007279F6">
            <w:rPr>
              <w:b/>
              <w:bCs/>
              <w:u w:val="single"/>
              <w:lang w:val="en-US"/>
            </w:rPr>
            <w:t xml:space="preserve"> </w:t>
          </w:r>
          <w:r w:rsidR="00D1549F">
            <w:rPr>
              <w:b/>
              <w:bCs/>
              <w:u w:val="single"/>
              <w:lang w:val="en-US"/>
            </w:rPr>
            <w:t>May</w:t>
          </w:r>
          <w:r w:rsidR="00A139D6">
            <w:rPr>
              <w:b/>
              <w:bCs/>
              <w:u w:val="single"/>
              <w:lang w:val="en-US"/>
            </w:rPr>
            <w:t xml:space="preserve"> </w:t>
          </w:r>
          <w:r w:rsidR="007279F6">
            <w:rPr>
              <w:b/>
              <w:bCs/>
              <w:u w:val="single"/>
              <w:lang w:val="en-US"/>
            </w:rPr>
            <w:t>202</w:t>
          </w:r>
          <w:r w:rsidR="009C6E97">
            <w:rPr>
              <w:b/>
              <w:bCs/>
              <w:u w:val="single"/>
              <w:lang w:val="en-US"/>
            </w:rPr>
            <w:t>3</w:t>
          </w:r>
          <w:r w:rsidR="00E06721">
            <w:rPr>
              <w:lang w:val="en-US"/>
            </w:rPr>
            <w:t xml:space="preserve"> </w:t>
          </w:r>
          <w:r w:rsidR="00904B54">
            <w:rPr>
              <w:lang w:val="en-US"/>
            </w:rPr>
            <w:t xml:space="preserve">to </w:t>
          </w:r>
          <w:hyperlink r:id="rId9" w:history="1">
            <w:r w:rsidR="00904B54" w:rsidRPr="00B835C9">
              <w:rPr>
                <w:rStyle w:val="Hyperlink"/>
                <w:lang w:val="en-US"/>
              </w:rPr>
              <w:t>AERGasMarketsPipelineCapacityTrading@aer.gov.au</w:t>
            </w:r>
          </w:hyperlink>
          <w:r w:rsidR="00A07AE2" w:rsidRPr="00062020">
            <w:t xml:space="preserve"> with the following email subject: Day Ahead Auction Record Keeping Guideline Consultation. Submissions received will be made available on the AER website </w:t>
          </w:r>
          <w:r w:rsidR="00A07AE2">
            <w:rPr>
              <w:rStyle w:val="Hyperlink"/>
              <w:lang w:val="en-US"/>
            </w:rPr>
            <w:t>(</w:t>
          </w:r>
          <w:hyperlink r:id="rId10" w:history="1">
            <w:r w:rsidR="00671007" w:rsidRPr="00671007">
              <w:rPr>
                <w:rStyle w:val="Hyperlink"/>
                <w:lang w:val="en-US"/>
              </w:rPr>
              <w:t>www.aer.gov.au</w:t>
            </w:r>
          </w:hyperlink>
          <w:r w:rsidR="00671007">
            <w:rPr>
              <w:rStyle w:val="Hyperlink"/>
              <w:lang w:val="en-US"/>
            </w:rPr>
            <w:t>)</w:t>
          </w:r>
          <w:r w:rsidR="00062020" w:rsidRPr="00062020">
            <w:t>, subject to a claim of confidentiality</w:t>
          </w:r>
          <w:r w:rsidR="00671007" w:rsidRPr="00062020">
            <w:t xml:space="preserve">. </w:t>
          </w:r>
        </w:p>
        <w:p w14:paraId="0662AF59" w14:textId="7630FE65" w:rsidR="00546BFF" w:rsidRDefault="00260221" w:rsidP="001373F9">
          <w:pPr>
            <w:spacing w:line="360" w:lineRule="auto"/>
            <w:rPr>
              <w:lang w:val="en-US"/>
            </w:rPr>
          </w:pPr>
          <w:r>
            <w:rPr>
              <w:lang w:val="en-US"/>
            </w:rPr>
            <w:t xml:space="preserve">All enquiries should be addressed to Jeremy </w:t>
          </w:r>
          <w:r w:rsidR="008F4C0E">
            <w:rPr>
              <w:lang w:val="en-US"/>
            </w:rPr>
            <w:t xml:space="preserve">Graham at </w:t>
          </w:r>
          <w:hyperlink r:id="rId11" w:history="1">
            <w:r w:rsidR="000B7B24" w:rsidRPr="000B7B24">
              <w:rPr>
                <w:rStyle w:val="Hyperlink"/>
                <w:lang w:val="en-US"/>
              </w:rPr>
              <w:t>jeremy.graham@aer.gov.au</w:t>
            </w:r>
          </w:hyperlink>
          <w:r w:rsidR="008F4C0E">
            <w:rPr>
              <w:lang w:val="en-US"/>
            </w:rPr>
            <w:t xml:space="preserve">. </w:t>
          </w:r>
        </w:p>
      </w:sdtContent>
    </w:sdt>
    <w:p w14:paraId="01942282" w14:textId="77777777" w:rsidR="000E0DD0" w:rsidRDefault="000E0DD0">
      <w:pPr>
        <w:rPr>
          <w:rFonts w:ascii="Palatino Linotype" w:eastAsiaTheme="majorEastAsia" w:hAnsi="Palatino Linotype" w:cstheme="majorBidi"/>
          <w:bCs/>
          <w:color w:val="410099" w:themeColor="accent1"/>
          <w:sz w:val="36"/>
          <w:szCs w:val="28"/>
          <w:lang w:val="en-US"/>
        </w:rPr>
      </w:pPr>
      <w:r>
        <w:rPr>
          <w:lang w:val="en-US"/>
        </w:rPr>
        <w:br w:type="page"/>
      </w:r>
    </w:p>
    <w:p w14:paraId="31DDEB5D" w14:textId="1BA7767C" w:rsidR="00546BFF" w:rsidRDefault="00546BFF" w:rsidP="00763C3D">
      <w:pPr>
        <w:pStyle w:val="Heading1"/>
        <w:numPr>
          <w:ilvl w:val="0"/>
          <w:numId w:val="29"/>
        </w:numPr>
        <w:spacing w:line="360" w:lineRule="auto"/>
        <w:rPr>
          <w:lang w:val="en-US"/>
        </w:rPr>
      </w:pPr>
      <w:bookmarkStart w:id="2" w:name="_Toc127793004"/>
      <w:r>
        <w:rPr>
          <w:lang w:val="en-US"/>
        </w:rPr>
        <w:lastRenderedPageBreak/>
        <w:t>Purpose</w:t>
      </w:r>
      <w:bookmarkEnd w:id="2"/>
      <w:r>
        <w:rPr>
          <w:lang w:val="en-US"/>
        </w:rPr>
        <w:t xml:space="preserve"> </w:t>
      </w:r>
    </w:p>
    <w:p w14:paraId="7EAAAD1F" w14:textId="336FF22A" w:rsidR="005C5B53" w:rsidRDefault="009A4225" w:rsidP="00F9649B">
      <w:pPr>
        <w:pStyle w:val="ListParagraph"/>
        <w:numPr>
          <w:ilvl w:val="1"/>
          <w:numId w:val="29"/>
        </w:numPr>
        <w:spacing w:line="360" w:lineRule="auto"/>
        <w:rPr>
          <w:lang w:val="en-US"/>
        </w:rPr>
      </w:pPr>
      <w:r>
        <w:rPr>
          <w:lang w:val="en-US"/>
        </w:rPr>
        <w:t>This consultation paper</w:t>
      </w:r>
      <w:r w:rsidR="005C5B53">
        <w:rPr>
          <w:lang w:val="en-US"/>
        </w:rPr>
        <w:t xml:space="preserve"> seeks submissions on proposed amendments to the DAA Record Keeping Guideline. </w:t>
      </w:r>
    </w:p>
    <w:p w14:paraId="058F1B70" w14:textId="4434A1EC" w:rsidR="005C5B53" w:rsidRDefault="005C5B53" w:rsidP="009B172B">
      <w:pPr>
        <w:pStyle w:val="ListParagraph"/>
        <w:numPr>
          <w:ilvl w:val="1"/>
          <w:numId w:val="29"/>
        </w:numPr>
        <w:spacing w:line="360" w:lineRule="auto"/>
        <w:rPr>
          <w:lang w:val="en-US"/>
        </w:rPr>
      </w:pPr>
      <w:r>
        <w:rPr>
          <w:lang w:val="en-US"/>
        </w:rPr>
        <w:t xml:space="preserve">The AER is </w:t>
      </w:r>
      <w:r w:rsidR="00920C5E">
        <w:rPr>
          <w:lang w:val="en-US"/>
        </w:rPr>
        <w:t xml:space="preserve">empowered under clauses </w:t>
      </w:r>
      <w:r w:rsidR="00953641">
        <w:rPr>
          <w:lang w:val="en-US"/>
        </w:rPr>
        <w:t xml:space="preserve">665(3) and </w:t>
      </w:r>
      <w:r w:rsidR="00920C5E">
        <w:rPr>
          <w:lang w:val="en-US"/>
        </w:rPr>
        <w:t xml:space="preserve">666(5) of the NGR to develop and publish </w:t>
      </w:r>
      <w:r w:rsidR="00953641">
        <w:rPr>
          <w:lang w:val="en-US"/>
        </w:rPr>
        <w:t xml:space="preserve">Nomination and Scheduling Guidelines and Renomination Records Guidelines (together, “Record Keeping Guideline” or “Guideline”). </w:t>
      </w:r>
    </w:p>
    <w:p w14:paraId="679CCFB7" w14:textId="47FCD103" w:rsidR="00953641" w:rsidRDefault="00317E5A" w:rsidP="009B172B">
      <w:pPr>
        <w:pStyle w:val="ListParagraph"/>
        <w:numPr>
          <w:ilvl w:val="1"/>
          <w:numId w:val="29"/>
        </w:numPr>
        <w:spacing w:line="360" w:lineRule="auto"/>
        <w:rPr>
          <w:lang w:val="en-US"/>
        </w:rPr>
      </w:pPr>
      <w:r>
        <w:rPr>
          <w:lang w:val="en-US"/>
        </w:rPr>
        <w:t xml:space="preserve">The purpose of the DAA Record Keeping Guideline is to </w:t>
      </w:r>
      <w:r w:rsidRPr="00317E5A">
        <w:rPr>
          <w:lang w:val="en-US"/>
        </w:rPr>
        <w:t xml:space="preserve">create binding, enforceable obligations on auction facility operators (facility operators) and shippers to make and maintain nomination, </w:t>
      </w:r>
      <w:proofErr w:type="gramStart"/>
      <w:r w:rsidRPr="00317E5A">
        <w:rPr>
          <w:lang w:val="en-US"/>
        </w:rPr>
        <w:t>scheduling</w:t>
      </w:r>
      <w:proofErr w:type="gramEnd"/>
      <w:r w:rsidRPr="00317E5A">
        <w:rPr>
          <w:lang w:val="en-US"/>
        </w:rPr>
        <w:t xml:space="preserve"> and rescheduling records. </w:t>
      </w:r>
    </w:p>
    <w:p w14:paraId="22C1CAAA" w14:textId="26983FAF" w:rsidR="00317E5A" w:rsidRDefault="00ED22F3" w:rsidP="009B172B">
      <w:pPr>
        <w:pStyle w:val="ListParagraph"/>
        <w:numPr>
          <w:ilvl w:val="1"/>
          <w:numId w:val="29"/>
        </w:numPr>
        <w:spacing w:line="360" w:lineRule="auto"/>
        <w:rPr>
          <w:lang w:val="en-US"/>
        </w:rPr>
      </w:pPr>
      <w:r>
        <w:rPr>
          <w:lang w:val="en-US"/>
        </w:rPr>
        <w:t>On 29 November 2019, t</w:t>
      </w:r>
      <w:r w:rsidR="00317E5A">
        <w:rPr>
          <w:lang w:val="en-US"/>
        </w:rPr>
        <w:t xml:space="preserve">he AER published </w:t>
      </w:r>
      <w:r>
        <w:rPr>
          <w:lang w:val="en-US"/>
        </w:rPr>
        <w:t xml:space="preserve">the </w:t>
      </w:r>
      <w:r w:rsidR="005641DE">
        <w:rPr>
          <w:lang w:val="en-US"/>
        </w:rPr>
        <w:t xml:space="preserve">initial </w:t>
      </w:r>
      <w:r>
        <w:rPr>
          <w:lang w:val="en-US"/>
        </w:rPr>
        <w:t>DAA Record Keeping Guideline</w:t>
      </w:r>
      <w:r w:rsidR="00003E85">
        <w:rPr>
          <w:lang w:val="en-US"/>
        </w:rPr>
        <w:t xml:space="preserve"> which came into effect on 1 March 2019. </w:t>
      </w:r>
    </w:p>
    <w:p w14:paraId="1E9C303A" w14:textId="15D6009E" w:rsidR="00ED22F3" w:rsidRDefault="00ED22F3" w:rsidP="009B172B">
      <w:pPr>
        <w:pStyle w:val="ListParagraph"/>
        <w:numPr>
          <w:ilvl w:val="1"/>
          <w:numId w:val="29"/>
        </w:numPr>
        <w:spacing w:line="360" w:lineRule="auto"/>
        <w:rPr>
          <w:lang w:val="en-US"/>
        </w:rPr>
      </w:pPr>
      <w:r>
        <w:rPr>
          <w:lang w:val="en-US"/>
        </w:rPr>
        <w:t xml:space="preserve">Clauses 665(3) </w:t>
      </w:r>
      <w:r w:rsidR="00002DDA">
        <w:rPr>
          <w:lang w:val="en-US"/>
        </w:rPr>
        <w:t>and 666(5) of the NGR allow the AER to make amendments to the Guideline</w:t>
      </w:r>
      <w:r w:rsidR="005E1440">
        <w:rPr>
          <w:lang w:val="en-US"/>
        </w:rPr>
        <w:t xml:space="preserve"> from time to time in accordance with the requirements of the NGR. </w:t>
      </w:r>
    </w:p>
    <w:p w14:paraId="2439A8F4" w14:textId="3C598982" w:rsidR="00002DDA" w:rsidRPr="006E7C42" w:rsidRDefault="009A4225" w:rsidP="009B172B">
      <w:pPr>
        <w:pStyle w:val="ListParagraph"/>
        <w:numPr>
          <w:ilvl w:val="1"/>
          <w:numId w:val="29"/>
        </w:numPr>
        <w:spacing w:line="360" w:lineRule="auto"/>
        <w:rPr>
          <w:lang w:val="en-US"/>
        </w:rPr>
      </w:pPr>
      <w:r>
        <w:rPr>
          <w:lang w:val="en-US"/>
        </w:rPr>
        <w:t xml:space="preserve">This consultation paper </w:t>
      </w:r>
      <w:r w:rsidR="0068579C" w:rsidRPr="00A86234">
        <w:rPr>
          <w:lang w:val="en-US"/>
        </w:rPr>
        <w:t xml:space="preserve">provides a summary of proposed amendments </w:t>
      </w:r>
      <w:r w:rsidR="0068579C">
        <w:rPr>
          <w:lang w:val="en-US"/>
        </w:rPr>
        <w:t xml:space="preserve">to </w:t>
      </w:r>
      <w:r w:rsidR="0011011E">
        <w:rPr>
          <w:lang w:val="en-US"/>
        </w:rPr>
        <w:t xml:space="preserve">the </w:t>
      </w:r>
      <w:r w:rsidR="00003E85">
        <w:rPr>
          <w:lang w:val="en-US"/>
        </w:rPr>
        <w:t xml:space="preserve">initial DAA Record Keeping </w:t>
      </w:r>
      <w:r w:rsidR="0011011E">
        <w:rPr>
          <w:lang w:val="en-US"/>
        </w:rPr>
        <w:t xml:space="preserve">Guideline. </w:t>
      </w:r>
    </w:p>
    <w:p w14:paraId="6C16BD06" w14:textId="6B0AB4D8" w:rsidR="00707B5B" w:rsidRPr="0068579C" w:rsidRDefault="00707B5B" w:rsidP="009B172B">
      <w:pPr>
        <w:pStyle w:val="ListParagraph"/>
        <w:numPr>
          <w:ilvl w:val="1"/>
          <w:numId w:val="29"/>
        </w:numPr>
        <w:spacing w:line="360" w:lineRule="auto"/>
        <w:rPr>
          <w:lang w:val="en-US"/>
        </w:rPr>
      </w:pPr>
      <w:r>
        <w:t xml:space="preserve">The changes presented in this paper are </w:t>
      </w:r>
      <w:r w:rsidR="004D60BD">
        <w:t xml:space="preserve">a combination of </w:t>
      </w:r>
      <w:r>
        <w:t>ones that stakeholders have raised with us</w:t>
      </w:r>
      <w:r w:rsidR="00620B36">
        <w:t>,</w:t>
      </w:r>
      <w:r>
        <w:t xml:space="preserve"> or that we have identified</w:t>
      </w:r>
      <w:r w:rsidR="00BB693F">
        <w:t>.</w:t>
      </w:r>
      <w:r w:rsidR="001D0C6C">
        <w:t xml:space="preserve"> </w:t>
      </w:r>
    </w:p>
    <w:p w14:paraId="1D15527F" w14:textId="16DBCECF" w:rsidR="0068579C" w:rsidRPr="00A86234" w:rsidRDefault="0068579C" w:rsidP="009B172B">
      <w:pPr>
        <w:pStyle w:val="ListParagraph"/>
        <w:numPr>
          <w:ilvl w:val="1"/>
          <w:numId w:val="29"/>
        </w:numPr>
        <w:spacing w:line="360" w:lineRule="auto"/>
        <w:rPr>
          <w:lang w:val="en-US"/>
        </w:rPr>
      </w:pPr>
      <w:r w:rsidRPr="006E7C42">
        <w:rPr>
          <w:lang w:val="en-US"/>
        </w:rPr>
        <w:t xml:space="preserve">The purpose of our proposed amendments to the </w:t>
      </w:r>
      <w:r>
        <w:rPr>
          <w:lang w:val="en-US"/>
        </w:rPr>
        <w:t>G</w:t>
      </w:r>
      <w:r w:rsidRPr="006E7C42">
        <w:rPr>
          <w:lang w:val="en-US"/>
        </w:rPr>
        <w:t xml:space="preserve">uideline is to set out obligations on facility operators and shippers more clearly to </w:t>
      </w:r>
      <w:r w:rsidR="00DF68CB">
        <w:rPr>
          <w:lang w:val="en-US"/>
        </w:rPr>
        <w:t xml:space="preserve">improve the quality of information received in accordance with the </w:t>
      </w:r>
      <w:r w:rsidRPr="006E7C42">
        <w:rPr>
          <w:lang w:val="en-US"/>
        </w:rPr>
        <w:t xml:space="preserve">Guideline, </w:t>
      </w:r>
      <w:r w:rsidR="00DF68CB">
        <w:rPr>
          <w:lang w:val="en-US"/>
        </w:rPr>
        <w:t xml:space="preserve">and to aid compliance with </w:t>
      </w:r>
      <w:r w:rsidRPr="006E7C42">
        <w:rPr>
          <w:lang w:val="en-US"/>
        </w:rPr>
        <w:t>the NGR and the NGL.</w:t>
      </w:r>
    </w:p>
    <w:p w14:paraId="0E7773FA" w14:textId="77777777" w:rsidR="00A86234" w:rsidRPr="00A86234" w:rsidRDefault="00A86234" w:rsidP="00A86234">
      <w:pPr>
        <w:ind w:left="1440"/>
        <w:rPr>
          <w:lang w:val="en-US"/>
        </w:rPr>
      </w:pPr>
    </w:p>
    <w:p w14:paraId="499BA1C1" w14:textId="77777777" w:rsidR="004C5888" w:rsidRDefault="004C5888">
      <w:pPr>
        <w:rPr>
          <w:rFonts w:ascii="Palatino Linotype" w:eastAsiaTheme="majorEastAsia" w:hAnsi="Palatino Linotype" w:cstheme="majorBidi"/>
          <w:bCs/>
          <w:color w:val="410099" w:themeColor="accent1"/>
          <w:sz w:val="36"/>
          <w:szCs w:val="28"/>
          <w:lang w:val="en-US"/>
        </w:rPr>
      </w:pPr>
      <w:r>
        <w:rPr>
          <w:lang w:val="en-US"/>
        </w:rPr>
        <w:br w:type="page"/>
      </w:r>
    </w:p>
    <w:p w14:paraId="49B0FB07" w14:textId="741194F9" w:rsidR="00546BFF" w:rsidRPr="007700E0" w:rsidRDefault="004C5888" w:rsidP="00F9649B">
      <w:pPr>
        <w:pStyle w:val="Heading1"/>
        <w:numPr>
          <w:ilvl w:val="0"/>
          <w:numId w:val="29"/>
        </w:numPr>
        <w:spacing w:line="360" w:lineRule="auto"/>
        <w:rPr>
          <w:lang w:val="en-US"/>
        </w:rPr>
      </w:pPr>
      <w:bookmarkStart w:id="3" w:name="_Toc127793005"/>
      <w:r w:rsidRPr="007700E0">
        <w:rPr>
          <w:lang w:val="en-US"/>
        </w:rPr>
        <w:lastRenderedPageBreak/>
        <w:t>Background</w:t>
      </w:r>
      <w:bookmarkEnd w:id="3"/>
      <w:r w:rsidRPr="007700E0">
        <w:rPr>
          <w:lang w:val="en-US"/>
        </w:rPr>
        <w:t xml:space="preserve"> </w:t>
      </w:r>
    </w:p>
    <w:p w14:paraId="66B8F0EA" w14:textId="15818336" w:rsidR="002C2AF6" w:rsidRDefault="00AE2623" w:rsidP="00F9649B">
      <w:pPr>
        <w:pStyle w:val="ListParagraph"/>
        <w:numPr>
          <w:ilvl w:val="1"/>
          <w:numId w:val="29"/>
        </w:numPr>
        <w:tabs>
          <w:tab w:val="clear" w:pos="340"/>
        </w:tabs>
        <w:spacing w:line="360" w:lineRule="auto"/>
        <w:rPr>
          <w:lang w:val="en-US"/>
        </w:rPr>
      </w:pPr>
      <w:r>
        <w:rPr>
          <w:lang w:val="en-US"/>
        </w:rPr>
        <w:t xml:space="preserve">The </w:t>
      </w:r>
      <w:r w:rsidR="00F01F3A">
        <w:rPr>
          <w:lang w:val="en-US"/>
        </w:rPr>
        <w:t>Day Ahead A</w:t>
      </w:r>
      <w:r>
        <w:rPr>
          <w:lang w:val="en-US"/>
        </w:rPr>
        <w:t xml:space="preserve">uction plays an important role in sustaining an efficient gas market by </w:t>
      </w:r>
      <w:r w:rsidR="00F01F3A">
        <w:rPr>
          <w:lang w:val="en-US"/>
        </w:rPr>
        <w:t>giving</w:t>
      </w:r>
      <w:r>
        <w:rPr>
          <w:lang w:val="en-US"/>
        </w:rPr>
        <w:t xml:space="preserve"> market participants access to contracted but unused transport capacity. </w:t>
      </w:r>
      <w:r w:rsidR="00502DBE">
        <w:rPr>
          <w:lang w:val="en-US"/>
        </w:rPr>
        <w:t xml:space="preserve">By counteracting contractual </w:t>
      </w:r>
      <w:proofErr w:type="gramStart"/>
      <w:r w:rsidR="00502DBE">
        <w:rPr>
          <w:lang w:val="en-US"/>
        </w:rPr>
        <w:t>congestion</w:t>
      </w:r>
      <w:proofErr w:type="gramEnd"/>
      <w:r w:rsidR="00502DBE">
        <w:rPr>
          <w:lang w:val="en-US"/>
        </w:rPr>
        <w:t xml:space="preserve"> the Auction makes it easier for gas suppliers to make gas available to users. </w:t>
      </w:r>
      <w:r w:rsidR="002C2AF6">
        <w:rPr>
          <w:lang w:val="en-US"/>
        </w:rPr>
        <w:t xml:space="preserve">The Day Ahead Auction Record Keeping Guideline is designed to </w:t>
      </w:r>
      <w:r w:rsidR="00750BBA">
        <w:rPr>
          <w:lang w:val="en-US"/>
        </w:rPr>
        <w:t>make clear market participants</w:t>
      </w:r>
      <w:r w:rsidR="00DF137A">
        <w:rPr>
          <w:lang w:val="en-US"/>
        </w:rPr>
        <w:t xml:space="preserve"> obligations to keep records. </w:t>
      </w:r>
      <w:r w:rsidR="00750BBA">
        <w:rPr>
          <w:lang w:val="en-US"/>
        </w:rPr>
        <w:t xml:space="preserve">Following the guideline gives market participants assurance that they are compliant with those obligations. </w:t>
      </w:r>
      <w:r w:rsidR="00F01F3A">
        <w:rPr>
          <w:lang w:val="en-US"/>
        </w:rPr>
        <w:t>Moreover, a</w:t>
      </w:r>
      <w:r w:rsidR="00DF137A">
        <w:rPr>
          <w:lang w:val="en-US"/>
        </w:rPr>
        <w:t>ccurate</w:t>
      </w:r>
      <w:r>
        <w:rPr>
          <w:lang w:val="en-US"/>
        </w:rPr>
        <w:t>,</w:t>
      </w:r>
      <w:r w:rsidR="00DF137A">
        <w:rPr>
          <w:lang w:val="en-US"/>
        </w:rPr>
        <w:t xml:space="preserve"> </w:t>
      </w:r>
      <w:proofErr w:type="gramStart"/>
      <w:r w:rsidR="00DF137A">
        <w:rPr>
          <w:lang w:val="en-US"/>
        </w:rPr>
        <w:t>comprehensive</w:t>
      </w:r>
      <w:proofErr w:type="gramEnd"/>
      <w:r>
        <w:rPr>
          <w:lang w:val="en-US"/>
        </w:rPr>
        <w:t xml:space="preserve"> and consistent</w:t>
      </w:r>
      <w:r w:rsidR="00DF137A">
        <w:rPr>
          <w:lang w:val="en-US"/>
        </w:rPr>
        <w:t xml:space="preserve"> record keeping allows the AER to monitor participant conduct and ensure the orderly functioning of the auction.</w:t>
      </w:r>
      <w:r>
        <w:rPr>
          <w:lang w:val="en-US"/>
        </w:rPr>
        <w:t xml:space="preserve"> </w:t>
      </w:r>
      <w:r w:rsidR="00DF137A">
        <w:rPr>
          <w:lang w:val="en-US"/>
        </w:rPr>
        <w:t xml:space="preserve"> </w:t>
      </w:r>
    </w:p>
    <w:p w14:paraId="467EB66F" w14:textId="4D08D3FA" w:rsidR="001D0C6C" w:rsidRPr="001D0C6C" w:rsidRDefault="004C5888" w:rsidP="00F9649B">
      <w:pPr>
        <w:pStyle w:val="ListParagraph"/>
        <w:numPr>
          <w:ilvl w:val="1"/>
          <w:numId w:val="29"/>
        </w:numPr>
        <w:tabs>
          <w:tab w:val="clear" w:pos="340"/>
        </w:tabs>
        <w:spacing w:line="360" w:lineRule="auto"/>
        <w:rPr>
          <w:lang w:val="en-US"/>
        </w:rPr>
      </w:pPr>
      <w:r w:rsidRPr="00A9095F">
        <w:rPr>
          <w:lang w:val="en-US"/>
        </w:rPr>
        <w:t xml:space="preserve">The AER’s general functions and powers, in respect of monitoring and enforcement of compliance with the NGR and the NGL, are outlined in section 27 of the NGL. </w:t>
      </w:r>
    </w:p>
    <w:p w14:paraId="58D903AD" w14:textId="416A9773" w:rsidR="0092058E" w:rsidRPr="001F2532" w:rsidRDefault="004C5888" w:rsidP="007700E0">
      <w:pPr>
        <w:pStyle w:val="ListParagraph"/>
        <w:numPr>
          <w:ilvl w:val="1"/>
          <w:numId w:val="29"/>
        </w:numPr>
        <w:tabs>
          <w:tab w:val="clear" w:pos="340"/>
        </w:tabs>
        <w:spacing w:line="360" w:lineRule="auto"/>
        <w:rPr>
          <w:lang w:val="en-US"/>
        </w:rPr>
      </w:pPr>
      <w:r w:rsidRPr="007700E0">
        <w:rPr>
          <w:lang w:val="en-US"/>
        </w:rPr>
        <w:t>Our functions for the DAA include:</w:t>
      </w:r>
    </w:p>
    <w:p w14:paraId="53D2F9E1" w14:textId="7847479D" w:rsidR="00D86EB8" w:rsidRPr="007700E0" w:rsidRDefault="00D86EB8" w:rsidP="00F670EF">
      <w:pPr>
        <w:pStyle w:val="ListParagraph"/>
        <w:numPr>
          <w:ilvl w:val="0"/>
          <w:numId w:val="28"/>
        </w:numPr>
        <w:autoSpaceDE w:val="0"/>
        <w:autoSpaceDN w:val="0"/>
        <w:adjustRightInd w:val="0"/>
        <w:spacing w:before="0" w:after="173" w:line="360" w:lineRule="auto"/>
        <w:ind w:left="2160"/>
        <w:jc w:val="both"/>
        <w:rPr>
          <w:rFonts w:cs="Arial"/>
          <w:color w:val="000000"/>
        </w:rPr>
      </w:pPr>
      <w:r w:rsidRPr="007700E0">
        <w:rPr>
          <w:rFonts w:cs="Arial"/>
          <w:color w:val="000000"/>
        </w:rPr>
        <w:t>m</w:t>
      </w:r>
      <w:r w:rsidR="007E627C" w:rsidRPr="007700E0">
        <w:rPr>
          <w:rFonts w:cs="Arial"/>
          <w:color w:val="000000"/>
        </w:rPr>
        <w:t xml:space="preserve">onitoring </w:t>
      </w:r>
      <w:r w:rsidRPr="007700E0">
        <w:rPr>
          <w:rFonts w:cs="Arial"/>
          <w:color w:val="000000"/>
        </w:rPr>
        <w:t xml:space="preserve">that </w:t>
      </w:r>
      <w:r w:rsidR="007E627C" w:rsidRPr="007700E0">
        <w:rPr>
          <w:rFonts w:cs="Arial"/>
          <w:color w:val="000000"/>
        </w:rPr>
        <w:t xml:space="preserve">facility operators for an auction facility ensure that terms and conditions for use of an action service provided by means of an auction facility, </w:t>
      </w:r>
      <w:r w:rsidRPr="007700E0">
        <w:rPr>
          <w:rFonts w:cs="Arial"/>
          <w:color w:val="000000"/>
        </w:rPr>
        <w:t xml:space="preserve">and the scheduling process for the auction facility, </w:t>
      </w:r>
      <w:r w:rsidR="007E627C" w:rsidRPr="007700E0">
        <w:rPr>
          <w:rFonts w:cs="Arial"/>
          <w:color w:val="000000"/>
        </w:rPr>
        <w:t xml:space="preserve">give effect to the </w:t>
      </w:r>
      <w:r w:rsidRPr="007700E0">
        <w:rPr>
          <w:rFonts w:cs="Arial"/>
          <w:color w:val="000000"/>
        </w:rPr>
        <w:t>auction service priority principles in rule 651.</w:t>
      </w:r>
      <w:r w:rsidRPr="007700E0">
        <w:rPr>
          <w:rStyle w:val="FootnoteReference"/>
          <w:rFonts w:cs="Arial"/>
          <w:color w:val="000000"/>
        </w:rPr>
        <w:footnoteReference w:id="2"/>
      </w:r>
    </w:p>
    <w:p w14:paraId="75A3BF2C" w14:textId="0FF8E825" w:rsidR="007E627C" w:rsidRPr="001F2532" w:rsidRDefault="003107E1" w:rsidP="00F670EF">
      <w:pPr>
        <w:pStyle w:val="ListParagraph"/>
        <w:numPr>
          <w:ilvl w:val="0"/>
          <w:numId w:val="28"/>
        </w:numPr>
        <w:autoSpaceDE w:val="0"/>
        <w:autoSpaceDN w:val="0"/>
        <w:adjustRightInd w:val="0"/>
        <w:spacing w:before="0" w:after="173" w:line="360" w:lineRule="auto"/>
        <w:ind w:left="2160"/>
        <w:jc w:val="both"/>
        <w:rPr>
          <w:rFonts w:cs="Arial"/>
          <w:color w:val="000000"/>
        </w:rPr>
      </w:pPr>
      <w:r>
        <w:rPr>
          <w:rFonts w:cs="Arial"/>
          <w:color w:val="000000"/>
        </w:rPr>
        <w:t xml:space="preserve">Monitoring </w:t>
      </w:r>
      <w:r w:rsidR="009B172B">
        <w:rPr>
          <w:rFonts w:cs="Arial"/>
          <w:color w:val="000000"/>
        </w:rPr>
        <w:t>auction</w:t>
      </w:r>
      <w:r w:rsidR="004C5888" w:rsidRPr="00513C11">
        <w:rPr>
          <w:rFonts w:cs="Arial"/>
          <w:color w:val="000000"/>
        </w:rPr>
        <w:t xml:space="preserve"> day-ahead nominations</w:t>
      </w:r>
      <w:r w:rsidR="004C5888" w:rsidRPr="004C5888">
        <w:rPr>
          <w:rFonts w:cs="Arial"/>
          <w:color w:val="000000"/>
        </w:rPr>
        <w:t xml:space="preserve">, </w:t>
      </w:r>
      <w:proofErr w:type="gramStart"/>
      <w:r w:rsidR="004C5888" w:rsidRPr="004C5888">
        <w:rPr>
          <w:rFonts w:cs="Arial"/>
          <w:color w:val="000000"/>
        </w:rPr>
        <w:t>renominations</w:t>
      </w:r>
      <w:proofErr w:type="gramEnd"/>
      <w:r w:rsidR="004C5888" w:rsidRPr="004C5888">
        <w:rPr>
          <w:rFonts w:cs="Arial"/>
          <w:color w:val="000000"/>
        </w:rPr>
        <w:t xml:space="preserve"> and activity in the capacity auction to ensure that transportation service providers, auction participants and </w:t>
      </w:r>
      <w:r w:rsidR="00E723C9">
        <w:rPr>
          <w:rFonts w:cs="Arial"/>
          <w:color w:val="000000"/>
        </w:rPr>
        <w:t xml:space="preserve">shippers </w:t>
      </w:r>
      <w:r w:rsidR="004C5888" w:rsidRPr="004C5888">
        <w:rPr>
          <w:rFonts w:cs="Arial"/>
          <w:color w:val="000000"/>
        </w:rPr>
        <w:t>comply with the DAA market conduct and nomination rules;</w:t>
      </w:r>
      <w:r w:rsidR="004C5888" w:rsidRPr="004C5888">
        <w:rPr>
          <w:rStyle w:val="FootnoteReference"/>
          <w:rFonts w:cs="Arial"/>
          <w:color w:val="000000"/>
        </w:rPr>
        <w:footnoteReference w:id="3"/>
      </w:r>
      <w:r w:rsidR="004C5888" w:rsidRPr="004C5888">
        <w:rPr>
          <w:rFonts w:cs="Arial"/>
          <w:color w:val="000000"/>
        </w:rPr>
        <w:t xml:space="preserve"> </w:t>
      </w:r>
    </w:p>
    <w:p w14:paraId="4D600DF8" w14:textId="15FCC3BF" w:rsidR="00BC3155" w:rsidRDefault="00695E6E" w:rsidP="00F670EF">
      <w:pPr>
        <w:pStyle w:val="ListParagraph"/>
        <w:numPr>
          <w:ilvl w:val="0"/>
          <w:numId w:val="28"/>
        </w:numPr>
        <w:autoSpaceDE w:val="0"/>
        <w:autoSpaceDN w:val="0"/>
        <w:adjustRightInd w:val="0"/>
        <w:spacing w:before="0" w:after="173" w:line="360" w:lineRule="auto"/>
        <w:ind w:left="2160"/>
        <w:jc w:val="both"/>
        <w:rPr>
          <w:rFonts w:cs="Arial"/>
          <w:color w:val="000000"/>
        </w:rPr>
      </w:pPr>
      <w:r>
        <w:rPr>
          <w:rFonts w:cs="Arial"/>
          <w:color w:val="000000"/>
        </w:rPr>
        <w:t xml:space="preserve">monitoring auction participant activities </w:t>
      </w:r>
      <w:r w:rsidR="00BC3155">
        <w:rPr>
          <w:rFonts w:cs="Arial"/>
          <w:color w:val="000000"/>
        </w:rPr>
        <w:t xml:space="preserve">in connection with the capacity auction </w:t>
      </w:r>
      <w:r>
        <w:rPr>
          <w:rFonts w:cs="Arial"/>
          <w:color w:val="000000"/>
        </w:rPr>
        <w:t>to</w:t>
      </w:r>
      <w:r w:rsidR="00A811A7">
        <w:rPr>
          <w:rFonts w:cs="Arial"/>
          <w:color w:val="000000"/>
        </w:rPr>
        <w:t xml:space="preserve"> </w:t>
      </w:r>
      <w:r w:rsidR="006965CE">
        <w:rPr>
          <w:rFonts w:cs="Arial"/>
          <w:color w:val="000000"/>
        </w:rPr>
        <w:t>ensure auction participants</w:t>
      </w:r>
      <w:r w:rsidR="00BC3155">
        <w:rPr>
          <w:rFonts w:cs="Arial"/>
          <w:color w:val="000000"/>
        </w:rPr>
        <w:t>:</w:t>
      </w:r>
    </w:p>
    <w:p w14:paraId="5C19DF27" w14:textId="5AEE844B" w:rsidR="00BC3155" w:rsidRDefault="00BC3155" w:rsidP="00F670EF">
      <w:pPr>
        <w:pStyle w:val="ListParagraph"/>
        <w:numPr>
          <w:ilvl w:val="0"/>
          <w:numId w:val="0"/>
        </w:numPr>
        <w:autoSpaceDE w:val="0"/>
        <w:autoSpaceDN w:val="0"/>
        <w:adjustRightInd w:val="0"/>
        <w:spacing w:before="0" w:after="173" w:line="360" w:lineRule="auto"/>
        <w:ind w:left="2480"/>
        <w:jc w:val="both"/>
        <w:rPr>
          <w:rFonts w:cs="Arial"/>
          <w:color w:val="000000"/>
        </w:rPr>
      </w:pPr>
      <w:r>
        <w:rPr>
          <w:rFonts w:cs="Arial"/>
          <w:color w:val="000000"/>
        </w:rPr>
        <w:t>(a)</w:t>
      </w:r>
      <w:r w:rsidR="00695E6E">
        <w:rPr>
          <w:rFonts w:cs="Arial"/>
          <w:color w:val="000000"/>
        </w:rPr>
        <w:t xml:space="preserve"> </w:t>
      </w:r>
      <w:r>
        <w:rPr>
          <w:rFonts w:cs="Arial"/>
          <w:color w:val="000000"/>
        </w:rPr>
        <w:t xml:space="preserve">comply with all applicable laws relevant to the performance of </w:t>
      </w:r>
      <w:r w:rsidR="00EB3F61">
        <w:rPr>
          <w:rFonts w:cs="Arial"/>
          <w:color w:val="000000"/>
        </w:rPr>
        <w:t xml:space="preserve">their </w:t>
      </w:r>
      <w:proofErr w:type="gramStart"/>
      <w:r>
        <w:rPr>
          <w:rFonts w:cs="Arial"/>
          <w:color w:val="000000"/>
        </w:rPr>
        <w:t>obligations;</w:t>
      </w:r>
      <w:proofErr w:type="gramEnd"/>
      <w:r>
        <w:rPr>
          <w:rFonts w:cs="Arial"/>
          <w:color w:val="000000"/>
        </w:rPr>
        <w:t xml:space="preserve"> </w:t>
      </w:r>
    </w:p>
    <w:p w14:paraId="5533F7D3" w14:textId="7E7FFBEE" w:rsidR="00695E6E" w:rsidRDefault="00BC3155" w:rsidP="00F670EF">
      <w:pPr>
        <w:pStyle w:val="ListParagraph"/>
        <w:numPr>
          <w:ilvl w:val="0"/>
          <w:numId w:val="0"/>
        </w:numPr>
        <w:autoSpaceDE w:val="0"/>
        <w:autoSpaceDN w:val="0"/>
        <w:adjustRightInd w:val="0"/>
        <w:spacing w:before="0" w:after="173" w:line="360" w:lineRule="auto"/>
        <w:ind w:left="2480"/>
        <w:jc w:val="both"/>
        <w:rPr>
          <w:rFonts w:cs="Arial"/>
          <w:color w:val="000000"/>
        </w:rPr>
      </w:pPr>
      <w:r>
        <w:rPr>
          <w:rFonts w:cs="Arial"/>
          <w:color w:val="000000"/>
        </w:rPr>
        <w:t xml:space="preserve">(b) </w:t>
      </w:r>
      <w:r w:rsidR="00B43DCF">
        <w:rPr>
          <w:rFonts w:cs="Arial"/>
          <w:color w:val="000000"/>
        </w:rPr>
        <w:t xml:space="preserve">do </w:t>
      </w:r>
      <w:r>
        <w:rPr>
          <w:rFonts w:cs="Arial"/>
          <w:color w:val="000000"/>
        </w:rPr>
        <w:t>not</w:t>
      </w:r>
      <w:r w:rsidR="00695E6E" w:rsidRPr="008B4F22">
        <w:rPr>
          <w:rFonts w:cs="Arial"/>
          <w:color w:val="000000"/>
        </w:rPr>
        <w:t xml:space="preserve"> act fraudulently, dishonestly or in bad faith;</w:t>
      </w:r>
      <w:r>
        <w:rPr>
          <w:rFonts w:cs="Arial"/>
          <w:color w:val="000000"/>
        </w:rPr>
        <w:t xml:space="preserve"> and </w:t>
      </w:r>
    </w:p>
    <w:p w14:paraId="384AEFEF" w14:textId="55BA7084" w:rsidR="008B4F22" w:rsidRDefault="00BC3155" w:rsidP="00F670EF">
      <w:pPr>
        <w:pStyle w:val="ListParagraph"/>
        <w:numPr>
          <w:ilvl w:val="0"/>
          <w:numId w:val="0"/>
        </w:numPr>
        <w:autoSpaceDE w:val="0"/>
        <w:autoSpaceDN w:val="0"/>
        <w:adjustRightInd w:val="0"/>
        <w:spacing w:before="0" w:after="173" w:line="360" w:lineRule="auto"/>
        <w:ind w:left="2480"/>
        <w:jc w:val="both"/>
        <w:rPr>
          <w:rFonts w:cs="Arial"/>
          <w:color w:val="000000"/>
        </w:rPr>
      </w:pPr>
      <w:r>
        <w:rPr>
          <w:rFonts w:cs="Arial"/>
          <w:color w:val="000000"/>
        </w:rPr>
        <w:lastRenderedPageBreak/>
        <w:t>(c)</w:t>
      </w:r>
      <w:r w:rsidR="008C396B">
        <w:rPr>
          <w:rFonts w:cs="Arial"/>
          <w:color w:val="000000"/>
        </w:rPr>
        <w:t xml:space="preserve"> </w:t>
      </w:r>
      <w:r w:rsidR="00B43DCF">
        <w:rPr>
          <w:rFonts w:cs="Arial"/>
          <w:color w:val="000000"/>
        </w:rPr>
        <w:t xml:space="preserve">do </w:t>
      </w:r>
      <w:r>
        <w:rPr>
          <w:rFonts w:cs="Arial"/>
          <w:color w:val="000000"/>
        </w:rPr>
        <w:t xml:space="preserve">not engage in any conduct with the intent of distorting or manipulating prices (including reported prices) or the outcomes of the capacity auction </w:t>
      </w:r>
      <w:r w:rsidR="00C2524B">
        <w:rPr>
          <w:rFonts w:cs="Arial"/>
          <w:color w:val="000000"/>
        </w:rPr>
        <w:t xml:space="preserve">or </w:t>
      </w:r>
      <w:r>
        <w:rPr>
          <w:rFonts w:cs="Arial"/>
          <w:color w:val="000000"/>
        </w:rPr>
        <w:t>misleading any person.</w:t>
      </w:r>
      <w:r>
        <w:rPr>
          <w:rStyle w:val="FootnoteReference"/>
          <w:rFonts w:cs="Arial"/>
          <w:color w:val="000000"/>
        </w:rPr>
        <w:footnoteReference w:id="4"/>
      </w:r>
    </w:p>
    <w:p w14:paraId="392B4DC3" w14:textId="0B561B93" w:rsidR="008B4F22" w:rsidRDefault="00BD1426" w:rsidP="00F670EF">
      <w:pPr>
        <w:pStyle w:val="ListParagraph"/>
        <w:numPr>
          <w:ilvl w:val="0"/>
          <w:numId w:val="28"/>
        </w:numPr>
        <w:autoSpaceDE w:val="0"/>
        <w:autoSpaceDN w:val="0"/>
        <w:adjustRightInd w:val="0"/>
        <w:spacing w:before="0" w:after="173" w:line="360" w:lineRule="auto"/>
        <w:ind w:left="2160"/>
        <w:jc w:val="both"/>
        <w:rPr>
          <w:rFonts w:cs="Arial"/>
          <w:color w:val="000000"/>
        </w:rPr>
      </w:pPr>
      <w:r>
        <w:rPr>
          <w:rFonts w:cs="Arial"/>
          <w:color w:val="000000"/>
        </w:rPr>
        <w:t>m</w:t>
      </w:r>
      <w:r w:rsidR="008B4F22">
        <w:rPr>
          <w:rFonts w:cs="Arial"/>
          <w:color w:val="000000"/>
        </w:rPr>
        <w:t>onitoring</w:t>
      </w:r>
      <w:r w:rsidR="00910D3E">
        <w:rPr>
          <w:rFonts w:cs="Arial"/>
          <w:color w:val="000000"/>
        </w:rPr>
        <w:t xml:space="preserve"> transportation service provider</w:t>
      </w:r>
      <w:r w:rsidR="008B4F22">
        <w:rPr>
          <w:rFonts w:cs="Arial"/>
          <w:color w:val="000000"/>
        </w:rPr>
        <w:t xml:space="preserve"> conduct to ensure </w:t>
      </w:r>
      <w:r w:rsidR="00512F78">
        <w:rPr>
          <w:rFonts w:cs="Arial"/>
          <w:color w:val="000000"/>
        </w:rPr>
        <w:t>compliance with the requirement to not engage in any conduct with the intent of distorting or manipulating prices in the capacity auction.</w:t>
      </w:r>
      <w:r w:rsidR="00762FA1">
        <w:rPr>
          <w:rStyle w:val="FootnoteReference"/>
          <w:rFonts w:cs="Arial"/>
          <w:color w:val="000000"/>
        </w:rPr>
        <w:footnoteReference w:id="5"/>
      </w:r>
      <w:r w:rsidR="00512F78">
        <w:rPr>
          <w:rFonts w:cs="Arial"/>
          <w:color w:val="000000"/>
        </w:rPr>
        <w:t xml:space="preserve"> </w:t>
      </w:r>
    </w:p>
    <w:p w14:paraId="2AC6A49E" w14:textId="50C728CE" w:rsidR="00BB693F" w:rsidRDefault="00762FA1" w:rsidP="00F670EF">
      <w:pPr>
        <w:pStyle w:val="ListParagraph"/>
        <w:numPr>
          <w:ilvl w:val="0"/>
          <w:numId w:val="28"/>
        </w:numPr>
        <w:autoSpaceDE w:val="0"/>
        <w:autoSpaceDN w:val="0"/>
        <w:adjustRightInd w:val="0"/>
        <w:spacing w:before="0" w:after="173" w:line="360" w:lineRule="auto"/>
        <w:ind w:left="2160"/>
        <w:jc w:val="both"/>
        <w:rPr>
          <w:rFonts w:cs="Arial"/>
          <w:color w:val="000000"/>
        </w:rPr>
      </w:pPr>
      <w:r>
        <w:rPr>
          <w:rFonts w:cs="Arial"/>
          <w:color w:val="000000"/>
        </w:rPr>
        <w:t xml:space="preserve">monitoring shipper nominations and renominations </w:t>
      </w:r>
      <w:r w:rsidR="009C5684">
        <w:rPr>
          <w:rFonts w:cs="Arial"/>
          <w:color w:val="000000"/>
        </w:rPr>
        <w:t xml:space="preserve">to ensure that they are not false, </w:t>
      </w:r>
      <w:proofErr w:type="gramStart"/>
      <w:r w:rsidR="009C5684">
        <w:rPr>
          <w:rFonts w:cs="Arial"/>
          <w:color w:val="000000"/>
        </w:rPr>
        <w:t>misleading</w:t>
      </w:r>
      <w:proofErr w:type="gramEnd"/>
      <w:r w:rsidR="009C5684">
        <w:rPr>
          <w:rFonts w:cs="Arial"/>
          <w:color w:val="000000"/>
        </w:rPr>
        <w:t xml:space="preserve"> or likely to mislead.</w:t>
      </w:r>
      <w:r w:rsidR="009C5684">
        <w:rPr>
          <w:rStyle w:val="FootnoteReference"/>
          <w:rFonts w:cs="Arial"/>
          <w:color w:val="000000"/>
        </w:rPr>
        <w:footnoteReference w:id="6"/>
      </w:r>
    </w:p>
    <w:p w14:paraId="5FA4D26D" w14:textId="66F46827" w:rsidR="00993F2A" w:rsidRPr="00993F2A" w:rsidRDefault="004C5888" w:rsidP="00F670EF">
      <w:pPr>
        <w:pStyle w:val="ListParagraph"/>
        <w:numPr>
          <w:ilvl w:val="0"/>
          <w:numId w:val="28"/>
        </w:numPr>
        <w:autoSpaceDE w:val="0"/>
        <w:autoSpaceDN w:val="0"/>
        <w:adjustRightInd w:val="0"/>
        <w:spacing w:before="0" w:after="173" w:line="360" w:lineRule="auto"/>
        <w:jc w:val="both"/>
      </w:pPr>
      <w:r w:rsidRPr="00A9095F">
        <w:t>monitoring compliance with other parts of Part 25 of the NGR including submission of data and information in accordance with the Part 24 information standard and adherence to the auction service priority principles.</w:t>
      </w:r>
      <w:r w:rsidRPr="004C5888">
        <w:rPr>
          <w:rStyle w:val="FootnoteReference"/>
          <w:rFonts w:cs="Arial"/>
          <w:color w:val="000000"/>
        </w:rPr>
        <w:footnoteReference w:id="7"/>
      </w:r>
    </w:p>
    <w:p w14:paraId="5C4C6765" w14:textId="10416B0B" w:rsidR="001D0C6C" w:rsidRPr="007700E0" w:rsidRDefault="00C557F4" w:rsidP="007700E0">
      <w:pPr>
        <w:pStyle w:val="ListParagraph"/>
        <w:numPr>
          <w:ilvl w:val="1"/>
          <w:numId w:val="29"/>
        </w:numPr>
        <w:tabs>
          <w:tab w:val="clear" w:pos="340"/>
        </w:tabs>
        <w:spacing w:line="360" w:lineRule="auto"/>
        <w:rPr>
          <w:lang w:val="en-US"/>
        </w:rPr>
      </w:pPr>
      <w:r w:rsidRPr="007700E0">
        <w:rPr>
          <w:lang w:val="en-US"/>
        </w:rPr>
        <w:t>To facilitate oversight of the DAA, facility operators and shippers are required to keep specified nomination, renomination and scheduling data and information.</w:t>
      </w:r>
      <w:r w:rsidR="00F86E0E" w:rsidRPr="007700E0">
        <w:rPr>
          <w:lang w:val="en-US"/>
        </w:rPr>
        <w:t xml:space="preserve"> </w:t>
      </w:r>
      <w:r w:rsidR="00E723C9">
        <w:rPr>
          <w:lang w:val="en-US"/>
        </w:rPr>
        <w:t xml:space="preserve">Shippers </w:t>
      </w:r>
      <w:r w:rsidR="00F86E0E" w:rsidRPr="007700E0">
        <w:rPr>
          <w:lang w:val="en-US"/>
        </w:rPr>
        <w:t xml:space="preserve">must make, </w:t>
      </w:r>
      <w:proofErr w:type="gramStart"/>
      <w:r w:rsidR="00F86E0E" w:rsidRPr="007700E0">
        <w:rPr>
          <w:lang w:val="en-US"/>
        </w:rPr>
        <w:t>maintain</w:t>
      </w:r>
      <w:proofErr w:type="gramEnd"/>
      <w:r w:rsidR="00F86E0E" w:rsidRPr="007700E0">
        <w:rPr>
          <w:lang w:val="en-US"/>
        </w:rPr>
        <w:t xml:space="preserve"> and keep a contemporaneous record of material renomination (renomination records) of firm and auction services.</w:t>
      </w:r>
    </w:p>
    <w:p w14:paraId="4D203D9E" w14:textId="12A9C56F" w:rsidR="001D0C6C" w:rsidRPr="007700E0" w:rsidRDefault="001D0C6C" w:rsidP="007700E0">
      <w:pPr>
        <w:pStyle w:val="ListParagraph"/>
        <w:numPr>
          <w:ilvl w:val="1"/>
          <w:numId w:val="29"/>
        </w:numPr>
        <w:tabs>
          <w:tab w:val="clear" w:pos="340"/>
        </w:tabs>
        <w:spacing w:line="360" w:lineRule="auto"/>
        <w:rPr>
          <w:lang w:val="en-US"/>
        </w:rPr>
      </w:pPr>
      <w:r w:rsidRPr="007700E0">
        <w:rPr>
          <w:lang w:val="en-US"/>
        </w:rPr>
        <w:t xml:space="preserve">The AER was required to publish the initial DAA Record Keeping Guideline before commencement of the Day Ahead Auction </w:t>
      </w:r>
      <w:r w:rsidR="002E3908" w:rsidRPr="007700E0">
        <w:rPr>
          <w:lang w:val="en-US"/>
        </w:rPr>
        <w:t xml:space="preserve">in March 2019 </w:t>
      </w:r>
      <w:r w:rsidRPr="007700E0">
        <w:rPr>
          <w:lang w:val="en-US"/>
        </w:rPr>
        <w:t xml:space="preserve">and </w:t>
      </w:r>
      <w:bookmarkStart w:id="4" w:name="_Ref118908872"/>
      <w:r w:rsidR="004D60BD" w:rsidRPr="007700E0">
        <w:rPr>
          <w:lang w:val="en-US"/>
        </w:rPr>
        <w:t>while the AER consulted on the requirements at the time</w:t>
      </w:r>
      <w:r w:rsidR="002E3908" w:rsidRPr="007700E0">
        <w:rPr>
          <w:lang w:val="en-US"/>
        </w:rPr>
        <w:t>,</w:t>
      </w:r>
      <w:r w:rsidR="004D60BD" w:rsidRPr="007700E0">
        <w:rPr>
          <w:lang w:val="en-US"/>
        </w:rPr>
        <w:t xml:space="preserve"> it was recognised that further changes might be required with practical experience. </w:t>
      </w:r>
    </w:p>
    <w:p w14:paraId="1C6B4E3D" w14:textId="65FA7CEC" w:rsidR="004D60BD" w:rsidRPr="007700E0" w:rsidRDefault="002E3908" w:rsidP="007700E0">
      <w:pPr>
        <w:pStyle w:val="ListParagraph"/>
        <w:numPr>
          <w:ilvl w:val="1"/>
          <w:numId w:val="29"/>
        </w:numPr>
        <w:tabs>
          <w:tab w:val="clear" w:pos="340"/>
        </w:tabs>
        <w:spacing w:line="360" w:lineRule="auto"/>
        <w:rPr>
          <w:lang w:val="en-US"/>
        </w:rPr>
      </w:pPr>
      <w:r w:rsidRPr="007700E0">
        <w:rPr>
          <w:lang w:val="en-US"/>
        </w:rPr>
        <w:t>T</w:t>
      </w:r>
      <w:r w:rsidR="004D60BD" w:rsidRPr="007700E0">
        <w:rPr>
          <w:lang w:val="en-US"/>
        </w:rPr>
        <w:t xml:space="preserve">he AER has </w:t>
      </w:r>
      <w:r w:rsidRPr="007700E0">
        <w:rPr>
          <w:lang w:val="en-US"/>
        </w:rPr>
        <w:t xml:space="preserve">routinely </w:t>
      </w:r>
      <w:r w:rsidR="0087007B" w:rsidRPr="007700E0">
        <w:rPr>
          <w:lang w:val="en-US"/>
        </w:rPr>
        <w:t xml:space="preserve">engaged with facility operators </w:t>
      </w:r>
      <w:r w:rsidR="005C0221">
        <w:rPr>
          <w:lang w:val="en-US"/>
        </w:rPr>
        <w:t xml:space="preserve">on the </w:t>
      </w:r>
      <w:r w:rsidR="0087007B" w:rsidRPr="007700E0">
        <w:rPr>
          <w:lang w:val="en-US"/>
        </w:rPr>
        <w:t>records they submit</w:t>
      </w:r>
      <w:r w:rsidR="00243E36">
        <w:rPr>
          <w:lang w:val="en-US"/>
        </w:rPr>
        <w:t xml:space="preserve"> monthly</w:t>
      </w:r>
      <w:r w:rsidR="0087007B" w:rsidRPr="007700E0">
        <w:rPr>
          <w:lang w:val="en-US"/>
        </w:rPr>
        <w:t xml:space="preserve">, in some cases leading to changes to how data </w:t>
      </w:r>
      <w:r w:rsidRPr="007700E0">
        <w:rPr>
          <w:lang w:val="en-US"/>
        </w:rPr>
        <w:t xml:space="preserve">has been </w:t>
      </w:r>
      <w:r w:rsidR="0087007B" w:rsidRPr="007700E0">
        <w:rPr>
          <w:lang w:val="en-US"/>
        </w:rPr>
        <w:t xml:space="preserve">presented to </w:t>
      </w:r>
      <w:r w:rsidRPr="007700E0">
        <w:rPr>
          <w:lang w:val="en-US"/>
        </w:rPr>
        <w:t xml:space="preserve">better </w:t>
      </w:r>
      <w:r w:rsidR="0087007B" w:rsidRPr="007700E0">
        <w:rPr>
          <w:lang w:val="en-US"/>
        </w:rPr>
        <w:t xml:space="preserve">comply with the Guideline. </w:t>
      </w:r>
      <w:r w:rsidRPr="007700E0">
        <w:rPr>
          <w:lang w:val="en-US"/>
        </w:rPr>
        <w:t xml:space="preserve">This ongoing engagement </w:t>
      </w:r>
      <w:r w:rsidR="0091242B" w:rsidRPr="007700E0">
        <w:rPr>
          <w:lang w:val="en-US"/>
        </w:rPr>
        <w:t>has assisted</w:t>
      </w:r>
      <w:r w:rsidR="0087007B" w:rsidRPr="007700E0">
        <w:rPr>
          <w:lang w:val="en-US"/>
        </w:rPr>
        <w:t xml:space="preserve"> </w:t>
      </w:r>
      <w:r w:rsidR="0091242B" w:rsidRPr="007700E0">
        <w:rPr>
          <w:lang w:val="en-US"/>
        </w:rPr>
        <w:t xml:space="preserve">to reduce the </w:t>
      </w:r>
      <w:r w:rsidR="0087007B" w:rsidRPr="007700E0">
        <w:rPr>
          <w:lang w:val="en-US"/>
        </w:rPr>
        <w:t>burden on shippers</w:t>
      </w:r>
      <w:r w:rsidRPr="007700E0">
        <w:rPr>
          <w:lang w:val="en-US"/>
        </w:rPr>
        <w:t xml:space="preserve"> </w:t>
      </w:r>
      <w:r w:rsidR="00A85C70" w:rsidRPr="007700E0">
        <w:rPr>
          <w:lang w:val="en-US"/>
        </w:rPr>
        <w:t>whereby</w:t>
      </w:r>
      <w:r w:rsidRPr="007700E0">
        <w:rPr>
          <w:lang w:val="en-US"/>
        </w:rPr>
        <w:t xml:space="preserve"> the AER has been able to better identify relevant shipper renominations.</w:t>
      </w:r>
    </w:p>
    <w:p w14:paraId="60DEF624" w14:textId="016C8037" w:rsidR="00B042DC" w:rsidRPr="00CA7E6E" w:rsidRDefault="0091242B" w:rsidP="007700E0">
      <w:pPr>
        <w:pStyle w:val="ListParagraph"/>
        <w:numPr>
          <w:ilvl w:val="1"/>
          <w:numId w:val="29"/>
        </w:numPr>
        <w:tabs>
          <w:tab w:val="clear" w:pos="340"/>
        </w:tabs>
        <w:spacing w:line="360" w:lineRule="auto"/>
        <w:rPr>
          <w:lang w:val="en-US"/>
        </w:rPr>
        <w:sectPr w:rsidR="00B042DC" w:rsidRPr="00CA7E6E" w:rsidSect="00525418">
          <w:footerReference w:type="default" r:id="rId12"/>
          <w:footerReference w:type="first" r:id="rId13"/>
          <w:pgSz w:w="11906" w:h="16838"/>
          <w:pgMar w:top="1276" w:right="1440" w:bottom="1440" w:left="1440" w:header="708" w:footer="708" w:gutter="0"/>
          <w:pgNumType w:start="0"/>
          <w:cols w:space="708"/>
          <w:titlePg/>
          <w:docGrid w:linePitch="360"/>
        </w:sectPr>
      </w:pPr>
      <w:r w:rsidRPr="00CA7E6E">
        <w:rPr>
          <w:lang w:val="en-US"/>
        </w:rPr>
        <w:t>Since 2019, t</w:t>
      </w:r>
      <w:r w:rsidR="001D0C6C" w:rsidRPr="00CA7E6E">
        <w:rPr>
          <w:lang w:val="en-US"/>
        </w:rPr>
        <w:t xml:space="preserve">he AER has conducted four separate </w:t>
      </w:r>
      <w:r w:rsidR="00243E36" w:rsidRPr="00CA7E6E">
        <w:rPr>
          <w:lang w:val="en-US"/>
        </w:rPr>
        <w:t xml:space="preserve">ad-hoc </w:t>
      </w:r>
      <w:r w:rsidR="001D0C6C" w:rsidRPr="00CA7E6E">
        <w:rPr>
          <w:lang w:val="en-US"/>
        </w:rPr>
        <w:t xml:space="preserve">industry-wide </w:t>
      </w:r>
      <w:r w:rsidR="004D60BD" w:rsidRPr="00CA7E6E">
        <w:rPr>
          <w:lang w:val="en-US"/>
        </w:rPr>
        <w:t xml:space="preserve">shipper </w:t>
      </w:r>
      <w:r w:rsidR="001D0C6C" w:rsidRPr="00CA7E6E">
        <w:rPr>
          <w:lang w:val="en-US"/>
        </w:rPr>
        <w:t xml:space="preserve">requests for renomination </w:t>
      </w:r>
      <w:r w:rsidRPr="00CA7E6E">
        <w:rPr>
          <w:lang w:val="en-US"/>
        </w:rPr>
        <w:t>records</w:t>
      </w:r>
      <w:r w:rsidR="00324F97">
        <w:rPr>
          <w:lang w:val="en-US"/>
        </w:rPr>
        <w:t>.</w:t>
      </w:r>
      <w:r w:rsidRPr="00CA7E6E">
        <w:rPr>
          <w:lang w:val="en-US"/>
        </w:rPr>
        <w:t xml:space="preserve"> </w:t>
      </w:r>
      <w:r w:rsidR="00324F97">
        <w:rPr>
          <w:lang w:val="en-US"/>
        </w:rPr>
        <w:t>M</w:t>
      </w:r>
      <w:r w:rsidR="00A85C70" w:rsidRPr="00CA7E6E">
        <w:rPr>
          <w:lang w:val="en-US"/>
        </w:rPr>
        <w:t xml:space="preserve">atters raised through these </w:t>
      </w:r>
      <w:r w:rsidR="00A85C70" w:rsidRPr="00CA7E6E">
        <w:rPr>
          <w:lang w:val="en-US"/>
        </w:rPr>
        <w:lastRenderedPageBreak/>
        <w:t xml:space="preserve">processes form </w:t>
      </w:r>
      <w:r w:rsidRPr="00CA7E6E">
        <w:rPr>
          <w:lang w:val="en-US"/>
        </w:rPr>
        <w:t>the basis for m</w:t>
      </w:r>
      <w:r w:rsidR="00A85C70" w:rsidRPr="00CA7E6E">
        <w:rPr>
          <w:lang w:val="en-US"/>
        </w:rPr>
        <w:t>ost</w:t>
      </w:r>
      <w:r w:rsidRPr="00CA7E6E">
        <w:rPr>
          <w:lang w:val="en-US"/>
        </w:rPr>
        <w:t xml:space="preserve"> of the proposed amendments to the Guideline noted below</w:t>
      </w:r>
      <w:r w:rsidR="001D0C6C" w:rsidRPr="00CA7E6E">
        <w:rPr>
          <w:lang w:val="en-US"/>
        </w:rPr>
        <w:t>.</w:t>
      </w:r>
    </w:p>
    <w:p w14:paraId="6B839B35" w14:textId="08BD929C" w:rsidR="004C5888" w:rsidRDefault="00D64ED6" w:rsidP="007700E0">
      <w:pPr>
        <w:pStyle w:val="Heading1"/>
        <w:numPr>
          <w:ilvl w:val="0"/>
          <w:numId w:val="29"/>
        </w:numPr>
        <w:spacing w:line="360" w:lineRule="auto"/>
        <w:rPr>
          <w:lang w:val="en-US"/>
        </w:rPr>
      </w:pPr>
      <w:bookmarkStart w:id="5" w:name="_Toc127793006"/>
      <w:r>
        <w:rPr>
          <w:lang w:val="en-US"/>
        </w:rPr>
        <w:lastRenderedPageBreak/>
        <w:t>Proposed</w:t>
      </w:r>
      <w:r w:rsidR="005521F2">
        <w:rPr>
          <w:lang w:val="en-US"/>
        </w:rPr>
        <w:t xml:space="preserve"> </w:t>
      </w:r>
      <w:r w:rsidR="003D6441">
        <w:rPr>
          <w:lang w:val="en-US"/>
        </w:rPr>
        <w:t>amendments to the Guideline</w:t>
      </w:r>
      <w:bookmarkEnd w:id="4"/>
      <w:bookmarkEnd w:id="5"/>
      <w:r w:rsidR="003D6441">
        <w:rPr>
          <w:lang w:val="en-US"/>
        </w:rPr>
        <w:t xml:space="preserve"> </w:t>
      </w:r>
    </w:p>
    <w:p w14:paraId="626E273D" w14:textId="31B5325E" w:rsidR="006A5D1A" w:rsidRDefault="00233AD7" w:rsidP="007700E0">
      <w:pPr>
        <w:pStyle w:val="ListParagraph"/>
        <w:numPr>
          <w:ilvl w:val="1"/>
          <w:numId w:val="29"/>
        </w:numPr>
        <w:tabs>
          <w:tab w:val="clear" w:pos="340"/>
        </w:tabs>
        <w:spacing w:line="360" w:lineRule="auto"/>
        <w:rPr>
          <w:lang w:val="en-US"/>
        </w:rPr>
      </w:pPr>
      <w:r w:rsidRPr="00A9095F">
        <w:rPr>
          <w:lang w:val="en-US"/>
        </w:rPr>
        <w:t xml:space="preserve">The </w:t>
      </w:r>
      <w:r w:rsidR="005E1440">
        <w:rPr>
          <w:lang w:val="en-US"/>
        </w:rPr>
        <w:t>details</w:t>
      </w:r>
      <w:r w:rsidR="002C00FB">
        <w:rPr>
          <w:lang w:val="en-US"/>
        </w:rPr>
        <w:t xml:space="preserve">, </w:t>
      </w:r>
      <w:proofErr w:type="gramStart"/>
      <w:r w:rsidR="003330CA">
        <w:rPr>
          <w:lang w:val="en-US"/>
        </w:rPr>
        <w:t>impact</w:t>
      </w:r>
      <w:proofErr w:type="gramEnd"/>
      <w:r w:rsidR="003330CA">
        <w:rPr>
          <w:lang w:val="en-US"/>
        </w:rPr>
        <w:t xml:space="preserve"> </w:t>
      </w:r>
      <w:r w:rsidR="002C00FB">
        <w:rPr>
          <w:lang w:val="en-US"/>
        </w:rPr>
        <w:t>and rational</w:t>
      </w:r>
      <w:r w:rsidR="00022006">
        <w:rPr>
          <w:lang w:val="en-US"/>
        </w:rPr>
        <w:t>e</w:t>
      </w:r>
      <w:r w:rsidR="002C00FB">
        <w:rPr>
          <w:lang w:val="en-US"/>
        </w:rPr>
        <w:t xml:space="preserve"> behind </w:t>
      </w:r>
      <w:r w:rsidR="005E1440">
        <w:rPr>
          <w:lang w:val="en-US"/>
        </w:rPr>
        <w:t xml:space="preserve">the amendments to the Guideline </w:t>
      </w:r>
      <w:r w:rsidR="00080EC8">
        <w:rPr>
          <w:lang w:val="en-US"/>
        </w:rPr>
        <w:t>are</w:t>
      </w:r>
      <w:r w:rsidR="005E1440">
        <w:rPr>
          <w:lang w:val="en-US"/>
        </w:rPr>
        <w:t xml:space="preserve"> shown below in </w:t>
      </w:r>
      <w:r w:rsidR="00F71687">
        <w:rPr>
          <w:lang w:val="en-US"/>
        </w:rPr>
        <w:fldChar w:fldCharType="begin"/>
      </w:r>
      <w:r w:rsidR="00F71687">
        <w:rPr>
          <w:lang w:val="en-US"/>
        </w:rPr>
        <w:instrText xml:space="preserve"> REF _Ref120018057 \h </w:instrText>
      </w:r>
      <w:r w:rsidR="00F71687">
        <w:rPr>
          <w:lang w:val="en-US"/>
        </w:rPr>
      </w:r>
      <w:r w:rsidR="00F71687">
        <w:rPr>
          <w:lang w:val="en-US"/>
        </w:rPr>
        <w:fldChar w:fldCharType="separate"/>
      </w:r>
      <w:r w:rsidR="00F71687">
        <w:t xml:space="preserve">Table </w:t>
      </w:r>
      <w:r w:rsidR="00F71687">
        <w:rPr>
          <w:noProof/>
        </w:rPr>
        <w:t>A</w:t>
      </w:r>
      <w:r w:rsidR="00F71687">
        <w:rPr>
          <w:lang w:val="en-US"/>
        </w:rPr>
        <w:fldChar w:fldCharType="end"/>
      </w:r>
      <w:r w:rsidR="00D53A59">
        <w:rPr>
          <w:lang w:val="en-US"/>
        </w:rPr>
        <w:t xml:space="preserve"> and </w:t>
      </w:r>
      <w:r w:rsidR="00F71687">
        <w:rPr>
          <w:lang w:val="en-US"/>
        </w:rPr>
        <w:fldChar w:fldCharType="begin"/>
      </w:r>
      <w:r w:rsidR="00F71687">
        <w:rPr>
          <w:lang w:val="en-US"/>
        </w:rPr>
        <w:instrText xml:space="preserve"> REF _Ref120018100 \h </w:instrText>
      </w:r>
      <w:r w:rsidR="00F71687">
        <w:rPr>
          <w:lang w:val="en-US"/>
        </w:rPr>
      </w:r>
      <w:r w:rsidR="00F71687">
        <w:rPr>
          <w:lang w:val="en-US"/>
        </w:rPr>
        <w:fldChar w:fldCharType="separate"/>
      </w:r>
      <w:r w:rsidR="00F71687">
        <w:t xml:space="preserve">Table </w:t>
      </w:r>
      <w:r w:rsidR="00F71687">
        <w:rPr>
          <w:noProof/>
        </w:rPr>
        <w:t>B</w:t>
      </w:r>
      <w:r w:rsidR="00F71687">
        <w:rPr>
          <w:lang w:val="en-US"/>
        </w:rPr>
        <w:fldChar w:fldCharType="end"/>
      </w:r>
      <w:r w:rsidR="005E1440">
        <w:rPr>
          <w:lang w:val="en-US"/>
        </w:rPr>
        <w:t xml:space="preserve">. </w:t>
      </w:r>
    </w:p>
    <w:p w14:paraId="09974731" w14:textId="332A34B5" w:rsidR="005F6C82" w:rsidRDefault="005F6C82" w:rsidP="007700E0">
      <w:pPr>
        <w:pStyle w:val="ListParagraph"/>
        <w:numPr>
          <w:ilvl w:val="1"/>
          <w:numId w:val="29"/>
        </w:numPr>
        <w:tabs>
          <w:tab w:val="clear" w:pos="340"/>
        </w:tabs>
        <w:spacing w:line="360" w:lineRule="auto"/>
        <w:rPr>
          <w:lang w:val="en-US"/>
        </w:rPr>
      </w:pPr>
      <w:r>
        <w:rPr>
          <w:lang w:val="en-US"/>
        </w:rPr>
        <w:t xml:space="preserve">In addition to the amendments outlined below, </w:t>
      </w:r>
      <w:proofErr w:type="gramStart"/>
      <w:r>
        <w:rPr>
          <w:lang w:val="en-US"/>
        </w:rPr>
        <w:t>a number of</w:t>
      </w:r>
      <w:proofErr w:type="gramEnd"/>
      <w:r>
        <w:rPr>
          <w:lang w:val="en-US"/>
        </w:rPr>
        <w:t xml:space="preserve"> minor changes have been made to the Guideline for clarity and consistency. These include </w:t>
      </w:r>
      <w:r w:rsidR="0035767A">
        <w:rPr>
          <w:lang w:val="en-US"/>
        </w:rPr>
        <w:t xml:space="preserve">further guidance </w:t>
      </w:r>
      <w:r w:rsidR="00080EC8">
        <w:rPr>
          <w:lang w:val="en-US"/>
        </w:rPr>
        <w:t xml:space="preserve">and examples to clarify </w:t>
      </w:r>
      <w:r>
        <w:rPr>
          <w:lang w:val="en-US"/>
        </w:rPr>
        <w:t xml:space="preserve">data and information that must be submitted.  </w:t>
      </w:r>
    </w:p>
    <w:p w14:paraId="691B33CA" w14:textId="17FDD46A" w:rsidR="00233AD7" w:rsidRDefault="00406235" w:rsidP="007700E0">
      <w:pPr>
        <w:pStyle w:val="ListParagraph"/>
        <w:numPr>
          <w:ilvl w:val="1"/>
          <w:numId w:val="29"/>
        </w:numPr>
        <w:tabs>
          <w:tab w:val="clear" w:pos="340"/>
        </w:tabs>
        <w:spacing w:line="360" w:lineRule="auto"/>
        <w:rPr>
          <w:lang w:val="en-US"/>
        </w:rPr>
      </w:pPr>
      <w:r>
        <w:rPr>
          <w:lang w:val="en-US"/>
        </w:rPr>
        <w:t xml:space="preserve">The AER </w:t>
      </w:r>
      <w:r w:rsidR="004A0568">
        <w:rPr>
          <w:lang w:val="en-US"/>
        </w:rPr>
        <w:t>must have</w:t>
      </w:r>
      <w:r>
        <w:rPr>
          <w:lang w:val="en-US"/>
        </w:rPr>
        <w:t xml:space="preserve"> specific regard to clauses 665(4)(b) and 666(6)(b) of the NGR which require the AER to balance the costs likely to be incurred by facility operators </w:t>
      </w:r>
      <w:r w:rsidR="009E22D2">
        <w:rPr>
          <w:lang w:val="en-US"/>
        </w:rPr>
        <w:t>and shippers in complying with the proposed amendments to the Guideline. This is reflected by the level of discretion given to facility operators and shippers in how information and data can be recorded – provided that the mandatory information required is ke</w:t>
      </w:r>
      <w:r w:rsidR="002E4F2C">
        <w:rPr>
          <w:lang w:val="en-US"/>
        </w:rPr>
        <w:t xml:space="preserve">pt. </w:t>
      </w:r>
    </w:p>
    <w:p w14:paraId="7FCA952F" w14:textId="2FA0BFE1" w:rsidR="008C2381" w:rsidRPr="003330CA" w:rsidRDefault="00CF04AF" w:rsidP="007700E0">
      <w:pPr>
        <w:pStyle w:val="ListParagraph"/>
        <w:numPr>
          <w:ilvl w:val="1"/>
          <w:numId w:val="29"/>
        </w:numPr>
        <w:tabs>
          <w:tab w:val="clear" w:pos="340"/>
        </w:tabs>
        <w:spacing w:line="360" w:lineRule="auto"/>
        <w:rPr>
          <w:lang w:val="en-US"/>
        </w:rPr>
      </w:pPr>
      <w:r>
        <w:rPr>
          <w:lang w:val="en-US"/>
        </w:rPr>
        <w:fldChar w:fldCharType="begin"/>
      </w:r>
      <w:r>
        <w:rPr>
          <w:lang w:val="en-US"/>
        </w:rPr>
        <w:instrText xml:space="preserve"> REF _Ref120020535 \h  \* MERGEFORMAT </w:instrText>
      </w:r>
      <w:r>
        <w:rPr>
          <w:lang w:val="en-US"/>
        </w:rPr>
      </w:r>
      <w:r>
        <w:rPr>
          <w:lang w:val="en-US"/>
        </w:rPr>
        <w:fldChar w:fldCharType="separate"/>
      </w:r>
      <w:r w:rsidRPr="002A6515">
        <w:rPr>
          <w:lang w:val="en-US"/>
        </w:rPr>
        <w:t>Schedule 1</w:t>
      </w:r>
      <w:r>
        <w:rPr>
          <w:lang w:val="en-US"/>
        </w:rPr>
        <w:fldChar w:fldCharType="end"/>
      </w:r>
      <w:r w:rsidR="00987C66">
        <w:rPr>
          <w:lang w:val="en-US"/>
        </w:rPr>
        <w:t xml:space="preserve"> of this consultation paper</w:t>
      </w:r>
      <w:r w:rsidR="003065E7">
        <w:rPr>
          <w:lang w:val="en-US"/>
        </w:rPr>
        <w:t xml:space="preserve"> provides an indication of how information can be captured in nomination and scheduling records</w:t>
      </w:r>
      <w:r w:rsidR="008E5AA4">
        <w:rPr>
          <w:lang w:val="en-US"/>
        </w:rPr>
        <w:t xml:space="preserve"> and is unmodified from Schedule 1 in the current DAA Record Keeping Guideline</w:t>
      </w:r>
      <w:r w:rsidR="003065E7">
        <w:rPr>
          <w:lang w:val="en-US"/>
        </w:rPr>
        <w:t xml:space="preserve">. </w:t>
      </w:r>
      <w:r>
        <w:rPr>
          <w:lang w:val="en-US"/>
        </w:rPr>
        <w:fldChar w:fldCharType="begin"/>
      </w:r>
      <w:r>
        <w:rPr>
          <w:lang w:val="en-US"/>
        </w:rPr>
        <w:instrText xml:space="preserve"> REF _Ref120020548 \h  \* MERGEFORMAT </w:instrText>
      </w:r>
      <w:r>
        <w:rPr>
          <w:lang w:val="en-US"/>
        </w:rPr>
      </w:r>
      <w:r>
        <w:rPr>
          <w:lang w:val="en-US"/>
        </w:rPr>
        <w:fldChar w:fldCharType="separate"/>
      </w:r>
      <w:r w:rsidRPr="002A6515">
        <w:rPr>
          <w:lang w:val="en-US"/>
        </w:rPr>
        <w:t>Schedule 2</w:t>
      </w:r>
      <w:r>
        <w:rPr>
          <w:lang w:val="en-US"/>
        </w:rPr>
        <w:fldChar w:fldCharType="end"/>
      </w:r>
      <w:r w:rsidR="003065E7">
        <w:rPr>
          <w:lang w:val="en-US"/>
        </w:rPr>
        <w:t xml:space="preserve"> provides examples for </w:t>
      </w:r>
      <w:r>
        <w:rPr>
          <w:lang w:val="en-US"/>
        </w:rPr>
        <w:t xml:space="preserve">how contemporaneous records may be </w:t>
      </w:r>
      <w:proofErr w:type="gramStart"/>
      <w:r>
        <w:rPr>
          <w:lang w:val="en-US"/>
        </w:rPr>
        <w:t>reported</w:t>
      </w:r>
      <w:r w:rsidR="008E5AA4">
        <w:rPr>
          <w:lang w:val="en-US"/>
        </w:rPr>
        <w:t>, and</w:t>
      </w:r>
      <w:proofErr w:type="gramEnd"/>
      <w:r w:rsidR="008E5AA4">
        <w:rPr>
          <w:lang w:val="en-US"/>
        </w:rPr>
        <w:t xml:space="preserve"> has additional renomination reason categories</w:t>
      </w:r>
      <w:r>
        <w:rPr>
          <w:lang w:val="en-US"/>
        </w:rPr>
        <w:t xml:space="preserve">. </w:t>
      </w:r>
    </w:p>
    <w:p w14:paraId="0D889179" w14:textId="7C3C1236" w:rsidR="00F71687" w:rsidRDefault="00F71687" w:rsidP="00F71687">
      <w:pPr>
        <w:pStyle w:val="Caption"/>
        <w:keepNext/>
      </w:pPr>
      <w:bookmarkStart w:id="6" w:name="_Ref120018057"/>
      <w:r>
        <w:t xml:space="preserve">Table </w:t>
      </w:r>
      <w:r w:rsidR="00B30F35">
        <w:fldChar w:fldCharType="begin"/>
      </w:r>
      <w:r w:rsidR="00B30F35">
        <w:instrText xml:space="preserve"> SEQ Table \* ALPHABETIC </w:instrText>
      </w:r>
      <w:r w:rsidR="00B30F35">
        <w:fldChar w:fldCharType="separate"/>
      </w:r>
      <w:r>
        <w:rPr>
          <w:noProof/>
        </w:rPr>
        <w:t>A</w:t>
      </w:r>
      <w:r w:rsidR="00B30F35">
        <w:rPr>
          <w:noProof/>
        </w:rPr>
        <w:fldChar w:fldCharType="end"/>
      </w:r>
      <w:bookmarkEnd w:id="6"/>
      <w:r>
        <w:t xml:space="preserve">: </w:t>
      </w:r>
      <w:r w:rsidRPr="00C66EA3">
        <w:rPr>
          <w:rFonts w:asciiTheme="minorHAnsi" w:hAnsiTheme="minorHAnsi" w:cstheme="minorHAnsi"/>
          <w:szCs w:val="24"/>
        </w:rPr>
        <w:t>Amendments that will impact routine requirements</w:t>
      </w:r>
    </w:p>
    <w:tbl>
      <w:tblPr>
        <w:tblStyle w:val="TableGrid"/>
        <w:tblW w:w="14601" w:type="dxa"/>
        <w:tblLook w:val="04A0" w:firstRow="1" w:lastRow="0" w:firstColumn="1" w:lastColumn="0" w:noHBand="0" w:noVBand="1"/>
      </w:tblPr>
      <w:tblGrid>
        <w:gridCol w:w="4111"/>
        <w:gridCol w:w="5245"/>
        <w:gridCol w:w="5245"/>
      </w:tblGrid>
      <w:tr w:rsidR="00B042DC" w:rsidRPr="00230A2F" w14:paraId="40F327E1" w14:textId="51D6B118" w:rsidTr="00C2524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
          <w:p w14:paraId="617496EE" w14:textId="7536213A" w:rsidR="00B042DC" w:rsidRPr="00230A2F" w:rsidRDefault="00B042DC" w:rsidP="003D6441">
            <w:pPr>
              <w:rPr>
                <w:rFonts w:asciiTheme="minorHAnsi" w:hAnsiTheme="minorHAnsi" w:cstheme="minorHAnsi"/>
                <w:sz w:val="22"/>
                <w:lang w:val="en-US"/>
              </w:rPr>
            </w:pPr>
            <w:r w:rsidRPr="00230A2F">
              <w:rPr>
                <w:rFonts w:asciiTheme="minorHAnsi" w:hAnsiTheme="minorHAnsi" w:cstheme="minorHAnsi"/>
                <w:sz w:val="22"/>
                <w:lang w:val="en-US"/>
              </w:rPr>
              <w:t xml:space="preserve">Amendment </w:t>
            </w:r>
          </w:p>
        </w:tc>
        <w:tc>
          <w:tcPr>
            <w:tcW w:w="0" w:type="dxa"/>
            <w:tcBorders>
              <w:top w:val="single" w:sz="4" w:space="0" w:color="auto"/>
              <w:bottom w:val="single" w:sz="4" w:space="0" w:color="auto"/>
            </w:tcBorders>
          </w:tcPr>
          <w:p w14:paraId="50CF1747" w14:textId="621F5FF9" w:rsidR="00B042DC" w:rsidRPr="00230A2F" w:rsidRDefault="00B042DC" w:rsidP="003D644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230A2F">
              <w:rPr>
                <w:rFonts w:asciiTheme="minorHAnsi" w:hAnsiTheme="minorHAnsi" w:cstheme="minorHAnsi"/>
                <w:sz w:val="22"/>
                <w:lang w:val="en-US"/>
              </w:rPr>
              <w:t xml:space="preserve">Impact </w:t>
            </w:r>
          </w:p>
        </w:tc>
        <w:tc>
          <w:tcPr>
            <w:tcW w:w="0" w:type="dxa"/>
            <w:tcBorders>
              <w:top w:val="single" w:sz="4" w:space="0" w:color="auto"/>
              <w:bottom w:val="single" w:sz="4" w:space="0" w:color="auto"/>
            </w:tcBorders>
          </w:tcPr>
          <w:p w14:paraId="3454D031" w14:textId="0579159C" w:rsidR="00B042DC" w:rsidRPr="000E7492" w:rsidRDefault="000E7492" w:rsidP="003D644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31655F">
              <w:rPr>
                <w:rFonts w:asciiTheme="minorHAnsi" w:hAnsiTheme="minorHAnsi" w:cstheme="minorHAnsi"/>
                <w:sz w:val="22"/>
                <w:lang w:val="en-US"/>
              </w:rPr>
              <w:t>Rationale</w:t>
            </w:r>
            <w:r>
              <w:rPr>
                <w:rFonts w:asciiTheme="minorHAnsi" w:hAnsiTheme="minorHAnsi" w:cstheme="minorHAnsi"/>
                <w:lang w:val="en-US"/>
              </w:rPr>
              <w:t xml:space="preserve"> </w:t>
            </w:r>
          </w:p>
        </w:tc>
      </w:tr>
      <w:tr w:rsidR="00F66424" w:rsidRPr="00230A2F" w14:paraId="1DC95908" w14:textId="77777777" w:rsidTr="00743561">
        <w:tc>
          <w:tcPr>
            <w:cnfStyle w:val="001000000000" w:firstRow="0" w:lastRow="0" w:firstColumn="1" w:lastColumn="0" w:oddVBand="0" w:evenVBand="0" w:oddHBand="0" w:evenHBand="0" w:firstRowFirstColumn="0" w:firstRowLastColumn="0" w:lastRowFirstColumn="0" w:lastRowLastColumn="0"/>
            <w:tcW w:w="14601" w:type="dxa"/>
            <w:gridSpan w:val="3"/>
            <w:tcBorders>
              <w:top w:val="single" w:sz="4" w:space="0" w:color="auto"/>
              <w:bottom w:val="single" w:sz="4" w:space="0" w:color="auto"/>
            </w:tcBorders>
            <w:shd w:val="clear" w:color="auto" w:fill="D9D9D9" w:themeFill="background1" w:themeFillShade="D9"/>
          </w:tcPr>
          <w:p w14:paraId="289CADEE" w14:textId="2736C340" w:rsidR="00F66424" w:rsidRPr="00230A2F" w:rsidRDefault="00F66424" w:rsidP="00970F16">
            <w:pPr>
              <w:jc w:val="center"/>
              <w:rPr>
                <w:rFonts w:asciiTheme="minorHAnsi" w:hAnsiTheme="minorHAnsi" w:cstheme="minorHAnsi"/>
                <w:color w:val="FFFFFF" w:themeColor="background1"/>
                <w:lang w:val="en-US"/>
              </w:rPr>
            </w:pPr>
            <w:r w:rsidRPr="00743561">
              <w:rPr>
                <w:rFonts w:asciiTheme="minorHAnsi" w:hAnsiTheme="minorHAnsi" w:cstheme="minorHAnsi"/>
                <w:sz w:val="22"/>
                <w:szCs w:val="24"/>
                <w:lang w:val="en-US"/>
              </w:rPr>
              <w:t xml:space="preserve">General </w:t>
            </w:r>
            <w:r w:rsidR="001802CC" w:rsidRPr="00743561">
              <w:rPr>
                <w:rFonts w:asciiTheme="minorHAnsi" w:hAnsiTheme="minorHAnsi" w:cstheme="minorHAnsi"/>
                <w:sz w:val="22"/>
                <w:szCs w:val="24"/>
                <w:lang w:val="en-US"/>
              </w:rPr>
              <w:t>A</w:t>
            </w:r>
            <w:r w:rsidRPr="00743561">
              <w:rPr>
                <w:rFonts w:asciiTheme="minorHAnsi" w:hAnsiTheme="minorHAnsi" w:cstheme="minorHAnsi"/>
                <w:sz w:val="22"/>
                <w:szCs w:val="24"/>
                <w:lang w:val="en-US"/>
              </w:rPr>
              <w:t xml:space="preserve">mendments </w:t>
            </w:r>
          </w:p>
        </w:tc>
      </w:tr>
      <w:tr w:rsidR="00F66424" w:rsidRPr="00230A2F" w14:paraId="29091EF4" w14:textId="77777777" w:rsidTr="005D2268">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tcPr>
          <w:p w14:paraId="55CD358D" w14:textId="27AE5727" w:rsidR="00F66424" w:rsidRPr="00743561" w:rsidRDefault="00BE484D" w:rsidP="00F66424">
            <w:pPr>
              <w:rPr>
                <w:rFonts w:asciiTheme="minorHAnsi" w:hAnsiTheme="minorHAnsi" w:cstheme="minorHAnsi"/>
                <w:b w:val="0"/>
                <w:bCs/>
                <w:sz w:val="22"/>
                <w:lang w:val="en-US"/>
              </w:rPr>
            </w:pPr>
            <w:r>
              <w:rPr>
                <w:rFonts w:asciiTheme="minorHAnsi" w:hAnsiTheme="minorHAnsi" w:cstheme="minorHAnsi"/>
                <w:b w:val="0"/>
                <w:bCs/>
                <w:sz w:val="22"/>
                <w:lang w:val="en-US"/>
              </w:rPr>
              <w:t>Clearer r</w:t>
            </w:r>
            <w:r w:rsidR="001802CC" w:rsidRPr="00743561">
              <w:rPr>
                <w:rFonts w:asciiTheme="minorHAnsi" w:hAnsiTheme="minorHAnsi" w:cstheme="minorHAnsi"/>
                <w:b w:val="0"/>
                <w:bCs/>
                <w:sz w:val="22"/>
                <w:lang w:val="en-US"/>
              </w:rPr>
              <w:t xml:space="preserve">equirement for time to </w:t>
            </w:r>
            <w:r w:rsidR="00F66424" w:rsidRPr="00743561">
              <w:rPr>
                <w:rFonts w:asciiTheme="minorHAnsi" w:hAnsiTheme="minorHAnsi" w:cstheme="minorHAnsi"/>
                <w:b w:val="0"/>
                <w:bCs/>
                <w:sz w:val="22"/>
                <w:lang w:val="en-US"/>
              </w:rPr>
              <w:t>be expressed in 24-hour format</w:t>
            </w:r>
          </w:p>
        </w:tc>
        <w:tc>
          <w:tcPr>
            <w:tcW w:w="5245" w:type="dxa"/>
            <w:tcBorders>
              <w:bottom w:val="single" w:sz="4" w:space="0" w:color="auto"/>
            </w:tcBorders>
          </w:tcPr>
          <w:p w14:paraId="3C8C5670" w14:textId="08AC6332" w:rsidR="00F66424" w:rsidRPr="00BE484D" w:rsidRDefault="001802CC"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743561">
              <w:rPr>
                <w:rFonts w:asciiTheme="minorHAnsi" w:hAnsiTheme="minorHAnsi" w:cstheme="minorHAnsi"/>
                <w:sz w:val="22"/>
                <w:lang w:val="en-US"/>
              </w:rPr>
              <w:t xml:space="preserve">Facility operators and shippers </w:t>
            </w:r>
            <w:r w:rsidRPr="00743561">
              <w:rPr>
                <w:rFonts w:asciiTheme="minorHAnsi" w:hAnsiTheme="minorHAnsi" w:cstheme="minorHAnsi"/>
                <w:sz w:val="22"/>
                <w:u w:val="single"/>
                <w:lang w:val="en-US"/>
              </w:rPr>
              <w:t xml:space="preserve">must </w:t>
            </w:r>
            <w:r w:rsidRPr="00F85539">
              <w:rPr>
                <w:rFonts w:asciiTheme="minorHAnsi" w:hAnsiTheme="minorHAnsi" w:cstheme="minorHAnsi"/>
                <w:sz w:val="22"/>
                <w:lang w:val="en-US"/>
              </w:rPr>
              <w:t>express time</w:t>
            </w:r>
            <w:r w:rsidRPr="00743561">
              <w:rPr>
                <w:rFonts w:asciiTheme="minorHAnsi" w:hAnsiTheme="minorHAnsi" w:cstheme="minorHAnsi"/>
                <w:sz w:val="22"/>
                <w:u w:val="single"/>
                <w:lang w:val="en-US"/>
              </w:rPr>
              <w:t xml:space="preserve"> in 24-hour format </w:t>
            </w:r>
            <w:r w:rsidRPr="00F85539">
              <w:rPr>
                <w:rFonts w:asciiTheme="minorHAnsi" w:hAnsiTheme="minorHAnsi" w:cstheme="minorHAnsi"/>
                <w:sz w:val="22"/>
                <w:lang w:val="en-US"/>
              </w:rPr>
              <w:t xml:space="preserve">when recording information and data. </w:t>
            </w:r>
          </w:p>
        </w:tc>
        <w:tc>
          <w:tcPr>
            <w:tcW w:w="5245" w:type="dxa"/>
            <w:tcBorders>
              <w:bottom w:val="single" w:sz="4" w:space="0" w:color="auto"/>
            </w:tcBorders>
          </w:tcPr>
          <w:p w14:paraId="2EBE4C18" w14:textId="1B0B16C7" w:rsidR="001802CC" w:rsidRPr="00952400" w:rsidRDefault="001802CC" w:rsidP="001802C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The </w:t>
            </w:r>
            <w:r w:rsidR="00F85539">
              <w:rPr>
                <w:rFonts w:asciiTheme="minorHAnsi" w:hAnsiTheme="minorHAnsi" w:cstheme="minorHAnsi"/>
                <w:sz w:val="22"/>
                <w:lang w:val="en-US"/>
              </w:rPr>
              <w:t xml:space="preserve">clearer </w:t>
            </w:r>
            <w:r w:rsidRPr="00952400">
              <w:rPr>
                <w:rFonts w:asciiTheme="minorHAnsi" w:hAnsiTheme="minorHAnsi" w:cstheme="minorHAnsi"/>
                <w:sz w:val="22"/>
                <w:lang w:val="en-US"/>
              </w:rPr>
              <w:t xml:space="preserve">requirement for the time to be expressed in a 24-hour format comes from instances of shippers forgetting </w:t>
            </w:r>
            <w:r w:rsidR="00F85539">
              <w:rPr>
                <w:rFonts w:asciiTheme="minorHAnsi" w:hAnsiTheme="minorHAnsi" w:cstheme="minorHAnsi"/>
                <w:sz w:val="22"/>
                <w:lang w:val="en-US"/>
              </w:rPr>
              <w:t xml:space="preserve">this requirement and providing a </w:t>
            </w:r>
            <w:r w:rsidRPr="00952400">
              <w:rPr>
                <w:rFonts w:asciiTheme="minorHAnsi" w:hAnsiTheme="minorHAnsi" w:cstheme="minorHAnsi"/>
                <w:sz w:val="22"/>
                <w:lang w:val="en-US"/>
              </w:rPr>
              <w:t xml:space="preserve">12-hour </w:t>
            </w:r>
            <w:r w:rsidR="00F85539">
              <w:rPr>
                <w:rFonts w:asciiTheme="minorHAnsi" w:hAnsiTheme="minorHAnsi" w:cstheme="minorHAnsi"/>
                <w:sz w:val="22"/>
                <w:lang w:val="en-US"/>
              </w:rPr>
              <w:t>format time</w:t>
            </w:r>
            <w:r w:rsidRPr="00952400">
              <w:rPr>
                <w:rFonts w:asciiTheme="minorHAnsi" w:hAnsiTheme="minorHAnsi" w:cstheme="minorHAnsi"/>
                <w:sz w:val="22"/>
                <w:lang w:val="en-US"/>
              </w:rPr>
              <w:t xml:space="preserve">. </w:t>
            </w:r>
          </w:p>
          <w:p w14:paraId="6EDCD5F6" w14:textId="77777777" w:rsidR="00F66424" w:rsidRPr="0031655F"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p>
        </w:tc>
      </w:tr>
      <w:tr w:rsidR="00F66424" w:rsidRPr="00230A2F" w14:paraId="67E2B27D" w14:textId="46406470" w:rsidTr="00743561">
        <w:tc>
          <w:tcPr>
            <w:cnfStyle w:val="001000000000" w:firstRow="0" w:lastRow="0" w:firstColumn="1" w:lastColumn="0" w:oddVBand="0" w:evenVBand="0" w:oddHBand="0" w:evenHBand="0" w:firstRowFirstColumn="0" w:firstRowLastColumn="0" w:lastRowFirstColumn="0" w:lastRowLastColumn="0"/>
            <w:tcW w:w="14601" w:type="dxa"/>
            <w:gridSpan w:val="3"/>
            <w:tcBorders>
              <w:top w:val="single" w:sz="4" w:space="0" w:color="auto"/>
              <w:bottom w:val="single" w:sz="4" w:space="0" w:color="auto"/>
            </w:tcBorders>
            <w:shd w:val="clear" w:color="auto" w:fill="D9D9D9" w:themeFill="background1" w:themeFillShade="D9"/>
          </w:tcPr>
          <w:p w14:paraId="2F5A000B" w14:textId="1276CB57" w:rsidR="00F66424" w:rsidRPr="00230A2F" w:rsidRDefault="00261645" w:rsidP="00C2524B">
            <w:pPr>
              <w:keepNext/>
              <w:jc w:val="center"/>
              <w:rPr>
                <w:rFonts w:asciiTheme="minorHAnsi" w:hAnsiTheme="minorHAnsi" w:cstheme="minorHAnsi"/>
                <w:color w:val="FFFFFF" w:themeColor="background1"/>
                <w:lang w:val="en-US"/>
              </w:rPr>
            </w:pPr>
            <w:bookmarkStart w:id="7" w:name="_Hlk119413979"/>
            <w:r>
              <w:rPr>
                <w:rFonts w:asciiTheme="minorHAnsi" w:hAnsiTheme="minorHAnsi" w:cstheme="minorHAnsi"/>
                <w:sz w:val="22"/>
                <w:lang w:val="en-US"/>
              </w:rPr>
              <w:lastRenderedPageBreak/>
              <w:t>S</w:t>
            </w:r>
            <w:r w:rsidR="00F66424" w:rsidRPr="00743561">
              <w:rPr>
                <w:rFonts w:asciiTheme="minorHAnsi" w:hAnsiTheme="minorHAnsi" w:cstheme="minorHAnsi"/>
                <w:sz w:val="22"/>
                <w:lang w:val="en-US"/>
              </w:rPr>
              <w:t>hippers</w:t>
            </w:r>
            <w:r>
              <w:rPr>
                <w:rFonts w:asciiTheme="minorHAnsi" w:hAnsiTheme="minorHAnsi" w:cstheme="minorHAnsi"/>
                <w:sz w:val="22"/>
                <w:lang w:val="en-US"/>
              </w:rPr>
              <w:t xml:space="preserve"> </w:t>
            </w:r>
          </w:p>
        </w:tc>
      </w:tr>
      <w:bookmarkEnd w:id="7"/>
      <w:tr w:rsidR="00F66424" w:rsidRPr="00230A2F" w14:paraId="0F91315E" w14:textId="33A94DFD" w:rsidTr="0036658A">
        <w:trPr>
          <w:trHeight w:val="171"/>
        </w:trPr>
        <w:tc>
          <w:tcPr>
            <w:cnfStyle w:val="001000000000" w:firstRow="0" w:lastRow="0" w:firstColumn="1" w:lastColumn="0" w:oddVBand="0" w:evenVBand="0" w:oddHBand="0" w:evenHBand="0" w:firstRowFirstColumn="0" w:firstRowLastColumn="0" w:lastRowFirstColumn="0" w:lastRowLastColumn="0"/>
            <w:tcW w:w="14601" w:type="dxa"/>
            <w:gridSpan w:val="3"/>
            <w:tcBorders>
              <w:top w:val="single" w:sz="4" w:space="0" w:color="auto"/>
              <w:bottom w:val="single" w:sz="4" w:space="0" w:color="auto"/>
            </w:tcBorders>
          </w:tcPr>
          <w:p w14:paraId="0121BBC7" w14:textId="102B6EED" w:rsidR="00F66424" w:rsidRPr="00952400" w:rsidRDefault="00F66424" w:rsidP="00F66424">
            <w:pPr>
              <w:rPr>
                <w:rFonts w:asciiTheme="minorHAnsi" w:hAnsiTheme="minorHAnsi" w:cstheme="minorHAnsi"/>
                <w:sz w:val="22"/>
                <w:u w:val="single"/>
                <w:lang w:val="en-US"/>
              </w:rPr>
            </w:pPr>
            <w:r w:rsidRPr="00952400">
              <w:rPr>
                <w:rFonts w:asciiTheme="minorHAnsi" w:hAnsiTheme="minorHAnsi" w:cstheme="minorHAnsi"/>
                <w:sz w:val="22"/>
                <w:u w:val="single"/>
                <w:lang w:val="en-US"/>
              </w:rPr>
              <w:t xml:space="preserve">Provision of contemporaneous records </w:t>
            </w:r>
            <w:r w:rsidR="00261645">
              <w:rPr>
                <w:rFonts w:asciiTheme="minorHAnsi" w:hAnsiTheme="minorHAnsi" w:cstheme="minorHAnsi"/>
                <w:sz w:val="22"/>
                <w:lang w:val="en-US"/>
              </w:rPr>
              <w:t>(pg. 13 of the Record Keeping Guideline)</w:t>
            </w:r>
          </w:p>
        </w:tc>
      </w:tr>
      <w:tr w:rsidR="00F66424" w:rsidRPr="00230A2F" w14:paraId="19A58F78" w14:textId="062D851B" w:rsidTr="005D2268">
        <w:trPr>
          <w:trHeight w:val="171"/>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tcPr>
          <w:p w14:paraId="57906F45" w14:textId="3BFCBC59" w:rsidR="00F66424" w:rsidRPr="00952400" w:rsidRDefault="00F66424" w:rsidP="00F66424">
            <w:pPr>
              <w:rPr>
                <w:rFonts w:asciiTheme="minorHAnsi" w:hAnsiTheme="minorHAnsi" w:cstheme="minorHAnsi"/>
                <w:b w:val="0"/>
                <w:bCs/>
                <w:sz w:val="22"/>
                <w:lang w:val="en-US"/>
              </w:rPr>
            </w:pPr>
            <w:r w:rsidRPr="00952400">
              <w:rPr>
                <w:rFonts w:asciiTheme="minorHAnsi" w:hAnsiTheme="minorHAnsi" w:cstheme="minorHAnsi"/>
                <w:b w:val="0"/>
                <w:bCs/>
                <w:sz w:val="22"/>
                <w:lang w:val="en-US"/>
              </w:rPr>
              <w:t>Clarification of the time when the event(s) or other occurrence(s) took place that led to the renomination (HHMM1) and the time when the shipper became aware of the event(s) or other occurrence(s) (HHMM2)</w:t>
            </w:r>
          </w:p>
        </w:tc>
        <w:tc>
          <w:tcPr>
            <w:tcW w:w="5245" w:type="dxa"/>
            <w:tcBorders>
              <w:top w:val="single" w:sz="4" w:space="0" w:color="auto"/>
              <w:bottom w:val="single" w:sz="4" w:space="0" w:color="auto"/>
            </w:tcBorders>
          </w:tcPr>
          <w:p w14:paraId="3C47D908" w14:textId="3E991EB9"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The time must be expressed in 24-hour format. </w:t>
            </w:r>
          </w:p>
          <w:p w14:paraId="1E76FAAD" w14:textId="77777777" w:rsidR="00F66424" w:rsidRPr="00952400" w:rsidRDefault="00F66424" w:rsidP="00F66424">
            <w:pPr>
              <w:autoSpaceDE w:val="0"/>
              <w:autoSpaceDN w:val="0"/>
              <w:adjustRightInd w:val="0"/>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The decision to renominate may be a decision which occurs over time in response to </w:t>
            </w:r>
            <w:proofErr w:type="gramStart"/>
            <w:r w:rsidRPr="00952400">
              <w:rPr>
                <w:rFonts w:asciiTheme="minorHAnsi" w:hAnsiTheme="minorHAnsi" w:cstheme="minorHAnsi"/>
                <w:sz w:val="22"/>
                <w:lang w:val="en-US"/>
              </w:rPr>
              <w:t>a number of</w:t>
            </w:r>
            <w:proofErr w:type="gramEnd"/>
            <w:r w:rsidRPr="00952400">
              <w:rPr>
                <w:rFonts w:asciiTheme="minorHAnsi" w:hAnsiTheme="minorHAnsi" w:cstheme="minorHAnsi"/>
                <w:sz w:val="22"/>
                <w:lang w:val="en-US"/>
              </w:rPr>
              <w:t xml:space="preserve"> changes and therefore the reporting of a time range may be common in this situation. </w:t>
            </w:r>
          </w:p>
          <w:p w14:paraId="74A9D652" w14:textId="60A469AD" w:rsidR="00F66424" w:rsidRPr="00952400" w:rsidRDefault="00F66424" w:rsidP="00F66424">
            <w:pPr>
              <w:autoSpaceDE w:val="0"/>
              <w:autoSpaceDN w:val="0"/>
              <w:adjustRightInd w:val="0"/>
              <w:spacing w:before="240"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2400">
              <w:rPr>
                <w:rFonts w:asciiTheme="minorHAnsi" w:hAnsiTheme="minorHAnsi" w:cstheme="minorHAnsi"/>
                <w:sz w:val="22"/>
                <w:lang w:val="en-US"/>
              </w:rPr>
              <w:t>However, where there is a delay between the event which has led to a renomination being required (HHMM1) and the time the shipper became aware of that event</w:t>
            </w:r>
            <w:r w:rsidRPr="00952400">
              <w:rPr>
                <w:rFonts w:asciiTheme="minorHAnsi" w:hAnsiTheme="minorHAnsi" w:cstheme="minorHAnsi"/>
                <w:sz w:val="22"/>
              </w:rPr>
              <w:t xml:space="preserve"> (HHMM2), it is important that this information is accurately recorded.</w:t>
            </w:r>
          </w:p>
          <w:p w14:paraId="5B0994FD" w14:textId="2AB556C8"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highlight w:val="yellow"/>
                <w:lang w:val="en-US"/>
              </w:rPr>
            </w:pPr>
          </w:p>
        </w:tc>
        <w:tc>
          <w:tcPr>
            <w:tcW w:w="5245" w:type="dxa"/>
            <w:tcBorders>
              <w:top w:val="single" w:sz="4" w:space="0" w:color="auto"/>
              <w:bottom w:val="single" w:sz="4" w:space="0" w:color="auto"/>
            </w:tcBorders>
          </w:tcPr>
          <w:p w14:paraId="33F47B0F"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Further clarification on what time should be recorded for HHMM1 and HHMM2. There have been instances of shippers recording the time that they first became aware (HHMM2) as being the same time as the time of the event which has led to a renomination being required (HHMM1) despite there being a delay between the two. </w:t>
            </w:r>
          </w:p>
          <w:p w14:paraId="1B581F0D" w14:textId="496B49A1"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r>
      <w:tr w:rsidR="00F66424" w:rsidRPr="00230A2F" w14:paraId="28972535" w14:textId="1EABE437" w:rsidTr="005D2268">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tcPr>
          <w:p w14:paraId="741926BC" w14:textId="77777777" w:rsidR="00F66424" w:rsidRPr="00952400" w:rsidRDefault="00F66424" w:rsidP="00F66424">
            <w:pPr>
              <w:rPr>
                <w:rFonts w:asciiTheme="minorHAnsi" w:hAnsiTheme="minorHAnsi" w:cstheme="minorHAnsi"/>
                <w:bCs/>
                <w:sz w:val="22"/>
                <w:u w:val="single"/>
                <w:lang w:val="en-US"/>
              </w:rPr>
            </w:pPr>
            <w:r w:rsidRPr="00952400">
              <w:rPr>
                <w:rFonts w:asciiTheme="minorHAnsi" w:hAnsiTheme="minorHAnsi" w:cstheme="minorHAnsi"/>
                <w:b w:val="0"/>
                <w:bCs/>
                <w:sz w:val="22"/>
                <w:lang w:val="en-US"/>
              </w:rPr>
              <w:t xml:space="preserve">Addition of a </w:t>
            </w:r>
            <w:r w:rsidRPr="00952400">
              <w:rPr>
                <w:rFonts w:asciiTheme="minorHAnsi" w:hAnsiTheme="minorHAnsi" w:cstheme="minorHAnsi"/>
                <w:b w:val="0"/>
                <w:bCs/>
                <w:sz w:val="22"/>
                <w:u w:val="single"/>
                <w:lang w:val="en-US"/>
              </w:rPr>
              <w:t>record creator reporting field</w:t>
            </w:r>
          </w:p>
          <w:p w14:paraId="5CC37127" w14:textId="77777777" w:rsidR="00F66424" w:rsidRPr="00952400" w:rsidRDefault="00F66424" w:rsidP="00F66424">
            <w:pPr>
              <w:rPr>
                <w:rFonts w:asciiTheme="minorHAnsi" w:hAnsiTheme="minorHAnsi" w:cstheme="minorHAnsi"/>
                <w:b w:val="0"/>
                <w:bCs/>
                <w:sz w:val="22"/>
                <w:lang w:val="en-US"/>
              </w:rPr>
            </w:pPr>
          </w:p>
        </w:tc>
        <w:tc>
          <w:tcPr>
            <w:tcW w:w="5245" w:type="dxa"/>
            <w:tcBorders>
              <w:top w:val="single" w:sz="4" w:space="0" w:color="auto"/>
              <w:bottom w:val="single" w:sz="4" w:space="0" w:color="auto"/>
            </w:tcBorders>
          </w:tcPr>
          <w:p w14:paraId="03EFF290" w14:textId="776F179F"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Obligates shippers to record the name of the individual who made or who is responsible for the accuracy of the contemporaneous record. </w:t>
            </w:r>
          </w:p>
          <w:p w14:paraId="50D8CF57"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c>
          <w:tcPr>
            <w:tcW w:w="5245" w:type="dxa"/>
            <w:tcBorders>
              <w:top w:val="single" w:sz="4" w:space="0" w:color="auto"/>
              <w:bottom w:val="single" w:sz="4" w:space="0" w:color="auto"/>
            </w:tcBorders>
          </w:tcPr>
          <w:p w14:paraId="2EFE0582" w14:textId="77777777" w:rsidR="00183B49" w:rsidRDefault="00F66424" w:rsidP="00183B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This proposed obligation aims to strengthen record creator accountability </w:t>
            </w:r>
            <w:r>
              <w:rPr>
                <w:rFonts w:asciiTheme="minorHAnsi" w:hAnsiTheme="minorHAnsi" w:cstheme="minorHAnsi"/>
                <w:sz w:val="22"/>
                <w:lang w:val="en-US"/>
              </w:rPr>
              <w:t xml:space="preserve">to ensure </w:t>
            </w:r>
            <w:r w:rsidR="00183B49">
              <w:rPr>
                <w:rFonts w:asciiTheme="minorHAnsi" w:hAnsiTheme="minorHAnsi" w:cstheme="minorHAnsi"/>
                <w:sz w:val="22"/>
                <w:lang w:val="en-US"/>
              </w:rPr>
              <w:t xml:space="preserve">that contemporaneous records are verifiable and accurate. </w:t>
            </w:r>
          </w:p>
          <w:p w14:paraId="435EC5CB" w14:textId="2647E3E1" w:rsidR="00183B49" w:rsidRPr="00952400" w:rsidRDefault="00183B49" w:rsidP="00183B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r>
      <w:tr w:rsidR="00F66424" w:rsidRPr="00230A2F" w14:paraId="0144582E" w14:textId="25D6DA99" w:rsidTr="005D2268">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tcPr>
          <w:p w14:paraId="3D13EA56" w14:textId="56A3CA93" w:rsidR="00F66424" w:rsidRPr="00952400" w:rsidRDefault="00F66424" w:rsidP="00F66424">
            <w:pPr>
              <w:rPr>
                <w:rFonts w:asciiTheme="minorHAnsi" w:hAnsiTheme="minorHAnsi" w:cstheme="minorHAnsi"/>
                <w:b w:val="0"/>
                <w:bCs/>
                <w:sz w:val="22"/>
                <w:lang w:val="en-US"/>
              </w:rPr>
            </w:pPr>
            <w:r w:rsidRPr="00952400">
              <w:rPr>
                <w:rFonts w:asciiTheme="minorHAnsi" w:hAnsiTheme="minorHAnsi" w:cstheme="minorHAnsi"/>
                <w:b w:val="0"/>
                <w:bCs/>
                <w:sz w:val="22"/>
                <w:lang w:val="en-US"/>
              </w:rPr>
              <w:t xml:space="preserve">Addition of a </w:t>
            </w:r>
            <w:r w:rsidRPr="00952400">
              <w:rPr>
                <w:rFonts w:asciiTheme="minorHAnsi" w:hAnsiTheme="minorHAnsi" w:cstheme="minorHAnsi"/>
                <w:b w:val="0"/>
                <w:bCs/>
                <w:sz w:val="22"/>
                <w:u w:val="single"/>
                <w:lang w:val="en-US"/>
              </w:rPr>
              <w:t>record timestamp reporting field</w:t>
            </w:r>
            <w:r w:rsidRPr="00952400">
              <w:rPr>
                <w:rFonts w:asciiTheme="minorHAnsi" w:hAnsiTheme="minorHAnsi" w:cstheme="minorHAnsi"/>
                <w:b w:val="0"/>
                <w:bCs/>
                <w:sz w:val="22"/>
                <w:lang w:val="en-US"/>
              </w:rPr>
              <w:t xml:space="preserve"> </w:t>
            </w:r>
          </w:p>
        </w:tc>
        <w:tc>
          <w:tcPr>
            <w:tcW w:w="5245" w:type="dxa"/>
            <w:tcBorders>
              <w:top w:val="single" w:sz="4" w:space="0" w:color="auto"/>
              <w:bottom w:val="single" w:sz="4" w:space="0" w:color="auto"/>
            </w:tcBorders>
          </w:tcPr>
          <w:p w14:paraId="3F312597" w14:textId="13CFD2B1"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Obligates shippers to record the time </w:t>
            </w:r>
            <w:r w:rsidR="004C279E">
              <w:rPr>
                <w:rFonts w:asciiTheme="minorHAnsi" w:hAnsiTheme="minorHAnsi" w:cstheme="minorHAnsi"/>
                <w:sz w:val="22"/>
                <w:lang w:val="en-US"/>
              </w:rPr>
              <w:t xml:space="preserve">(in 24-hour format) </w:t>
            </w:r>
            <w:r w:rsidRPr="00952400">
              <w:rPr>
                <w:rFonts w:asciiTheme="minorHAnsi" w:hAnsiTheme="minorHAnsi" w:cstheme="minorHAnsi"/>
                <w:sz w:val="22"/>
                <w:lang w:val="en-US"/>
              </w:rPr>
              <w:t xml:space="preserve">and date for which the contemporaneous renomination record is created. </w:t>
            </w:r>
          </w:p>
          <w:p w14:paraId="2AE6B6E3" w14:textId="35B912F2" w:rsidR="00F66424" w:rsidRPr="00952400" w:rsidRDefault="00F66424" w:rsidP="00F66424">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2400">
              <w:rPr>
                <w:rFonts w:asciiTheme="minorHAnsi" w:hAnsiTheme="minorHAnsi" w:cstheme="minorHAnsi"/>
                <w:sz w:val="22"/>
              </w:rPr>
              <w:t xml:space="preserve">The time, in 24-hour format: </w:t>
            </w:r>
            <w:proofErr w:type="gramStart"/>
            <w:r w:rsidRPr="00952400">
              <w:rPr>
                <w:rFonts w:asciiTheme="minorHAnsi" w:hAnsiTheme="minorHAnsi" w:cstheme="minorHAnsi"/>
                <w:sz w:val="22"/>
              </w:rPr>
              <w:t>HH:MM.</w:t>
            </w:r>
            <w:proofErr w:type="gramEnd"/>
            <w:r w:rsidRPr="00952400">
              <w:rPr>
                <w:rFonts w:asciiTheme="minorHAnsi" w:hAnsiTheme="minorHAnsi" w:cstheme="minorHAnsi"/>
                <w:sz w:val="22"/>
              </w:rPr>
              <w:t xml:space="preserve"> The time should be in Australian Eastern Standard Time. </w:t>
            </w:r>
          </w:p>
          <w:p w14:paraId="7002EE97" w14:textId="77777777" w:rsidR="00F66424" w:rsidRPr="00952400" w:rsidRDefault="00F66424" w:rsidP="00F66424">
            <w:pPr>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2400">
              <w:rPr>
                <w:rFonts w:asciiTheme="minorHAnsi" w:hAnsiTheme="minorHAnsi" w:cstheme="minorHAnsi"/>
                <w:sz w:val="22"/>
              </w:rPr>
              <w:lastRenderedPageBreak/>
              <w:t xml:space="preserve">The date expressed as: day-month-year (DD/MM/YYYY) </w:t>
            </w:r>
          </w:p>
          <w:p w14:paraId="1E27604E"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2400">
              <w:rPr>
                <w:rFonts w:asciiTheme="minorHAnsi" w:hAnsiTheme="minorHAnsi" w:cstheme="minorHAnsi"/>
                <w:sz w:val="22"/>
              </w:rPr>
              <w:t>This reporting field should be expressed as: HH:MM, DD/MM/YYYY.</w:t>
            </w:r>
          </w:p>
          <w:p w14:paraId="4011ADC6" w14:textId="3EA013E0"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c>
          <w:tcPr>
            <w:tcW w:w="5245" w:type="dxa"/>
            <w:tcBorders>
              <w:top w:val="single" w:sz="4" w:space="0" w:color="auto"/>
              <w:bottom w:val="single" w:sz="4" w:space="0" w:color="auto"/>
            </w:tcBorders>
          </w:tcPr>
          <w:p w14:paraId="50967EDB" w14:textId="34CE8A31"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lastRenderedPageBreak/>
              <w:t xml:space="preserve">There have been instances of shippers potentially creating contemporaneous records on request which is </w:t>
            </w:r>
            <w:r w:rsidRPr="00952400">
              <w:rPr>
                <w:rFonts w:asciiTheme="minorHAnsi" w:hAnsiTheme="minorHAnsi" w:cstheme="minorHAnsi"/>
                <w:sz w:val="22"/>
                <w:u w:val="single"/>
                <w:lang w:val="en-US"/>
              </w:rPr>
              <w:t>non-compliant</w:t>
            </w:r>
            <w:r w:rsidRPr="00952400">
              <w:rPr>
                <w:rFonts w:asciiTheme="minorHAnsi" w:hAnsiTheme="minorHAnsi" w:cstheme="minorHAnsi"/>
                <w:sz w:val="22"/>
                <w:lang w:val="en-US"/>
              </w:rPr>
              <w:t xml:space="preserve"> with the </w:t>
            </w:r>
            <w:r w:rsidR="00707DDF">
              <w:rPr>
                <w:rFonts w:asciiTheme="minorHAnsi" w:hAnsiTheme="minorHAnsi" w:cstheme="minorHAnsi"/>
                <w:sz w:val="22"/>
                <w:lang w:val="en-US"/>
              </w:rPr>
              <w:t>NGR</w:t>
            </w:r>
            <w:r w:rsidR="00707DDF">
              <w:rPr>
                <w:rStyle w:val="FootnoteReference"/>
                <w:rFonts w:asciiTheme="minorHAnsi" w:hAnsiTheme="minorHAnsi" w:cstheme="minorHAnsi"/>
                <w:sz w:val="22"/>
                <w:lang w:val="en-US"/>
              </w:rPr>
              <w:footnoteReference w:id="8"/>
            </w:r>
            <w:r w:rsidR="00707DDF">
              <w:rPr>
                <w:rFonts w:asciiTheme="minorHAnsi" w:hAnsiTheme="minorHAnsi" w:cstheme="minorHAnsi"/>
                <w:sz w:val="22"/>
                <w:lang w:val="en-US"/>
              </w:rPr>
              <w:t xml:space="preserve"> and the </w:t>
            </w:r>
            <w:r w:rsidRPr="00952400">
              <w:rPr>
                <w:rFonts w:asciiTheme="minorHAnsi" w:hAnsiTheme="minorHAnsi" w:cstheme="minorHAnsi"/>
                <w:sz w:val="22"/>
                <w:lang w:val="en-US"/>
              </w:rPr>
              <w:t xml:space="preserve">Guideline. </w:t>
            </w:r>
          </w:p>
          <w:p w14:paraId="6559362D"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p w14:paraId="3E8CD348" w14:textId="61D142DE"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Pr>
                <w:rFonts w:asciiTheme="minorHAnsi" w:hAnsiTheme="minorHAnsi" w:cstheme="minorHAnsi"/>
                <w:sz w:val="22"/>
                <w:lang w:val="en-US"/>
              </w:rPr>
              <w:lastRenderedPageBreak/>
              <w:t>A record timestamp will allow the AER to ensure that the record was made</w:t>
            </w:r>
            <w:r w:rsidRPr="00382F87">
              <w:rPr>
                <w:rFonts w:asciiTheme="minorHAnsi" w:hAnsiTheme="minorHAnsi" w:cstheme="minorHAnsi"/>
                <w:sz w:val="22"/>
                <w:lang w:val="en-US"/>
              </w:rPr>
              <w:t xml:space="preserve"> at the same time or very shortly after, the material renomination.</w:t>
            </w:r>
          </w:p>
        </w:tc>
      </w:tr>
      <w:tr w:rsidR="00F66424" w:rsidRPr="00230A2F" w14:paraId="2F8F6630" w14:textId="3B9257BC" w:rsidTr="005D2268">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tcPr>
          <w:p w14:paraId="186CAC61" w14:textId="10EE2AEE" w:rsidR="00F66424" w:rsidRPr="00952400" w:rsidRDefault="00F66424" w:rsidP="00F66424">
            <w:pPr>
              <w:rPr>
                <w:rFonts w:asciiTheme="minorHAnsi" w:hAnsiTheme="minorHAnsi" w:cstheme="minorHAnsi"/>
                <w:b w:val="0"/>
                <w:bCs/>
                <w:sz w:val="22"/>
                <w:lang w:val="en-US"/>
              </w:rPr>
            </w:pPr>
            <w:r w:rsidRPr="00952400">
              <w:rPr>
                <w:rFonts w:asciiTheme="minorHAnsi" w:hAnsiTheme="minorHAnsi" w:cstheme="minorHAnsi"/>
                <w:b w:val="0"/>
                <w:bCs/>
                <w:sz w:val="22"/>
                <w:lang w:val="en-US"/>
              </w:rPr>
              <w:lastRenderedPageBreak/>
              <w:t xml:space="preserve">Two additional category field options (MA and EO) for </w:t>
            </w:r>
            <w:r w:rsidRPr="00952400">
              <w:rPr>
                <w:rFonts w:asciiTheme="minorHAnsi" w:hAnsiTheme="minorHAnsi" w:cstheme="minorHAnsi"/>
                <w:b w:val="0"/>
                <w:bCs/>
                <w:sz w:val="22"/>
                <w:u w:val="single"/>
                <w:lang w:val="en-US"/>
              </w:rPr>
              <w:t>category reporting field</w:t>
            </w:r>
          </w:p>
          <w:p w14:paraId="3B83534F" w14:textId="77777777" w:rsidR="00F66424" w:rsidRPr="00952400" w:rsidRDefault="00F66424" w:rsidP="00F66424">
            <w:pPr>
              <w:rPr>
                <w:rFonts w:asciiTheme="minorHAnsi" w:hAnsiTheme="minorHAnsi" w:cstheme="minorHAnsi"/>
                <w:bCs/>
                <w:sz w:val="22"/>
                <w:lang w:val="en-US"/>
              </w:rPr>
            </w:pPr>
          </w:p>
          <w:p w14:paraId="4B4DB9E1" w14:textId="1C1DBA5D" w:rsidR="00F66424" w:rsidRPr="00952400" w:rsidRDefault="00F66424" w:rsidP="00F66424">
            <w:pPr>
              <w:rPr>
                <w:rFonts w:asciiTheme="minorHAnsi" w:hAnsiTheme="minorHAnsi" w:cstheme="minorHAnsi"/>
                <w:b w:val="0"/>
                <w:bCs/>
                <w:sz w:val="22"/>
                <w:lang w:val="en-US"/>
              </w:rPr>
            </w:pPr>
          </w:p>
        </w:tc>
        <w:tc>
          <w:tcPr>
            <w:tcW w:w="5245" w:type="dxa"/>
            <w:tcBorders>
              <w:top w:val="single" w:sz="4" w:space="0" w:color="auto"/>
              <w:bottom w:val="single" w:sz="4" w:space="0" w:color="auto"/>
            </w:tcBorders>
          </w:tcPr>
          <w:p w14:paraId="50E56666" w14:textId="77F22083"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Shippers </w:t>
            </w:r>
            <w:proofErr w:type="gramStart"/>
            <w:r w:rsidRPr="00952400">
              <w:rPr>
                <w:rFonts w:asciiTheme="minorHAnsi" w:hAnsiTheme="minorHAnsi" w:cstheme="minorHAnsi"/>
                <w:sz w:val="22"/>
                <w:lang w:val="en-US"/>
              </w:rPr>
              <w:t>are able to</w:t>
            </w:r>
            <w:proofErr w:type="gramEnd"/>
            <w:r w:rsidRPr="00952400">
              <w:rPr>
                <w:rFonts w:asciiTheme="minorHAnsi" w:hAnsiTheme="minorHAnsi" w:cstheme="minorHAnsi"/>
                <w:sz w:val="22"/>
                <w:lang w:val="en-US"/>
              </w:rPr>
              <w:t xml:space="preserve"> identify the category field option that best describes the reason for renomination. The additional category fields are: </w:t>
            </w:r>
          </w:p>
          <w:p w14:paraId="1F2E8CB7" w14:textId="0D3DA1B8" w:rsidR="00F66424" w:rsidRPr="00952400" w:rsidRDefault="00F66424" w:rsidP="00F66424">
            <w:pPr>
              <w:pStyle w:val="ListParagraph"/>
              <w:numPr>
                <w:ilvl w:val="0"/>
                <w:numId w:val="30"/>
              </w:numPr>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MA: market change due to action taken by AEMO, including an AEMO direction, AEMO event or AEMO market notice. </w:t>
            </w:r>
          </w:p>
          <w:p w14:paraId="6F68CB23" w14:textId="58A2D8C8" w:rsidR="00F66424" w:rsidRPr="00952400" w:rsidRDefault="00F66424" w:rsidP="00F66424">
            <w:pPr>
              <w:pStyle w:val="ListParagraph"/>
              <w:numPr>
                <w:ilvl w:val="0"/>
                <w:numId w:val="30"/>
              </w:numPr>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EO: errors made by third parties that result in a renomination. For example, where a customer provides incorrect information to a shipper. </w:t>
            </w:r>
          </w:p>
          <w:p w14:paraId="3ED0B7BF"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2400">
              <w:rPr>
                <w:rFonts w:asciiTheme="minorHAnsi" w:hAnsiTheme="minorHAnsi" w:cstheme="minorHAnsi"/>
                <w:sz w:val="22"/>
              </w:rPr>
              <w:t xml:space="preserve">The reasons listed under these categories are not exhaustive. </w:t>
            </w:r>
          </w:p>
          <w:p w14:paraId="7FE0D017" w14:textId="1D50C636"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c>
          <w:tcPr>
            <w:tcW w:w="5245" w:type="dxa"/>
            <w:tcBorders>
              <w:top w:val="single" w:sz="4" w:space="0" w:color="auto"/>
              <w:bottom w:val="single" w:sz="4" w:space="0" w:color="auto"/>
            </w:tcBorders>
          </w:tcPr>
          <w:p w14:paraId="0ECCD801"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Additional category fields will allow shippers to better match their reason for renomination with the available categories. </w:t>
            </w:r>
          </w:p>
          <w:p w14:paraId="124DB733"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p w14:paraId="783C9452" w14:textId="5B7C031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Shippers have provided feedback that there has been an increase in the number of material renominations due to AEMO action. Shippers have also noted multiple instances of third parties making a mistake, that resulted in a material renomination. </w:t>
            </w:r>
          </w:p>
        </w:tc>
      </w:tr>
      <w:tr w:rsidR="00F66424" w:rsidRPr="00230A2F" w14:paraId="72A91E84" w14:textId="47130380" w:rsidTr="005D2268">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tcPr>
          <w:p w14:paraId="58BE0B0B" w14:textId="64951A01" w:rsidR="00F66424" w:rsidRPr="00952400" w:rsidRDefault="003F70B3" w:rsidP="00F66424">
            <w:pPr>
              <w:rPr>
                <w:rFonts w:asciiTheme="minorHAnsi" w:hAnsiTheme="minorHAnsi" w:cstheme="minorHAnsi"/>
                <w:b w:val="0"/>
                <w:bCs/>
                <w:sz w:val="22"/>
                <w:lang w:val="en-US"/>
              </w:rPr>
            </w:pPr>
            <w:r>
              <w:rPr>
                <w:rFonts w:asciiTheme="minorHAnsi" w:hAnsiTheme="minorHAnsi" w:cstheme="minorHAnsi"/>
                <w:b w:val="0"/>
                <w:bCs/>
                <w:sz w:val="22"/>
                <w:lang w:val="en-US"/>
              </w:rPr>
              <w:t xml:space="preserve">Requirement to record the delivery and receipt point of the transportation service in the </w:t>
            </w:r>
            <w:r w:rsidRPr="003F70B3">
              <w:rPr>
                <w:rFonts w:asciiTheme="minorHAnsi" w:hAnsiTheme="minorHAnsi" w:cstheme="minorHAnsi"/>
                <w:b w:val="0"/>
                <w:bCs/>
                <w:sz w:val="22"/>
                <w:u w:val="single"/>
                <w:lang w:val="en-US"/>
              </w:rPr>
              <w:t>t</w:t>
            </w:r>
            <w:r w:rsidR="00F66424" w:rsidRPr="003F70B3">
              <w:rPr>
                <w:rFonts w:asciiTheme="minorHAnsi" w:hAnsiTheme="minorHAnsi" w:cstheme="minorHAnsi"/>
                <w:b w:val="0"/>
                <w:bCs/>
                <w:sz w:val="22"/>
                <w:u w:val="single"/>
                <w:lang w:val="en-US"/>
              </w:rPr>
              <w:t xml:space="preserve">ransportation service field </w:t>
            </w:r>
          </w:p>
        </w:tc>
        <w:tc>
          <w:tcPr>
            <w:tcW w:w="5245" w:type="dxa"/>
            <w:tcBorders>
              <w:top w:val="single" w:sz="4" w:space="0" w:color="auto"/>
              <w:bottom w:val="single" w:sz="4" w:space="0" w:color="auto"/>
            </w:tcBorders>
          </w:tcPr>
          <w:p w14:paraId="5B591996" w14:textId="573D3DC0"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Obligates shippers to </w:t>
            </w:r>
            <w:r w:rsidR="003F70B3">
              <w:rPr>
                <w:rFonts w:asciiTheme="minorHAnsi" w:hAnsiTheme="minorHAnsi" w:cstheme="minorHAnsi"/>
                <w:sz w:val="22"/>
                <w:lang w:val="en-US"/>
              </w:rPr>
              <w:t>record</w:t>
            </w:r>
            <w:r w:rsidRPr="00952400">
              <w:rPr>
                <w:rFonts w:asciiTheme="minorHAnsi" w:hAnsiTheme="minorHAnsi" w:cstheme="minorHAnsi"/>
                <w:sz w:val="22"/>
                <w:lang w:val="en-US"/>
              </w:rPr>
              <w:t xml:space="preserve"> the delivery and receipt point of the transportation service that relates to the renomination. </w:t>
            </w:r>
          </w:p>
          <w:p w14:paraId="0DBA87FB" w14:textId="09173BAD"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 </w:t>
            </w:r>
          </w:p>
        </w:tc>
        <w:tc>
          <w:tcPr>
            <w:tcW w:w="5245" w:type="dxa"/>
            <w:tcBorders>
              <w:top w:val="single" w:sz="4" w:space="0" w:color="auto"/>
              <w:bottom w:val="single" w:sz="4" w:space="0" w:color="auto"/>
            </w:tcBorders>
          </w:tcPr>
          <w:p w14:paraId="66973519" w14:textId="77777777" w:rsidR="00F66424"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Th</w:t>
            </w:r>
            <w:r>
              <w:rPr>
                <w:rFonts w:asciiTheme="minorHAnsi" w:hAnsiTheme="minorHAnsi" w:cstheme="minorHAnsi"/>
                <w:sz w:val="22"/>
                <w:lang w:val="en-US"/>
              </w:rPr>
              <w:t xml:space="preserve">is proposed requirement may assist shippers in locating records. This will also assist the AER in identifying whether the material renomination relates to either a receipt point quantity or delivery point quantity (or both). </w:t>
            </w:r>
          </w:p>
          <w:p w14:paraId="3F7A2D20" w14:textId="1E84C571"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r>
      <w:tr w:rsidR="00F66424" w:rsidRPr="00230A2F" w14:paraId="0D50EC8D" w14:textId="4D22067B" w:rsidTr="005D2268">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tcPr>
          <w:p w14:paraId="5D04986D" w14:textId="7B94B273" w:rsidR="00F66424" w:rsidRPr="00952400" w:rsidRDefault="00F66424" w:rsidP="00F66424">
            <w:pPr>
              <w:rPr>
                <w:rFonts w:asciiTheme="minorHAnsi" w:hAnsiTheme="minorHAnsi" w:cstheme="minorHAnsi"/>
                <w:b w:val="0"/>
                <w:bCs/>
                <w:sz w:val="22"/>
                <w:lang w:val="en-US"/>
              </w:rPr>
            </w:pPr>
            <w:r w:rsidRPr="00952400">
              <w:rPr>
                <w:rFonts w:asciiTheme="minorHAnsi" w:hAnsiTheme="minorHAnsi" w:cstheme="minorHAnsi"/>
                <w:b w:val="0"/>
                <w:bCs/>
                <w:sz w:val="22"/>
                <w:lang w:val="en-US"/>
              </w:rPr>
              <w:t xml:space="preserve">Requirement to include detailed information in the </w:t>
            </w:r>
            <w:r w:rsidRPr="00952400">
              <w:rPr>
                <w:rFonts w:asciiTheme="minorHAnsi" w:hAnsiTheme="minorHAnsi" w:cstheme="minorHAnsi"/>
                <w:b w:val="0"/>
                <w:bCs/>
                <w:sz w:val="22"/>
                <w:u w:val="single"/>
                <w:lang w:val="en-US"/>
              </w:rPr>
              <w:t>description reporting field</w:t>
            </w:r>
          </w:p>
        </w:tc>
        <w:tc>
          <w:tcPr>
            <w:tcW w:w="5245" w:type="dxa"/>
            <w:tcBorders>
              <w:top w:val="single" w:sz="4" w:space="0" w:color="auto"/>
              <w:bottom w:val="single" w:sz="4" w:space="0" w:color="auto"/>
            </w:tcBorders>
          </w:tcPr>
          <w:p w14:paraId="31796BD7"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t xml:space="preserve">Obligates shippers to provide a verifiable description of the events or occurrences that explain the renomination. This </w:t>
            </w:r>
            <w:r w:rsidRPr="00952400">
              <w:rPr>
                <w:rFonts w:asciiTheme="minorHAnsi" w:hAnsiTheme="minorHAnsi" w:cstheme="minorHAnsi"/>
                <w:b/>
                <w:bCs/>
                <w:sz w:val="22"/>
                <w:lang w:val="en-US"/>
              </w:rPr>
              <w:t xml:space="preserve">must </w:t>
            </w:r>
            <w:r w:rsidRPr="00952400">
              <w:rPr>
                <w:rFonts w:asciiTheme="minorHAnsi" w:hAnsiTheme="minorHAnsi" w:cstheme="minorHAnsi"/>
                <w:sz w:val="22"/>
                <w:lang w:val="en-US"/>
              </w:rPr>
              <w:t xml:space="preserve">include:  </w:t>
            </w:r>
          </w:p>
          <w:p w14:paraId="1A2AEFF9" w14:textId="77777777" w:rsidR="00F66424" w:rsidRPr="00952400" w:rsidRDefault="00F66424" w:rsidP="00F66424">
            <w:pPr>
              <w:pStyle w:val="ListParagraph"/>
              <w:numPr>
                <w:ilvl w:val="0"/>
                <w:numId w:val="31"/>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2400">
              <w:rPr>
                <w:rFonts w:asciiTheme="minorHAnsi" w:hAnsiTheme="minorHAnsi" w:cstheme="minorHAnsi"/>
                <w:sz w:val="22"/>
              </w:rPr>
              <w:lastRenderedPageBreak/>
              <w:t xml:space="preserve">Background/context explaining the events that led to the </w:t>
            </w:r>
            <w:proofErr w:type="gramStart"/>
            <w:r w:rsidRPr="00952400">
              <w:rPr>
                <w:rFonts w:asciiTheme="minorHAnsi" w:hAnsiTheme="minorHAnsi" w:cstheme="minorHAnsi"/>
                <w:i/>
                <w:iCs/>
                <w:sz w:val="22"/>
              </w:rPr>
              <w:t>renomination</w:t>
            </w:r>
            <w:r w:rsidRPr="00952400">
              <w:rPr>
                <w:rFonts w:asciiTheme="minorHAnsi" w:hAnsiTheme="minorHAnsi" w:cstheme="minorHAnsi"/>
                <w:sz w:val="22"/>
              </w:rPr>
              <w:t>;</w:t>
            </w:r>
            <w:proofErr w:type="gramEnd"/>
            <w:r w:rsidRPr="00952400">
              <w:rPr>
                <w:rFonts w:asciiTheme="minorHAnsi" w:hAnsiTheme="minorHAnsi" w:cstheme="minorHAnsi"/>
                <w:sz w:val="22"/>
              </w:rPr>
              <w:t xml:space="preserve"> </w:t>
            </w:r>
          </w:p>
          <w:p w14:paraId="7C44E744" w14:textId="77777777" w:rsidR="00F66424" w:rsidRPr="00952400" w:rsidRDefault="00F66424" w:rsidP="00F66424">
            <w:pPr>
              <w:pStyle w:val="ListParagraph"/>
              <w:numPr>
                <w:ilvl w:val="0"/>
                <w:numId w:val="31"/>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2400">
              <w:rPr>
                <w:rFonts w:asciiTheme="minorHAnsi" w:hAnsiTheme="minorHAnsi" w:cstheme="minorHAnsi"/>
                <w:sz w:val="22"/>
              </w:rPr>
              <w:t xml:space="preserve">Reason for </w:t>
            </w:r>
            <w:r w:rsidRPr="00952400">
              <w:rPr>
                <w:rFonts w:asciiTheme="minorHAnsi" w:hAnsiTheme="minorHAnsi" w:cstheme="minorHAnsi"/>
                <w:i/>
                <w:iCs/>
                <w:sz w:val="22"/>
              </w:rPr>
              <w:t>renomination</w:t>
            </w:r>
            <w:r w:rsidRPr="00952400">
              <w:rPr>
                <w:rFonts w:asciiTheme="minorHAnsi" w:hAnsiTheme="minorHAnsi" w:cstheme="minorHAnsi"/>
                <w:sz w:val="22"/>
              </w:rPr>
              <w:t xml:space="preserve"> and why the specific category field option was chosen; and </w:t>
            </w:r>
          </w:p>
          <w:p w14:paraId="7A69044D" w14:textId="77777777" w:rsidR="00F66424" w:rsidRPr="00952400" w:rsidRDefault="00F66424" w:rsidP="00F66424">
            <w:pPr>
              <w:pStyle w:val="ListParagraph"/>
              <w:numPr>
                <w:ilvl w:val="0"/>
                <w:numId w:val="31"/>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952400">
              <w:rPr>
                <w:rFonts w:asciiTheme="minorHAnsi" w:hAnsiTheme="minorHAnsi" w:cstheme="minorHAnsi"/>
                <w:sz w:val="22"/>
              </w:rPr>
              <w:t xml:space="preserve">If applicable, any other further guidance on the reason for </w:t>
            </w:r>
            <w:r w:rsidRPr="00952400">
              <w:rPr>
                <w:rFonts w:asciiTheme="minorHAnsi" w:hAnsiTheme="minorHAnsi" w:cstheme="minorHAnsi"/>
                <w:i/>
                <w:iCs/>
                <w:sz w:val="22"/>
              </w:rPr>
              <w:t>renomination</w:t>
            </w:r>
            <w:r w:rsidRPr="00952400">
              <w:rPr>
                <w:rFonts w:asciiTheme="minorHAnsi" w:hAnsiTheme="minorHAnsi" w:cstheme="minorHAnsi"/>
                <w:sz w:val="22"/>
              </w:rPr>
              <w:t xml:space="preserve">. </w:t>
            </w:r>
          </w:p>
          <w:p w14:paraId="14586BC9"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c>
          <w:tcPr>
            <w:tcW w:w="5245" w:type="dxa"/>
            <w:tcBorders>
              <w:top w:val="single" w:sz="4" w:space="0" w:color="auto"/>
              <w:bottom w:val="single" w:sz="4" w:space="0" w:color="auto"/>
            </w:tcBorders>
          </w:tcPr>
          <w:p w14:paraId="338E3C77"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lang w:val="en-US"/>
              </w:rPr>
            </w:pPr>
            <w:r w:rsidRPr="00952400">
              <w:rPr>
                <w:rFonts w:asciiTheme="minorHAnsi" w:hAnsiTheme="minorHAnsi" w:cstheme="minorHAnsi"/>
                <w:sz w:val="22"/>
                <w:lang w:val="en-US"/>
              </w:rPr>
              <w:lastRenderedPageBreak/>
              <w:t>M</w:t>
            </w:r>
            <w:r w:rsidRPr="00952400">
              <w:rPr>
                <w:rFonts w:asciiTheme="minorHAnsi" w:hAnsiTheme="minorHAnsi"/>
                <w:sz w:val="22"/>
                <w:lang w:val="en-US"/>
              </w:rPr>
              <w:t xml:space="preserve">any participants have requested clarification on the amount of detail that is required in the description reporting field. </w:t>
            </w:r>
          </w:p>
          <w:p w14:paraId="2E08A095"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p w14:paraId="51318FF6" w14:textId="7BB04A73"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952400">
              <w:rPr>
                <w:rFonts w:asciiTheme="minorHAnsi" w:hAnsiTheme="minorHAnsi" w:cstheme="minorHAnsi"/>
                <w:sz w:val="22"/>
                <w:lang w:val="en-US"/>
              </w:rPr>
              <w:lastRenderedPageBreak/>
              <w:t>In the past, the AER has had to reach out to shippers for further information about the reasons for material renomination. The proposed mandatory parameters of the description reporting field will assist the AER in verifying the reason for material renomination</w:t>
            </w:r>
            <w:r>
              <w:rPr>
                <w:rFonts w:asciiTheme="minorHAnsi" w:hAnsiTheme="minorHAnsi" w:cstheme="minorHAnsi"/>
                <w:sz w:val="22"/>
                <w:lang w:val="en-US"/>
              </w:rPr>
              <w:t xml:space="preserve"> and ensure that there is sufficient detail to explain the renomination. </w:t>
            </w:r>
          </w:p>
          <w:p w14:paraId="45E740E4" w14:textId="77777777"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p w14:paraId="4A46A8DB" w14:textId="42231DF3"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Pr>
                <w:rFonts w:asciiTheme="minorHAnsi" w:hAnsiTheme="minorHAnsi" w:cstheme="minorHAnsi"/>
                <w:sz w:val="22"/>
                <w:lang w:val="en-US"/>
              </w:rPr>
              <w:t>T</w:t>
            </w:r>
            <w:r w:rsidRPr="00952400">
              <w:rPr>
                <w:rFonts w:asciiTheme="minorHAnsi" w:hAnsiTheme="minorHAnsi" w:cstheme="minorHAnsi"/>
                <w:sz w:val="22"/>
                <w:lang w:val="en-US"/>
              </w:rPr>
              <w:t xml:space="preserve">he AER reserves the right to ask for further information on the reason for material renomination if we deem that the information provided is not adequate in addressing our needs. </w:t>
            </w:r>
          </w:p>
          <w:p w14:paraId="2D5F7F11" w14:textId="546538F3" w:rsidR="00F66424" w:rsidRPr="00952400" w:rsidRDefault="00F66424" w:rsidP="00F6642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r>
    </w:tbl>
    <w:p w14:paraId="1029A6D3" w14:textId="12A0D2F8" w:rsidR="000E0DD0" w:rsidRDefault="000E0DD0" w:rsidP="00E55683">
      <w:pPr>
        <w:pStyle w:val="Caption"/>
        <w:keepNext/>
        <w:rPr>
          <w:rFonts w:asciiTheme="minorHAnsi" w:hAnsiTheme="minorHAnsi" w:cstheme="minorHAnsi"/>
          <w:lang w:val="en-US"/>
        </w:rPr>
      </w:pPr>
    </w:p>
    <w:p w14:paraId="3ECA3030" w14:textId="77777777" w:rsidR="000E0DD0" w:rsidRDefault="000E0DD0">
      <w:pPr>
        <w:rPr>
          <w:rFonts w:asciiTheme="minorHAnsi" w:hAnsiTheme="minorHAnsi" w:cstheme="minorHAnsi"/>
          <w:b/>
          <w:bCs/>
          <w:sz w:val="24"/>
          <w:szCs w:val="18"/>
          <w:lang w:val="en-US"/>
        </w:rPr>
      </w:pPr>
      <w:r>
        <w:rPr>
          <w:rFonts w:asciiTheme="minorHAnsi" w:hAnsiTheme="minorHAnsi" w:cstheme="minorHAnsi"/>
          <w:lang w:val="en-US"/>
        </w:rPr>
        <w:br w:type="page"/>
      </w:r>
    </w:p>
    <w:p w14:paraId="64A664E2" w14:textId="7263934E" w:rsidR="00F71687" w:rsidRDefault="00F71687" w:rsidP="00F71687">
      <w:pPr>
        <w:pStyle w:val="Caption"/>
        <w:keepNext/>
      </w:pPr>
      <w:bookmarkStart w:id="9" w:name="_Ref120018100"/>
      <w:r>
        <w:lastRenderedPageBreak/>
        <w:t xml:space="preserve">Table </w:t>
      </w:r>
      <w:r w:rsidR="00B30F35">
        <w:fldChar w:fldCharType="begin"/>
      </w:r>
      <w:r w:rsidR="00B30F35">
        <w:instrText xml:space="preserve"> SEQ Table \* ALPHABETIC </w:instrText>
      </w:r>
      <w:r w:rsidR="00B30F35">
        <w:fldChar w:fldCharType="separate"/>
      </w:r>
      <w:r>
        <w:rPr>
          <w:noProof/>
        </w:rPr>
        <w:t>B</w:t>
      </w:r>
      <w:r w:rsidR="00B30F35">
        <w:rPr>
          <w:noProof/>
        </w:rPr>
        <w:fldChar w:fldCharType="end"/>
      </w:r>
      <w:bookmarkEnd w:id="9"/>
      <w:r>
        <w:t>:</w:t>
      </w:r>
      <w:r w:rsidRPr="00C66EA3">
        <w:rPr>
          <w:szCs w:val="24"/>
        </w:rPr>
        <w:t xml:space="preserve"> </w:t>
      </w:r>
      <w:r w:rsidRPr="00C66EA3">
        <w:rPr>
          <w:rFonts w:asciiTheme="minorHAnsi" w:hAnsiTheme="minorHAnsi" w:cstheme="minorHAnsi"/>
          <w:szCs w:val="24"/>
        </w:rPr>
        <w:t>Other amendments</w:t>
      </w:r>
    </w:p>
    <w:tbl>
      <w:tblPr>
        <w:tblStyle w:val="TableGrid"/>
        <w:tblW w:w="14601" w:type="dxa"/>
        <w:tblLook w:val="04A0" w:firstRow="1" w:lastRow="0" w:firstColumn="1" w:lastColumn="0" w:noHBand="0" w:noVBand="1"/>
      </w:tblPr>
      <w:tblGrid>
        <w:gridCol w:w="4111"/>
        <w:gridCol w:w="5245"/>
        <w:gridCol w:w="5245"/>
      </w:tblGrid>
      <w:tr w:rsidR="005D2268" w14:paraId="5E126BB9" w14:textId="77777777" w:rsidTr="005F53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shd w:val="clear" w:color="auto" w:fill="D9D9D9" w:themeFill="background1" w:themeFillShade="D9"/>
          </w:tcPr>
          <w:p w14:paraId="2E4F44B7" w14:textId="2C443EF9" w:rsidR="005D2268" w:rsidRDefault="005D2268" w:rsidP="0031655F">
            <w:pPr>
              <w:rPr>
                <w:rFonts w:asciiTheme="minorHAnsi" w:hAnsiTheme="minorHAnsi" w:cstheme="minorHAnsi"/>
                <w:lang w:val="en-US"/>
              </w:rPr>
            </w:pPr>
            <w:r w:rsidRPr="00230A2F">
              <w:rPr>
                <w:rFonts w:asciiTheme="minorHAnsi" w:hAnsiTheme="minorHAnsi" w:cstheme="minorHAnsi"/>
                <w:sz w:val="22"/>
                <w:lang w:val="en-US"/>
              </w:rPr>
              <w:t xml:space="preserve">Amendment </w:t>
            </w:r>
          </w:p>
        </w:tc>
        <w:tc>
          <w:tcPr>
            <w:tcW w:w="5245" w:type="dxa"/>
            <w:tcBorders>
              <w:top w:val="single" w:sz="4" w:space="0" w:color="auto"/>
              <w:bottom w:val="single" w:sz="4" w:space="0" w:color="auto"/>
            </w:tcBorders>
            <w:shd w:val="clear" w:color="auto" w:fill="D9D9D9" w:themeFill="background1" w:themeFillShade="D9"/>
          </w:tcPr>
          <w:p w14:paraId="320BFB5F" w14:textId="5130B457" w:rsidR="005D2268" w:rsidRPr="0031655F" w:rsidRDefault="005D2268" w:rsidP="0031655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31655F">
              <w:rPr>
                <w:rFonts w:asciiTheme="minorHAnsi" w:hAnsiTheme="minorHAnsi" w:cstheme="minorHAnsi"/>
                <w:sz w:val="22"/>
                <w:lang w:val="en-US"/>
              </w:rPr>
              <w:t xml:space="preserve">Impact </w:t>
            </w:r>
          </w:p>
        </w:tc>
        <w:tc>
          <w:tcPr>
            <w:tcW w:w="5245" w:type="dxa"/>
            <w:tcBorders>
              <w:top w:val="single" w:sz="4" w:space="0" w:color="auto"/>
              <w:bottom w:val="single" w:sz="4" w:space="0" w:color="auto"/>
            </w:tcBorders>
            <w:shd w:val="clear" w:color="auto" w:fill="D9D9D9" w:themeFill="background1" w:themeFillShade="D9"/>
          </w:tcPr>
          <w:p w14:paraId="4E456B43" w14:textId="51D7B23A" w:rsidR="005D2268" w:rsidRPr="0031655F" w:rsidRDefault="005D2268" w:rsidP="0031655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31655F">
              <w:rPr>
                <w:rFonts w:asciiTheme="minorHAnsi" w:hAnsiTheme="minorHAnsi" w:cstheme="minorHAnsi"/>
                <w:sz w:val="22"/>
                <w:lang w:val="en-US"/>
              </w:rPr>
              <w:t>Rationale</w:t>
            </w:r>
          </w:p>
        </w:tc>
      </w:tr>
      <w:tr w:rsidR="00901B23" w:rsidRPr="00230A2F" w14:paraId="54E0831B" w14:textId="77777777" w:rsidTr="002E2861">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tcPr>
          <w:p w14:paraId="075520E8" w14:textId="2374D26D" w:rsidR="00901B23" w:rsidRPr="00726A7A" w:rsidRDefault="00901B23" w:rsidP="00901B23">
            <w:pPr>
              <w:rPr>
                <w:rFonts w:asciiTheme="minorHAnsi" w:hAnsiTheme="minorHAnsi" w:cstheme="minorHAnsi"/>
                <w:bCs/>
                <w:sz w:val="22"/>
                <w:lang w:val="en-US"/>
              </w:rPr>
            </w:pPr>
            <w:r w:rsidRPr="00726A7A">
              <w:rPr>
                <w:rFonts w:asciiTheme="minorHAnsi" w:hAnsiTheme="minorHAnsi" w:cstheme="minorHAnsi"/>
                <w:b w:val="0"/>
                <w:bCs/>
                <w:sz w:val="22"/>
                <w:lang w:val="en-US"/>
              </w:rPr>
              <w:t xml:space="preserve">Clarification of the meaning of a </w:t>
            </w:r>
            <w:r w:rsidRPr="00726A7A">
              <w:rPr>
                <w:rFonts w:asciiTheme="minorHAnsi" w:hAnsiTheme="minorHAnsi" w:cstheme="minorHAnsi"/>
                <w:b w:val="0"/>
                <w:bCs/>
                <w:sz w:val="22"/>
                <w:u w:val="single"/>
                <w:lang w:val="en-US"/>
              </w:rPr>
              <w:t xml:space="preserve">contemporaneous </w:t>
            </w:r>
            <w:r w:rsidRPr="00726A7A">
              <w:rPr>
                <w:rFonts w:asciiTheme="minorHAnsi" w:hAnsiTheme="minorHAnsi" w:cstheme="minorHAnsi"/>
                <w:b w:val="0"/>
                <w:bCs/>
                <w:sz w:val="22"/>
                <w:lang w:val="en-US"/>
              </w:rPr>
              <w:t>renomination record</w:t>
            </w:r>
          </w:p>
        </w:tc>
        <w:tc>
          <w:tcPr>
            <w:tcW w:w="5245" w:type="dxa"/>
            <w:tcBorders>
              <w:bottom w:val="single" w:sz="4" w:space="0" w:color="auto"/>
            </w:tcBorders>
          </w:tcPr>
          <w:p w14:paraId="0D0A3426" w14:textId="77777777" w:rsidR="00901B23" w:rsidRPr="00726A7A" w:rsidRDefault="00901B23"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726A7A">
              <w:rPr>
                <w:rFonts w:asciiTheme="minorHAnsi" w:hAnsiTheme="minorHAnsi" w:cstheme="minorHAnsi"/>
                <w:sz w:val="22"/>
                <w:lang w:val="en-US"/>
              </w:rPr>
              <w:t xml:space="preserve">A contemporaneous renomination record is to be made at the same time or very shortly after, the material </w:t>
            </w:r>
            <w:r w:rsidRPr="00726A7A">
              <w:rPr>
                <w:rFonts w:asciiTheme="minorHAnsi" w:hAnsiTheme="minorHAnsi" w:cstheme="minorHAnsi"/>
                <w:i/>
                <w:iCs/>
                <w:sz w:val="22"/>
                <w:lang w:val="en-US"/>
              </w:rPr>
              <w:t>renomination</w:t>
            </w:r>
            <w:r w:rsidRPr="00726A7A">
              <w:rPr>
                <w:rFonts w:asciiTheme="minorHAnsi" w:hAnsiTheme="minorHAnsi" w:cstheme="minorHAnsi"/>
                <w:sz w:val="22"/>
                <w:lang w:val="en-US"/>
              </w:rPr>
              <w:t xml:space="preserve">. A contemporaneous renomination record must be made for each material renomination. </w:t>
            </w:r>
          </w:p>
          <w:p w14:paraId="67DC2218" w14:textId="77777777" w:rsidR="00901B23" w:rsidRPr="00726A7A" w:rsidRDefault="00901B23" w:rsidP="00901B23">
            <w:pPr>
              <w:cnfStyle w:val="000000000000" w:firstRow="0" w:lastRow="0" w:firstColumn="0" w:lastColumn="0" w:oddVBand="0" w:evenVBand="0" w:oddHBand="0" w:evenHBand="0" w:firstRowFirstColumn="0" w:firstRowLastColumn="0" w:lastRowFirstColumn="0" w:lastRowLastColumn="0"/>
              <w:rPr>
                <w:rStyle w:val="AERbody"/>
                <w:rFonts w:asciiTheme="minorHAnsi" w:hAnsiTheme="minorHAnsi" w:cstheme="minorHAnsi"/>
              </w:rPr>
            </w:pPr>
          </w:p>
        </w:tc>
        <w:tc>
          <w:tcPr>
            <w:tcW w:w="5245" w:type="dxa"/>
            <w:tcBorders>
              <w:bottom w:val="single" w:sz="4" w:space="0" w:color="auto"/>
            </w:tcBorders>
          </w:tcPr>
          <w:p w14:paraId="5E3AF31D" w14:textId="77777777" w:rsidR="00E0310F" w:rsidRPr="00726A7A" w:rsidRDefault="00E0310F" w:rsidP="002E286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726A7A">
              <w:rPr>
                <w:rFonts w:asciiTheme="minorHAnsi" w:hAnsiTheme="minorHAnsi" w:cstheme="minorHAnsi"/>
                <w:sz w:val="22"/>
                <w:lang w:val="en-US"/>
              </w:rPr>
              <w:t xml:space="preserve">There have been instances of shippers potentially creating contemporaneous records on request which is </w:t>
            </w:r>
            <w:r w:rsidRPr="00726A7A">
              <w:rPr>
                <w:rFonts w:asciiTheme="minorHAnsi" w:hAnsiTheme="minorHAnsi" w:cstheme="minorHAnsi"/>
                <w:sz w:val="22"/>
                <w:u w:val="single"/>
                <w:lang w:val="en-US"/>
              </w:rPr>
              <w:t>non-compliant</w:t>
            </w:r>
            <w:r w:rsidRPr="00726A7A">
              <w:rPr>
                <w:rFonts w:asciiTheme="minorHAnsi" w:hAnsiTheme="minorHAnsi" w:cstheme="minorHAnsi"/>
                <w:sz w:val="22"/>
                <w:lang w:val="en-US"/>
              </w:rPr>
              <w:t xml:space="preserve"> with the Guideline. </w:t>
            </w:r>
          </w:p>
          <w:p w14:paraId="0314ED4E" w14:textId="77E2F8DF" w:rsidR="00901B23" w:rsidRPr="00726A7A" w:rsidRDefault="00901B23" w:rsidP="002E2861">
            <w:pPr>
              <w:cnfStyle w:val="000000000000" w:firstRow="0" w:lastRow="0" w:firstColumn="0" w:lastColumn="0" w:oddVBand="0" w:evenVBand="0" w:oddHBand="0" w:evenHBand="0" w:firstRowFirstColumn="0" w:firstRowLastColumn="0" w:lastRowFirstColumn="0" w:lastRowLastColumn="0"/>
              <w:rPr>
                <w:rStyle w:val="AERbody"/>
                <w:rFonts w:asciiTheme="minorHAnsi" w:hAnsiTheme="minorHAnsi" w:cstheme="minorHAnsi"/>
              </w:rPr>
            </w:pPr>
          </w:p>
        </w:tc>
      </w:tr>
      <w:tr w:rsidR="00901B23" w:rsidRPr="00230A2F" w14:paraId="36297845" w14:textId="26F81B8C" w:rsidTr="005C0A91">
        <w:tc>
          <w:tcPr>
            <w:cnfStyle w:val="001000000000" w:firstRow="0" w:lastRow="0" w:firstColumn="1" w:lastColumn="0" w:oddVBand="0" w:evenVBand="0" w:oddHBand="0" w:evenHBand="0" w:firstRowFirstColumn="0" w:firstRowLastColumn="0" w:lastRowFirstColumn="0" w:lastRowLastColumn="0"/>
            <w:tcW w:w="4111" w:type="dxa"/>
            <w:tcBorders>
              <w:bottom w:val="single" w:sz="4" w:space="0" w:color="auto"/>
            </w:tcBorders>
          </w:tcPr>
          <w:p w14:paraId="4C2D1C30" w14:textId="77777777" w:rsidR="00901B23" w:rsidRPr="00726A7A" w:rsidRDefault="00901B23" w:rsidP="00901B23">
            <w:pPr>
              <w:rPr>
                <w:rFonts w:asciiTheme="minorHAnsi" w:hAnsiTheme="minorHAnsi" w:cstheme="minorHAnsi"/>
                <w:b w:val="0"/>
                <w:bCs/>
                <w:sz w:val="22"/>
                <w:lang w:val="en-US"/>
              </w:rPr>
            </w:pPr>
            <w:r w:rsidRPr="00726A7A">
              <w:rPr>
                <w:rFonts w:asciiTheme="minorHAnsi" w:hAnsiTheme="minorHAnsi" w:cstheme="minorHAnsi"/>
                <w:b w:val="0"/>
                <w:bCs/>
                <w:sz w:val="22"/>
                <w:lang w:val="en-US"/>
              </w:rPr>
              <w:t xml:space="preserve">Reference to self-reporting of identified breaches </w:t>
            </w:r>
          </w:p>
        </w:tc>
        <w:tc>
          <w:tcPr>
            <w:tcW w:w="5245" w:type="dxa"/>
            <w:tcBorders>
              <w:bottom w:val="single" w:sz="4" w:space="0" w:color="auto"/>
            </w:tcBorders>
          </w:tcPr>
          <w:p w14:paraId="799F2870" w14:textId="14AFE92D" w:rsidR="00901B23" w:rsidRPr="00726A7A" w:rsidRDefault="00901B23"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726A7A">
              <w:rPr>
                <w:rFonts w:asciiTheme="minorHAnsi" w:hAnsiTheme="minorHAnsi" w:cstheme="minorHAnsi"/>
                <w:sz w:val="22"/>
                <w:lang w:val="en-US"/>
              </w:rPr>
              <w:t xml:space="preserve">Where facility operators and </w:t>
            </w:r>
            <w:r w:rsidR="008A5E07">
              <w:rPr>
                <w:rFonts w:asciiTheme="minorHAnsi" w:hAnsiTheme="minorHAnsi" w:cstheme="minorHAnsi"/>
                <w:sz w:val="22"/>
                <w:lang w:val="en-US"/>
              </w:rPr>
              <w:t xml:space="preserve">shippers </w:t>
            </w:r>
            <w:r w:rsidRPr="00726A7A">
              <w:rPr>
                <w:rFonts w:asciiTheme="minorHAnsi" w:hAnsiTheme="minorHAnsi" w:cstheme="minorHAnsi"/>
                <w:sz w:val="22"/>
                <w:lang w:val="en-US"/>
              </w:rPr>
              <w:t xml:space="preserve">have identified </w:t>
            </w:r>
            <w:r w:rsidR="00E0310F" w:rsidRPr="00726A7A">
              <w:rPr>
                <w:rFonts w:asciiTheme="minorHAnsi" w:hAnsiTheme="minorHAnsi" w:cstheme="minorHAnsi"/>
                <w:sz w:val="22"/>
                <w:lang w:val="en-US"/>
              </w:rPr>
              <w:t xml:space="preserve">potential </w:t>
            </w:r>
            <w:r w:rsidRPr="00726A7A">
              <w:rPr>
                <w:rFonts w:asciiTheme="minorHAnsi" w:hAnsiTheme="minorHAnsi" w:cstheme="minorHAnsi"/>
                <w:sz w:val="22"/>
                <w:lang w:val="en-US"/>
              </w:rPr>
              <w:t xml:space="preserve">breaches of the Guideline or </w:t>
            </w:r>
            <w:r w:rsidR="00E0310F" w:rsidRPr="00726A7A">
              <w:rPr>
                <w:rFonts w:asciiTheme="minorHAnsi" w:hAnsiTheme="minorHAnsi" w:cstheme="minorHAnsi"/>
                <w:sz w:val="22"/>
                <w:lang w:val="en-US"/>
              </w:rPr>
              <w:t xml:space="preserve">potential </w:t>
            </w:r>
            <w:r w:rsidRPr="00726A7A">
              <w:rPr>
                <w:rFonts w:asciiTheme="minorHAnsi" w:hAnsiTheme="minorHAnsi" w:cstheme="minorHAnsi"/>
                <w:sz w:val="22"/>
                <w:lang w:val="en-US"/>
              </w:rPr>
              <w:t>breaches of the NGR, they should submit voluntary self-reports to the AER</w:t>
            </w:r>
            <w:r w:rsidRPr="00726A7A">
              <w:rPr>
                <w:rStyle w:val="FootnoteReference"/>
                <w:rFonts w:asciiTheme="minorHAnsi" w:hAnsiTheme="minorHAnsi" w:cstheme="minorHAnsi"/>
                <w:sz w:val="22"/>
                <w:lang w:val="en-US"/>
              </w:rPr>
              <w:footnoteReference w:id="9"/>
            </w:r>
            <w:r w:rsidRPr="00726A7A">
              <w:rPr>
                <w:rFonts w:asciiTheme="minorHAnsi" w:hAnsiTheme="minorHAnsi" w:cstheme="minorHAnsi"/>
                <w:sz w:val="22"/>
                <w:lang w:val="en-US"/>
              </w:rPr>
              <w:t>.</w:t>
            </w:r>
          </w:p>
          <w:p w14:paraId="69DF4A12" w14:textId="77777777" w:rsidR="00901B23" w:rsidRPr="00726A7A" w:rsidRDefault="00901B23"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c>
          <w:tcPr>
            <w:tcW w:w="5245" w:type="dxa"/>
            <w:tcBorders>
              <w:bottom w:val="single" w:sz="4" w:space="0" w:color="auto"/>
            </w:tcBorders>
          </w:tcPr>
          <w:p w14:paraId="04C206F9" w14:textId="77777777" w:rsidR="00901B23" w:rsidRDefault="009837CC" w:rsidP="00901B23">
            <w:pPr>
              <w:cnfStyle w:val="000000000000" w:firstRow="0" w:lastRow="0" w:firstColumn="0" w:lastColumn="0" w:oddVBand="0" w:evenVBand="0" w:oddHBand="0" w:evenHBand="0" w:firstRowFirstColumn="0" w:firstRowLastColumn="0" w:lastRowFirstColumn="0" w:lastRowLastColumn="0"/>
              <w:rPr>
                <w:sz w:val="22"/>
              </w:rPr>
            </w:pPr>
            <w:r w:rsidRPr="00726A7A">
              <w:rPr>
                <w:sz w:val="22"/>
              </w:rPr>
              <w:t xml:space="preserve">The AER has published a </w:t>
            </w:r>
            <w:hyperlink r:id="rId14" w:history="1">
              <w:r w:rsidRPr="00726A7A">
                <w:rPr>
                  <w:rStyle w:val="Hyperlink"/>
                </w:rPr>
                <w:t>Compliance and Enforcement Policy</w:t>
              </w:r>
            </w:hyperlink>
            <w:r w:rsidRPr="00726A7A">
              <w:rPr>
                <w:sz w:val="22"/>
              </w:rPr>
              <w:t xml:space="preserve"> explaining our approach to promoting compliance with obligations under the National Electricity Law, National Gas Law, National Energy Retail Law and the respective Rules and Regulations. It also provides guidance on how we respond to potential breaches and the factors we consider when deciding whether to take enforcement action.</w:t>
            </w:r>
          </w:p>
          <w:p w14:paraId="1745916B" w14:textId="357FD959" w:rsidR="005C12AD" w:rsidRPr="00726A7A" w:rsidRDefault="005C12AD"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r>
      <w:tr w:rsidR="007B17CA" w:rsidRPr="00230A2F" w14:paraId="089C4297" w14:textId="5E39D49F" w:rsidTr="005C0A91">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tcPr>
          <w:p w14:paraId="58B54A58" w14:textId="77777777" w:rsidR="007B17CA" w:rsidRPr="00726A7A" w:rsidRDefault="007B17CA" w:rsidP="00901B23">
            <w:pPr>
              <w:rPr>
                <w:rFonts w:asciiTheme="minorHAnsi" w:hAnsiTheme="minorHAnsi" w:cstheme="minorHAnsi"/>
                <w:b w:val="0"/>
                <w:bCs/>
                <w:sz w:val="22"/>
                <w:lang w:val="en-US"/>
              </w:rPr>
            </w:pPr>
            <w:r w:rsidRPr="00726A7A">
              <w:rPr>
                <w:rFonts w:asciiTheme="minorHAnsi" w:hAnsiTheme="minorHAnsi" w:cstheme="minorHAnsi"/>
                <w:b w:val="0"/>
                <w:bCs/>
                <w:sz w:val="22"/>
                <w:lang w:val="en-US"/>
              </w:rPr>
              <w:t xml:space="preserve">Information about the AER data portal </w:t>
            </w:r>
          </w:p>
        </w:tc>
        <w:tc>
          <w:tcPr>
            <w:tcW w:w="5245" w:type="dxa"/>
            <w:tcBorders>
              <w:top w:val="single" w:sz="4" w:space="0" w:color="auto"/>
              <w:bottom w:val="single" w:sz="4" w:space="0" w:color="auto"/>
            </w:tcBorders>
          </w:tcPr>
          <w:p w14:paraId="7809A2F7" w14:textId="2D1AB6B6" w:rsidR="007B17CA" w:rsidRPr="00726A7A" w:rsidRDefault="007B17CA"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726A7A">
              <w:rPr>
                <w:rFonts w:asciiTheme="minorHAnsi" w:hAnsiTheme="minorHAnsi" w:cstheme="minorHAnsi"/>
                <w:sz w:val="22"/>
                <w:lang w:val="en-US"/>
              </w:rPr>
              <w:t>The AER has published a user guide</w:t>
            </w:r>
            <w:r w:rsidRPr="00726A7A">
              <w:rPr>
                <w:rStyle w:val="FootnoteReference"/>
                <w:rFonts w:asciiTheme="minorHAnsi" w:hAnsiTheme="minorHAnsi" w:cstheme="minorHAnsi"/>
                <w:sz w:val="22"/>
                <w:lang w:val="en-US"/>
              </w:rPr>
              <w:footnoteReference w:id="10"/>
            </w:r>
            <w:r w:rsidRPr="00726A7A">
              <w:rPr>
                <w:rFonts w:asciiTheme="minorHAnsi" w:hAnsiTheme="minorHAnsi" w:cstheme="minorHAnsi"/>
                <w:sz w:val="22"/>
                <w:lang w:val="en-US"/>
              </w:rPr>
              <w:t xml:space="preserve"> which outlines the steps that facility operators must take when submitting information via the AER data portal. </w:t>
            </w:r>
            <w:r w:rsidRPr="00726A7A">
              <w:rPr>
                <w:sz w:val="22"/>
                <w:lang w:val="en-US"/>
              </w:rPr>
              <w:t xml:space="preserve">Facility operators are encouraged to use the user guide when submitting information via the AER data portal. </w:t>
            </w:r>
          </w:p>
          <w:p w14:paraId="3DF20450" w14:textId="0686AF8F" w:rsidR="007B17CA" w:rsidRPr="00726A7A" w:rsidRDefault="007B17CA"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c>
          <w:tcPr>
            <w:tcW w:w="5245" w:type="dxa"/>
            <w:tcBorders>
              <w:top w:val="single" w:sz="4" w:space="0" w:color="auto"/>
              <w:bottom w:val="single" w:sz="4" w:space="0" w:color="auto"/>
            </w:tcBorders>
          </w:tcPr>
          <w:p w14:paraId="6B9EB2CC" w14:textId="10FCD845" w:rsidR="007B17CA" w:rsidRPr="00726A7A" w:rsidRDefault="00FC0F7B"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Pr>
                <w:rFonts w:asciiTheme="minorHAnsi" w:hAnsiTheme="minorHAnsi" w:cstheme="minorHAnsi"/>
                <w:sz w:val="22"/>
                <w:lang w:val="en-US"/>
              </w:rPr>
              <w:t>The AER data portal has been developed to streamline</w:t>
            </w:r>
            <w:r w:rsidR="00CA7E6E">
              <w:rPr>
                <w:rFonts w:asciiTheme="minorHAnsi" w:hAnsiTheme="minorHAnsi" w:cstheme="minorHAnsi"/>
                <w:sz w:val="22"/>
                <w:lang w:val="en-US"/>
              </w:rPr>
              <w:t xml:space="preserve"> monthly</w:t>
            </w:r>
            <w:r>
              <w:rPr>
                <w:rFonts w:asciiTheme="minorHAnsi" w:hAnsiTheme="minorHAnsi" w:cstheme="minorHAnsi"/>
                <w:sz w:val="22"/>
                <w:lang w:val="en-US"/>
              </w:rPr>
              <w:t xml:space="preserve"> submission of pipeline nominations. </w:t>
            </w:r>
          </w:p>
        </w:tc>
      </w:tr>
      <w:tr w:rsidR="005C0A91" w:rsidRPr="00230A2F" w14:paraId="664F798D" w14:textId="77777777" w:rsidTr="00FC0F7B">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tcPr>
          <w:p w14:paraId="6AB5D389" w14:textId="2DB62552" w:rsidR="005C0A91" w:rsidRDefault="005C0A91" w:rsidP="00901B23">
            <w:pPr>
              <w:rPr>
                <w:rFonts w:asciiTheme="minorHAnsi" w:hAnsiTheme="minorHAnsi" w:cstheme="minorHAnsi"/>
                <w:bCs/>
                <w:sz w:val="22"/>
                <w:lang w:val="en-US"/>
              </w:rPr>
            </w:pPr>
            <w:r w:rsidRPr="00A5141C">
              <w:rPr>
                <w:rFonts w:asciiTheme="minorHAnsi" w:hAnsiTheme="minorHAnsi" w:cstheme="minorHAnsi"/>
                <w:b w:val="0"/>
                <w:bCs/>
                <w:sz w:val="22"/>
                <w:lang w:val="en-US"/>
              </w:rPr>
              <w:lastRenderedPageBreak/>
              <w:t xml:space="preserve">Additional </w:t>
            </w:r>
            <w:r>
              <w:rPr>
                <w:rFonts w:asciiTheme="minorHAnsi" w:hAnsiTheme="minorHAnsi" w:cstheme="minorHAnsi"/>
                <w:b w:val="0"/>
                <w:bCs/>
                <w:sz w:val="22"/>
                <w:lang w:val="en-US"/>
              </w:rPr>
              <w:t xml:space="preserve">detail when referencing </w:t>
            </w:r>
            <w:r w:rsidRPr="00A5141C">
              <w:rPr>
                <w:rFonts w:asciiTheme="minorHAnsi" w:hAnsiTheme="minorHAnsi" w:cstheme="minorHAnsi"/>
                <w:b w:val="0"/>
                <w:bCs/>
                <w:sz w:val="22"/>
                <w:lang w:val="en-US"/>
              </w:rPr>
              <w:t>AER function</w:t>
            </w:r>
            <w:r>
              <w:rPr>
                <w:rFonts w:asciiTheme="minorHAnsi" w:hAnsiTheme="minorHAnsi" w:cstheme="minorHAnsi"/>
                <w:b w:val="0"/>
                <w:bCs/>
                <w:sz w:val="22"/>
                <w:lang w:val="en-US"/>
              </w:rPr>
              <w:t>s</w:t>
            </w:r>
            <w:r w:rsidRPr="00A5141C">
              <w:rPr>
                <w:rFonts w:asciiTheme="minorHAnsi" w:hAnsiTheme="minorHAnsi" w:cstheme="minorHAnsi"/>
                <w:b w:val="0"/>
                <w:bCs/>
                <w:sz w:val="22"/>
                <w:lang w:val="en-US"/>
              </w:rPr>
              <w:t xml:space="preserve"> in the DA</w:t>
            </w:r>
            <w:r>
              <w:rPr>
                <w:rFonts w:asciiTheme="minorHAnsi" w:hAnsiTheme="minorHAnsi" w:cstheme="minorHAnsi"/>
                <w:b w:val="0"/>
                <w:bCs/>
                <w:sz w:val="22"/>
                <w:lang w:val="en-US"/>
              </w:rPr>
              <w:t xml:space="preserve">A (pg. 5 of the Record Keeping Guideline) </w:t>
            </w:r>
          </w:p>
          <w:p w14:paraId="135BF767" w14:textId="5B0F0814" w:rsidR="005C0A91" w:rsidRPr="00A5141C" w:rsidRDefault="005C0A91" w:rsidP="00901B23">
            <w:pPr>
              <w:rPr>
                <w:rFonts w:asciiTheme="minorHAnsi" w:hAnsiTheme="minorHAnsi" w:cstheme="minorHAnsi"/>
                <w:b w:val="0"/>
                <w:lang w:val="en-US"/>
              </w:rPr>
            </w:pPr>
          </w:p>
        </w:tc>
        <w:tc>
          <w:tcPr>
            <w:tcW w:w="5245" w:type="dxa"/>
            <w:tcBorders>
              <w:top w:val="single" w:sz="4" w:space="0" w:color="auto"/>
              <w:bottom w:val="single" w:sz="4" w:space="0" w:color="auto"/>
            </w:tcBorders>
          </w:tcPr>
          <w:p w14:paraId="4A2EE6E3" w14:textId="58615A3A" w:rsidR="005C0A91" w:rsidRPr="00A5141C" w:rsidRDefault="005C0A91"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val="en-US"/>
              </w:rPr>
            </w:pPr>
            <w:r>
              <w:rPr>
                <w:rStyle w:val="AERbody"/>
                <w:rFonts w:asciiTheme="minorHAnsi" w:hAnsiTheme="minorHAnsi" w:cstheme="minorHAnsi"/>
              </w:rPr>
              <w:t>N</w:t>
            </w:r>
            <w:r>
              <w:rPr>
                <w:rStyle w:val="AERbody"/>
              </w:rPr>
              <w:t>o impact on provision of nomination and scheduling records and contemporaneous records to the AER.</w:t>
            </w:r>
          </w:p>
        </w:tc>
        <w:tc>
          <w:tcPr>
            <w:tcW w:w="5245" w:type="dxa"/>
            <w:tcBorders>
              <w:top w:val="single" w:sz="4" w:space="0" w:color="auto"/>
              <w:bottom w:val="single" w:sz="4" w:space="0" w:color="auto"/>
            </w:tcBorders>
          </w:tcPr>
          <w:p w14:paraId="045C5C59" w14:textId="263E8C60" w:rsidR="005C0A91" w:rsidRPr="00A5141C" w:rsidRDefault="005C0A91"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lang w:val="en-US"/>
              </w:rPr>
            </w:pPr>
            <w:r>
              <w:rPr>
                <w:rFonts w:asciiTheme="minorHAnsi" w:hAnsiTheme="minorHAnsi" w:cstheme="minorHAnsi"/>
                <w:sz w:val="22"/>
                <w:lang w:val="en-US"/>
              </w:rPr>
              <w:t>Proposed</w:t>
            </w:r>
            <w:r w:rsidRPr="00726A7A">
              <w:rPr>
                <w:rFonts w:asciiTheme="minorHAnsi" w:hAnsiTheme="minorHAnsi" w:cstheme="minorHAnsi"/>
                <w:sz w:val="22"/>
                <w:lang w:val="en-US"/>
              </w:rPr>
              <w:t xml:space="preserve"> </w:t>
            </w:r>
            <w:r>
              <w:rPr>
                <w:rFonts w:asciiTheme="minorHAnsi" w:hAnsiTheme="minorHAnsi" w:cstheme="minorHAnsi"/>
                <w:sz w:val="22"/>
                <w:lang w:val="en-US"/>
              </w:rPr>
              <w:t xml:space="preserve">addition </w:t>
            </w:r>
            <w:r w:rsidRPr="00726A7A">
              <w:rPr>
                <w:rFonts w:asciiTheme="minorHAnsi" w:hAnsiTheme="minorHAnsi" w:cstheme="minorHAnsi"/>
                <w:sz w:val="22"/>
                <w:lang w:val="en-US"/>
              </w:rPr>
              <w:t>to the Guideline for clarity and consistency</w:t>
            </w:r>
            <w:r>
              <w:rPr>
                <w:rFonts w:asciiTheme="minorHAnsi" w:hAnsiTheme="minorHAnsi" w:cstheme="minorHAnsi"/>
                <w:sz w:val="22"/>
                <w:lang w:val="en-US"/>
              </w:rPr>
              <w:t>.</w:t>
            </w:r>
          </w:p>
        </w:tc>
      </w:tr>
      <w:tr w:rsidR="00A5141C" w14:paraId="25A7AA8F" w14:textId="77777777" w:rsidTr="00FC0F7B">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bottom w:val="single" w:sz="4" w:space="0" w:color="auto"/>
            </w:tcBorders>
          </w:tcPr>
          <w:p w14:paraId="21DAB3BD" w14:textId="53A09019" w:rsidR="00A5141C" w:rsidRPr="00726A7A" w:rsidRDefault="00A5141C" w:rsidP="00901B23">
            <w:pPr>
              <w:rPr>
                <w:rFonts w:asciiTheme="minorHAnsi" w:hAnsiTheme="minorHAnsi" w:cstheme="minorHAnsi"/>
                <w:bCs/>
                <w:sz w:val="22"/>
                <w:lang w:val="en-US"/>
              </w:rPr>
            </w:pPr>
            <w:r w:rsidRPr="00726A7A">
              <w:rPr>
                <w:rFonts w:asciiTheme="minorHAnsi" w:hAnsiTheme="minorHAnsi" w:cstheme="minorHAnsi"/>
                <w:b w:val="0"/>
                <w:bCs/>
                <w:sz w:val="22"/>
                <w:lang w:val="en-US"/>
              </w:rPr>
              <w:t xml:space="preserve">Deletion of transitional obligations </w:t>
            </w:r>
            <w:r w:rsidR="001229A8">
              <w:rPr>
                <w:rFonts w:asciiTheme="minorHAnsi" w:hAnsiTheme="minorHAnsi" w:cstheme="minorHAnsi"/>
                <w:b w:val="0"/>
                <w:bCs/>
                <w:sz w:val="22"/>
                <w:lang w:val="en-US"/>
              </w:rPr>
              <w:t>(pg. 8 of the Record Keeping Guideline)</w:t>
            </w:r>
          </w:p>
          <w:p w14:paraId="0D06790F" w14:textId="77777777" w:rsidR="00A5141C" w:rsidRPr="00726A7A" w:rsidRDefault="00A5141C" w:rsidP="00901B23">
            <w:pPr>
              <w:rPr>
                <w:rFonts w:asciiTheme="minorHAnsi" w:hAnsiTheme="minorHAnsi" w:cstheme="minorHAnsi"/>
                <w:sz w:val="22"/>
                <w:lang w:val="en-US"/>
              </w:rPr>
            </w:pPr>
          </w:p>
        </w:tc>
        <w:tc>
          <w:tcPr>
            <w:tcW w:w="5245" w:type="dxa"/>
            <w:tcBorders>
              <w:top w:val="single" w:sz="4" w:space="0" w:color="auto"/>
              <w:bottom w:val="single" w:sz="4" w:space="0" w:color="auto"/>
            </w:tcBorders>
          </w:tcPr>
          <w:p w14:paraId="33E1D0EC" w14:textId="4412A82E" w:rsidR="00A5141C" w:rsidRDefault="00FC0F7B"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Pr>
                <w:rFonts w:asciiTheme="minorHAnsi" w:hAnsiTheme="minorHAnsi" w:cstheme="minorHAnsi"/>
                <w:sz w:val="22"/>
                <w:lang w:val="en-US"/>
              </w:rPr>
              <w:t xml:space="preserve">There are no longer any transitional obligations on facility operators to provide for the separate identification of: </w:t>
            </w:r>
          </w:p>
          <w:p w14:paraId="21ADD42E" w14:textId="77777777" w:rsidR="00FC0F7B" w:rsidRDefault="00FC0F7B" w:rsidP="00FC0F7B">
            <w:pPr>
              <w:pStyle w:val="ListParagraph"/>
              <w:numPr>
                <w:ilvl w:val="0"/>
                <w:numId w:val="45"/>
              </w:numPr>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each </w:t>
            </w:r>
            <w:r>
              <w:rPr>
                <w:rFonts w:asciiTheme="minorHAnsi" w:hAnsiTheme="minorHAnsi" w:cstheme="minorHAnsi"/>
                <w:i/>
                <w:iCs/>
                <w:lang w:val="en-US"/>
              </w:rPr>
              <w:t>transitional firm quantity</w:t>
            </w:r>
            <w:r>
              <w:rPr>
                <w:rFonts w:asciiTheme="minorHAnsi" w:hAnsiTheme="minorHAnsi" w:cstheme="minorHAnsi"/>
                <w:lang w:val="en-US"/>
              </w:rPr>
              <w:t xml:space="preserve"> and the market generating unit to which the </w:t>
            </w:r>
            <w:r>
              <w:rPr>
                <w:rFonts w:asciiTheme="minorHAnsi" w:hAnsiTheme="minorHAnsi" w:cstheme="minorHAnsi"/>
                <w:i/>
                <w:iCs/>
                <w:lang w:val="en-US"/>
              </w:rPr>
              <w:t xml:space="preserve">transitional firm quantity </w:t>
            </w:r>
            <w:r>
              <w:rPr>
                <w:rFonts w:asciiTheme="minorHAnsi" w:hAnsiTheme="minorHAnsi" w:cstheme="minorHAnsi"/>
                <w:lang w:val="en-US"/>
              </w:rPr>
              <w:t xml:space="preserve">was supplied; and </w:t>
            </w:r>
          </w:p>
          <w:p w14:paraId="4C5EF32A" w14:textId="1CC03225" w:rsidR="00FC0F7B" w:rsidRPr="00FC0F7B" w:rsidRDefault="00FC0F7B" w:rsidP="00FC0F7B">
            <w:pPr>
              <w:pStyle w:val="ListParagraph"/>
              <w:numPr>
                <w:ilvl w:val="0"/>
                <w:numId w:val="45"/>
              </w:numPr>
              <w:spacing w:before="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any </w:t>
            </w:r>
            <w:r>
              <w:rPr>
                <w:rFonts w:asciiTheme="minorHAnsi" w:hAnsiTheme="minorHAnsi" w:cstheme="minorHAnsi"/>
                <w:i/>
                <w:iCs/>
                <w:lang w:val="en-US"/>
              </w:rPr>
              <w:t xml:space="preserve">renomination </w:t>
            </w:r>
            <w:r>
              <w:rPr>
                <w:rFonts w:asciiTheme="minorHAnsi" w:hAnsiTheme="minorHAnsi" w:cstheme="minorHAnsi"/>
                <w:lang w:val="en-US"/>
              </w:rPr>
              <w:t xml:space="preserve">of the </w:t>
            </w:r>
            <w:r>
              <w:rPr>
                <w:rFonts w:asciiTheme="minorHAnsi" w:hAnsiTheme="minorHAnsi" w:cstheme="minorHAnsi"/>
                <w:i/>
                <w:iCs/>
                <w:lang w:val="en-US"/>
              </w:rPr>
              <w:t xml:space="preserve">transitional firm service </w:t>
            </w:r>
            <w:r>
              <w:rPr>
                <w:rFonts w:asciiTheme="minorHAnsi" w:hAnsiTheme="minorHAnsi" w:cstheme="minorHAnsi"/>
                <w:lang w:val="en-US"/>
              </w:rPr>
              <w:t xml:space="preserve">that occurred after the </w:t>
            </w:r>
            <w:r>
              <w:rPr>
                <w:rFonts w:asciiTheme="minorHAnsi" w:hAnsiTheme="minorHAnsi" w:cstheme="minorHAnsi"/>
                <w:i/>
                <w:iCs/>
                <w:lang w:val="en-US"/>
              </w:rPr>
              <w:t>nomination cut-off</w:t>
            </w:r>
            <w:r>
              <w:rPr>
                <w:rFonts w:asciiTheme="minorHAnsi" w:hAnsiTheme="minorHAnsi" w:cstheme="minorHAnsi"/>
                <w:lang w:val="en-US"/>
              </w:rPr>
              <w:t xml:space="preserve"> that reduced the </w:t>
            </w:r>
            <w:r>
              <w:rPr>
                <w:rFonts w:asciiTheme="minorHAnsi" w:hAnsiTheme="minorHAnsi" w:cstheme="minorHAnsi"/>
                <w:i/>
                <w:iCs/>
                <w:lang w:val="en-US"/>
              </w:rPr>
              <w:t xml:space="preserve">transitional firm </w:t>
            </w:r>
            <w:proofErr w:type="gramStart"/>
            <w:r>
              <w:rPr>
                <w:rFonts w:asciiTheme="minorHAnsi" w:hAnsiTheme="minorHAnsi" w:cstheme="minorHAnsi"/>
                <w:i/>
                <w:iCs/>
                <w:lang w:val="en-US"/>
              </w:rPr>
              <w:t>quantity</w:t>
            </w:r>
            <w:r>
              <w:rPr>
                <w:rFonts w:asciiTheme="minorHAnsi" w:hAnsiTheme="minorHAnsi" w:cstheme="minorHAnsi"/>
                <w:lang w:val="en-US"/>
              </w:rPr>
              <w:t>, or</w:t>
            </w:r>
            <w:proofErr w:type="gramEnd"/>
            <w:r>
              <w:rPr>
                <w:rFonts w:asciiTheme="minorHAnsi" w:hAnsiTheme="minorHAnsi" w:cstheme="minorHAnsi"/>
                <w:lang w:val="en-US"/>
              </w:rPr>
              <w:t xml:space="preserve"> resulted in a part of the </w:t>
            </w:r>
            <w:r>
              <w:rPr>
                <w:rFonts w:asciiTheme="minorHAnsi" w:hAnsiTheme="minorHAnsi" w:cstheme="minorHAnsi"/>
                <w:i/>
                <w:iCs/>
                <w:lang w:val="en-US"/>
              </w:rPr>
              <w:t>transitional firm quantity</w:t>
            </w:r>
            <w:r>
              <w:rPr>
                <w:rFonts w:asciiTheme="minorHAnsi" w:hAnsiTheme="minorHAnsi" w:cstheme="minorHAnsi"/>
                <w:lang w:val="en-US"/>
              </w:rPr>
              <w:t xml:space="preserve"> used in the calculation of an auction quantity limit. </w:t>
            </w:r>
          </w:p>
        </w:tc>
        <w:tc>
          <w:tcPr>
            <w:tcW w:w="5245" w:type="dxa"/>
            <w:tcBorders>
              <w:top w:val="single" w:sz="4" w:space="0" w:color="auto"/>
              <w:bottom w:val="single" w:sz="4" w:space="0" w:color="auto"/>
            </w:tcBorders>
          </w:tcPr>
          <w:p w14:paraId="2E108608" w14:textId="77777777" w:rsidR="00A5141C" w:rsidRDefault="00A5141C"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r w:rsidRPr="00726A7A">
              <w:rPr>
                <w:rFonts w:asciiTheme="minorHAnsi" w:hAnsiTheme="minorHAnsi" w:cstheme="minorHAnsi"/>
                <w:sz w:val="22"/>
                <w:lang w:val="en-US"/>
              </w:rPr>
              <w:t xml:space="preserve">Transitional obligations are no longer applicable because the transitional period has passed. </w:t>
            </w:r>
          </w:p>
          <w:p w14:paraId="66D94F30" w14:textId="766C2691" w:rsidR="00A5141C" w:rsidRPr="00726A7A" w:rsidRDefault="00A5141C" w:rsidP="00901B2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val="en-US"/>
              </w:rPr>
            </w:pPr>
          </w:p>
        </w:tc>
      </w:tr>
    </w:tbl>
    <w:p w14:paraId="4FB0B741" w14:textId="77777777" w:rsidR="003D577B" w:rsidRDefault="003D577B">
      <w:pPr>
        <w:rPr>
          <w:rFonts w:asciiTheme="minorHAnsi" w:hAnsiTheme="minorHAnsi" w:cstheme="minorHAnsi"/>
          <w:lang w:val="en-US"/>
        </w:rPr>
      </w:pPr>
      <w:r>
        <w:rPr>
          <w:rFonts w:asciiTheme="minorHAnsi" w:hAnsiTheme="minorHAnsi" w:cstheme="minorHAnsi"/>
          <w:lang w:val="en-US"/>
        </w:rPr>
        <w:br w:type="page"/>
      </w:r>
    </w:p>
    <w:p w14:paraId="7E265C6C" w14:textId="77777777" w:rsidR="003D577B" w:rsidRDefault="003D577B">
      <w:pPr>
        <w:rPr>
          <w:rFonts w:asciiTheme="minorHAnsi" w:hAnsiTheme="minorHAnsi" w:cstheme="minorHAnsi"/>
          <w:lang w:val="en-US"/>
        </w:rPr>
        <w:sectPr w:rsidR="003D577B" w:rsidSect="004220C4">
          <w:pgSz w:w="16838" w:h="11906" w:orient="landscape"/>
          <w:pgMar w:top="1440" w:right="1276" w:bottom="1440" w:left="1440" w:header="708" w:footer="708" w:gutter="0"/>
          <w:cols w:space="708"/>
          <w:titlePg/>
          <w:docGrid w:linePitch="360"/>
        </w:sectPr>
      </w:pPr>
    </w:p>
    <w:p w14:paraId="16B724E0" w14:textId="125BE7A9" w:rsidR="008C06BA" w:rsidRDefault="008C06BA" w:rsidP="002E01FD">
      <w:pPr>
        <w:pStyle w:val="Heading1"/>
        <w:numPr>
          <w:ilvl w:val="0"/>
          <w:numId w:val="29"/>
        </w:numPr>
        <w:spacing w:line="360" w:lineRule="auto"/>
        <w:rPr>
          <w:lang w:val="en-US"/>
        </w:rPr>
      </w:pPr>
      <w:bookmarkStart w:id="10" w:name="_Toc127793007"/>
      <w:r>
        <w:rPr>
          <w:lang w:val="en-US"/>
        </w:rPr>
        <w:lastRenderedPageBreak/>
        <w:t>Consultation process</w:t>
      </w:r>
      <w:bookmarkEnd w:id="10"/>
      <w:r>
        <w:rPr>
          <w:lang w:val="en-US"/>
        </w:rPr>
        <w:t xml:space="preserve"> </w:t>
      </w:r>
    </w:p>
    <w:p w14:paraId="7ABC5414" w14:textId="6AEA3BD3" w:rsidR="008C06BA" w:rsidRPr="00726A7A" w:rsidRDefault="00062020" w:rsidP="004E7285">
      <w:pPr>
        <w:pStyle w:val="ListParagraph"/>
        <w:numPr>
          <w:ilvl w:val="1"/>
          <w:numId w:val="29"/>
        </w:numPr>
        <w:tabs>
          <w:tab w:val="clear" w:pos="340"/>
        </w:tabs>
        <w:spacing w:line="360" w:lineRule="auto"/>
        <w:rPr>
          <w:lang w:val="en-US"/>
        </w:rPr>
      </w:pPr>
      <w:r w:rsidRPr="00726A7A">
        <w:rPr>
          <w:lang w:val="en-US"/>
        </w:rPr>
        <w:t>Th</w:t>
      </w:r>
      <w:r w:rsidR="00B9549D">
        <w:rPr>
          <w:lang w:val="en-US"/>
        </w:rPr>
        <w:t>is consultation paper</w:t>
      </w:r>
      <w:r w:rsidRPr="00726A7A">
        <w:rPr>
          <w:lang w:val="en-US"/>
        </w:rPr>
        <w:t xml:space="preserve"> invites stakeholders to submit written submission on the proposed amendments to the DAA Record Keeping Guideline. </w:t>
      </w:r>
    </w:p>
    <w:p w14:paraId="27FCD2C8" w14:textId="07E53628" w:rsidR="00062020" w:rsidRPr="00726A7A" w:rsidRDefault="00062020" w:rsidP="00F670EF">
      <w:pPr>
        <w:pStyle w:val="ListParagraph"/>
        <w:numPr>
          <w:ilvl w:val="1"/>
          <w:numId w:val="29"/>
        </w:numPr>
        <w:spacing w:line="360" w:lineRule="auto"/>
        <w:rPr>
          <w:lang w:val="en-US"/>
        </w:rPr>
      </w:pPr>
      <w:r w:rsidRPr="00726A7A">
        <w:rPr>
          <w:lang w:val="en-US"/>
        </w:rPr>
        <w:t xml:space="preserve">These submissions must be lodged via email </w:t>
      </w:r>
      <w:r w:rsidR="000B2456" w:rsidRPr="00726A7A">
        <w:rPr>
          <w:lang w:val="en-US"/>
        </w:rPr>
        <w:t>by</w:t>
      </w:r>
      <w:r w:rsidR="00B83023" w:rsidRPr="00726A7A">
        <w:rPr>
          <w:lang w:val="en-US"/>
        </w:rPr>
        <w:t xml:space="preserve"> </w:t>
      </w:r>
      <w:r w:rsidR="00B83023" w:rsidRPr="00F670EF">
        <w:rPr>
          <w:b/>
          <w:bCs/>
          <w:lang w:val="en-US"/>
        </w:rPr>
        <w:t>5 PM</w:t>
      </w:r>
      <w:r w:rsidR="00654951" w:rsidRPr="00F670EF">
        <w:rPr>
          <w:b/>
          <w:bCs/>
          <w:lang w:val="en-US"/>
        </w:rPr>
        <w:t>,</w:t>
      </w:r>
      <w:r w:rsidR="000B2456" w:rsidRPr="00F670EF">
        <w:rPr>
          <w:b/>
          <w:bCs/>
          <w:lang w:val="en-US"/>
        </w:rPr>
        <w:t xml:space="preserve"> </w:t>
      </w:r>
      <w:r w:rsidR="005F5311">
        <w:rPr>
          <w:b/>
          <w:bCs/>
          <w:lang w:val="en-US"/>
        </w:rPr>
        <w:t>12</w:t>
      </w:r>
      <w:r w:rsidR="004F3F78">
        <w:rPr>
          <w:b/>
          <w:bCs/>
          <w:lang w:val="en-US"/>
        </w:rPr>
        <w:t xml:space="preserve"> </w:t>
      </w:r>
      <w:r w:rsidR="005F5311">
        <w:rPr>
          <w:b/>
          <w:bCs/>
          <w:lang w:val="en-US"/>
        </w:rPr>
        <w:t>May</w:t>
      </w:r>
      <w:r w:rsidR="009C6E97">
        <w:rPr>
          <w:b/>
          <w:bCs/>
          <w:lang w:val="en-US"/>
        </w:rPr>
        <w:t xml:space="preserve"> </w:t>
      </w:r>
      <w:r w:rsidR="007279F6" w:rsidRPr="00F670EF">
        <w:rPr>
          <w:b/>
          <w:bCs/>
          <w:lang w:val="en-US"/>
        </w:rPr>
        <w:t>202</w:t>
      </w:r>
      <w:r w:rsidR="009C6E97">
        <w:rPr>
          <w:b/>
          <w:bCs/>
          <w:lang w:val="en-US"/>
        </w:rPr>
        <w:t>3</w:t>
      </w:r>
      <w:r w:rsidR="000B2456" w:rsidRPr="00726A7A">
        <w:rPr>
          <w:lang w:val="en-US"/>
        </w:rPr>
        <w:t xml:space="preserve"> </w:t>
      </w:r>
      <w:r w:rsidRPr="00726A7A">
        <w:rPr>
          <w:lang w:val="en-US"/>
        </w:rPr>
        <w:t xml:space="preserve">to </w:t>
      </w:r>
      <w:hyperlink r:id="rId15" w:history="1">
        <w:r w:rsidR="00F670EF">
          <w:rPr>
            <w:rStyle w:val="Hyperlink"/>
            <w:lang w:val="en-US"/>
          </w:rPr>
          <w:t>AERGasMarketsPipelineCapacityTrading@aer.gov.au</w:t>
        </w:r>
      </w:hyperlink>
      <w:r w:rsidR="00F670EF">
        <w:rPr>
          <w:lang w:val="en-US"/>
        </w:rPr>
        <w:t xml:space="preserve"> </w:t>
      </w:r>
      <w:r w:rsidRPr="00F670EF">
        <w:rPr>
          <w:lang w:val="en-US"/>
        </w:rPr>
        <w:t>with the following email subject: Day Ahead Auction Record Keeping Guideline Consultation.</w:t>
      </w:r>
      <w:r w:rsidR="000B2456" w:rsidRPr="00F670EF">
        <w:rPr>
          <w:lang w:val="en-US"/>
        </w:rPr>
        <w:t xml:space="preserve"> </w:t>
      </w:r>
    </w:p>
    <w:p w14:paraId="357569B3" w14:textId="2739CF52" w:rsidR="000B2456" w:rsidRPr="00F670EF" w:rsidRDefault="000B2456" w:rsidP="00F670EF">
      <w:pPr>
        <w:pStyle w:val="ListParagraph"/>
        <w:numPr>
          <w:ilvl w:val="1"/>
          <w:numId w:val="29"/>
        </w:numPr>
        <w:spacing w:line="360" w:lineRule="auto"/>
        <w:rPr>
          <w:lang w:val="en-US"/>
        </w:rPr>
      </w:pPr>
      <w:r w:rsidRPr="00F670EF">
        <w:rPr>
          <w:lang w:val="en-US"/>
        </w:rPr>
        <w:t xml:space="preserve">Submissions received will be made available on the AER website </w:t>
      </w:r>
      <w:r w:rsidRPr="00F670EF">
        <w:t>(</w:t>
      </w:r>
      <w:hyperlink r:id="rId16" w:history="1">
        <w:r w:rsidRPr="00F670EF">
          <w:rPr>
            <w:rStyle w:val="Hyperlink"/>
          </w:rPr>
          <w:t>www.aer.gov.au</w:t>
        </w:r>
      </w:hyperlink>
      <w:r w:rsidRPr="00F670EF">
        <w:t>)</w:t>
      </w:r>
      <w:r w:rsidRPr="00F670EF">
        <w:rPr>
          <w:lang w:val="en-US"/>
        </w:rPr>
        <w:t xml:space="preserve">, subject to a claim of confidentiality. </w:t>
      </w:r>
      <w:r w:rsidR="00E179E7" w:rsidRPr="00F670EF">
        <w:rPr>
          <w:lang w:val="en-US"/>
        </w:rPr>
        <w:t xml:space="preserve">We prefer that all submissions be publicly available to facilitate an informed and transparent consultative process. Submissions will be treated as public documents unless otherwise requested. Parties wishing to submit confidential information should: </w:t>
      </w:r>
    </w:p>
    <w:p w14:paraId="21E11C21" w14:textId="209D9A34" w:rsidR="00E179E7" w:rsidRPr="00726A7A" w:rsidRDefault="00E179E7" w:rsidP="00F670EF">
      <w:pPr>
        <w:pStyle w:val="ListParagraph"/>
        <w:numPr>
          <w:ilvl w:val="0"/>
          <w:numId w:val="35"/>
        </w:numPr>
        <w:spacing w:line="360" w:lineRule="auto"/>
        <w:rPr>
          <w:rStyle w:val="Hyperlink"/>
          <w:color w:val="auto"/>
          <w:u w:val="none"/>
          <w:lang w:val="en-US"/>
        </w:rPr>
      </w:pPr>
      <w:r w:rsidRPr="00726A7A">
        <w:rPr>
          <w:rStyle w:val="Hyperlink"/>
          <w:color w:val="auto"/>
          <w:u w:val="none"/>
          <w:lang w:val="en-US"/>
        </w:rPr>
        <w:t xml:space="preserve">Clearly identify the information that is the subject of the confidentiality claim; and </w:t>
      </w:r>
    </w:p>
    <w:p w14:paraId="593185F2" w14:textId="77A307BF" w:rsidR="00E179E7" w:rsidRPr="00726A7A" w:rsidRDefault="00E179E7" w:rsidP="00F670EF">
      <w:pPr>
        <w:pStyle w:val="ListParagraph"/>
        <w:numPr>
          <w:ilvl w:val="0"/>
          <w:numId w:val="35"/>
        </w:numPr>
        <w:spacing w:line="360" w:lineRule="auto"/>
        <w:rPr>
          <w:rStyle w:val="Hyperlink"/>
          <w:color w:val="auto"/>
          <w:u w:val="none"/>
          <w:lang w:val="en-US"/>
        </w:rPr>
      </w:pPr>
      <w:r w:rsidRPr="00726A7A">
        <w:rPr>
          <w:rStyle w:val="Hyperlink"/>
          <w:color w:val="auto"/>
          <w:u w:val="none"/>
          <w:lang w:val="en-US"/>
        </w:rPr>
        <w:t xml:space="preserve">Provide a non-confidential version of the submission in a form suitable for publication. </w:t>
      </w:r>
    </w:p>
    <w:p w14:paraId="446D1190" w14:textId="0D1D1DC5" w:rsidR="00E179E7" w:rsidRPr="00726A7A" w:rsidRDefault="00A04937" w:rsidP="004E7285">
      <w:pPr>
        <w:spacing w:before="120" w:line="360" w:lineRule="auto"/>
        <w:ind w:left="1757" w:hanging="57"/>
        <w:rPr>
          <w:rStyle w:val="Hyperlink"/>
          <w:lang w:val="en-US"/>
        </w:rPr>
      </w:pPr>
      <w:r w:rsidRPr="00726A7A">
        <w:rPr>
          <w:rStyle w:val="Hyperlink"/>
          <w:color w:val="auto"/>
          <w:u w:val="none"/>
          <w:lang w:val="en-US"/>
        </w:rPr>
        <w:t xml:space="preserve"> </w:t>
      </w:r>
      <w:r w:rsidR="00EA411E" w:rsidRPr="00726A7A">
        <w:rPr>
          <w:rStyle w:val="Hyperlink"/>
          <w:color w:val="auto"/>
          <w:u w:val="none"/>
          <w:lang w:val="en-US"/>
        </w:rPr>
        <w:t>For further information regarding our use and disclosure of information provided to us, see the</w:t>
      </w:r>
      <w:r w:rsidR="00EA411E" w:rsidRPr="00726A7A">
        <w:rPr>
          <w:rStyle w:val="Hyperlink"/>
          <w:color w:val="auto"/>
          <w:lang w:val="en-US"/>
        </w:rPr>
        <w:t xml:space="preserve"> </w:t>
      </w:r>
      <w:hyperlink r:id="rId17" w:history="1">
        <w:r w:rsidR="00EA411E" w:rsidRPr="00726A7A">
          <w:rPr>
            <w:rStyle w:val="Hyperlink"/>
            <w:lang w:val="en-US"/>
          </w:rPr>
          <w:t>ACCC/AER Information Policy</w:t>
        </w:r>
      </w:hyperlink>
      <w:r w:rsidR="00EA411E" w:rsidRPr="00726A7A">
        <w:rPr>
          <w:rStyle w:val="Hyperlink"/>
          <w:lang w:val="en-US"/>
        </w:rPr>
        <w:t xml:space="preserve"> </w:t>
      </w:r>
      <w:r w:rsidR="00EA411E" w:rsidRPr="00726A7A">
        <w:rPr>
          <w:rStyle w:val="Hyperlink"/>
          <w:color w:val="auto"/>
          <w:u w:val="none"/>
          <w:lang w:val="en-US"/>
        </w:rPr>
        <w:t>(June 2014).</w:t>
      </w:r>
      <w:r w:rsidR="00EA411E" w:rsidRPr="00726A7A">
        <w:rPr>
          <w:rStyle w:val="Hyperlink"/>
          <w:lang w:val="en-US"/>
        </w:rPr>
        <w:t xml:space="preserve"> </w:t>
      </w:r>
    </w:p>
    <w:p w14:paraId="310BBC0D" w14:textId="44591B6E" w:rsidR="00303A41" w:rsidRPr="004E7285" w:rsidRDefault="00303A41" w:rsidP="004E7285">
      <w:pPr>
        <w:pStyle w:val="ListParagraph"/>
        <w:numPr>
          <w:ilvl w:val="1"/>
          <w:numId w:val="29"/>
        </w:numPr>
        <w:spacing w:line="360" w:lineRule="auto"/>
      </w:pPr>
      <w:r w:rsidRPr="004E7285">
        <w:rPr>
          <w:lang w:val="en-US"/>
        </w:rPr>
        <w:t xml:space="preserve">To assist stakeholders in providing feedback, a response template is provided at Attachment A. Stakeholders are strongly encouraged to use the response template however should not feel obliged to answer each question. </w:t>
      </w:r>
      <w:r w:rsidRPr="004E7285">
        <w:t xml:space="preserve">Stakeholders can also choose to provide feedback outside of the template. </w:t>
      </w:r>
    </w:p>
    <w:p w14:paraId="297E1225" w14:textId="7AE359AF" w:rsidR="00644A74" w:rsidRPr="004E7285" w:rsidRDefault="005516ED" w:rsidP="004E7285">
      <w:pPr>
        <w:pStyle w:val="ListParagraph"/>
        <w:numPr>
          <w:ilvl w:val="1"/>
          <w:numId w:val="29"/>
        </w:numPr>
        <w:spacing w:line="360" w:lineRule="auto"/>
      </w:pPr>
      <w:r w:rsidRPr="004E7285">
        <w:t>This consultation will inform the AER draft decision and final decision on the amendments to the DAA Record Keeping Guideline. The c</w:t>
      </w:r>
      <w:r w:rsidR="00644A74" w:rsidRPr="004E7285">
        <w:t xml:space="preserve">onsultation timeframes </w:t>
      </w:r>
      <w:r w:rsidRPr="004E7285">
        <w:t xml:space="preserve">are outlined in </w:t>
      </w:r>
      <w:r w:rsidR="004C4EDB" w:rsidRPr="004E7285">
        <w:fldChar w:fldCharType="begin"/>
      </w:r>
      <w:r w:rsidR="004C4EDB" w:rsidRPr="004E7285">
        <w:instrText xml:space="preserve"> REF _Ref120018157 \h </w:instrText>
      </w:r>
      <w:r w:rsidR="004E7285">
        <w:instrText xml:space="preserve"> \* MERGEFORMAT </w:instrText>
      </w:r>
      <w:r w:rsidR="004C4EDB" w:rsidRPr="004E7285">
        <w:fldChar w:fldCharType="separate"/>
      </w:r>
      <w:r w:rsidR="004C4EDB" w:rsidRPr="004E7285">
        <w:rPr>
          <w:lang w:val="en-US"/>
        </w:rPr>
        <w:t>Table C</w:t>
      </w:r>
      <w:r w:rsidR="004C4EDB" w:rsidRPr="004E7285">
        <w:fldChar w:fldCharType="end"/>
      </w:r>
      <w:r w:rsidRPr="004E7285">
        <w:t xml:space="preserve"> below. </w:t>
      </w:r>
    </w:p>
    <w:p w14:paraId="3AB16C00" w14:textId="2E052973" w:rsidR="00F71687" w:rsidRDefault="00F71687" w:rsidP="00F71687">
      <w:pPr>
        <w:pStyle w:val="Caption"/>
        <w:keepNext/>
        <w:ind w:left="1080"/>
      </w:pPr>
      <w:bookmarkStart w:id="11" w:name="_Ref120018157"/>
      <w:r>
        <w:t xml:space="preserve">Table </w:t>
      </w:r>
      <w:r w:rsidR="00B30F35">
        <w:fldChar w:fldCharType="begin"/>
      </w:r>
      <w:r w:rsidR="00B30F35">
        <w:instrText xml:space="preserve"> SEQ Table \* ALPHABETIC </w:instrText>
      </w:r>
      <w:r w:rsidR="00B30F35">
        <w:fldChar w:fldCharType="separate"/>
      </w:r>
      <w:r>
        <w:rPr>
          <w:noProof/>
        </w:rPr>
        <w:t>C</w:t>
      </w:r>
      <w:r w:rsidR="00B30F35">
        <w:rPr>
          <w:noProof/>
        </w:rPr>
        <w:fldChar w:fldCharType="end"/>
      </w:r>
      <w:bookmarkEnd w:id="11"/>
      <w:r>
        <w:t xml:space="preserve">: </w:t>
      </w:r>
      <w:r w:rsidR="00481667">
        <w:t xml:space="preserve">Consultation process stages </w:t>
      </w:r>
      <w:r w:rsidR="004C4EDB">
        <w:t xml:space="preserve"> </w:t>
      </w:r>
    </w:p>
    <w:tbl>
      <w:tblPr>
        <w:tblStyle w:val="TableGrid"/>
        <w:tblW w:w="0" w:type="auto"/>
        <w:tblInd w:w="1080" w:type="dxa"/>
        <w:tblLook w:val="04A0" w:firstRow="1" w:lastRow="0" w:firstColumn="1" w:lastColumn="0" w:noHBand="0" w:noVBand="1"/>
      </w:tblPr>
      <w:tblGrid>
        <w:gridCol w:w="5299"/>
        <w:gridCol w:w="2647"/>
      </w:tblGrid>
      <w:tr w:rsidR="005516ED" w:rsidRPr="00726A7A" w14:paraId="4CF74B5F" w14:textId="77777777" w:rsidTr="004816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99" w:type="dxa"/>
          </w:tcPr>
          <w:p w14:paraId="60515553" w14:textId="4BE3A43C" w:rsidR="005516ED" w:rsidRPr="00726A7A" w:rsidRDefault="00481667" w:rsidP="005516ED">
            <w:pPr>
              <w:pStyle w:val="ListParagraph"/>
              <w:numPr>
                <w:ilvl w:val="0"/>
                <w:numId w:val="0"/>
              </w:numPr>
              <w:spacing w:line="360" w:lineRule="auto"/>
              <w:rPr>
                <w:rStyle w:val="Hyperlink"/>
                <w:color w:val="auto"/>
                <w:u w:val="none"/>
                <w:lang w:val="en-US"/>
              </w:rPr>
            </w:pPr>
            <w:r>
              <w:rPr>
                <w:rStyle w:val="Hyperlink"/>
                <w:color w:val="auto"/>
                <w:u w:val="none"/>
                <w:lang w:val="en-US"/>
              </w:rPr>
              <w:t>P</w:t>
            </w:r>
            <w:r w:rsidRPr="00481667">
              <w:rPr>
                <w:rStyle w:val="Hyperlink"/>
                <w:color w:val="auto"/>
                <w:u w:val="none"/>
                <w:lang w:val="en-US"/>
              </w:rPr>
              <w:t>rocess stage</w:t>
            </w:r>
          </w:p>
        </w:tc>
        <w:tc>
          <w:tcPr>
            <w:tcW w:w="2647" w:type="dxa"/>
          </w:tcPr>
          <w:p w14:paraId="2B43393B" w14:textId="0E78520A" w:rsidR="005516ED" w:rsidRPr="00726A7A" w:rsidRDefault="005516ED" w:rsidP="005516ED">
            <w:pPr>
              <w:pStyle w:val="ListParagraph"/>
              <w:numPr>
                <w:ilvl w:val="0"/>
                <w:numId w:val="0"/>
              </w:numPr>
              <w:spacing w:line="360" w:lineRule="auto"/>
              <w:cnfStyle w:val="100000000000" w:firstRow="1" w:lastRow="0" w:firstColumn="0" w:lastColumn="0" w:oddVBand="0" w:evenVBand="0" w:oddHBand="0" w:evenHBand="0" w:firstRowFirstColumn="0" w:firstRowLastColumn="0" w:lastRowFirstColumn="0" w:lastRowLastColumn="0"/>
              <w:rPr>
                <w:rStyle w:val="Hyperlink"/>
                <w:color w:val="auto"/>
                <w:u w:val="none"/>
                <w:lang w:val="en-US"/>
              </w:rPr>
            </w:pPr>
            <w:r w:rsidRPr="00726A7A">
              <w:rPr>
                <w:rStyle w:val="Hyperlink"/>
                <w:color w:val="auto"/>
                <w:u w:val="none"/>
                <w:lang w:val="en-US"/>
              </w:rPr>
              <w:t>Dates</w:t>
            </w:r>
            <w:r w:rsidR="00BE1A9D">
              <w:rPr>
                <w:rStyle w:val="Hyperlink"/>
                <w:color w:val="auto"/>
                <w:u w:val="none"/>
                <w:lang w:val="en-US"/>
              </w:rPr>
              <w:t>*</w:t>
            </w:r>
            <w:r w:rsidRPr="00726A7A">
              <w:rPr>
                <w:rStyle w:val="Hyperlink"/>
                <w:color w:val="auto"/>
                <w:u w:val="none"/>
                <w:lang w:val="en-US"/>
              </w:rPr>
              <w:t xml:space="preserve"> </w:t>
            </w:r>
          </w:p>
        </w:tc>
      </w:tr>
      <w:tr w:rsidR="00481667" w:rsidRPr="005A3934" w14:paraId="1296722D" w14:textId="77777777" w:rsidTr="00481667">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BFBFBF" w:themeColor="background1" w:themeShade="BF"/>
              <w:bottom w:val="single" w:sz="4" w:space="0" w:color="auto"/>
            </w:tcBorders>
          </w:tcPr>
          <w:p w14:paraId="46136B88" w14:textId="5317DD86" w:rsidR="00481667" w:rsidRPr="00481667" w:rsidRDefault="00481667" w:rsidP="00481667">
            <w:pPr>
              <w:pStyle w:val="ListParagraph"/>
              <w:numPr>
                <w:ilvl w:val="0"/>
                <w:numId w:val="0"/>
              </w:numPr>
              <w:spacing w:line="360" w:lineRule="auto"/>
              <w:rPr>
                <w:rStyle w:val="Hyperlink"/>
                <w:b w:val="0"/>
                <w:bCs/>
                <w:color w:val="auto"/>
                <w:highlight w:val="yellow"/>
                <w:u w:val="none"/>
                <w:lang w:val="en-US"/>
              </w:rPr>
            </w:pPr>
            <w:r>
              <w:t>Publication of Consultation Paper</w:t>
            </w:r>
          </w:p>
        </w:tc>
        <w:tc>
          <w:tcPr>
            <w:tcW w:w="2647" w:type="dxa"/>
            <w:tcBorders>
              <w:top w:val="single" w:sz="4" w:space="0" w:color="BFBFBF" w:themeColor="background1" w:themeShade="BF"/>
              <w:bottom w:val="single" w:sz="4" w:space="0" w:color="auto"/>
            </w:tcBorders>
          </w:tcPr>
          <w:p w14:paraId="72110915" w14:textId="6FC91C83" w:rsidR="00481667" w:rsidRPr="00481667" w:rsidRDefault="00882FB3" w:rsidP="00481667">
            <w:pPr>
              <w:pStyle w:val="ListParagraph"/>
              <w:numPr>
                <w:ilvl w:val="0"/>
                <w:numId w:val="0"/>
              </w:numPr>
              <w:spacing w:line="360" w:lineRule="auto"/>
              <w:cnfStyle w:val="000000000000" w:firstRow="0" w:lastRow="0" w:firstColumn="0" w:lastColumn="0" w:oddVBand="0" w:evenVBand="0" w:oddHBand="0" w:evenHBand="0" w:firstRowFirstColumn="0" w:firstRowLastColumn="0" w:lastRowFirstColumn="0" w:lastRowLastColumn="0"/>
              <w:rPr>
                <w:rStyle w:val="Hyperlink"/>
                <w:color w:val="auto"/>
                <w:highlight w:val="yellow"/>
                <w:u w:val="none"/>
                <w:lang w:val="en-US"/>
              </w:rPr>
            </w:pPr>
            <w:r>
              <w:t>1</w:t>
            </w:r>
            <w:r w:rsidR="00B30F35">
              <w:t>3</w:t>
            </w:r>
            <w:r w:rsidR="00D64ED6" w:rsidRPr="00C20B3F">
              <w:t xml:space="preserve"> </w:t>
            </w:r>
            <w:r>
              <w:t>April</w:t>
            </w:r>
            <w:r w:rsidR="00481667" w:rsidRPr="00C20B3F">
              <w:t xml:space="preserve"> 2023</w:t>
            </w:r>
          </w:p>
        </w:tc>
      </w:tr>
      <w:tr w:rsidR="00481667" w:rsidRPr="005A3934" w14:paraId="719FD785" w14:textId="77777777" w:rsidTr="00481667">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auto"/>
              <w:bottom w:val="single" w:sz="4" w:space="0" w:color="auto"/>
            </w:tcBorders>
          </w:tcPr>
          <w:p w14:paraId="30A6F274" w14:textId="1B1E7AD7" w:rsidR="00481667" w:rsidRPr="00481667" w:rsidRDefault="00481667" w:rsidP="00481667">
            <w:pPr>
              <w:pStyle w:val="ListParagraph"/>
              <w:numPr>
                <w:ilvl w:val="0"/>
                <w:numId w:val="0"/>
              </w:numPr>
              <w:spacing w:line="360" w:lineRule="auto"/>
              <w:rPr>
                <w:rStyle w:val="Hyperlink"/>
                <w:b w:val="0"/>
                <w:bCs/>
                <w:color w:val="auto"/>
                <w:highlight w:val="yellow"/>
                <w:u w:val="none"/>
                <w:lang w:val="en-US"/>
              </w:rPr>
            </w:pPr>
            <w:r>
              <w:lastRenderedPageBreak/>
              <w:t>Closing date for submissions in response to the Consultation Paper</w:t>
            </w:r>
          </w:p>
        </w:tc>
        <w:tc>
          <w:tcPr>
            <w:tcW w:w="2647" w:type="dxa"/>
            <w:tcBorders>
              <w:top w:val="single" w:sz="4" w:space="0" w:color="auto"/>
              <w:bottom w:val="single" w:sz="4" w:space="0" w:color="auto"/>
            </w:tcBorders>
          </w:tcPr>
          <w:p w14:paraId="0FB01845" w14:textId="5E588D73" w:rsidR="00481667" w:rsidRPr="00481667" w:rsidRDefault="00882FB3" w:rsidP="00481667">
            <w:pPr>
              <w:pStyle w:val="ListParagraph"/>
              <w:numPr>
                <w:ilvl w:val="0"/>
                <w:numId w:val="0"/>
              </w:numPr>
              <w:spacing w:line="360" w:lineRule="auto"/>
              <w:cnfStyle w:val="000000000000" w:firstRow="0" w:lastRow="0" w:firstColumn="0" w:lastColumn="0" w:oddVBand="0" w:evenVBand="0" w:oddHBand="0" w:evenHBand="0" w:firstRowFirstColumn="0" w:firstRowLastColumn="0" w:lastRowFirstColumn="0" w:lastRowLastColumn="0"/>
              <w:rPr>
                <w:rStyle w:val="Hyperlink"/>
                <w:color w:val="auto"/>
                <w:highlight w:val="yellow"/>
                <w:u w:val="none"/>
                <w:lang w:val="en-US"/>
              </w:rPr>
            </w:pPr>
            <w:r>
              <w:t>12</w:t>
            </w:r>
            <w:r w:rsidR="00481667" w:rsidRPr="00C20B3F">
              <w:t xml:space="preserve"> </w:t>
            </w:r>
            <w:r>
              <w:t>May</w:t>
            </w:r>
            <w:r w:rsidR="00481667" w:rsidRPr="00C20B3F">
              <w:t xml:space="preserve"> 2023</w:t>
            </w:r>
          </w:p>
        </w:tc>
      </w:tr>
      <w:tr w:rsidR="00481667" w:rsidRPr="005A3934" w14:paraId="565718D4" w14:textId="77777777" w:rsidTr="00481667">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auto"/>
              <w:bottom w:val="single" w:sz="4" w:space="0" w:color="auto"/>
            </w:tcBorders>
          </w:tcPr>
          <w:p w14:paraId="1C1BFBF6" w14:textId="088F6A93" w:rsidR="00481667" w:rsidRPr="00481667" w:rsidRDefault="00481667" w:rsidP="00481667">
            <w:pPr>
              <w:pStyle w:val="ListParagraph"/>
              <w:numPr>
                <w:ilvl w:val="0"/>
                <w:numId w:val="0"/>
              </w:numPr>
              <w:spacing w:line="360" w:lineRule="auto"/>
              <w:rPr>
                <w:rStyle w:val="Hyperlink"/>
                <w:color w:val="auto"/>
                <w:highlight w:val="yellow"/>
                <w:u w:val="none"/>
                <w:lang w:val="en-US"/>
              </w:rPr>
            </w:pPr>
            <w:r>
              <w:t xml:space="preserve">Publication of Draft amendments to the DAA Record Keeping Guideline </w:t>
            </w:r>
          </w:p>
        </w:tc>
        <w:tc>
          <w:tcPr>
            <w:tcW w:w="2647" w:type="dxa"/>
            <w:tcBorders>
              <w:top w:val="single" w:sz="4" w:space="0" w:color="auto"/>
              <w:bottom w:val="single" w:sz="4" w:space="0" w:color="auto"/>
            </w:tcBorders>
          </w:tcPr>
          <w:p w14:paraId="789DBC8B" w14:textId="2B34EF6E" w:rsidR="00481667" w:rsidRPr="00481667" w:rsidRDefault="00481667" w:rsidP="00481667">
            <w:pPr>
              <w:pStyle w:val="ListParagraph"/>
              <w:numPr>
                <w:ilvl w:val="0"/>
                <w:numId w:val="0"/>
              </w:numPr>
              <w:spacing w:line="360" w:lineRule="auto"/>
              <w:cnfStyle w:val="000000000000" w:firstRow="0" w:lastRow="0" w:firstColumn="0" w:lastColumn="0" w:oddVBand="0" w:evenVBand="0" w:oddHBand="0" w:evenHBand="0" w:firstRowFirstColumn="0" w:firstRowLastColumn="0" w:lastRowFirstColumn="0" w:lastRowLastColumn="0"/>
              <w:rPr>
                <w:rStyle w:val="Hyperlink"/>
                <w:b/>
                <w:bCs/>
                <w:color w:val="auto"/>
                <w:highlight w:val="yellow"/>
                <w:u w:val="none"/>
                <w:lang w:val="en-US"/>
              </w:rPr>
            </w:pPr>
            <w:r w:rsidRPr="004B254A">
              <w:t>Potentially</w:t>
            </w:r>
            <w:r>
              <w:t xml:space="preserve"> in </w:t>
            </w:r>
            <w:r w:rsidR="00D64ED6">
              <w:t>June</w:t>
            </w:r>
            <w:r>
              <w:t xml:space="preserve"> </w:t>
            </w:r>
            <w:r w:rsidRPr="004B254A">
              <w:t>20</w:t>
            </w:r>
            <w:r>
              <w:t>23</w:t>
            </w:r>
          </w:p>
        </w:tc>
      </w:tr>
      <w:tr w:rsidR="00481667" w:rsidRPr="005A3934" w14:paraId="22936E69" w14:textId="77777777" w:rsidTr="00481667">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auto"/>
              <w:bottom w:val="single" w:sz="4" w:space="0" w:color="auto"/>
            </w:tcBorders>
          </w:tcPr>
          <w:p w14:paraId="7EB83937" w14:textId="2785411F" w:rsidR="00481667" w:rsidRPr="00481667" w:rsidRDefault="00481667" w:rsidP="00481667">
            <w:pPr>
              <w:pStyle w:val="ListParagraph"/>
              <w:numPr>
                <w:ilvl w:val="0"/>
                <w:numId w:val="0"/>
              </w:numPr>
              <w:spacing w:line="360" w:lineRule="auto"/>
              <w:rPr>
                <w:rStyle w:val="Hyperlink"/>
                <w:b w:val="0"/>
                <w:bCs/>
                <w:color w:val="auto"/>
                <w:highlight w:val="yellow"/>
                <w:u w:val="none"/>
                <w:lang w:val="en-US"/>
              </w:rPr>
            </w:pPr>
            <w:r>
              <w:t xml:space="preserve">Closing date for submissions in response to the Draft amendments to the DAA Record Keeping Guideline </w:t>
            </w:r>
          </w:p>
        </w:tc>
        <w:tc>
          <w:tcPr>
            <w:tcW w:w="2647" w:type="dxa"/>
            <w:tcBorders>
              <w:top w:val="single" w:sz="4" w:space="0" w:color="auto"/>
              <w:bottom w:val="single" w:sz="4" w:space="0" w:color="auto"/>
            </w:tcBorders>
          </w:tcPr>
          <w:p w14:paraId="7C77FF8B" w14:textId="431FB2FD" w:rsidR="00481667" w:rsidRPr="00481667" w:rsidRDefault="00481667" w:rsidP="00481667">
            <w:pPr>
              <w:pStyle w:val="ListParagraph"/>
              <w:numPr>
                <w:ilvl w:val="0"/>
                <w:numId w:val="0"/>
              </w:numPr>
              <w:spacing w:line="360" w:lineRule="auto"/>
              <w:cnfStyle w:val="000000000000" w:firstRow="0" w:lastRow="0" w:firstColumn="0" w:lastColumn="0" w:oddVBand="0" w:evenVBand="0" w:oddHBand="0" w:evenHBand="0" w:firstRowFirstColumn="0" w:firstRowLastColumn="0" w:lastRowFirstColumn="0" w:lastRowLastColumn="0"/>
              <w:rPr>
                <w:rStyle w:val="Hyperlink"/>
                <w:color w:val="auto"/>
                <w:highlight w:val="yellow"/>
                <w:u w:val="none"/>
                <w:lang w:val="en-US"/>
              </w:rPr>
            </w:pPr>
            <w:r w:rsidRPr="004B254A">
              <w:t>Potentially</w:t>
            </w:r>
            <w:r>
              <w:t xml:space="preserve"> in</w:t>
            </w:r>
            <w:r w:rsidRPr="004B254A">
              <w:t xml:space="preserve"> </w:t>
            </w:r>
            <w:r w:rsidR="00292DEF">
              <w:t>J</w:t>
            </w:r>
            <w:r w:rsidR="00D64ED6">
              <w:t>uly</w:t>
            </w:r>
            <w:r w:rsidRPr="004B254A">
              <w:t xml:space="preserve"> 2023</w:t>
            </w:r>
          </w:p>
        </w:tc>
      </w:tr>
      <w:tr w:rsidR="00481667" w:rsidRPr="005A3934" w14:paraId="7D353009" w14:textId="77777777" w:rsidTr="00481667">
        <w:tc>
          <w:tcPr>
            <w:cnfStyle w:val="001000000000" w:firstRow="0" w:lastRow="0" w:firstColumn="1" w:lastColumn="0" w:oddVBand="0" w:evenVBand="0" w:oddHBand="0" w:evenHBand="0" w:firstRowFirstColumn="0" w:firstRowLastColumn="0" w:lastRowFirstColumn="0" w:lastRowLastColumn="0"/>
            <w:tcW w:w="5299" w:type="dxa"/>
            <w:tcBorders>
              <w:top w:val="single" w:sz="4" w:space="0" w:color="auto"/>
              <w:bottom w:val="single" w:sz="4" w:space="0" w:color="auto"/>
            </w:tcBorders>
          </w:tcPr>
          <w:p w14:paraId="2386040F" w14:textId="24E1738E" w:rsidR="00481667" w:rsidRPr="00481667" w:rsidRDefault="00481667" w:rsidP="00481667">
            <w:pPr>
              <w:pStyle w:val="ListParagraph"/>
              <w:numPr>
                <w:ilvl w:val="0"/>
                <w:numId w:val="0"/>
              </w:numPr>
              <w:spacing w:line="360" w:lineRule="auto"/>
              <w:rPr>
                <w:rStyle w:val="Hyperlink"/>
                <w:b w:val="0"/>
                <w:bCs/>
                <w:color w:val="auto"/>
                <w:highlight w:val="yellow"/>
                <w:u w:val="none"/>
                <w:lang w:val="en-US"/>
              </w:rPr>
            </w:pPr>
            <w:r>
              <w:t xml:space="preserve">Publication of Final amendments to the DAA Record Keeping Guideline </w:t>
            </w:r>
          </w:p>
        </w:tc>
        <w:tc>
          <w:tcPr>
            <w:tcW w:w="2647" w:type="dxa"/>
            <w:tcBorders>
              <w:top w:val="single" w:sz="4" w:space="0" w:color="auto"/>
              <w:bottom w:val="single" w:sz="4" w:space="0" w:color="auto"/>
            </w:tcBorders>
          </w:tcPr>
          <w:p w14:paraId="675684E5" w14:textId="2F648D17" w:rsidR="00481667" w:rsidRPr="00481667" w:rsidRDefault="00481667" w:rsidP="00481667">
            <w:pPr>
              <w:pStyle w:val="ListParagraph"/>
              <w:numPr>
                <w:ilvl w:val="0"/>
                <w:numId w:val="0"/>
              </w:numPr>
              <w:spacing w:line="360" w:lineRule="auto"/>
              <w:cnfStyle w:val="000000000000" w:firstRow="0" w:lastRow="0" w:firstColumn="0" w:lastColumn="0" w:oddVBand="0" w:evenVBand="0" w:oddHBand="0" w:evenHBand="0" w:firstRowFirstColumn="0" w:firstRowLastColumn="0" w:lastRowFirstColumn="0" w:lastRowLastColumn="0"/>
              <w:rPr>
                <w:rStyle w:val="Hyperlink"/>
                <w:color w:val="auto"/>
                <w:highlight w:val="yellow"/>
                <w:u w:val="none"/>
                <w:lang w:val="en-US"/>
              </w:rPr>
            </w:pPr>
            <w:r w:rsidRPr="004F4B91">
              <w:t xml:space="preserve">Potentially in </w:t>
            </w:r>
            <w:r w:rsidR="00D64ED6">
              <w:t>August</w:t>
            </w:r>
            <w:r w:rsidRPr="004F4B91">
              <w:t xml:space="preserve"> 2023</w:t>
            </w:r>
          </w:p>
        </w:tc>
      </w:tr>
    </w:tbl>
    <w:p w14:paraId="250D88A5" w14:textId="5383844E" w:rsidR="005516ED" w:rsidRPr="00726A7A" w:rsidRDefault="00BE3D83" w:rsidP="001F2532">
      <w:pPr>
        <w:pStyle w:val="ListParagraph"/>
        <w:numPr>
          <w:ilvl w:val="0"/>
          <w:numId w:val="0"/>
        </w:numPr>
        <w:spacing w:line="360" w:lineRule="auto"/>
        <w:ind w:left="1080"/>
        <w:rPr>
          <w:rStyle w:val="Hyperlink"/>
          <w:color w:val="auto"/>
          <w:u w:val="none"/>
          <w:lang w:val="en-US"/>
        </w:rPr>
      </w:pPr>
      <w:r>
        <w:rPr>
          <w:rStyle w:val="Hyperlink"/>
          <w:color w:val="auto"/>
          <w:u w:val="none"/>
          <w:lang w:val="en-US"/>
        </w:rPr>
        <w:t>*</w:t>
      </w:r>
      <w:r w:rsidR="00BE1A9D">
        <w:rPr>
          <w:rStyle w:val="Hyperlink"/>
          <w:color w:val="auto"/>
          <w:u w:val="none"/>
          <w:lang w:val="en-US"/>
        </w:rPr>
        <w:t xml:space="preserve">Please note that these times and dates are subject to change. </w:t>
      </w:r>
    </w:p>
    <w:p w14:paraId="35C6668B" w14:textId="444101DD" w:rsidR="003D577B" w:rsidRPr="00726A7A" w:rsidRDefault="00644A74" w:rsidP="004E7285">
      <w:pPr>
        <w:pStyle w:val="ListParagraph"/>
        <w:numPr>
          <w:ilvl w:val="1"/>
          <w:numId w:val="29"/>
        </w:numPr>
        <w:spacing w:line="360" w:lineRule="auto"/>
        <w:rPr>
          <w:lang w:val="en-US"/>
        </w:rPr>
      </w:pPr>
      <w:r w:rsidRPr="004E7285">
        <w:t xml:space="preserve">All enquiries should be addressed to Jeremy Graham at </w:t>
      </w:r>
      <w:hyperlink r:id="rId18" w:history="1">
        <w:r w:rsidRPr="004E7285">
          <w:rPr>
            <w:rStyle w:val="Hyperlink"/>
            <w:lang w:val="en-US"/>
          </w:rPr>
          <w:t>Jeremy.graham@aer.gov.au</w:t>
        </w:r>
      </w:hyperlink>
      <w:r w:rsidRPr="004E7285">
        <w:t>.</w:t>
      </w:r>
      <w:r w:rsidRPr="00726A7A">
        <w:rPr>
          <w:rStyle w:val="Hyperlink"/>
          <w:color w:val="auto"/>
          <w:u w:val="none"/>
          <w:lang w:val="en-US"/>
        </w:rPr>
        <w:t xml:space="preserve"> </w:t>
      </w:r>
      <w:r w:rsidR="003D577B" w:rsidRPr="00726A7A">
        <w:rPr>
          <w:rFonts w:asciiTheme="minorHAnsi" w:hAnsiTheme="minorHAnsi" w:cstheme="minorHAnsi"/>
          <w:lang w:val="en-US"/>
        </w:rPr>
        <w:br w:type="page"/>
      </w:r>
    </w:p>
    <w:p w14:paraId="1094DAE5" w14:textId="77777777" w:rsidR="008F0548" w:rsidRDefault="008F0548" w:rsidP="005516ED">
      <w:pPr>
        <w:pStyle w:val="Heading1"/>
        <w:rPr>
          <w:lang w:val="en-US"/>
        </w:rPr>
        <w:sectPr w:rsidR="008F0548" w:rsidSect="00C66EA3">
          <w:pgSz w:w="11906" w:h="16838"/>
          <w:pgMar w:top="1276" w:right="1440" w:bottom="1440" w:left="1440" w:header="708" w:footer="708" w:gutter="0"/>
          <w:pgNumType w:start="12"/>
          <w:cols w:space="708"/>
          <w:titlePg/>
          <w:docGrid w:linePitch="360"/>
        </w:sectPr>
      </w:pPr>
    </w:p>
    <w:p w14:paraId="78102D95" w14:textId="77F022B7" w:rsidR="008C2381" w:rsidRPr="008C2381" w:rsidRDefault="008C2381" w:rsidP="008C2381">
      <w:pPr>
        <w:pStyle w:val="Heading7"/>
        <w:pageBreakBefore/>
        <w:tabs>
          <w:tab w:val="left" w:pos="1021"/>
        </w:tabs>
        <w:spacing w:before="0" w:line="276" w:lineRule="auto"/>
        <w:rPr>
          <w:b/>
          <w:bCs/>
          <w:i w:val="0"/>
          <w:iCs w:val="0"/>
          <w:color w:val="70635A"/>
          <w:sz w:val="36"/>
          <w:szCs w:val="28"/>
        </w:rPr>
      </w:pPr>
      <w:bookmarkStart w:id="12" w:name="_Ref120020535"/>
      <w:bookmarkStart w:id="13" w:name="_Toc127793008"/>
      <w:r w:rsidRPr="008C2381">
        <w:rPr>
          <w:b/>
          <w:bCs/>
          <w:i w:val="0"/>
          <w:iCs w:val="0"/>
          <w:color w:val="70635A"/>
          <w:sz w:val="36"/>
          <w:szCs w:val="28"/>
        </w:rPr>
        <w:lastRenderedPageBreak/>
        <w:t xml:space="preserve">Schedule </w:t>
      </w:r>
      <w:r w:rsidRPr="008C2381">
        <w:rPr>
          <w:b/>
          <w:bCs/>
          <w:i w:val="0"/>
          <w:iCs w:val="0"/>
          <w:color w:val="70635A"/>
          <w:sz w:val="36"/>
          <w:szCs w:val="28"/>
        </w:rPr>
        <w:fldChar w:fldCharType="begin"/>
      </w:r>
      <w:r w:rsidRPr="008C2381">
        <w:rPr>
          <w:b/>
          <w:bCs/>
          <w:i w:val="0"/>
          <w:iCs w:val="0"/>
          <w:color w:val="70635A"/>
          <w:sz w:val="36"/>
          <w:szCs w:val="28"/>
        </w:rPr>
        <w:instrText xml:space="preserve"> SEQ Schedule \* ARABIC </w:instrText>
      </w:r>
      <w:r w:rsidRPr="008C2381">
        <w:rPr>
          <w:b/>
          <w:bCs/>
          <w:i w:val="0"/>
          <w:iCs w:val="0"/>
          <w:color w:val="70635A"/>
          <w:sz w:val="36"/>
          <w:szCs w:val="28"/>
        </w:rPr>
        <w:fldChar w:fldCharType="separate"/>
      </w:r>
      <w:r>
        <w:rPr>
          <w:b/>
          <w:bCs/>
          <w:i w:val="0"/>
          <w:iCs w:val="0"/>
          <w:noProof/>
          <w:color w:val="70635A"/>
          <w:sz w:val="36"/>
          <w:szCs w:val="28"/>
        </w:rPr>
        <w:t>1</w:t>
      </w:r>
      <w:r w:rsidRPr="008C2381">
        <w:rPr>
          <w:b/>
          <w:bCs/>
          <w:i w:val="0"/>
          <w:iCs w:val="0"/>
          <w:color w:val="70635A"/>
          <w:sz w:val="36"/>
          <w:szCs w:val="28"/>
        </w:rPr>
        <w:fldChar w:fldCharType="end"/>
      </w:r>
      <w:bookmarkEnd w:id="12"/>
      <w:r w:rsidRPr="008C2381">
        <w:rPr>
          <w:b/>
          <w:bCs/>
          <w:i w:val="0"/>
          <w:iCs w:val="0"/>
          <w:color w:val="70635A"/>
          <w:sz w:val="36"/>
          <w:szCs w:val="28"/>
        </w:rPr>
        <w:t>: Form of nomination and scheduling records for facility operators</w:t>
      </w:r>
      <w:bookmarkEnd w:id="13"/>
      <w:r w:rsidRPr="008C2381">
        <w:rPr>
          <w:b/>
          <w:bCs/>
          <w:i w:val="0"/>
          <w:iCs w:val="0"/>
          <w:color w:val="70635A"/>
          <w:sz w:val="36"/>
          <w:szCs w:val="28"/>
        </w:rPr>
        <w:t xml:space="preserve"> </w:t>
      </w:r>
    </w:p>
    <w:tbl>
      <w:tblPr>
        <w:tblW w:w="15469" w:type="dxa"/>
        <w:tblInd w:w="-885" w:type="dxa"/>
        <w:tblLook w:val="04A0" w:firstRow="1" w:lastRow="0" w:firstColumn="1" w:lastColumn="0" w:noHBand="0" w:noVBand="1"/>
      </w:tblPr>
      <w:tblGrid>
        <w:gridCol w:w="636"/>
        <w:gridCol w:w="1122"/>
        <w:gridCol w:w="1852"/>
        <w:gridCol w:w="1349"/>
        <w:gridCol w:w="1462"/>
        <w:gridCol w:w="1584"/>
        <w:gridCol w:w="1785"/>
        <w:gridCol w:w="1699"/>
        <w:gridCol w:w="1306"/>
        <w:gridCol w:w="1160"/>
        <w:gridCol w:w="1514"/>
      </w:tblGrid>
      <w:tr w:rsidR="00A65FCA" w:rsidRPr="00D17E10" w14:paraId="29E5623E" w14:textId="77777777" w:rsidTr="008C2381">
        <w:trPr>
          <w:trHeight w:val="563"/>
        </w:trPr>
        <w:tc>
          <w:tcPr>
            <w:tcW w:w="636" w:type="dxa"/>
            <w:tcBorders>
              <w:bottom w:val="nil"/>
            </w:tcBorders>
            <w:shd w:val="clear" w:color="auto" w:fill="auto"/>
          </w:tcPr>
          <w:p w14:paraId="1511B6B5" w14:textId="77777777" w:rsidR="00A65FCA" w:rsidRPr="00D17E10" w:rsidRDefault="00A65FCA" w:rsidP="004E4088">
            <w:pPr>
              <w:spacing w:before="0" w:line="360" w:lineRule="auto"/>
              <w:rPr>
                <w:rFonts w:ascii="Calibri" w:eastAsia="Times New Roman" w:hAnsi="Calibri" w:cs="Times New Roman"/>
                <w:b/>
                <w:bCs/>
                <w:color w:val="000000"/>
                <w:lang w:eastAsia="en-AU"/>
              </w:rPr>
            </w:pPr>
          </w:p>
        </w:tc>
        <w:tc>
          <w:tcPr>
            <w:tcW w:w="1122" w:type="dxa"/>
            <w:tcBorders>
              <w:top w:val="single" w:sz="8" w:space="0" w:color="auto"/>
              <w:left w:val="nil"/>
              <w:bottom w:val="nil"/>
              <w:right w:val="nil"/>
            </w:tcBorders>
            <w:shd w:val="clear" w:color="000000" w:fill="E7E6E6"/>
            <w:vAlign w:val="center"/>
            <w:hideMark/>
          </w:tcPr>
          <w:p w14:paraId="639AEA2F"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 xml:space="preserve">Shipper </w:t>
            </w:r>
            <w:r w:rsidRPr="00D17E10">
              <w:rPr>
                <w:rFonts w:ascii="Calibri" w:eastAsia="Times New Roman" w:hAnsi="Calibri" w:cs="Times New Roman"/>
                <w:b/>
                <w:bCs/>
                <w:color w:val="000000"/>
                <w:lang w:eastAsia="en-AU"/>
              </w:rPr>
              <w:br/>
              <w:t>name</w:t>
            </w:r>
          </w:p>
        </w:tc>
        <w:tc>
          <w:tcPr>
            <w:tcW w:w="1852" w:type="dxa"/>
            <w:tcBorders>
              <w:top w:val="single" w:sz="8" w:space="0" w:color="auto"/>
              <w:left w:val="nil"/>
              <w:bottom w:val="nil"/>
              <w:right w:val="nil"/>
            </w:tcBorders>
            <w:shd w:val="clear" w:color="000000" w:fill="E7E6E6"/>
            <w:vAlign w:val="center"/>
            <w:hideMark/>
          </w:tcPr>
          <w:p w14:paraId="49170243"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 xml:space="preserve">Auction </w:t>
            </w:r>
            <w:r w:rsidRPr="00D17E10">
              <w:rPr>
                <w:rFonts w:ascii="Calibri" w:eastAsia="Times New Roman" w:hAnsi="Calibri" w:cs="Times New Roman"/>
                <w:b/>
                <w:bCs/>
                <w:color w:val="000000"/>
                <w:lang w:eastAsia="en-AU"/>
              </w:rPr>
              <w:br/>
              <w:t>facility</w:t>
            </w:r>
          </w:p>
        </w:tc>
        <w:tc>
          <w:tcPr>
            <w:tcW w:w="1349" w:type="dxa"/>
            <w:tcBorders>
              <w:top w:val="single" w:sz="8" w:space="0" w:color="auto"/>
              <w:left w:val="nil"/>
              <w:bottom w:val="nil"/>
              <w:right w:val="nil"/>
            </w:tcBorders>
            <w:shd w:val="clear" w:color="000000" w:fill="E7E6E6"/>
            <w:noWrap/>
            <w:vAlign w:val="center"/>
            <w:hideMark/>
          </w:tcPr>
          <w:p w14:paraId="12BEA17B"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Gas day</w:t>
            </w:r>
          </w:p>
        </w:tc>
        <w:tc>
          <w:tcPr>
            <w:tcW w:w="1462" w:type="dxa"/>
            <w:tcBorders>
              <w:top w:val="single" w:sz="8" w:space="0" w:color="auto"/>
              <w:left w:val="nil"/>
              <w:bottom w:val="nil"/>
              <w:right w:val="nil"/>
            </w:tcBorders>
            <w:shd w:val="clear" w:color="000000" w:fill="E7E6E6"/>
            <w:vAlign w:val="center"/>
            <w:hideMark/>
          </w:tcPr>
          <w:p w14:paraId="364596B1"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Nomination</w:t>
            </w:r>
            <w:r w:rsidRPr="00D17E10">
              <w:rPr>
                <w:rFonts w:ascii="Calibri" w:eastAsia="Times New Roman" w:hAnsi="Calibri" w:cs="Times New Roman"/>
                <w:b/>
                <w:bCs/>
                <w:color w:val="000000"/>
                <w:lang w:eastAsia="en-AU"/>
              </w:rPr>
              <w:br/>
              <w:t>Time</w:t>
            </w:r>
            <w:r>
              <w:rPr>
                <w:rFonts w:ascii="Calibri" w:eastAsia="Times New Roman" w:hAnsi="Calibri" w:cs="Times New Roman"/>
                <w:b/>
                <w:bCs/>
                <w:color w:val="000000"/>
                <w:lang w:eastAsia="en-AU"/>
              </w:rPr>
              <w:t xml:space="preserve"> (AEST) </w:t>
            </w:r>
          </w:p>
        </w:tc>
        <w:tc>
          <w:tcPr>
            <w:tcW w:w="1584" w:type="dxa"/>
            <w:tcBorders>
              <w:top w:val="single" w:sz="8" w:space="0" w:color="auto"/>
              <w:left w:val="nil"/>
              <w:bottom w:val="nil"/>
              <w:right w:val="nil"/>
            </w:tcBorders>
            <w:shd w:val="clear" w:color="000000" w:fill="E7E6E6"/>
            <w:vAlign w:val="center"/>
            <w:hideMark/>
          </w:tcPr>
          <w:p w14:paraId="26B2E82F"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Transportation</w:t>
            </w:r>
            <w:r w:rsidRPr="00D17E10">
              <w:rPr>
                <w:rFonts w:ascii="Calibri" w:eastAsia="Times New Roman" w:hAnsi="Calibri" w:cs="Times New Roman"/>
                <w:b/>
                <w:bCs/>
                <w:color w:val="000000"/>
                <w:lang w:eastAsia="en-AU"/>
              </w:rPr>
              <w:br/>
              <w:t xml:space="preserve"> service</w:t>
            </w:r>
          </w:p>
        </w:tc>
        <w:tc>
          <w:tcPr>
            <w:tcW w:w="1785" w:type="dxa"/>
            <w:tcBorders>
              <w:top w:val="single" w:sz="8" w:space="0" w:color="auto"/>
              <w:left w:val="nil"/>
              <w:bottom w:val="nil"/>
              <w:right w:val="nil"/>
            </w:tcBorders>
            <w:shd w:val="clear" w:color="000000" w:fill="E7E6E6"/>
            <w:vAlign w:val="center"/>
            <w:hideMark/>
          </w:tcPr>
          <w:p w14:paraId="38820B6C"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Receipt Point location</w:t>
            </w:r>
          </w:p>
        </w:tc>
        <w:tc>
          <w:tcPr>
            <w:tcW w:w="1699" w:type="dxa"/>
            <w:tcBorders>
              <w:top w:val="single" w:sz="8" w:space="0" w:color="auto"/>
              <w:left w:val="nil"/>
              <w:bottom w:val="nil"/>
              <w:right w:val="nil"/>
            </w:tcBorders>
            <w:shd w:val="clear" w:color="000000" w:fill="E7E6E6"/>
            <w:vAlign w:val="center"/>
            <w:hideMark/>
          </w:tcPr>
          <w:p w14:paraId="6FFCF87C"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 xml:space="preserve">Delivery point location </w:t>
            </w:r>
          </w:p>
        </w:tc>
        <w:tc>
          <w:tcPr>
            <w:tcW w:w="1306" w:type="dxa"/>
            <w:tcBorders>
              <w:top w:val="single" w:sz="8" w:space="0" w:color="auto"/>
              <w:left w:val="nil"/>
              <w:bottom w:val="nil"/>
              <w:right w:val="nil"/>
            </w:tcBorders>
            <w:shd w:val="clear" w:color="000000" w:fill="E7E6E6"/>
            <w:vAlign w:val="center"/>
            <w:hideMark/>
          </w:tcPr>
          <w:p w14:paraId="56D5AD79"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 xml:space="preserve">Nomination </w:t>
            </w:r>
            <w:r w:rsidRPr="00D17E10">
              <w:rPr>
                <w:rFonts w:ascii="Calibri" w:eastAsia="Times New Roman" w:hAnsi="Calibri" w:cs="Times New Roman"/>
                <w:b/>
                <w:bCs/>
                <w:color w:val="000000"/>
                <w:lang w:eastAsia="en-AU"/>
              </w:rPr>
              <w:br/>
              <w:t>(GJ)</w:t>
            </w:r>
            <w:r>
              <w:rPr>
                <w:rFonts w:ascii="Calibri" w:eastAsia="Times New Roman" w:hAnsi="Calibri" w:cs="Times New Roman"/>
                <w:b/>
                <w:bCs/>
                <w:color w:val="000000"/>
                <w:lang w:eastAsia="en-AU"/>
              </w:rPr>
              <w:t>*</w:t>
            </w:r>
          </w:p>
        </w:tc>
        <w:tc>
          <w:tcPr>
            <w:tcW w:w="1160" w:type="dxa"/>
            <w:tcBorders>
              <w:top w:val="single" w:sz="8" w:space="0" w:color="auto"/>
              <w:left w:val="nil"/>
              <w:bottom w:val="nil"/>
              <w:right w:val="nil"/>
            </w:tcBorders>
            <w:shd w:val="clear" w:color="000000" w:fill="E7E6E6"/>
            <w:vAlign w:val="center"/>
            <w:hideMark/>
          </w:tcPr>
          <w:p w14:paraId="5E6CE1AF"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Scheduled</w:t>
            </w:r>
            <w:r w:rsidRPr="00D17E10">
              <w:rPr>
                <w:rFonts w:ascii="Calibri" w:eastAsia="Times New Roman" w:hAnsi="Calibri" w:cs="Times New Roman"/>
                <w:b/>
                <w:bCs/>
                <w:color w:val="000000"/>
                <w:lang w:eastAsia="en-AU"/>
              </w:rPr>
              <w:br/>
              <w:t xml:space="preserve"> Qty (GJ)</w:t>
            </w:r>
          </w:p>
        </w:tc>
        <w:tc>
          <w:tcPr>
            <w:tcW w:w="1514" w:type="dxa"/>
            <w:tcBorders>
              <w:top w:val="single" w:sz="8" w:space="0" w:color="auto"/>
              <w:left w:val="nil"/>
              <w:bottom w:val="nil"/>
              <w:right w:val="nil"/>
            </w:tcBorders>
            <w:shd w:val="clear" w:color="000000" w:fill="E7E6E6"/>
            <w:vAlign w:val="center"/>
            <w:hideMark/>
          </w:tcPr>
          <w:p w14:paraId="121AD18A" w14:textId="77777777" w:rsidR="00A65FCA" w:rsidRPr="00D17E10" w:rsidRDefault="00A65FCA" w:rsidP="004E4088">
            <w:pPr>
              <w:spacing w:before="0"/>
              <w:rPr>
                <w:rFonts w:ascii="Calibri" w:eastAsia="Times New Roman" w:hAnsi="Calibri" w:cs="Times New Roman"/>
                <w:b/>
                <w:bCs/>
                <w:color w:val="000000"/>
                <w:lang w:eastAsia="en-AU"/>
              </w:rPr>
            </w:pPr>
            <w:r w:rsidRPr="00D17E10">
              <w:rPr>
                <w:rFonts w:ascii="Calibri" w:eastAsia="Times New Roman" w:hAnsi="Calibri" w:cs="Times New Roman"/>
                <w:b/>
                <w:bCs/>
                <w:color w:val="000000"/>
                <w:lang w:eastAsia="en-AU"/>
              </w:rPr>
              <w:t xml:space="preserve">Renomination Count </w:t>
            </w:r>
          </w:p>
        </w:tc>
      </w:tr>
      <w:tr w:rsidR="00A65FCA" w:rsidRPr="00D17E10" w14:paraId="74F15995" w14:textId="77777777" w:rsidTr="008C2381">
        <w:trPr>
          <w:trHeight w:val="746"/>
        </w:trPr>
        <w:tc>
          <w:tcPr>
            <w:tcW w:w="636" w:type="dxa"/>
            <w:shd w:val="clear" w:color="auto" w:fill="auto"/>
          </w:tcPr>
          <w:p w14:paraId="5FF6A675" w14:textId="77777777" w:rsidR="00A65FCA" w:rsidRPr="00D17E10" w:rsidRDefault="00A65FCA" w:rsidP="004E4088">
            <w:pPr>
              <w:spacing w:before="0" w:line="360" w:lineRule="auto"/>
              <w:rPr>
                <w:rFonts w:ascii="Calibri" w:eastAsia="Times New Roman" w:hAnsi="Calibri" w:cs="Times New Roman"/>
                <w:color w:val="000000"/>
                <w:lang w:eastAsia="en-AU"/>
              </w:rPr>
            </w:pPr>
          </w:p>
        </w:tc>
        <w:tc>
          <w:tcPr>
            <w:tcW w:w="1122" w:type="dxa"/>
            <w:tcBorders>
              <w:top w:val="single" w:sz="4" w:space="0" w:color="auto"/>
              <w:left w:val="nil"/>
              <w:bottom w:val="single" w:sz="4" w:space="0" w:color="auto"/>
              <w:right w:val="single" w:sz="4" w:space="0" w:color="auto"/>
            </w:tcBorders>
            <w:shd w:val="clear" w:color="000000" w:fill="F2F2F2"/>
            <w:noWrap/>
            <w:vAlign w:val="center"/>
            <w:hideMark/>
          </w:tcPr>
          <w:p w14:paraId="145CD0B7"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1</w:t>
            </w:r>
          </w:p>
        </w:tc>
        <w:tc>
          <w:tcPr>
            <w:tcW w:w="1852" w:type="dxa"/>
            <w:tcBorders>
              <w:top w:val="single" w:sz="4" w:space="0" w:color="auto"/>
              <w:left w:val="nil"/>
              <w:bottom w:val="single" w:sz="4" w:space="0" w:color="auto"/>
              <w:right w:val="single" w:sz="4" w:space="0" w:color="auto"/>
            </w:tcBorders>
            <w:shd w:val="clear" w:color="000000" w:fill="F2F2F2"/>
            <w:noWrap/>
            <w:vAlign w:val="center"/>
            <w:hideMark/>
          </w:tcPr>
          <w:p w14:paraId="47BFB9C6"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ABC Pipeline</w:t>
            </w:r>
          </w:p>
        </w:tc>
        <w:tc>
          <w:tcPr>
            <w:tcW w:w="1349" w:type="dxa"/>
            <w:tcBorders>
              <w:top w:val="single" w:sz="4" w:space="0" w:color="auto"/>
              <w:left w:val="nil"/>
              <w:bottom w:val="single" w:sz="4" w:space="0" w:color="auto"/>
              <w:right w:val="single" w:sz="4" w:space="0" w:color="auto"/>
            </w:tcBorders>
            <w:shd w:val="clear" w:color="000000" w:fill="F2F2F2"/>
            <w:noWrap/>
            <w:vAlign w:val="center"/>
            <w:hideMark/>
          </w:tcPr>
          <w:p w14:paraId="2146AABC"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DD/MM/YYYY</w:t>
            </w:r>
          </w:p>
        </w:tc>
        <w:tc>
          <w:tcPr>
            <w:tcW w:w="1462" w:type="dxa"/>
            <w:tcBorders>
              <w:top w:val="single" w:sz="4" w:space="0" w:color="auto"/>
              <w:left w:val="nil"/>
              <w:bottom w:val="single" w:sz="4" w:space="0" w:color="auto"/>
              <w:right w:val="single" w:sz="4" w:space="0" w:color="auto"/>
            </w:tcBorders>
            <w:shd w:val="clear" w:color="000000" w:fill="F2F2F2"/>
            <w:vAlign w:val="center"/>
            <w:hideMark/>
          </w:tcPr>
          <w:p w14:paraId="2F10C4EA"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DD/MM/YYYY </w:t>
            </w:r>
            <w:r w:rsidRPr="00D17E10">
              <w:rPr>
                <w:rFonts w:ascii="Calibri" w:eastAsia="Times New Roman" w:hAnsi="Calibri" w:cs="Times New Roman"/>
                <w:color w:val="000000"/>
                <w:lang w:eastAsia="en-AU"/>
              </w:rPr>
              <w:br/>
              <w:t>HH:MM</w:t>
            </w:r>
            <w:r>
              <w:rPr>
                <w:rFonts w:ascii="Calibri" w:eastAsia="Times New Roman" w:hAnsi="Calibri" w:cs="Times New Roman"/>
                <w:color w:val="000000"/>
                <w:lang w:eastAsia="en-AU"/>
              </w:rPr>
              <w:t xml:space="preserve"> </w:t>
            </w:r>
          </w:p>
        </w:tc>
        <w:tc>
          <w:tcPr>
            <w:tcW w:w="1584" w:type="dxa"/>
            <w:tcBorders>
              <w:top w:val="single" w:sz="4" w:space="0" w:color="auto"/>
              <w:left w:val="nil"/>
              <w:bottom w:val="single" w:sz="4" w:space="0" w:color="auto"/>
              <w:right w:val="single" w:sz="4" w:space="0" w:color="auto"/>
            </w:tcBorders>
            <w:shd w:val="clear" w:color="000000" w:fill="BDD7EE"/>
            <w:vAlign w:val="center"/>
            <w:hideMark/>
          </w:tcPr>
          <w:p w14:paraId="315F1DF3"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Firm - FH</w:t>
            </w:r>
          </w:p>
        </w:tc>
        <w:tc>
          <w:tcPr>
            <w:tcW w:w="1785" w:type="dxa"/>
            <w:tcBorders>
              <w:top w:val="single" w:sz="4" w:space="0" w:color="auto"/>
              <w:left w:val="nil"/>
              <w:bottom w:val="single" w:sz="4" w:space="0" w:color="auto"/>
              <w:right w:val="single" w:sz="4" w:space="0" w:color="auto"/>
            </w:tcBorders>
            <w:shd w:val="clear" w:color="000000" w:fill="F2F2F2"/>
            <w:noWrap/>
            <w:vAlign w:val="center"/>
            <w:hideMark/>
          </w:tcPr>
          <w:p w14:paraId="290CBE0F" w14:textId="17D7769D"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single" w:sz="4" w:space="0" w:color="auto"/>
              <w:left w:val="nil"/>
              <w:bottom w:val="single" w:sz="4" w:space="0" w:color="auto"/>
              <w:right w:val="single" w:sz="4" w:space="0" w:color="auto"/>
            </w:tcBorders>
            <w:shd w:val="clear" w:color="000000" w:fill="F2F2F2"/>
            <w:noWrap/>
            <w:vAlign w:val="center"/>
            <w:hideMark/>
          </w:tcPr>
          <w:p w14:paraId="68E40390"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Delivery Point </w:t>
            </w:r>
          </w:p>
        </w:tc>
        <w:tc>
          <w:tcPr>
            <w:tcW w:w="1306" w:type="dxa"/>
            <w:tcBorders>
              <w:top w:val="single" w:sz="4" w:space="0" w:color="auto"/>
              <w:left w:val="nil"/>
              <w:bottom w:val="single" w:sz="4" w:space="0" w:color="auto"/>
              <w:right w:val="single" w:sz="4" w:space="0" w:color="auto"/>
            </w:tcBorders>
            <w:shd w:val="clear" w:color="000000" w:fill="F2F2F2"/>
            <w:noWrap/>
            <w:vAlign w:val="center"/>
            <w:hideMark/>
          </w:tcPr>
          <w:p w14:paraId="0E699B69"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160" w:type="dxa"/>
            <w:tcBorders>
              <w:top w:val="single" w:sz="4" w:space="0" w:color="auto"/>
              <w:left w:val="nil"/>
              <w:bottom w:val="single" w:sz="4" w:space="0" w:color="auto"/>
              <w:right w:val="single" w:sz="4" w:space="0" w:color="auto"/>
            </w:tcBorders>
            <w:shd w:val="clear" w:color="000000" w:fill="F2F2F2"/>
            <w:noWrap/>
            <w:vAlign w:val="center"/>
            <w:hideMark/>
          </w:tcPr>
          <w:p w14:paraId="047BB46F"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514" w:type="dxa"/>
            <w:tcBorders>
              <w:top w:val="single" w:sz="4" w:space="0" w:color="auto"/>
              <w:left w:val="nil"/>
              <w:bottom w:val="single" w:sz="4" w:space="0" w:color="auto"/>
              <w:right w:val="single" w:sz="4" w:space="0" w:color="auto"/>
            </w:tcBorders>
            <w:shd w:val="clear" w:color="000000" w:fill="F2F2F2"/>
            <w:noWrap/>
            <w:vAlign w:val="center"/>
            <w:hideMark/>
          </w:tcPr>
          <w:p w14:paraId="18C5BD06"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0</w:t>
            </w:r>
          </w:p>
        </w:tc>
      </w:tr>
      <w:tr w:rsidR="00A65FCA" w:rsidRPr="00D17E10" w14:paraId="22AB2032" w14:textId="77777777" w:rsidTr="008C2381">
        <w:trPr>
          <w:trHeight w:val="563"/>
        </w:trPr>
        <w:tc>
          <w:tcPr>
            <w:tcW w:w="636" w:type="dxa"/>
            <w:tcBorders>
              <w:top w:val="nil"/>
            </w:tcBorders>
            <w:shd w:val="clear" w:color="auto" w:fill="auto"/>
          </w:tcPr>
          <w:p w14:paraId="6A069121" w14:textId="77777777" w:rsidR="00A65FCA" w:rsidRPr="00D17E10" w:rsidRDefault="00A65FCA" w:rsidP="004E4088">
            <w:pPr>
              <w:spacing w:before="0" w:line="360" w:lineRule="auto"/>
              <w:rPr>
                <w:rFonts w:ascii="Calibri" w:eastAsia="Times New Roman" w:hAnsi="Calibri" w:cs="Times New Roman"/>
                <w:color w:val="000000"/>
                <w:lang w:eastAsia="en-AU"/>
              </w:rPr>
            </w:pPr>
          </w:p>
        </w:tc>
        <w:tc>
          <w:tcPr>
            <w:tcW w:w="1122" w:type="dxa"/>
            <w:tcBorders>
              <w:top w:val="nil"/>
              <w:left w:val="nil"/>
              <w:bottom w:val="single" w:sz="4" w:space="0" w:color="auto"/>
              <w:right w:val="single" w:sz="4" w:space="0" w:color="auto"/>
            </w:tcBorders>
            <w:shd w:val="clear" w:color="000000" w:fill="F2F2F2"/>
            <w:noWrap/>
            <w:vAlign w:val="center"/>
            <w:hideMark/>
          </w:tcPr>
          <w:p w14:paraId="18FA7D53"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1</w:t>
            </w:r>
          </w:p>
        </w:tc>
        <w:tc>
          <w:tcPr>
            <w:tcW w:w="1852" w:type="dxa"/>
            <w:tcBorders>
              <w:top w:val="nil"/>
              <w:left w:val="nil"/>
              <w:bottom w:val="single" w:sz="4" w:space="0" w:color="auto"/>
              <w:right w:val="single" w:sz="4" w:space="0" w:color="auto"/>
            </w:tcBorders>
            <w:shd w:val="clear" w:color="000000" w:fill="F2F2F2"/>
            <w:noWrap/>
            <w:vAlign w:val="center"/>
            <w:hideMark/>
          </w:tcPr>
          <w:p w14:paraId="5CA6A6ED"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ABC Pipeline</w:t>
            </w:r>
          </w:p>
        </w:tc>
        <w:tc>
          <w:tcPr>
            <w:tcW w:w="1349" w:type="dxa"/>
            <w:tcBorders>
              <w:top w:val="nil"/>
              <w:left w:val="nil"/>
              <w:bottom w:val="single" w:sz="4" w:space="0" w:color="auto"/>
              <w:right w:val="single" w:sz="4" w:space="0" w:color="auto"/>
            </w:tcBorders>
            <w:shd w:val="clear" w:color="000000" w:fill="F2F2F2"/>
            <w:noWrap/>
            <w:vAlign w:val="center"/>
            <w:hideMark/>
          </w:tcPr>
          <w:p w14:paraId="005EC0C5"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DD/MM/YYYY</w:t>
            </w:r>
          </w:p>
        </w:tc>
        <w:tc>
          <w:tcPr>
            <w:tcW w:w="1462" w:type="dxa"/>
            <w:tcBorders>
              <w:top w:val="nil"/>
              <w:left w:val="nil"/>
              <w:bottom w:val="single" w:sz="4" w:space="0" w:color="auto"/>
              <w:right w:val="single" w:sz="4" w:space="0" w:color="auto"/>
            </w:tcBorders>
            <w:shd w:val="clear" w:color="000000" w:fill="F2F2F2"/>
            <w:vAlign w:val="center"/>
            <w:hideMark/>
          </w:tcPr>
          <w:p w14:paraId="4E1603E8"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DD/MM/YYYY </w:t>
            </w:r>
            <w:r w:rsidRPr="00D17E10">
              <w:rPr>
                <w:rFonts w:ascii="Calibri" w:eastAsia="Times New Roman" w:hAnsi="Calibri" w:cs="Times New Roman"/>
                <w:color w:val="000000"/>
                <w:lang w:eastAsia="en-AU"/>
              </w:rPr>
              <w:br/>
              <w:t>HH:MM</w:t>
            </w:r>
          </w:p>
        </w:tc>
        <w:tc>
          <w:tcPr>
            <w:tcW w:w="1584" w:type="dxa"/>
            <w:tcBorders>
              <w:top w:val="nil"/>
              <w:left w:val="nil"/>
              <w:bottom w:val="single" w:sz="4" w:space="0" w:color="auto"/>
              <w:right w:val="single" w:sz="4" w:space="0" w:color="auto"/>
            </w:tcBorders>
            <w:shd w:val="clear" w:color="000000" w:fill="BDD7EE"/>
            <w:noWrap/>
            <w:vAlign w:val="center"/>
            <w:hideMark/>
          </w:tcPr>
          <w:p w14:paraId="3DA0B9EB"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Backhaul</w:t>
            </w:r>
          </w:p>
        </w:tc>
        <w:tc>
          <w:tcPr>
            <w:tcW w:w="1785" w:type="dxa"/>
            <w:tcBorders>
              <w:top w:val="nil"/>
              <w:left w:val="nil"/>
              <w:bottom w:val="single" w:sz="4" w:space="0" w:color="auto"/>
              <w:right w:val="single" w:sz="4" w:space="0" w:color="auto"/>
            </w:tcBorders>
            <w:shd w:val="clear" w:color="000000" w:fill="F2F2F2"/>
            <w:noWrap/>
            <w:vAlign w:val="center"/>
            <w:hideMark/>
          </w:tcPr>
          <w:p w14:paraId="5A093E0B" w14:textId="3FEE1AE9"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000000" w:fill="F2F2F2"/>
            <w:noWrap/>
            <w:vAlign w:val="center"/>
            <w:hideMark/>
          </w:tcPr>
          <w:p w14:paraId="2F9E0563"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Delivery Point </w:t>
            </w:r>
          </w:p>
        </w:tc>
        <w:tc>
          <w:tcPr>
            <w:tcW w:w="1306" w:type="dxa"/>
            <w:tcBorders>
              <w:top w:val="nil"/>
              <w:left w:val="nil"/>
              <w:bottom w:val="single" w:sz="4" w:space="0" w:color="auto"/>
              <w:right w:val="single" w:sz="4" w:space="0" w:color="auto"/>
            </w:tcBorders>
            <w:shd w:val="clear" w:color="000000" w:fill="F2F2F2"/>
            <w:noWrap/>
            <w:vAlign w:val="center"/>
            <w:hideMark/>
          </w:tcPr>
          <w:p w14:paraId="5C417530"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160" w:type="dxa"/>
            <w:tcBorders>
              <w:top w:val="nil"/>
              <w:left w:val="nil"/>
              <w:bottom w:val="single" w:sz="4" w:space="0" w:color="auto"/>
              <w:right w:val="single" w:sz="4" w:space="0" w:color="auto"/>
            </w:tcBorders>
            <w:shd w:val="clear" w:color="000000" w:fill="F2F2F2"/>
            <w:noWrap/>
            <w:vAlign w:val="center"/>
            <w:hideMark/>
          </w:tcPr>
          <w:p w14:paraId="5639A48D"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514" w:type="dxa"/>
            <w:tcBorders>
              <w:top w:val="nil"/>
              <w:left w:val="nil"/>
              <w:bottom w:val="single" w:sz="4" w:space="0" w:color="auto"/>
              <w:right w:val="single" w:sz="4" w:space="0" w:color="auto"/>
            </w:tcBorders>
            <w:shd w:val="clear" w:color="000000" w:fill="F2F2F2"/>
            <w:noWrap/>
            <w:vAlign w:val="center"/>
            <w:hideMark/>
          </w:tcPr>
          <w:p w14:paraId="7C6AA78F"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0</w:t>
            </w:r>
          </w:p>
        </w:tc>
      </w:tr>
      <w:tr w:rsidR="00A65FCA" w:rsidRPr="00D17E10" w14:paraId="3058F24A" w14:textId="77777777" w:rsidTr="008C2381">
        <w:trPr>
          <w:trHeight w:val="563"/>
        </w:trPr>
        <w:tc>
          <w:tcPr>
            <w:tcW w:w="636" w:type="dxa"/>
            <w:tcBorders>
              <w:top w:val="nil"/>
            </w:tcBorders>
            <w:shd w:val="clear" w:color="auto" w:fill="auto"/>
          </w:tcPr>
          <w:p w14:paraId="19FEF2C3" w14:textId="77777777" w:rsidR="00A65FCA" w:rsidRPr="00D17E10" w:rsidRDefault="00A65FCA" w:rsidP="004E4088">
            <w:pPr>
              <w:spacing w:before="0" w:line="360" w:lineRule="auto"/>
              <w:rPr>
                <w:rFonts w:ascii="Calibri" w:eastAsia="Times New Roman" w:hAnsi="Calibri" w:cs="Times New Roman"/>
                <w:color w:val="000000"/>
                <w:lang w:eastAsia="en-AU"/>
              </w:rPr>
            </w:pPr>
          </w:p>
        </w:tc>
        <w:tc>
          <w:tcPr>
            <w:tcW w:w="1122" w:type="dxa"/>
            <w:tcBorders>
              <w:top w:val="nil"/>
              <w:left w:val="nil"/>
              <w:bottom w:val="single" w:sz="4" w:space="0" w:color="auto"/>
              <w:right w:val="single" w:sz="4" w:space="0" w:color="auto"/>
            </w:tcBorders>
            <w:shd w:val="clear" w:color="000000" w:fill="F2F2F2"/>
            <w:noWrap/>
            <w:vAlign w:val="center"/>
            <w:hideMark/>
          </w:tcPr>
          <w:p w14:paraId="64B3D916"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1</w:t>
            </w:r>
          </w:p>
        </w:tc>
        <w:tc>
          <w:tcPr>
            <w:tcW w:w="1852" w:type="dxa"/>
            <w:tcBorders>
              <w:top w:val="nil"/>
              <w:left w:val="nil"/>
              <w:bottom w:val="single" w:sz="4" w:space="0" w:color="auto"/>
              <w:right w:val="single" w:sz="4" w:space="0" w:color="auto"/>
            </w:tcBorders>
            <w:shd w:val="clear" w:color="000000" w:fill="F2F2F2"/>
            <w:vAlign w:val="center"/>
            <w:hideMark/>
          </w:tcPr>
          <w:p w14:paraId="629C0E50"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ABC Compression </w:t>
            </w:r>
          </w:p>
        </w:tc>
        <w:tc>
          <w:tcPr>
            <w:tcW w:w="1349" w:type="dxa"/>
            <w:tcBorders>
              <w:top w:val="nil"/>
              <w:left w:val="nil"/>
              <w:bottom w:val="single" w:sz="4" w:space="0" w:color="auto"/>
              <w:right w:val="single" w:sz="4" w:space="0" w:color="auto"/>
            </w:tcBorders>
            <w:shd w:val="clear" w:color="000000" w:fill="F2F2F2"/>
            <w:noWrap/>
            <w:vAlign w:val="center"/>
            <w:hideMark/>
          </w:tcPr>
          <w:p w14:paraId="17DDED6E"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DD/MM/YYYY</w:t>
            </w:r>
          </w:p>
        </w:tc>
        <w:tc>
          <w:tcPr>
            <w:tcW w:w="1462" w:type="dxa"/>
            <w:tcBorders>
              <w:top w:val="nil"/>
              <w:left w:val="nil"/>
              <w:bottom w:val="single" w:sz="4" w:space="0" w:color="auto"/>
              <w:right w:val="single" w:sz="4" w:space="0" w:color="auto"/>
            </w:tcBorders>
            <w:shd w:val="clear" w:color="000000" w:fill="F2F2F2"/>
            <w:vAlign w:val="center"/>
            <w:hideMark/>
          </w:tcPr>
          <w:p w14:paraId="37EA4AAF"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DD/MM/YYYY </w:t>
            </w:r>
            <w:r w:rsidRPr="00D17E10">
              <w:rPr>
                <w:rFonts w:ascii="Calibri" w:eastAsia="Times New Roman" w:hAnsi="Calibri" w:cs="Times New Roman"/>
                <w:color w:val="000000"/>
                <w:lang w:eastAsia="en-AU"/>
              </w:rPr>
              <w:br/>
              <w:t>HH:MM</w:t>
            </w:r>
          </w:p>
        </w:tc>
        <w:tc>
          <w:tcPr>
            <w:tcW w:w="1584" w:type="dxa"/>
            <w:tcBorders>
              <w:top w:val="nil"/>
              <w:left w:val="nil"/>
              <w:bottom w:val="single" w:sz="4" w:space="0" w:color="auto"/>
              <w:right w:val="single" w:sz="4" w:space="0" w:color="auto"/>
            </w:tcBorders>
            <w:shd w:val="clear" w:color="000000" w:fill="BDD7EE"/>
            <w:noWrap/>
            <w:vAlign w:val="center"/>
            <w:hideMark/>
          </w:tcPr>
          <w:p w14:paraId="323FFE7B"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Compression </w:t>
            </w:r>
          </w:p>
        </w:tc>
        <w:tc>
          <w:tcPr>
            <w:tcW w:w="1785" w:type="dxa"/>
            <w:tcBorders>
              <w:top w:val="nil"/>
              <w:left w:val="nil"/>
              <w:bottom w:val="single" w:sz="4" w:space="0" w:color="auto"/>
              <w:right w:val="single" w:sz="4" w:space="0" w:color="auto"/>
            </w:tcBorders>
            <w:shd w:val="clear" w:color="000000" w:fill="F2F2F2"/>
            <w:noWrap/>
            <w:vAlign w:val="center"/>
            <w:hideMark/>
          </w:tcPr>
          <w:p w14:paraId="5C128588" w14:textId="2C8B2720"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000000" w:fill="F2F2F2"/>
            <w:noWrap/>
            <w:vAlign w:val="center"/>
            <w:hideMark/>
          </w:tcPr>
          <w:p w14:paraId="4D998BDF"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Delivery Point </w:t>
            </w:r>
          </w:p>
        </w:tc>
        <w:tc>
          <w:tcPr>
            <w:tcW w:w="1306" w:type="dxa"/>
            <w:tcBorders>
              <w:top w:val="nil"/>
              <w:left w:val="nil"/>
              <w:bottom w:val="single" w:sz="4" w:space="0" w:color="auto"/>
              <w:right w:val="single" w:sz="4" w:space="0" w:color="auto"/>
            </w:tcBorders>
            <w:shd w:val="clear" w:color="000000" w:fill="F2F2F2"/>
            <w:noWrap/>
            <w:vAlign w:val="center"/>
            <w:hideMark/>
          </w:tcPr>
          <w:p w14:paraId="1697BF35"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160" w:type="dxa"/>
            <w:tcBorders>
              <w:top w:val="nil"/>
              <w:left w:val="nil"/>
              <w:bottom w:val="single" w:sz="4" w:space="0" w:color="auto"/>
              <w:right w:val="single" w:sz="4" w:space="0" w:color="auto"/>
            </w:tcBorders>
            <w:shd w:val="clear" w:color="000000" w:fill="F2F2F2"/>
            <w:noWrap/>
            <w:vAlign w:val="center"/>
            <w:hideMark/>
          </w:tcPr>
          <w:p w14:paraId="568F1BE2"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514" w:type="dxa"/>
            <w:tcBorders>
              <w:top w:val="nil"/>
              <w:left w:val="nil"/>
              <w:bottom w:val="single" w:sz="4" w:space="0" w:color="auto"/>
              <w:right w:val="single" w:sz="4" w:space="0" w:color="auto"/>
            </w:tcBorders>
            <w:shd w:val="clear" w:color="000000" w:fill="F2F2F2"/>
            <w:noWrap/>
            <w:vAlign w:val="center"/>
            <w:hideMark/>
          </w:tcPr>
          <w:p w14:paraId="4B2D9FD1"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0</w:t>
            </w:r>
          </w:p>
        </w:tc>
      </w:tr>
      <w:tr w:rsidR="00A65FCA" w:rsidRPr="00D17E10" w14:paraId="0FF60AB0" w14:textId="77777777" w:rsidTr="008C2381">
        <w:trPr>
          <w:trHeight w:val="563"/>
        </w:trPr>
        <w:tc>
          <w:tcPr>
            <w:tcW w:w="636" w:type="dxa"/>
            <w:tcBorders>
              <w:top w:val="nil"/>
            </w:tcBorders>
            <w:shd w:val="clear" w:color="auto" w:fill="auto"/>
          </w:tcPr>
          <w:p w14:paraId="5F53C0CC" w14:textId="77777777" w:rsidR="00A65FCA" w:rsidRPr="00D17E10" w:rsidRDefault="00A65FCA" w:rsidP="004E4088">
            <w:pPr>
              <w:spacing w:before="0" w:line="360" w:lineRule="auto"/>
              <w:ind w:left="-118" w:firstLine="118"/>
              <w:rPr>
                <w:rFonts w:ascii="Calibri" w:eastAsia="Times New Roman" w:hAnsi="Calibri" w:cs="Times New Roman"/>
                <w:color w:val="000000"/>
                <w:lang w:eastAsia="en-AU"/>
              </w:rPr>
            </w:pPr>
          </w:p>
        </w:tc>
        <w:tc>
          <w:tcPr>
            <w:tcW w:w="1122" w:type="dxa"/>
            <w:tcBorders>
              <w:top w:val="nil"/>
              <w:left w:val="nil"/>
              <w:bottom w:val="single" w:sz="4" w:space="0" w:color="auto"/>
              <w:right w:val="single" w:sz="4" w:space="0" w:color="auto"/>
            </w:tcBorders>
            <w:shd w:val="clear" w:color="000000" w:fill="F2F2F2"/>
            <w:noWrap/>
            <w:vAlign w:val="center"/>
            <w:hideMark/>
          </w:tcPr>
          <w:p w14:paraId="2B1829A1"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1</w:t>
            </w:r>
          </w:p>
        </w:tc>
        <w:tc>
          <w:tcPr>
            <w:tcW w:w="1852" w:type="dxa"/>
            <w:tcBorders>
              <w:top w:val="nil"/>
              <w:left w:val="nil"/>
              <w:bottom w:val="single" w:sz="4" w:space="0" w:color="auto"/>
              <w:right w:val="single" w:sz="4" w:space="0" w:color="auto"/>
            </w:tcBorders>
            <w:shd w:val="clear" w:color="000000" w:fill="F2F2F2"/>
            <w:noWrap/>
            <w:vAlign w:val="center"/>
            <w:hideMark/>
          </w:tcPr>
          <w:p w14:paraId="5901BEF5"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ABC Pipeline</w:t>
            </w:r>
          </w:p>
        </w:tc>
        <w:tc>
          <w:tcPr>
            <w:tcW w:w="1349" w:type="dxa"/>
            <w:tcBorders>
              <w:top w:val="nil"/>
              <w:left w:val="nil"/>
              <w:bottom w:val="single" w:sz="4" w:space="0" w:color="auto"/>
              <w:right w:val="single" w:sz="4" w:space="0" w:color="auto"/>
            </w:tcBorders>
            <w:shd w:val="clear" w:color="000000" w:fill="F2F2F2"/>
            <w:noWrap/>
            <w:vAlign w:val="center"/>
            <w:hideMark/>
          </w:tcPr>
          <w:p w14:paraId="3307A30F"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DD/MM/YYYY</w:t>
            </w:r>
          </w:p>
        </w:tc>
        <w:tc>
          <w:tcPr>
            <w:tcW w:w="1462" w:type="dxa"/>
            <w:tcBorders>
              <w:top w:val="nil"/>
              <w:left w:val="nil"/>
              <w:bottom w:val="single" w:sz="4" w:space="0" w:color="auto"/>
              <w:right w:val="single" w:sz="4" w:space="0" w:color="auto"/>
            </w:tcBorders>
            <w:shd w:val="clear" w:color="000000" w:fill="F2F2F2"/>
            <w:vAlign w:val="center"/>
            <w:hideMark/>
          </w:tcPr>
          <w:p w14:paraId="4707390F"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DD/MM/YYYY </w:t>
            </w:r>
            <w:r w:rsidRPr="00D17E10">
              <w:rPr>
                <w:rFonts w:ascii="Calibri" w:eastAsia="Times New Roman" w:hAnsi="Calibri" w:cs="Times New Roman"/>
                <w:color w:val="000000"/>
                <w:lang w:eastAsia="en-AU"/>
              </w:rPr>
              <w:br/>
              <w:t>HH:MM</w:t>
            </w:r>
          </w:p>
        </w:tc>
        <w:tc>
          <w:tcPr>
            <w:tcW w:w="1584" w:type="dxa"/>
            <w:tcBorders>
              <w:top w:val="nil"/>
              <w:left w:val="nil"/>
              <w:bottom w:val="single" w:sz="4" w:space="0" w:color="auto"/>
              <w:right w:val="single" w:sz="4" w:space="0" w:color="auto"/>
            </w:tcBorders>
            <w:shd w:val="clear" w:color="000000" w:fill="BDD7EE"/>
            <w:noWrap/>
            <w:vAlign w:val="center"/>
            <w:hideMark/>
          </w:tcPr>
          <w:p w14:paraId="7B24E0A4"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TFSR</w:t>
            </w:r>
          </w:p>
        </w:tc>
        <w:tc>
          <w:tcPr>
            <w:tcW w:w="1785" w:type="dxa"/>
            <w:tcBorders>
              <w:top w:val="nil"/>
              <w:left w:val="nil"/>
              <w:bottom w:val="single" w:sz="4" w:space="0" w:color="auto"/>
              <w:right w:val="single" w:sz="4" w:space="0" w:color="auto"/>
            </w:tcBorders>
            <w:shd w:val="clear" w:color="000000" w:fill="F2F2F2"/>
            <w:noWrap/>
            <w:vAlign w:val="center"/>
            <w:hideMark/>
          </w:tcPr>
          <w:p w14:paraId="50CAFEDE" w14:textId="7168BF3A"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000000" w:fill="F2F2F2"/>
            <w:noWrap/>
            <w:vAlign w:val="center"/>
            <w:hideMark/>
          </w:tcPr>
          <w:p w14:paraId="16A07E44"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Power Station </w:t>
            </w:r>
          </w:p>
        </w:tc>
        <w:tc>
          <w:tcPr>
            <w:tcW w:w="1306" w:type="dxa"/>
            <w:tcBorders>
              <w:top w:val="nil"/>
              <w:left w:val="nil"/>
              <w:bottom w:val="single" w:sz="4" w:space="0" w:color="auto"/>
              <w:right w:val="single" w:sz="4" w:space="0" w:color="auto"/>
            </w:tcBorders>
            <w:shd w:val="clear" w:color="000000" w:fill="F2F2F2"/>
            <w:noWrap/>
            <w:vAlign w:val="center"/>
            <w:hideMark/>
          </w:tcPr>
          <w:p w14:paraId="2618B499"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160" w:type="dxa"/>
            <w:tcBorders>
              <w:top w:val="nil"/>
              <w:left w:val="nil"/>
              <w:bottom w:val="single" w:sz="4" w:space="0" w:color="auto"/>
              <w:right w:val="single" w:sz="4" w:space="0" w:color="auto"/>
            </w:tcBorders>
            <w:shd w:val="clear" w:color="000000" w:fill="F2F2F2"/>
            <w:noWrap/>
            <w:vAlign w:val="center"/>
            <w:hideMark/>
          </w:tcPr>
          <w:p w14:paraId="1CD50669"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514" w:type="dxa"/>
            <w:tcBorders>
              <w:top w:val="nil"/>
              <w:left w:val="nil"/>
              <w:bottom w:val="single" w:sz="4" w:space="0" w:color="auto"/>
              <w:right w:val="single" w:sz="4" w:space="0" w:color="auto"/>
            </w:tcBorders>
            <w:shd w:val="clear" w:color="000000" w:fill="F2F2F2"/>
            <w:noWrap/>
            <w:vAlign w:val="center"/>
            <w:hideMark/>
          </w:tcPr>
          <w:p w14:paraId="33639FCB"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0</w:t>
            </w:r>
          </w:p>
        </w:tc>
      </w:tr>
      <w:tr w:rsidR="00A65FCA" w:rsidRPr="00D17E10" w14:paraId="3E973086" w14:textId="77777777" w:rsidTr="008C2381">
        <w:trPr>
          <w:trHeight w:val="563"/>
        </w:trPr>
        <w:tc>
          <w:tcPr>
            <w:tcW w:w="636" w:type="dxa"/>
            <w:tcBorders>
              <w:top w:val="nil"/>
            </w:tcBorders>
            <w:shd w:val="clear" w:color="auto" w:fill="auto"/>
          </w:tcPr>
          <w:p w14:paraId="6D04B08A" w14:textId="77777777" w:rsidR="00A65FCA" w:rsidRPr="00D17E10" w:rsidRDefault="00A65FCA" w:rsidP="004E4088">
            <w:pPr>
              <w:spacing w:before="0" w:line="360" w:lineRule="auto"/>
              <w:rPr>
                <w:rFonts w:ascii="Calibri" w:eastAsia="Times New Roman" w:hAnsi="Calibri" w:cs="Times New Roman"/>
                <w:color w:val="000000"/>
                <w:lang w:eastAsia="en-AU"/>
              </w:rPr>
            </w:pPr>
          </w:p>
        </w:tc>
        <w:tc>
          <w:tcPr>
            <w:tcW w:w="1122" w:type="dxa"/>
            <w:tcBorders>
              <w:top w:val="nil"/>
              <w:left w:val="nil"/>
              <w:bottom w:val="single" w:sz="4" w:space="0" w:color="auto"/>
              <w:right w:val="single" w:sz="4" w:space="0" w:color="auto"/>
            </w:tcBorders>
            <w:shd w:val="clear" w:color="000000" w:fill="F2F2F2"/>
            <w:noWrap/>
            <w:vAlign w:val="center"/>
          </w:tcPr>
          <w:p w14:paraId="67F59D95"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1</w:t>
            </w:r>
          </w:p>
        </w:tc>
        <w:tc>
          <w:tcPr>
            <w:tcW w:w="1852" w:type="dxa"/>
            <w:tcBorders>
              <w:top w:val="nil"/>
              <w:left w:val="nil"/>
              <w:bottom w:val="single" w:sz="4" w:space="0" w:color="auto"/>
              <w:right w:val="single" w:sz="4" w:space="0" w:color="auto"/>
            </w:tcBorders>
            <w:shd w:val="clear" w:color="000000" w:fill="F2F2F2"/>
            <w:noWrap/>
            <w:vAlign w:val="center"/>
          </w:tcPr>
          <w:p w14:paraId="54AB5C48"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ABC Pipeline</w:t>
            </w:r>
          </w:p>
        </w:tc>
        <w:tc>
          <w:tcPr>
            <w:tcW w:w="1349" w:type="dxa"/>
            <w:tcBorders>
              <w:top w:val="nil"/>
              <w:left w:val="nil"/>
              <w:bottom w:val="single" w:sz="4" w:space="0" w:color="auto"/>
              <w:right w:val="single" w:sz="4" w:space="0" w:color="auto"/>
            </w:tcBorders>
            <w:shd w:val="clear" w:color="000000" w:fill="F2F2F2"/>
            <w:noWrap/>
            <w:vAlign w:val="center"/>
          </w:tcPr>
          <w:p w14:paraId="4D00195C"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DD/MM/YYYY</w:t>
            </w:r>
          </w:p>
        </w:tc>
        <w:tc>
          <w:tcPr>
            <w:tcW w:w="1462" w:type="dxa"/>
            <w:tcBorders>
              <w:top w:val="nil"/>
              <w:left w:val="nil"/>
              <w:bottom w:val="single" w:sz="4" w:space="0" w:color="auto"/>
              <w:right w:val="single" w:sz="4" w:space="0" w:color="auto"/>
            </w:tcBorders>
            <w:shd w:val="clear" w:color="000000" w:fill="F2F2F2"/>
            <w:vAlign w:val="center"/>
          </w:tcPr>
          <w:p w14:paraId="17D9CB25"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DD/MM/YYYY </w:t>
            </w:r>
            <w:r w:rsidRPr="00D17E10">
              <w:rPr>
                <w:rFonts w:ascii="Calibri" w:eastAsia="Times New Roman" w:hAnsi="Calibri" w:cs="Times New Roman"/>
                <w:color w:val="000000"/>
                <w:lang w:eastAsia="en-AU"/>
              </w:rPr>
              <w:br/>
              <w:t>HH:MM</w:t>
            </w:r>
          </w:p>
        </w:tc>
        <w:tc>
          <w:tcPr>
            <w:tcW w:w="1584" w:type="dxa"/>
            <w:tcBorders>
              <w:top w:val="nil"/>
              <w:left w:val="nil"/>
              <w:bottom w:val="single" w:sz="4" w:space="0" w:color="auto"/>
              <w:right w:val="single" w:sz="4" w:space="0" w:color="auto"/>
            </w:tcBorders>
            <w:shd w:val="clear" w:color="000000" w:fill="BDD7EE"/>
            <w:noWrap/>
            <w:vAlign w:val="center"/>
          </w:tcPr>
          <w:p w14:paraId="1953136D" w14:textId="77777777" w:rsidR="00A65FCA" w:rsidRPr="00D17E10" w:rsidRDefault="00A65FCA" w:rsidP="004E4088">
            <w:pPr>
              <w:spacing w:before="0"/>
              <w:rPr>
                <w:rFonts w:ascii="Calibri" w:eastAsia="Times New Roman" w:hAnsi="Calibri" w:cs="Times New Roman"/>
                <w:color w:val="000000"/>
                <w:lang w:eastAsia="en-AU"/>
              </w:rPr>
            </w:pPr>
            <w:r>
              <w:rPr>
                <w:rFonts w:ascii="Calibri" w:eastAsia="Times New Roman" w:hAnsi="Calibri" w:cs="Times New Roman"/>
                <w:color w:val="000000"/>
                <w:lang w:eastAsia="en-AU"/>
              </w:rPr>
              <w:t>As available</w:t>
            </w:r>
          </w:p>
        </w:tc>
        <w:tc>
          <w:tcPr>
            <w:tcW w:w="1785" w:type="dxa"/>
            <w:tcBorders>
              <w:top w:val="nil"/>
              <w:left w:val="nil"/>
              <w:bottom w:val="single" w:sz="4" w:space="0" w:color="auto"/>
              <w:right w:val="single" w:sz="4" w:space="0" w:color="auto"/>
            </w:tcBorders>
            <w:shd w:val="clear" w:color="000000" w:fill="F2F2F2"/>
            <w:noWrap/>
            <w:vAlign w:val="center"/>
          </w:tcPr>
          <w:p w14:paraId="231CECEE" w14:textId="5A7D14A5"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000000" w:fill="F2F2F2"/>
            <w:noWrap/>
            <w:vAlign w:val="center"/>
          </w:tcPr>
          <w:p w14:paraId="27BA2002"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Delivery Point </w:t>
            </w:r>
          </w:p>
        </w:tc>
        <w:tc>
          <w:tcPr>
            <w:tcW w:w="1306" w:type="dxa"/>
            <w:tcBorders>
              <w:top w:val="nil"/>
              <w:left w:val="nil"/>
              <w:bottom w:val="single" w:sz="4" w:space="0" w:color="auto"/>
              <w:right w:val="single" w:sz="4" w:space="0" w:color="auto"/>
            </w:tcBorders>
            <w:shd w:val="clear" w:color="000000" w:fill="F2F2F2"/>
            <w:noWrap/>
            <w:vAlign w:val="center"/>
          </w:tcPr>
          <w:p w14:paraId="2A6AB363"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160" w:type="dxa"/>
            <w:tcBorders>
              <w:top w:val="nil"/>
              <w:left w:val="nil"/>
              <w:bottom w:val="single" w:sz="4" w:space="0" w:color="auto"/>
              <w:right w:val="single" w:sz="4" w:space="0" w:color="auto"/>
            </w:tcBorders>
            <w:shd w:val="clear" w:color="000000" w:fill="F2F2F2"/>
            <w:noWrap/>
            <w:vAlign w:val="center"/>
          </w:tcPr>
          <w:p w14:paraId="5A709B74"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514" w:type="dxa"/>
            <w:tcBorders>
              <w:top w:val="nil"/>
              <w:left w:val="nil"/>
              <w:bottom w:val="single" w:sz="4" w:space="0" w:color="auto"/>
              <w:right w:val="single" w:sz="4" w:space="0" w:color="auto"/>
            </w:tcBorders>
            <w:shd w:val="clear" w:color="000000" w:fill="F2F2F2"/>
            <w:noWrap/>
            <w:vAlign w:val="center"/>
          </w:tcPr>
          <w:p w14:paraId="2D089DB7"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0</w:t>
            </w:r>
          </w:p>
        </w:tc>
      </w:tr>
      <w:tr w:rsidR="00A65FCA" w:rsidRPr="00D17E10" w14:paraId="63D56E55" w14:textId="77777777" w:rsidTr="008C2381">
        <w:trPr>
          <w:trHeight w:val="563"/>
        </w:trPr>
        <w:tc>
          <w:tcPr>
            <w:tcW w:w="636" w:type="dxa"/>
            <w:tcBorders>
              <w:top w:val="nil"/>
            </w:tcBorders>
            <w:shd w:val="clear" w:color="auto" w:fill="auto"/>
          </w:tcPr>
          <w:p w14:paraId="492D639D" w14:textId="77777777" w:rsidR="00A65FCA" w:rsidRPr="00D17E10" w:rsidRDefault="00A65FCA" w:rsidP="004E4088">
            <w:pPr>
              <w:spacing w:before="0" w:line="360" w:lineRule="auto"/>
              <w:rPr>
                <w:rFonts w:ascii="Calibri" w:eastAsia="Times New Roman" w:hAnsi="Calibri" w:cs="Times New Roman"/>
                <w:color w:val="000000"/>
                <w:lang w:eastAsia="en-AU"/>
              </w:rPr>
            </w:pPr>
          </w:p>
        </w:tc>
        <w:tc>
          <w:tcPr>
            <w:tcW w:w="1122" w:type="dxa"/>
            <w:tcBorders>
              <w:top w:val="nil"/>
              <w:left w:val="nil"/>
              <w:bottom w:val="single" w:sz="4" w:space="0" w:color="auto"/>
              <w:right w:val="single" w:sz="4" w:space="0" w:color="auto"/>
            </w:tcBorders>
            <w:shd w:val="clear" w:color="000000" w:fill="F2F2F2"/>
            <w:noWrap/>
            <w:vAlign w:val="center"/>
            <w:hideMark/>
          </w:tcPr>
          <w:p w14:paraId="6D535D31"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1</w:t>
            </w:r>
          </w:p>
        </w:tc>
        <w:tc>
          <w:tcPr>
            <w:tcW w:w="1852" w:type="dxa"/>
            <w:tcBorders>
              <w:top w:val="nil"/>
              <w:left w:val="nil"/>
              <w:bottom w:val="single" w:sz="4" w:space="0" w:color="auto"/>
              <w:right w:val="single" w:sz="4" w:space="0" w:color="auto"/>
            </w:tcBorders>
            <w:shd w:val="clear" w:color="000000" w:fill="F2F2F2"/>
            <w:noWrap/>
            <w:vAlign w:val="center"/>
            <w:hideMark/>
          </w:tcPr>
          <w:p w14:paraId="322B14DE"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ABC Pipeline</w:t>
            </w:r>
          </w:p>
        </w:tc>
        <w:tc>
          <w:tcPr>
            <w:tcW w:w="1349" w:type="dxa"/>
            <w:tcBorders>
              <w:top w:val="nil"/>
              <w:left w:val="nil"/>
              <w:bottom w:val="single" w:sz="4" w:space="0" w:color="auto"/>
              <w:right w:val="single" w:sz="4" w:space="0" w:color="auto"/>
            </w:tcBorders>
            <w:shd w:val="clear" w:color="000000" w:fill="F2F2F2"/>
            <w:noWrap/>
            <w:vAlign w:val="center"/>
            <w:hideMark/>
          </w:tcPr>
          <w:p w14:paraId="39CC4A10"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DD/MM/YYYY</w:t>
            </w:r>
          </w:p>
        </w:tc>
        <w:tc>
          <w:tcPr>
            <w:tcW w:w="1462" w:type="dxa"/>
            <w:tcBorders>
              <w:top w:val="nil"/>
              <w:left w:val="nil"/>
              <w:bottom w:val="single" w:sz="4" w:space="0" w:color="auto"/>
              <w:right w:val="single" w:sz="4" w:space="0" w:color="auto"/>
            </w:tcBorders>
            <w:shd w:val="clear" w:color="000000" w:fill="F2F2F2"/>
            <w:vAlign w:val="center"/>
            <w:hideMark/>
          </w:tcPr>
          <w:p w14:paraId="6D42113D"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DD/MM/YYYY </w:t>
            </w:r>
            <w:r w:rsidRPr="00D17E10">
              <w:rPr>
                <w:rFonts w:ascii="Calibri" w:eastAsia="Times New Roman" w:hAnsi="Calibri" w:cs="Times New Roman"/>
                <w:color w:val="000000"/>
                <w:lang w:eastAsia="en-AU"/>
              </w:rPr>
              <w:br/>
              <w:t>HH:MM</w:t>
            </w:r>
          </w:p>
        </w:tc>
        <w:tc>
          <w:tcPr>
            <w:tcW w:w="1584" w:type="dxa"/>
            <w:tcBorders>
              <w:top w:val="nil"/>
              <w:left w:val="nil"/>
              <w:bottom w:val="single" w:sz="4" w:space="0" w:color="auto"/>
              <w:right w:val="single" w:sz="4" w:space="0" w:color="auto"/>
            </w:tcBorders>
            <w:shd w:val="clear" w:color="000000" w:fill="BDD7EE"/>
            <w:noWrap/>
            <w:vAlign w:val="center"/>
            <w:hideMark/>
          </w:tcPr>
          <w:p w14:paraId="1A9C51AA"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Auction service</w:t>
            </w:r>
          </w:p>
        </w:tc>
        <w:tc>
          <w:tcPr>
            <w:tcW w:w="1785" w:type="dxa"/>
            <w:tcBorders>
              <w:top w:val="nil"/>
              <w:left w:val="nil"/>
              <w:bottom w:val="single" w:sz="4" w:space="0" w:color="auto"/>
              <w:right w:val="single" w:sz="4" w:space="0" w:color="auto"/>
            </w:tcBorders>
            <w:shd w:val="clear" w:color="000000" w:fill="F2F2F2"/>
            <w:noWrap/>
            <w:vAlign w:val="center"/>
            <w:hideMark/>
          </w:tcPr>
          <w:p w14:paraId="79F5AE03" w14:textId="0B8DF275"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000000" w:fill="F2F2F2"/>
            <w:noWrap/>
            <w:vAlign w:val="center"/>
            <w:hideMark/>
          </w:tcPr>
          <w:p w14:paraId="61219F53"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Y Power Station </w:t>
            </w:r>
          </w:p>
        </w:tc>
        <w:tc>
          <w:tcPr>
            <w:tcW w:w="1306" w:type="dxa"/>
            <w:tcBorders>
              <w:top w:val="nil"/>
              <w:left w:val="nil"/>
              <w:bottom w:val="single" w:sz="4" w:space="0" w:color="auto"/>
              <w:right w:val="single" w:sz="4" w:space="0" w:color="auto"/>
            </w:tcBorders>
            <w:shd w:val="clear" w:color="000000" w:fill="F2F2F2"/>
            <w:noWrap/>
            <w:vAlign w:val="center"/>
            <w:hideMark/>
          </w:tcPr>
          <w:p w14:paraId="61EA2544"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160" w:type="dxa"/>
            <w:tcBorders>
              <w:top w:val="nil"/>
              <w:left w:val="nil"/>
              <w:bottom w:val="single" w:sz="4" w:space="0" w:color="auto"/>
              <w:right w:val="single" w:sz="4" w:space="0" w:color="auto"/>
            </w:tcBorders>
            <w:shd w:val="clear" w:color="000000" w:fill="F2F2F2"/>
            <w:noWrap/>
            <w:vAlign w:val="center"/>
            <w:hideMark/>
          </w:tcPr>
          <w:p w14:paraId="6EA4940B"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514" w:type="dxa"/>
            <w:tcBorders>
              <w:top w:val="nil"/>
              <w:left w:val="nil"/>
              <w:bottom w:val="single" w:sz="4" w:space="0" w:color="auto"/>
              <w:right w:val="single" w:sz="4" w:space="0" w:color="auto"/>
            </w:tcBorders>
            <w:shd w:val="clear" w:color="000000" w:fill="F2F2F2"/>
            <w:noWrap/>
            <w:vAlign w:val="center"/>
            <w:hideMark/>
          </w:tcPr>
          <w:p w14:paraId="3AD04AE1"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0</w:t>
            </w:r>
          </w:p>
        </w:tc>
      </w:tr>
      <w:tr w:rsidR="00A65FCA" w:rsidRPr="00D17E10" w14:paraId="7BBC328D" w14:textId="77777777" w:rsidTr="008E5AA4">
        <w:trPr>
          <w:trHeight w:val="563"/>
        </w:trPr>
        <w:tc>
          <w:tcPr>
            <w:tcW w:w="636" w:type="dxa"/>
            <w:vMerge w:val="restart"/>
            <w:tcBorders>
              <w:top w:val="nil"/>
            </w:tcBorders>
            <w:shd w:val="clear" w:color="auto" w:fill="auto"/>
            <w:textDirection w:val="btLr"/>
            <w:vAlign w:val="bottom"/>
          </w:tcPr>
          <w:p w14:paraId="0DF68F7E" w14:textId="77777777" w:rsidR="00A65FCA" w:rsidRPr="00D17E10" w:rsidRDefault="00A65FCA" w:rsidP="004E4088">
            <w:pPr>
              <w:spacing w:before="0" w:line="360" w:lineRule="auto"/>
              <w:ind w:left="113" w:right="113"/>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Example</w:t>
            </w:r>
          </w:p>
        </w:tc>
        <w:tc>
          <w:tcPr>
            <w:tcW w:w="1122" w:type="dxa"/>
            <w:tcBorders>
              <w:top w:val="nil"/>
              <w:left w:val="nil"/>
              <w:bottom w:val="single" w:sz="4" w:space="0" w:color="auto"/>
              <w:right w:val="single" w:sz="4" w:space="0" w:color="auto"/>
            </w:tcBorders>
            <w:shd w:val="clear" w:color="auto" w:fill="C0C2BC" w:themeFill="background2" w:themeFillShade="E6"/>
            <w:noWrap/>
            <w:vAlign w:val="center"/>
            <w:hideMark/>
          </w:tcPr>
          <w:p w14:paraId="46EB9BBB"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2</w:t>
            </w:r>
          </w:p>
        </w:tc>
        <w:tc>
          <w:tcPr>
            <w:tcW w:w="1852" w:type="dxa"/>
            <w:tcBorders>
              <w:top w:val="nil"/>
              <w:left w:val="nil"/>
              <w:bottom w:val="single" w:sz="4" w:space="0" w:color="auto"/>
              <w:right w:val="single" w:sz="4" w:space="0" w:color="auto"/>
            </w:tcBorders>
            <w:shd w:val="clear" w:color="auto" w:fill="C0C2BC" w:themeFill="background2" w:themeFillShade="E6"/>
            <w:noWrap/>
            <w:vAlign w:val="center"/>
            <w:hideMark/>
          </w:tcPr>
          <w:p w14:paraId="57C22F4C"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XYZ Pipeline</w:t>
            </w:r>
          </w:p>
        </w:tc>
        <w:tc>
          <w:tcPr>
            <w:tcW w:w="1349" w:type="dxa"/>
            <w:tcBorders>
              <w:top w:val="nil"/>
              <w:left w:val="nil"/>
              <w:bottom w:val="single" w:sz="4" w:space="0" w:color="auto"/>
              <w:right w:val="single" w:sz="4" w:space="0" w:color="auto"/>
            </w:tcBorders>
            <w:shd w:val="clear" w:color="auto" w:fill="C0C2BC" w:themeFill="background2" w:themeFillShade="E6"/>
            <w:noWrap/>
            <w:vAlign w:val="center"/>
            <w:hideMark/>
          </w:tcPr>
          <w:p w14:paraId="4F9D52B2"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31/03/2019</w:t>
            </w:r>
          </w:p>
        </w:tc>
        <w:tc>
          <w:tcPr>
            <w:tcW w:w="1462" w:type="dxa"/>
            <w:tcBorders>
              <w:top w:val="nil"/>
              <w:left w:val="nil"/>
              <w:bottom w:val="single" w:sz="4" w:space="0" w:color="auto"/>
              <w:right w:val="single" w:sz="4" w:space="0" w:color="auto"/>
            </w:tcBorders>
            <w:shd w:val="clear" w:color="auto" w:fill="C0C2BC" w:themeFill="background2" w:themeFillShade="E6"/>
            <w:vAlign w:val="center"/>
            <w:hideMark/>
          </w:tcPr>
          <w:p w14:paraId="617A5991"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29/03/2019</w:t>
            </w:r>
            <w:r w:rsidRPr="00D17E10">
              <w:rPr>
                <w:rFonts w:ascii="Calibri" w:eastAsia="Times New Roman" w:hAnsi="Calibri" w:cs="Times New Roman"/>
                <w:color w:val="000000"/>
                <w:lang w:eastAsia="en-AU"/>
              </w:rPr>
              <w:br/>
            </w:r>
            <w:r>
              <w:rPr>
                <w:rFonts w:ascii="Calibri" w:eastAsia="Times New Roman" w:hAnsi="Calibri" w:cs="Times New Roman"/>
                <w:color w:val="000000"/>
                <w:lang w:eastAsia="en-AU"/>
              </w:rPr>
              <w:t>14</w:t>
            </w:r>
            <w:r w:rsidRPr="00D17E10">
              <w:rPr>
                <w:rFonts w:ascii="Calibri" w:eastAsia="Times New Roman" w:hAnsi="Calibri" w:cs="Times New Roman"/>
                <w:color w:val="000000"/>
                <w:lang w:eastAsia="en-AU"/>
              </w:rPr>
              <w:t>:</w:t>
            </w:r>
            <w:r>
              <w:rPr>
                <w:rFonts w:ascii="Calibri" w:eastAsia="Times New Roman" w:hAnsi="Calibri" w:cs="Times New Roman"/>
                <w:color w:val="000000"/>
                <w:lang w:eastAsia="en-AU"/>
              </w:rPr>
              <w:t>56</w:t>
            </w:r>
          </w:p>
        </w:tc>
        <w:tc>
          <w:tcPr>
            <w:tcW w:w="1584" w:type="dxa"/>
            <w:tcBorders>
              <w:top w:val="nil"/>
              <w:left w:val="nil"/>
              <w:bottom w:val="single" w:sz="4" w:space="0" w:color="auto"/>
              <w:right w:val="single" w:sz="4" w:space="0" w:color="auto"/>
            </w:tcBorders>
            <w:shd w:val="clear" w:color="auto" w:fill="C0C2BC" w:themeFill="background2" w:themeFillShade="E6"/>
            <w:vAlign w:val="center"/>
            <w:hideMark/>
          </w:tcPr>
          <w:p w14:paraId="2DCB06E3"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Firm - FH</w:t>
            </w:r>
          </w:p>
        </w:tc>
        <w:tc>
          <w:tcPr>
            <w:tcW w:w="1785" w:type="dxa"/>
            <w:tcBorders>
              <w:top w:val="nil"/>
              <w:left w:val="nil"/>
              <w:bottom w:val="single" w:sz="4" w:space="0" w:color="auto"/>
              <w:right w:val="single" w:sz="4" w:space="0" w:color="auto"/>
            </w:tcBorders>
            <w:shd w:val="clear" w:color="auto" w:fill="C0C2BC" w:themeFill="background2" w:themeFillShade="E6"/>
            <w:noWrap/>
            <w:vAlign w:val="center"/>
            <w:hideMark/>
          </w:tcPr>
          <w:p w14:paraId="60D40BED" w14:textId="5F9B3749"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auto" w:fill="C0C2BC" w:themeFill="background2" w:themeFillShade="E6"/>
            <w:noWrap/>
            <w:vAlign w:val="center"/>
            <w:hideMark/>
          </w:tcPr>
          <w:p w14:paraId="41DA7EA8"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Delivery Point </w:t>
            </w:r>
          </w:p>
        </w:tc>
        <w:tc>
          <w:tcPr>
            <w:tcW w:w="1306" w:type="dxa"/>
            <w:tcBorders>
              <w:top w:val="nil"/>
              <w:left w:val="nil"/>
              <w:bottom w:val="single" w:sz="4" w:space="0" w:color="auto"/>
              <w:right w:val="single" w:sz="4" w:space="0" w:color="auto"/>
            </w:tcBorders>
            <w:shd w:val="clear" w:color="auto" w:fill="C0C2BC" w:themeFill="background2" w:themeFillShade="E6"/>
            <w:noWrap/>
            <w:vAlign w:val="center"/>
            <w:hideMark/>
          </w:tcPr>
          <w:p w14:paraId="7639BAA9"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10 000</w:t>
            </w:r>
          </w:p>
        </w:tc>
        <w:tc>
          <w:tcPr>
            <w:tcW w:w="1160" w:type="dxa"/>
            <w:tcBorders>
              <w:top w:val="nil"/>
              <w:left w:val="nil"/>
              <w:bottom w:val="single" w:sz="4" w:space="0" w:color="auto"/>
              <w:right w:val="single" w:sz="4" w:space="0" w:color="auto"/>
            </w:tcBorders>
            <w:shd w:val="clear" w:color="auto" w:fill="C0C2BC" w:themeFill="background2" w:themeFillShade="E6"/>
            <w:noWrap/>
            <w:vAlign w:val="center"/>
            <w:hideMark/>
          </w:tcPr>
          <w:p w14:paraId="1FBAD81D"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15 000</w:t>
            </w:r>
          </w:p>
        </w:tc>
        <w:tc>
          <w:tcPr>
            <w:tcW w:w="1514" w:type="dxa"/>
            <w:tcBorders>
              <w:top w:val="nil"/>
              <w:left w:val="nil"/>
              <w:bottom w:val="single" w:sz="4" w:space="0" w:color="auto"/>
              <w:right w:val="single" w:sz="4" w:space="0" w:color="auto"/>
            </w:tcBorders>
            <w:shd w:val="clear" w:color="auto" w:fill="C0C2BC" w:themeFill="background2" w:themeFillShade="E6"/>
            <w:noWrap/>
            <w:vAlign w:val="center"/>
            <w:hideMark/>
          </w:tcPr>
          <w:p w14:paraId="5E01879B"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2</w:t>
            </w:r>
          </w:p>
        </w:tc>
      </w:tr>
      <w:tr w:rsidR="00A65FCA" w:rsidRPr="00D17E10" w14:paraId="27033CAA" w14:textId="77777777" w:rsidTr="008E5AA4">
        <w:trPr>
          <w:trHeight w:val="563"/>
        </w:trPr>
        <w:tc>
          <w:tcPr>
            <w:tcW w:w="636" w:type="dxa"/>
            <w:vMerge/>
            <w:shd w:val="clear" w:color="auto" w:fill="auto"/>
            <w:vAlign w:val="bottom"/>
          </w:tcPr>
          <w:p w14:paraId="7DEC44FA" w14:textId="77777777" w:rsidR="00A65FCA" w:rsidRPr="00D17E10" w:rsidRDefault="00A65FCA" w:rsidP="004E4088">
            <w:pPr>
              <w:spacing w:before="0" w:line="360" w:lineRule="auto"/>
              <w:jc w:val="center"/>
              <w:rPr>
                <w:rFonts w:ascii="Calibri" w:eastAsia="Times New Roman" w:hAnsi="Calibri" w:cs="Times New Roman"/>
                <w:color w:val="000000"/>
                <w:lang w:eastAsia="en-AU"/>
              </w:rPr>
            </w:pPr>
          </w:p>
        </w:tc>
        <w:tc>
          <w:tcPr>
            <w:tcW w:w="1122" w:type="dxa"/>
            <w:tcBorders>
              <w:top w:val="nil"/>
              <w:left w:val="nil"/>
              <w:bottom w:val="single" w:sz="4" w:space="0" w:color="auto"/>
              <w:right w:val="single" w:sz="4" w:space="0" w:color="auto"/>
            </w:tcBorders>
            <w:shd w:val="clear" w:color="auto" w:fill="C0C2BC" w:themeFill="background2" w:themeFillShade="E6"/>
            <w:noWrap/>
            <w:vAlign w:val="center"/>
            <w:hideMark/>
          </w:tcPr>
          <w:p w14:paraId="6C1F3177"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2</w:t>
            </w:r>
          </w:p>
        </w:tc>
        <w:tc>
          <w:tcPr>
            <w:tcW w:w="1852" w:type="dxa"/>
            <w:tcBorders>
              <w:top w:val="nil"/>
              <w:left w:val="nil"/>
              <w:bottom w:val="single" w:sz="4" w:space="0" w:color="auto"/>
              <w:right w:val="single" w:sz="4" w:space="0" w:color="auto"/>
            </w:tcBorders>
            <w:shd w:val="clear" w:color="auto" w:fill="C0C2BC" w:themeFill="background2" w:themeFillShade="E6"/>
            <w:noWrap/>
            <w:vAlign w:val="center"/>
            <w:hideMark/>
          </w:tcPr>
          <w:p w14:paraId="03B98BCF"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XYZ Pipeline</w:t>
            </w:r>
          </w:p>
        </w:tc>
        <w:tc>
          <w:tcPr>
            <w:tcW w:w="1349" w:type="dxa"/>
            <w:tcBorders>
              <w:top w:val="nil"/>
              <w:left w:val="nil"/>
              <w:bottom w:val="single" w:sz="4" w:space="0" w:color="auto"/>
              <w:right w:val="single" w:sz="4" w:space="0" w:color="auto"/>
            </w:tcBorders>
            <w:shd w:val="clear" w:color="auto" w:fill="C0C2BC" w:themeFill="background2" w:themeFillShade="E6"/>
            <w:noWrap/>
            <w:vAlign w:val="center"/>
            <w:hideMark/>
          </w:tcPr>
          <w:p w14:paraId="00353522"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31/03/2019</w:t>
            </w:r>
          </w:p>
        </w:tc>
        <w:tc>
          <w:tcPr>
            <w:tcW w:w="1462" w:type="dxa"/>
            <w:tcBorders>
              <w:top w:val="nil"/>
              <w:left w:val="nil"/>
              <w:bottom w:val="single" w:sz="4" w:space="0" w:color="auto"/>
              <w:right w:val="single" w:sz="4" w:space="0" w:color="auto"/>
            </w:tcBorders>
            <w:shd w:val="clear" w:color="auto" w:fill="C0C2BC" w:themeFill="background2" w:themeFillShade="E6"/>
            <w:vAlign w:val="center"/>
            <w:hideMark/>
          </w:tcPr>
          <w:p w14:paraId="1443FDEB"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30/03/2019</w:t>
            </w:r>
            <w:r w:rsidRPr="00D17E10">
              <w:rPr>
                <w:rFonts w:ascii="Calibri" w:eastAsia="Times New Roman" w:hAnsi="Calibri" w:cs="Times New Roman"/>
                <w:color w:val="000000"/>
                <w:lang w:eastAsia="en-AU"/>
              </w:rPr>
              <w:br/>
            </w:r>
            <w:r>
              <w:rPr>
                <w:rFonts w:ascii="Calibri" w:eastAsia="Times New Roman" w:hAnsi="Calibri" w:cs="Times New Roman"/>
                <w:color w:val="000000"/>
                <w:lang w:eastAsia="en-AU"/>
              </w:rPr>
              <w:t>09</w:t>
            </w:r>
            <w:r w:rsidRPr="00D17E10">
              <w:rPr>
                <w:rFonts w:ascii="Calibri" w:eastAsia="Times New Roman" w:hAnsi="Calibri" w:cs="Times New Roman"/>
                <w:color w:val="000000"/>
                <w:lang w:eastAsia="en-AU"/>
              </w:rPr>
              <w:t>:</w:t>
            </w:r>
            <w:r>
              <w:rPr>
                <w:rFonts w:ascii="Calibri" w:eastAsia="Times New Roman" w:hAnsi="Calibri" w:cs="Times New Roman"/>
                <w:color w:val="000000"/>
                <w:lang w:eastAsia="en-AU"/>
              </w:rPr>
              <w:t>04</w:t>
            </w:r>
          </w:p>
        </w:tc>
        <w:tc>
          <w:tcPr>
            <w:tcW w:w="1584" w:type="dxa"/>
            <w:tcBorders>
              <w:top w:val="nil"/>
              <w:left w:val="nil"/>
              <w:bottom w:val="single" w:sz="4" w:space="0" w:color="auto"/>
              <w:right w:val="single" w:sz="4" w:space="0" w:color="auto"/>
            </w:tcBorders>
            <w:shd w:val="clear" w:color="auto" w:fill="C0C2BC" w:themeFill="background2" w:themeFillShade="E6"/>
            <w:vAlign w:val="center"/>
            <w:hideMark/>
          </w:tcPr>
          <w:p w14:paraId="0F70EC6E"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Firm - FH</w:t>
            </w:r>
          </w:p>
        </w:tc>
        <w:tc>
          <w:tcPr>
            <w:tcW w:w="1785" w:type="dxa"/>
            <w:tcBorders>
              <w:top w:val="nil"/>
              <w:left w:val="nil"/>
              <w:bottom w:val="single" w:sz="4" w:space="0" w:color="auto"/>
              <w:right w:val="single" w:sz="4" w:space="0" w:color="auto"/>
            </w:tcBorders>
            <w:shd w:val="clear" w:color="auto" w:fill="C0C2BC" w:themeFill="background2" w:themeFillShade="E6"/>
            <w:noWrap/>
            <w:vAlign w:val="center"/>
            <w:hideMark/>
          </w:tcPr>
          <w:p w14:paraId="7A2AE173" w14:textId="60A4E1FB"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auto" w:fill="C0C2BC" w:themeFill="background2" w:themeFillShade="E6"/>
            <w:noWrap/>
            <w:vAlign w:val="center"/>
            <w:hideMark/>
          </w:tcPr>
          <w:p w14:paraId="5A17F297"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Delivery Point </w:t>
            </w:r>
          </w:p>
        </w:tc>
        <w:tc>
          <w:tcPr>
            <w:tcW w:w="1306" w:type="dxa"/>
            <w:tcBorders>
              <w:top w:val="nil"/>
              <w:left w:val="nil"/>
              <w:bottom w:val="single" w:sz="4" w:space="0" w:color="auto"/>
              <w:right w:val="single" w:sz="4" w:space="0" w:color="auto"/>
            </w:tcBorders>
            <w:shd w:val="clear" w:color="auto" w:fill="C0C2BC" w:themeFill="background2" w:themeFillShade="E6"/>
            <w:noWrap/>
            <w:vAlign w:val="center"/>
            <w:hideMark/>
          </w:tcPr>
          <w:p w14:paraId="63C279F9"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20 000</w:t>
            </w:r>
          </w:p>
        </w:tc>
        <w:tc>
          <w:tcPr>
            <w:tcW w:w="1160" w:type="dxa"/>
            <w:tcBorders>
              <w:top w:val="nil"/>
              <w:left w:val="nil"/>
              <w:bottom w:val="single" w:sz="4" w:space="0" w:color="auto"/>
              <w:right w:val="single" w:sz="4" w:space="0" w:color="auto"/>
            </w:tcBorders>
            <w:shd w:val="clear" w:color="auto" w:fill="C0C2BC" w:themeFill="background2" w:themeFillShade="E6"/>
            <w:noWrap/>
            <w:vAlign w:val="center"/>
            <w:hideMark/>
          </w:tcPr>
          <w:p w14:paraId="36CE2D9C"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15 000</w:t>
            </w:r>
          </w:p>
        </w:tc>
        <w:tc>
          <w:tcPr>
            <w:tcW w:w="1514" w:type="dxa"/>
            <w:tcBorders>
              <w:top w:val="nil"/>
              <w:left w:val="nil"/>
              <w:bottom w:val="single" w:sz="4" w:space="0" w:color="auto"/>
              <w:right w:val="single" w:sz="4" w:space="0" w:color="auto"/>
            </w:tcBorders>
            <w:shd w:val="clear" w:color="auto" w:fill="C0C2BC" w:themeFill="background2" w:themeFillShade="E6"/>
            <w:noWrap/>
            <w:vAlign w:val="center"/>
            <w:hideMark/>
          </w:tcPr>
          <w:p w14:paraId="1EB87F95"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2</w:t>
            </w:r>
          </w:p>
        </w:tc>
      </w:tr>
      <w:tr w:rsidR="00A65FCA" w:rsidRPr="00D17E10" w14:paraId="00E0DD39" w14:textId="77777777" w:rsidTr="008E5AA4">
        <w:trPr>
          <w:trHeight w:val="563"/>
        </w:trPr>
        <w:tc>
          <w:tcPr>
            <w:tcW w:w="636" w:type="dxa"/>
            <w:vMerge/>
            <w:shd w:val="clear" w:color="auto" w:fill="auto"/>
            <w:vAlign w:val="bottom"/>
          </w:tcPr>
          <w:p w14:paraId="423B0ED0" w14:textId="77777777" w:rsidR="00A65FCA" w:rsidRPr="00D17E10" w:rsidRDefault="00A65FCA" w:rsidP="004E4088">
            <w:pPr>
              <w:spacing w:before="0" w:line="360" w:lineRule="auto"/>
              <w:jc w:val="center"/>
              <w:rPr>
                <w:rFonts w:ascii="Calibri" w:eastAsia="Times New Roman" w:hAnsi="Calibri" w:cs="Times New Roman"/>
                <w:color w:val="000000"/>
                <w:lang w:eastAsia="en-AU"/>
              </w:rPr>
            </w:pPr>
          </w:p>
        </w:tc>
        <w:tc>
          <w:tcPr>
            <w:tcW w:w="1122" w:type="dxa"/>
            <w:tcBorders>
              <w:top w:val="nil"/>
              <w:left w:val="nil"/>
              <w:bottom w:val="single" w:sz="4" w:space="0" w:color="auto"/>
              <w:right w:val="single" w:sz="4" w:space="0" w:color="auto"/>
            </w:tcBorders>
            <w:shd w:val="clear" w:color="auto" w:fill="C0C2BC" w:themeFill="background2" w:themeFillShade="E6"/>
            <w:noWrap/>
            <w:vAlign w:val="center"/>
            <w:hideMark/>
          </w:tcPr>
          <w:p w14:paraId="6EB41F38"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2</w:t>
            </w:r>
          </w:p>
        </w:tc>
        <w:tc>
          <w:tcPr>
            <w:tcW w:w="1852" w:type="dxa"/>
            <w:tcBorders>
              <w:top w:val="nil"/>
              <w:left w:val="nil"/>
              <w:bottom w:val="single" w:sz="4" w:space="0" w:color="auto"/>
              <w:right w:val="single" w:sz="4" w:space="0" w:color="auto"/>
            </w:tcBorders>
            <w:shd w:val="clear" w:color="auto" w:fill="C0C2BC" w:themeFill="background2" w:themeFillShade="E6"/>
            <w:noWrap/>
            <w:vAlign w:val="center"/>
            <w:hideMark/>
          </w:tcPr>
          <w:p w14:paraId="0F1EA97F"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XYZ Pipeline</w:t>
            </w:r>
          </w:p>
        </w:tc>
        <w:tc>
          <w:tcPr>
            <w:tcW w:w="1349" w:type="dxa"/>
            <w:tcBorders>
              <w:top w:val="nil"/>
              <w:left w:val="nil"/>
              <w:bottom w:val="single" w:sz="4" w:space="0" w:color="auto"/>
              <w:right w:val="single" w:sz="4" w:space="0" w:color="auto"/>
            </w:tcBorders>
            <w:shd w:val="clear" w:color="auto" w:fill="C0C2BC" w:themeFill="background2" w:themeFillShade="E6"/>
            <w:noWrap/>
            <w:vAlign w:val="center"/>
            <w:hideMark/>
          </w:tcPr>
          <w:p w14:paraId="2659343F"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31/03/2019</w:t>
            </w:r>
          </w:p>
        </w:tc>
        <w:tc>
          <w:tcPr>
            <w:tcW w:w="1462" w:type="dxa"/>
            <w:tcBorders>
              <w:top w:val="nil"/>
              <w:left w:val="nil"/>
              <w:bottom w:val="single" w:sz="4" w:space="0" w:color="auto"/>
              <w:right w:val="single" w:sz="4" w:space="0" w:color="auto"/>
            </w:tcBorders>
            <w:shd w:val="clear" w:color="auto" w:fill="C0C2BC" w:themeFill="background2" w:themeFillShade="E6"/>
            <w:vAlign w:val="center"/>
            <w:hideMark/>
          </w:tcPr>
          <w:p w14:paraId="473616D3"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31/03/2019</w:t>
            </w:r>
            <w:r w:rsidRPr="00D17E10">
              <w:rPr>
                <w:rFonts w:ascii="Calibri" w:eastAsia="Times New Roman" w:hAnsi="Calibri" w:cs="Times New Roman"/>
                <w:color w:val="000000"/>
                <w:lang w:eastAsia="en-AU"/>
              </w:rPr>
              <w:br/>
            </w:r>
            <w:r>
              <w:rPr>
                <w:rFonts w:ascii="Calibri" w:eastAsia="Times New Roman" w:hAnsi="Calibri" w:cs="Times New Roman"/>
                <w:color w:val="000000"/>
                <w:lang w:eastAsia="en-AU"/>
              </w:rPr>
              <w:t>11</w:t>
            </w:r>
            <w:r w:rsidRPr="00D17E10">
              <w:rPr>
                <w:rFonts w:ascii="Calibri" w:eastAsia="Times New Roman" w:hAnsi="Calibri" w:cs="Times New Roman"/>
                <w:color w:val="000000"/>
                <w:lang w:eastAsia="en-AU"/>
              </w:rPr>
              <w:t>:</w:t>
            </w:r>
            <w:r>
              <w:rPr>
                <w:rFonts w:ascii="Calibri" w:eastAsia="Times New Roman" w:hAnsi="Calibri" w:cs="Times New Roman"/>
                <w:color w:val="000000"/>
                <w:lang w:eastAsia="en-AU"/>
              </w:rPr>
              <w:t>20</w:t>
            </w:r>
          </w:p>
        </w:tc>
        <w:tc>
          <w:tcPr>
            <w:tcW w:w="1584" w:type="dxa"/>
            <w:tcBorders>
              <w:top w:val="nil"/>
              <w:left w:val="nil"/>
              <w:bottom w:val="single" w:sz="4" w:space="0" w:color="auto"/>
              <w:right w:val="single" w:sz="4" w:space="0" w:color="auto"/>
            </w:tcBorders>
            <w:shd w:val="clear" w:color="auto" w:fill="C0C2BC" w:themeFill="background2" w:themeFillShade="E6"/>
            <w:vAlign w:val="center"/>
            <w:hideMark/>
          </w:tcPr>
          <w:p w14:paraId="01167080"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Firm - FH</w:t>
            </w:r>
          </w:p>
        </w:tc>
        <w:tc>
          <w:tcPr>
            <w:tcW w:w="1785" w:type="dxa"/>
            <w:tcBorders>
              <w:top w:val="nil"/>
              <w:left w:val="nil"/>
              <w:bottom w:val="single" w:sz="4" w:space="0" w:color="auto"/>
              <w:right w:val="single" w:sz="4" w:space="0" w:color="auto"/>
            </w:tcBorders>
            <w:shd w:val="clear" w:color="auto" w:fill="C0C2BC" w:themeFill="background2" w:themeFillShade="E6"/>
            <w:noWrap/>
            <w:vAlign w:val="center"/>
            <w:hideMark/>
          </w:tcPr>
          <w:p w14:paraId="54E69BCA" w14:textId="307E3AB1"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auto" w:fill="C0C2BC" w:themeFill="background2" w:themeFillShade="E6"/>
            <w:noWrap/>
            <w:vAlign w:val="center"/>
            <w:hideMark/>
          </w:tcPr>
          <w:p w14:paraId="2DF3848E"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Delivery Point </w:t>
            </w:r>
          </w:p>
        </w:tc>
        <w:tc>
          <w:tcPr>
            <w:tcW w:w="1306" w:type="dxa"/>
            <w:tcBorders>
              <w:top w:val="nil"/>
              <w:left w:val="nil"/>
              <w:bottom w:val="single" w:sz="4" w:space="0" w:color="auto"/>
              <w:right w:val="single" w:sz="4" w:space="0" w:color="auto"/>
            </w:tcBorders>
            <w:shd w:val="clear" w:color="auto" w:fill="C0C2BC" w:themeFill="background2" w:themeFillShade="E6"/>
            <w:noWrap/>
            <w:vAlign w:val="center"/>
            <w:hideMark/>
          </w:tcPr>
          <w:p w14:paraId="7230F74D"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15 000</w:t>
            </w:r>
          </w:p>
        </w:tc>
        <w:tc>
          <w:tcPr>
            <w:tcW w:w="1160" w:type="dxa"/>
            <w:tcBorders>
              <w:top w:val="nil"/>
              <w:left w:val="nil"/>
              <w:bottom w:val="single" w:sz="4" w:space="0" w:color="auto"/>
              <w:right w:val="single" w:sz="4" w:space="0" w:color="auto"/>
            </w:tcBorders>
            <w:shd w:val="clear" w:color="auto" w:fill="C0C2BC" w:themeFill="background2" w:themeFillShade="E6"/>
            <w:noWrap/>
            <w:vAlign w:val="center"/>
            <w:hideMark/>
          </w:tcPr>
          <w:p w14:paraId="5B8C3C42"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15 000</w:t>
            </w:r>
          </w:p>
        </w:tc>
        <w:tc>
          <w:tcPr>
            <w:tcW w:w="1514" w:type="dxa"/>
            <w:tcBorders>
              <w:top w:val="nil"/>
              <w:left w:val="nil"/>
              <w:bottom w:val="single" w:sz="4" w:space="0" w:color="auto"/>
              <w:right w:val="single" w:sz="4" w:space="0" w:color="auto"/>
            </w:tcBorders>
            <w:shd w:val="clear" w:color="auto" w:fill="C0C2BC" w:themeFill="background2" w:themeFillShade="E6"/>
            <w:noWrap/>
            <w:vAlign w:val="center"/>
            <w:hideMark/>
          </w:tcPr>
          <w:p w14:paraId="2DF09069"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2</w:t>
            </w:r>
          </w:p>
        </w:tc>
      </w:tr>
      <w:tr w:rsidR="00A65FCA" w:rsidRPr="00D17E10" w14:paraId="15E92722" w14:textId="77777777" w:rsidTr="008C2381">
        <w:trPr>
          <w:trHeight w:val="563"/>
        </w:trPr>
        <w:tc>
          <w:tcPr>
            <w:tcW w:w="636" w:type="dxa"/>
            <w:vMerge w:val="restart"/>
            <w:tcBorders>
              <w:top w:val="nil"/>
            </w:tcBorders>
            <w:shd w:val="clear" w:color="auto" w:fill="auto"/>
            <w:textDirection w:val="btLr"/>
            <w:vAlign w:val="bottom"/>
          </w:tcPr>
          <w:p w14:paraId="4D937559" w14:textId="77777777" w:rsidR="00A65FCA" w:rsidRPr="00D17E10" w:rsidRDefault="00A65FCA" w:rsidP="004E4088">
            <w:pPr>
              <w:spacing w:before="0" w:line="360" w:lineRule="auto"/>
              <w:ind w:left="113" w:right="113"/>
              <w:jc w:val="center"/>
              <w:rPr>
                <w:rFonts w:ascii="Calibri" w:eastAsia="Times New Roman" w:hAnsi="Calibri" w:cs="Times New Roman"/>
                <w:color w:val="000000"/>
                <w:lang w:eastAsia="en-AU"/>
              </w:rPr>
            </w:pPr>
          </w:p>
        </w:tc>
        <w:tc>
          <w:tcPr>
            <w:tcW w:w="1122" w:type="dxa"/>
            <w:tcBorders>
              <w:top w:val="nil"/>
              <w:left w:val="nil"/>
              <w:bottom w:val="single" w:sz="4" w:space="0" w:color="auto"/>
              <w:right w:val="single" w:sz="4" w:space="0" w:color="auto"/>
            </w:tcBorders>
            <w:shd w:val="clear" w:color="auto" w:fill="FFFFFF" w:themeFill="background1"/>
            <w:noWrap/>
            <w:vAlign w:val="center"/>
            <w:hideMark/>
          </w:tcPr>
          <w:p w14:paraId="2D09C687"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3</w:t>
            </w:r>
          </w:p>
        </w:tc>
        <w:tc>
          <w:tcPr>
            <w:tcW w:w="1852" w:type="dxa"/>
            <w:tcBorders>
              <w:top w:val="nil"/>
              <w:left w:val="nil"/>
              <w:bottom w:val="single" w:sz="4" w:space="0" w:color="auto"/>
              <w:right w:val="single" w:sz="4" w:space="0" w:color="auto"/>
            </w:tcBorders>
            <w:shd w:val="clear" w:color="auto" w:fill="FFFFFF" w:themeFill="background1"/>
            <w:noWrap/>
            <w:vAlign w:val="center"/>
            <w:hideMark/>
          </w:tcPr>
          <w:p w14:paraId="6B11FD43"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ABC Pipeline</w:t>
            </w:r>
          </w:p>
        </w:tc>
        <w:tc>
          <w:tcPr>
            <w:tcW w:w="1349" w:type="dxa"/>
            <w:tcBorders>
              <w:top w:val="nil"/>
              <w:left w:val="nil"/>
              <w:bottom w:val="single" w:sz="4" w:space="0" w:color="auto"/>
              <w:right w:val="single" w:sz="4" w:space="0" w:color="auto"/>
            </w:tcBorders>
            <w:shd w:val="clear" w:color="auto" w:fill="FFFFFF" w:themeFill="background1"/>
            <w:noWrap/>
            <w:vAlign w:val="center"/>
            <w:hideMark/>
          </w:tcPr>
          <w:p w14:paraId="2C2DD379"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31/03/2019</w:t>
            </w:r>
          </w:p>
        </w:tc>
        <w:tc>
          <w:tcPr>
            <w:tcW w:w="1462" w:type="dxa"/>
            <w:tcBorders>
              <w:top w:val="nil"/>
              <w:left w:val="nil"/>
              <w:bottom w:val="single" w:sz="4" w:space="0" w:color="auto"/>
              <w:right w:val="single" w:sz="4" w:space="0" w:color="auto"/>
            </w:tcBorders>
            <w:shd w:val="clear" w:color="auto" w:fill="FFFFFF" w:themeFill="background1"/>
            <w:vAlign w:val="center"/>
            <w:hideMark/>
          </w:tcPr>
          <w:p w14:paraId="7516A497"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30/03/2019</w:t>
            </w:r>
            <w:r w:rsidRPr="00D17E10">
              <w:rPr>
                <w:rFonts w:ascii="Calibri" w:eastAsia="Times New Roman" w:hAnsi="Calibri" w:cs="Times New Roman"/>
                <w:color w:val="000000"/>
                <w:lang w:eastAsia="en-AU"/>
              </w:rPr>
              <w:br/>
              <w:t>HH:MM</w:t>
            </w:r>
          </w:p>
        </w:tc>
        <w:tc>
          <w:tcPr>
            <w:tcW w:w="1584" w:type="dxa"/>
            <w:tcBorders>
              <w:top w:val="nil"/>
              <w:left w:val="nil"/>
              <w:bottom w:val="single" w:sz="4" w:space="0" w:color="auto"/>
              <w:right w:val="single" w:sz="4" w:space="0" w:color="auto"/>
            </w:tcBorders>
            <w:shd w:val="clear" w:color="auto" w:fill="FFFFFF" w:themeFill="background1"/>
            <w:noWrap/>
            <w:vAlign w:val="center"/>
            <w:hideMark/>
          </w:tcPr>
          <w:p w14:paraId="00B53AAE"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TFSR</w:t>
            </w:r>
          </w:p>
        </w:tc>
        <w:tc>
          <w:tcPr>
            <w:tcW w:w="1785" w:type="dxa"/>
            <w:tcBorders>
              <w:top w:val="nil"/>
              <w:left w:val="nil"/>
              <w:bottom w:val="single" w:sz="4" w:space="0" w:color="auto"/>
              <w:right w:val="single" w:sz="4" w:space="0" w:color="auto"/>
            </w:tcBorders>
            <w:shd w:val="clear" w:color="auto" w:fill="FFFFFF" w:themeFill="background1"/>
            <w:noWrap/>
            <w:vAlign w:val="center"/>
            <w:hideMark/>
          </w:tcPr>
          <w:p w14:paraId="4398E892" w14:textId="4A3C07DD"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auto" w:fill="FFFFFF" w:themeFill="background1"/>
            <w:noWrap/>
            <w:vAlign w:val="center"/>
            <w:hideMark/>
          </w:tcPr>
          <w:p w14:paraId="5C1F0E31"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Power Station </w:t>
            </w:r>
          </w:p>
        </w:tc>
        <w:tc>
          <w:tcPr>
            <w:tcW w:w="1306" w:type="dxa"/>
            <w:tcBorders>
              <w:top w:val="nil"/>
              <w:left w:val="nil"/>
              <w:bottom w:val="single" w:sz="4" w:space="0" w:color="auto"/>
              <w:right w:val="single" w:sz="4" w:space="0" w:color="auto"/>
            </w:tcBorders>
            <w:shd w:val="clear" w:color="auto" w:fill="FFFFFF" w:themeFill="background1"/>
            <w:noWrap/>
            <w:vAlign w:val="center"/>
            <w:hideMark/>
          </w:tcPr>
          <w:p w14:paraId="2E705B59"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X</w:t>
            </w:r>
          </w:p>
        </w:tc>
        <w:tc>
          <w:tcPr>
            <w:tcW w:w="1160" w:type="dxa"/>
            <w:tcBorders>
              <w:top w:val="nil"/>
              <w:left w:val="nil"/>
              <w:bottom w:val="single" w:sz="4" w:space="0" w:color="auto"/>
              <w:right w:val="single" w:sz="4" w:space="0" w:color="auto"/>
            </w:tcBorders>
            <w:shd w:val="clear" w:color="auto" w:fill="FFFFFF" w:themeFill="background1"/>
            <w:noWrap/>
            <w:vAlign w:val="center"/>
            <w:hideMark/>
          </w:tcPr>
          <w:p w14:paraId="276D2E3D"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Y</w:t>
            </w:r>
          </w:p>
        </w:tc>
        <w:tc>
          <w:tcPr>
            <w:tcW w:w="1514" w:type="dxa"/>
            <w:tcBorders>
              <w:top w:val="nil"/>
              <w:left w:val="nil"/>
              <w:bottom w:val="single" w:sz="4" w:space="0" w:color="auto"/>
              <w:right w:val="single" w:sz="4" w:space="0" w:color="auto"/>
            </w:tcBorders>
            <w:shd w:val="clear" w:color="auto" w:fill="FFFFFF" w:themeFill="background1"/>
            <w:noWrap/>
            <w:vAlign w:val="center"/>
            <w:hideMark/>
          </w:tcPr>
          <w:p w14:paraId="2293A9E3"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1</w:t>
            </w:r>
          </w:p>
        </w:tc>
      </w:tr>
      <w:tr w:rsidR="00A65FCA" w:rsidRPr="00D17E10" w14:paraId="1450B2E8" w14:textId="77777777" w:rsidTr="008C2381">
        <w:trPr>
          <w:trHeight w:val="568"/>
        </w:trPr>
        <w:tc>
          <w:tcPr>
            <w:tcW w:w="636" w:type="dxa"/>
            <w:vMerge/>
            <w:shd w:val="clear" w:color="auto" w:fill="auto"/>
          </w:tcPr>
          <w:p w14:paraId="2C8F09A3" w14:textId="77777777" w:rsidR="00A65FCA" w:rsidRPr="00D17E10" w:rsidRDefault="00A65FCA" w:rsidP="004E4088">
            <w:pPr>
              <w:spacing w:before="0" w:line="360" w:lineRule="auto"/>
              <w:rPr>
                <w:rFonts w:ascii="Calibri" w:eastAsia="Times New Roman" w:hAnsi="Calibri" w:cs="Times New Roman"/>
                <w:color w:val="000000"/>
                <w:lang w:eastAsia="en-AU"/>
              </w:rPr>
            </w:pPr>
          </w:p>
        </w:tc>
        <w:tc>
          <w:tcPr>
            <w:tcW w:w="1122" w:type="dxa"/>
            <w:tcBorders>
              <w:top w:val="nil"/>
              <w:left w:val="nil"/>
              <w:bottom w:val="single" w:sz="4" w:space="0" w:color="auto"/>
              <w:right w:val="single" w:sz="4" w:space="0" w:color="auto"/>
            </w:tcBorders>
            <w:shd w:val="clear" w:color="auto" w:fill="FFFFFF" w:themeFill="background1"/>
            <w:noWrap/>
            <w:vAlign w:val="center"/>
            <w:hideMark/>
          </w:tcPr>
          <w:p w14:paraId="0671743B"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Shipper 3</w:t>
            </w:r>
          </w:p>
        </w:tc>
        <w:tc>
          <w:tcPr>
            <w:tcW w:w="1852" w:type="dxa"/>
            <w:tcBorders>
              <w:top w:val="nil"/>
              <w:left w:val="nil"/>
              <w:bottom w:val="single" w:sz="4" w:space="0" w:color="auto"/>
              <w:right w:val="single" w:sz="4" w:space="0" w:color="auto"/>
            </w:tcBorders>
            <w:shd w:val="clear" w:color="auto" w:fill="FFFFFF" w:themeFill="background1"/>
            <w:noWrap/>
            <w:vAlign w:val="center"/>
            <w:hideMark/>
          </w:tcPr>
          <w:p w14:paraId="4984AFE2"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ABC Pipeline</w:t>
            </w:r>
          </w:p>
        </w:tc>
        <w:tc>
          <w:tcPr>
            <w:tcW w:w="1349" w:type="dxa"/>
            <w:tcBorders>
              <w:top w:val="nil"/>
              <w:left w:val="nil"/>
              <w:bottom w:val="single" w:sz="4" w:space="0" w:color="auto"/>
              <w:right w:val="single" w:sz="4" w:space="0" w:color="auto"/>
            </w:tcBorders>
            <w:shd w:val="clear" w:color="auto" w:fill="FFFFFF" w:themeFill="background1"/>
            <w:noWrap/>
            <w:vAlign w:val="center"/>
            <w:hideMark/>
          </w:tcPr>
          <w:p w14:paraId="025C50A4" w14:textId="77777777" w:rsidR="00A65FCA" w:rsidRPr="00D17E10" w:rsidRDefault="00A65FCA" w:rsidP="004E4088">
            <w:pPr>
              <w:spacing w:before="0"/>
              <w:rPr>
                <w:rFonts w:ascii="Calibri" w:eastAsia="Times New Roman" w:hAnsi="Calibri" w:cs="Times New Roman"/>
                <w:color w:val="000000"/>
                <w:sz w:val="20"/>
                <w:szCs w:val="20"/>
                <w:lang w:eastAsia="en-AU"/>
              </w:rPr>
            </w:pPr>
            <w:r w:rsidRPr="00D17E10">
              <w:rPr>
                <w:rFonts w:ascii="Calibri" w:eastAsia="Times New Roman" w:hAnsi="Calibri" w:cs="Times New Roman"/>
                <w:color w:val="000000"/>
                <w:sz w:val="20"/>
                <w:szCs w:val="20"/>
                <w:lang w:eastAsia="en-AU"/>
              </w:rPr>
              <w:t>31/03/2019</w:t>
            </w:r>
          </w:p>
        </w:tc>
        <w:tc>
          <w:tcPr>
            <w:tcW w:w="1462" w:type="dxa"/>
            <w:tcBorders>
              <w:top w:val="nil"/>
              <w:left w:val="nil"/>
              <w:bottom w:val="single" w:sz="4" w:space="0" w:color="auto"/>
              <w:right w:val="single" w:sz="4" w:space="0" w:color="auto"/>
            </w:tcBorders>
            <w:shd w:val="clear" w:color="auto" w:fill="FFFFFF" w:themeFill="background1"/>
            <w:vAlign w:val="center"/>
            <w:hideMark/>
          </w:tcPr>
          <w:p w14:paraId="2A8E4765"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31/03/2019</w:t>
            </w:r>
            <w:r w:rsidRPr="00D17E10">
              <w:rPr>
                <w:rFonts w:ascii="Calibri" w:eastAsia="Times New Roman" w:hAnsi="Calibri" w:cs="Times New Roman"/>
                <w:color w:val="000000"/>
                <w:lang w:eastAsia="en-AU"/>
              </w:rPr>
              <w:br/>
              <w:t>HH:MM</w:t>
            </w:r>
          </w:p>
        </w:tc>
        <w:tc>
          <w:tcPr>
            <w:tcW w:w="1584" w:type="dxa"/>
            <w:tcBorders>
              <w:top w:val="nil"/>
              <w:left w:val="nil"/>
              <w:bottom w:val="single" w:sz="4" w:space="0" w:color="auto"/>
              <w:right w:val="single" w:sz="4" w:space="0" w:color="auto"/>
            </w:tcBorders>
            <w:shd w:val="clear" w:color="auto" w:fill="FFFFFF" w:themeFill="background1"/>
            <w:noWrap/>
            <w:vAlign w:val="center"/>
            <w:hideMark/>
          </w:tcPr>
          <w:p w14:paraId="2F55C0CA"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TFSR</w:t>
            </w:r>
          </w:p>
        </w:tc>
        <w:tc>
          <w:tcPr>
            <w:tcW w:w="1785" w:type="dxa"/>
            <w:tcBorders>
              <w:top w:val="nil"/>
              <w:left w:val="nil"/>
              <w:bottom w:val="single" w:sz="4" w:space="0" w:color="auto"/>
              <w:right w:val="single" w:sz="4" w:space="0" w:color="auto"/>
            </w:tcBorders>
            <w:shd w:val="clear" w:color="auto" w:fill="FFFFFF" w:themeFill="background1"/>
            <w:noWrap/>
            <w:vAlign w:val="center"/>
            <w:hideMark/>
          </w:tcPr>
          <w:p w14:paraId="07D1E0B9" w14:textId="5C1FB70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Receipt Point </w:t>
            </w:r>
          </w:p>
        </w:tc>
        <w:tc>
          <w:tcPr>
            <w:tcW w:w="1699" w:type="dxa"/>
            <w:tcBorders>
              <w:top w:val="nil"/>
              <w:left w:val="nil"/>
              <w:bottom w:val="single" w:sz="4" w:space="0" w:color="auto"/>
              <w:right w:val="single" w:sz="4" w:space="0" w:color="auto"/>
            </w:tcBorders>
            <w:shd w:val="clear" w:color="auto" w:fill="FFFFFF" w:themeFill="background1"/>
            <w:noWrap/>
            <w:vAlign w:val="center"/>
            <w:hideMark/>
          </w:tcPr>
          <w:p w14:paraId="19A6DCCC"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 xml:space="preserve">X Power Station </w:t>
            </w:r>
          </w:p>
        </w:tc>
        <w:tc>
          <w:tcPr>
            <w:tcW w:w="1306" w:type="dxa"/>
            <w:tcBorders>
              <w:top w:val="nil"/>
              <w:left w:val="nil"/>
              <w:bottom w:val="single" w:sz="4" w:space="0" w:color="auto"/>
              <w:right w:val="single" w:sz="4" w:space="0" w:color="auto"/>
            </w:tcBorders>
            <w:shd w:val="clear" w:color="auto" w:fill="FFFFFF" w:themeFill="background1"/>
            <w:noWrap/>
            <w:vAlign w:val="center"/>
            <w:hideMark/>
          </w:tcPr>
          <w:p w14:paraId="31712B71"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Y</w:t>
            </w:r>
          </w:p>
        </w:tc>
        <w:tc>
          <w:tcPr>
            <w:tcW w:w="1160" w:type="dxa"/>
            <w:tcBorders>
              <w:top w:val="nil"/>
              <w:left w:val="nil"/>
              <w:bottom w:val="single" w:sz="4" w:space="0" w:color="auto"/>
              <w:right w:val="single" w:sz="4" w:space="0" w:color="auto"/>
            </w:tcBorders>
            <w:shd w:val="clear" w:color="auto" w:fill="FFFFFF" w:themeFill="background1"/>
            <w:noWrap/>
            <w:vAlign w:val="center"/>
            <w:hideMark/>
          </w:tcPr>
          <w:p w14:paraId="5D9C63C4"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Y</w:t>
            </w:r>
          </w:p>
        </w:tc>
        <w:tc>
          <w:tcPr>
            <w:tcW w:w="1514" w:type="dxa"/>
            <w:tcBorders>
              <w:top w:val="nil"/>
              <w:left w:val="nil"/>
              <w:bottom w:val="single" w:sz="4" w:space="0" w:color="auto"/>
              <w:right w:val="single" w:sz="4" w:space="0" w:color="auto"/>
            </w:tcBorders>
            <w:shd w:val="clear" w:color="auto" w:fill="FFFFFF" w:themeFill="background1"/>
            <w:noWrap/>
            <w:vAlign w:val="center"/>
            <w:hideMark/>
          </w:tcPr>
          <w:p w14:paraId="53AC4E9D" w14:textId="77777777" w:rsidR="00A65FCA" w:rsidRPr="00D17E10" w:rsidRDefault="00A65FCA" w:rsidP="004E4088">
            <w:pPr>
              <w:spacing w:before="0"/>
              <w:rPr>
                <w:rFonts w:ascii="Calibri" w:eastAsia="Times New Roman" w:hAnsi="Calibri" w:cs="Times New Roman"/>
                <w:color w:val="000000"/>
                <w:lang w:eastAsia="en-AU"/>
              </w:rPr>
            </w:pPr>
            <w:r w:rsidRPr="00D17E10">
              <w:rPr>
                <w:rFonts w:ascii="Calibri" w:eastAsia="Times New Roman" w:hAnsi="Calibri" w:cs="Times New Roman"/>
                <w:color w:val="000000"/>
                <w:lang w:eastAsia="en-AU"/>
              </w:rPr>
              <w:t>1</w:t>
            </w:r>
          </w:p>
        </w:tc>
      </w:tr>
    </w:tbl>
    <w:tbl>
      <w:tblPr>
        <w:tblStyle w:val="TableGrid"/>
        <w:tblW w:w="0" w:type="auto"/>
        <w:tblBorders>
          <w:top w:val="none" w:sz="0" w:space="0" w:color="auto"/>
          <w:bottom w:val="none" w:sz="0" w:space="0" w:color="auto"/>
        </w:tblBorders>
        <w:tblLook w:val="04A0" w:firstRow="1" w:lastRow="0" w:firstColumn="1" w:lastColumn="0" w:noHBand="0" w:noVBand="1"/>
      </w:tblPr>
      <w:tblGrid>
        <w:gridCol w:w="14032"/>
      </w:tblGrid>
      <w:tr w:rsidR="00A65FCA" w:rsidRPr="00DC0CB6" w14:paraId="5673333A" w14:textId="77777777" w:rsidTr="004E4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2" w:type="dxa"/>
          </w:tcPr>
          <w:p w14:paraId="76EC27E6" w14:textId="77777777" w:rsidR="00A65FCA" w:rsidRDefault="00A65FCA" w:rsidP="004E4088">
            <w:pPr>
              <w:spacing w:before="0"/>
              <w:rPr>
                <w:b w:val="0"/>
              </w:rPr>
            </w:pPr>
            <w:r>
              <w:t>*</w:t>
            </w:r>
            <w:r w:rsidRPr="00A53532">
              <w:rPr>
                <w:b w:val="0"/>
              </w:rPr>
              <w:t>Do not include all requested nominations, only nominations that have been approved or scheduled</w:t>
            </w:r>
          </w:p>
          <w:p w14:paraId="5CC3968B" w14:textId="77777777" w:rsidR="00A65FCA" w:rsidRPr="00DC0CB6" w:rsidRDefault="00A65FCA" w:rsidP="004E4088">
            <w:pPr>
              <w:spacing w:before="0"/>
              <w:rPr>
                <w:sz w:val="22"/>
              </w:rPr>
            </w:pPr>
            <w:r>
              <w:rPr>
                <w:b w:val="0"/>
              </w:rPr>
              <w:t>NOTE: Nominations for receipt and delivery points do not need to be reported in a single row</w:t>
            </w:r>
          </w:p>
        </w:tc>
      </w:tr>
    </w:tbl>
    <w:p w14:paraId="62A49466" w14:textId="5BD4F994" w:rsidR="008C2381" w:rsidRPr="008C2381" w:rsidRDefault="008C2381" w:rsidP="008C2381">
      <w:pPr>
        <w:pStyle w:val="Heading7"/>
        <w:pageBreakBefore/>
        <w:tabs>
          <w:tab w:val="left" w:pos="1021"/>
        </w:tabs>
        <w:spacing w:line="360" w:lineRule="auto"/>
        <w:rPr>
          <w:b/>
          <w:bCs/>
          <w:i w:val="0"/>
          <w:iCs w:val="0"/>
          <w:color w:val="70635A"/>
          <w:sz w:val="36"/>
          <w:szCs w:val="28"/>
        </w:rPr>
      </w:pPr>
      <w:bookmarkStart w:id="14" w:name="_Ref120020548"/>
      <w:bookmarkStart w:id="15" w:name="_Toc127793009"/>
      <w:r w:rsidRPr="008C2381">
        <w:rPr>
          <w:b/>
          <w:bCs/>
          <w:i w:val="0"/>
          <w:iCs w:val="0"/>
          <w:color w:val="70635A"/>
          <w:sz w:val="36"/>
          <w:szCs w:val="28"/>
        </w:rPr>
        <w:lastRenderedPageBreak/>
        <w:t xml:space="preserve">Schedule </w:t>
      </w:r>
      <w:r w:rsidRPr="008C2381">
        <w:rPr>
          <w:b/>
          <w:bCs/>
          <w:i w:val="0"/>
          <w:iCs w:val="0"/>
          <w:color w:val="70635A"/>
          <w:sz w:val="36"/>
          <w:szCs w:val="28"/>
        </w:rPr>
        <w:fldChar w:fldCharType="begin"/>
      </w:r>
      <w:r w:rsidRPr="008C2381">
        <w:rPr>
          <w:b/>
          <w:bCs/>
          <w:i w:val="0"/>
          <w:iCs w:val="0"/>
          <w:color w:val="70635A"/>
          <w:sz w:val="36"/>
          <w:szCs w:val="28"/>
        </w:rPr>
        <w:instrText xml:space="preserve"> SEQ Schedule \* ARABIC </w:instrText>
      </w:r>
      <w:r w:rsidRPr="008C2381">
        <w:rPr>
          <w:b/>
          <w:bCs/>
          <w:i w:val="0"/>
          <w:iCs w:val="0"/>
          <w:color w:val="70635A"/>
          <w:sz w:val="36"/>
          <w:szCs w:val="28"/>
        </w:rPr>
        <w:fldChar w:fldCharType="separate"/>
      </w:r>
      <w:r w:rsidRPr="008C2381">
        <w:rPr>
          <w:b/>
          <w:bCs/>
          <w:i w:val="0"/>
          <w:iCs w:val="0"/>
          <w:color w:val="70635A"/>
          <w:sz w:val="36"/>
          <w:szCs w:val="28"/>
        </w:rPr>
        <w:t>2</w:t>
      </w:r>
      <w:r w:rsidRPr="008C2381">
        <w:rPr>
          <w:b/>
          <w:bCs/>
          <w:i w:val="0"/>
          <w:iCs w:val="0"/>
          <w:color w:val="70635A"/>
          <w:sz w:val="36"/>
          <w:szCs w:val="28"/>
        </w:rPr>
        <w:fldChar w:fldCharType="end"/>
      </w:r>
      <w:bookmarkEnd w:id="14"/>
      <w:r w:rsidRPr="008C2381">
        <w:rPr>
          <w:b/>
          <w:bCs/>
          <w:i w:val="0"/>
          <w:iCs w:val="0"/>
          <w:color w:val="70635A"/>
          <w:sz w:val="36"/>
          <w:szCs w:val="28"/>
        </w:rPr>
        <w:t>: Form of renomination records for shippers</w:t>
      </w:r>
      <w:bookmarkEnd w:id="15"/>
      <w:r w:rsidRPr="008C2381">
        <w:rPr>
          <w:b/>
          <w:bCs/>
          <w:i w:val="0"/>
          <w:iCs w:val="0"/>
          <w:color w:val="70635A"/>
          <w:sz w:val="36"/>
          <w:szCs w:val="28"/>
        </w:rPr>
        <w:t xml:space="preserve"> </w:t>
      </w:r>
    </w:p>
    <w:tbl>
      <w:tblPr>
        <w:tblW w:w="15310" w:type="dxa"/>
        <w:tblInd w:w="-601" w:type="dxa"/>
        <w:tblLayout w:type="fixed"/>
        <w:tblLook w:val="0600" w:firstRow="0" w:lastRow="0" w:firstColumn="0" w:lastColumn="0" w:noHBand="1" w:noVBand="1"/>
      </w:tblPr>
      <w:tblGrid>
        <w:gridCol w:w="993"/>
        <w:gridCol w:w="1417"/>
        <w:gridCol w:w="567"/>
        <w:gridCol w:w="1134"/>
        <w:gridCol w:w="1134"/>
        <w:gridCol w:w="1276"/>
        <w:gridCol w:w="1418"/>
        <w:gridCol w:w="992"/>
        <w:gridCol w:w="1559"/>
        <w:gridCol w:w="4820"/>
      </w:tblGrid>
      <w:tr w:rsidR="00A65FCA" w:rsidRPr="00315342" w14:paraId="0E76809B" w14:textId="77777777" w:rsidTr="004E4088">
        <w:trPr>
          <w:trHeight w:val="828"/>
        </w:trPr>
        <w:tc>
          <w:tcPr>
            <w:tcW w:w="993" w:type="dxa"/>
            <w:tcBorders>
              <w:top w:val="single" w:sz="8" w:space="0" w:color="FFFFFF"/>
              <w:left w:val="single" w:sz="8" w:space="0" w:color="FFFFFF"/>
              <w:bottom w:val="single" w:sz="8" w:space="0" w:color="FFFFFF"/>
              <w:right w:val="single" w:sz="8" w:space="0" w:color="FFFFFF"/>
            </w:tcBorders>
            <w:shd w:val="clear" w:color="000000" w:fill="E8E7E8"/>
          </w:tcPr>
          <w:p w14:paraId="745BCF5C" w14:textId="34B0BA2C" w:rsidR="00A65FCA" w:rsidRPr="007C4B06" w:rsidRDefault="00A65FCA" w:rsidP="004E4088">
            <w:pPr>
              <w:spacing w:before="0"/>
              <w:jc w:val="center"/>
              <w:rPr>
                <w:rFonts w:ascii="Calibri" w:eastAsia="Times New Roman" w:hAnsi="Calibri" w:cs="Times New Roman"/>
                <w:b/>
                <w:bCs/>
                <w:color w:val="000000"/>
                <w:sz w:val="20"/>
                <w:szCs w:val="20"/>
                <w:lang w:eastAsia="en-AU"/>
              </w:rPr>
            </w:pPr>
            <w:r w:rsidRPr="007C4B06">
              <w:rPr>
                <w:rFonts w:ascii="Calibri" w:eastAsia="Times New Roman" w:hAnsi="Calibri" w:cs="Times New Roman"/>
                <w:b/>
                <w:bCs/>
                <w:color w:val="000000"/>
                <w:sz w:val="20"/>
                <w:szCs w:val="20"/>
                <w:lang w:eastAsia="en-AU"/>
              </w:rPr>
              <w:t xml:space="preserve">Record </w:t>
            </w:r>
            <w:r>
              <w:rPr>
                <w:rFonts w:ascii="Calibri" w:eastAsia="Times New Roman" w:hAnsi="Calibri" w:cs="Times New Roman"/>
                <w:b/>
                <w:bCs/>
                <w:color w:val="000000"/>
                <w:sz w:val="20"/>
                <w:szCs w:val="20"/>
                <w:lang w:eastAsia="en-AU"/>
              </w:rPr>
              <w:t xml:space="preserve">Creator </w:t>
            </w:r>
          </w:p>
        </w:tc>
        <w:tc>
          <w:tcPr>
            <w:tcW w:w="1417" w:type="dxa"/>
            <w:tcBorders>
              <w:top w:val="single" w:sz="8" w:space="0" w:color="FFFFFF"/>
              <w:left w:val="single" w:sz="8" w:space="0" w:color="FFFFFF"/>
              <w:bottom w:val="single" w:sz="8" w:space="0" w:color="FFFFFF"/>
              <w:right w:val="single" w:sz="8" w:space="0" w:color="FFFFFF"/>
            </w:tcBorders>
            <w:shd w:val="clear" w:color="000000" w:fill="E8E7E8"/>
          </w:tcPr>
          <w:p w14:paraId="012F003A" w14:textId="661D586E" w:rsidR="00A65FCA" w:rsidRPr="007C4B06" w:rsidRDefault="00A65FCA" w:rsidP="004E4088">
            <w:pPr>
              <w:spacing w:before="0"/>
              <w:jc w:val="center"/>
              <w:rPr>
                <w:rFonts w:ascii="Calibri" w:eastAsia="Times New Roman" w:hAnsi="Calibri" w:cs="Times New Roman"/>
                <w:b/>
                <w:bCs/>
                <w:color w:val="000000"/>
                <w:sz w:val="20"/>
                <w:szCs w:val="20"/>
                <w:lang w:eastAsia="en-AU"/>
              </w:rPr>
            </w:pPr>
            <w:r w:rsidRPr="007C4B06">
              <w:rPr>
                <w:rFonts w:ascii="Calibri" w:eastAsia="Times New Roman" w:hAnsi="Calibri" w:cs="Times New Roman"/>
                <w:b/>
                <w:bCs/>
                <w:color w:val="000000"/>
                <w:sz w:val="20"/>
                <w:szCs w:val="20"/>
                <w:lang w:eastAsia="en-AU"/>
              </w:rPr>
              <w:t>Record timestamp</w:t>
            </w:r>
            <w:r w:rsidR="0033460A">
              <w:rPr>
                <w:rFonts w:ascii="Calibri" w:eastAsia="Times New Roman" w:hAnsi="Calibri" w:cs="Times New Roman"/>
                <w:b/>
                <w:bCs/>
                <w:color w:val="000000"/>
                <w:sz w:val="20"/>
                <w:szCs w:val="20"/>
                <w:lang w:eastAsia="en-AU"/>
              </w:rPr>
              <w:t xml:space="preserve"> (AEST)</w:t>
            </w:r>
          </w:p>
        </w:tc>
        <w:tc>
          <w:tcPr>
            <w:tcW w:w="1701" w:type="dxa"/>
            <w:gridSpan w:val="2"/>
            <w:tcBorders>
              <w:top w:val="single" w:sz="8" w:space="0" w:color="FFFFFF"/>
              <w:left w:val="single" w:sz="8" w:space="0" w:color="FFFFFF"/>
              <w:bottom w:val="single" w:sz="8" w:space="0" w:color="FFFFFF"/>
              <w:right w:val="single" w:sz="8" w:space="0" w:color="FFFFFF"/>
            </w:tcBorders>
            <w:shd w:val="clear" w:color="000000" w:fill="E8E7E8"/>
            <w:vAlign w:val="center"/>
          </w:tcPr>
          <w:p w14:paraId="032851AB" w14:textId="77777777" w:rsidR="00A65FCA" w:rsidRPr="007C4B06" w:rsidRDefault="00A65FCA" w:rsidP="004E4088">
            <w:pPr>
              <w:spacing w:before="0"/>
              <w:jc w:val="center"/>
              <w:rPr>
                <w:rFonts w:ascii="Calibri" w:eastAsia="Times New Roman" w:hAnsi="Calibri" w:cs="Times New Roman"/>
                <w:b/>
                <w:bCs/>
                <w:color w:val="000000"/>
                <w:sz w:val="20"/>
                <w:szCs w:val="20"/>
                <w:lang w:eastAsia="en-AU"/>
              </w:rPr>
            </w:pPr>
            <w:r w:rsidRPr="007C4B06">
              <w:rPr>
                <w:rFonts w:ascii="Calibri" w:eastAsia="Times New Roman" w:hAnsi="Calibri" w:cs="Times New Roman"/>
                <w:b/>
                <w:bCs/>
                <w:color w:val="000000"/>
                <w:sz w:val="20"/>
                <w:szCs w:val="20"/>
                <w:lang w:eastAsia="en-AU"/>
              </w:rPr>
              <w:t>Category</w:t>
            </w:r>
          </w:p>
        </w:tc>
        <w:tc>
          <w:tcPr>
            <w:tcW w:w="1134" w:type="dxa"/>
            <w:tcBorders>
              <w:top w:val="single" w:sz="8" w:space="0" w:color="FFFFFF"/>
              <w:left w:val="nil"/>
              <w:bottom w:val="single" w:sz="8" w:space="0" w:color="FFFFFF"/>
              <w:right w:val="single" w:sz="8" w:space="0" w:color="FFFFFF"/>
            </w:tcBorders>
            <w:shd w:val="clear" w:color="000000" w:fill="E8E7E8"/>
            <w:vAlign w:val="center"/>
            <w:hideMark/>
          </w:tcPr>
          <w:p w14:paraId="3CD1C11F" w14:textId="77777777" w:rsidR="00A65FCA" w:rsidRPr="007C4B06" w:rsidRDefault="00A65FCA" w:rsidP="004E4088">
            <w:pPr>
              <w:spacing w:before="0"/>
              <w:jc w:val="center"/>
              <w:rPr>
                <w:rFonts w:ascii="Calibri" w:eastAsia="Times New Roman" w:hAnsi="Calibri" w:cs="Times New Roman"/>
                <w:b/>
                <w:bCs/>
                <w:color w:val="000000"/>
                <w:sz w:val="20"/>
                <w:szCs w:val="20"/>
                <w:lang w:eastAsia="en-AU"/>
              </w:rPr>
            </w:pPr>
            <w:r w:rsidRPr="007C4B06">
              <w:rPr>
                <w:rFonts w:ascii="Calibri" w:eastAsia="Times New Roman" w:hAnsi="Calibri" w:cs="Times New Roman"/>
                <w:b/>
                <w:bCs/>
                <w:color w:val="000000"/>
                <w:sz w:val="20"/>
                <w:szCs w:val="20"/>
                <w:lang w:eastAsia="en-AU"/>
              </w:rPr>
              <w:t>Gas day</w:t>
            </w:r>
          </w:p>
        </w:tc>
        <w:tc>
          <w:tcPr>
            <w:tcW w:w="1276" w:type="dxa"/>
            <w:tcBorders>
              <w:top w:val="single" w:sz="8" w:space="0" w:color="FFFFFF"/>
              <w:left w:val="nil"/>
              <w:bottom w:val="single" w:sz="8" w:space="0" w:color="FFFFFF"/>
              <w:right w:val="single" w:sz="8" w:space="0" w:color="FFFFFF"/>
            </w:tcBorders>
            <w:shd w:val="clear" w:color="000000" w:fill="E8E7E8"/>
            <w:vAlign w:val="center"/>
          </w:tcPr>
          <w:p w14:paraId="55EAA9D9" w14:textId="77777777" w:rsidR="00A65FCA" w:rsidRPr="007C4B06" w:rsidRDefault="00A65FCA" w:rsidP="004E4088">
            <w:pPr>
              <w:spacing w:before="0"/>
              <w:jc w:val="center"/>
              <w:rPr>
                <w:rFonts w:ascii="Calibri" w:eastAsia="Times New Roman" w:hAnsi="Calibri" w:cs="Times New Roman"/>
                <w:b/>
                <w:bCs/>
                <w:color w:val="000000"/>
                <w:sz w:val="20"/>
                <w:szCs w:val="20"/>
                <w:lang w:eastAsia="en-AU"/>
              </w:rPr>
            </w:pPr>
            <w:r w:rsidRPr="007C4B06">
              <w:rPr>
                <w:rFonts w:ascii="Calibri" w:eastAsia="Times New Roman" w:hAnsi="Calibri" w:cs="Times New Roman"/>
                <w:b/>
                <w:bCs/>
                <w:color w:val="000000"/>
                <w:sz w:val="20"/>
                <w:szCs w:val="20"/>
                <w:lang w:eastAsia="en-AU"/>
              </w:rPr>
              <w:t>Time of event (AEST)</w:t>
            </w:r>
          </w:p>
        </w:tc>
        <w:tc>
          <w:tcPr>
            <w:tcW w:w="1418" w:type="dxa"/>
            <w:tcBorders>
              <w:top w:val="single" w:sz="8" w:space="0" w:color="FFFFFF"/>
              <w:left w:val="nil"/>
              <w:bottom w:val="single" w:sz="8" w:space="0" w:color="FFFFFF"/>
              <w:right w:val="single" w:sz="8" w:space="0" w:color="FFFFFF" w:themeColor="background1"/>
            </w:tcBorders>
            <w:shd w:val="clear" w:color="000000" w:fill="E8E7E8"/>
            <w:vAlign w:val="center"/>
          </w:tcPr>
          <w:p w14:paraId="2682C46C" w14:textId="77777777" w:rsidR="00A65FCA" w:rsidRPr="007C4B06" w:rsidRDefault="00A65FCA" w:rsidP="004E4088">
            <w:pPr>
              <w:spacing w:before="0"/>
              <w:jc w:val="center"/>
              <w:rPr>
                <w:rFonts w:ascii="Calibri" w:eastAsia="Times New Roman" w:hAnsi="Calibri" w:cs="Times New Roman"/>
                <w:b/>
                <w:bCs/>
                <w:color w:val="000000"/>
                <w:sz w:val="20"/>
                <w:szCs w:val="20"/>
                <w:lang w:eastAsia="en-AU"/>
              </w:rPr>
            </w:pPr>
            <w:r w:rsidRPr="007C4B06">
              <w:rPr>
                <w:rFonts w:ascii="Calibri" w:eastAsia="Times New Roman" w:hAnsi="Calibri" w:cs="Times New Roman"/>
                <w:b/>
                <w:bCs/>
                <w:color w:val="000000"/>
                <w:sz w:val="20"/>
                <w:szCs w:val="20"/>
                <w:lang w:eastAsia="en-AU"/>
              </w:rPr>
              <w:t xml:space="preserve">Time shipper </w:t>
            </w:r>
            <w:proofErr w:type="gramStart"/>
            <w:r w:rsidRPr="007C4B06">
              <w:rPr>
                <w:rFonts w:ascii="Calibri" w:eastAsia="Times New Roman" w:hAnsi="Calibri" w:cs="Times New Roman"/>
                <w:b/>
                <w:bCs/>
                <w:color w:val="000000"/>
                <w:sz w:val="20"/>
                <w:szCs w:val="20"/>
                <w:lang w:eastAsia="en-AU"/>
              </w:rPr>
              <w:t>noticed  (</w:t>
            </w:r>
            <w:proofErr w:type="gramEnd"/>
            <w:r w:rsidRPr="007C4B06">
              <w:rPr>
                <w:rFonts w:ascii="Calibri" w:eastAsia="Times New Roman" w:hAnsi="Calibri" w:cs="Times New Roman"/>
                <w:b/>
                <w:bCs/>
                <w:color w:val="000000"/>
                <w:sz w:val="20"/>
                <w:szCs w:val="20"/>
                <w:lang w:eastAsia="en-AU"/>
              </w:rPr>
              <w:t>AEST)</w:t>
            </w:r>
          </w:p>
        </w:tc>
        <w:tc>
          <w:tcPr>
            <w:tcW w:w="992" w:type="dxa"/>
            <w:tcBorders>
              <w:top w:val="single" w:sz="8" w:space="0" w:color="FFFFFF"/>
              <w:left w:val="single" w:sz="8" w:space="0" w:color="FFFFFF" w:themeColor="background1"/>
              <w:bottom w:val="single" w:sz="8" w:space="0" w:color="FFFFFF"/>
              <w:right w:val="single" w:sz="8" w:space="0" w:color="FFFFFF"/>
            </w:tcBorders>
            <w:shd w:val="clear" w:color="000000" w:fill="E8E7E8"/>
            <w:vAlign w:val="center"/>
          </w:tcPr>
          <w:p w14:paraId="01B62DDE" w14:textId="77777777" w:rsidR="00A65FCA" w:rsidRPr="007C4B06" w:rsidRDefault="00A65FCA" w:rsidP="004E4088">
            <w:pPr>
              <w:spacing w:before="0"/>
              <w:jc w:val="center"/>
              <w:rPr>
                <w:rFonts w:ascii="Calibri" w:eastAsia="Times New Roman" w:hAnsi="Calibri" w:cs="Times New Roman"/>
                <w:b/>
                <w:bCs/>
                <w:color w:val="000000"/>
                <w:sz w:val="20"/>
                <w:szCs w:val="20"/>
                <w:lang w:eastAsia="en-AU"/>
              </w:rPr>
            </w:pPr>
            <w:r w:rsidRPr="007C4B06">
              <w:rPr>
                <w:rFonts w:ascii="Calibri" w:eastAsia="Times New Roman" w:hAnsi="Calibri" w:cs="Times New Roman"/>
                <w:b/>
                <w:bCs/>
                <w:color w:val="000000"/>
                <w:sz w:val="20"/>
                <w:szCs w:val="20"/>
                <w:lang w:eastAsia="en-AU"/>
              </w:rPr>
              <w:t>Auction Facility</w:t>
            </w:r>
          </w:p>
        </w:tc>
        <w:tc>
          <w:tcPr>
            <w:tcW w:w="1559" w:type="dxa"/>
            <w:tcBorders>
              <w:top w:val="single" w:sz="8" w:space="0" w:color="FFFFFF"/>
              <w:left w:val="nil"/>
              <w:bottom w:val="single" w:sz="8" w:space="0" w:color="FFFFFF"/>
              <w:right w:val="single" w:sz="8" w:space="0" w:color="FFFFFF"/>
            </w:tcBorders>
            <w:shd w:val="clear" w:color="000000" w:fill="E8E7E8"/>
            <w:vAlign w:val="center"/>
          </w:tcPr>
          <w:p w14:paraId="450A4DD4" w14:textId="77777777" w:rsidR="00A65FCA" w:rsidRPr="007C4B06" w:rsidRDefault="00A65FCA" w:rsidP="004E4088">
            <w:pPr>
              <w:spacing w:before="0"/>
              <w:jc w:val="center"/>
              <w:rPr>
                <w:rFonts w:ascii="Calibri" w:eastAsia="Times New Roman" w:hAnsi="Calibri" w:cs="Times New Roman"/>
                <w:b/>
                <w:bCs/>
                <w:color w:val="000000"/>
                <w:sz w:val="20"/>
                <w:szCs w:val="20"/>
                <w:lang w:eastAsia="en-AU"/>
              </w:rPr>
            </w:pPr>
            <w:r w:rsidRPr="007C4B06">
              <w:rPr>
                <w:rFonts w:ascii="Calibri" w:eastAsia="Times New Roman" w:hAnsi="Calibri" w:cs="Times New Roman"/>
                <w:b/>
                <w:bCs/>
                <w:color w:val="000000"/>
                <w:sz w:val="20"/>
                <w:szCs w:val="20"/>
                <w:lang w:eastAsia="en-AU"/>
              </w:rPr>
              <w:t>Transportation Service</w:t>
            </w:r>
            <w:r w:rsidRPr="007C4B06">
              <w:rPr>
                <w:rStyle w:val="FootnoteReference"/>
                <w:rFonts w:ascii="Calibri" w:eastAsia="Times New Roman" w:hAnsi="Calibri" w:cs="Times New Roman"/>
                <w:b/>
                <w:bCs/>
                <w:color w:val="000000"/>
                <w:sz w:val="20"/>
                <w:szCs w:val="20"/>
                <w:lang w:eastAsia="en-AU"/>
              </w:rPr>
              <w:footnoteReference w:id="11"/>
            </w:r>
          </w:p>
        </w:tc>
        <w:tc>
          <w:tcPr>
            <w:tcW w:w="4820" w:type="dxa"/>
            <w:tcBorders>
              <w:top w:val="single" w:sz="8" w:space="0" w:color="FFFFFF"/>
              <w:left w:val="nil"/>
              <w:bottom w:val="single" w:sz="8" w:space="0" w:color="FFFFFF"/>
              <w:right w:val="single" w:sz="8" w:space="0" w:color="FFFFFF"/>
            </w:tcBorders>
            <w:shd w:val="clear" w:color="000000" w:fill="E8E7E8"/>
            <w:vAlign w:val="center"/>
          </w:tcPr>
          <w:p w14:paraId="37588FFE" w14:textId="77777777" w:rsidR="00A65FCA" w:rsidRPr="007C4B06" w:rsidRDefault="00A65FCA" w:rsidP="004E4088">
            <w:pPr>
              <w:spacing w:before="0"/>
              <w:jc w:val="center"/>
              <w:rPr>
                <w:rFonts w:ascii="Calibri" w:eastAsia="Times New Roman" w:hAnsi="Calibri" w:cs="Times New Roman"/>
                <w:b/>
                <w:bCs/>
                <w:color w:val="000000"/>
                <w:sz w:val="20"/>
                <w:szCs w:val="20"/>
                <w:lang w:eastAsia="en-AU"/>
              </w:rPr>
            </w:pPr>
            <w:r w:rsidRPr="007C4B06">
              <w:rPr>
                <w:rFonts w:ascii="Calibri" w:eastAsia="Times New Roman" w:hAnsi="Calibri" w:cs="Times New Roman"/>
                <w:b/>
                <w:bCs/>
                <w:color w:val="000000"/>
                <w:sz w:val="20"/>
                <w:szCs w:val="20"/>
                <w:lang w:eastAsia="en-AU"/>
              </w:rPr>
              <w:t>Description/reason(s) for renomination</w:t>
            </w:r>
          </w:p>
          <w:p w14:paraId="5B98C2D0" w14:textId="77777777" w:rsidR="00A65FCA" w:rsidRPr="007C4B06" w:rsidRDefault="00A65FCA" w:rsidP="004E4088">
            <w:pPr>
              <w:spacing w:before="0"/>
              <w:jc w:val="center"/>
              <w:rPr>
                <w:rFonts w:ascii="Calibri" w:eastAsia="Times New Roman" w:hAnsi="Calibri" w:cs="Times New Roman"/>
                <w:b/>
                <w:bCs/>
                <w:color w:val="000000"/>
                <w:sz w:val="20"/>
                <w:szCs w:val="20"/>
                <w:lang w:eastAsia="en-AU"/>
              </w:rPr>
            </w:pPr>
          </w:p>
        </w:tc>
      </w:tr>
      <w:tr w:rsidR="00A65FCA" w:rsidRPr="00315342" w14:paraId="2E19C6F4" w14:textId="77777777" w:rsidTr="004E4088">
        <w:trPr>
          <w:trHeight w:val="2236"/>
        </w:trPr>
        <w:tc>
          <w:tcPr>
            <w:tcW w:w="993" w:type="dxa"/>
            <w:tcBorders>
              <w:top w:val="nil"/>
              <w:left w:val="single" w:sz="8" w:space="0" w:color="FFFFFF"/>
              <w:bottom w:val="single" w:sz="8" w:space="0" w:color="FFFFFF"/>
              <w:right w:val="single" w:sz="8" w:space="0" w:color="FFFFFF"/>
            </w:tcBorders>
            <w:shd w:val="clear" w:color="000000" w:fill="E8E7E8"/>
            <w:vAlign w:val="center"/>
          </w:tcPr>
          <w:p w14:paraId="3CB033EE" w14:textId="40E196AD" w:rsidR="00A65FCA" w:rsidRPr="007C4B06" w:rsidRDefault="00A65FCA" w:rsidP="00A65FCA">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Name</w:t>
            </w:r>
          </w:p>
        </w:tc>
        <w:tc>
          <w:tcPr>
            <w:tcW w:w="1417" w:type="dxa"/>
            <w:tcBorders>
              <w:top w:val="nil"/>
              <w:left w:val="single" w:sz="8" w:space="0" w:color="FFFFFF"/>
              <w:bottom w:val="single" w:sz="8" w:space="0" w:color="FFFFFF"/>
              <w:right w:val="single" w:sz="8" w:space="0" w:color="FFFFFF"/>
            </w:tcBorders>
            <w:shd w:val="clear" w:color="000000" w:fill="E8E7E8"/>
            <w:vAlign w:val="center"/>
          </w:tcPr>
          <w:p w14:paraId="4EC51890"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HH:MM</w:t>
            </w:r>
          </w:p>
          <w:p w14:paraId="7A4C23C0"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DD/MM/YYYY</w:t>
            </w:r>
          </w:p>
        </w:tc>
        <w:tc>
          <w:tcPr>
            <w:tcW w:w="567" w:type="dxa"/>
            <w:tcBorders>
              <w:top w:val="nil"/>
              <w:left w:val="single" w:sz="8" w:space="0" w:color="FFFFFF"/>
              <w:bottom w:val="single" w:sz="8" w:space="0" w:color="FFFFFF"/>
              <w:right w:val="single" w:sz="8" w:space="0" w:color="FFFFFF"/>
            </w:tcBorders>
            <w:shd w:val="clear" w:color="000000" w:fill="E8E7E8"/>
            <w:vAlign w:val="center"/>
          </w:tcPr>
          <w:p w14:paraId="56047BFA"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P</w:t>
            </w:r>
          </w:p>
        </w:tc>
        <w:tc>
          <w:tcPr>
            <w:tcW w:w="1134" w:type="dxa"/>
            <w:tcBorders>
              <w:top w:val="nil"/>
              <w:left w:val="single" w:sz="8" w:space="0" w:color="FFFFFF"/>
              <w:bottom w:val="single" w:sz="8" w:space="0" w:color="FFFFFF"/>
              <w:right w:val="single" w:sz="8" w:space="0" w:color="FFFFFF"/>
            </w:tcBorders>
            <w:shd w:val="clear" w:color="000000" w:fill="E8E7E8"/>
            <w:vAlign w:val="center"/>
            <w:hideMark/>
          </w:tcPr>
          <w:p w14:paraId="05151026" w14:textId="77777777" w:rsidR="00A65FCA" w:rsidRPr="007C4B06" w:rsidRDefault="00A65FCA" w:rsidP="004E4088">
            <w:pPr>
              <w:spacing w:before="0"/>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Plant or physical change</w:t>
            </w:r>
          </w:p>
        </w:tc>
        <w:tc>
          <w:tcPr>
            <w:tcW w:w="1134" w:type="dxa"/>
            <w:tcBorders>
              <w:top w:val="nil"/>
              <w:left w:val="nil"/>
              <w:bottom w:val="single" w:sz="8" w:space="0" w:color="FFFFFF"/>
              <w:right w:val="single" w:sz="8" w:space="0" w:color="FFFFFF"/>
            </w:tcBorders>
            <w:shd w:val="clear" w:color="000000" w:fill="E8E7E8"/>
            <w:vAlign w:val="center"/>
            <w:hideMark/>
          </w:tcPr>
          <w:p w14:paraId="14192B9E" w14:textId="77777777" w:rsidR="00A65FCA" w:rsidRPr="007C4B06" w:rsidRDefault="00A65FCA" w:rsidP="004E4088">
            <w:pPr>
              <w:spacing w:before="0"/>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DD/MM/YYYY</w:t>
            </w:r>
          </w:p>
        </w:tc>
        <w:tc>
          <w:tcPr>
            <w:tcW w:w="1276" w:type="dxa"/>
            <w:tcBorders>
              <w:top w:val="nil"/>
              <w:left w:val="nil"/>
              <w:bottom w:val="single" w:sz="8" w:space="0" w:color="FFFFFF"/>
              <w:right w:val="single" w:sz="8" w:space="0" w:color="FFFFFF"/>
            </w:tcBorders>
            <w:shd w:val="clear" w:color="000000" w:fill="E8E7E8"/>
            <w:vAlign w:val="center"/>
          </w:tcPr>
          <w:p w14:paraId="24AB0D83"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51322E82"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 xml:space="preserve">HH:MM1 </w:t>
            </w:r>
          </w:p>
        </w:tc>
        <w:tc>
          <w:tcPr>
            <w:tcW w:w="1418" w:type="dxa"/>
            <w:tcBorders>
              <w:top w:val="nil"/>
              <w:left w:val="nil"/>
              <w:bottom w:val="single" w:sz="8" w:space="0" w:color="FFFFFF"/>
              <w:right w:val="single" w:sz="8" w:space="0" w:color="FFFFFF" w:themeColor="background1"/>
            </w:tcBorders>
            <w:shd w:val="clear" w:color="000000" w:fill="E8E7E8"/>
            <w:vAlign w:val="center"/>
          </w:tcPr>
          <w:p w14:paraId="0D2F1BDA"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634C3FE0"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HH:MM2</w:t>
            </w:r>
          </w:p>
        </w:tc>
        <w:tc>
          <w:tcPr>
            <w:tcW w:w="992" w:type="dxa"/>
            <w:tcBorders>
              <w:top w:val="nil"/>
              <w:left w:val="single" w:sz="8" w:space="0" w:color="FFFFFF" w:themeColor="background1"/>
              <w:bottom w:val="single" w:sz="8" w:space="0" w:color="FFFFFF"/>
              <w:right w:val="single" w:sz="8" w:space="0" w:color="FFFFFF"/>
            </w:tcBorders>
            <w:shd w:val="clear" w:color="000000" w:fill="E8E7E8"/>
            <w:vAlign w:val="center"/>
          </w:tcPr>
          <w:p w14:paraId="7F3B71BA"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EGP</w:t>
            </w:r>
          </w:p>
        </w:tc>
        <w:tc>
          <w:tcPr>
            <w:tcW w:w="1559" w:type="dxa"/>
            <w:tcBorders>
              <w:top w:val="nil"/>
              <w:left w:val="nil"/>
              <w:bottom w:val="single" w:sz="8" w:space="0" w:color="FFFFFF"/>
              <w:right w:val="single" w:sz="8" w:space="0" w:color="FFFFFF"/>
            </w:tcBorders>
            <w:shd w:val="clear" w:color="000000" w:fill="E8E7E8"/>
            <w:vAlign w:val="center"/>
          </w:tcPr>
          <w:p w14:paraId="2686E85B" w14:textId="77777777" w:rsidR="00A65FCA"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Auction</w:t>
            </w:r>
          </w:p>
          <w:p w14:paraId="208CA13C" w14:textId="77777777" w:rsidR="00A65FCA"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Delivery Point</w:t>
            </w:r>
          </w:p>
          <w:p w14:paraId="4E123AC9"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Receipt Point</w:t>
            </w:r>
          </w:p>
        </w:tc>
        <w:tc>
          <w:tcPr>
            <w:tcW w:w="4820" w:type="dxa"/>
            <w:tcBorders>
              <w:top w:val="nil"/>
              <w:left w:val="nil"/>
              <w:bottom w:val="single" w:sz="8" w:space="0" w:color="FFFFFF"/>
              <w:right w:val="single" w:sz="8" w:space="0" w:color="FFFFFF"/>
            </w:tcBorders>
            <w:shd w:val="clear" w:color="000000" w:fill="E8E7E8"/>
            <w:vAlign w:val="center"/>
          </w:tcPr>
          <w:p w14:paraId="2C660F81" w14:textId="77777777" w:rsidR="00A65FCA" w:rsidRPr="00A65FCA" w:rsidRDefault="00A65FCA" w:rsidP="00A65FCA">
            <w:pPr>
              <w:spacing w:before="0"/>
              <w:ind w:left="140" w:hanging="14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 xml:space="preserve">Background/context: </w:t>
            </w:r>
          </w:p>
          <w:p w14:paraId="626DA393" w14:textId="77777777" w:rsidR="00A65FCA" w:rsidRDefault="00A65FCA" w:rsidP="00A65FCA">
            <w:pPr>
              <w:pStyle w:val="ListParagraph"/>
              <w:numPr>
                <w:ilvl w:val="0"/>
                <w:numId w:val="38"/>
              </w:numPr>
              <w:spacing w:before="0" w:line="276" w:lineRule="auto"/>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 xml:space="preserve">Longford supply constrained at HH:MM on DD/MM/YYYY. </w:t>
            </w:r>
          </w:p>
          <w:p w14:paraId="232924D5" w14:textId="77777777" w:rsidR="00A65FCA" w:rsidRPr="00A65FCA" w:rsidRDefault="00A65FCA" w:rsidP="00A65FCA">
            <w:pPr>
              <w:spacing w:before="0"/>
              <w:ind w:left="140" w:hanging="14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Reason for renomination and category:</w:t>
            </w:r>
          </w:p>
          <w:p w14:paraId="7C76BE77" w14:textId="77777777" w:rsidR="00A65FCA" w:rsidRPr="00B1286D" w:rsidRDefault="00A65FCA" w:rsidP="00A65FCA">
            <w:pPr>
              <w:pStyle w:val="ListParagraph"/>
              <w:numPr>
                <w:ilvl w:val="0"/>
                <w:numId w:val="38"/>
              </w:numPr>
              <w:spacing w:before="0" w:line="276" w:lineRule="auto"/>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Longford supply constrained affecting deliveries to NSW</w:t>
            </w:r>
            <w:r>
              <w:rPr>
                <w:rFonts w:asciiTheme="minorHAnsi" w:eastAsia="Times New Roman" w:hAnsiTheme="minorHAnsi" w:cstheme="minorHAnsi"/>
                <w:color w:val="000000"/>
                <w:sz w:val="18"/>
                <w:szCs w:val="18"/>
                <w:lang w:eastAsia="en-AU"/>
              </w:rPr>
              <w:t xml:space="preserve">. Plant or physical change </w:t>
            </w:r>
            <w:r w:rsidRPr="00B1286D">
              <w:rPr>
                <w:rFonts w:asciiTheme="minorHAnsi" w:eastAsia="Times New Roman" w:hAnsiTheme="minorHAnsi" w:cstheme="minorHAnsi"/>
                <w:color w:val="000000"/>
                <w:sz w:val="18"/>
                <w:szCs w:val="18"/>
                <w:lang w:eastAsia="en-AU"/>
              </w:rPr>
              <w:t xml:space="preserve">category as </w:t>
            </w:r>
            <w:r>
              <w:rPr>
                <w:rFonts w:asciiTheme="minorHAnsi" w:eastAsia="Times New Roman" w:hAnsiTheme="minorHAnsi" w:cstheme="minorHAnsi"/>
                <w:color w:val="000000"/>
                <w:sz w:val="18"/>
                <w:szCs w:val="18"/>
                <w:lang w:eastAsia="en-AU"/>
              </w:rPr>
              <w:t xml:space="preserve">change directly impacted flows on pipeline X. </w:t>
            </w:r>
          </w:p>
          <w:p w14:paraId="7275D92F" w14:textId="77777777" w:rsidR="00A65FCA" w:rsidRPr="007C4B06" w:rsidRDefault="00A65FCA" w:rsidP="00A65FCA">
            <w:pPr>
              <w:ind w:left="140" w:hanging="140"/>
              <w:rPr>
                <w:lang w:eastAsia="en-AU"/>
              </w:rPr>
            </w:pPr>
            <w:r w:rsidRPr="00A65FCA">
              <w:rPr>
                <w:rFonts w:asciiTheme="minorHAnsi" w:eastAsia="Times New Roman" w:hAnsiTheme="minorHAnsi" w:cstheme="minorHAnsi"/>
                <w:b/>
                <w:bCs/>
                <w:color w:val="000000"/>
                <w:sz w:val="18"/>
                <w:szCs w:val="18"/>
                <w:lang w:eastAsia="en-AU"/>
              </w:rPr>
              <w:t>Further guidance (if applicable):</w:t>
            </w:r>
            <w:r w:rsidRPr="00A65FCA">
              <w:rPr>
                <w:rFonts w:asciiTheme="minorHAnsi" w:eastAsia="Times New Roman" w:hAnsiTheme="minorHAnsi" w:cstheme="minorHAnsi"/>
                <w:color w:val="000000"/>
                <w:sz w:val="18"/>
                <w:szCs w:val="18"/>
                <w:lang w:eastAsia="en-AU"/>
              </w:rPr>
              <w:t xml:space="preserve"> N/A</w:t>
            </w:r>
          </w:p>
        </w:tc>
      </w:tr>
      <w:tr w:rsidR="00A65FCA" w:rsidRPr="00315342" w14:paraId="6F0DEBA7" w14:textId="77777777" w:rsidTr="004E4088">
        <w:trPr>
          <w:trHeight w:val="3094"/>
        </w:trPr>
        <w:tc>
          <w:tcPr>
            <w:tcW w:w="993" w:type="dxa"/>
            <w:tcBorders>
              <w:top w:val="nil"/>
              <w:left w:val="single" w:sz="8" w:space="0" w:color="FFFFFF"/>
              <w:bottom w:val="single" w:sz="8" w:space="0" w:color="FFFFFF"/>
              <w:right w:val="single" w:sz="8" w:space="0" w:color="FFFFFF"/>
            </w:tcBorders>
            <w:shd w:val="clear" w:color="000000" w:fill="E8E7E8"/>
            <w:vAlign w:val="center"/>
          </w:tcPr>
          <w:p w14:paraId="35EF9A58" w14:textId="4723A450" w:rsidR="00A65FCA" w:rsidRPr="007C4B06" w:rsidRDefault="00A65FCA" w:rsidP="00A65FCA">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Name</w:t>
            </w:r>
          </w:p>
        </w:tc>
        <w:tc>
          <w:tcPr>
            <w:tcW w:w="1417" w:type="dxa"/>
            <w:tcBorders>
              <w:top w:val="nil"/>
              <w:left w:val="single" w:sz="8" w:space="0" w:color="FFFFFF"/>
              <w:bottom w:val="single" w:sz="8" w:space="0" w:color="FFFFFF"/>
              <w:right w:val="single" w:sz="8" w:space="0" w:color="FFFFFF"/>
            </w:tcBorders>
            <w:shd w:val="clear" w:color="000000" w:fill="E8E7E8"/>
            <w:vAlign w:val="center"/>
          </w:tcPr>
          <w:p w14:paraId="4400EF25"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HH:MM</w:t>
            </w:r>
          </w:p>
          <w:p w14:paraId="72E33BB9"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DD/MM/YYYY</w:t>
            </w:r>
          </w:p>
        </w:tc>
        <w:tc>
          <w:tcPr>
            <w:tcW w:w="567" w:type="dxa"/>
            <w:tcBorders>
              <w:top w:val="nil"/>
              <w:left w:val="single" w:sz="8" w:space="0" w:color="FFFFFF"/>
              <w:bottom w:val="single" w:sz="8" w:space="0" w:color="FFFFFF"/>
              <w:right w:val="single" w:sz="8" w:space="0" w:color="FFFFFF"/>
            </w:tcBorders>
            <w:shd w:val="clear" w:color="000000" w:fill="E8E7E8"/>
            <w:vAlign w:val="center"/>
          </w:tcPr>
          <w:p w14:paraId="12772DE2"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M</w:t>
            </w:r>
          </w:p>
        </w:tc>
        <w:tc>
          <w:tcPr>
            <w:tcW w:w="1134" w:type="dxa"/>
            <w:tcBorders>
              <w:top w:val="nil"/>
              <w:left w:val="single" w:sz="8" w:space="0" w:color="FFFFFF"/>
              <w:bottom w:val="single" w:sz="8" w:space="0" w:color="FFFFFF"/>
              <w:right w:val="single" w:sz="8" w:space="0" w:color="FFFFFF"/>
            </w:tcBorders>
            <w:shd w:val="clear" w:color="000000" w:fill="E8E7E8"/>
            <w:vAlign w:val="center"/>
            <w:hideMark/>
          </w:tcPr>
          <w:p w14:paraId="0127EC61" w14:textId="77777777" w:rsidR="00A65FCA" w:rsidRPr="007C4B06" w:rsidRDefault="00A65FCA" w:rsidP="004E4088">
            <w:pPr>
              <w:spacing w:before="0"/>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Market Change</w:t>
            </w:r>
          </w:p>
        </w:tc>
        <w:tc>
          <w:tcPr>
            <w:tcW w:w="1134" w:type="dxa"/>
            <w:tcBorders>
              <w:top w:val="nil"/>
              <w:left w:val="nil"/>
              <w:bottom w:val="single" w:sz="8" w:space="0" w:color="FFFFFF"/>
              <w:right w:val="single" w:sz="8" w:space="0" w:color="FFFFFF"/>
            </w:tcBorders>
            <w:shd w:val="clear" w:color="000000" w:fill="E8E7E8"/>
            <w:vAlign w:val="center"/>
            <w:hideMark/>
          </w:tcPr>
          <w:p w14:paraId="73A3FE55" w14:textId="77777777" w:rsidR="00A65FCA" w:rsidRPr="007C4B06" w:rsidRDefault="00A65FCA" w:rsidP="004E4088">
            <w:pPr>
              <w:spacing w:before="0"/>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DD/MM/YYYY</w:t>
            </w:r>
          </w:p>
        </w:tc>
        <w:tc>
          <w:tcPr>
            <w:tcW w:w="1276" w:type="dxa"/>
            <w:tcBorders>
              <w:top w:val="nil"/>
              <w:left w:val="nil"/>
              <w:bottom w:val="single" w:sz="8" w:space="0" w:color="FFFFFF"/>
              <w:right w:val="single" w:sz="8" w:space="0" w:color="FFFFFF"/>
            </w:tcBorders>
            <w:shd w:val="clear" w:color="000000" w:fill="E8E7E8"/>
            <w:vAlign w:val="center"/>
          </w:tcPr>
          <w:p w14:paraId="7560EC73"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225C00F9"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HH:MM1</w:t>
            </w:r>
          </w:p>
        </w:tc>
        <w:tc>
          <w:tcPr>
            <w:tcW w:w="1418" w:type="dxa"/>
            <w:tcBorders>
              <w:top w:val="nil"/>
              <w:left w:val="nil"/>
              <w:bottom w:val="single" w:sz="8" w:space="0" w:color="FFFFFF" w:themeColor="background1"/>
              <w:right w:val="single" w:sz="8" w:space="0" w:color="FFFFFF" w:themeColor="background1"/>
            </w:tcBorders>
            <w:shd w:val="clear" w:color="000000" w:fill="E8E7E8"/>
            <w:vAlign w:val="center"/>
          </w:tcPr>
          <w:p w14:paraId="3E9E1A69"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526812B3" w14:textId="77777777" w:rsidR="00A65FCA" w:rsidRPr="007C4B06" w:rsidRDefault="00A65FCA" w:rsidP="00A65FCA">
            <w:pPr>
              <w:pStyle w:val="ListParagraph"/>
              <w:numPr>
                <w:ilvl w:val="0"/>
                <w:numId w:val="0"/>
              </w:numPr>
              <w:spacing w:before="0"/>
              <w:ind w:left="203"/>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HH:MM2</w:t>
            </w:r>
          </w:p>
        </w:tc>
        <w:tc>
          <w:tcPr>
            <w:tcW w:w="992" w:type="dxa"/>
            <w:tcBorders>
              <w:top w:val="nil"/>
              <w:left w:val="single" w:sz="8" w:space="0" w:color="FFFFFF" w:themeColor="background1"/>
              <w:bottom w:val="single" w:sz="8" w:space="0" w:color="FFFFFF" w:themeColor="background1"/>
              <w:right w:val="single" w:sz="8" w:space="0" w:color="FFFFFF"/>
            </w:tcBorders>
            <w:shd w:val="clear" w:color="000000" w:fill="E8E7E8"/>
            <w:vAlign w:val="center"/>
          </w:tcPr>
          <w:p w14:paraId="7DA22DB9"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MAPS</w:t>
            </w:r>
          </w:p>
        </w:tc>
        <w:tc>
          <w:tcPr>
            <w:tcW w:w="1559" w:type="dxa"/>
            <w:tcBorders>
              <w:top w:val="nil"/>
              <w:left w:val="nil"/>
              <w:bottom w:val="single" w:sz="8" w:space="0" w:color="FFFFFF" w:themeColor="background1"/>
              <w:right w:val="single" w:sz="8" w:space="0" w:color="FFFFFF"/>
            </w:tcBorders>
            <w:shd w:val="clear" w:color="000000" w:fill="E8E7E8"/>
            <w:vAlign w:val="center"/>
          </w:tcPr>
          <w:p w14:paraId="51C10419" w14:textId="77777777" w:rsidR="00A65FCA"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 xml:space="preserve">Firm </w:t>
            </w:r>
            <w:r>
              <w:rPr>
                <w:rFonts w:asciiTheme="minorHAnsi" w:eastAsia="Times New Roman" w:hAnsiTheme="minorHAnsi" w:cstheme="minorHAnsi"/>
                <w:color w:val="000000"/>
                <w:sz w:val="18"/>
                <w:szCs w:val="18"/>
                <w:lang w:eastAsia="en-AU"/>
              </w:rPr>
              <w:t>–</w:t>
            </w:r>
            <w:r w:rsidRPr="007C4B06">
              <w:rPr>
                <w:rFonts w:asciiTheme="minorHAnsi" w:eastAsia="Times New Roman" w:hAnsiTheme="minorHAnsi" w:cstheme="minorHAnsi"/>
                <w:color w:val="000000"/>
                <w:sz w:val="18"/>
                <w:szCs w:val="18"/>
                <w:lang w:eastAsia="en-AU"/>
              </w:rPr>
              <w:t xml:space="preserve"> FH</w:t>
            </w:r>
          </w:p>
          <w:p w14:paraId="74C71084" w14:textId="77777777" w:rsidR="00A65FCA"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Delivery Point</w:t>
            </w:r>
          </w:p>
          <w:p w14:paraId="13D18534"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Receipt Point</w:t>
            </w:r>
          </w:p>
        </w:tc>
        <w:tc>
          <w:tcPr>
            <w:tcW w:w="4820" w:type="dxa"/>
            <w:tcBorders>
              <w:top w:val="nil"/>
              <w:left w:val="nil"/>
              <w:bottom w:val="single" w:sz="8" w:space="0" w:color="FFFFFF" w:themeColor="background1"/>
              <w:right w:val="single" w:sz="8" w:space="0" w:color="FFFFFF"/>
            </w:tcBorders>
            <w:shd w:val="clear" w:color="000000" w:fill="E8E7E8"/>
            <w:vAlign w:val="center"/>
          </w:tcPr>
          <w:p w14:paraId="67EFC912" w14:textId="77777777" w:rsidR="00A65FCA" w:rsidRPr="00A65FCA" w:rsidRDefault="00A65FCA" w:rsidP="00A65FCA">
            <w:pPr>
              <w:spacing w:before="0"/>
              <w:ind w:left="140" w:hanging="14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 xml:space="preserve">Background/context: </w:t>
            </w:r>
          </w:p>
          <w:p w14:paraId="7501A5AE" w14:textId="77777777" w:rsidR="00A65FCA" w:rsidRDefault="00A65FCA" w:rsidP="00A65FCA">
            <w:pPr>
              <w:pStyle w:val="ListParagraph"/>
              <w:numPr>
                <w:ilvl w:val="0"/>
                <w:numId w:val="38"/>
              </w:numPr>
              <w:spacing w:before="0" w:line="276" w:lineRule="auto"/>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Ambient temperature hotter than forecast more GPG required at XX PS</w:t>
            </w:r>
          </w:p>
          <w:p w14:paraId="5B3E04DD" w14:textId="77777777" w:rsidR="00A65FCA" w:rsidRPr="00A65FCA" w:rsidRDefault="00A65FCA" w:rsidP="00A65FCA">
            <w:pPr>
              <w:spacing w:before="0"/>
              <w:ind w:left="140" w:hanging="14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Reason for renomination and category:</w:t>
            </w:r>
          </w:p>
          <w:p w14:paraId="754D677A" w14:textId="488096D8" w:rsidR="00A65FCA" w:rsidRDefault="00A65FCA" w:rsidP="00A65FCA">
            <w:pPr>
              <w:pStyle w:val="ListParagraph"/>
              <w:numPr>
                <w:ilvl w:val="0"/>
                <w:numId w:val="38"/>
              </w:numPr>
              <w:spacing w:before="0" w:line="276" w:lineRule="auto"/>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 xml:space="preserve">Additional demand for gas from GPG customers. Market change category as additional demand driven by external factor of change in forecast weather. </w:t>
            </w:r>
          </w:p>
          <w:p w14:paraId="3587A151" w14:textId="77777777" w:rsidR="00A65FCA" w:rsidRPr="00A65FCA" w:rsidRDefault="00A65FCA" w:rsidP="00A65FCA">
            <w:pPr>
              <w:spacing w:before="0"/>
              <w:ind w:left="140" w:hanging="14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Further guidance (if applicable):</w:t>
            </w:r>
          </w:p>
          <w:p w14:paraId="2F446CC7" w14:textId="77777777" w:rsidR="00A65FCA" w:rsidRPr="007C4B06" w:rsidRDefault="00A65FCA" w:rsidP="00A65FCA">
            <w:pPr>
              <w:pStyle w:val="ListParagraph"/>
              <w:numPr>
                <w:ilvl w:val="0"/>
                <w:numId w:val="38"/>
              </w:numPr>
              <w:spacing w:before="0" w:line="276" w:lineRule="auto"/>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 xml:space="preserve">The GPG customer requested additional gas at </w:t>
            </w:r>
            <w:proofErr w:type="gramStart"/>
            <w:r>
              <w:rPr>
                <w:rFonts w:asciiTheme="minorHAnsi" w:eastAsia="Times New Roman" w:hAnsiTheme="minorHAnsi" w:cstheme="minorHAnsi"/>
                <w:color w:val="000000"/>
                <w:sz w:val="18"/>
                <w:szCs w:val="18"/>
                <w:lang w:eastAsia="en-AU"/>
              </w:rPr>
              <w:t>HH:MM.</w:t>
            </w:r>
            <w:proofErr w:type="gramEnd"/>
            <w:r>
              <w:rPr>
                <w:rFonts w:asciiTheme="minorHAnsi" w:eastAsia="Times New Roman" w:hAnsiTheme="minorHAnsi" w:cstheme="minorHAnsi"/>
                <w:color w:val="000000"/>
                <w:sz w:val="18"/>
                <w:szCs w:val="18"/>
                <w:lang w:eastAsia="en-AU"/>
              </w:rPr>
              <w:t xml:space="preserve"> We made the decision to make a renomination at </w:t>
            </w:r>
            <w:proofErr w:type="gramStart"/>
            <w:r>
              <w:rPr>
                <w:rFonts w:asciiTheme="minorHAnsi" w:eastAsia="Times New Roman" w:hAnsiTheme="minorHAnsi" w:cstheme="minorHAnsi"/>
                <w:color w:val="000000"/>
                <w:sz w:val="18"/>
                <w:szCs w:val="18"/>
                <w:lang w:eastAsia="en-AU"/>
              </w:rPr>
              <w:t>HH:MM.</w:t>
            </w:r>
            <w:proofErr w:type="gramEnd"/>
            <w:r>
              <w:rPr>
                <w:rFonts w:asciiTheme="minorHAnsi" w:eastAsia="Times New Roman" w:hAnsiTheme="minorHAnsi" w:cstheme="minorHAnsi"/>
                <w:color w:val="000000"/>
                <w:sz w:val="18"/>
                <w:szCs w:val="18"/>
                <w:lang w:eastAsia="en-AU"/>
              </w:rPr>
              <w:t xml:space="preserve"> The renomination was submitted at </w:t>
            </w:r>
            <w:proofErr w:type="gramStart"/>
            <w:r>
              <w:rPr>
                <w:rFonts w:asciiTheme="minorHAnsi" w:eastAsia="Times New Roman" w:hAnsiTheme="minorHAnsi" w:cstheme="minorHAnsi"/>
                <w:color w:val="000000"/>
                <w:sz w:val="18"/>
                <w:szCs w:val="18"/>
                <w:lang w:eastAsia="en-AU"/>
              </w:rPr>
              <w:t>HH:MM.</w:t>
            </w:r>
            <w:proofErr w:type="gramEnd"/>
            <w:r>
              <w:rPr>
                <w:rFonts w:asciiTheme="minorHAnsi" w:eastAsia="Times New Roman" w:hAnsiTheme="minorHAnsi" w:cstheme="minorHAnsi"/>
                <w:color w:val="000000"/>
                <w:sz w:val="18"/>
                <w:szCs w:val="18"/>
                <w:lang w:eastAsia="en-AU"/>
              </w:rPr>
              <w:t xml:space="preserve"> </w:t>
            </w:r>
          </w:p>
        </w:tc>
      </w:tr>
      <w:tr w:rsidR="00A65FCA" w:rsidRPr="00315342" w14:paraId="6681E806" w14:textId="77777777" w:rsidTr="004E4088">
        <w:trPr>
          <w:trHeight w:val="3094"/>
        </w:trPr>
        <w:tc>
          <w:tcPr>
            <w:tcW w:w="993" w:type="dxa"/>
            <w:tcBorders>
              <w:top w:val="nil"/>
              <w:left w:val="single" w:sz="8" w:space="0" w:color="FFFFFF"/>
              <w:bottom w:val="single" w:sz="8" w:space="0" w:color="FFFFFF"/>
              <w:right w:val="single" w:sz="8" w:space="0" w:color="FFFFFF"/>
            </w:tcBorders>
            <w:shd w:val="clear" w:color="000000" w:fill="E8E7E8"/>
            <w:vAlign w:val="center"/>
          </w:tcPr>
          <w:p w14:paraId="65D8EDAA" w14:textId="234B0225" w:rsidR="00A65FCA" w:rsidRPr="007C4B06" w:rsidRDefault="00A65FCA" w:rsidP="00A65FCA">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lastRenderedPageBreak/>
              <w:t>Name</w:t>
            </w:r>
          </w:p>
        </w:tc>
        <w:tc>
          <w:tcPr>
            <w:tcW w:w="1417" w:type="dxa"/>
            <w:tcBorders>
              <w:top w:val="nil"/>
              <w:left w:val="single" w:sz="8" w:space="0" w:color="FFFFFF"/>
              <w:bottom w:val="single" w:sz="8" w:space="0" w:color="FFFFFF"/>
              <w:right w:val="single" w:sz="8" w:space="0" w:color="FFFFFF"/>
            </w:tcBorders>
            <w:shd w:val="clear" w:color="000000" w:fill="E8E7E8"/>
            <w:vAlign w:val="center"/>
          </w:tcPr>
          <w:p w14:paraId="4E2274B0"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HH:MM</w:t>
            </w:r>
          </w:p>
          <w:p w14:paraId="1AE36D4A"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DD/MM/YYYY</w:t>
            </w:r>
          </w:p>
        </w:tc>
        <w:tc>
          <w:tcPr>
            <w:tcW w:w="567" w:type="dxa"/>
            <w:tcBorders>
              <w:top w:val="nil"/>
              <w:left w:val="single" w:sz="8" w:space="0" w:color="FFFFFF"/>
              <w:bottom w:val="single" w:sz="8" w:space="0" w:color="FFFFFF"/>
              <w:right w:val="single" w:sz="8" w:space="0" w:color="FFFFFF"/>
            </w:tcBorders>
            <w:shd w:val="clear" w:color="000000" w:fill="E8E7E8"/>
            <w:vAlign w:val="center"/>
          </w:tcPr>
          <w:p w14:paraId="21E47232"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Pr>
                <w:rFonts w:asciiTheme="minorHAnsi" w:eastAsia="Times New Roman" w:hAnsiTheme="minorHAnsi" w:cstheme="minorHAnsi"/>
                <w:sz w:val="18"/>
                <w:szCs w:val="18"/>
                <w:lang w:eastAsia="en-AU"/>
              </w:rPr>
              <w:t>MA</w:t>
            </w:r>
          </w:p>
        </w:tc>
        <w:tc>
          <w:tcPr>
            <w:tcW w:w="1134" w:type="dxa"/>
            <w:tcBorders>
              <w:top w:val="nil"/>
              <w:left w:val="single" w:sz="8" w:space="0" w:color="FFFFFF"/>
              <w:bottom w:val="single" w:sz="8" w:space="0" w:color="FFFFFF"/>
              <w:right w:val="single" w:sz="8" w:space="0" w:color="FFFFFF"/>
            </w:tcBorders>
            <w:shd w:val="clear" w:color="000000" w:fill="E8E7E8"/>
            <w:vAlign w:val="center"/>
          </w:tcPr>
          <w:p w14:paraId="53FDB87C" w14:textId="77777777" w:rsidR="00A65FCA" w:rsidRPr="007C4B06" w:rsidRDefault="00A65FCA" w:rsidP="004E4088">
            <w:pPr>
              <w:spacing w:before="0"/>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 xml:space="preserve">Market change identified or caused by AEMO </w:t>
            </w:r>
          </w:p>
        </w:tc>
        <w:tc>
          <w:tcPr>
            <w:tcW w:w="1134" w:type="dxa"/>
            <w:tcBorders>
              <w:top w:val="nil"/>
              <w:left w:val="nil"/>
              <w:bottom w:val="single" w:sz="8" w:space="0" w:color="FFFFFF"/>
              <w:right w:val="single" w:sz="8" w:space="0" w:color="FFFFFF"/>
            </w:tcBorders>
            <w:shd w:val="clear" w:color="000000" w:fill="E8E7E8"/>
            <w:vAlign w:val="center"/>
          </w:tcPr>
          <w:p w14:paraId="479B6276" w14:textId="77777777" w:rsidR="00A65FCA" w:rsidRPr="007C4B06" w:rsidRDefault="00A65FCA" w:rsidP="004E4088">
            <w:pPr>
              <w:spacing w:before="0"/>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DD/MM/YYYY</w:t>
            </w:r>
          </w:p>
        </w:tc>
        <w:tc>
          <w:tcPr>
            <w:tcW w:w="1276" w:type="dxa"/>
            <w:tcBorders>
              <w:top w:val="nil"/>
              <w:left w:val="nil"/>
              <w:bottom w:val="single" w:sz="8" w:space="0" w:color="FFFFFF"/>
              <w:right w:val="single" w:sz="8" w:space="0" w:color="FFFFFF" w:themeColor="background1"/>
            </w:tcBorders>
            <w:shd w:val="clear" w:color="000000" w:fill="E8E7E8"/>
            <w:vAlign w:val="center"/>
          </w:tcPr>
          <w:p w14:paraId="2F1D148C"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09AA03DF"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HH:MM1</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5A6340A7"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2CB41AD0"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HH:MM2</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147576BB"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EGP</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79589D40" w14:textId="77777777" w:rsidR="00A65FCA"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Auction</w:t>
            </w:r>
          </w:p>
          <w:p w14:paraId="57959EBA" w14:textId="77777777" w:rsidR="00A65FCA"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Delivery Point</w:t>
            </w:r>
          </w:p>
          <w:p w14:paraId="21F736CA"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Receipt Point</w:t>
            </w:r>
          </w:p>
        </w:tc>
        <w:tc>
          <w:tcPr>
            <w:tcW w:w="48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23FDA878" w14:textId="77777777" w:rsidR="00A65FCA" w:rsidRPr="00A65FCA" w:rsidRDefault="00A65FCA" w:rsidP="00A65FCA">
            <w:pPr>
              <w:spacing w:before="0"/>
              <w:ind w:left="140" w:hanging="14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 xml:space="preserve">Background/context: </w:t>
            </w:r>
          </w:p>
          <w:p w14:paraId="5534C933" w14:textId="77777777" w:rsidR="00A65FCA" w:rsidRPr="00B1286D" w:rsidRDefault="00A65FCA" w:rsidP="00A65FCA">
            <w:pPr>
              <w:pStyle w:val="ListParagraph"/>
              <w:numPr>
                <w:ilvl w:val="0"/>
                <w:numId w:val="38"/>
              </w:numPr>
              <w:spacing w:before="0" w:line="276" w:lineRule="auto"/>
              <w:rPr>
                <w:rFonts w:asciiTheme="minorHAnsi" w:eastAsia="Times New Roman" w:hAnsiTheme="minorHAnsi" w:cstheme="minorHAnsi"/>
                <w:b/>
                <w:bCs/>
                <w:color w:val="000000"/>
                <w:sz w:val="18"/>
                <w:szCs w:val="18"/>
                <w:lang w:eastAsia="en-AU"/>
              </w:rPr>
            </w:pPr>
            <w:r>
              <w:rPr>
                <w:rFonts w:asciiTheme="minorHAnsi" w:eastAsia="Times New Roman" w:hAnsiTheme="minorHAnsi" w:cstheme="minorHAnsi"/>
                <w:color w:val="000000"/>
                <w:sz w:val="18"/>
                <w:szCs w:val="18"/>
                <w:lang w:eastAsia="en-AU"/>
              </w:rPr>
              <w:t xml:space="preserve">AEMO threat to system security notice on 19 July 2022 directed all market participants to cease purchasing gas from the DWGM for electricity generation. </w:t>
            </w:r>
          </w:p>
          <w:p w14:paraId="65179FE9" w14:textId="77777777" w:rsidR="00A65FCA" w:rsidRPr="00A65FCA" w:rsidRDefault="00A65FCA" w:rsidP="00A65FCA">
            <w:pPr>
              <w:spacing w:before="0"/>
              <w:ind w:left="140" w:hanging="14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Reason for renomination and category:</w:t>
            </w:r>
          </w:p>
          <w:p w14:paraId="565EAD8C" w14:textId="77777777" w:rsidR="00A65FCA" w:rsidRPr="007C4B06" w:rsidRDefault="00A65FCA" w:rsidP="00A65FCA">
            <w:pPr>
              <w:pStyle w:val="ListParagraph"/>
              <w:numPr>
                <w:ilvl w:val="0"/>
                <w:numId w:val="38"/>
              </w:numPr>
              <w:spacing w:before="0" w:line="276" w:lineRule="auto"/>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 xml:space="preserve">AEMO direction influenced by rapidly depleting storage levels at the Iona storage facility. Market change caused by AEMO due to market dynamics. </w:t>
            </w:r>
          </w:p>
          <w:p w14:paraId="0934B006" w14:textId="77777777" w:rsidR="00A65FCA" w:rsidRPr="003F3690" w:rsidRDefault="00A65FCA" w:rsidP="004E4088">
            <w:pPr>
              <w:spacing w:before="0"/>
              <w:rPr>
                <w:rFonts w:asciiTheme="minorHAnsi" w:eastAsia="Times New Roman" w:hAnsiTheme="minorHAnsi" w:cstheme="minorHAnsi"/>
                <w:b/>
                <w:bCs/>
                <w:color w:val="000000"/>
                <w:sz w:val="18"/>
                <w:szCs w:val="18"/>
                <w:lang w:eastAsia="en-AU"/>
              </w:rPr>
            </w:pPr>
            <w:r w:rsidRPr="003F3690">
              <w:rPr>
                <w:rFonts w:asciiTheme="minorHAnsi" w:eastAsia="Times New Roman" w:hAnsiTheme="minorHAnsi" w:cstheme="minorHAnsi"/>
                <w:b/>
                <w:bCs/>
                <w:color w:val="000000"/>
                <w:sz w:val="18"/>
                <w:szCs w:val="18"/>
                <w:lang w:eastAsia="en-AU"/>
              </w:rPr>
              <w:t>Further guidance (if applicable):</w:t>
            </w:r>
            <w:r>
              <w:rPr>
                <w:rFonts w:asciiTheme="minorHAnsi" w:eastAsia="Times New Roman" w:hAnsiTheme="minorHAnsi" w:cstheme="minorHAnsi"/>
                <w:b/>
                <w:bCs/>
                <w:color w:val="000000"/>
                <w:sz w:val="18"/>
                <w:szCs w:val="18"/>
                <w:lang w:eastAsia="en-AU"/>
              </w:rPr>
              <w:t xml:space="preserve"> </w:t>
            </w:r>
          </w:p>
          <w:p w14:paraId="455199B1" w14:textId="77777777" w:rsidR="00A65FCA" w:rsidRPr="003F3690" w:rsidRDefault="00A65FCA" w:rsidP="00A65FCA">
            <w:pPr>
              <w:pStyle w:val="ListParagraph"/>
              <w:numPr>
                <w:ilvl w:val="0"/>
                <w:numId w:val="40"/>
              </w:numPr>
              <w:spacing w:before="0" w:line="276" w:lineRule="auto"/>
              <w:rPr>
                <w:rFonts w:asciiTheme="minorHAnsi" w:eastAsia="Times New Roman" w:hAnsiTheme="minorHAnsi" w:cstheme="minorHAnsi"/>
                <w:color w:val="000000"/>
                <w:sz w:val="18"/>
                <w:szCs w:val="18"/>
                <w:lang w:eastAsia="en-AU"/>
              </w:rPr>
            </w:pPr>
            <w:r w:rsidRPr="003F3690">
              <w:rPr>
                <w:rFonts w:asciiTheme="minorHAnsi" w:eastAsia="Times New Roman" w:hAnsiTheme="minorHAnsi" w:cstheme="minorHAnsi"/>
                <w:color w:val="000000"/>
                <w:sz w:val="18"/>
                <w:szCs w:val="18"/>
                <w:lang w:eastAsia="en-AU"/>
              </w:rPr>
              <w:t xml:space="preserve">This AEMO threat to system security will remain until 30 September 2022. </w:t>
            </w:r>
          </w:p>
        </w:tc>
      </w:tr>
      <w:tr w:rsidR="00A65FCA" w:rsidRPr="00315342" w14:paraId="10F1005A" w14:textId="77777777" w:rsidTr="004E4088">
        <w:trPr>
          <w:trHeight w:val="3094"/>
        </w:trPr>
        <w:tc>
          <w:tcPr>
            <w:tcW w:w="993" w:type="dxa"/>
            <w:tcBorders>
              <w:top w:val="nil"/>
              <w:left w:val="single" w:sz="8" w:space="0" w:color="FFFFFF"/>
              <w:bottom w:val="single" w:sz="8" w:space="0" w:color="FFFFFF"/>
              <w:right w:val="single" w:sz="8" w:space="0" w:color="FFFFFF"/>
            </w:tcBorders>
            <w:shd w:val="clear" w:color="000000" w:fill="E8E7E8"/>
            <w:vAlign w:val="center"/>
          </w:tcPr>
          <w:p w14:paraId="59BC51D1" w14:textId="56B971AE" w:rsidR="00A65FCA" w:rsidRPr="007C4B06" w:rsidRDefault="00A65FCA" w:rsidP="00A65FCA">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Name</w:t>
            </w:r>
          </w:p>
        </w:tc>
        <w:tc>
          <w:tcPr>
            <w:tcW w:w="1417" w:type="dxa"/>
            <w:tcBorders>
              <w:top w:val="nil"/>
              <w:left w:val="single" w:sz="8" w:space="0" w:color="FFFFFF"/>
              <w:bottom w:val="single" w:sz="8" w:space="0" w:color="FFFFFF"/>
              <w:right w:val="single" w:sz="8" w:space="0" w:color="FFFFFF"/>
            </w:tcBorders>
            <w:shd w:val="clear" w:color="000000" w:fill="E8E7E8"/>
            <w:vAlign w:val="center"/>
          </w:tcPr>
          <w:p w14:paraId="289BB397"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HH:MM</w:t>
            </w:r>
          </w:p>
          <w:p w14:paraId="78457A93"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DD/MM/YYYY</w:t>
            </w:r>
          </w:p>
        </w:tc>
        <w:tc>
          <w:tcPr>
            <w:tcW w:w="567" w:type="dxa"/>
            <w:tcBorders>
              <w:top w:val="nil"/>
              <w:left w:val="single" w:sz="8" w:space="0" w:color="FFFFFF"/>
              <w:bottom w:val="single" w:sz="8" w:space="0" w:color="FFFFFF"/>
              <w:right w:val="single" w:sz="8" w:space="0" w:color="FFFFFF"/>
            </w:tcBorders>
            <w:shd w:val="clear" w:color="000000" w:fill="E8E7E8"/>
            <w:vAlign w:val="center"/>
          </w:tcPr>
          <w:p w14:paraId="1C7C47A0" w14:textId="77777777" w:rsidR="00A65FCA"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E</w:t>
            </w:r>
          </w:p>
        </w:tc>
        <w:tc>
          <w:tcPr>
            <w:tcW w:w="1134" w:type="dxa"/>
            <w:tcBorders>
              <w:top w:val="nil"/>
              <w:left w:val="single" w:sz="8" w:space="0" w:color="FFFFFF"/>
              <w:bottom w:val="single" w:sz="8" w:space="0" w:color="FFFFFF"/>
              <w:right w:val="single" w:sz="8" w:space="0" w:color="FFFFFF"/>
            </w:tcBorders>
            <w:shd w:val="clear" w:color="000000" w:fill="E8E7E8"/>
            <w:vAlign w:val="center"/>
          </w:tcPr>
          <w:p w14:paraId="66D48017" w14:textId="77777777" w:rsidR="00A65FCA" w:rsidRDefault="00A65FCA" w:rsidP="004E4088">
            <w:pPr>
              <w:spacing w:before="0"/>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Error</w:t>
            </w:r>
          </w:p>
        </w:tc>
        <w:tc>
          <w:tcPr>
            <w:tcW w:w="1134" w:type="dxa"/>
            <w:tcBorders>
              <w:top w:val="nil"/>
              <w:left w:val="nil"/>
              <w:bottom w:val="single" w:sz="8" w:space="0" w:color="FFFFFF"/>
              <w:right w:val="single" w:sz="8" w:space="0" w:color="FFFFFF"/>
            </w:tcBorders>
            <w:shd w:val="clear" w:color="000000" w:fill="E8E7E8"/>
            <w:vAlign w:val="center"/>
          </w:tcPr>
          <w:p w14:paraId="0142F0B0" w14:textId="77777777" w:rsidR="00A65FCA" w:rsidRPr="007C4B06" w:rsidRDefault="00A65FCA" w:rsidP="004E4088">
            <w:pPr>
              <w:spacing w:before="0"/>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DD/MM/YYYY</w:t>
            </w:r>
          </w:p>
        </w:tc>
        <w:tc>
          <w:tcPr>
            <w:tcW w:w="1276" w:type="dxa"/>
            <w:tcBorders>
              <w:top w:val="nil"/>
              <w:left w:val="nil"/>
              <w:bottom w:val="single" w:sz="8" w:space="0" w:color="FFFFFF"/>
              <w:right w:val="single" w:sz="8" w:space="0" w:color="FFFFFF" w:themeColor="background1"/>
            </w:tcBorders>
            <w:shd w:val="clear" w:color="000000" w:fill="E8E7E8"/>
            <w:vAlign w:val="center"/>
          </w:tcPr>
          <w:p w14:paraId="00184CDC"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3F493AE3"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HH:MM1</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7764E6D2"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74F7FD7F"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HH:MM2</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68C4F10A"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MSP</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665FE8DE" w14:textId="3A184A8E" w:rsidR="00A65FCA"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Firm -</w:t>
            </w:r>
            <w:r w:rsidR="008C2381">
              <w:rPr>
                <w:rFonts w:asciiTheme="minorHAnsi" w:eastAsia="Times New Roman" w:hAnsiTheme="minorHAnsi" w:cstheme="minorHAnsi"/>
                <w:color w:val="000000"/>
                <w:sz w:val="18"/>
                <w:szCs w:val="18"/>
                <w:lang w:eastAsia="en-AU"/>
              </w:rPr>
              <w:t xml:space="preserve"> </w:t>
            </w:r>
            <w:r w:rsidRPr="007C4B06">
              <w:rPr>
                <w:rFonts w:asciiTheme="minorHAnsi" w:eastAsia="Times New Roman" w:hAnsiTheme="minorHAnsi" w:cstheme="minorHAnsi"/>
                <w:color w:val="000000"/>
                <w:sz w:val="18"/>
                <w:szCs w:val="18"/>
                <w:lang w:eastAsia="en-AU"/>
              </w:rPr>
              <w:t>FH</w:t>
            </w:r>
          </w:p>
          <w:p w14:paraId="08757D7F" w14:textId="77777777" w:rsidR="00A65FCA"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Delivery Point</w:t>
            </w:r>
          </w:p>
          <w:p w14:paraId="1E5C1362"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Receipt Point</w:t>
            </w:r>
          </w:p>
        </w:tc>
        <w:tc>
          <w:tcPr>
            <w:tcW w:w="48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4D604A74" w14:textId="77777777" w:rsidR="00A65FCA" w:rsidRPr="00A65FCA" w:rsidRDefault="00A65FCA" w:rsidP="00A65FCA">
            <w:pPr>
              <w:spacing w:before="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 xml:space="preserve">Background/context: </w:t>
            </w:r>
          </w:p>
          <w:p w14:paraId="0215124C" w14:textId="77777777" w:rsidR="00A65FCA" w:rsidRDefault="00A65FCA" w:rsidP="00A65FCA">
            <w:pPr>
              <w:pStyle w:val="ListParagraph"/>
              <w:numPr>
                <w:ilvl w:val="0"/>
                <w:numId w:val="39"/>
              </w:numPr>
              <w:spacing w:before="0" w:line="276" w:lineRule="auto"/>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 xml:space="preserve">Staff previously rebid/submitted at HH:MM the incorrect amount. </w:t>
            </w:r>
          </w:p>
          <w:p w14:paraId="7D6B8C07" w14:textId="77777777" w:rsidR="00A65FCA" w:rsidRPr="00A65FCA" w:rsidRDefault="00A65FCA" w:rsidP="00A65FCA">
            <w:pPr>
              <w:spacing w:before="0"/>
              <w:ind w:left="140" w:hanging="14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Reason for renomination and category:</w:t>
            </w:r>
          </w:p>
          <w:p w14:paraId="21E7DF02" w14:textId="77777777" w:rsidR="00A65FCA" w:rsidRDefault="00A65FCA" w:rsidP="00A65FCA">
            <w:pPr>
              <w:pStyle w:val="ListParagraph"/>
              <w:numPr>
                <w:ilvl w:val="0"/>
                <w:numId w:val="39"/>
              </w:numPr>
              <w:spacing w:before="0" w:line="276" w:lineRule="auto"/>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 xml:space="preserve">Error in previous rebid/submission. Error category as it was a mistake by staff. </w:t>
            </w:r>
          </w:p>
          <w:p w14:paraId="576320DF" w14:textId="77777777" w:rsidR="00A65FCA" w:rsidRPr="00A65FCA" w:rsidRDefault="00A65FCA" w:rsidP="00A65FCA">
            <w:pPr>
              <w:spacing w:before="0"/>
              <w:ind w:left="140" w:hanging="140"/>
              <w:rPr>
                <w:rFonts w:asciiTheme="minorHAnsi" w:eastAsia="Times New Roman" w:hAnsiTheme="minorHAnsi" w:cstheme="minorHAnsi"/>
                <w:b/>
                <w:bCs/>
                <w:color w:val="000000"/>
                <w:sz w:val="18"/>
                <w:szCs w:val="18"/>
                <w:lang w:eastAsia="en-AU"/>
              </w:rPr>
            </w:pPr>
            <w:r w:rsidRPr="00A65FCA">
              <w:rPr>
                <w:rFonts w:asciiTheme="minorHAnsi" w:eastAsia="Times New Roman" w:hAnsiTheme="minorHAnsi" w:cstheme="minorHAnsi"/>
                <w:b/>
                <w:bCs/>
                <w:color w:val="000000"/>
                <w:sz w:val="18"/>
                <w:szCs w:val="18"/>
                <w:lang w:eastAsia="en-AU"/>
              </w:rPr>
              <w:t xml:space="preserve">Further guidance (if applicable): </w:t>
            </w:r>
            <w:r w:rsidRPr="00A65FCA">
              <w:rPr>
                <w:rFonts w:asciiTheme="minorHAnsi" w:eastAsia="Times New Roman" w:hAnsiTheme="minorHAnsi" w:cstheme="minorHAnsi"/>
                <w:color w:val="000000"/>
                <w:sz w:val="18"/>
                <w:szCs w:val="18"/>
                <w:lang w:eastAsia="en-AU"/>
              </w:rPr>
              <w:t>N/A</w:t>
            </w:r>
          </w:p>
        </w:tc>
      </w:tr>
      <w:tr w:rsidR="00A65FCA" w:rsidRPr="00315342" w14:paraId="2A0F507A" w14:textId="77777777" w:rsidTr="004E4088">
        <w:trPr>
          <w:trHeight w:val="3094"/>
        </w:trPr>
        <w:tc>
          <w:tcPr>
            <w:tcW w:w="993" w:type="dxa"/>
            <w:tcBorders>
              <w:top w:val="nil"/>
              <w:left w:val="single" w:sz="8" w:space="0" w:color="FFFFFF"/>
              <w:bottom w:val="single" w:sz="8" w:space="0" w:color="FFFFFF"/>
              <w:right w:val="single" w:sz="8" w:space="0" w:color="FFFFFF"/>
            </w:tcBorders>
            <w:shd w:val="clear" w:color="000000" w:fill="E8E7E8"/>
            <w:vAlign w:val="center"/>
          </w:tcPr>
          <w:p w14:paraId="6FC0FE45" w14:textId="2D1F680D" w:rsidR="00A65FCA" w:rsidRPr="007C4B06" w:rsidRDefault="00A65FCA" w:rsidP="00CF288A">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lastRenderedPageBreak/>
              <w:t>Name</w:t>
            </w:r>
          </w:p>
        </w:tc>
        <w:tc>
          <w:tcPr>
            <w:tcW w:w="1417" w:type="dxa"/>
            <w:tcBorders>
              <w:top w:val="nil"/>
              <w:left w:val="single" w:sz="8" w:space="0" w:color="FFFFFF"/>
              <w:bottom w:val="single" w:sz="8" w:space="0" w:color="FFFFFF"/>
              <w:right w:val="single" w:sz="8" w:space="0" w:color="FFFFFF"/>
            </w:tcBorders>
            <w:shd w:val="clear" w:color="000000" w:fill="E8E7E8"/>
            <w:vAlign w:val="center"/>
          </w:tcPr>
          <w:p w14:paraId="59E79B18"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HH:MM</w:t>
            </w:r>
          </w:p>
          <w:p w14:paraId="2535D5A4"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DD/MM/YYYY</w:t>
            </w:r>
          </w:p>
        </w:tc>
        <w:tc>
          <w:tcPr>
            <w:tcW w:w="567" w:type="dxa"/>
            <w:tcBorders>
              <w:top w:val="nil"/>
              <w:left w:val="single" w:sz="8" w:space="0" w:color="FFFFFF"/>
              <w:bottom w:val="single" w:sz="8" w:space="0" w:color="FFFFFF"/>
              <w:right w:val="single" w:sz="8" w:space="0" w:color="FFFFFF"/>
            </w:tcBorders>
            <w:shd w:val="clear" w:color="000000" w:fill="E8E7E8"/>
            <w:vAlign w:val="center"/>
          </w:tcPr>
          <w:p w14:paraId="1D51B9F7" w14:textId="77777777" w:rsidR="00A65FCA" w:rsidRPr="007C4B06" w:rsidRDefault="00A65FCA" w:rsidP="004E4088">
            <w:pPr>
              <w:spacing w:before="0"/>
              <w:jc w:val="center"/>
              <w:rPr>
                <w:rFonts w:asciiTheme="minorHAnsi" w:eastAsia="Times New Roman" w:hAnsiTheme="minorHAnsi" w:cstheme="minorHAnsi"/>
                <w:sz w:val="18"/>
                <w:szCs w:val="18"/>
                <w:lang w:eastAsia="en-AU"/>
              </w:rPr>
            </w:pPr>
            <w:r w:rsidRPr="007C4B06">
              <w:rPr>
                <w:rFonts w:asciiTheme="minorHAnsi" w:eastAsia="Times New Roman" w:hAnsiTheme="minorHAnsi" w:cstheme="minorHAnsi"/>
                <w:sz w:val="18"/>
                <w:szCs w:val="18"/>
                <w:lang w:eastAsia="en-AU"/>
              </w:rPr>
              <w:t>E</w:t>
            </w:r>
            <w:r>
              <w:rPr>
                <w:rFonts w:asciiTheme="minorHAnsi" w:eastAsia="Times New Roman" w:hAnsiTheme="minorHAnsi" w:cstheme="minorHAnsi"/>
                <w:sz w:val="18"/>
                <w:szCs w:val="18"/>
                <w:lang w:eastAsia="en-AU"/>
              </w:rPr>
              <w:t>O</w:t>
            </w:r>
          </w:p>
        </w:tc>
        <w:tc>
          <w:tcPr>
            <w:tcW w:w="1134" w:type="dxa"/>
            <w:tcBorders>
              <w:top w:val="nil"/>
              <w:left w:val="single" w:sz="8" w:space="0" w:color="FFFFFF"/>
              <w:bottom w:val="single" w:sz="8" w:space="0" w:color="FFFFFF"/>
              <w:right w:val="single" w:sz="8" w:space="0" w:color="FFFFFF"/>
            </w:tcBorders>
            <w:shd w:val="clear" w:color="000000" w:fill="E8E7E8"/>
            <w:vAlign w:val="center"/>
          </w:tcPr>
          <w:p w14:paraId="6357F3D9" w14:textId="77777777" w:rsidR="00A65FCA" w:rsidRPr="007C4B06" w:rsidRDefault="00A65FCA" w:rsidP="004E4088">
            <w:pPr>
              <w:spacing w:before="0"/>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Error</w:t>
            </w:r>
            <w:r>
              <w:rPr>
                <w:rFonts w:asciiTheme="minorHAnsi" w:eastAsia="Times New Roman" w:hAnsiTheme="minorHAnsi" w:cstheme="minorHAnsi"/>
                <w:color w:val="000000"/>
                <w:sz w:val="18"/>
                <w:szCs w:val="18"/>
                <w:lang w:eastAsia="en-AU"/>
              </w:rPr>
              <w:t xml:space="preserve"> made by third party </w:t>
            </w:r>
          </w:p>
        </w:tc>
        <w:tc>
          <w:tcPr>
            <w:tcW w:w="1134" w:type="dxa"/>
            <w:tcBorders>
              <w:top w:val="nil"/>
              <w:left w:val="nil"/>
              <w:bottom w:val="single" w:sz="8" w:space="0" w:color="FFFFFF"/>
              <w:right w:val="single" w:sz="8" w:space="0" w:color="FFFFFF"/>
            </w:tcBorders>
            <w:shd w:val="clear" w:color="000000" w:fill="E8E7E8"/>
            <w:vAlign w:val="center"/>
          </w:tcPr>
          <w:p w14:paraId="4032B1BC" w14:textId="77777777" w:rsidR="00A65FCA" w:rsidRPr="007C4B06" w:rsidRDefault="00A65FCA" w:rsidP="004E4088">
            <w:pPr>
              <w:spacing w:before="0"/>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DD/MM/YYYY</w:t>
            </w:r>
          </w:p>
        </w:tc>
        <w:tc>
          <w:tcPr>
            <w:tcW w:w="1276" w:type="dxa"/>
            <w:tcBorders>
              <w:top w:val="nil"/>
              <w:left w:val="nil"/>
              <w:bottom w:val="single" w:sz="8" w:space="0" w:color="FFFFFF"/>
              <w:right w:val="single" w:sz="8" w:space="0" w:color="FFFFFF" w:themeColor="background1"/>
            </w:tcBorders>
            <w:shd w:val="clear" w:color="000000" w:fill="E8E7E8"/>
            <w:vAlign w:val="center"/>
          </w:tcPr>
          <w:p w14:paraId="73D95455"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73853551"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HH:MM1</w:t>
            </w:r>
          </w:p>
        </w:tc>
        <w:tc>
          <w:tcPr>
            <w:tcW w:w="141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585B48C1"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DD:MM</w:t>
            </w:r>
          </w:p>
          <w:p w14:paraId="4102F658"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HH:MM2</w:t>
            </w:r>
          </w:p>
        </w:tc>
        <w:tc>
          <w:tcPr>
            <w:tcW w:w="9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29B16CD4"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MAPS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16A8D936" w14:textId="77777777" w:rsidR="00A65FCA" w:rsidRDefault="00A65FCA" w:rsidP="004E4088">
            <w:pPr>
              <w:spacing w:before="0"/>
              <w:jc w:val="center"/>
              <w:rPr>
                <w:rFonts w:asciiTheme="minorHAnsi" w:eastAsia="Times New Roman" w:hAnsiTheme="minorHAnsi" w:cstheme="minorHAnsi"/>
                <w:color w:val="000000"/>
                <w:sz w:val="18"/>
                <w:szCs w:val="18"/>
                <w:lang w:eastAsia="en-AU"/>
              </w:rPr>
            </w:pPr>
            <w:r w:rsidRPr="007C4B06">
              <w:rPr>
                <w:rFonts w:asciiTheme="minorHAnsi" w:eastAsia="Times New Roman" w:hAnsiTheme="minorHAnsi" w:cstheme="minorHAnsi"/>
                <w:color w:val="000000"/>
                <w:sz w:val="18"/>
                <w:szCs w:val="18"/>
                <w:lang w:eastAsia="en-AU"/>
              </w:rPr>
              <w:t xml:space="preserve">Firm </w:t>
            </w:r>
            <w:r>
              <w:rPr>
                <w:rFonts w:asciiTheme="minorHAnsi" w:eastAsia="Times New Roman" w:hAnsiTheme="minorHAnsi" w:cstheme="minorHAnsi"/>
                <w:color w:val="000000"/>
                <w:sz w:val="18"/>
                <w:szCs w:val="18"/>
                <w:lang w:eastAsia="en-AU"/>
              </w:rPr>
              <w:t>–</w:t>
            </w:r>
            <w:r w:rsidRPr="007C4B06">
              <w:rPr>
                <w:rFonts w:asciiTheme="minorHAnsi" w:eastAsia="Times New Roman" w:hAnsiTheme="minorHAnsi" w:cstheme="minorHAnsi"/>
                <w:color w:val="000000"/>
                <w:sz w:val="18"/>
                <w:szCs w:val="18"/>
                <w:lang w:eastAsia="en-AU"/>
              </w:rPr>
              <w:t xml:space="preserve"> FH</w:t>
            </w:r>
          </w:p>
          <w:p w14:paraId="66A19813" w14:textId="77777777" w:rsidR="00A65FCA"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Delivery Point</w:t>
            </w:r>
          </w:p>
          <w:p w14:paraId="6053F83A" w14:textId="77777777" w:rsidR="00A65FCA" w:rsidRPr="007C4B06" w:rsidRDefault="00A65FCA" w:rsidP="004E4088">
            <w:pPr>
              <w:spacing w:before="0"/>
              <w:jc w:val="center"/>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Receipt Point</w:t>
            </w:r>
          </w:p>
        </w:tc>
        <w:tc>
          <w:tcPr>
            <w:tcW w:w="48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E8E7E8"/>
            <w:vAlign w:val="center"/>
          </w:tcPr>
          <w:p w14:paraId="1066B56B" w14:textId="77777777" w:rsidR="00A65FCA" w:rsidRPr="00CD3BCA" w:rsidRDefault="00A65FCA" w:rsidP="00CD3BCA">
            <w:pPr>
              <w:spacing w:before="0"/>
              <w:ind w:left="140" w:hanging="140"/>
              <w:rPr>
                <w:rFonts w:asciiTheme="minorHAnsi" w:eastAsia="Times New Roman" w:hAnsiTheme="minorHAnsi" w:cstheme="minorHAnsi"/>
                <w:b/>
                <w:bCs/>
                <w:color w:val="000000"/>
                <w:sz w:val="18"/>
                <w:szCs w:val="18"/>
                <w:lang w:eastAsia="en-AU"/>
              </w:rPr>
            </w:pPr>
            <w:r w:rsidRPr="00CD3BCA">
              <w:rPr>
                <w:rFonts w:asciiTheme="minorHAnsi" w:eastAsia="Times New Roman" w:hAnsiTheme="minorHAnsi" w:cstheme="minorHAnsi"/>
                <w:b/>
                <w:bCs/>
                <w:color w:val="000000"/>
                <w:sz w:val="18"/>
                <w:szCs w:val="18"/>
                <w:lang w:eastAsia="en-AU"/>
              </w:rPr>
              <w:t xml:space="preserve">Background/context: </w:t>
            </w:r>
          </w:p>
          <w:p w14:paraId="4F4A965F" w14:textId="77777777" w:rsidR="00A65FCA" w:rsidRDefault="00A65FCA" w:rsidP="00A65FCA">
            <w:pPr>
              <w:pStyle w:val="ListParagraph"/>
              <w:numPr>
                <w:ilvl w:val="0"/>
                <w:numId w:val="39"/>
              </w:numPr>
              <w:spacing w:before="0" w:line="276" w:lineRule="auto"/>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 xml:space="preserve">Customer X made an error when submitting information to </w:t>
            </w:r>
            <w:r w:rsidRPr="008A0F71">
              <w:rPr>
                <w:rFonts w:asciiTheme="minorHAnsi" w:eastAsia="Times New Roman" w:hAnsiTheme="minorHAnsi" w:cstheme="minorHAnsi"/>
                <w:color w:val="000000"/>
                <w:sz w:val="18"/>
                <w:szCs w:val="18"/>
                <w:lang w:eastAsia="en-AU"/>
              </w:rPr>
              <w:t>a facility transport user.</w:t>
            </w:r>
            <w:r>
              <w:rPr>
                <w:rFonts w:asciiTheme="minorHAnsi" w:eastAsia="Times New Roman" w:hAnsiTheme="minorHAnsi" w:cstheme="minorHAnsi"/>
                <w:color w:val="000000"/>
                <w:sz w:val="18"/>
                <w:szCs w:val="18"/>
                <w:lang w:eastAsia="en-AU"/>
              </w:rPr>
              <w:t xml:space="preserve"> They mistakenly added an extra digit to their figure. </w:t>
            </w:r>
          </w:p>
          <w:p w14:paraId="7B77A5CE" w14:textId="77777777" w:rsidR="00A65FCA" w:rsidRPr="00CD3BCA" w:rsidRDefault="00A65FCA" w:rsidP="00CD3BCA">
            <w:pPr>
              <w:spacing w:before="0"/>
              <w:ind w:left="140" w:hanging="140"/>
              <w:rPr>
                <w:rFonts w:asciiTheme="minorHAnsi" w:eastAsia="Times New Roman" w:hAnsiTheme="minorHAnsi" w:cstheme="minorHAnsi"/>
                <w:b/>
                <w:bCs/>
                <w:color w:val="000000"/>
                <w:sz w:val="18"/>
                <w:szCs w:val="18"/>
                <w:lang w:eastAsia="en-AU"/>
              </w:rPr>
            </w:pPr>
            <w:r w:rsidRPr="00CD3BCA">
              <w:rPr>
                <w:rFonts w:asciiTheme="minorHAnsi" w:eastAsia="Times New Roman" w:hAnsiTheme="minorHAnsi" w:cstheme="minorHAnsi"/>
                <w:b/>
                <w:bCs/>
                <w:color w:val="000000"/>
                <w:sz w:val="18"/>
                <w:szCs w:val="18"/>
                <w:lang w:eastAsia="en-AU"/>
              </w:rPr>
              <w:t>Reason for renomination and category:</w:t>
            </w:r>
          </w:p>
          <w:p w14:paraId="3820D43C" w14:textId="77777777" w:rsidR="00A65FCA" w:rsidRDefault="00A65FCA" w:rsidP="00A65FCA">
            <w:pPr>
              <w:pStyle w:val="ListParagraph"/>
              <w:numPr>
                <w:ilvl w:val="0"/>
                <w:numId w:val="39"/>
              </w:numPr>
              <w:spacing w:before="0" w:line="276" w:lineRule="auto"/>
              <w:rPr>
                <w:rFonts w:asciiTheme="minorHAnsi" w:eastAsia="Times New Roman" w:hAnsiTheme="minorHAnsi" w:cstheme="minorHAnsi"/>
                <w:color w:val="000000"/>
                <w:sz w:val="18"/>
                <w:szCs w:val="18"/>
                <w:lang w:eastAsia="en-AU"/>
              </w:rPr>
            </w:pPr>
            <w:r>
              <w:rPr>
                <w:rFonts w:asciiTheme="minorHAnsi" w:eastAsia="Times New Roman" w:hAnsiTheme="minorHAnsi" w:cstheme="minorHAnsi"/>
                <w:color w:val="000000"/>
                <w:sz w:val="18"/>
                <w:szCs w:val="18"/>
                <w:lang w:eastAsia="en-AU"/>
              </w:rPr>
              <w:t xml:space="preserve">Error in previous rebid/submission. EO category as it was a mistake by third party X. </w:t>
            </w:r>
          </w:p>
          <w:p w14:paraId="5E7ADA23" w14:textId="77777777" w:rsidR="00A65FCA" w:rsidRPr="00CF288A" w:rsidRDefault="00A65FCA" w:rsidP="00DC3A52">
            <w:pPr>
              <w:keepNext/>
              <w:spacing w:before="0"/>
              <w:ind w:left="140" w:hanging="140"/>
              <w:rPr>
                <w:rFonts w:asciiTheme="minorHAnsi" w:eastAsia="Times New Roman" w:hAnsiTheme="minorHAnsi" w:cstheme="minorHAnsi"/>
                <w:b/>
                <w:bCs/>
                <w:color w:val="000000"/>
                <w:sz w:val="18"/>
                <w:szCs w:val="18"/>
                <w:lang w:eastAsia="en-AU"/>
              </w:rPr>
            </w:pPr>
            <w:r w:rsidRPr="00CF288A">
              <w:rPr>
                <w:rFonts w:asciiTheme="minorHAnsi" w:eastAsia="Times New Roman" w:hAnsiTheme="minorHAnsi" w:cstheme="minorHAnsi"/>
                <w:b/>
                <w:bCs/>
                <w:color w:val="000000"/>
                <w:sz w:val="18"/>
                <w:szCs w:val="18"/>
                <w:lang w:eastAsia="en-AU"/>
              </w:rPr>
              <w:t xml:space="preserve">Further guidance (if applicable): </w:t>
            </w:r>
            <w:r w:rsidRPr="00CF288A">
              <w:rPr>
                <w:rFonts w:asciiTheme="minorHAnsi" w:eastAsia="Times New Roman" w:hAnsiTheme="minorHAnsi" w:cstheme="minorHAnsi"/>
                <w:color w:val="000000"/>
                <w:sz w:val="18"/>
                <w:szCs w:val="18"/>
                <w:lang w:eastAsia="en-AU"/>
              </w:rPr>
              <w:t>N/A</w:t>
            </w:r>
          </w:p>
        </w:tc>
      </w:tr>
    </w:tbl>
    <w:p w14:paraId="64BB434F" w14:textId="77777777" w:rsidR="00A65FCA" w:rsidRDefault="00A65FCA">
      <w:pPr>
        <w:rPr>
          <w:rFonts w:ascii="Palatino Linotype" w:eastAsiaTheme="majorEastAsia" w:hAnsi="Palatino Linotype" w:cstheme="majorBidi"/>
          <w:bCs/>
          <w:color w:val="410099" w:themeColor="accent1"/>
          <w:sz w:val="36"/>
          <w:szCs w:val="28"/>
          <w:lang w:val="en-US"/>
        </w:rPr>
      </w:pPr>
      <w:r>
        <w:rPr>
          <w:lang w:val="en-US"/>
        </w:rPr>
        <w:br w:type="page"/>
      </w:r>
    </w:p>
    <w:p w14:paraId="60411713" w14:textId="1FCBB3BE" w:rsidR="001129A4" w:rsidRDefault="005516ED" w:rsidP="005516ED">
      <w:pPr>
        <w:pStyle w:val="Heading1"/>
        <w:rPr>
          <w:lang w:val="en-US"/>
        </w:rPr>
      </w:pPr>
      <w:bookmarkStart w:id="16" w:name="_Toc127793010"/>
      <w:r>
        <w:rPr>
          <w:lang w:val="en-US"/>
        </w:rPr>
        <w:lastRenderedPageBreak/>
        <w:t>Attachment A</w:t>
      </w:r>
      <w:r w:rsidR="008F0548">
        <w:rPr>
          <w:lang w:val="en-US"/>
        </w:rPr>
        <w:t>: Stakeholder feedback template</w:t>
      </w:r>
      <w:bookmarkEnd w:id="16"/>
      <w:r w:rsidR="008F0548">
        <w:rPr>
          <w:lang w:val="en-US"/>
        </w:rPr>
        <w:t xml:space="preserve"> </w:t>
      </w:r>
    </w:p>
    <w:p w14:paraId="5ADE50BD" w14:textId="3FEF1223" w:rsidR="005516ED" w:rsidRDefault="008F0548" w:rsidP="005516ED">
      <w:pPr>
        <w:rPr>
          <w:lang w:val="en-US"/>
        </w:rPr>
      </w:pPr>
      <w:r>
        <w:rPr>
          <w:lang w:val="en-US"/>
        </w:rPr>
        <w:t xml:space="preserve">This template has been developed for stakeholders to provide their feedback on the </w:t>
      </w:r>
      <w:r w:rsidR="004F5F94">
        <w:rPr>
          <w:lang w:val="en-US"/>
        </w:rPr>
        <w:t xml:space="preserve">proposed amendments outlined </w:t>
      </w:r>
      <w:r>
        <w:rPr>
          <w:lang w:val="en-US"/>
        </w:rPr>
        <w:t>in the consultation paper</w:t>
      </w:r>
      <w:r w:rsidR="00A86A88">
        <w:rPr>
          <w:lang w:val="en-US"/>
        </w:rPr>
        <w:t>,</w:t>
      </w:r>
      <w:r>
        <w:rPr>
          <w:lang w:val="en-US"/>
        </w:rPr>
        <w:t xml:space="preserve"> in addition to other </w:t>
      </w:r>
      <w:r w:rsidR="004B650B">
        <w:rPr>
          <w:lang w:val="en-US"/>
        </w:rPr>
        <w:t xml:space="preserve">concerns or issues that stakeholders have. The AER encourages the use of this template for submissions however stakeholders should not feel obliged to provide feedback on each question. The rationale for the proposed amendments can be found on </w:t>
      </w:r>
      <w:r w:rsidR="004C4EDB">
        <w:rPr>
          <w:lang w:val="en-US"/>
        </w:rPr>
        <w:fldChar w:fldCharType="begin"/>
      </w:r>
      <w:r w:rsidR="004C4EDB">
        <w:rPr>
          <w:lang w:val="en-US"/>
        </w:rPr>
        <w:instrText xml:space="preserve"> REF _Ref120018057 \h </w:instrText>
      </w:r>
      <w:r w:rsidR="004C4EDB">
        <w:rPr>
          <w:lang w:val="en-US"/>
        </w:rPr>
      </w:r>
      <w:r w:rsidR="004C4EDB">
        <w:rPr>
          <w:lang w:val="en-US"/>
        </w:rPr>
        <w:fldChar w:fldCharType="separate"/>
      </w:r>
      <w:r w:rsidR="004C4EDB">
        <w:t xml:space="preserve">Table </w:t>
      </w:r>
      <w:r w:rsidR="004C4EDB">
        <w:rPr>
          <w:noProof/>
        </w:rPr>
        <w:t>A</w:t>
      </w:r>
      <w:r w:rsidR="004C4EDB">
        <w:rPr>
          <w:lang w:val="en-US"/>
        </w:rPr>
        <w:fldChar w:fldCharType="end"/>
      </w:r>
      <w:r w:rsidR="004B650B">
        <w:rPr>
          <w:lang w:val="en-US"/>
        </w:rPr>
        <w:t xml:space="preserve"> and </w:t>
      </w:r>
      <w:r w:rsidR="004C4EDB">
        <w:rPr>
          <w:lang w:val="en-US"/>
        </w:rPr>
        <w:fldChar w:fldCharType="begin"/>
      </w:r>
      <w:r w:rsidR="004C4EDB">
        <w:rPr>
          <w:lang w:val="en-US"/>
        </w:rPr>
        <w:instrText xml:space="preserve"> REF _Ref120018100 \h </w:instrText>
      </w:r>
      <w:r w:rsidR="004C4EDB">
        <w:rPr>
          <w:lang w:val="en-US"/>
        </w:rPr>
      </w:r>
      <w:r w:rsidR="004C4EDB">
        <w:rPr>
          <w:lang w:val="en-US"/>
        </w:rPr>
        <w:fldChar w:fldCharType="separate"/>
      </w:r>
      <w:r w:rsidR="004C4EDB">
        <w:t xml:space="preserve">Table </w:t>
      </w:r>
      <w:r w:rsidR="004C4EDB">
        <w:rPr>
          <w:noProof/>
        </w:rPr>
        <w:t>B</w:t>
      </w:r>
      <w:r w:rsidR="004C4EDB">
        <w:rPr>
          <w:lang w:val="en-US"/>
        </w:rPr>
        <w:fldChar w:fldCharType="end"/>
      </w:r>
      <w:r w:rsidR="004B650B">
        <w:rPr>
          <w:lang w:val="en-US"/>
        </w:rPr>
        <w:t xml:space="preserve"> of the consultation paper. </w:t>
      </w:r>
    </w:p>
    <w:p w14:paraId="339D1152" w14:textId="37CD4AFA" w:rsidR="004B650B" w:rsidRPr="00351223" w:rsidRDefault="00C34A84" w:rsidP="00351223">
      <w:pPr>
        <w:rPr>
          <w:b/>
          <w:bCs/>
        </w:rPr>
      </w:pPr>
      <w:r w:rsidRPr="00351223">
        <w:rPr>
          <w:b/>
          <w:bCs/>
        </w:rPr>
        <w:t>S</w:t>
      </w:r>
      <w:r w:rsidR="005C2C7B" w:rsidRPr="00351223">
        <w:rPr>
          <w:b/>
          <w:bCs/>
        </w:rPr>
        <w:t>takeholder</w:t>
      </w:r>
      <w:r w:rsidRPr="00351223">
        <w:rPr>
          <w:b/>
          <w:bCs/>
        </w:rPr>
        <w:t xml:space="preserve"> details </w:t>
      </w:r>
    </w:p>
    <w:tbl>
      <w:tblPr>
        <w:tblStyle w:val="PlainTable2"/>
        <w:tblW w:w="14175" w:type="dxa"/>
        <w:tblLook w:val="04A0" w:firstRow="1" w:lastRow="0" w:firstColumn="1" w:lastColumn="0" w:noHBand="0" w:noVBand="1"/>
      </w:tblPr>
      <w:tblGrid>
        <w:gridCol w:w="14175"/>
      </w:tblGrid>
      <w:tr w:rsidR="0003605A" w14:paraId="64946DC1" w14:textId="77777777" w:rsidTr="00351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Borders>
              <w:top w:val="single" w:sz="4" w:space="0" w:color="auto"/>
            </w:tcBorders>
          </w:tcPr>
          <w:p w14:paraId="60CB081E" w14:textId="60171BC1" w:rsidR="0003605A" w:rsidRPr="00351223" w:rsidRDefault="0003605A" w:rsidP="006E2541">
            <w:pPr>
              <w:rPr>
                <w:lang w:val="en-US"/>
              </w:rPr>
            </w:pPr>
            <w:r w:rsidRPr="00351223">
              <w:rPr>
                <w:lang w:val="en-US"/>
              </w:rPr>
              <w:t xml:space="preserve">Organisation: </w:t>
            </w:r>
          </w:p>
        </w:tc>
      </w:tr>
      <w:tr w:rsidR="0003605A" w14:paraId="754B39B6" w14:textId="77777777" w:rsidTr="00036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2D437821" w14:textId="5670FCEC" w:rsidR="0003605A" w:rsidRPr="00351223" w:rsidRDefault="0003605A" w:rsidP="00C34A84">
            <w:pPr>
              <w:rPr>
                <w:lang w:val="en-US"/>
              </w:rPr>
            </w:pPr>
            <w:r w:rsidRPr="00351223">
              <w:rPr>
                <w:lang w:val="en-US"/>
              </w:rPr>
              <w:t xml:space="preserve">Contact name: </w:t>
            </w:r>
          </w:p>
        </w:tc>
      </w:tr>
      <w:tr w:rsidR="0003605A" w14:paraId="4285DD76" w14:textId="77777777" w:rsidTr="0003605A">
        <w:tc>
          <w:tcPr>
            <w:cnfStyle w:val="001000000000" w:firstRow="0" w:lastRow="0" w:firstColumn="1" w:lastColumn="0" w:oddVBand="0" w:evenVBand="0" w:oddHBand="0" w:evenHBand="0" w:firstRowFirstColumn="0" w:firstRowLastColumn="0" w:lastRowFirstColumn="0" w:lastRowLastColumn="0"/>
            <w:tcW w:w="14175" w:type="dxa"/>
          </w:tcPr>
          <w:p w14:paraId="61F1FA7E" w14:textId="0D6B6BD2" w:rsidR="0003605A" w:rsidRPr="00351223" w:rsidRDefault="0003605A" w:rsidP="00C34A84">
            <w:pPr>
              <w:rPr>
                <w:lang w:val="en-US"/>
              </w:rPr>
            </w:pPr>
            <w:r w:rsidRPr="00351223">
              <w:rPr>
                <w:lang w:val="en-US"/>
              </w:rPr>
              <w:t xml:space="preserve">Email: </w:t>
            </w:r>
          </w:p>
        </w:tc>
      </w:tr>
      <w:tr w:rsidR="0003605A" w14:paraId="4648F7F3" w14:textId="77777777" w:rsidTr="00036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5" w:type="dxa"/>
          </w:tcPr>
          <w:p w14:paraId="248DC1F9" w14:textId="5C17968A" w:rsidR="0003605A" w:rsidRPr="00351223" w:rsidRDefault="0003605A" w:rsidP="00C34A84">
            <w:pPr>
              <w:rPr>
                <w:lang w:val="en-US"/>
              </w:rPr>
            </w:pPr>
            <w:r w:rsidRPr="00351223">
              <w:rPr>
                <w:lang w:val="en-US"/>
              </w:rPr>
              <w:t xml:space="preserve">Phone: </w:t>
            </w:r>
          </w:p>
        </w:tc>
      </w:tr>
      <w:tr w:rsidR="0003605A" w14:paraId="63118D42" w14:textId="77777777" w:rsidTr="0003605A">
        <w:tc>
          <w:tcPr>
            <w:cnfStyle w:val="001000000000" w:firstRow="0" w:lastRow="0" w:firstColumn="1" w:lastColumn="0" w:oddVBand="0" w:evenVBand="0" w:oddHBand="0" w:evenHBand="0" w:firstRowFirstColumn="0" w:firstRowLastColumn="0" w:lastRowFirstColumn="0" w:lastRowLastColumn="0"/>
            <w:tcW w:w="14175" w:type="dxa"/>
          </w:tcPr>
          <w:p w14:paraId="785CF1A0" w14:textId="552DF274" w:rsidR="0003605A" w:rsidRPr="00351223" w:rsidRDefault="0003605A" w:rsidP="00C34A84">
            <w:pPr>
              <w:rPr>
                <w:lang w:val="en-US"/>
              </w:rPr>
            </w:pPr>
            <w:r w:rsidRPr="00351223">
              <w:rPr>
                <w:lang w:val="en-US"/>
              </w:rPr>
              <w:t xml:space="preserve">Date of submission: </w:t>
            </w:r>
          </w:p>
        </w:tc>
      </w:tr>
    </w:tbl>
    <w:p w14:paraId="121223DB" w14:textId="0BFAB751" w:rsidR="003B57F6" w:rsidRDefault="003B57F6" w:rsidP="00C34A84">
      <w:pPr>
        <w:rPr>
          <w:lang w:val="en-US"/>
        </w:rPr>
      </w:pPr>
    </w:p>
    <w:p w14:paraId="2C5767C8" w14:textId="77777777" w:rsidR="003B57F6" w:rsidRDefault="003B57F6">
      <w:pPr>
        <w:rPr>
          <w:lang w:val="en-US"/>
        </w:rPr>
      </w:pPr>
      <w:r>
        <w:rPr>
          <w:lang w:val="en-US"/>
        </w:rPr>
        <w:br w:type="page"/>
      </w:r>
    </w:p>
    <w:tbl>
      <w:tblPr>
        <w:tblStyle w:val="TableGrid"/>
        <w:tblW w:w="0" w:type="auto"/>
        <w:tblLook w:val="04A0" w:firstRow="1" w:lastRow="0" w:firstColumn="1" w:lastColumn="0" w:noHBand="0" w:noVBand="1"/>
      </w:tblPr>
      <w:tblGrid>
        <w:gridCol w:w="4884"/>
        <w:gridCol w:w="5889"/>
        <w:gridCol w:w="3349"/>
      </w:tblGrid>
      <w:tr w:rsidR="00027AAB" w14:paraId="7976298C" w14:textId="77777777" w:rsidTr="00934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bottom w:val="single" w:sz="4" w:space="0" w:color="auto"/>
            </w:tcBorders>
            <w:shd w:val="clear" w:color="auto" w:fill="F2F2F2" w:themeFill="background1" w:themeFillShade="F2"/>
          </w:tcPr>
          <w:p w14:paraId="22557219" w14:textId="7BF2A6EC" w:rsidR="004B0C8D" w:rsidRPr="0070676A" w:rsidRDefault="004B0C8D" w:rsidP="00C34A84">
            <w:pPr>
              <w:rPr>
                <w:sz w:val="24"/>
                <w:szCs w:val="24"/>
                <w:lang w:val="en-US"/>
              </w:rPr>
            </w:pPr>
            <w:r w:rsidRPr="0070676A">
              <w:rPr>
                <w:sz w:val="24"/>
                <w:szCs w:val="24"/>
                <w:lang w:val="en-US"/>
              </w:rPr>
              <w:lastRenderedPageBreak/>
              <w:t xml:space="preserve">Question </w:t>
            </w:r>
          </w:p>
        </w:tc>
        <w:tc>
          <w:tcPr>
            <w:tcW w:w="8593" w:type="dxa"/>
            <w:gridSpan w:val="2"/>
            <w:tcBorders>
              <w:bottom w:val="single" w:sz="4" w:space="0" w:color="auto"/>
            </w:tcBorders>
            <w:shd w:val="clear" w:color="auto" w:fill="F2F2F2" w:themeFill="background1" w:themeFillShade="F2"/>
          </w:tcPr>
          <w:p w14:paraId="4306DDC2" w14:textId="6D04C9D8" w:rsidR="004B0C8D" w:rsidRPr="0070676A" w:rsidRDefault="004B0C8D" w:rsidP="00C34A84">
            <w:pPr>
              <w:cnfStyle w:val="100000000000" w:firstRow="1" w:lastRow="0" w:firstColumn="0" w:lastColumn="0" w:oddVBand="0" w:evenVBand="0" w:oddHBand="0" w:evenHBand="0" w:firstRowFirstColumn="0" w:firstRowLastColumn="0" w:lastRowFirstColumn="0" w:lastRowLastColumn="0"/>
              <w:rPr>
                <w:sz w:val="24"/>
                <w:szCs w:val="24"/>
                <w:lang w:val="en-US"/>
              </w:rPr>
            </w:pPr>
            <w:r w:rsidRPr="0070676A">
              <w:rPr>
                <w:sz w:val="24"/>
                <w:szCs w:val="24"/>
                <w:lang w:val="en-US"/>
              </w:rPr>
              <w:t xml:space="preserve">Stakeholder submission </w:t>
            </w:r>
          </w:p>
        </w:tc>
      </w:tr>
      <w:tr w:rsidR="00DE74A8" w14:paraId="271F6AE1" w14:textId="77777777" w:rsidTr="00A537D4">
        <w:tc>
          <w:tcPr>
            <w:cnfStyle w:val="001000000000" w:firstRow="0" w:lastRow="0" w:firstColumn="1" w:lastColumn="0" w:oddVBand="0" w:evenVBand="0" w:oddHBand="0" w:evenHBand="0" w:firstRowFirstColumn="0" w:firstRowLastColumn="0" w:lastRowFirstColumn="0" w:lastRowLastColumn="0"/>
            <w:tcW w:w="14122" w:type="dxa"/>
            <w:gridSpan w:val="3"/>
            <w:tcBorders>
              <w:bottom w:val="single" w:sz="4" w:space="0" w:color="auto"/>
            </w:tcBorders>
            <w:shd w:val="clear" w:color="auto" w:fill="F2F2F2" w:themeFill="background1" w:themeFillShade="F2"/>
          </w:tcPr>
          <w:p w14:paraId="1516CF67" w14:textId="75DEE6EE" w:rsidR="00DE74A8" w:rsidRPr="0070676A" w:rsidRDefault="001F05EF" w:rsidP="00DE74A8">
            <w:pPr>
              <w:rPr>
                <w:sz w:val="24"/>
                <w:szCs w:val="24"/>
                <w:lang w:val="en-US"/>
              </w:rPr>
            </w:pPr>
            <w:r>
              <w:rPr>
                <w:sz w:val="24"/>
                <w:szCs w:val="24"/>
                <w:lang w:val="en-US"/>
              </w:rPr>
              <w:t xml:space="preserve">General amendments that will impact routine requirements </w:t>
            </w:r>
          </w:p>
        </w:tc>
      </w:tr>
      <w:tr w:rsidR="005C0A91" w14:paraId="5CC9C76A" w14:textId="77777777" w:rsidTr="00DE74A8">
        <w:tc>
          <w:tcPr>
            <w:cnfStyle w:val="001000000000" w:firstRow="0" w:lastRow="0" w:firstColumn="1" w:lastColumn="0" w:oddVBand="0" w:evenVBand="0" w:oddHBand="0" w:evenHBand="0" w:firstRowFirstColumn="0" w:firstRowLastColumn="0" w:lastRowFirstColumn="0" w:lastRowLastColumn="0"/>
            <w:tcW w:w="5529" w:type="dxa"/>
            <w:tcBorders>
              <w:bottom w:val="single" w:sz="4" w:space="0" w:color="auto"/>
            </w:tcBorders>
            <w:shd w:val="clear" w:color="auto" w:fill="F2F2F2" w:themeFill="background1" w:themeFillShade="F2"/>
          </w:tcPr>
          <w:p w14:paraId="45E83275" w14:textId="626649A7" w:rsidR="00DE74A8" w:rsidRPr="001F05EF" w:rsidRDefault="001F05EF" w:rsidP="00F670EF">
            <w:pPr>
              <w:pStyle w:val="ListParagraph"/>
              <w:numPr>
                <w:ilvl w:val="0"/>
                <w:numId w:val="36"/>
              </w:numPr>
              <w:spacing w:before="60"/>
              <w:rPr>
                <w:b w:val="0"/>
                <w:bCs/>
                <w:sz w:val="24"/>
                <w:szCs w:val="24"/>
                <w:lang w:val="en-US"/>
              </w:rPr>
            </w:pPr>
            <w:r w:rsidRPr="001F05EF">
              <w:rPr>
                <w:b w:val="0"/>
                <w:bCs/>
                <w:sz w:val="24"/>
                <w:szCs w:val="24"/>
                <w:lang w:val="en-US"/>
              </w:rPr>
              <w:t xml:space="preserve">Do you think the requirement for facility operators and shippers to record time in a 24-hour format is appropriate?   </w:t>
            </w:r>
            <w:r w:rsidR="00015D05">
              <w:rPr>
                <w:b w:val="0"/>
                <w:bCs/>
                <w:sz w:val="24"/>
                <w:szCs w:val="24"/>
                <w:lang w:val="en-US"/>
              </w:rPr>
              <w:t xml:space="preserve">If </w:t>
            </w:r>
            <w:proofErr w:type="gramStart"/>
            <w:r w:rsidR="00015D05">
              <w:rPr>
                <w:b w:val="0"/>
                <w:bCs/>
                <w:sz w:val="24"/>
                <w:szCs w:val="24"/>
                <w:lang w:val="en-US"/>
              </w:rPr>
              <w:t>not</w:t>
            </w:r>
            <w:proofErr w:type="gramEnd"/>
            <w:r w:rsidR="00015D05">
              <w:rPr>
                <w:b w:val="0"/>
                <w:bCs/>
                <w:sz w:val="24"/>
                <w:szCs w:val="24"/>
                <w:lang w:val="en-US"/>
              </w:rPr>
              <w:t xml:space="preserve"> please state reasons?</w:t>
            </w:r>
          </w:p>
          <w:p w14:paraId="529C1D38" w14:textId="3FE817DC" w:rsidR="001F05EF" w:rsidRPr="001F05EF" w:rsidRDefault="001F05EF" w:rsidP="001F05EF">
            <w:pPr>
              <w:pStyle w:val="ListParagraph"/>
              <w:numPr>
                <w:ilvl w:val="0"/>
                <w:numId w:val="0"/>
              </w:numPr>
              <w:spacing w:before="60"/>
              <w:ind w:left="720"/>
              <w:rPr>
                <w:sz w:val="24"/>
                <w:szCs w:val="24"/>
                <w:lang w:val="en-US"/>
              </w:rPr>
            </w:pPr>
          </w:p>
        </w:tc>
        <w:tc>
          <w:tcPr>
            <w:tcW w:w="8593" w:type="dxa"/>
            <w:gridSpan w:val="2"/>
            <w:tcBorders>
              <w:bottom w:val="single" w:sz="4" w:space="0" w:color="auto"/>
            </w:tcBorders>
          </w:tcPr>
          <w:p w14:paraId="4A19D9EA" w14:textId="77777777" w:rsidR="00DE74A8" w:rsidRPr="0070676A" w:rsidRDefault="00DE74A8"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4642D1" w14:paraId="572F4A4F" w14:textId="77777777" w:rsidTr="00E305FD">
        <w:tc>
          <w:tcPr>
            <w:cnfStyle w:val="001000000000" w:firstRow="0" w:lastRow="0" w:firstColumn="1" w:lastColumn="0" w:oddVBand="0" w:evenVBand="0" w:oddHBand="0" w:evenHBand="0" w:firstRowFirstColumn="0" w:firstRowLastColumn="0" w:lastRowFirstColumn="0" w:lastRowLastColumn="0"/>
            <w:tcW w:w="14122" w:type="dxa"/>
            <w:gridSpan w:val="3"/>
            <w:tcBorders>
              <w:bottom w:val="single" w:sz="4" w:space="0" w:color="auto"/>
            </w:tcBorders>
            <w:shd w:val="clear" w:color="auto" w:fill="F2F2F2" w:themeFill="background1" w:themeFillShade="F2"/>
          </w:tcPr>
          <w:p w14:paraId="595619F9" w14:textId="37432B84" w:rsidR="004642D1" w:rsidRPr="0070676A" w:rsidRDefault="004642D1" w:rsidP="00C34A84">
            <w:pPr>
              <w:rPr>
                <w:sz w:val="24"/>
                <w:szCs w:val="24"/>
                <w:lang w:val="en-US"/>
              </w:rPr>
            </w:pPr>
            <w:r>
              <w:rPr>
                <w:sz w:val="24"/>
                <w:szCs w:val="24"/>
                <w:lang w:val="en-US"/>
              </w:rPr>
              <w:t xml:space="preserve">Amendments that will impact routine requirements </w:t>
            </w:r>
            <w:r w:rsidR="008144E9">
              <w:rPr>
                <w:sz w:val="24"/>
                <w:szCs w:val="24"/>
                <w:lang w:val="en-US"/>
              </w:rPr>
              <w:t>– Transportation Facility Users (shippers)</w:t>
            </w:r>
          </w:p>
        </w:tc>
      </w:tr>
      <w:tr w:rsidR="00027AAB" w14:paraId="0DCD254A"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12740EAF" w14:textId="77777777" w:rsidR="009345CF" w:rsidRPr="00D60274" w:rsidRDefault="002A6B5E" w:rsidP="00F670EF">
            <w:pPr>
              <w:pStyle w:val="ListParagraph"/>
              <w:numPr>
                <w:ilvl w:val="0"/>
                <w:numId w:val="36"/>
              </w:numPr>
              <w:spacing w:before="60"/>
              <w:rPr>
                <w:b w:val="0"/>
                <w:bCs/>
                <w:sz w:val="24"/>
                <w:szCs w:val="24"/>
                <w:lang w:val="en-US"/>
              </w:rPr>
            </w:pPr>
            <w:r>
              <w:rPr>
                <w:b w:val="0"/>
                <w:bCs/>
                <w:sz w:val="24"/>
                <w:szCs w:val="24"/>
                <w:lang w:val="en-US"/>
              </w:rPr>
              <w:t>Do you think the proposed clarification of the time when the events(s) or other occurrence(s) took place that led to the renomination (</w:t>
            </w:r>
            <w:r w:rsidRPr="00F520E8">
              <w:rPr>
                <w:sz w:val="24"/>
                <w:szCs w:val="24"/>
                <w:lang w:val="en-US"/>
              </w:rPr>
              <w:t>HHMM1</w:t>
            </w:r>
            <w:r>
              <w:rPr>
                <w:b w:val="0"/>
                <w:bCs/>
                <w:sz w:val="24"/>
                <w:szCs w:val="24"/>
                <w:lang w:val="en-US"/>
              </w:rPr>
              <w:t>) and the time when the shipper became aware of the event(s) or other occurrence(s) (</w:t>
            </w:r>
            <w:r w:rsidRPr="00F520E8">
              <w:rPr>
                <w:sz w:val="24"/>
                <w:szCs w:val="24"/>
                <w:lang w:val="en-US"/>
              </w:rPr>
              <w:t>HHMM2</w:t>
            </w:r>
            <w:r>
              <w:rPr>
                <w:b w:val="0"/>
                <w:bCs/>
                <w:sz w:val="24"/>
                <w:szCs w:val="24"/>
                <w:lang w:val="en-US"/>
              </w:rPr>
              <w:t xml:space="preserve">) is </w:t>
            </w:r>
            <w:r w:rsidR="00D60274">
              <w:rPr>
                <w:b w:val="0"/>
                <w:bCs/>
                <w:sz w:val="24"/>
                <w:szCs w:val="24"/>
                <w:lang w:val="en-US"/>
              </w:rPr>
              <w:t xml:space="preserve">clear and appropriate? </w:t>
            </w:r>
          </w:p>
          <w:p w14:paraId="61E510C5" w14:textId="1A76F25E" w:rsidR="00D60274" w:rsidRDefault="00D60274" w:rsidP="00D60274">
            <w:pPr>
              <w:pStyle w:val="ListParagraph"/>
              <w:numPr>
                <w:ilvl w:val="0"/>
                <w:numId w:val="0"/>
              </w:numPr>
              <w:spacing w:before="60"/>
              <w:ind w:left="720"/>
              <w:rPr>
                <w:bCs/>
                <w:sz w:val="24"/>
                <w:szCs w:val="24"/>
                <w:lang w:val="en-US"/>
              </w:rPr>
            </w:pPr>
            <w:r>
              <w:rPr>
                <w:b w:val="0"/>
                <w:bCs/>
                <w:sz w:val="24"/>
                <w:szCs w:val="24"/>
                <w:lang w:val="en-US"/>
              </w:rPr>
              <w:t xml:space="preserve">If not, what changes </w:t>
            </w:r>
            <w:r w:rsidR="001E3956">
              <w:rPr>
                <w:b w:val="0"/>
                <w:bCs/>
                <w:sz w:val="24"/>
                <w:szCs w:val="24"/>
                <w:lang w:val="en-US"/>
              </w:rPr>
              <w:t xml:space="preserve">to the proposed </w:t>
            </w:r>
            <w:r w:rsidR="008E30DE">
              <w:rPr>
                <w:b w:val="0"/>
                <w:bCs/>
                <w:sz w:val="24"/>
                <w:szCs w:val="24"/>
                <w:lang w:val="en-US"/>
              </w:rPr>
              <w:t xml:space="preserve">wording </w:t>
            </w:r>
            <w:r>
              <w:rPr>
                <w:b w:val="0"/>
                <w:bCs/>
                <w:sz w:val="24"/>
                <w:szCs w:val="24"/>
                <w:lang w:val="en-US"/>
              </w:rPr>
              <w:t xml:space="preserve">would you recommend? </w:t>
            </w:r>
          </w:p>
          <w:p w14:paraId="19D41A2B" w14:textId="0E335232" w:rsidR="00D60274" w:rsidRPr="00086E90" w:rsidRDefault="00D60274" w:rsidP="00D60274">
            <w:pPr>
              <w:pStyle w:val="ListParagraph"/>
              <w:numPr>
                <w:ilvl w:val="0"/>
                <w:numId w:val="0"/>
              </w:numPr>
              <w:spacing w:before="60"/>
              <w:ind w:left="720"/>
              <w:rPr>
                <w:b w:val="0"/>
                <w:bCs/>
                <w:sz w:val="24"/>
                <w:szCs w:val="24"/>
                <w:lang w:val="en-US"/>
              </w:rPr>
            </w:pPr>
          </w:p>
        </w:tc>
        <w:tc>
          <w:tcPr>
            <w:tcW w:w="8593" w:type="dxa"/>
            <w:gridSpan w:val="2"/>
            <w:tcBorders>
              <w:top w:val="single" w:sz="4" w:space="0" w:color="auto"/>
              <w:left w:val="nil"/>
              <w:bottom w:val="single" w:sz="4" w:space="0" w:color="auto"/>
              <w:right w:val="nil"/>
            </w:tcBorders>
          </w:tcPr>
          <w:p w14:paraId="78FC9AD7" w14:textId="77777777" w:rsidR="009345CF" w:rsidRPr="0070676A" w:rsidRDefault="009345CF"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027AAB" w14:paraId="592E9356"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6CE4D1AB" w14:textId="534E11F3" w:rsidR="009345CF" w:rsidRPr="009A2C37" w:rsidRDefault="00F520E8" w:rsidP="00F670EF">
            <w:pPr>
              <w:pStyle w:val="ListParagraph"/>
              <w:numPr>
                <w:ilvl w:val="0"/>
                <w:numId w:val="36"/>
              </w:numPr>
              <w:spacing w:before="60"/>
              <w:rPr>
                <w:b w:val="0"/>
                <w:bCs/>
                <w:sz w:val="24"/>
                <w:szCs w:val="24"/>
                <w:lang w:val="en-US"/>
              </w:rPr>
            </w:pPr>
            <w:r>
              <w:rPr>
                <w:b w:val="0"/>
                <w:bCs/>
                <w:sz w:val="24"/>
                <w:szCs w:val="24"/>
                <w:lang w:val="en-US"/>
              </w:rPr>
              <w:t xml:space="preserve">Do you think the </w:t>
            </w:r>
            <w:r w:rsidR="006361BF">
              <w:rPr>
                <w:b w:val="0"/>
                <w:bCs/>
                <w:sz w:val="24"/>
                <w:szCs w:val="24"/>
                <w:lang w:val="en-US"/>
              </w:rPr>
              <w:t xml:space="preserve">proposed addition of a </w:t>
            </w:r>
            <w:r w:rsidR="006361BF" w:rsidRPr="006361BF">
              <w:rPr>
                <w:b w:val="0"/>
                <w:bCs/>
                <w:sz w:val="24"/>
                <w:szCs w:val="24"/>
                <w:u w:val="single"/>
                <w:lang w:val="en-US"/>
              </w:rPr>
              <w:t>record creator reporting field</w:t>
            </w:r>
            <w:r w:rsidR="006361BF">
              <w:rPr>
                <w:b w:val="0"/>
                <w:bCs/>
                <w:sz w:val="24"/>
                <w:szCs w:val="24"/>
                <w:lang w:val="en-US"/>
              </w:rPr>
              <w:t xml:space="preserve"> will improve accountability when it comes to ensuring that records are accurate and verifiable? </w:t>
            </w:r>
            <w:r w:rsidR="00015D05">
              <w:rPr>
                <w:b w:val="0"/>
                <w:bCs/>
                <w:sz w:val="24"/>
                <w:szCs w:val="24"/>
                <w:lang w:val="en-US"/>
              </w:rPr>
              <w:t xml:space="preserve">If </w:t>
            </w:r>
            <w:proofErr w:type="gramStart"/>
            <w:r w:rsidR="00015D05">
              <w:rPr>
                <w:b w:val="0"/>
                <w:bCs/>
                <w:sz w:val="24"/>
                <w:szCs w:val="24"/>
                <w:lang w:val="en-US"/>
              </w:rPr>
              <w:t>not</w:t>
            </w:r>
            <w:proofErr w:type="gramEnd"/>
            <w:r w:rsidR="00015D05">
              <w:rPr>
                <w:b w:val="0"/>
                <w:bCs/>
                <w:sz w:val="24"/>
                <w:szCs w:val="24"/>
                <w:lang w:val="en-US"/>
              </w:rPr>
              <w:t xml:space="preserve"> please indicate why not?</w:t>
            </w:r>
          </w:p>
          <w:p w14:paraId="23602F4A" w14:textId="65363D91" w:rsidR="009A2C37" w:rsidRPr="00086E90" w:rsidRDefault="009A2C37" w:rsidP="009A2C37">
            <w:pPr>
              <w:pStyle w:val="ListParagraph"/>
              <w:numPr>
                <w:ilvl w:val="0"/>
                <w:numId w:val="0"/>
              </w:numPr>
              <w:spacing w:before="60"/>
              <w:ind w:left="720"/>
              <w:rPr>
                <w:b w:val="0"/>
                <w:bCs/>
                <w:sz w:val="24"/>
                <w:szCs w:val="24"/>
                <w:lang w:val="en-US"/>
              </w:rPr>
            </w:pPr>
          </w:p>
        </w:tc>
        <w:tc>
          <w:tcPr>
            <w:tcW w:w="8593" w:type="dxa"/>
            <w:gridSpan w:val="2"/>
            <w:tcBorders>
              <w:top w:val="single" w:sz="4" w:space="0" w:color="auto"/>
              <w:left w:val="nil"/>
              <w:bottom w:val="single" w:sz="4" w:space="0" w:color="auto"/>
              <w:right w:val="nil"/>
            </w:tcBorders>
          </w:tcPr>
          <w:p w14:paraId="3C02F99B" w14:textId="77777777" w:rsidR="009345CF" w:rsidRPr="0070676A" w:rsidRDefault="009345CF"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027AAB" w14:paraId="0DBB5C1D"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4AA392F6" w14:textId="06717257" w:rsidR="009A2C37" w:rsidRPr="009A2C37" w:rsidRDefault="009A2C37" w:rsidP="00F670EF">
            <w:pPr>
              <w:pStyle w:val="ListParagraph"/>
              <w:numPr>
                <w:ilvl w:val="0"/>
                <w:numId w:val="36"/>
              </w:numPr>
              <w:spacing w:before="60"/>
              <w:rPr>
                <w:b w:val="0"/>
                <w:bCs/>
                <w:sz w:val="24"/>
                <w:szCs w:val="24"/>
                <w:lang w:val="en-US"/>
              </w:rPr>
            </w:pPr>
            <w:r>
              <w:rPr>
                <w:b w:val="0"/>
                <w:bCs/>
                <w:sz w:val="24"/>
                <w:szCs w:val="24"/>
                <w:lang w:val="en-US"/>
              </w:rPr>
              <w:lastRenderedPageBreak/>
              <w:t xml:space="preserve">Do you think the addition of a record timestamp reporting field will improve shipper compliance to create </w:t>
            </w:r>
            <w:r w:rsidRPr="009A2C37">
              <w:rPr>
                <w:b w:val="0"/>
                <w:bCs/>
                <w:sz w:val="24"/>
                <w:szCs w:val="24"/>
                <w:u w:val="single"/>
                <w:lang w:val="en-US"/>
              </w:rPr>
              <w:t>contemporaneous</w:t>
            </w:r>
            <w:r>
              <w:rPr>
                <w:b w:val="0"/>
                <w:bCs/>
                <w:sz w:val="24"/>
                <w:szCs w:val="24"/>
                <w:lang w:val="en-US"/>
              </w:rPr>
              <w:t xml:space="preserve"> records? </w:t>
            </w:r>
            <w:r w:rsidR="00015D05">
              <w:rPr>
                <w:b w:val="0"/>
                <w:bCs/>
                <w:sz w:val="24"/>
                <w:szCs w:val="24"/>
                <w:lang w:val="en-US"/>
              </w:rPr>
              <w:t xml:space="preserve">If </w:t>
            </w:r>
            <w:proofErr w:type="gramStart"/>
            <w:r w:rsidR="00015D05">
              <w:rPr>
                <w:b w:val="0"/>
                <w:bCs/>
                <w:sz w:val="24"/>
                <w:szCs w:val="24"/>
                <w:lang w:val="en-US"/>
              </w:rPr>
              <w:t>not</w:t>
            </w:r>
            <w:proofErr w:type="gramEnd"/>
            <w:r w:rsidR="00015D05">
              <w:rPr>
                <w:b w:val="0"/>
                <w:bCs/>
                <w:sz w:val="24"/>
                <w:szCs w:val="24"/>
                <w:lang w:val="en-US"/>
              </w:rPr>
              <w:t xml:space="preserve"> please indicate why not?</w:t>
            </w:r>
          </w:p>
          <w:p w14:paraId="699EB572" w14:textId="4456A277" w:rsidR="009A2C37" w:rsidRDefault="009A2C37" w:rsidP="009A2C37">
            <w:pPr>
              <w:pStyle w:val="ListParagraph"/>
              <w:numPr>
                <w:ilvl w:val="0"/>
                <w:numId w:val="0"/>
              </w:numPr>
              <w:spacing w:before="60"/>
              <w:ind w:left="720"/>
              <w:rPr>
                <w:b w:val="0"/>
                <w:bCs/>
                <w:sz w:val="24"/>
                <w:szCs w:val="24"/>
                <w:lang w:val="en-US"/>
              </w:rPr>
            </w:pPr>
          </w:p>
        </w:tc>
        <w:tc>
          <w:tcPr>
            <w:tcW w:w="8593" w:type="dxa"/>
            <w:gridSpan w:val="2"/>
            <w:tcBorders>
              <w:top w:val="single" w:sz="4" w:space="0" w:color="auto"/>
              <w:left w:val="nil"/>
              <w:bottom w:val="single" w:sz="4" w:space="0" w:color="auto"/>
              <w:right w:val="nil"/>
            </w:tcBorders>
          </w:tcPr>
          <w:p w14:paraId="08A3C4A3" w14:textId="77777777" w:rsidR="009A2C37" w:rsidRPr="0070676A" w:rsidRDefault="009A2C37"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027AAB" w14:paraId="642168BE"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074D2936" w14:textId="5F243B52" w:rsidR="009A2C37" w:rsidRPr="003F70B3" w:rsidRDefault="009A2C37" w:rsidP="00F670EF">
            <w:pPr>
              <w:pStyle w:val="ListParagraph"/>
              <w:numPr>
                <w:ilvl w:val="0"/>
                <w:numId w:val="36"/>
              </w:numPr>
              <w:spacing w:before="60"/>
              <w:rPr>
                <w:b w:val="0"/>
                <w:bCs/>
                <w:sz w:val="24"/>
                <w:szCs w:val="24"/>
                <w:lang w:val="en-US"/>
              </w:rPr>
            </w:pPr>
            <w:r>
              <w:rPr>
                <w:b w:val="0"/>
                <w:bCs/>
                <w:sz w:val="24"/>
                <w:szCs w:val="24"/>
                <w:lang w:val="en-US"/>
              </w:rPr>
              <w:t xml:space="preserve">Do you think the addition of two additional category field options (MA and EO) for the </w:t>
            </w:r>
            <w:r>
              <w:rPr>
                <w:b w:val="0"/>
                <w:bCs/>
                <w:sz w:val="24"/>
                <w:szCs w:val="24"/>
                <w:u w:val="single"/>
                <w:lang w:val="en-US"/>
              </w:rPr>
              <w:t xml:space="preserve">category reporting field </w:t>
            </w:r>
            <w:r>
              <w:rPr>
                <w:b w:val="0"/>
                <w:bCs/>
                <w:sz w:val="24"/>
                <w:szCs w:val="24"/>
                <w:lang w:val="en-US"/>
              </w:rPr>
              <w:t xml:space="preserve">is appropriate and will allow shippers to accurately </w:t>
            </w:r>
            <w:r w:rsidR="003F70B3">
              <w:rPr>
                <w:b w:val="0"/>
                <w:bCs/>
                <w:sz w:val="24"/>
                <w:szCs w:val="24"/>
                <w:lang w:val="en-US"/>
              </w:rPr>
              <w:t xml:space="preserve">record the reason for renomination? </w:t>
            </w:r>
            <w:r w:rsidR="00522801">
              <w:rPr>
                <w:b w:val="0"/>
                <w:bCs/>
                <w:sz w:val="24"/>
                <w:szCs w:val="24"/>
                <w:lang w:val="en-US"/>
              </w:rPr>
              <w:t xml:space="preserve">If </w:t>
            </w:r>
            <w:proofErr w:type="gramStart"/>
            <w:r w:rsidR="00522801">
              <w:rPr>
                <w:b w:val="0"/>
                <w:bCs/>
                <w:sz w:val="24"/>
                <w:szCs w:val="24"/>
                <w:lang w:val="en-US"/>
              </w:rPr>
              <w:t>not</w:t>
            </w:r>
            <w:proofErr w:type="gramEnd"/>
            <w:r w:rsidR="00522801">
              <w:rPr>
                <w:b w:val="0"/>
                <w:bCs/>
                <w:sz w:val="24"/>
                <w:szCs w:val="24"/>
                <w:lang w:val="en-US"/>
              </w:rPr>
              <w:t xml:space="preserve"> please indicate why not?</w:t>
            </w:r>
          </w:p>
          <w:p w14:paraId="18E4C549" w14:textId="45CA91EE" w:rsidR="003F70B3" w:rsidRDefault="003F70B3" w:rsidP="003F70B3">
            <w:pPr>
              <w:pStyle w:val="ListParagraph"/>
              <w:numPr>
                <w:ilvl w:val="0"/>
                <w:numId w:val="0"/>
              </w:numPr>
              <w:spacing w:before="60"/>
              <w:ind w:left="720"/>
              <w:rPr>
                <w:b w:val="0"/>
                <w:bCs/>
                <w:sz w:val="24"/>
                <w:szCs w:val="24"/>
                <w:lang w:val="en-US"/>
              </w:rPr>
            </w:pPr>
          </w:p>
        </w:tc>
        <w:tc>
          <w:tcPr>
            <w:tcW w:w="8593" w:type="dxa"/>
            <w:gridSpan w:val="2"/>
            <w:tcBorders>
              <w:top w:val="single" w:sz="4" w:space="0" w:color="auto"/>
              <w:left w:val="nil"/>
              <w:bottom w:val="single" w:sz="4" w:space="0" w:color="auto"/>
              <w:right w:val="nil"/>
            </w:tcBorders>
          </w:tcPr>
          <w:p w14:paraId="1B71499A" w14:textId="77777777" w:rsidR="009A2C37" w:rsidRPr="0070676A" w:rsidRDefault="009A2C37"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027AAB" w14:paraId="2DBC48CF"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1CF8376A" w14:textId="6F348E2A" w:rsidR="003F70B3" w:rsidRPr="00465359" w:rsidRDefault="003F70B3" w:rsidP="00F670EF">
            <w:pPr>
              <w:pStyle w:val="ListParagraph"/>
              <w:numPr>
                <w:ilvl w:val="0"/>
                <w:numId w:val="36"/>
              </w:numPr>
              <w:spacing w:before="60"/>
              <w:rPr>
                <w:b w:val="0"/>
                <w:bCs/>
                <w:sz w:val="24"/>
                <w:szCs w:val="24"/>
                <w:lang w:val="en-US"/>
              </w:rPr>
            </w:pPr>
            <w:r>
              <w:rPr>
                <w:b w:val="0"/>
                <w:bCs/>
                <w:sz w:val="24"/>
                <w:szCs w:val="24"/>
                <w:lang w:val="en-US"/>
              </w:rPr>
              <w:t xml:space="preserve">Do you think </w:t>
            </w:r>
            <w:r w:rsidR="00465359">
              <w:rPr>
                <w:b w:val="0"/>
                <w:bCs/>
                <w:sz w:val="24"/>
                <w:szCs w:val="24"/>
                <w:lang w:val="en-US"/>
              </w:rPr>
              <w:t xml:space="preserve">the additional requirement for shippers to record the delivery and receipt point of the transportation service that relates to the renomination is appropriate? </w:t>
            </w:r>
            <w:r w:rsidR="00522801">
              <w:rPr>
                <w:b w:val="0"/>
                <w:bCs/>
                <w:sz w:val="24"/>
                <w:szCs w:val="24"/>
                <w:lang w:val="en-US"/>
              </w:rPr>
              <w:t xml:space="preserve">If </w:t>
            </w:r>
            <w:proofErr w:type="gramStart"/>
            <w:r w:rsidR="00522801">
              <w:rPr>
                <w:b w:val="0"/>
                <w:bCs/>
                <w:sz w:val="24"/>
                <w:szCs w:val="24"/>
                <w:lang w:val="en-US"/>
              </w:rPr>
              <w:t>not</w:t>
            </w:r>
            <w:proofErr w:type="gramEnd"/>
            <w:r w:rsidR="00522801">
              <w:rPr>
                <w:b w:val="0"/>
                <w:bCs/>
                <w:sz w:val="24"/>
                <w:szCs w:val="24"/>
                <w:lang w:val="en-US"/>
              </w:rPr>
              <w:t xml:space="preserve"> please indicate why not?</w:t>
            </w:r>
          </w:p>
          <w:p w14:paraId="5AF23772" w14:textId="434A85B5" w:rsidR="00465359" w:rsidRDefault="00465359" w:rsidP="00465359">
            <w:pPr>
              <w:pStyle w:val="ListParagraph"/>
              <w:numPr>
                <w:ilvl w:val="0"/>
                <w:numId w:val="0"/>
              </w:numPr>
              <w:spacing w:before="60"/>
              <w:ind w:left="720"/>
              <w:rPr>
                <w:b w:val="0"/>
                <w:bCs/>
                <w:sz w:val="24"/>
                <w:szCs w:val="24"/>
                <w:lang w:val="en-US"/>
              </w:rPr>
            </w:pPr>
          </w:p>
        </w:tc>
        <w:tc>
          <w:tcPr>
            <w:tcW w:w="8593" w:type="dxa"/>
            <w:gridSpan w:val="2"/>
            <w:tcBorders>
              <w:top w:val="single" w:sz="4" w:space="0" w:color="auto"/>
              <w:left w:val="nil"/>
              <w:bottom w:val="single" w:sz="4" w:space="0" w:color="auto"/>
              <w:right w:val="nil"/>
            </w:tcBorders>
          </w:tcPr>
          <w:p w14:paraId="194601B5" w14:textId="77777777" w:rsidR="003F70B3" w:rsidRPr="0070676A" w:rsidRDefault="003F70B3"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027AAB" w14:paraId="71153559"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3F9E29B2" w14:textId="77777777" w:rsidR="00336C7B" w:rsidRPr="008144E9" w:rsidRDefault="00336C7B" w:rsidP="00F670EF">
            <w:pPr>
              <w:pStyle w:val="ListParagraph"/>
              <w:numPr>
                <w:ilvl w:val="0"/>
                <w:numId w:val="36"/>
              </w:numPr>
              <w:spacing w:before="60"/>
              <w:rPr>
                <w:b w:val="0"/>
                <w:bCs/>
                <w:sz w:val="24"/>
                <w:szCs w:val="24"/>
                <w:lang w:val="en-US"/>
              </w:rPr>
            </w:pPr>
            <w:r w:rsidRPr="00086E90">
              <w:rPr>
                <w:b w:val="0"/>
                <w:bCs/>
                <w:sz w:val="24"/>
                <w:szCs w:val="24"/>
                <w:lang w:val="en-US"/>
              </w:rPr>
              <w:t>Do</w:t>
            </w:r>
            <w:r>
              <w:rPr>
                <w:b w:val="0"/>
                <w:bCs/>
                <w:sz w:val="24"/>
                <w:szCs w:val="24"/>
                <w:lang w:val="en-US"/>
              </w:rPr>
              <w:t xml:space="preserve"> you think</w:t>
            </w:r>
            <w:r w:rsidRPr="00086E90">
              <w:rPr>
                <w:b w:val="0"/>
                <w:bCs/>
                <w:sz w:val="24"/>
                <w:szCs w:val="24"/>
                <w:lang w:val="en-US"/>
              </w:rPr>
              <w:t xml:space="preserve"> the </w:t>
            </w:r>
            <w:r>
              <w:rPr>
                <w:b w:val="0"/>
                <w:bCs/>
                <w:sz w:val="24"/>
                <w:szCs w:val="24"/>
                <w:lang w:val="en-US"/>
              </w:rPr>
              <w:t xml:space="preserve">proposed </w:t>
            </w:r>
            <w:r w:rsidRPr="00086E90">
              <w:rPr>
                <w:b w:val="0"/>
                <w:bCs/>
                <w:sz w:val="24"/>
                <w:szCs w:val="24"/>
                <w:lang w:val="en-US"/>
              </w:rPr>
              <w:t xml:space="preserve">requirement to include the following information in the </w:t>
            </w:r>
            <w:r w:rsidRPr="00086E90">
              <w:rPr>
                <w:b w:val="0"/>
                <w:bCs/>
                <w:sz w:val="24"/>
                <w:szCs w:val="24"/>
                <w:u w:val="single"/>
                <w:lang w:val="en-US"/>
              </w:rPr>
              <w:t>description reporting field</w:t>
            </w:r>
            <w:r>
              <w:rPr>
                <w:b w:val="0"/>
                <w:bCs/>
                <w:sz w:val="24"/>
                <w:szCs w:val="24"/>
                <w:u w:val="single"/>
                <w:lang w:val="en-US"/>
              </w:rPr>
              <w:t xml:space="preserve"> </w:t>
            </w:r>
            <w:r>
              <w:rPr>
                <w:b w:val="0"/>
                <w:bCs/>
                <w:sz w:val="24"/>
                <w:szCs w:val="24"/>
                <w:lang w:val="en-US"/>
              </w:rPr>
              <w:t xml:space="preserve">offers specific clarity for the AER to verify the specific reason for material renomination and ensure that there is sufficient detail? </w:t>
            </w:r>
          </w:p>
          <w:p w14:paraId="31B27219" w14:textId="77777777" w:rsidR="00336C7B" w:rsidRPr="009345CF" w:rsidRDefault="00336C7B" w:rsidP="00F670EF">
            <w:pPr>
              <w:pStyle w:val="ListParagraph"/>
              <w:numPr>
                <w:ilvl w:val="1"/>
                <w:numId w:val="36"/>
              </w:numPr>
              <w:shd w:val="clear" w:color="auto" w:fill="F2F2F2" w:themeFill="background1" w:themeFillShade="F2"/>
              <w:autoSpaceDE w:val="0"/>
              <w:autoSpaceDN w:val="0"/>
              <w:adjustRightInd w:val="0"/>
              <w:spacing w:before="240"/>
              <w:rPr>
                <w:b w:val="0"/>
                <w:bCs/>
                <w:sz w:val="24"/>
                <w:szCs w:val="24"/>
                <w:lang w:val="en-US"/>
              </w:rPr>
            </w:pPr>
            <w:r w:rsidRPr="009345CF">
              <w:rPr>
                <w:b w:val="0"/>
                <w:bCs/>
                <w:sz w:val="24"/>
                <w:szCs w:val="24"/>
                <w:lang w:val="en-US"/>
              </w:rPr>
              <w:lastRenderedPageBreak/>
              <w:t xml:space="preserve">Background/context explaining the events that led to the </w:t>
            </w:r>
            <w:proofErr w:type="gramStart"/>
            <w:r w:rsidRPr="009345CF">
              <w:rPr>
                <w:b w:val="0"/>
                <w:bCs/>
                <w:sz w:val="24"/>
                <w:szCs w:val="24"/>
                <w:lang w:val="en-US"/>
              </w:rPr>
              <w:t>renomination;</w:t>
            </w:r>
            <w:proofErr w:type="gramEnd"/>
            <w:r w:rsidRPr="009345CF">
              <w:rPr>
                <w:b w:val="0"/>
                <w:bCs/>
                <w:sz w:val="24"/>
                <w:szCs w:val="24"/>
                <w:lang w:val="en-US"/>
              </w:rPr>
              <w:t xml:space="preserve"> </w:t>
            </w:r>
          </w:p>
          <w:p w14:paraId="25CFFA28" w14:textId="77777777" w:rsidR="00336C7B" w:rsidRPr="009345CF" w:rsidRDefault="00336C7B" w:rsidP="00F670EF">
            <w:pPr>
              <w:pStyle w:val="ListParagraph"/>
              <w:numPr>
                <w:ilvl w:val="1"/>
                <w:numId w:val="36"/>
              </w:numPr>
              <w:shd w:val="clear" w:color="auto" w:fill="F2F2F2" w:themeFill="background1" w:themeFillShade="F2"/>
              <w:autoSpaceDE w:val="0"/>
              <w:autoSpaceDN w:val="0"/>
              <w:adjustRightInd w:val="0"/>
              <w:spacing w:before="240"/>
              <w:rPr>
                <w:b w:val="0"/>
                <w:bCs/>
                <w:sz w:val="24"/>
                <w:szCs w:val="24"/>
                <w:lang w:val="en-US"/>
              </w:rPr>
            </w:pPr>
            <w:r w:rsidRPr="009345CF">
              <w:rPr>
                <w:b w:val="0"/>
                <w:bCs/>
                <w:sz w:val="24"/>
                <w:szCs w:val="24"/>
                <w:lang w:val="en-US"/>
              </w:rPr>
              <w:t xml:space="preserve">Reason for renomination and why the specific category field option was chosen; and </w:t>
            </w:r>
          </w:p>
          <w:p w14:paraId="36BC988A" w14:textId="77777777" w:rsidR="00336C7B" w:rsidRPr="009345CF" w:rsidRDefault="00336C7B" w:rsidP="00F670EF">
            <w:pPr>
              <w:pStyle w:val="ListParagraph"/>
              <w:numPr>
                <w:ilvl w:val="1"/>
                <w:numId w:val="36"/>
              </w:numPr>
              <w:shd w:val="clear" w:color="auto" w:fill="F2F2F2" w:themeFill="background1" w:themeFillShade="F2"/>
              <w:autoSpaceDE w:val="0"/>
              <w:autoSpaceDN w:val="0"/>
              <w:adjustRightInd w:val="0"/>
              <w:spacing w:before="240"/>
              <w:rPr>
                <w:b w:val="0"/>
                <w:bCs/>
                <w:sz w:val="24"/>
                <w:szCs w:val="24"/>
                <w:lang w:val="en-US"/>
              </w:rPr>
            </w:pPr>
            <w:r w:rsidRPr="009345CF">
              <w:rPr>
                <w:b w:val="0"/>
                <w:bCs/>
                <w:sz w:val="24"/>
                <w:szCs w:val="24"/>
                <w:lang w:val="en-US"/>
              </w:rPr>
              <w:t xml:space="preserve">If applicable, any other further guidance on the reason for renomination. </w:t>
            </w:r>
          </w:p>
          <w:p w14:paraId="4F52DF38" w14:textId="77777777" w:rsidR="00336C7B" w:rsidRPr="00336C7B" w:rsidRDefault="00336C7B" w:rsidP="00336C7B">
            <w:pPr>
              <w:ind w:left="140" w:hanging="140"/>
              <w:rPr>
                <w:bCs/>
                <w:sz w:val="24"/>
                <w:szCs w:val="24"/>
                <w:lang w:val="en-US"/>
              </w:rPr>
            </w:pPr>
          </w:p>
        </w:tc>
        <w:tc>
          <w:tcPr>
            <w:tcW w:w="8593" w:type="dxa"/>
            <w:gridSpan w:val="2"/>
            <w:tcBorders>
              <w:top w:val="single" w:sz="4" w:space="0" w:color="auto"/>
              <w:left w:val="nil"/>
              <w:bottom w:val="single" w:sz="4" w:space="0" w:color="auto"/>
              <w:right w:val="nil"/>
            </w:tcBorders>
          </w:tcPr>
          <w:p w14:paraId="394A43BB" w14:textId="77777777" w:rsidR="00336C7B" w:rsidRPr="0070676A" w:rsidRDefault="00336C7B"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351223" w14:paraId="6C6310C5" w14:textId="77777777" w:rsidTr="000F7137">
        <w:tc>
          <w:tcPr>
            <w:cnfStyle w:val="001000000000" w:firstRow="0" w:lastRow="0" w:firstColumn="1" w:lastColumn="0" w:oddVBand="0" w:evenVBand="0" w:oddHBand="0" w:evenHBand="0" w:firstRowFirstColumn="0" w:firstRowLastColumn="0" w:lastRowFirstColumn="0" w:lastRowLastColumn="0"/>
            <w:tcW w:w="14122" w:type="dxa"/>
            <w:gridSpan w:val="3"/>
            <w:tcBorders>
              <w:top w:val="single" w:sz="4" w:space="0" w:color="auto"/>
              <w:left w:val="nil"/>
              <w:bottom w:val="single" w:sz="4" w:space="0" w:color="auto"/>
              <w:right w:val="nil"/>
            </w:tcBorders>
            <w:shd w:val="clear" w:color="auto" w:fill="F2F2F2" w:themeFill="background1" w:themeFillShade="F2"/>
          </w:tcPr>
          <w:p w14:paraId="3E26AA61" w14:textId="1DAFF76E" w:rsidR="00351223" w:rsidRPr="0070676A" w:rsidRDefault="00351223" w:rsidP="00C34A84">
            <w:pPr>
              <w:rPr>
                <w:sz w:val="24"/>
                <w:szCs w:val="24"/>
                <w:lang w:val="en-US"/>
              </w:rPr>
            </w:pPr>
            <w:r>
              <w:rPr>
                <w:sz w:val="24"/>
                <w:szCs w:val="24"/>
                <w:lang w:val="en-US"/>
              </w:rPr>
              <w:t xml:space="preserve">General questions </w:t>
            </w:r>
          </w:p>
        </w:tc>
      </w:tr>
      <w:tr w:rsidR="00027AAB" w14:paraId="5DAC0C46"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2D516537" w14:textId="62F0A4FF" w:rsidR="004642D1" w:rsidRPr="00336C7B" w:rsidRDefault="004642D1" w:rsidP="00F670EF">
            <w:pPr>
              <w:pStyle w:val="ListParagraph"/>
              <w:numPr>
                <w:ilvl w:val="0"/>
                <w:numId w:val="36"/>
              </w:numPr>
              <w:spacing w:before="60"/>
              <w:rPr>
                <w:b w:val="0"/>
                <w:sz w:val="24"/>
                <w:szCs w:val="24"/>
                <w:lang w:val="en-US"/>
              </w:rPr>
            </w:pPr>
            <w:r w:rsidRPr="00336C7B">
              <w:rPr>
                <w:b w:val="0"/>
                <w:sz w:val="24"/>
                <w:szCs w:val="24"/>
                <w:lang w:val="en-US"/>
              </w:rPr>
              <w:t xml:space="preserve">Do you think there are any impediments for facility operators and/or </w:t>
            </w:r>
            <w:r w:rsidR="009345CF" w:rsidRPr="00336C7B">
              <w:rPr>
                <w:b w:val="0"/>
                <w:sz w:val="24"/>
                <w:szCs w:val="24"/>
                <w:lang w:val="en-US"/>
              </w:rPr>
              <w:t xml:space="preserve">shippers </w:t>
            </w:r>
            <w:r w:rsidRPr="00336C7B">
              <w:rPr>
                <w:b w:val="0"/>
                <w:sz w:val="24"/>
                <w:szCs w:val="24"/>
                <w:lang w:val="en-US"/>
              </w:rPr>
              <w:t>to comply with the additional requirements set out in the consultation paper?</w:t>
            </w:r>
          </w:p>
          <w:p w14:paraId="218BC1CA" w14:textId="771AFE94" w:rsidR="004B0C8D" w:rsidRPr="00086E90" w:rsidRDefault="004B0C8D" w:rsidP="004642D1">
            <w:pPr>
              <w:ind w:left="360"/>
              <w:rPr>
                <w:b w:val="0"/>
                <w:bCs/>
                <w:sz w:val="24"/>
                <w:szCs w:val="24"/>
                <w:lang w:val="en-US"/>
              </w:rPr>
            </w:pPr>
          </w:p>
        </w:tc>
        <w:tc>
          <w:tcPr>
            <w:tcW w:w="8593" w:type="dxa"/>
            <w:gridSpan w:val="2"/>
            <w:tcBorders>
              <w:top w:val="single" w:sz="4" w:space="0" w:color="auto"/>
              <w:left w:val="nil"/>
              <w:bottom w:val="single" w:sz="4" w:space="0" w:color="auto"/>
              <w:right w:val="nil"/>
            </w:tcBorders>
          </w:tcPr>
          <w:p w14:paraId="099614E3" w14:textId="77777777" w:rsidR="004B0C8D" w:rsidRPr="0070676A" w:rsidRDefault="004B0C8D"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FC0F7B" w14:paraId="1F968343" w14:textId="77777777" w:rsidTr="009345CF">
        <w:trPr>
          <w:gridAfter w:val="1"/>
          <w:wAfter w:w="5096" w:type="dxa"/>
        </w:trPr>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22A51257" w14:textId="37309DDE" w:rsidR="00B56D5E" w:rsidRPr="00C66EA3" w:rsidRDefault="00B56D5E" w:rsidP="00F670EF">
            <w:pPr>
              <w:pStyle w:val="ListParagraph"/>
              <w:numPr>
                <w:ilvl w:val="0"/>
                <w:numId w:val="36"/>
              </w:numPr>
              <w:spacing w:before="60"/>
              <w:rPr>
                <w:b w:val="0"/>
                <w:sz w:val="24"/>
                <w:szCs w:val="24"/>
                <w:lang w:val="en-US"/>
              </w:rPr>
            </w:pPr>
            <w:r w:rsidRPr="00B56D5E">
              <w:rPr>
                <w:b w:val="0"/>
                <w:sz w:val="24"/>
                <w:szCs w:val="24"/>
                <w:lang w:val="en-US"/>
              </w:rPr>
              <w:t>Do you think the proposed amendments to the Guideline are proportionate</w:t>
            </w:r>
            <w:r w:rsidR="0074195E">
              <w:rPr>
                <w:b w:val="0"/>
                <w:sz w:val="24"/>
                <w:szCs w:val="24"/>
                <w:lang w:val="en-US"/>
              </w:rPr>
              <w:t xml:space="preserve"> and appropriate</w:t>
            </w:r>
            <w:r>
              <w:rPr>
                <w:b w:val="0"/>
                <w:sz w:val="24"/>
                <w:szCs w:val="24"/>
                <w:lang w:val="en-US"/>
              </w:rPr>
              <w:t xml:space="preserve"> to aid </w:t>
            </w:r>
            <w:r w:rsidRPr="00B56D5E">
              <w:rPr>
                <w:b w:val="0"/>
                <w:sz w:val="24"/>
                <w:szCs w:val="24"/>
                <w:lang w:val="en-US"/>
              </w:rPr>
              <w:t xml:space="preserve">facility operator and </w:t>
            </w:r>
            <w:r>
              <w:rPr>
                <w:b w:val="0"/>
                <w:sz w:val="24"/>
                <w:szCs w:val="24"/>
                <w:lang w:val="en-US"/>
              </w:rPr>
              <w:t xml:space="preserve">shipper compliance </w:t>
            </w:r>
            <w:r w:rsidRPr="00B56D5E">
              <w:rPr>
                <w:b w:val="0"/>
                <w:sz w:val="24"/>
                <w:szCs w:val="24"/>
                <w:lang w:val="en-US"/>
              </w:rPr>
              <w:t>with the NGR and the NGL</w:t>
            </w:r>
            <w:r w:rsidR="0074195E">
              <w:rPr>
                <w:b w:val="0"/>
                <w:sz w:val="24"/>
                <w:szCs w:val="24"/>
                <w:lang w:val="en-US"/>
              </w:rPr>
              <w:t xml:space="preserve">? </w:t>
            </w:r>
          </w:p>
          <w:p w14:paraId="7701878E" w14:textId="77777777" w:rsidR="0074195E" w:rsidRDefault="0074195E" w:rsidP="0074195E">
            <w:pPr>
              <w:pStyle w:val="ListParagraph"/>
              <w:numPr>
                <w:ilvl w:val="0"/>
                <w:numId w:val="0"/>
              </w:numPr>
              <w:spacing w:before="60"/>
              <w:ind w:left="720"/>
              <w:rPr>
                <w:sz w:val="24"/>
                <w:szCs w:val="24"/>
                <w:lang w:val="en-US"/>
              </w:rPr>
            </w:pPr>
          </w:p>
          <w:p w14:paraId="3499ED7B" w14:textId="12F37251" w:rsidR="0074195E" w:rsidRPr="00B56D5E" w:rsidRDefault="0074195E" w:rsidP="00C66EA3">
            <w:pPr>
              <w:pStyle w:val="ListParagraph"/>
              <w:numPr>
                <w:ilvl w:val="0"/>
                <w:numId w:val="0"/>
              </w:numPr>
              <w:spacing w:before="60"/>
              <w:ind w:left="720"/>
              <w:rPr>
                <w:b w:val="0"/>
                <w:sz w:val="24"/>
                <w:szCs w:val="24"/>
                <w:lang w:val="en-US"/>
              </w:rPr>
            </w:pPr>
            <w:r>
              <w:rPr>
                <w:b w:val="0"/>
                <w:sz w:val="24"/>
                <w:szCs w:val="24"/>
                <w:lang w:val="en-US"/>
              </w:rPr>
              <w:t xml:space="preserve">If not, why not? </w:t>
            </w:r>
          </w:p>
        </w:tc>
        <w:tc>
          <w:tcPr>
            <w:tcW w:w="8593" w:type="dxa"/>
            <w:tcBorders>
              <w:top w:val="single" w:sz="4" w:space="0" w:color="auto"/>
              <w:left w:val="nil"/>
              <w:bottom w:val="single" w:sz="4" w:space="0" w:color="auto"/>
              <w:right w:val="nil"/>
            </w:tcBorders>
          </w:tcPr>
          <w:p w14:paraId="10385C48" w14:textId="77777777" w:rsidR="00B56D5E" w:rsidRPr="0070676A" w:rsidRDefault="00B56D5E"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027AAB" w14:paraId="2ABFE863"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7145F1C7" w14:textId="00437A11" w:rsidR="004B0C8D" w:rsidRPr="00086E90" w:rsidRDefault="0070676A" w:rsidP="00F670EF">
            <w:pPr>
              <w:pStyle w:val="ListParagraph"/>
              <w:numPr>
                <w:ilvl w:val="0"/>
                <w:numId w:val="36"/>
              </w:numPr>
              <w:spacing w:before="60"/>
              <w:rPr>
                <w:b w:val="0"/>
                <w:bCs/>
                <w:sz w:val="24"/>
                <w:szCs w:val="24"/>
                <w:lang w:val="en-US"/>
              </w:rPr>
            </w:pPr>
            <w:r w:rsidRPr="00086E90">
              <w:rPr>
                <w:b w:val="0"/>
                <w:bCs/>
                <w:sz w:val="24"/>
                <w:szCs w:val="24"/>
                <w:lang w:val="en-US"/>
              </w:rPr>
              <w:lastRenderedPageBreak/>
              <w:t xml:space="preserve">What are the additional costs that may be incurred by facility operators and </w:t>
            </w:r>
            <w:r w:rsidR="008A5E07">
              <w:rPr>
                <w:b w:val="0"/>
                <w:bCs/>
                <w:sz w:val="24"/>
                <w:szCs w:val="24"/>
                <w:lang w:val="en-US"/>
              </w:rPr>
              <w:t xml:space="preserve">shippers </w:t>
            </w:r>
            <w:r w:rsidRPr="00086E90">
              <w:rPr>
                <w:b w:val="0"/>
                <w:bCs/>
                <w:sz w:val="24"/>
                <w:szCs w:val="24"/>
                <w:lang w:val="en-US"/>
              </w:rPr>
              <w:t xml:space="preserve">in complying with </w:t>
            </w:r>
            <w:r w:rsidR="0025473F" w:rsidRPr="00086E90">
              <w:rPr>
                <w:b w:val="0"/>
                <w:bCs/>
                <w:sz w:val="24"/>
                <w:szCs w:val="24"/>
                <w:lang w:val="en-US"/>
              </w:rPr>
              <w:t xml:space="preserve">the </w:t>
            </w:r>
            <w:r w:rsidRPr="00086E90">
              <w:rPr>
                <w:b w:val="0"/>
                <w:bCs/>
                <w:sz w:val="24"/>
                <w:szCs w:val="24"/>
                <w:lang w:val="en-US"/>
              </w:rPr>
              <w:t xml:space="preserve">proposed amendments? </w:t>
            </w:r>
          </w:p>
          <w:p w14:paraId="5C98BCA8" w14:textId="77777777" w:rsidR="0070676A" w:rsidRPr="00086E90" w:rsidRDefault="0070676A" w:rsidP="0070676A">
            <w:pPr>
              <w:pStyle w:val="ListParagraph"/>
              <w:numPr>
                <w:ilvl w:val="0"/>
                <w:numId w:val="0"/>
              </w:numPr>
              <w:spacing w:before="60"/>
              <w:ind w:left="720"/>
              <w:rPr>
                <w:b w:val="0"/>
                <w:bCs/>
                <w:sz w:val="24"/>
                <w:szCs w:val="24"/>
                <w:lang w:val="en-US"/>
              </w:rPr>
            </w:pPr>
          </w:p>
          <w:p w14:paraId="1F31A14A" w14:textId="25606923" w:rsidR="0070676A" w:rsidRPr="00086E90" w:rsidRDefault="0070676A" w:rsidP="0070676A">
            <w:pPr>
              <w:ind w:left="720"/>
              <w:rPr>
                <w:b w:val="0"/>
                <w:bCs/>
                <w:sz w:val="24"/>
                <w:szCs w:val="24"/>
                <w:lang w:val="en-US"/>
              </w:rPr>
            </w:pPr>
            <w:r w:rsidRPr="00086E90">
              <w:rPr>
                <w:b w:val="0"/>
                <w:bCs/>
                <w:sz w:val="24"/>
                <w:szCs w:val="24"/>
                <w:lang w:val="en-US"/>
              </w:rPr>
              <w:t xml:space="preserve">If </w:t>
            </w:r>
            <w:r w:rsidR="00A86A88" w:rsidRPr="00086E90">
              <w:rPr>
                <w:b w:val="0"/>
                <w:bCs/>
                <w:sz w:val="24"/>
                <w:szCs w:val="24"/>
                <w:lang w:val="en-US"/>
              </w:rPr>
              <w:t>you have identified additional costs</w:t>
            </w:r>
            <w:r w:rsidRPr="00086E90">
              <w:rPr>
                <w:b w:val="0"/>
                <w:bCs/>
                <w:sz w:val="24"/>
                <w:szCs w:val="24"/>
                <w:lang w:val="en-US"/>
              </w:rPr>
              <w:t xml:space="preserve">, do you think that these costs are proportionate and appropriate? </w:t>
            </w:r>
          </w:p>
          <w:p w14:paraId="7FB25C0A" w14:textId="7538CD87" w:rsidR="003B423C" w:rsidRPr="00086E90" w:rsidRDefault="003B423C" w:rsidP="0070676A">
            <w:pPr>
              <w:ind w:left="720"/>
              <w:rPr>
                <w:b w:val="0"/>
                <w:bCs/>
                <w:sz w:val="24"/>
                <w:szCs w:val="24"/>
                <w:lang w:val="en-US"/>
              </w:rPr>
            </w:pPr>
          </w:p>
        </w:tc>
        <w:tc>
          <w:tcPr>
            <w:tcW w:w="8593" w:type="dxa"/>
            <w:gridSpan w:val="2"/>
            <w:tcBorders>
              <w:top w:val="single" w:sz="4" w:space="0" w:color="auto"/>
              <w:left w:val="nil"/>
              <w:bottom w:val="single" w:sz="4" w:space="0" w:color="auto"/>
              <w:right w:val="nil"/>
            </w:tcBorders>
          </w:tcPr>
          <w:p w14:paraId="7881E876" w14:textId="77777777" w:rsidR="004B0C8D" w:rsidRPr="0070676A" w:rsidRDefault="004B0C8D"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027AAB" w14:paraId="08A2211B"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7DD5B1D0" w14:textId="64CBA971" w:rsidR="003B423C" w:rsidRPr="00336C7B" w:rsidRDefault="004F5F94" w:rsidP="00F670EF">
            <w:pPr>
              <w:pStyle w:val="ListParagraph"/>
              <w:numPr>
                <w:ilvl w:val="0"/>
                <w:numId w:val="36"/>
              </w:numPr>
              <w:spacing w:before="60"/>
              <w:rPr>
                <w:b w:val="0"/>
                <w:sz w:val="24"/>
                <w:szCs w:val="24"/>
                <w:lang w:val="en-US"/>
              </w:rPr>
            </w:pPr>
            <w:r w:rsidRPr="00336C7B">
              <w:rPr>
                <w:b w:val="0"/>
                <w:sz w:val="24"/>
                <w:szCs w:val="24"/>
                <w:lang w:val="en-US"/>
              </w:rPr>
              <w:t xml:space="preserve">Do you think the proposed amendments effectively addresses the issues raised in the rationale column in Tables A and B? </w:t>
            </w:r>
          </w:p>
          <w:p w14:paraId="24D16026" w14:textId="77777777" w:rsidR="004F5F94" w:rsidRPr="00086E90" w:rsidRDefault="004F5F94" w:rsidP="004F5F94">
            <w:pPr>
              <w:pStyle w:val="ListParagraph"/>
              <w:numPr>
                <w:ilvl w:val="0"/>
                <w:numId w:val="0"/>
              </w:numPr>
              <w:spacing w:before="60"/>
              <w:ind w:left="720"/>
              <w:rPr>
                <w:b w:val="0"/>
                <w:bCs/>
                <w:sz w:val="24"/>
                <w:szCs w:val="24"/>
                <w:lang w:val="en-US"/>
              </w:rPr>
            </w:pPr>
          </w:p>
          <w:p w14:paraId="4344FD06" w14:textId="77777777" w:rsidR="004F5F94" w:rsidRPr="00086E90" w:rsidRDefault="004F5F94" w:rsidP="004F5F94">
            <w:pPr>
              <w:pStyle w:val="ListParagraph"/>
              <w:numPr>
                <w:ilvl w:val="0"/>
                <w:numId w:val="0"/>
              </w:numPr>
              <w:spacing w:before="60"/>
              <w:ind w:left="720"/>
              <w:rPr>
                <w:b w:val="0"/>
                <w:bCs/>
                <w:sz w:val="24"/>
                <w:szCs w:val="24"/>
                <w:lang w:val="en-US"/>
              </w:rPr>
            </w:pPr>
            <w:r w:rsidRPr="00086E90">
              <w:rPr>
                <w:b w:val="0"/>
                <w:bCs/>
                <w:sz w:val="24"/>
                <w:szCs w:val="24"/>
                <w:lang w:val="en-US"/>
              </w:rPr>
              <w:t xml:space="preserve">Are there more appropriate ways to address the issues raised in the rationale? </w:t>
            </w:r>
          </w:p>
          <w:p w14:paraId="1F42D8A3" w14:textId="248CA93B" w:rsidR="00A86A88" w:rsidRPr="00086E90" w:rsidRDefault="00A86A88" w:rsidP="004F5F94">
            <w:pPr>
              <w:pStyle w:val="ListParagraph"/>
              <w:numPr>
                <w:ilvl w:val="0"/>
                <w:numId w:val="0"/>
              </w:numPr>
              <w:spacing w:before="60"/>
              <w:ind w:left="720"/>
              <w:rPr>
                <w:b w:val="0"/>
                <w:bCs/>
                <w:sz w:val="24"/>
                <w:szCs w:val="24"/>
                <w:lang w:val="en-US"/>
              </w:rPr>
            </w:pPr>
          </w:p>
        </w:tc>
        <w:tc>
          <w:tcPr>
            <w:tcW w:w="8593" w:type="dxa"/>
            <w:gridSpan w:val="2"/>
            <w:tcBorders>
              <w:top w:val="single" w:sz="4" w:space="0" w:color="auto"/>
              <w:left w:val="nil"/>
              <w:bottom w:val="single" w:sz="4" w:space="0" w:color="auto"/>
              <w:right w:val="nil"/>
            </w:tcBorders>
          </w:tcPr>
          <w:p w14:paraId="627DA14E" w14:textId="77777777" w:rsidR="004B0C8D" w:rsidRPr="0070676A" w:rsidRDefault="004B0C8D"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r w:rsidR="00027AAB" w14:paraId="122DEDA4" w14:textId="77777777" w:rsidTr="009345CF">
        <w:tc>
          <w:tcPr>
            <w:cnfStyle w:val="001000000000" w:firstRow="0" w:lastRow="0" w:firstColumn="1" w:lastColumn="0" w:oddVBand="0" w:evenVBand="0" w:oddHBand="0" w:evenHBand="0" w:firstRowFirstColumn="0" w:firstRowLastColumn="0" w:lastRowFirstColumn="0" w:lastRowLastColumn="0"/>
            <w:tcW w:w="5529" w:type="dxa"/>
            <w:tcBorders>
              <w:top w:val="single" w:sz="4" w:space="0" w:color="auto"/>
              <w:left w:val="nil"/>
              <w:bottom w:val="single" w:sz="4" w:space="0" w:color="auto"/>
              <w:right w:val="nil"/>
            </w:tcBorders>
            <w:shd w:val="clear" w:color="auto" w:fill="F2F2F2" w:themeFill="background1" w:themeFillShade="F2"/>
          </w:tcPr>
          <w:p w14:paraId="6548C69C" w14:textId="71855D9D" w:rsidR="004B0C8D" w:rsidRPr="00336C7B" w:rsidRDefault="0070676A" w:rsidP="00F670EF">
            <w:pPr>
              <w:pStyle w:val="ListParagraph"/>
              <w:numPr>
                <w:ilvl w:val="0"/>
                <w:numId w:val="36"/>
              </w:numPr>
              <w:spacing w:before="60"/>
              <w:rPr>
                <w:b w:val="0"/>
                <w:bCs/>
                <w:sz w:val="24"/>
                <w:szCs w:val="24"/>
                <w:lang w:val="en-US"/>
              </w:rPr>
            </w:pPr>
            <w:r w:rsidRPr="00086E90">
              <w:rPr>
                <w:b w:val="0"/>
                <w:bCs/>
                <w:sz w:val="24"/>
                <w:szCs w:val="24"/>
                <w:lang w:val="en-US"/>
              </w:rPr>
              <w:t>Do you have any a</w:t>
            </w:r>
            <w:r w:rsidR="004B0C8D" w:rsidRPr="00086E90">
              <w:rPr>
                <w:b w:val="0"/>
                <w:bCs/>
                <w:sz w:val="24"/>
                <w:szCs w:val="24"/>
                <w:lang w:val="en-US"/>
              </w:rPr>
              <w:t xml:space="preserve">dditional concerns and/or comments </w:t>
            </w:r>
            <w:r w:rsidR="003B423C" w:rsidRPr="00086E90">
              <w:rPr>
                <w:b w:val="0"/>
                <w:bCs/>
                <w:sz w:val="24"/>
                <w:szCs w:val="24"/>
                <w:lang w:val="en-US"/>
              </w:rPr>
              <w:t xml:space="preserve">that you would </w:t>
            </w:r>
            <w:r w:rsidR="004B0C8D" w:rsidRPr="00086E90">
              <w:rPr>
                <w:b w:val="0"/>
                <w:bCs/>
                <w:sz w:val="24"/>
                <w:szCs w:val="24"/>
                <w:lang w:val="en-US"/>
              </w:rPr>
              <w:t>like to make</w:t>
            </w:r>
            <w:r w:rsidR="003B423C" w:rsidRPr="00086E90">
              <w:rPr>
                <w:b w:val="0"/>
                <w:bCs/>
                <w:sz w:val="24"/>
                <w:szCs w:val="24"/>
                <w:lang w:val="en-US"/>
              </w:rPr>
              <w:t>?</w:t>
            </w:r>
          </w:p>
          <w:p w14:paraId="4EDCAE46" w14:textId="65C22D17" w:rsidR="003B423C" w:rsidRPr="004818F2" w:rsidRDefault="003B423C" w:rsidP="004818F2">
            <w:pPr>
              <w:rPr>
                <w:bCs/>
                <w:sz w:val="24"/>
                <w:szCs w:val="24"/>
                <w:lang w:val="en-US"/>
              </w:rPr>
            </w:pPr>
          </w:p>
        </w:tc>
        <w:tc>
          <w:tcPr>
            <w:tcW w:w="8593" w:type="dxa"/>
            <w:gridSpan w:val="2"/>
            <w:tcBorders>
              <w:top w:val="single" w:sz="4" w:space="0" w:color="auto"/>
              <w:left w:val="nil"/>
              <w:bottom w:val="single" w:sz="4" w:space="0" w:color="auto"/>
              <w:right w:val="nil"/>
            </w:tcBorders>
          </w:tcPr>
          <w:p w14:paraId="03168661" w14:textId="77777777" w:rsidR="004B0C8D" w:rsidRPr="0070676A" w:rsidRDefault="004B0C8D" w:rsidP="00C34A84">
            <w:pPr>
              <w:cnfStyle w:val="000000000000" w:firstRow="0" w:lastRow="0" w:firstColumn="0" w:lastColumn="0" w:oddVBand="0" w:evenVBand="0" w:oddHBand="0" w:evenHBand="0" w:firstRowFirstColumn="0" w:firstRowLastColumn="0" w:lastRowFirstColumn="0" w:lastRowLastColumn="0"/>
              <w:rPr>
                <w:sz w:val="24"/>
                <w:szCs w:val="24"/>
                <w:lang w:val="en-US"/>
              </w:rPr>
            </w:pPr>
          </w:p>
        </w:tc>
      </w:tr>
    </w:tbl>
    <w:p w14:paraId="62E1D023" w14:textId="60FF2EF8" w:rsidR="006E2541" w:rsidRDefault="006E2541" w:rsidP="002D02A2">
      <w:pPr>
        <w:tabs>
          <w:tab w:val="left" w:pos="1217"/>
        </w:tabs>
        <w:rPr>
          <w:lang w:val="en-US"/>
        </w:rPr>
      </w:pPr>
    </w:p>
    <w:sectPr w:rsidR="006E2541" w:rsidSect="008F0548">
      <w:pgSz w:w="16838" w:h="11906" w:orient="landscape"/>
      <w:pgMar w:top="1440" w:right="1276"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7702" w14:textId="77777777" w:rsidR="008A1D86" w:rsidRDefault="008A1D86" w:rsidP="004B4412">
      <w:pPr>
        <w:spacing w:before="0"/>
      </w:pPr>
      <w:r>
        <w:separator/>
      </w:r>
    </w:p>
  </w:endnote>
  <w:endnote w:type="continuationSeparator" w:id="0">
    <w:p w14:paraId="0B7BBF14" w14:textId="77777777" w:rsidR="008A1D86" w:rsidRDefault="008A1D86"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469139"/>
      <w:docPartObj>
        <w:docPartGallery w:val="Page Numbers (Bottom of Page)"/>
        <w:docPartUnique/>
      </w:docPartObj>
    </w:sdtPr>
    <w:sdtEndPr>
      <w:rPr>
        <w:noProof/>
      </w:rPr>
    </w:sdtEndPr>
    <w:sdtContent>
      <w:p w14:paraId="1000B9E0" w14:textId="36955231" w:rsidR="004220C4" w:rsidRDefault="004220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E134BA" w14:textId="77777777" w:rsidR="00FE1DA5" w:rsidRDefault="00FE1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458752"/>
      <w:docPartObj>
        <w:docPartGallery w:val="Page Numbers (Bottom of Page)"/>
        <w:docPartUnique/>
      </w:docPartObj>
    </w:sdtPr>
    <w:sdtEndPr>
      <w:rPr>
        <w:noProof/>
      </w:rPr>
    </w:sdtEndPr>
    <w:sdtContent>
      <w:p w14:paraId="05DB602D" w14:textId="05ACB35D" w:rsidR="008F0548" w:rsidRDefault="008F05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589265"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C48C" w14:textId="77777777" w:rsidR="008A1D86" w:rsidRDefault="008A1D86" w:rsidP="004B4412">
      <w:pPr>
        <w:spacing w:before="0"/>
      </w:pPr>
      <w:r>
        <w:separator/>
      </w:r>
    </w:p>
  </w:footnote>
  <w:footnote w:type="continuationSeparator" w:id="0">
    <w:p w14:paraId="5C60A7A7" w14:textId="77777777" w:rsidR="008A1D86" w:rsidRDefault="008A1D86" w:rsidP="004B4412">
      <w:pPr>
        <w:spacing w:before="0"/>
      </w:pPr>
      <w:r>
        <w:continuationSeparator/>
      </w:r>
    </w:p>
  </w:footnote>
  <w:footnote w:id="1">
    <w:p w14:paraId="4C843554" w14:textId="73AF466F" w:rsidR="00D5621E" w:rsidRPr="00975CFF" w:rsidRDefault="00D5621E" w:rsidP="00D5621E">
      <w:pPr>
        <w:pStyle w:val="FootnoteText"/>
        <w:rPr>
          <w:lang w:val="en-US"/>
        </w:rPr>
      </w:pPr>
      <w:r>
        <w:rPr>
          <w:rStyle w:val="FootnoteReference"/>
        </w:rPr>
        <w:footnoteRef/>
      </w:r>
      <w:r>
        <w:t xml:space="preserve"> </w:t>
      </w:r>
      <w:r>
        <w:rPr>
          <w:lang w:val="en-US"/>
        </w:rPr>
        <w:tab/>
        <w:t xml:space="preserve">The facilities are specified under the NGR in AEMO’s transportation service point register - </w:t>
      </w:r>
      <w:hyperlink r:id="rId1" w:history="1">
        <w:r w:rsidRPr="00D5621E">
          <w:rPr>
            <w:rStyle w:val="Hyperlink"/>
            <w:sz w:val="16"/>
            <w:lang w:val="en-US"/>
          </w:rPr>
          <w:t>https://www.aemo.com.au/-/media/files/gas/pipeline-capacity/2019/transportation-service-point-register-march-2020.pdf?la=en</w:t>
        </w:r>
      </w:hyperlink>
      <w:r>
        <w:rPr>
          <w:lang w:val="en-US"/>
        </w:rPr>
        <w:t xml:space="preserve"> </w:t>
      </w:r>
    </w:p>
  </w:footnote>
  <w:footnote w:id="2">
    <w:p w14:paraId="61934054" w14:textId="67D80BDA" w:rsidR="00D86EB8" w:rsidRDefault="00D86EB8">
      <w:pPr>
        <w:pStyle w:val="FootnoteText"/>
      </w:pPr>
      <w:r>
        <w:rPr>
          <w:rStyle w:val="FootnoteReference"/>
        </w:rPr>
        <w:footnoteRef/>
      </w:r>
      <w:r>
        <w:t xml:space="preserve"> </w:t>
      </w:r>
      <w:r>
        <w:tab/>
        <w:t>NGR, cl.</w:t>
      </w:r>
      <w:r w:rsidR="00147B45">
        <w:t>650(2)</w:t>
      </w:r>
    </w:p>
  </w:footnote>
  <w:footnote w:id="3">
    <w:p w14:paraId="1CAF66B1" w14:textId="77777777" w:rsidR="004C5888" w:rsidRDefault="004C5888" w:rsidP="004C5888">
      <w:pPr>
        <w:pStyle w:val="FootnoteText"/>
      </w:pPr>
      <w:r w:rsidRPr="00095658">
        <w:rPr>
          <w:rStyle w:val="FootnoteReference"/>
        </w:rPr>
        <w:footnoteRef/>
      </w:r>
      <w:r w:rsidRPr="00095658">
        <w:t xml:space="preserve"> </w:t>
      </w:r>
      <w:r w:rsidRPr="00095658">
        <w:tab/>
        <w:t xml:space="preserve">NGR, </w:t>
      </w:r>
      <w:r>
        <w:t xml:space="preserve">cl. </w:t>
      </w:r>
      <w:r w:rsidRPr="00095658">
        <w:t>664(1).</w:t>
      </w:r>
      <w:r>
        <w:t xml:space="preserve"> </w:t>
      </w:r>
    </w:p>
  </w:footnote>
  <w:footnote w:id="4">
    <w:p w14:paraId="0F85B740" w14:textId="67BFA14E" w:rsidR="00BC3155" w:rsidRPr="001F2532" w:rsidRDefault="00BC3155">
      <w:pPr>
        <w:pStyle w:val="FootnoteText"/>
        <w:rPr>
          <w:lang w:val="en-US"/>
        </w:rPr>
      </w:pPr>
      <w:r>
        <w:rPr>
          <w:rStyle w:val="FootnoteReference"/>
        </w:rPr>
        <w:footnoteRef/>
      </w:r>
      <w:r>
        <w:t xml:space="preserve"> </w:t>
      </w:r>
      <w:r>
        <w:rPr>
          <w:lang w:val="en-US"/>
        </w:rPr>
        <w:tab/>
        <w:t>NGR, cl. 661(1)</w:t>
      </w:r>
      <w:r w:rsidR="008B4F22">
        <w:rPr>
          <w:lang w:val="en-US"/>
        </w:rPr>
        <w:t xml:space="preserve">. </w:t>
      </w:r>
    </w:p>
  </w:footnote>
  <w:footnote w:id="5">
    <w:p w14:paraId="03DFC4AB" w14:textId="31F9E9B8" w:rsidR="00762FA1" w:rsidRPr="001F2532" w:rsidRDefault="00762FA1">
      <w:pPr>
        <w:pStyle w:val="FootnoteText"/>
        <w:rPr>
          <w:lang w:val="en-US"/>
        </w:rPr>
      </w:pPr>
      <w:r>
        <w:rPr>
          <w:rStyle w:val="FootnoteReference"/>
        </w:rPr>
        <w:footnoteRef/>
      </w:r>
      <w:r>
        <w:t xml:space="preserve"> </w:t>
      </w:r>
      <w:r>
        <w:rPr>
          <w:lang w:val="en-US"/>
        </w:rPr>
        <w:tab/>
        <w:t xml:space="preserve">NGR, cl. 661(2). </w:t>
      </w:r>
    </w:p>
  </w:footnote>
  <w:footnote w:id="6">
    <w:p w14:paraId="23C110A4" w14:textId="2C77EA3A" w:rsidR="009C5684" w:rsidRPr="001F2532" w:rsidRDefault="009C5684">
      <w:pPr>
        <w:pStyle w:val="FootnoteText"/>
        <w:rPr>
          <w:lang w:val="en-US"/>
        </w:rPr>
      </w:pPr>
      <w:r>
        <w:rPr>
          <w:rStyle w:val="FootnoteReference"/>
        </w:rPr>
        <w:footnoteRef/>
      </w:r>
      <w:r>
        <w:t xml:space="preserve"> </w:t>
      </w:r>
      <w:r>
        <w:rPr>
          <w:lang w:val="en-US"/>
        </w:rPr>
        <w:tab/>
        <w:t>NGR, cl. 663(1).</w:t>
      </w:r>
    </w:p>
  </w:footnote>
  <w:footnote w:id="7">
    <w:p w14:paraId="6CD381B3" w14:textId="77777777" w:rsidR="004C5888" w:rsidRDefault="004C5888" w:rsidP="004C5888">
      <w:pPr>
        <w:pStyle w:val="FootnoteText"/>
      </w:pPr>
      <w:r>
        <w:rPr>
          <w:rStyle w:val="FootnoteReference"/>
        </w:rPr>
        <w:footnoteRef/>
      </w:r>
      <w:r>
        <w:t xml:space="preserve"> </w:t>
      </w:r>
      <w:r>
        <w:tab/>
        <w:t>The auction service priority principles are set out in the NGR in clause 651.</w:t>
      </w:r>
    </w:p>
  </w:footnote>
  <w:footnote w:id="8">
    <w:p w14:paraId="7298592F" w14:textId="36CFEEEC" w:rsidR="00707DDF" w:rsidRPr="002A6515" w:rsidRDefault="00707DDF">
      <w:pPr>
        <w:pStyle w:val="FootnoteText"/>
        <w:rPr>
          <w:lang w:val="en-US"/>
        </w:rPr>
      </w:pPr>
      <w:r>
        <w:rPr>
          <w:rStyle w:val="FootnoteReference"/>
        </w:rPr>
        <w:footnoteRef/>
      </w:r>
      <w:r>
        <w:t xml:space="preserve"> </w:t>
      </w:r>
      <w:r>
        <w:rPr>
          <w:lang w:val="en-US"/>
        </w:rPr>
        <w:tab/>
      </w:r>
      <w:bookmarkStart w:id="8" w:name="_Hlk120281795"/>
      <w:r>
        <w:rPr>
          <w:lang w:val="en-US"/>
        </w:rPr>
        <w:t xml:space="preserve">NGR, cl. 666(1). </w:t>
      </w:r>
      <w:bookmarkEnd w:id="8"/>
    </w:p>
  </w:footnote>
  <w:footnote w:id="9">
    <w:p w14:paraId="6DB33FF1" w14:textId="77777777" w:rsidR="00901B23" w:rsidRDefault="00901B23" w:rsidP="00E55683">
      <w:pPr>
        <w:pStyle w:val="FootnoteText"/>
        <w:rPr>
          <w:lang w:val="en-US"/>
        </w:rPr>
      </w:pPr>
      <w:r>
        <w:rPr>
          <w:rStyle w:val="FootnoteReference"/>
        </w:rPr>
        <w:footnoteRef/>
      </w:r>
      <w:r>
        <w:t xml:space="preserve"> </w:t>
      </w:r>
      <w:r>
        <w:rPr>
          <w:lang w:val="en-US"/>
        </w:rPr>
        <w:tab/>
      </w:r>
      <w:hyperlink r:id="rId2" w:history="1">
        <w:r w:rsidRPr="00C75551">
          <w:rPr>
            <w:rStyle w:val="Hyperlink"/>
            <w:sz w:val="16"/>
            <w:lang w:val="en-US"/>
          </w:rPr>
          <w:t>https://www.aer.gov.au/wholesale-markets/compliance-reporting/guidance-note-submitting-wholesale-energy-self-reports-to-the-aer</w:t>
        </w:r>
      </w:hyperlink>
    </w:p>
    <w:p w14:paraId="10A8FD62" w14:textId="77777777" w:rsidR="00901B23" w:rsidRPr="00FB2DE4" w:rsidRDefault="00901B23" w:rsidP="00E55683">
      <w:pPr>
        <w:pStyle w:val="FootnoteText"/>
        <w:rPr>
          <w:lang w:val="en-US"/>
        </w:rPr>
      </w:pPr>
    </w:p>
  </w:footnote>
  <w:footnote w:id="10">
    <w:p w14:paraId="3E0D63C1" w14:textId="77777777" w:rsidR="007B17CA" w:rsidRDefault="007B17CA" w:rsidP="00E55683">
      <w:pPr>
        <w:pStyle w:val="FootnoteText"/>
      </w:pPr>
      <w:r>
        <w:rPr>
          <w:rStyle w:val="FootnoteReference"/>
        </w:rPr>
        <w:footnoteRef/>
      </w:r>
      <w:r>
        <w:t xml:space="preserve"> </w:t>
      </w:r>
      <w:r>
        <w:tab/>
      </w:r>
      <w:hyperlink r:id="rId3" w:history="1">
        <w:r w:rsidRPr="00C75551">
          <w:rPr>
            <w:rStyle w:val="Hyperlink"/>
            <w:sz w:val="16"/>
          </w:rPr>
          <w:t>https://www.aer.gov.au/system/files/Pipeline%20Nominations-Portal-Guide.pdf</w:t>
        </w:r>
      </w:hyperlink>
    </w:p>
    <w:p w14:paraId="22B8C413" w14:textId="77777777" w:rsidR="007B17CA" w:rsidRPr="00B22D93" w:rsidRDefault="007B17CA" w:rsidP="00E55683">
      <w:pPr>
        <w:pStyle w:val="FootnoteText"/>
        <w:rPr>
          <w:lang w:val="en-US"/>
        </w:rPr>
      </w:pPr>
    </w:p>
  </w:footnote>
  <w:footnote w:id="11">
    <w:p w14:paraId="3A4F6065" w14:textId="05AB2E51" w:rsidR="00A65FCA" w:rsidRDefault="00A65FCA" w:rsidP="00A65FCA">
      <w:pPr>
        <w:pStyle w:val="FootnoteText"/>
        <w:ind w:left="680" w:hanging="680"/>
      </w:pPr>
      <w:r>
        <w:rPr>
          <w:rStyle w:val="FootnoteReference"/>
        </w:rPr>
        <w:footnoteRef/>
      </w:r>
      <w:r>
        <w:t xml:space="preserve"> </w:t>
      </w:r>
      <w:r>
        <w:tab/>
      </w:r>
      <w:r>
        <w:tab/>
        <w:t>If a transportation service cannot be determined, please specify that it is undetermined. We note the obligation for a shipper to record material renominations still remains</w:t>
      </w:r>
      <w:r w:rsidR="0033460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1444A12"/>
    <w:multiLevelType w:val="hybridMultilevel"/>
    <w:tmpl w:val="4F98FD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3F321B3"/>
    <w:multiLevelType w:val="multilevel"/>
    <w:tmpl w:val="74DECE28"/>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DD2542B"/>
    <w:multiLevelType w:val="hybridMultilevel"/>
    <w:tmpl w:val="7C60E1FC"/>
    <w:lvl w:ilvl="0" w:tplc="021E8868">
      <w:start w:val="1"/>
      <w:numFmt w:val="decimal"/>
      <w:pStyle w:val="ListParagraph"/>
      <w:lvlText w:val="%1."/>
      <w:lvlJc w:val="left"/>
      <w:pPr>
        <w:ind w:left="140" w:hanging="340"/>
      </w:pPr>
      <w:rPr>
        <w:rFonts w:hint="default"/>
      </w:rPr>
    </w:lvl>
    <w:lvl w:ilvl="1" w:tplc="0C090019" w:tentative="1">
      <w:start w:val="1"/>
      <w:numFmt w:val="lowerLetter"/>
      <w:lvlText w:val="%2."/>
      <w:lvlJc w:val="left"/>
      <w:pPr>
        <w:ind w:left="880" w:hanging="360"/>
      </w:pPr>
    </w:lvl>
    <w:lvl w:ilvl="2" w:tplc="0C09001B" w:tentative="1">
      <w:start w:val="1"/>
      <w:numFmt w:val="lowerRoman"/>
      <w:lvlText w:val="%3."/>
      <w:lvlJc w:val="right"/>
      <w:pPr>
        <w:ind w:left="1600" w:hanging="180"/>
      </w:pPr>
    </w:lvl>
    <w:lvl w:ilvl="3" w:tplc="0C09000F" w:tentative="1">
      <w:start w:val="1"/>
      <w:numFmt w:val="decimal"/>
      <w:lvlText w:val="%4."/>
      <w:lvlJc w:val="left"/>
      <w:pPr>
        <w:ind w:left="2320" w:hanging="360"/>
      </w:pPr>
    </w:lvl>
    <w:lvl w:ilvl="4" w:tplc="0C090019" w:tentative="1">
      <w:start w:val="1"/>
      <w:numFmt w:val="lowerLetter"/>
      <w:lvlText w:val="%5."/>
      <w:lvlJc w:val="left"/>
      <w:pPr>
        <w:ind w:left="3040" w:hanging="360"/>
      </w:pPr>
    </w:lvl>
    <w:lvl w:ilvl="5" w:tplc="0C09001B" w:tentative="1">
      <w:start w:val="1"/>
      <w:numFmt w:val="lowerRoman"/>
      <w:lvlText w:val="%6."/>
      <w:lvlJc w:val="right"/>
      <w:pPr>
        <w:ind w:left="3760" w:hanging="180"/>
      </w:pPr>
    </w:lvl>
    <w:lvl w:ilvl="6" w:tplc="0C09000F" w:tentative="1">
      <w:start w:val="1"/>
      <w:numFmt w:val="decimal"/>
      <w:lvlText w:val="%7."/>
      <w:lvlJc w:val="left"/>
      <w:pPr>
        <w:ind w:left="4480" w:hanging="360"/>
      </w:pPr>
    </w:lvl>
    <w:lvl w:ilvl="7" w:tplc="0C090019" w:tentative="1">
      <w:start w:val="1"/>
      <w:numFmt w:val="lowerLetter"/>
      <w:lvlText w:val="%8."/>
      <w:lvlJc w:val="left"/>
      <w:pPr>
        <w:ind w:left="5200" w:hanging="360"/>
      </w:pPr>
    </w:lvl>
    <w:lvl w:ilvl="8" w:tplc="0C09001B" w:tentative="1">
      <w:start w:val="1"/>
      <w:numFmt w:val="lowerRoman"/>
      <w:lvlText w:val="%9."/>
      <w:lvlJc w:val="right"/>
      <w:pPr>
        <w:ind w:left="5920" w:hanging="180"/>
      </w:pPr>
    </w:lvl>
  </w:abstractNum>
  <w:abstractNum w:abstractNumId="12" w15:restartNumberingAfterBreak="0">
    <w:nsid w:val="0DF52653"/>
    <w:multiLevelType w:val="hybridMultilevel"/>
    <w:tmpl w:val="F7D2F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15:restartNumberingAfterBreak="0">
    <w:nsid w:val="16962198"/>
    <w:multiLevelType w:val="hybridMultilevel"/>
    <w:tmpl w:val="3126D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6"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38973439"/>
    <w:multiLevelType w:val="hybridMultilevel"/>
    <w:tmpl w:val="6C5A1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15:restartNumberingAfterBreak="0">
    <w:nsid w:val="47A1232E"/>
    <w:multiLevelType w:val="hybridMultilevel"/>
    <w:tmpl w:val="13E6BA6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154821"/>
    <w:multiLevelType w:val="hybridMultilevel"/>
    <w:tmpl w:val="D3E6989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557D5265"/>
    <w:multiLevelType w:val="hybridMultilevel"/>
    <w:tmpl w:val="61963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15:restartNumberingAfterBreak="0">
    <w:nsid w:val="59C81D51"/>
    <w:multiLevelType w:val="multilevel"/>
    <w:tmpl w:val="44E80A08"/>
    <w:lvl w:ilvl="0">
      <w:start w:val="1"/>
      <w:numFmt w:val="decimal"/>
      <w:lvlText w:val="%1."/>
      <w:lvlJc w:val="left"/>
      <w:pPr>
        <w:ind w:left="643" w:hanging="360"/>
      </w:pPr>
      <w:rPr>
        <w:rFonts w:ascii="Arial" w:eastAsiaTheme="minorHAnsi" w:hAnsi="Arial" w:cstheme="minorBidi"/>
      </w:rPr>
    </w:lvl>
    <w:lvl w:ilvl="1">
      <w:start w:val="4"/>
      <w:numFmt w:val="decimal"/>
      <w:isLgl/>
      <w:lvlText w:val="%1.%2."/>
      <w:lvlJc w:val="left"/>
      <w:pPr>
        <w:ind w:left="1800" w:hanging="720"/>
      </w:pPr>
      <w:rPr>
        <w:rFonts w:hint="default"/>
      </w:rPr>
    </w:lvl>
    <w:lvl w:ilvl="2">
      <w:start w:val="1"/>
      <w:numFmt w:val="decimal"/>
      <w:isLgl/>
      <w:lvlText w:val="%1.%2.%3."/>
      <w:lvlJc w:val="left"/>
      <w:pPr>
        <w:ind w:left="2597" w:hanging="720"/>
      </w:pPr>
      <w:rPr>
        <w:rFonts w:hint="default"/>
      </w:rPr>
    </w:lvl>
    <w:lvl w:ilvl="3">
      <w:start w:val="1"/>
      <w:numFmt w:val="decimal"/>
      <w:isLgl/>
      <w:lvlText w:val="%1.%2.%3.%4."/>
      <w:lvlJc w:val="left"/>
      <w:pPr>
        <w:ind w:left="3754" w:hanging="1080"/>
      </w:pPr>
      <w:rPr>
        <w:rFonts w:hint="default"/>
      </w:rPr>
    </w:lvl>
    <w:lvl w:ilvl="4">
      <w:start w:val="1"/>
      <w:numFmt w:val="decimal"/>
      <w:isLgl/>
      <w:lvlText w:val="%1.%2.%3.%4.%5."/>
      <w:lvlJc w:val="left"/>
      <w:pPr>
        <w:ind w:left="4551" w:hanging="1080"/>
      </w:pPr>
      <w:rPr>
        <w:rFonts w:hint="default"/>
      </w:rPr>
    </w:lvl>
    <w:lvl w:ilvl="5">
      <w:start w:val="1"/>
      <w:numFmt w:val="decimal"/>
      <w:isLgl/>
      <w:lvlText w:val="%1.%2.%3.%4.%5.%6."/>
      <w:lvlJc w:val="left"/>
      <w:pPr>
        <w:ind w:left="5708" w:hanging="1440"/>
      </w:pPr>
      <w:rPr>
        <w:rFonts w:hint="default"/>
      </w:rPr>
    </w:lvl>
    <w:lvl w:ilvl="6">
      <w:start w:val="1"/>
      <w:numFmt w:val="decimal"/>
      <w:isLgl/>
      <w:lvlText w:val="%1.%2.%3.%4.%5.%6.%7."/>
      <w:lvlJc w:val="left"/>
      <w:pPr>
        <w:ind w:left="6505" w:hanging="1440"/>
      </w:pPr>
      <w:rPr>
        <w:rFonts w:hint="default"/>
      </w:rPr>
    </w:lvl>
    <w:lvl w:ilvl="7">
      <w:start w:val="1"/>
      <w:numFmt w:val="decimal"/>
      <w:isLgl/>
      <w:lvlText w:val="%1.%2.%3.%4.%5.%6.%7.%8."/>
      <w:lvlJc w:val="left"/>
      <w:pPr>
        <w:ind w:left="7662" w:hanging="1800"/>
      </w:pPr>
      <w:rPr>
        <w:rFonts w:hint="default"/>
      </w:rPr>
    </w:lvl>
    <w:lvl w:ilvl="8">
      <w:start w:val="1"/>
      <w:numFmt w:val="decimal"/>
      <w:isLgl/>
      <w:lvlText w:val="%1.%2.%3.%4.%5.%6.%7.%8.%9."/>
      <w:lvlJc w:val="left"/>
      <w:pPr>
        <w:ind w:left="8459" w:hanging="1800"/>
      </w:pPr>
      <w:rPr>
        <w:rFonts w:hint="default"/>
      </w:rPr>
    </w:lvl>
  </w:abstractNum>
  <w:abstractNum w:abstractNumId="28" w15:restartNumberingAfterBreak="0">
    <w:nsid w:val="5D1525DB"/>
    <w:multiLevelType w:val="hybridMultilevel"/>
    <w:tmpl w:val="17FEC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2" w15:restartNumberingAfterBreak="0">
    <w:nsid w:val="6B171E41"/>
    <w:multiLevelType w:val="hybridMultilevel"/>
    <w:tmpl w:val="D62C06A2"/>
    <w:lvl w:ilvl="0" w:tplc="0C090001">
      <w:start w:val="1"/>
      <w:numFmt w:val="bullet"/>
      <w:lvlText w:val=""/>
      <w:lvlJc w:val="left"/>
      <w:pPr>
        <w:ind w:left="2060" w:hanging="360"/>
      </w:pPr>
      <w:rPr>
        <w:rFonts w:ascii="Symbol" w:hAnsi="Symbol" w:hint="default"/>
      </w:rPr>
    </w:lvl>
    <w:lvl w:ilvl="1" w:tplc="0C090003">
      <w:start w:val="1"/>
      <w:numFmt w:val="bullet"/>
      <w:lvlText w:val="o"/>
      <w:lvlJc w:val="left"/>
      <w:pPr>
        <w:ind w:left="2780" w:hanging="360"/>
      </w:pPr>
      <w:rPr>
        <w:rFonts w:ascii="Courier New" w:hAnsi="Courier New" w:cs="Courier New" w:hint="default"/>
      </w:rPr>
    </w:lvl>
    <w:lvl w:ilvl="2" w:tplc="0C090005" w:tentative="1">
      <w:start w:val="1"/>
      <w:numFmt w:val="bullet"/>
      <w:lvlText w:val=""/>
      <w:lvlJc w:val="left"/>
      <w:pPr>
        <w:ind w:left="3500" w:hanging="360"/>
      </w:pPr>
      <w:rPr>
        <w:rFonts w:ascii="Wingdings" w:hAnsi="Wingdings" w:hint="default"/>
      </w:rPr>
    </w:lvl>
    <w:lvl w:ilvl="3" w:tplc="0C090001" w:tentative="1">
      <w:start w:val="1"/>
      <w:numFmt w:val="bullet"/>
      <w:lvlText w:val=""/>
      <w:lvlJc w:val="left"/>
      <w:pPr>
        <w:ind w:left="4220" w:hanging="360"/>
      </w:pPr>
      <w:rPr>
        <w:rFonts w:ascii="Symbol" w:hAnsi="Symbol" w:hint="default"/>
      </w:rPr>
    </w:lvl>
    <w:lvl w:ilvl="4" w:tplc="0C090003" w:tentative="1">
      <w:start w:val="1"/>
      <w:numFmt w:val="bullet"/>
      <w:lvlText w:val="o"/>
      <w:lvlJc w:val="left"/>
      <w:pPr>
        <w:ind w:left="4940" w:hanging="360"/>
      </w:pPr>
      <w:rPr>
        <w:rFonts w:ascii="Courier New" w:hAnsi="Courier New" w:cs="Courier New" w:hint="default"/>
      </w:rPr>
    </w:lvl>
    <w:lvl w:ilvl="5" w:tplc="0C090005" w:tentative="1">
      <w:start w:val="1"/>
      <w:numFmt w:val="bullet"/>
      <w:lvlText w:val=""/>
      <w:lvlJc w:val="left"/>
      <w:pPr>
        <w:ind w:left="5660" w:hanging="360"/>
      </w:pPr>
      <w:rPr>
        <w:rFonts w:ascii="Wingdings" w:hAnsi="Wingdings" w:hint="default"/>
      </w:rPr>
    </w:lvl>
    <w:lvl w:ilvl="6" w:tplc="0C090001" w:tentative="1">
      <w:start w:val="1"/>
      <w:numFmt w:val="bullet"/>
      <w:lvlText w:val=""/>
      <w:lvlJc w:val="left"/>
      <w:pPr>
        <w:ind w:left="6380" w:hanging="360"/>
      </w:pPr>
      <w:rPr>
        <w:rFonts w:ascii="Symbol" w:hAnsi="Symbol" w:hint="default"/>
      </w:rPr>
    </w:lvl>
    <w:lvl w:ilvl="7" w:tplc="0C090003" w:tentative="1">
      <w:start w:val="1"/>
      <w:numFmt w:val="bullet"/>
      <w:lvlText w:val="o"/>
      <w:lvlJc w:val="left"/>
      <w:pPr>
        <w:ind w:left="7100" w:hanging="360"/>
      </w:pPr>
      <w:rPr>
        <w:rFonts w:ascii="Courier New" w:hAnsi="Courier New" w:cs="Courier New" w:hint="default"/>
      </w:rPr>
    </w:lvl>
    <w:lvl w:ilvl="8" w:tplc="0C090005" w:tentative="1">
      <w:start w:val="1"/>
      <w:numFmt w:val="bullet"/>
      <w:lvlText w:val=""/>
      <w:lvlJc w:val="left"/>
      <w:pPr>
        <w:ind w:left="7820" w:hanging="360"/>
      </w:pPr>
      <w:rPr>
        <w:rFonts w:ascii="Wingdings" w:hAnsi="Wingdings" w:hint="default"/>
      </w:rPr>
    </w:lvl>
  </w:abstractNum>
  <w:abstractNum w:abstractNumId="33"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4"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5"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6" w15:restartNumberingAfterBreak="0">
    <w:nsid w:val="76486B76"/>
    <w:multiLevelType w:val="hybridMultilevel"/>
    <w:tmpl w:val="E2C8A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5E2428"/>
    <w:multiLevelType w:val="hybridMultilevel"/>
    <w:tmpl w:val="941A1EC4"/>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8"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9" w15:restartNumberingAfterBreak="0">
    <w:nsid w:val="7BC03B6E"/>
    <w:multiLevelType w:val="multilevel"/>
    <w:tmpl w:val="73EE0204"/>
    <w:lvl w:ilvl="0">
      <w:start w:val="1"/>
      <w:numFmt w:val="decimal"/>
      <w:lvlText w:val="%1."/>
      <w:lvlJc w:val="left"/>
      <w:pPr>
        <w:ind w:left="643" w:hanging="360"/>
      </w:pPr>
      <w:rPr>
        <w:rFonts w:ascii="Arial" w:eastAsiaTheme="minorHAnsi" w:hAnsi="Arial" w:cstheme="minorBidi"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97" w:hanging="720"/>
      </w:pPr>
      <w:rPr>
        <w:rFonts w:hint="default"/>
      </w:rPr>
    </w:lvl>
    <w:lvl w:ilvl="3">
      <w:start w:val="1"/>
      <w:numFmt w:val="decimal"/>
      <w:isLgl/>
      <w:lvlText w:val="%1.%2.%3.%4."/>
      <w:lvlJc w:val="left"/>
      <w:pPr>
        <w:ind w:left="3754" w:hanging="1080"/>
      </w:pPr>
      <w:rPr>
        <w:rFonts w:hint="default"/>
      </w:rPr>
    </w:lvl>
    <w:lvl w:ilvl="4">
      <w:start w:val="1"/>
      <w:numFmt w:val="decimal"/>
      <w:isLgl/>
      <w:lvlText w:val="%1.%2.%3.%4.%5."/>
      <w:lvlJc w:val="left"/>
      <w:pPr>
        <w:ind w:left="4551" w:hanging="1080"/>
      </w:pPr>
      <w:rPr>
        <w:rFonts w:hint="default"/>
      </w:rPr>
    </w:lvl>
    <w:lvl w:ilvl="5">
      <w:start w:val="1"/>
      <w:numFmt w:val="decimal"/>
      <w:isLgl/>
      <w:lvlText w:val="%1.%2.%3.%4.%5.%6."/>
      <w:lvlJc w:val="left"/>
      <w:pPr>
        <w:ind w:left="5708" w:hanging="1440"/>
      </w:pPr>
      <w:rPr>
        <w:rFonts w:hint="default"/>
      </w:rPr>
    </w:lvl>
    <w:lvl w:ilvl="6">
      <w:start w:val="1"/>
      <w:numFmt w:val="decimal"/>
      <w:isLgl/>
      <w:lvlText w:val="%1.%2.%3.%4.%5.%6.%7."/>
      <w:lvlJc w:val="left"/>
      <w:pPr>
        <w:ind w:left="6505" w:hanging="1440"/>
      </w:pPr>
      <w:rPr>
        <w:rFonts w:hint="default"/>
      </w:rPr>
    </w:lvl>
    <w:lvl w:ilvl="7">
      <w:start w:val="1"/>
      <w:numFmt w:val="decimal"/>
      <w:isLgl/>
      <w:lvlText w:val="%1.%2.%3.%4.%5.%6.%7.%8."/>
      <w:lvlJc w:val="left"/>
      <w:pPr>
        <w:ind w:left="7662" w:hanging="1800"/>
      </w:pPr>
      <w:rPr>
        <w:rFonts w:hint="default"/>
      </w:rPr>
    </w:lvl>
    <w:lvl w:ilvl="8">
      <w:start w:val="1"/>
      <w:numFmt w:val="decimal"/>
      <w:isLgl/>
      <w:lvlText w:val="%1.%2.%3.%4.%5.%6.%7.%8.%9."/>
      <w:lvlJc w:val="left"/>
      <w:pPr>
        <w:ind w:left="8459" w:hanging="1800"/>
      </w:pPr>
      <w:rPr>
        <w:rFonts w:hint="default"/>
      </w:rPr>
    </w:lvl>
  </w:abstractNum>
  <w:abstractNum w:abstractNumId="40"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12557035">
    <w:abstractNumId w:val="13"/>
  </w:num>
  <w:num w:numId="2" w16cid:durableId="1696730791">
    <w:abstractNumId w:val="40"/>
  </w:num>
  <w:num w:numId="3" w16cid:durableId="1036000419">
    <w:abstractNumId w:val="7"/>
  </w:num>
  <w:num w:numId="4" w16cid:durableId="75054465">
    <w:abstractNumId w:val="6"/>
  </w:num>
  <w:num w:numId="5" w16cid:durableId="487326314">
    <w:abstractNumId w:val="5"/>
  </w:num>
  <w:num w:numId="6" w16cid:durableId="1332492335">
    <w:abstractNumId w:val="4"/>
  </w:num>
  <w:num w:numId="7" w16cid:durableId="1115638848">
    <w:abstractNumId w:val="1"/>
  </w:num>
  <w:num w:numId="8" w16cid:durableId="1485659499">
    <w:abstractNumId w:val="0"/>
  </w:num>
  <w:num w:numId="9" w16cid:durableId="146869180">
    <w:abstractNumId w:val="31"/>
  </w:num>
  <w:num w:numId="10" w16cid:durableId="1047099605">
    <w:abstractNumId w:val="20"/>
  </w:num>
  <w:num w:numId="11" w16cid:durableId="1912618730">
    <w:abstractNumId w:val="11"/>
  </w:num>
  <w:num w:numId="12" w16cid:durableId="473254063">
    <w:abstractNumId w:val="16"/>
  </w:num>
  <w:num w:numId="13" w16cid:durableId="645821960">
    <w:abstractNumId w:val="18"/>
  </w:num>
  <w:num w:numId="14" w16cid:durableId="520122775">
    <w:abstractNumId w:val="2"/>
  </w:num>
  <w:num w:numId="15" w16cid:durableId="611088409">
    <w:abstractNumId w:val="33"/>
  </w:num>
  <w:num w:numId="16" w16cid:durableId="1113355893">
    <w:abstractNumId w:val="38"/>
  </w:num>
  <w:num w:numId="17" w16cid:durableId="2109227883">
    <w:abstractNumId w:val="35"/>
  </w:num>
  <w:num w:numId="18" w16cid:durableId="148252823">
    <w:abstractNumId w:val="26"/>
  </w:num>
  <w:num w:numId="19" w16cid:durableId="1642925124">
    <w:abstractNumId w:val="17"/>
  </w:num>
  <w:num w:numId="20" w16cid:durableId="536509678">
    <w:abstractNumId w:val="21"/>
  </w:num>
  <w:num w:numId="21" w16cid:durableId="1034422287">
    <w:abstractNumId w:val="34"/>
  </w:num>
  <w:num w:numId="22" w16cid:durableId="465388940">
    <w:abstractNumId w:val="29"/>
  </w:num>
  <w:num w:numId="23" w16cid:durableId="1779905392">
    <w:abstractNumId w:val="8"/>
  </w:num>
  <w:num w:numId="24" w16cid:durableId="1592155706">
    <w:abstractNumId w:val="3"/>
  </w:num>
  <w:num w:numId="25" w16cid:durableId="1433738866">
    <w:abstractNumId w:val="23"/>
  </w:num>
  <w:num w:numId="26" w16cid:durableId="192572795">
    <w:abstractNumId w:val="15"/>
  </w:num>
  <w:num w:numId="27" w16cid:durableId="1134448952">
    <w:abstractNumId w:val="30"/>
  </w:num>
  <w:num w:numId="28" w16cid:durableId="752707239">
    <w:abstractNumId w:val="32"/>
  </w:num>
  <w:num w:numId="29" w16cid:durableId="852886628">
    <w:abstractNumId w:val="39"/>
  </w:num>
  <w:num w:numId="30" w16cid:durableId="2110616872">
    <w:abstractNumId w:val="12"/>
  </w:num>
  <w:num w:numId="31" w16cid:durableId="1019817913">
    <w:abstractNumId w:val="27"/>
  </w:num>
  <w:num w:numId="32" w16cid:durableId="284427208">
    <w:abstractNumId w:val="36"/>
  </w:num>
  <w:num w:numId="33" w16cid:durableId="1478255767">
    <w:abstractNumId w:val="25"/>
  </w:num>
  <w:num w:numId="34" w16cid:durableId="1079328919">
    <w:abstractNumId w:val="10"/>
  </w:num>
  <w:num w:numId="35" w16cid:durableId="1999263122">
    <w:abstractNumId w:val="24"/>
  </w:num>
  <w:num w:numId="36" w16cid:durableId="678384101">
    <w:abstractNumId w:val="22"/>
  </w:num>
  <w:num w:numId="37" w16cid:durableId="2088267117">
    <w:abstractNumId w:val="37"/>
  </w:num>
  <w:num w:numId="38" w16cid:durableId="300036302">
    <w:abstractNumId w:val="14"/>
  </w:num>
  <w:num w:numId="39" w16cid:durableId="1114523463">
    <w:abstractNumId w:val="28"/>
  </w:num>
  <w:num w:numId="40" w16cid:durableId="57674112">
    <w:abstractNumId w:val="19"/>
  </w:num>
  <w:num w:numId="41" w16cid:durableId="1790510520">
    <w:abstractNumId w:val="11"/>
  </w:num>
  <w:num w:numId="42" w16cid:durableId="1383557560">
    <w:abstractNumId w:val="11"/>
  </w:num>
  <w:num w:numId="43" w16cid:durableId="108286771">
    <w:abstractNumId w:val="11"/>
  </w:num>
  <w:num w:numId="44" w16cid:durableId="720443868">
    <w:abstractNumId w:val="11"/>
  </w:num>
  <w:num w:numId="45" w16cid:durableId="2083090810">
    <w:abstractNumId w:val="9"/>
  </w:num>
  <w:num w:numId="46" w16cid:durableId="195966775">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homesharecl\HomeDrives\dsmit\Desktop\Normal.dotm"/>
  </w:docVars>
  <w:rsids>
    <w:rsidRoot w:val="00604F1B"/>
    <w:rsid w:val="00002DDA"/>
    <w:rsid w:val="0000320C"/>
    <w:rsid w:val="00003E85"/>
    <w:rsid w:val="00015D05"/>
    <w:rsid w:val="00017706"/>
    <w:rsid w:val="0002115F"/>
    <w:rsid w:val="00021202"/>
    <w:rsid w:val="00022006"/>
    <w:rsid w:val="000225C4"/>
    <w:rsid w:val="0002508C"/>
    <w:rsid w:val="00027AAB"/>
    <w:rsid w:val="0003578C"/>
    <w:rsid w:val="0003605A"/>
    <w:rsid w:val="00046C29"/>
    <w:rsid w:val="000538EF"/>
    <w:rsid w:val="00061806"/>
    <w:rsid w:val="00061C6B"/>
    <w:rsid w:val="00062020"/>
    <w:rsid w:val="00063247"/>
    <w:rsid w:val="00064E6B"/>
    <w:rsid w:val="000658B5"/>
    <w:rsid w:val="00070F9F"/>
    <w:rsid w:val="0007137B"/>
    <w:rsid w:val="00080EC8"/>
    <w:rsid w:val="00081BA3"/>
    <w:rsid w:val="00085663"/>
    <w:rsid w:val="00085EBF"/>
    <w:rsid w:val="00086E90"/>
    <w:rsid w:val="00090CD6"/>
    <w:rsid w:val="00096192"/>
    <w:rsid w:val="00097112"/>
    <w:rsid w:val="000A1EB2"/>
    <w:rsid w:val="000A34BC"/>
    <w:rsid w:val="000B2456"/>
    <w:rsid w:val="000B7B24"/>
    <w:rsid w:val="000C3E02"/>
    <w:rsid w:val="000D122C"/>
    <w:rsid w:val="000D5350"/>
    <w:rsid w:val="000E0DD0"/>
    <w:rsid w:val="000E1819"/>
    <w:rsid w:val="000E6C72"/>
    <w:rsid w:val="000E7492"/>
    <w:rsid w:val="000F2368"/>
    <w:rsid w:val="00101AFD"/>
    <w:rsid w:val="0011011E"/>
    <w:rsid w:val="001129A4"/>
    <w:rsid w:val="001140EC"/>
    <w:rsid w:val="00116CE8"/>
    <w:rsid w:val="00116EB2"/>
    <w:rsid w:val="001229A8"/>
    <w:rsid w:val="00124609"/>
    <w:rsid w:val="001329B1"/>
    <w:rsid w:val="001373F9"/>
    <w:rsid w:val="001414B8"/>
    <w:rsid w:val="00147B45"/>
    <w:rsid w:val="00155F12"/>
    <w:rsid w:val="001573E4"/>
    <w:rsid w:val="00160756"/>
    <w:rsid w:val="00166226"/>
    <w:rsid w:val="0017232E"/>
    <w:rsid w:val="00174102"/>
    <w:rsid w:val="00176A13"/>
    <w:rsid w:val="00180157"/>
    <w:rsid w:val="001802CC"/>
    <w:rsid w:val="00181206"/>
    <w:rsid w:val="00181223"/>
    <w:rsid w:val="00183B49"/>
    <w:rsid w:val="00184867"/>
    <w:rsid w:val="00186F77"/>
    <w:rsid w:val="001926A4"/>
    <w:rsid w:val="001A0755"/>
    <w:rsid w:val="001A3A19"/>
    <w:rsid w:val="001A7A83"/>
    <w:rsid w:val="001B246B"/>
    <w:rsid w:val="001B45A0"/>
    <w:rsid w:val="001C18EE"/>
    <w:rsid w:val="001C1CF1"/>
    <w:rsid w:val="001C61CE"/>
    <w:rsid w:val="001D055E"/>
    <w:rsid w:val="001D0C6C"/>
    <w:rsid w:val="001D5970"/>
    <w:rsid w:val="001E26C6"/>
    <w:rsid w:val="001E3849"/>
    <w:rsid w:val="001E3956"/>
    <w:rsid w:val="001F05EF"/>
    <w:rsid w:val="001F2532"/>
    <w:rsid w:val="001F492E"/>
    <w:rsid w:val="001F6DA3"/>
    <w:rsid w:val="002022FC"/>
    <w:rsid w:val="00206E31"/>
    <w:rsid w:val="00210854"/>
    <w:rsid w:val="00212737"/>
    <w:rsid w:val="00224DB9"/>
    <w:rsid w:val="00230A2F"/>
    <w:rsid w:val="00233072"/>
    <w:rsid w:val="002337D9"/>
    <w:rsid w:val="00233AD7"/>
    <w:rsid w:val="00243E36"/>
    <w:rsid w:val="00251745"/>
    <w:rsid w:val="00252FBC"/>
    <w:rsid w:val="0025473F"/>
    <w:rsid w:val="00260221"/>
    <w:rsid w:val="00261645"/>
    <w:rsid w:val="00263AC0"/>
    <w:rsid w:val="0026772D"/>
    <w:rsid w:val="00271E59"/>
    <w:rsid w:val="00273B00"/>
    <w:rsid w:val="00283624"/>
    <w:rsid w:val="00286874"/>
    <w:rsid w:val="00292DEF"/>
    <w:rsid w:val="002941C9"/>
    <w:rsid w:val="00296B65"/>
    <w:rsid w:val="002A5FFB"/>
    <w:rsid w:val="002A6515"/>
    <w:rsid w:val="002A6B5E"/>
    <w:rsid w:val="002A75E6"/>
    <w:rsid w:val="002A7DEF"/>
    <w:rsid w:val="002B4592"/>
    <w:rsid w:val="002B4DBC"/>
    <w:rsid w:val="002B7273"/>
    <w:rsid w:val="002C00FB"/>
    <w:rsid w:val="002C2AF6"/>
    <w:rsid w:val="002C7108"/>
    <w:rsid w:val="002D02A2"/>
    <w:rsid w:val="002E01FD"/>
    <w:rsid w:val="002E2861"/>
    <w:rsid w:val="002E3908"/>
    <w:rsid w:val="002E4F2C"/>
    <w:rsid w:val="002F6A03"/>
    <w:rsid w:val="002F7986"/>
    <w:rsid w:val="0030215C"/>
    <w:rsid w:val="00303A41"/>
    <w:rsid w:val="00303C4A"/>
    <w:rsid w:val="003065E7"/>
    <w:rsid w:val="00307112"/>
    <w:rsid w:val="00307F6D"/>
    <w:rsid w:val="0031059F"/>
    <w:rsid w:val="003107E1"/>
    <w:rsid w:val="003112AD"/>
    <w:rsid w:val="0031655F"/>
    <w:rsid w:val="003177A2"/>
    <w:rsid w:val="003178BA"/>
    <w:rsid w:val="00317E5A"/>
    <w:rsid w:val="00323117"/>
    <w:rsid w:val="00323141"/>
    <w:rsid w:val="00324F97"/>
    <w:rsid w:val="003271B5"/>
    <w:rsid w:val="003301BA"/>
    <w:rsid w:val="00330CA0"/>
    <w:rsid w:val="00331264"/>
    <w:rsid w:val="003312F1"/>
    <w:rsid w:val="003330CA"/>
    <w:rsid w:val="0033460A"/>
    <w:rsid w:val="00334C8D"/>
    <w:rsid w:val="0033699C"/>
    <w:rsid w:val="00336C7B"/>
    <w:rsid w:val="00340655"/>
    <w:rsid w:val="00341F7E"/>
    <w:rsid w:val="00342985"/>
    <w:rsid w:val="003459E6"/>
    <w:rsid w:val="00351223"/>
    <w:rsid w:val="003518B3"/>
    <w:rsid w:val="0035767A"/>
    <w:rsid w:val="00371641"/>
    <w:rsid w:val="00382F87"/>
    <w:rsid w:val="003846F1"/>
    <w:rsid w:val="003914C7"/>
    <w:rsid w:val="00391C4A"/>
    <w:rsid w:val="003A673F"/>
    <w:rsid w:val="003B423C"/>
    <w:rsid w:val="003B57F6"/>
    <w:rsid w:val="003B5A70"/>
    <w:rsid w:val="003B6B2F"/>
    <w:rsid w:val="003D1D9F"/>
    <w:rsid w:val="003D577B"/>
    <w:rsid w:val="003D5911"/>
    <w:rsid w:val="003D6441"/>
    <w:rsid w:val="003E4F47"/>
    <w:rsid w:val="003F70B3"/>
    <w:rsid w:val="0040148B"/>
    <w:rsid w:val="00406235"/>
    <w:rsid w:val="00407009"/>
    <w:rsid w:val="00415181"/>
    <w:rsid w:val="0041638D"/>
    <w:rsid w:val="004176AC"/>
    <w:rsid w:val="004220C4"/>
    <w:rsid w:val="00431707"/>
    <w:rsid w:val="00451653"/>
    <w:rsid w:val="004642D1"/>
    <w:rsid w:val="00465359"/>
    <w:rsid w:val="00471183"/>
    <w:rsid w:val="00475DDE"/>
    <w:rsid w:val="00480B4B"/>
    <w:rsid w:val="00481667"/>
    <w:rsid w:val="004818F2"/>
    <w:rsid w:val="00485C9A"/>
    <w:rsid w:val="00485DC4"/>
    <w:rsid w:val="004A0568"/>
    <w:rsid w:val="004B0C8D"/>
    <w:rsid w:val="004B3D35"/>
    <w:rsid w:val="004B4412"/>
    <w:rsid w:val="004B650B"/>
    <w:rsid w:val="004C279E"/>
    <w:rsid w:val="004C348C"/>
    <w:rsid w:val="004C4EDB"/>
    <w:rsid w:val="004C5888"/>
    <w:rsid w:val="004C67FE"/>
    <w:rsid w:val="004D1197"/>
    <w:rsid w:val="004D1733"/>
    <w:rsid w:val="004D283E"/>
    <w:rsid w:val="004D36FA"/>
    <w:rsid w:val="004D55BA"/>
    <w:rsid w:val="004D60BD"/>
    <w:rsid w:val="004E3D06"/>
    <w:rsid w:val="004E3E0B"/>
    <w:rsid w:val="004E46F2"/>
    <w:rsid w:val="004E7285"/>
    <w:rsid w:val="004F3F78"/>
    <w:rsid w:val="004F5F94"/>
    <w:rsid w:val="0050224D"/>
    <w:rsid w:val="00502DBE"/>
    <w:rsid w:val="005038DB"/>
    <w:rsid w:val="00512F78"/>
    <w:rsid w:val="00522801"/>
    <w:rsid w:val="0052379B"/>
    <w:rsid w:val="00524A66"/>
    <w:rsid w:val="00525418"/>
    <w:rsid w:val="00530128"/>
    <w:rsid w:val="005317C2"/>
    <w:rsid w:val="00532467"/>
    <w:rsid w:val="00534895"/>
    <w:rsid w:val="00546BFF"/>
    <w:rsid w:val="00547BA2"/>
    <w:rsid w:val="00547CCF"/>
    <w:rsid w:val="005516ED"/>
    <w:rsid w:val="005521F2"/>
    <w:rsid w:val="005615F6"/>
    <w:rsid w:val="00561707"/>
    <w:rsid w:val="00562A40"/>
    <w:rsid w:val="0056407D"/>
    <w:rsid w:val="005641DE"/>
    <w:rsid w:val="005649C9"/>
    <w:rsid w:val="00564A4D"/>
    <w:rsid w:val="00571B35"/>
    <w:rsid w:val="00571C9F"/>
    <w:rsid w:val="00575330"/>
    <w:rsid w:val="00577A09"/>
    <w:rsid w:val="00580B78"/>
    <w:rsid w:val="00584D8F"/>
    <w:rsid w:val="005953F3"/>
    <w:rsid w:val="00596D42"/>
    <w:rsid w:val="005977E5"/>
    <w:rsid w:val="00597920"/>
    <w:rsid w:val="005A283B"/>
    <w:rsid w:val="005A2C23"/>
    <w:rsid w:val="005A3934"/>
    <w:rsid w:val="005A404D"/>
    <w:rsid w:val="005A6927"/>
    <w:rsid w:val="005B1E3C"/>
    <w:rsid w:val="005B4C98"/>
    <w:rsid w:val="005C013F"/>
    <w:rsid w:val="005C0221"/>
    <w:rsid w:val="005C0A91"/>
    <w:rsid w:val="005C12AD"/>
    <w:rsid w:val="005C24AC"/>
    <w:rsid w:val="005C26CC"/>
    <w:rsid w:val="005C2C7B"/>
    <w:rsid w:val="005C5B53"/>
    <w:rsid w:val="005D2268"/>
    <w:rsid w:val="005E1440"/>
    <w:rsid w:val="005E248B"/>
    <w:rsid w:val="005E6963"/>
    <w:rsid w:val="005E6C0E"/>
    <w:rsid w:val="005E6EAE"/>
    <w:rsid w:val="005F117B"/>
    <w:rsid w:val="005F26B5"/>
    <w:rsid w:val="005F5311"/>
    <w:rsid w:val="005F6C82"/>
    <w:rsid w:val="00604F1B"/>
    <w:rsid w:val="0060503C"/>
    <w:rsid w:val="00615C6B"/>
    <w:rsid w:val="006169E4"/>
    <w:rsid w:val="006205C8"/>
    <w:rsid w:val="00620B36"/>
    <w:rsid w:val="00620C00"/>
    <w:rsid w:val="00626C56"/>
    <w:rsid w:val="00632D6D"/>
    <w:rsid w:val="00635DC6"/>
    <w:rsid w:val="006361BF"/>
    <w:rsid w:val="00642C3E"/>
    <w:rsid w:val="00644A74"/>
    <w:rsid w:val="00646025"/>
    <w:rsid w:val="00652560"/>
    <w:rsid w:val="00654951"/>
    <w:rsid w:val="00663DAD"/>
    <w:rsid w:val="00667434"/>
    <w:rsid w:val="00671007"/>
    <w:rsid w:val="00671E6A"/>
    <w:rsid w:val="00676679"/>
    <w:rsid w:val="00681151"/>
    <w:rsid w:val="0068136C"/>
    <w:rsid w:val="0068579C"/>
    <w:rsid w:val="00691616"/>
    <w:rsid w:val="006931A3"/>
    <w:rsid w:val="00695E6E"/>
    <w:rsid w:val="006965CE"/>
    <w:rsid w:val="006A3DAA"/>
    <w:rsid w:val="006A5D1A"/>
    <w:rsid w:val="006A78FD"/>
    <w:rsid w:val="006B4CF9"/>
    <w:rsid w:val="006B7AC8"/>
    <w:rsid w:val="006D177B"/>
    <w:rsid w:val="006D550F"/>
    <w:rsid w:val="006D77F3"/>
    <w:rsid w:val="006E078F"/>
    <w:rsid w:val="006E2541"/>
    <w:rsid w:val="006E3F00"/>
    <w:rsid w:val="006E7C42"/>
    <w:rsid w:val="006F3EC6"/>
    <w:rsid w:val="00701CAB"/>
    <w:rsid w:val="00703E25"/>
    <w:rsid w:val="007046C2"/>
    <w:rsid w:val="0070676A"/>
    <w:rsid w:val="00707563"/>
    <w:rsid w:val="00707B5B"/>
    <w:rsid w:val="00707DDF"/>
    <w:rsid w:val="0072348C"/>
    <w:rsid w:val="00724A37"/>
    <w:rsid w:val="00724A47"/>
    <w:rsid w:val="00726A7A"/>
    <w:rsid w:val="007279F6"/>
    <w:rsid w:val="007303C3"/>
    <w:rsid w:val="0073485A"/>
    <w:rsid w:val="0074195E"/>
    <w:rsid w:val="00741F8A"/>
    <w:rsid w:val="00743223"/>
    <w:rsid w:val="00743561"/>
    <w:rsid w:val="00746E01"/>
    <w:rsid w:val="00747C33"/>
    <w:rsid w:val="00750BBA"/>
    <w:rsid w:val="00753C53"/>
    <w:rsid w:val="00762FA1"/>
    <w:rsid w:val="00763C3D"/>
    <w:rsid w:val="00763E5D"/>
    <w:rsid w:val="00767740"/>
    <w:rsid w:val="007700E0"/>
    <w:rsid w:val="00775671"/>
    <w:rsid w:val="00777EE6"/>
    <w:rsid w:val="00782EEA"/>
    <w:rsid w:val="00791A5D"/>
    <w:rsid w:val="007928C5"/>
    <w:rsid w:val="007B17CA"/>
    <w:rsid w:val="007B2C72"/>
    <w:rsid w:val="007B3602"/>
    <w:rsid w:val="007C01F2"/>
    <w:rsid w:val="007C1C53"/>
    <w:rsid w:val="007C7CA9"/>
    <w:rsid w:val="007E26A9"/>
    <w:rsid w:val="007E4904"/>
    <w:rsid w:val="007E4CB5"/>
    <w:rsid w:val="007E627C"/>
    <w:rsid w:val="007F066B"/>
    <w:rsid w:val="008033C4"/>
    <w:rsid w:val="00806C88"/>
    <w:rsid w:val="0081034E"/>
    <w:rsid w:val="008124B3"/>
    <w:rsid w:val="008144E9"/>
    <w:rsid w:val="008149B6"/>
    <w:rsid w:val="008344F6"/>
    <w:rsid w:val="00834804"/>
    <w:rsid w:val="0083510F"/>
    <w:rsid w:val="00851209"/>
    <w:rsid w:val="00860D7E"/>
    <w:rsid w:val="008623DD"/>
    <w:rsid w:val="00863DC6"/>
    <w:rsid w:val="0087007B"/>
    <w:rsid w:val="008728A6"/>
    <w:rsid w:val="0088007E"/>
    <w:rsid w:val="00882FB3"/>
    <w:rsid w:val="008837AC"/>
    <w:rsid w:val="008945B4"/>
    <w:rsid w:val="008A1D86"/>
    <w:rsid w:val="008A23E5"/>
    <w:rsid w:val="008A587D"/>
    <w:rsid w:val="008A5E07"/>
    <w:rsid w:val="008B3998"/>
    <w:rsid w:val="008B4F22"/>
    <w:rsid w:val="008C06BA"/>
    <w:rsid w:val="008C2381"/>
    <w:rsid w:val="008C396B"/>
    <w:rsid w:val="008C5486"/>
    <w:rsid w:val="008C70F2"/>
    <w:rsid w:val="008C778B"/>
    <w:rsid w:val="008C7904"/>
    <w:rsid w:val="008D0E8D"/>
    <w:rsid w:val="008D7BE6"/>
    <w:rsid w:val="008E30DE"/>
    <w:rsid w:val="008E5AA4"/>
    <w:rsid w:val="008E7031"/>
    <w:rsid w:val="008E7C81"/>
    <w:rsid w:val="008E7D99"/>
    <w:rsid w:val="008F0548"/>
    <w:rsid w:val="008F4C0E"/>
    <w:rsid w:val="00901B23"/>
    <w:rsid w:val="00903267"/>
    <w:rsid w:val="00904B54"/>
    <w:rsid w:val="00910555"/>
    <w:rsid w:val="00910D3E"/>
    <w:rsid w:val="0091242B"/>
    <w:rsid w:val="0091445D"/>
    <w:rsid w:val="0092058E"/>
    <w:rsid w:val="00920C5E"/>
    <w:rsid w:val="00921BCC"/>
    <w:rsid w:val="00922C95"/>
    <w:rsid w:val="009233EE"/>
    <w:rsid w:val="00924403"/>
    <w:rsid w:val="0092630A"/>
    <w:rsid w:val="0092704E"/>
    <w:rsid w:val="009345CF"/>
    <w:rsid w:val="0093591D"/>
    <w:rsid w:val="0093685A"/>
    <w:rsid w:val="00941505"/>
    <w:rsid w:val="00943879"/>
    <w:rsid w:val="00947A9B"/>
    <w:rsid w:val="00952400"/>
    <w:rsid w:val="00953641"/>
    <w:rsid w:val="009661DE"/>
    <w:rsid w:val="009745CB"/>
    <w:rsid w:val="0097551F"/>
    <w:rsid w:val="00975CFF"/>
    <w:rsid w:val="00977927"/>
    <w:rsid w:val="00980A4A"/>
    <w:rsid w:val="009837CC"/>
    <w:rsid w:val="00984522"/>
    <w:rsid w:val="009856B7"/>
    <w:rsid w:val="0098602B"/>
    <w:rsid w:val="00987C66"/>
    <w:rsid w:val="00991B3B"/>
    <w:rsid w:val="00993F2A"/>
    <w:rsid w:val="009962BA"/>
    <w:rsid w:val="009A2C37"/>
    <w:rsid w:val="009A4225"/>
    <w:rsid w:val="009A5F1F"/>
    <w:rsid w:val="009B172B"/>
    <w:rsid w:val="009B74B0"/>
    <w:rsid w:val="009C5684"/>
    <w:rsid w:val="009C5F84"/>
    <w:rsid w:val="009C6E97"/>
    <w:rsid w:val="009D4414"/>
    <w:rsid w:val="009D6B0E"/>
    <w:rsid w:val="009D6B46"/>
    <w:rsid w:val="009D6F18"/>
    <w:rsid w:val="009E0A18"/>
    <w:rsid w:val="009E22D2"/>
    <w:rsid w:val="009E2CA8"/>
    <w:rsid w:val="009F39EF"/>
    <w:rsid w:val="009F4940"/>
    <w:rsid w:val="009F5E23"/>
    <w:rsid w:val="00A0248C"/>
    <w:rsid w:val="00A04937"/>
    <w:rsid w:val="00A05441"/>
    <w:rsid w:val="00A07AE2"/>
    <w:rsid w:val="00A139D6"/>
    <w:rsid w:val="00A1665B"/>
    <w:rsid w:val="00A323D9"/>
    <w:rsid w:val="00A4288C"/>
    <w:rsid w:val="00A4478A"/>
    <w:rsid w:val="00A44852"/>
    <w:rsid w:val="00A5141C"/>
    <w:rsid w:val="00A57D04"/>
    <w:rsid w:val="00A60A26"/>
    <w:rsid w:val="00A61598"/>
    <w:rsid w:val="00A62368"/>
    <w:rsid w:val="00A65FCA"/>
    <w:rsid w:val="00A735D9"/>
    <w:rsid w:val="00A76716"/>
    <w:rsid w:val="00A811A7"/>
    <w:rsid w:val="00A84F46"/>
    <w:rsid w:val="00A84FCB"/>
    <w:rsid w:val="00A85C70"/>
    <w:rsid w:val="00A85D40"/>
    <w:rsid w:val="00A86234"/>
    <w:rsid w:val="00A86A88"/>
    <w:rsid w:val="00A871F4"/>
    <w:rsid w:val="00A9095F"/>
    <w:rsid w:val="00A92215"/>
    <w:rsid w:val="00A9222E"/>
    <w:rsid w:val="00A96021"/>
    <w:rsid w:val="00AC1B2C"/>
    <w:rsid w:val="00AC3264"/>
    <w:rsid w:val="00AC3E35"/>
    <w:rsid w:val="00AC6F01"/>
    <w:rsid w:val="00AD4E72"/>
    <w:rsid w:val="00AD5E67"/>
    <w:rsid w:val="00AD7C9F"/>
    <w:rsid w:val="00AE0FE2"/>
    <w:rsid w:val="00AE1BF1"/>
    <w:rsid w:val="00AE2623"/>
    <w:rsid w:val="00AF0DD2"/>
    <w:rsid w:val="00B042DC"/>
    <w:rsid w:val="00B10314"/>
    <w:rsid w:val="00B13048"/>
    <w:rsid w:val="00B15998"/>
    <w:rsid w:val="00B1716D"/>
    <w:rsid w:val="00B17A1D"/>
    <w:rsid w:val="00B207A0"/>
    <w:rsid w:val="00B22D93"/>
    <w:rsid w:val="00B30F35"/>
    <w:rsid w:val="00B3476D"/>
    <w:rsid w:val="00B356EA"/>
    <w:rsid w:val="00B362D4"/>
    <w:rsid w:val="00B43613"/>
    <w:rsid w:val="00B43DCF"/>
    <w:rsid w:val="00B54994"/>
    <w:rsid w:val="00B56D5E"/>
    <w:rsid w:val="00B56E03"/>
    <w:rsid w:val="00B57F47"/>
    <w:rsid w:val="00B60F5D"/>
    <w:rsid w:val="00B62438"/>
    <w:rsid w:val="00B64FB0"/>
    <w:rsid w:val="00B67E91"/>
    <w:rsid w:val="00B7602F"/>
    <w:rsid w:val="00B8080B"/>
    <w:rsid w:val="00B83023"/>
    <w:rsid w:val="00B87C39"/>
    <w:rsid w:val="00B9549D"/>
    <w:rsid w:val="00BA3992"/>
    <w:rsid w:val="00BA4665"/>
    <w:rsid w:val="00BB2ECE"/>
    <w:rsid w:val="00BB2FB2"/>
    <w:rsid w:val="00BB3304"/>
    <w:rsid w:val="00BB693F"/>
    <w:rsid w:val="00BC3155"/>
    <w:rsid w:val="00BD12BC"/>
    <w:rsid w:val="00BD1426"/>
    <w:rsid w:val="00BD24FE"/>
    <w:rsid w:val="00BD2E34"/>
    <w:rsid w:val="00BD3446"/>
    <w:rsid w:val="00BE0328"/>
    <w:rsid w:val="00BE1A9D"/>
    <w:rsid w:val="00BE1F1B"/>
    <w:rsid w:val="00BE259B"/>
    <w:rsid w:val="00BE3D83"/>
    <w:rsid w:val="00BE45E6"/>
    <w:rsid w:val="00BE47B5"/>
    <w:rsid w:val="00BE484D"/>
    <w:rsid w:val="00BE4C99"/>
    <w:rsid w:val="00C058AB"/>
    <w:rsid w:val="00C06739"/>
    <w:rsid w:val="00C2524B"/>
    <w:rsid w:val="00C313DB"/>
    <w:rsid w:val="00C34A84"/>
    <w:rsid w:val="00C4603F"/>
    <w:rsid w:val="00C538A9"/>
    <w:rsid w:val="00C53B5A"/>
    <w:rsid w:val="00C54499"/>
    <w:rsid w:val="00C54F5A"/>
    <w:rsid w:val="00C557F4"/>
    <w:rsid w:val="00C64EE8"/>
    <w:rsid w:val="00C66EA3"/>
    <w:rsid w:val="00C676CB"/>
    <w:rsid w:val="00C755AD"/>
    <w:rsid w:val="00C86679"/>
    <w:rsid w:val="00CA3F31"/>
    <w:rsid w:val="00CA5DFB"/>
    <w:rsid w:val="00CA7E6E"/>
    <w:rsid w:val="00CB666B"/>
    <w:rsid w:val="00CC0FF6"/>
    <w:rsid w:val="00CD0728"/>
    <w:rsid w:val="00CD13EE"/>
    <w:rsid w:val="00CD196F"/>
    <w:rsid w:val="00CD3BCA"/>
    <w:rsid w:val="00CF04AF"/>
    <w:rsid w:val="00CF0C05"/>
    <w:rsid w:val="00CF288A"/>
    <w:rsid w:val="00CF799E"/>
    <w:rsid w:val="00D01CF0"/>
    <w:rsid w:val="00D0442A"/>
    <w:rsid w:val="00D06C42"/>
    <w:rsid w:val="00D1549F"/>
    <w:rsid w:val="00D203E1"/>
    <w:rsid w:val="00D23723"/>
    <w:rsid w:val="00D34604"/>
    <w:rsid w:val="00D456A2"/>
    <w:rsid w:val="00D521D5"/>
    <w:rsid w:val="00D53A59"/>
    <w:rsid w:val="00D544B8"/>
    <w:rsid w:val="00D5621E"/>
    <w:rsid w:val="00D601EF"/>
    <w:rsid w:val="00D60274"/>
    <w:rsid w:val="00D61388"/>
    <w:rsid w:val="00D61A54"/>
    <w:rsid w:val="00D62684"/>
    <w:rsid w:val="00D645DB"/>
    <w:rsid w:val="00D64DEA"/>
    <w:rsid w:val="00D64ED6"/>
    <w:rsid w:val="00D7418F"/>
    <w:rsid w:val="00D760A6"/>
    <w:rsid w:val="00D80893"/>
    <w:rsid w:val="00D86EB8"/>
    <w:rsid w:val="00D92CF1"/>
    <w:rsid w:val="00D92D38"/>
    <w:rsid w:val="00D950F5"/>
    <w:rsid w:val="00DA5205"/>
    <w:rsid w:val="00DB0F93"/>
    <w:rsid w:val="00DB7DA1"/>
    <w:rsid w:val="00DC3A52"/>
    <w:rsid w:val="00DC542F"/>
    <w:rsid w:val="00DC7981"/>
    <w:rsid w:val="00DE1190"/>
    <w:rsid w:val="00DE4EFA"/>
    <w:rsid w:val="00DE5520"/>
    <w:rsid w:val="00DE67EA"/>
    <w:rsid w:val="00DE69A3"/>
    <w:rsid w:val="00DE74A8"/>
    <w:rsid w:val="00DF0E32"/>
    <w:rsid w:val="00DF137A"/>
    <w:rsid w:val="00DF68CB"/>
    <w:rsid w:val="00E0310F"/>
    <w:rsid w:val="00E04818"/>
    <w:rsid w:val="00E06442"/>
    <w:rsid w:val="00E06721"/>
    <w:rsid w:val="00E165DB"/>
    <w:rsid w:val="00E179E7"/>
    <w:rsid w:val="00E21CBA"/>
    <w:rsid w:val="00E23993"/>
    <w:rsid w:val="00E25176"/>
    <w:rsid w:val="00E25B8C"/>
    <w:rsid w:val="00E27642"/>
    <w:rsid w:val="00E36AA3"/>
    <w:rsid w:val="00E41BEC"/>
    <w:rsid w:val="00E439C0"/>
    <w:rsid w:val="00E43F99"/>
    <w:rsid w:val="00E441D2"/>
    <w:rsid w:val="00E4674F"/>
    <w:rsid w:val="00E55683"/>
    <w:rsid w:val="00E65C85"/>
    <w:rsid w:val="00E66199"/>
    <w:rsid w:val="00E723C9"/>
    <w:rsid w:val="00E755EC"/>
    <w:rsid w:val="00E7624D"/>
    <w:rsid w:val="00E84C15"/>
    <w:rsid w:val="00EA0522"/>
    <w:rsid w:val="00EA3D42"/>
    <w:rsid w:val="00EA411E"/>
    <w:rsid w:val="00EA4CCB"/>
    <w:rsid w:val="00EA4DD8"/>
    <w:rsid w:val="00EA6B1B"/>
    <w:rsid w:val="00EB3F61"/>
    <w:rsid w:val="00EC74D1"/>
    <w:rsid w:val="00EC7D60"/>
    <w:rsid w:val="00ED22F3"/>
    <w:rsid w:val="00ED6B8A"/>
    <w:rsid w:val="00EE28F3"/>
    <w:rsid w:val="00EF4E47"/>
    <w:rsid w:val="00EF5110"/>
    <w:rsid w:val="00EF6679"/>
    <w:rsid w:val="00F017F2"/>
    <w:rsid w:val="00F01F3A"/>
    <w:rsid w:val="00F02131"/>
    <w:rsid w:val="00F11DC2"/>
    <w:rsid w:val="00F120E3"/>
    <w:rsid w:val="00F15882"/>
    <w:rsid w:val="00F20BD3"/>
    <w:rsid w:val="00F35686"/>
    <w:rsid w:val="00F373A5"/>
    <w:rsid w:val="00F47559"/>
    <w:rsid w:val="00F520E8"/>
    <w:rsid w:val="00F60BE4"/>
    <w:rsid w:val="00F611C4"/>
    <w:rsid w:val="00F61B84"/>
    <w:rsid w:val="00F64C7B"/>
    <w:rsid w:val="00F66424"/>
    <w:rsid w:val="00F670EF"/>
    <w:rsid w:val="00F676DD"/>
    <w:rsid w:val="00F71687"/>
    <w:rsid w:val="00F75A26"/>
    <w:rsid w:val="00F8203C"/>
    <w:rsid w:val="00F83F9C"/>
    <w:rsid w:val="00F83FAD"/>
    <w:rsid w:val="00F85539"/>
    <w:rsid w:val="00F86E0E"/>
    <w:rsid w:val="00F91DC6"/>
    <w:rsid w:val="00F92EC1"/>
    <w:rsid w:val="00F94794"/>
    <w:rsid w:val="00F952A0"/>
    <w:rsid w:val="00F9649B"/>
    <w:rsid w:val="00FA3C7F"/>
    <w:rsid w:val="00FA4E09"/>
    <w:rsid w:val="00FB2DE4"/>
    <w:rsid w:val="00FB52D7"/>
    <w:rsid w:val="00FB74E2"/>
    <w:rsid w:val="00FC0F7B"/>
    <w:rsid w:val="00FD5614"/>
    <w:rsid w:val="00FE0BE1"/>
    <w:rsid w:val="00FE1DA5"/>
    <w:rsid w:val="00FE1DE9"/>
    <w:rsid w:val="00FE39C2"/>
    <w:rsid w:val="00FE54E6"/>
    <w:rsid w:val="00FE64AE"/>
    <w:rsid w:val="00FE6623"/>
    <w:rsid w:val="00FF61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ED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2B4592"/>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qFormat/>
    <w:rsid w:val="003A673F"/>
    <w:pPr>
      <w:tabs>
        <w:tab w:val="left" w:pos="340"/>
      </w:tabs>
      <w:spacing w:before="60"/>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3A673F"/>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Palatino Linotype" w:eastAsiaTheme="majorEastAsia" w:hAnsi="Palatino Linotype" w:cstheme="majorBidi"/>
      <w:bCs/>
      <w:color w:val="410099" w:themeColor="accent1"/>
      <w:sz w:val="36"/>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character" w:styleId="UnresolvedMention">
    <w:name w:val="Unresolved Mention"/>
    <w:basedOn w:val="DefaultParagraphFont"/>
    <w:uiPriority w:val="99"/>
    <w:semiHidden/>
    <w:unhideWhenUsed/>
    <w:rsid w:val="00260221"/>
    <w:rPr>
      <w:color w:val="605E5C"/>
      <w:shd w:val="clear" w:color="auto" w:fill="E1DFDD"/>
    </w:rPr>
  </w:style>
  <w:style w:type="character" w:styleId="FollowedHyperlink">
    <w:name w:val="FollowedHyperlink"/>
    <w:basedOn w:val="DefaultParagraphFont"/>
    <w:uiPriority w:val="99"/>
    <w:semiHidden/>
    <w:unhideWhenUsed/>
    <w:rsid w:val="008F4C0E"/>
    <w:rPr>
      <w:color w:val="800080" w:themeColor="followedHyperlink"/>
      <w:u w:val="single"/>
    </w:rPr>
  </w:style>
  <w:style w:type="character" w:styleId="CommentReference">
    <w:name w:val="annotation reference"/>
    <w:basedOn w:val="DefaultParagraphFont"/>
    <w:uiPriority w:val="99"/>
    <w:unhideWhenUsed/>
    <w:rsid w:val="00A92215"/>
    <w:rPr>
      <w:sz w:val="16"/>
      <w:szCs w:val="16"/>
    </w:rPr>
  </w:style>
  <w:style w:type="paragraph" w:styleId="CommentText">
    <w:name w:val="annotation text"/>
    <w:basedOn w:val="Normal"/>
    <w:link w:val="CommentTextChar"/>
    <w:uiPriority w:val="99"/>
    <w:unhideWhenUsed/>
    <w:rsid w:val="00A92215"/>
    <w:pPr>
      <w:spacing w:before="0" w:after="240"/>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A92215"/>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5641DE"/>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5641DE"/>
    <w:rPr>
      <w:rFonts w:ascii="Arial" w:eastAsia="Calibri" w:hAnsi="Arial" w:cs="Times New Roman"/>
      <w:b/>
      <w:bCs/>
      <w:sz w:val="20"/>
      <w:szCs w:val="20"/>
    </w:rPr>
  </w:style>
  <w:style w:type="character" w:customStyle="1" w:styleId="AERbody">
    <w:name w:val="AER body"/>
    <w:basedOn w:val="DefaultParagraphFont"/>
    <w:qFormat/>
    <w:rsid w:val="009F5E23"/>
    <w:rPr>
      <w:rFonts w:ascii="Arial" w:hAnsi="Arial"/>
      <w:color w:val="auto"/>
      <w:sz w:val="22"/>
    </w:rPr>
  </w:style>
  <w:style w:type="paragraph" w:styleId="Revision">
    <w:name w:val="Revision"/>
    <w:hidden/>
    <w:uiPriority w:val="99"/>
    <w:semiHidden/>
    <w:rsid w:val="00671E6A"/>
    <w:pPr>
      <w:spacing w:before="0"/>
    </w:pPr>
    <w:rPr>
      <w:rFonts w:ascii="Arial" w:hAnsi="Arial"/>
    </w:rPr>
  </w:style>
  <w:style w:type="paragraph" w:customStyle="1" w:styleId="pf0">
    <w:name w:val="pf0"/>
    <w:basedOn w:val="Normal"/>
    <w:rsid w:val="006E078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6E078F"/>
    <w:rPr>
      <w:rFonts w:ascii="Segoe UI" w:hAnsi="Segoe UI" w:cs="Segoe UI" w:hint="default"/>
      <w:sz w:val="18"/>
      <w:szCs w:val="18"/>
    </w:rPr>
  </w:style>
  <w:style w:type="table" w:styleId="PlainTable2">
    <w:name w:val="Plain Table 2"/>
    <w:basedOn w:val="TableNormal"/>
    <w:uiPriority w:val="42"/>
    <w:rsid w:val="006E254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867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Jeremy.graham@aer.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accc.gov.au/system/files/ACCC-AER%20Information%20Policy.pdf" TargetMode="External"/><Relationship Id="rId2" Type="http://schemas.openxmlformats.org/officeDocument/2006/relationships/numbering" Target="numbering.xml"/><Relationship Id="rId16" Type="http://schemas.openxmlformats.org/officeDocument/2006/relationships/hyperlink" Target="file:///C:\Users\lichen\AppData\Local\Microsoft\Windows\INetCache\Content.Outlook\LX7EP4VH\www.aer.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emy.graham@aer.gov.au" TargetMode="External"/><Relationship Id="rId5" Type="http://schemas.openxmlformats.org/officeDocument/2006/relationships/webSettings" Target="webSettings.xml"/><Relationship Id="rId15" Type="http://schemas.openxmlformats.org/officeDocument/2006/relationships/hyperlink" Target="mailto:AERGasMarketsPipelineCapacityTrading@aer.gov.au" TargetMode="External"/><Relationship Id="rId10" Type="http://schemas.openxmlformats.org/officeDocument/2006/relationships/hyperlink" Target="https://www.aer.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ERGasMarketsPipelineCapacityTrading@aer.gov.au" TargetMode="External"/><Relationship Id="rId14" Type="http://schemas.openxmlformats.org/officeDocument/2006/relationships/hyperlink" Target="https://www.aer.gov.au/publications/corporate-documents/aer-compliance-enforcement-polic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system/files/Pipeline%20Nominations-Portal-Guide.pdf" TargetMode="External"/><Relationship Id="rId2" Type="http://schemas.openxmlformats.org/officeDocument/2006/relationships/hyperlink" Target="https://www.aer.gov.au/wholesale-markets/compliance-reporting/guidance-note-submitting-wholesale-energy-self-reports-to-the-aer" TargetMode="External"/><Relationship Id="rId1" Type="http://schemas.openxmlformats.org/officeDocument/2006/relationships/hyperlink" Target="https://www.aemo.com.au/-/media/files/gas/pipeline-capacity/2019/transportation-service-point-register-march-2020.pdf?la=en" TargetMode="Externa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4031</Words>
  <Characters>22979</Characters>
  <Application>Microsoft Office Word</Application>
  <DocSecurity>0</DocSecurity>
  <Lines>191</Lines>
  <Paragraphs>53</Paragraphs>
  <ScaleCrop>false</ScaleCrop>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2023-04-11T02:12:00Z</dcterms:created>
  <dcterms:modified xsi:type="dcterms:W3CDTF">2023-04-13T02:31:00Z</dcterms:modified>
</cp:coreProperties>
</file>