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CF" w:rsidRPr="00935F58" w:rsidRDefault="00290A2D" w:rsidP="00935F58">
      <w:pPr>
        <w:tabs>
          <w:tab w:val="left" w:pos="567"/>
        </w:tabs>
        <w:spacing w:after="0" w:line="240" w:lineRule="auto"/>
        <w:ind w:left="567" w:hanging="567"/>
        <w:rPr>
          <w:rFonts w:ascii="Arial Narrow" w:hAnsi="Arial Narrow"/>
          <w:b/>
          <w:color w:val="17365D" w:themeColor="text2" w:themeShade="BF"/>
          <w:sz w:val="32"/>
          <w:szCs w:val="32"/>
        </w:rPr>
      </w:pPr>
      <w:bookmarkStart w:id="0" w:name="_GoBack"/>
      <w:bookmarkEnd w:id="0"/>
      <w:r w:rsidRPr="00935F58">
        <w:rPr>
          <w:rFonts w:ascii="Arial Narrow" w:hAnsi="Arial Narrow"/>
          <w:b/>
          <w:color w:val="17365D" w:themeColor="text2" w:themeShade="BF"/>
          <w:sz w:val="32"/>
          <w:szCs w:val="32"/>
        </w:rPr>
        <w:t>8</w:t>
      </w:r>
      <w:r w:rsidR="00CD5558" w:rsidRPr="00935F58">
        <w:rPr>
          <w:rFonts w:ascii="Arial Narrow" w:hAnsi="Arial Narrow"/>
          <w:b/>
          <w:color w:val="17365D" w:themeColor="text2" w:themeShade="BF"/>
          <w:sz w:val="32"/>
          <w:szCs w:val="32"/>
        </w:rPr>
        <w:t>-</w:t>
      </w:r>
      <w:r w:rsidRPr="00935F58">
        <w:rPr>
          <w:rFonts w:ascii="Arial Narrow" w:hAnsi="Arial Narrow"/>
          <w:b/>
          <w:color w:val="17365D" w:themeColor="text2" w:themeShade="BF"/>
          <w:sz w:val="32"/>
          <w:szCs w:val="32"/>
        </w:rPr>
        <w:t>1</w:t>
      </w:r>
      <w:r w:rsidR="00461CCF" w:rsidRPr="00935F58">
        <w:rPr>
          <w:rFonts w:ascii="Arial Narrow" w:hAnsi="Arial Narrow"/>
          <w:b/>
          <w:color w:val="17365D" w:themeColor="text2" w:themeShade="BF"/>
          <w:sz w:val="32"/>
          <w:szCs w:val="32"/>
        </w:rPr>
        <w:tab/>
      </w:r>
      <w:r w:rsidR="001C35C2" w:rsidRPr="00935F58">
        <w:rPr>
          <w:rFonts w:ascii="Arial Narrow" w:hAnsi="Arial Narrow"/>
          <w:b/>
          <w:color w:val="17365D" w:themeColor="text2" w:themeShade="BF"/>
          <w:sz w:val="32"/>
          <w:szCs w:val="32"/>
        </w:rPr>
        <w:t xml:space="preserve">Response to Draft Decision: </w:t>
      </w:r>
      <w:r w:rsidRPr="00935F58">
        <w:rPr>
          <w:rFonts w:ascii="Arial Narrow" w:hAnsi="Arial Narrow"/>
          <w:b/>
          <w:color w:val="17365D" w:themeColor="text2" w:themeShade="BF"/>
          <w:sz w:val="32"/>
          <w:szCs w:val="32"/>
        </w:rPr>
        <w:t xml:space="preserve"> Capital Base</w:t>
      </w:r>
    </w:p>
    <w:p w:rsidR="00461CCF" w:rsidRPr="00935F58" w:rsidRDefault="00461CCF" w:rsidP="00935F58">
      <w:pPr>
        <w:tabs>
          <w:tab w:val="left" w:pos="567"/>
        </w:tabs>
        <w:spacing w:after="0" w:line="240" w:lineRule="auto"/>
        <w:ind w:left="567" w:hanging="567"/>
        <w:rPr>
          <w:rFonts w:ascii="Arial Narrow" w:hAnsi="Arial Narrow"/>
          <w:b/>
          <w:sz w:val="24"/>
          <w:szCs w:val="24"/>
        </w:rPr>
      </w:pPr>
    </w:p>
    <w:p w:rsidR="00461CCF" w:rsidRPr="00935F58" w:rsidRDefault="00461CCF" w:rsidP="00935F58">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935F58">
        <w:rPr>
          <w:rFonts w:ascii="Arial Narrow" w:hAnsi="Arial Narrow" w:cs="Arial Narrow"/>
          <w:b/>
          <w:bCs/>
          <w:color w:val="17365D" w:themeColor="text2" w:themeShade="BF"/>
          <w:sz w:val="24"/>
          <w:szCs w:val="24"/>
          <w:lang w:val="en-US"/>
        </w:rPr>
        <w:t>1</w:t>
      </w:r>
      <w:r w:rsidR="00935F58">
        <w:rPr>
          <w:rFonts w:ascii="Arial Narrow" w:hAnsi="Arial Narrow" w:cs="Arial Narrow"/>
          <w:b/>
          <w:bCs/>
          <w:color w:val="17365D" w:themeColor="text2" w:themeShade="BF"/>
          <w:sz w:val="24"/>
          <w:szCs w:val="24"/>
          <w:lang w:val="en-US"/>
        </w:rPr>
        <w:t>.</w:t>
      </w:r>
      <w:r w:rsidRPr="00935F58">
        <w:rPr>
          <w:rFonts w:ascii="Arial Narrow" w:hAnsi="Arial Narrow" w:cs="Arial Narrow"/>
          <w:b/>
          <w:bCs/>
          <w:color w:val="17365D" w:themeColor="text2" w:themeShade="BF"/>
          <w:sz w:val="24"/>
          <w:szCs w:val="24"/>
          <w:lang w:val="en-US"/>
        </w:rPr>
        <w:tab/>
        <w:t>Introduction</w:t>
      </w:r>
    </w:p>
    <w:p w:rsidR="00461CCF" w:rsidRPr="00935F58" w:rsidRDefault="00461CCF" w:rsidP="00935F58">
      <w:pPr>
        <w:spacing w:after="0" w:line="240" w:lineRule="auto"/>
        <w:rPr>
          <w:rFonts w:ascii="Arial Narrow" w:hAnsi="Arial Narrow" w:cs="Arial Narrow"/>
          <w:bCs/>
          <w:sz w:val="24"/>
          <w:szCs w:val="24"/>
          <w:lang w:val="en-US"/>
        </w:rPr>
      </w:pPr>
    </w:p>
    <w:p w:rsidR="00C025F3" w:rsidRPr="00935F58" w:rsidRDefault="001C35C2" w:rsidP="00935F58">
      <w:pPr>
        <w:spacing w:after="0" w:line="240" w:lineRule="auto"/>
        <w:jc w:val="both"/>
        <w:rPr>
          <w:rFonts w:ascii="Arial Narrow" w:hAnsi="Arial Narrow" w:cs="Arial Narrow"/>
          <w:sz w:val="24"/>
          <w:szCs w:val="24"/>
          <w:lang w:val="en-US"/>
        </w:rPr>
      </w:pPr>
      <w:r w:rsidRPr="00935F58">
        <w:rPr>
          <w:rFonts w:ascii="Arial Narrow" w:hAnsi="Arial Narrow" w:cs="Arial Narrow"/>
          <w:sz w:val="24"/>
          <w:szCs w:val="24"/>
          <w:lang w:val="en-US"/>
        </w:rPr>
        <w:t xml:space="preserve">The AER’s Draft Decision did not approve Envestra’s </w:t>
      </w:r>
      <w:r w:rsidR="00290A2D" w:rsidRPr="00935F58">
        <w:rPr>
          <w:rFonts w:ascii="Arial Narrow" w:hAnsi="Arial Narrow" w:cs="Arial Narrow"/>
          <w:sz w:val="24"/>
          <w:szCs w:val="24"/>
          <w:lang w:val="en-US"/>
        </w:rPr>
        <w:t xml:space="preserve">opening capital base as at 1 January 2013 of $1,116.3 million ($nominal) for Victoria and $35.2 million ($nominal) for Albury, instead determining opening asset bases of $1,109.7 million ($nominal) for Victoria and $34.6 million ($nominal) for Albury.  The AER also </w:t>
      </w:r>
      <w:r w:rsidR="00C025F3" w:rsidRPr="00935F58">
        <w:rPr>
          <w:rFonts w:ascii="Arial Narrow" w:hAnsi="Arial Narrow" w:cs="Arial Narrow"/>
          <w:sz w:val="24"/>
          <w:szCs w:val="24"/>
          <w:lang w:val="en-US"/>
        </w:rPr>
        <w:t xml:space="preserve">did not accept: </w:t>
      </w:r>
    </w:p>
    <w:p w:rsidR="00C025F3" w:rsidRPr="00935F58" w:rsidRDefault="00C025F3" w:rsidP="00935F58">
      <w:pPr>
        <w:spacing w:after="0" w:line="240" w:lineRule="auto"/>
        <w:jc w:val="both"/>
        <w:rPr>
          <w:rFonts w:ascii="Arial Narrow" w:hAnsi="Arial Narrow" w:cs="Arial Narrow"/>
          <w:sz w:val="24"/>
          <w:szCs w:val="24"/>
          <w:lang w:val="en-US"/>
        </w:rPr>
      </w:pPr>
    </w:p>
    <w:p w:rsidR="00C025F3" w:rsidRPr="00935F58" w:rsidRDefault="00290A2D" w:rsidP="00935F58">
      <w:pPr>
        <w:pStyle w:val="ListParagraph"/>
        <w:numPr>
          <w:ilvl w:val="0"/>
          <w:numId w:val="35"/>
        </w:numPr>
        <w:spacing w:after="0" w:line="240" w:lineRule="auto"/>
        <w:ind w:left="284" w:hanging="284"/>
        <w:jc w:val="both"/>
        <w:rPr>
          <w:rFonts w:ascii="Arial Narrow" w:hAnsi="Arial Narrow" w:cs="Arial Narrow"/>
          <w:sz w:val="24"/>
          <w:szCs w:val="24"/>
          <w:lang w:val="en-US"/>
        </w:rPr>
      </w:pPr>
      <w:r w:rsidRPr="00935F58">
        <w:rPr>
          <w:rFonts w:ascii="Arial Narrow" w:hAnsi="Arial Narrow" w:cs="Arial Narrow"/>
          <w:sz w:val="24"/>
          <w:szCs w:val="24"/>
          <w:lang w:val="en-US"/>
        </w:rPr>
        <w:t xml:space="preserve">the </w:t>
      </w:r>
      <w:r w:rsidR="00DE3E07" w:rsidRPr="00935F58">
        <w:rPr>
          <w:rFonts w:ascii="Arial Narrow" w:hAnsi="Arial Narrow" w:cs="Arial Narrow"/>
          <w:sz w:val="24"/>
          <w:szCs w:val="24"/>
          <w:lang w:val="en-US"/>
        </w:rPr>
        <w:t>projected capital bases for Victoria and Albury for the 2013 to 2017 Access Arrangement period</w:t>
      </w:r>
      <w:r w:rsidR="00C025F3" w:rsidRPr="00935F58">
        <w:rPr>
          <w:rFonts w:ascii="Arial Narrow" w:hAnsi="Arial Narrow" w:cs="Arial Narrow"/>
          <w:sz w:val="24"/>
          <w:szCs w:val="24"/>
          <w:lang w:val="en-US"/>
        </w:rPr>
        <w:t>; and</w:t>
      </w:r>
    </w:p>
    <w:p w:rsidR="00C025F3" w:rsidRPr="00935F58" w:rsidRDefault="00C025F3" w:rsidP="00935F58">
      <w:pPr>
        <w:pStyle w:val="ListParagraph"/>
        <w:numPr>
          <w:ilvl w:val="0"/>
          <w:numId w:val="35"/>
        </w:numPr>
        <w:spacing w:after="0" w:line="240" w:lineRule="auto"/>
        <w:ind w:left="284" w:hanging="284"/>
        <w:jc w:val="both"/>
        <w:rPr>
          <w:rFonts w:ascii="Arial Narrow" w:hAnsi="Arial Narrow" w:cs="Arial Narrow"/>
          <w:sz w:val="24"/>
          <w:szCs w:val="24"/>
          <w:lang w:val="en-US"/>
        </w:rPr>
      </w:pPr>
      <w:r w:rsidRPr="00935F58">
        <w:rPr>
          <w:rFonts w:ascii="Arial Narrow" w:hAnsi="Arial Narrow" w:cs="Arial Narrow"/>
          <w:sz w:val="24"/>
          <w:szCs w:val="24"/>
          <w:lang w:val="en-US"/>
        </w:rPr>
        <w:t>the</w:t>
      </w:r>
      <w:r w:rsidR="00DE3E07" w:rsidRPr="00935F58">
        <w:rPr>
          <w:rFonts w:ascii="Arial Narrow" w:hAnsi="Arial Narrow" w:cs="Arial Narrow"/>
          <w:sz w:val="24"/>
          <w:szCs w:val="24"/>
          <w:lang w:val="en-US"/>
        </w:rPr>
        <w:t xml:space="preserve"> proposed use of actual depreciation </w:t>
      </w:r>
      <w:r w:rsidR="00191F2B" w:rsidRPr="00935F58">
        <w:rPr>
          <w:rFonts w:ascii="Arial Narrow" w:hAnsi="Arial Narrow" w:cs="Arial Narrow"/>
          <w:sz w:val="24"/>
          <w:szCs w:val="24"/>
          <w:lang w:val="en-US"/>
        </w:rPr>
        <w:t xml:space="preserve">in favour of forecast depreciation </w:t>
      </w:r>
      <w:r w:rsidR="00DE3E07" w:rsidRPr="00935F58">
        <w:rPr>
          <w:rFonts w:ascii="Arial Narrow" w:hAnsi="Arial Narrow" w:cs="Arial Narrow"/>
          <w:sz w:val="24"/>
          <w:szCs w:val="24"/>
          <w:lang w:val="en-US"/>
        </w:rPr>
        <w:t xml:space="preserve">to determine the opening capital bases at 1 January 2018. </w:t>
      </w:r>
    </w:p>
    <w:p w:rsidR="00C025F3" w:rsidRPr="00935F58" w:rsidRDefault="00C025F3" w:rsidP="00935F58">
      <w:pPr>
        <w:spacing w:after="0" w:line="240" w:lineRule="auto"/>
        <w:jc w:val="both"/>
        <w:rPr>
          <w:rFonts w:ascii="Arial Narrow" w:hAnsi="Arial Narrow" w:cs="Arial Narrow"/>
          <w:sz w:val="24"/>
          <w:szCs w:val="24"/>
          <w:lang w:val="en-US"/>
        </w:rPr>
      </w:pPr>
    </w:p>
    <w:p w:rsidR="00DE3E07" w:rsidRPr="00935F58" w:rsidRDefault="004D21AA" w:rsidP="00935F58">
      <w:pPr>
        <w:spacing w:after="0" w:line="240" w:lineRule="auto"/>
        <w:jc w:val="both"/>
        <w:rPr>
          <w:rFonts w:ascii="Arial Narrow" w:hAnsi="Arial Narrow" w:cs="Arial Narrow"/>
          <w:sz w:val="24"/>
          <w:szCs w:val="24"/>
          <w:lang w:val="en-US"/>
        </w:rPr>
      </w:pPr>
      <w:r w:rsidRPr="00935F58">
        <w:rPr>
          <w:rFonts w:ascii="Arial Narrow" w:hAnsi="Arial Narrow" w:cs="Arial Narrow"/>
          <w:sz w:val="24"/>
          <w:szCs w:val="24"/>
          <w:lang w:val="en-US"/>
        </w:rPr>
        <w:t>The AER did</w:t>
      </w:r>
      <w:r w:rsidR="007F2107" w:rsidRPr="00935F58">
        <w:rPr>
          <w:rFonts w:ascii="Arial Narrow" w:hAnsi="Arial Narrow" w:cs="Arial Narrow"/>
          <w:sz w:val="24"/>
          <w:szCs w:val="24"/>
          <w:lang w:val="en-US"/>
        </w:rPr>
        <w:t xml:space="preserve"> however </w:t>
      </w:r>
      <w:r w:rsidRPr="00935F58">
        <w:rPr>
          <w:rFonts w:ascii="Arial Narrow" w:hAnsi="Arial Narrow" w:cs="Arial Narrow"/>
          <w:sz w:val="24"/>
          <w:szCs w:val="24"/>
          <w:lang w:val="en-US"/>
        </w:rPr>
        <w:t xml:space="preserve">accept </w:t>
      </w:r>
      <w:r w:rsidR="007F2107" w:rsidRPr="00935F58">
        <w:rPr>
          <w:rFonts w:ascii="Arial Narrow" w:hAnsi="Arial Narrow" w:cs="Arial Narrow"/>
          <w:sz w:val="24"/>
          <w:szCs w:val="24"/>
          <w:lang w:val="en-US"/>
        </w:rPr>
        <w:t xml:space="preserve">Envestra’s proposed change to the life of the “Meters” asset class and also proposed a change of its own to the life of the “SCADA” asset class. </w:t>
      </w:r>
    </w:p>
    <w:p w:rsidR="00DE3E07" w:rsidRPr="00935F58" w:rsidRDefault="00DE3E07" w:rsidP="00935F58">
      <w:pPr>
        <w:spacing w:after="0" w:line="240" w:lineRule="auto"/>
        <w:jc w:val="both"/>
        <w:rPr>
          <w:rFonts w:ascii="Arial Narrow" w:hAnsi="Arial Narrow" w:cs="Arial Narrow"/>
          <w:sz w:val="24"/>
          <w:szCs w:val="24"/>
          <w:lang w:val="en-US"/>
        </w:rPr>
      </w:pPr>
    </w:p>
    <w:p w:rsidR="00C025F3" w:rsidRPr="00935F58" w:rsidRDefault="00DE3E07" w:rsidP="00935F58">
      <w:pPr>
        <w:spacing w:after="0" w:line="240" w:lineRule="auto"/>
        <w:jc w:val="both"/>
        <w:rPr>
          <w:rFonts w:ascii="Arial Narrow" w:hAnsi="Arial Narrow" w:cs="Arial Narrow"/>
          <w:sz w:val="24"/>
          <w:szCs w:val="24"/>
          <w:lang w:val="en-US"/>
        </w:rPr>
      </w:pPr>
      <w:r w:rsidRPr="00935F58">
        <w:rPr>
          <w:rFonts w:ascii="Arial Narrow" w:hAnsi="Arial Narrow" w:cs="Arial Narrow"/>
          <w:sz w:val="24"/>
          <w:szCs w:val="24"/>
          <w:lang w:val="en-US"/>
        </w:rPr>
        <w:t xml:space="preserve">Envestra accepts the AER’s </w:t>
      </w:r>
      <w:r w:rsidR="00C025F3" w:rsidRPr="00935F58">
        <w:rPr>
          <w:rFonts w:ascii="Arial Narrow" w:hAnsi="Arial Narrow" w:cs="Arial Narrow"/>
          <w:sz w:val="24"/>
          <w:szCs w:val="24"/>
          <w:lang w:val="en-US"/>
        </w:rPr>
        <w:t>D</w:t>
      </w:r>
      <w:r w:rsidRPr="00935F58">
        <w:rPr>
          <w:rFonts w:ascii="Arial Narrow" w:hAnsi="Arial Narrow" w:cs="Arial Narrow"/>
          <w:sz w:val="24"/>
          <w:szCs w:val="24"/>
          <w:lang w:val="en-US"/>
        </w:rPr>
        <w:t xml:space="preserve">raft </w:t>
      </w:r>
      <w:r w:rsidR="00C025F3" w:rsidRPr="00935F58">
        <w:rPr>
          <w:rFonts w:ascii="Arial Narrow" w:hAnsi="Arial Narrow" w:cs="Arial Narrow"/>
          <w:sz w:val="24"/>
          <w:szCs w:val="24"/>
          <w:lang w:val="en-US"/>
        </w:rPr>
        <w:t>D</w:t>
      </w:r>
      <w:r w:rsidRPr="00935F58">
        <w:rPr>
          <w:rFonts w:ascii="Arial Narrow" w:hAnsi="Arial Narrow" w:cs="Arial Narrow"/>
          <w:sz w:val="24"/>
          <w:szCs w:val="24"/>
          <w:lang w:val="en-US"/>
        </w:rPr>
        <w:t>ecision opening capital bases as at 1 January 2013 of $1,109.7 million ($nominal) for Victoria and $34.</w:t>
      </w:r>
      <w:r w:rsidR="007F2107" w:rsidRPr="00935F58">
        <w:rPr>
          <w:rFonts w:ascii="Arial Narrow" w:hAnsi="Arial Narrow" w:cs="Arial Narrow"/>
          <w:sz w:val="24"/>
          <w:szCs w:val="24"/>
          <w:lang w:val="en-US"/>
        </w:rPr>
        <w:t>6 million ($nominal) for Albury as well as the proposed change to the life of the “SCADA” asset class.</w:t>
      </w:r>
      <w:r w:rsidRPr="00935F58">
        <w:rPr>
          <w:rFonts w:ascii="Arial Narrow" w:hAnsi="Arial Narrow" w:cs="Arial Narrow"/>
          <w:sz w:val="24"/>
          <w:szCs w:val="24"/>
          <w:lang w:val="en-US"/>
        </w:rPr>
        <w:t xml:space="preserve"> </w:t>
      </w:r>
    </w:p>
    <w:p w:rsidR="00C025F3" w:rsidRPr="00935F58" w:rsidRDefault="00C025F3" w:rsidP="00935F58">
      <w:pPr>
        <w:spacing w:after="0" w:line="240" w:lineRule="auto"/>
        <w:jc w:val="both"/>
        <w:rPr>
          <w:rFonts w:ascii="Arial Narrow" w:hAnsi="Arial Narrow" w:cs="Arial Narrow"/>
          <w:sz w:val="24"/>
          <w:szCs w:val="24"/>
          <w:lang w:val="en-US"/>
        </w:rPr>
      </w:pPr>
    </w:p>
    <w:p w:rsidR="007F2107" w:rsidRPr="00935F58" w:rsidRDefault="00DE3E07" w:rsidP="00935F58">
      <w:pPr>
        <w:spacing w:after="0" w:line="240" w:lineRule="auto"/>
        <w:jc w:val="both"/>
        <w:rPr>
          <w:rFonts w:ascii="Arial Narrow" w:hAnsi="Arial Narrow" w:cs="Arial Narrow"/>
          <w:sz w:val="24"/>
          <w:szCs w:val="24"/>
          <w:lang w:val="en-US"/>
        </w:rPr>
      </w:pPr>
      <w:r w:rsidRPr="00935F58">
        <w:rPr>
          <w:rFonts w:ascii="Arial Narrow" w:hAnsi="Arial Narrow" w:cs="Arial Narrow"/>
          <w:sz w:val="24"/>
          <w:szCs w:val="24"/>
          <w:lang w:val="en-US"/>
        </w:rPr>
        <w:t>Envestra however does not accept the projected capital bases for the 2013 to 2017 Access Arrangement period as Envestra has not accepted the AER’s Draft Decision capital expenditure forecast</w:t>
      </w:r>
      <w:r w:rsidR="004D21AA" w:rsidRPr="00935F58">
        <w:rPr>
          <w:rFonts w:ascii="Arial Narrow" w:hAnsi="Arial Narrow" w:cs="Arial Narrow"/>
          <w:sz w:val="24"/>
          <w:szCs w:val="24"/>
          <w:lang w:val="en-US"/>
        </w:rPr>
        <w:t xml:space="preserve"> (refer attachment </w:t>
      </w:r>
      <w:r w:rsidR="000A2FF4" w:rsidRPr="00935F58">
        <w:rPr>
          <w:rFonts w:ascii="Arial Narrow" w:hAnsi="Arial Narrow" w:cs="Arial Narrow"/>
          <w:sz w:val="24"/>
          <w:szCs w:val="24"/>
          <w:lang w:val="en-US"/>
        </w:rPr>
        <w:t>7.7</w:t>
      </w:r>
      <w:r w:rsidR="004D21AA" w:rsidRPr="00935F58">
        <w:rPr>
          <w:rFonts w:ascii="Arial Narrow" w:hAnsi="Arial Narrow" w:cs="Arial Narrow"/>
          <w:sz w:val="24"/>
          <w:szCs w:val="24"/>
          <w:lang w:val="en-US"/>
        </w:rPr>
        <w:t>)</w:t>
      </w:r>
      <w:r w:rsidRPr="00935F58">
        <w:rPr>
          <w:rFonts w:ascii="Arial Narrow" w:hAnsi="Arial Narrow" w:cs="Arial Narrow"/>
          <w:sz w:val="24"/>
          <w:szCs w:val="24"/>
          <w:lang w:val="en-US"/>
        </w:rPr>
        <w:t>.  Envestra also doe</w:t>
      </w:r>
      <w:r w:rsidR="00191F2B" w:rsidRPr="00935F58">
        <w:rPr>
          <w:rFonts w:ascii="Arial Narrow" w:hAnsi="Arial Narrow" w:cs="Arial Narrow"/>
          <w:sz w:val="24"/>
          <w:szCs w:val="24"/>
          <w:lang w:val="en-US"/>
        </w:rPr>
        <w:t>s</w:t>
      </w:r>
      <w:r w:rsidRPr="00935F58">
        <w:rPr>
          <w:rFonts w:ascii="Arial Narrow" w:hAnsi="Arial Narrow" w:cs="Arial Narrow"/>
          <w:sz w:val="24"/>
          <w:szCs w:val="24"/>
          <w:lang w:val="en-US"/>
        </w:rPr>
        <w:t xml:space="preserve"> not accept the </w:t>
      </w:r>
      <w:r w:rsidR="00191F2B" w:rsidRPr="00935F58">
        <w:rPr>
          <w:rFonts w:ascii="Arial Narrow" w:hAnsi="Arial Narrow" w:cs="Arial Narrow"/>
          <w:sz w:val="24"/>
          <w:szCs w:val="24"/>
          <w:lang w:val="en-US"/>
        </w:rPr>
        <w:t xml:space="preserve">AER’s proposal to use forecast deprecation when determining the opening </w:t>
      </w:r>
      <w:r w:rsidR="00BE6DDE" w:rsidRPr="00935F58">
        <w:rPr>
          <w:rFonts w:ascii="Arial Narrow" w:hAnsi="Arial Narrow" w:cs="Arial Narrow"/>
          <w:sz w:val="24"/>
          <w:szCs w:val="24"/>
          <w:lang w:val="en-US"/>
        </w:rPr>
        <w:t>capital bases at 1 </w:t>
      </w:r>
      <w:r w:rsidR="00191F2B" w:rsidRPr="00935F58">
        <w:rPr>
          <w:rFonts w:ascii="Arial Narrow" w:hAnsi="Arial Narrow" w:cs="Arial Narrow"/>
          <w:sz w:val="24"/>
          <w:szCs w:val="24"/>
          <w:lang w:val="en-US"/>
        </w:rPr>
        <w:t xml:space="preserve">January 2018. </w:t>
      </w:r>
    </w:p>
    <w:p w:rsidR="007F2107" w:rsidRPr="00935F58" w:rsidRDefault="007F2107" w:rsidP="00935F58">
      <w:pPr>
        <w:spacing w:after="0" w:line="240" w:lineRule="auto"/>
        <w:jc w:val="both"/>
        <w:rPr>
          <w:rFonts w:ascii="Arial Narrow" w:hAnsi="Arial Narrow" w:cs="Arial Narrow"/>
          <w:sz w:val="24"/>
          <w:szCs w:val="24"/>
          <w:lang w:val="en-US"/>
        </w:rPr>
      </w:pPr>
    </w:p>
    <w:p w:rsidR="0046283C" w:rsidRPr="00935F58" w:rsidRDefault="00BE6DDE" w:rsidP="00935F58">
      <w:pPr>
        <w:spacing w:after="0" w:line="240" w:lineRule="auto"/>
        <w:jc w:val="both"/>
        <w:rPr>
          <w:rFonts w:ascii="Arial Narrow" w:hAnsi="Arial Narrow" w:cs="Arial Narrow"/>
          <w:sz w:val="24"/>
          <w:szCs w:val="24"/>
          <w:lang w:val="en-US"/>
        </w:rPr>
      </w:pPr>
      <w:r w:rsidRPr="00935F58">
        <w:rPr>
          <w:rFonts w:ascii="Arial Narrow" w:hAnsi="Arial Narrow" w:cs="Arial Narrow"/>
          <w:sz w:val="24"/>
          <w:szCs w:val="24"/>
          <w:lang w:val="en-US"/>
        </w:rPr>
        <w:t xml:space="preserve">This attachment </w:t>
      </w:r>
      <w:r w:rsidR="0076267E" w:rsidRPr="00935F58">
        <w:rPr>
          <w:rFonts w:ascii="Arial Narrow" w:hAnsi="Arial Narrow" w:cs="Arial Narrow"/>
          <w:sz w:val="24"/>
          <w:szCs w:val="24"/>
          <w:lang w:val="en-US"/>
        </w:rPr>
        <w:t xml:space="preserve">provides </w:t>
      </w:r>
      <w:r w:rsidR="00C025F3" w:rsidRPr="00935F58">
        <w:rPr>
          <w:rFonts w:ascii="Arial Narrow" w:hAnsi="Arial Narrow" w:cs="Arial Narrow"/>
          <w:sz w:val="24"/>
          <w:szCs w:val="24"/>
          <w:lang w:val="en-US"/>
        </w:rPr>
        <w:t xml:space="preserve">a </w:t>
      </w:r>
      <w:r w:rsidR="0076267E" w:rsidRPr="00935F58">
        <w:rPr>
          <w:rFonts w:ascii="Arial Narrow" w:hAnsi="Arial Narrow" w:cs="Arial Narrow"/>
          <w:sz w:val="24"/>
          <w:szCs w:val="24"/>
          <w:lang w:val="en-US"/>
        </w:rPr>
        <w:t xml:space="preserve">revised projected capital base for Victoria and Albury during the 2013 to 2017 Access Arrangement period.  It also </w:t>
      </w:r>
      <w:r w:rsidRPr="00935F58">
        <w:rPr>
          <w:rFonts w:ascii="Arial Narrow" w:hAnsi="Arial Narrow" w:cs="Arial Narrow"/>
          <w:sz w:val="24"/>
          <w:szCs w:val="24"/>
          <w:lang w:val="en-US"/>
        </w:rPr>
        <w:t xml:space="preserve">explains why </w:t>
      </w:r>
      <w:r w:rsidR="007F2107" w:rsidRPr="00935F58">
        <w:rPr>
          <w:rFonts w:ascii="Arial Narrow" w:hAnsi="Arial Narrow" w:cs="Arial Narrow"/>
          <w:sz w:val="24"/>
          <w:szCs w:val="24"/>
          <w:lang w:val="en-US"/>
        </w:rPr>
        <w:t xml:space="preserve">actual depreciation should be used when determining the opening capital bases </w:t>
      </w:r>
      <w:r w:rsidR="0076267E" w:rsidRPr="00935F58">
        <w:rPr>
          <w:rFonts w:ascii="Arial Narrow" w:hAnsi="Arial Narrow" w:cs="Arial Narrow"/>
          <w:sz w:val="24"/>
          <w:szCs w:val="24"/>
          <w:lang w:val="en-US"/>
        </w:rPr>
        <w:t>at 1 January 2018.</w:t>
      </w:r>
    </w:p>
    <w:p w:rsidR="0046283C" w:rsidRPr="00935F58" w:rsidRDefault="0046283C" w:rsidP="00935F58">
      <w:pPr>
        <w:spacing w:after="0" w:line="240" w:lineRule="auto"/>
        <w:jc w:val="both"/>
        <w:rPr>
          <w:rFonts w:ascii="Arial Narrow" w:hAnsi="Arial Narrow" w:cs="Arial Narrow"/>
          <w:sz w:val="24"/>
          <w:szCs w:val="24"/>
          <w:lang w:val="en-US"/>
        </w:rPr>
      </w:pPr>
    </w:p>
    <w:p w:rsidR="00461CCF" w:rsidRPr="00935F58" w:rsidRDefault="00461CCF" w:rsidP="00935F58">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935F58">
        <w:rPr>
          <w:rFonts w:ascii="Arial Narrow" w:hAnsi="Arial Narrow" w:cs="Arial Narrow"/>
          <w:b/>
          <w:bCs/>
          <w:color w:val="17365D" w:themeColor="text2" w:themeShade="BF"/>
          <w:sz w:val="24"/>
          <w:szCs w:val="24"/>
          <w:lang w:val="en-US"/>
        </w:rPr>
        <w:t>2</w:t>
      </w:r>
      <w:r w:rsidR="00935F58">
        <w:rPr>
          <w:rFonts w:ascii="Arial Narrow" w:hAnsi="Arial Narrow" w:cs="Arial Narrow"/>
          <w:b/>
          <w:bCs/>
          <w:color w:val="17365D" w:themeColor="text2" w:themeShade="BF"/>
          <w:sz w:val="24"/>
          <w:szCs w:val="24"/>
          <w:lang w:val="en-US"/>
        </w:rPr>
        <w:t>.</w:t>
      </w:r>
      <w:r w:rsidRPr="00935F58">
        <w:rPr>
          <w:rFonts w:ascii="Arial Narrow" w:hAnsi="Arial Narrow" w:cs="Arial Narrow"/>
          <w:b/>
          <w:bCs/>
          <w:color w:val="17365D" w:themeColor="text2" w:themeShade="BF"/>
          <w:sz w:val="24"/>
          <w:szCs w:val="24"/>
          <w:lang w:val="en-US"/>
        </w:rPr>
        <w:tab/>
      </w:r>
      <w:r w:rsidR="0076267E" w:rsidRPr="00935F58">
        <w:rPr>
          <w:rFonts w:ascii="Arial Narrow" w:hAnsi="Arial Narrow" w:cs="Arial Narrow"/>
          <w:b/>
          <w:bCs/>
          <w:color w:val="17365D" w:themeColor="text2" w:themeShade="BF"/>
          <w:sz w:val="24"/>
          <w:szCs w:val="24"/>
          <w:lang w:val="en-US"/>
        </w:rPr>
        <w:t>Projected Capital Base Roll Forward 2013 to 2017</w:t>
      </w:r>
    </w:p>
    <w:p w:rsidR="00461CCF" w:rsidRPr="00935F58" w:rsidRDefault="00461CCF" w:rsidP="00935F58">
      <w:pPr>
        <w:spacing w:after="0" w:line="240" w:lineRule="auto"/>
        <w:jc w:val="both"/>
        <w:rPr>
          <w:rFonts w:ascii="Arial Narrow" w:hAnsi="Arial Narrow"/>
          <w:b/>
          <w:sz w:val="24"/>
          <w:szCs w:val="24"/>
          <w:lang w:val="en-US"/>
        </w:rPr>
      </w:pPr>
    </w:p>
    <w:p w:rsidR="00DB091D" w:rsidRPr="00935F58" w:rsidRDefault="0076267E" w:rsidP="00935F58">
      <w:pPr>
        <w:spacing w:after="0" w:line="240" w:lineRule="auto"/>
        <w:jc w:val="both"/>
        <w:rPr>
          <w:rFonts w:ascii="Arial Narrow" w:hAnsi="Arial Narrow"/>
          <w:sz w:val="24"/>
          <w:szCs w:val="24"/>
          <w:lang w:val="en-US"/>
        </w:rPr>
      </w:pPr>
      <w:r w:rsidRPr="00935F58">
        <w:rPr>
          <w:rFonts w:ascii="Arial Narrow" w:hAnsi="Arial Narrow"/>
          <w:sz w:val="24"/>
          <w:szCs w:val="24"/>
          <w:lang w:val="en-US"/>
        </w:rPr>
        <w:t xml:space="preserve">Table 1 below </w:t>
      </w:r>
      <w:r w:rsidR="00DB091D" w:rsidRPr="00935F58">
        <w:rPr>
          <w:rFonts w:ascii="Arial Narrow" w:hAnsi="Arial Narrow"/>
          <w:sz w:val="24"/>
          <w:szCs w:val="24"/>
          <w:lang w:val="en-US"/>
        </w:rPr>
        <w:t xml:space="preserve">presents the projected capital base </w:t>
      </w:r>
      <w:r w:rsidR="00C025F3" w:rsidRPr="00935F58">
        <w:rPr>
          <w:rFonts w:ascii="Arial Narrow" w:hAnsi="Arial Narrow"/>
          <w:sz w:val="24"/>
          <w:szCs w:val="24"/>
          <w:lang w:val="en-US"/>
        </w:rPr>
        <w:t xml:space="preserve">for Victoria over the </w:t>
      </w:r>
      <w:r w:rsidR="00DB091D" w:rsidRPr="00935F58">
        <w:rPr>
          <w:rFonts w:ascii="Arial Narrow" w:hAnsi="Arial Narrow"/>
          <w:sz w:val="24"/>
          <w:szCs w:val="24"/>
          <w:lang w:val="en-US"/>
        </w:rPr>
        <w:t xml:space="preserve">2013 to 2017 </w:t>
      </w:r>
      <w:r w:rsidR="00C025F3" w:rsidRPr="00935F58">
        <w:rPr>
          <w:rFonts w:ascii="Arial Narrow" w:hAnsi="Arial Narrow"/>
          <w:sz w:val="24"/>
          <w:szCs w:val="24"/>
          <w:lang w:val="en-US"/>
        </w:rPr>
        <w:t>period</w:t>
      </w:r>
      <w:r w:rsidR="00DB091D" w:rsidRPr="00935F58">
        <w:rPr>
          <w:rFonts w:ascii="Arial Narrow" w:hAnsi="Arial Narrow"/>
          <w:sz w:val="24"/>
          <w:szCs w:val="24"/>
          <w:lang w:val="en-US"/>
        </w:rPr>
        <w:t>, which reflects Envestra’s revised capital expenditure forecasts.</w:t>
      </w:r>
    </w:p>
    <w:p w:rsidR="00DB091D" w:rsidRPr="00935F58" w:rsidRDefault="00DB091D" w:rsidP="00935F58">
      <w:pPr>
        <w:spacing w:after="0" w:line="240" w:lineRule="auto"/>
        <w:jc w:val="both"/>
        <w:rPr>
          <w:rFonts w:ascii="Arial Narrow" w:hAnsi="Arial Narrow"/>
          <w:sz w:val="24"/>
          <w:szCs w:val="24"/>
          <w:lang w:val="en-US"/>
        </w:rPr>
      </w:pPr>
    </w:p>
    <w:p w:rsidR="00DB091D" w:rsidRPr="00935F58" w:rsidRDefault="00935F58" w:rsidP="00935F58">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 xml:space="preserve">Table 1:  </w:t>
      </w:r>
      <w:r w:rsidR="00DB091D" w:rsidRPr="00935F58">
        <w:rPr>
          <w:rFonts w:ascii="Arial Narrow" w:hAnsi="Arial Narrow" w:cs="Arial Narrow"/>
          <w:b/>
          <w:color w:val="17365D" w:themeColor="text2" w:themeShade="BF"/>
          <w:sz w:val="24"/>
          <w:szCs w:val="24"/>
          <w:lang w:val="en-US"/>
        </w:rPr>
        <w:t>Roll-forward of the Capital Base 2013 to 2017</w:t>
      </w:r>
      <w:r w:rsidR="00D227CB" w:rsidRPr="00935F58">
        <w:rPr>
          <w:rFonts w:ascii="Arial Narrow" w:hAnsi="Arial Narrow" w:cs="Arial Narrow"/>
          <w:b/>
          <w:color w:val="17365D" w:themeColor="text2" w:themeShade="BF"/>
          <w:sz w:val="24"/>
          <w:szCs w:val="24"/>
          <w:lang w:val="en-US"/>
        </w:rPr>
        <w:t xml:space="preserve"> - Victoria</w:t>
      </w:r>
    </w:p>
    <w:p w:rsidR="00DB091D" w:rsidRPr="00935F58" w:rsidRDefault="00DB091D" w:rsidP="00935F58">
      <w:pPr>
        <w:spacing w:after="0" w:line="240" w:lineRule="auto"/>
        <w:jc w:val="both"/>
        <w:rPr>
          <w:rFonts w:ascii="Arial Narrow" w:hAnsi="Arial Narrow"/>
          <w:sz w:val="24"/>
          <w:szCs w:val="24"/>
          <w:lang w:val="en-US"/>
        </w:rPr>
      </w:pPr>
    </w:p>
    <w:tbl>
      <w:tblPr>
        <w:tblW w:w="8813"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3628"/>
        <w:gridCol w:w="1037"/>
        <w:gridCol w:w="1037"/>
        <w:gridCol w:w="1037"/>
        <w:gridCol w:w="1037"/>
        <w:gridCol w:w="1037"/>
      </w:tblGrid>
      <w:tr w:rsidR="00DB091D" w:rsidRPr="00935F58" w:rsidTr="00B47B95">
        <w:tc>
          <w:tcPr>
            <w:tcW w:w="3628"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tcPr>
          <w:p w:rsidR="00DB091D" w:rsidRPr="00935F58" w:rsidRDefault="00DB091D" w:rsidP="007D2F0B">
            <w:pPr>
              <w:spacing w:before="60" w:after="60" w:line="240" w:lineRule="auto"/>
              <w:jc w:val="both"/>
              <w:rPr>
                <w:rFonts w:ascii="Arial Narrow" w:hAnsi="Arial Narrow" w:cs="ArialMT"/>
                <w:b/>
                <w:color w:val="FFFFFF"/>
                <w:sz w:val="24"/>
                <w:szCs w:val="24"/>
                <w:lang w:val="en-US" w:eastAsia="en-AU"/>
              </w:rPr>
            </w:pPr>
            <w:r w:rsidRPr="00935F58">
              <w:rPr>
                <w:rFonts w:ascii="Arial Narrow" w:hAnsi="Arial Narrow" w:cs="ArialMT"/>
                <w:b/>
                <w:color w:val="FFFFFF"/>
                <w:sz w:val="24"/>
                <w:szCs w:val="24"/>
                <w:lang w:val="en-US" w:eastAsia="en-AU"/>
              </w:rPr>
              <w:t>$m Nominal</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7D2F0B">
            <w:pPr>
              <w:pStyle w:val="Text"/>
              <w:spacing w:before="60" w:after="60"/>
              <w:ind w:left="0"/>
              <w:jc w:val="center"/>
              <w:outlineLvl w:val="0"/>
              <w:rPr>
                <w:b/>
                <w:color w:val="FFFFFF"/>
                <w:szCs w:val="24"/>
              </w:rPr>
            </w:pPr>
            <w:r w:rsidRPr="00935F58">
              <w:rPr>
                <w:b/>
                <w:color w:val="FFFFFF"/>
                <w:szCs w:val="24"/>
              </w:rPr>
              <w:t>2013</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7D2F0B">
            <w:pPr>
              <w:pStyle w:val="Text"/>
              <w:spacing w:before="60" w:after="60"/>
              <w:ind w:left="0"/>
              <w:jc w:val="center"/>
              <w:outlineLvl w:val="0"/>
              <w:rPr>
                <w:b/>
                <w:color w:val="FFFFFF"/>
                <w:szCs w:val="24"/>
              </w:rPr>
            </w:pPr>
            <w:r w:rsidRPr="00935F58">
              <w:rPr>
                <w:b/>
                <w:color w:val="FFFFFF"/>
                <w:szCs w:val="24"/>
              </w:rPr>
              <w:t>2014</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7D2F0B">
            <w:pPr>
              <w:pStyle w:val="Text"/>
              <w:spacing w:before="60" w:after="60"/>
              <w:ind w:left="0"/>
              <w:jc w:val="center"/>
              <w:outlineLvl w:val="0"/>
              <w:rPr>
                <w:b/>
                <w:color w:val="FFFFFF"/>
                <w:szCs w:val="24"/>
              </w:rPr>
            </w:pPr>
            <w:r w:rsidRPr="00935F58">
              <w:rPr>
                <w:b/>
                <w:color w:val="FFFFFF"/>
                <w:szCs w:val="24"/>
              </w:rPr>
              <w:t>2015</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7D2F0B">
            <w:pPr>
              <w:pStyle w:val="Text"/>
              <w:spacing w:before="60" w:after="60"/>
              <w:ind w:left="0"/>
              <w:jc w:val="center"/>
              <w:outlineLvl w:val="0"/>
              <w:rPr>
                <w:b/>
                <w:color w:val="FFFFFF"/>
                <w:szCs w:val="24"/>
              </w:rPr>
            </w:pPr>
            <w:r w:rsidRPr="00935F58">
              <w:rPr>
                <w:b/>
                <w:color w:val="FFFFFF"/>
                <w:szCs w:val="24"/>
              </w:rPr>
              <w:t>2016</w:t>
            </w:r>
          </w:p>
        </w:tc>
        <w:tc>
          <w:tcPr>
            <w:tcW w:w="1037"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548DD4" w:themeFill="text2" w:themeFillTint="99"/>
            <w:vAlign w:val="center"/>
          </w:tcPr>
          <w:p w:rsidR="00DB091D" w:rsidRPr="00935F58" w:rsidRDefault="00DB091D" w:rsidP="007D2F0B">
            <w:pPr>
              <w:pStyle w:val="Text"/>
              <w:spacing w:before="60" w:after="60"/>
              <w:ind w:left="0"/>
              <w:jc w:val="center"/>
              <w:outlineLvl w:val="0"/>
              <w:rPr>
                <w:b/>
                <w:color w:val="FFFFFF"/>
                <w:szCs w:val="24"/>
              </w:rPr>
            </w:pPr>
            <w:r w:rsidRPr="00935F58">
              <w:rPr>
                <w:b/>
                <w:color w:val="FFFFFF"/>
                <w:szCs w:val="24"/>
              </w:rPr>
              <w:t>2017</w:t>
            </w:r>
          </w:p>
        </w:tc>
      </w:tr>
      <w:tr w:rsidR="000A2FF4" w:rsidRPr="00935F58" w:rsidTr="000A2FF4">
        <w:tc>
          <w:tcPr>
            <w:tcW w:w="3628" w:type="dxa"/>
            <w:tcBorders>
              <w:top w:val="single" w:sz="4" w:space="0" w:color="548DD4" w:themeColor="text2" w:themeTint="99"/>
            </w:tcBorders>
          </w:tcPr>
          <w:p w:rsidR="000A2FF4" w:rsidRPr="00935F58" w:rsidRDefault="000A2FF4" w:rsidP="007D2F0B">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 xml:space="preserve">Opening Capital Base </w:t>
            </w:r>
          </w:p>
        </w:tc>
        <w:tc>
          <w:tcPr>
            <w:tcW w:w="1037" w:type="dxa"/>
            <w:tcBorders>
              <w:top w:val="single" w:sz="4" w:space="0" w:color="548DD4" w:themeColor="text2" w:themeTint="99"/>
            </w:tcBorders>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1,109.7</w:t>
            </w:r>
          </w:p>
        </w:tc>
        <w:tc>
          <w:tcPr>
            <w:tcW w:w="1037" w:type="dxa"/>
            <w:tcBorders>
              <w:top w:val="single" w:sz="4" w:space="0" w:color="548DD4" w:themeColor="text2" w:themeTint="99"/>
            </w:tcBorders>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1,228.8</w:t>
            </w:r>
          </w:p>
        </w:tc>
        <w:tc>
          <w:tcPr>
            <w:tcW w:w="1037" w:type="dxa"/>
            <w:tcBorders>
              <w:top w:val="single" w:sz="4" w:space="0" w:color="548DD4" w:themeColor="text2" w:themeTint="99"/>
            </w:tcBorders>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1,354.5</w:t>
            </w:r>
          </w:p>
        </w:tc>
        <w:tc>
          <w:tcPr>
            <w:tcW w:w="1037" w:type="dxa"/>
            <w:tcBorders>
              <w:top w:val="single" w:sz="4" w:space="0" w:color="548DD4" w:themeColor="text2" w:themeTint="99"/>
            </w:tcBorders>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1,468.2</w:t>
            </w:r>
          </w:p>
        </w:tc>
        <w:tc>
          <w:tcPr>
            <w:tcW w:w="1037" w:type="dxa"/>
            <w:tcBorders>
              <w:top w:val="single" w:sz="4" w:space="0" w:color="548DD4" w:themeColor="text2" w:themeTint="99"/>
            </w:tcBorders>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1,559.3</w:t>
            </w:r>
          </w:p>
        </w:tc>
      </w:tr>
      <w:tr w:rsidR="000A2FF4" w:rsidRPr="00935F58" w:rsidTr="000A2FF4">
        <w:tc>
          <w:tcPr>
            <w:tcW w:w="3628" w:type="dxa"/>
          </w:tcPr>
          <w:p w:rsidR="000A2FF4" w:rsidRPr="00935F58" w:rsidRDefault="000A2FF4" w:rsidP="007D2F0B">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Plus Conforming Capital Expenditure</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131.2</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140.2</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131.9</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111.7</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72.6</w:t>
            </w:r>
          </w:p>
        </w:tc>
      </w:tr>
      <w:tr w:rsidR="000A2FF4" w:rsidRPr="00935F58" w:rsidTr="000A2FF4">
        <w:tc>
          <w:tcPr>
            <w:tcW w:w="3628" w:type="dxa"/>
          </w:tcPr>
          <w:p w:rsidR="000A2FF4" w:rsidRPr="00935F58" w:rsidRDefault="000A2FF4" w:rsidP="007D2F0B">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 xml:space="preserve">Less Depreciation </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39.8</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45.3</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52.0</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57.3</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62.0</w:t>
            </w:r>
          </w:p>
        </w:tc>
      </w:tr>
      <w:tr w:rsidR="000A2FF4" w:rsidRPr="00935F58" w:rsidTr="000A2FF4">
        <w:tc>
          <w:tcPr>
            <w:tcW w:w="3628" w:type="dxa"/>
          </w:tcPr>
          <w:p w:rsidR="000A2FF4" w:rsidRPr="00935F58" w:rsidRDefault="000A2FF4" w:rsidP="007D2F0B">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Inflation Adjustment</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27.7</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30.7</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33.9</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36.7</w:t>
            </w:r>
          </w:p>
        </w:tc>
        <w:tc>
          <w:tcPr>
            <w:tcW w:w="1037" w:type="dxa"/>
            <w:vAlign w:val="center"/>
          </w:tcPr>
          <w:p w:rsidR="000A2FF4" w:rsidRPr="00935F58" w:rsidRDefault="000A2FF4" w:rsidP="007D2F0B">
            <w:pPr>
              <w:spacing w:before="60" w:after="60" w:line="240" w:lineRule="auto"/>
              <w:jc w:val="center"/>
              <w:rPr>
                <w:rFonts w:ascii="Arial Narrow" w:hAnsi="Arial Narrow"/>
                <w:sz w:val="24"/>
                <w:szCs w:val="24"/>
              </w:rPr>
            </w:pPr>
            <w:r w:rsidRPr="00935F58">
              <w:rPr>
                <w:rFonts w:ascii="Arial Narrow" w:hAnsi="Arial Narrow"/>
                <w:sz w:val="24"/>
                <w:szCs w:val="24"/>
              </w:rPr>
              <w:t>39.0</w:t>
            </w:r>
          </w:p>
        </w:tc>
      </w:tr>
      <w:tr w:rsidR="000A2FF4" w:rsidRPr="00935F58" w:rsidTr="000A2FF4">
        <w:tc>
          <w:tcPr>
            <w:tcW w:w="3628" w:type="dxa"/>
          </w:tcPr>
          <w:p w:rsidR="000A2FF4" w:rsidRPr="00935F58" w:rsidRDefault="000A2FF4" w:rsidP="007D2F0B">
            <w:pPr>
              <w:spacing w:before="60" w:after="60" w:line="240" w:lineRule="auto"/>
              <w:jc w:val="both"/>
              <w:rPr>
                <w:rFonts w:ascii="Arial Narrow" w:hAnsi="Arial Narrow" w:cs="ArialMT"/>
                <w:b/>
                <w:sz w:val="24"/>
                <w:szCs w:val="24"/>
                <w:lang w:val="en-US" w:eastAsia="en-AU"/>
              </w:rPr>
            </w:pPr>
            <w:r w:rsidRPr="00935F58">
              <w:rPr>
                <w:rFonts w:ascii="Arial Narrow" w:hAnsi="Arial Narrow" w:cs="ArialMT"/>
                <w:b/>
                <w:sz w:val="24"/>
                <w:szCs w:val="24"/>
                <w:lang w:val="en-US" w:eastAsia="en-AU"/>
              </w:rPr>
              <w:t>Closing Value</w:t>
            </w:r>
          </w:p>
        </w:tc>
        <w:tc>
          <w:tcPr>
            <w:tcW w:w="1037" w:type="dxa"/>
            <w:vAlign w:val="center"/>
          </w:tcPr>
          <w:p w:rsidR="000A2FF4" w:rsidRPr="00935F58" w:rsidRDefault="000A2FF4" w:rsidP="007D2F0B">
            <w:pPr>
              <w:spacing w:before="60" w:after="60" w:line="240" w:lineRule="auto"/>
              <w:jc w:val="center"/>
              <w:rPr>
                <w:rFonts w:ascii="Arial Narrow" w:hAnsi="Arial Narrow"/>
                <w:b/>
                <w:sz w:val="24"/>
                <w:szCs w:val="24"/>
              </w:rPr>
            </w:pPr>
            <w:r w:rsidRPr="00935F58">
              <w:rPr>
                <w:rFonts w:ascii="Arial Narrow" w:hAnsi="Arial Narrow"/>
                <w:b/>
                <w:sz w:val="24"/>
                <w:szCs w:val="24"/>
              </w:rPr>
              <w:t>1,228.8</w:t>
            </w:r>
          </w:p>
        </w:tc>
        <w:tc>
          <w:tcPr>
            <w:tcW w:w="1037" w:type="dxa"/>
            <w:vAlign w:val="center"/>
          </w:tcPr>
          <w:p w:rsidR="000A2FF4" w:rsidRPr="00935F58" w:rsidRDefault="000A2FF4" w:rsidP="007D2F0B">
            <w:pPr>
              <w:spacing w:before="60" w:after="60" w:line="240" w:lineRule="auto"/>
              <w:jc w:val="center"/>
              <w:rPr>
                <w:rFonts w:ascii="Arial Narrow" w:hAnsi="Arial Narrow"/>
                <w:b/>
                <w:sz w:val="24"/>
                <w:szCs w:val="24"/>
              </w:rPr>
            </w:pPr>
            <w:r w:rsidRPr="00935F58">
              <w:rPr>
                <w:rFonts w:ascii="Arial Narrow" w:hAnsi="Arial Narrow"/>
                <w:b/>
                <w:sz w:val="24"/>
                <w:szCs w:val="24"/>
              </w:rPr>
              <w:t>1,354.5</w:t>
            </w:r>
          </w:p>
        </w:tc>
        <w:tc>
          <w:tcPr>
            <w:tcW w:w="1037" w:type="dxa"/>
            <w:vAlign w:val="center"/>
          </w:tcPr>
          <w:p w:rsidR="000A2FF4" w:rsidRPr="00935F58" w:rsidRDefault="000A2FF4" w:rsidP="007D2F0B">
            <w:pPr>
              <w:spacing w:before="60" w:after="60" w:line="240" w:lineRule="auto"/>
              <w:jc w:val="center"/>
              <w:rPr>
                <w:rFonts w:ascii="Arial Narrow" w:hAnsi="Arial Narrow"/>
                <w:b/>
                <w:sz w:val="24"/>
                <w:szCs w:val="24"/>
              </w:rPr>
            </w:pPr>
            <w:r w:rsidRPr="00935F58">
              <w:rPr>
                <w:rFonts w:ascii="Arial Narrow" w:hAnsi="Arial Narrow"/>
                <w:b/>
                <w:sz w:val="24"/>
                <w:szCs w:val="24"/>
              </w:rPr>
              <w:t>1,468.2</w:t>
            </w:r>
          </w:p>
        </w:tc>
        <w:tc>
          <w:tcPr>
            <w:tcW w:w="1037" w:type="dxa"/>
            <w:vAlign w:val="center"/>
          </w:tcPr>
          <w:p w:rsidR="000A2FF4" w:rsidRPr="00935F58" w:rsidRDefault="000A2FF4" w:rsidP="007D2F0B">
            <w:pPr>
              <w:spacing w:before="60" w:after="60" w:line="240" w:lineRule="auto"/>
              <w:jc w:val="center"/>
              <w:rPr>
                <w:rFonts w:ascii="Arial Narrow" w:hAnsi="Arial Narrow"/>
                <w:b/>
                <w:sz w:val="24"/>
                <w:szCs w:val="24"/>
              </w:rPr>
            </w:pPr>
            <w:r w:rsidRPr="00935F58">
              <w:rPr>
                <w:rFonts w:ascii="Arial Narrow" w:hAnsi="Arial Narrow"/>
                <w:b/>
                <w:sz w:val="24"/>
                <w:szCs w:val="24"/>
              </w:rPr>
              <w:t>1,559.3</w:t>
            </w:r>
          </w:p>
        </w:tc>
        <w:tc>
          <w:tcPr>
            <w:tcW w:w="1037" w:type="dxa"/>
            <w:vAlign w:val="center"/>
          </w:tcPr>
          <w:p w:rsidR="000A2FF4" w:rsidRPr="00935F58" w:rsidRDefault="000A2FF4" w:rsidP="007D2F0B">
            <w:pPr>
              <w:spacing w:before="60" w:after="60" w:line="240" w:lineRule="auto"/>
              <w:jc w:val="center"/>
              <w:rPr>
                <w:rFonts w:ascii="Arial Narrow" w:hAnsi="Arial Narrow"/>
                <w:b/>
                <w:sz w:val="24"/>
                <w:szCs w:val="24"/>
              </w:rPr>
            </w:pPr>
            <w:r w:rsidRPr="00935F58">
              <w:rPr>
                <w:rFonts w:ascii="Arial Narrow" w:hAnsi="Arial Narrow"/>
                <w:b/>
                <w:sz w:val="24"/>
                <w:szCs w:val="24"/>
              </w:rPr>
              <w:t>1,608.9</w:t>
            </w:r>
          </w:p>
        </w:tc>
      </w:tr>
    </w:tbl>
    <w:p w:rsidR="00DB091D" w:rsidRPr="00935F58" w:rsidRDefault="00DB091D" w:rsidP="00935F58">
      <w:pPr>
        <w:spacing w:after="0" w:line="240" w:lineRule="auto"/>
        <w:jc w:val="both"/>
        <w:rPr>
          <w:rFonts w:ascii="Arial Narrow" w:hAnsi="Arial Narrow"/>
          <w:sz w:val="24"/>
          <w:szCs w:val="24"/>
          <w:lang w:val="en-US"/>
        </w:rPr>
      </w:pPr>
    </w:p>
    <w:p w:rsidR="00DB091D" w:rsidRPr="00935F58" w:rsidRDefault="00DB091D" w:rsidP="00935F58">
      <w:pPr>
        <w:spacing w:after="0" w:line="240" w:lineRule="auto"/>
        <w:rPr>
          <w:rFonts w:ascii="Arial Narrow" w:hAnsi="Arial Narrow"/>
          <w:sz w:val="24"/>
          <w:szCs w:val="24"/>
          <w:lang w:val="en-US"/>
        </w:rPr>
      </w:pPr>
      <w:r w:rsidRPr="00935F58">
        <w:rPr>
          <w:rFonts w:ascii="Arial Narrow" w:hAnsi="Arial Narrow"/>
          <w:sz w:val="24"/>
          <w:szCs w:val="24"/>
          <w:lang w:val="en-US"/>
        </w:rPr>
        <w:br w:type="page"/>
      </w:r>
    </w:p>
    <w:p w:rsidR="00DB091D" w:rsidRPr="00935F58" w:rsidRDefault="00DB091D" w:rsidP="00935F58">
      <w:pPr>
        <w:spacing w:after="0" w:line="240" w:lineRule="auto"/>
        <w:jc w:val="both"/>
        <w:rPr>
          <w:rFonts w:ascii="Arial Narrow" w:hAnsi="Arial Narrow"/>
          <w:sz w:val="24"/>
          <w:szCs w:val="24"/>
          <w:lang w:val="en-US"/>
        </w:rPr>
      </w:pPr>
      <w:r w:rsidRPr="00935F58">
        <w:rPr>
          <w:rFonts w:ascii="Arial Narrow" w:hAnsi="Arial Narrow"/>
          <w:sz w:val="24"/>
          <w:szCs w:val="24"/>
          <w:lang w:val="en-US"/>
        </w:rPr>
        <w:lastRenderedPageBreak/>
        <w:t xml:space="preserve">Table 2 below presents the projected capital base </w:t>
      </w:r>
      <w:r w:rsidR="00C025F3" w:rsidRPr="00935F58">
        <w:rPr>
          <w:rFonts w:ascii="Arial Narrow" w:hAnsi="Arial Narrow"/>
          <w:sz w:val="24"/>
          <w:szCs w:val="24"/>
          <w:lang w:val="en-US"/>
        </w:rPr>
        <w:t>for Albury over the</w:t>
      </w:r>
      <w:r w:rsidRPr="00935F58">
        <w:rPr>
          <w:rFonts w:ascii="Arial Narrow" w:hAnsi="Arial Narrow"/>
          <w:sz w:val="24"/>
          <w:szCs w:val="24"/>
          <w:lang w:val="en-US"/>
        </w:rPr>
        <w:t xml:space="preserve"> 2013 to 2017 </w:t>
      </w:r>
      <w:r w:rsidR="00C025F3" w:rsidRPr="00935F58">
        <w:rPr>
          <w:rFonts w:ascii="Arial Narrow" w:hAnsi="Arial Narrow"/>
          <w:sz w:val="24"/>
          <w:szCs w:val="24"/>
          <w:lang w:val="en-US"/>
        </w:rPr>
        <w:t>period</w:t>
      </w:r>
      <w:r w:rsidRPr="00935F58">
        <w:rPr>
          <w:rFonts w:ascii="Arial Narrow" w:hAnsi="Arial Narrow"/>
          <w:sz w:val="24"/>
          <w:szCs w:val="24"/>
          <w:lang w:val="en-US"/>
        </w:rPr>
        <w:t>, which reflects Envestra’s revised capital expenditure forecasts.</w:t>
      </w:r>
    </w:p>
    <w:p w:rsidR="00DB091D" w:rsidRPr="00935F58" w:rsidRDefault="00DB091D" w:rsidP="00935F58">
      <w:pPr>
        <w:spacing w:after="0" w:line="240" w:lineRule="auto"/>
        <w:jc w:val="both"/>
        <w:rPr>
          <w:rFonts w:ascii="Arial Narrow" w:hAnsi="Arial Narrow"/>
          <w:sz w:val="24"/>
          <w:szCs w:val="24"/>
          <w:lang w:val="en-US"/>
        </w:rPr>
      </w:pPr>
    </w:p>
    <w:p w:rsidR="00DB091D" w:rsidRPr="00935F58" w:rsidRDefault="00BC087D" w:rsidP="00935F58">
      <w:pPr>
        <w:spacing w:after="0" w:line="240" w:lineRule="auto"/>
        <w:rPr>
          <w:rFonts w:ascii="Arial Narrow" w:hAnsi="Arial Narrow" w:cs="Arial Narrow"/>
          <w:b/>
          <w:color w:val="17365D" w:themeColor="text2" w:themeShade="BF"/>
          <w:sz w:val="24"/>
          <w:szCs w:val="24"/>
          <w:lang w:val="en-US"/>
        </w:rPr>
      </w:pPr>
      <w:r>
        <w:rPr>
          <w:rFonts w:ascii="Arial Narrow" w:hAnsi="Arial Narrow" w:cs="Arial Narrow"/>
          <w:b/>
          <w:color w:val="17365D" w:themeColor="text2" w:themeShade="BF"/>
          <w:sz w:val="24"/>
          <w:szCs w:val="24"/>
          <w:lang w:val="en-US"/>
        </w:rPr>
        <w:t xml:space="preserve">Table 2:  </w:t>
      </w:r>
      <w:r w:rsidR="00DB091D" w:rsidRPr="00935F58">
        <w:rPr>
          <w:rFonts w:ascii="Arial Narrow" w:hAnsi="Arial Narrow" w:cs="Arial Narrow"/>
          <w:b/>
          <w:color w:val="17365D" w:themeColor="text2" w:themeShade="BF"/>
          <w:sz w:val="24"/>
          <w:szCs w:val="24"/>
          <w:lang w:val="en-US"/>
        </w:rPr>
        <w:t>Roll-forward of the Capital Base 2013 to 2017</w:t>
      </w:r>
      <w:r w:rsidR="00D227CB" w:rsidRPr="00935F58">
        <w:rPr>
          <w:rFonts w:ascii="Arial Narrow" w:hAnsi="Arial Narrow" w:cs="Arial Narrow"/>
          <w:b/>
          <w:color w:val="17365D" w:themeColor="text2" w:themeShade="BF"/>
          <w:sz w:val="24"/>
          <w:szCs w:val="24"/>
          <w:lang w:val="en-US"/>
        </w:rPr>
        <w:t xml:space="preserve"> - Albury</w:t>
      </w:r>
    </w:p>
    <w:p w:rsidR="00DB091D" w:rsidRPr="00935F58" w:rsidRDefault="00DB091D" w:rsidP="00935F58">
      <w:pPr>
        <w:spacing w:after="0" w:line="240" w:lineRule="auto"/>
        <w:jc w:val="both"/>
        <w:rPr>
          <w:rFonts w:ascii="Arial Narrow" w:hAnsi="Arial Narrow"/>
          <w:sz w:val="24"/>
          <w:szCs w:val="24"/>
          <w:lang w:val="en-US"/>
        </w:rPr>
      </w:pPr>
    </w:p>
    <w:tbl>
      <w:tblPr>
        <w:tblW w:w="8813"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3628"/>
        <w:gridCol w:w="1037"/>
        <w:gridCol w:w="1037"/>
        <w:gridCol w:w="1037"/>
        <w:gridCol w:w="1037"/>
        <w:gridCol w:w="1037"/>
      </w:tblGrid>
      <w:tr w:rsidR="00DB091D" w:rsidRPr="00935F58" w:rsidTr="00B47B95">
        <w:tc>
          <w:tcPr>
            <w:tcW w:w="3628"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tcPr>
          <w:p w:rsidR="00DB091D" w:rsidRPr="00935F58" w:rsidRDefault="00DB091D" w:rsidP="003477E8">
            <w:pPr>
              <w:spacing w:before="60" w:after="60" w:line="240" w:lineRule="auto"/>
              <w:jc w:val="both"/>
              <w:rPr>
                <w:rFonts w:ascii="Arial Narrow" w:hAnsi="Arial Narrow" w:cs="ArialMT"/>
                <w:b/>
                <w:color w:val="FFFFFF"/>
                <w:sz w:val="24"/>
                <w:szCs w:val="24"/>
                <w:lang w:val="en-US" w:eastAsia="en-AU"/>
              </w:rPr>
            </w:pPr>
            <w:r w:rsidRPr="00935F58">
              <w:rPr>
                <w:rFonts w:ascii="Arial Narrow" w:hAnsi="Arial Narrow" w:cs="ArialMT"/>
                <w:b/>
                <w:color w:val="FFFFFF"/>
                <w:sz w:val="24"/>
                <w:szCs w:val="24"/>
                <w:lang w:val="en-US" w:eastAsia="en-AU"/>
              </w:rPr>
              <w:t>$m Nominal</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3477E8">
            <w:pPr>
              <w:pStyle w:val="Text"/>
              <w:spacing w:before="60" w:after="60"/>
              <w:ind w:left="0"/>
              <w:jc w:val="center"/>
              <w:outlineLvl w:val="0"/>
              <w:rPr>
                <w:b/>
                <w:color w:val="FFFFFF"/>
                <w:szCs w:val="24"/>
              </w:rPr>
            </w:pPr>
            <w:r w:rsidRPr="00935F58">
              <w:rPr>
                <w:b/>
                <w:color w:val="FFFFFF"/>
                <w:szCs w:val="24"/>
              </w:rPr>
              <w:t>2013</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3477E8">
            <w:pPr>
              <w:pStyle w:val="Text"/>
              <w:spacing w:before="60" w:after="60"/>
              <w:ind w:left="0"/>
              <w:jc w:val="center"/>
              <w:outlineLvl w:val="0"/>
              <w:rPr>
                <w:b/>
                <w:color w:val="FFFFFF"/>
                <w:szCs w:val="24"/>
              </w:rPr>
            </w:pPr>
            <w:r w:rsidRPr="00935F58">
              <w:rPr>
                <w:b/>
                <w:color w:val="FFFFFF"/>
                <w:szCs w:val="24"/>
              </w:rPr>
              <w:t>2014</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3477E8">
            <w:pPr>
              <w:pStyle w:val="Text"/>
              <w:spacing w:before="60" w:after="60"/>
              <w:ind w:left="0"/>
              <w:jc w:val="center"/>
              <w:outlineLvl w:val="0"/>
              <w:rPr>
                <w:b/>
                <w:color w:val="FFFFFF"/>
                <w:szCs w:val="24"/>
              </w:rPr>
            </w:pPr>
            <w:r w:rsidRPr="00935F58">
              <w:rPr>
                <w:b/>
                <w:color w:val="FFFFFF"/>
                <w:szCs w:val="24"/>
              </w:rPr>
              <w:t>2015</w:t>
            </w:r>
          </w:p>
        </w:tc>
        <w:tc>
          <w:tcPr>
            <w:tcW w:w="103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tcPr>
          <w:p w:rsidR="00DB091D" w:rsidRPr="00935F58" w:rsidRDefault="00DB091D" w:rsidP="003477E8">
            <w:pPr>
              <w:pStyle w:val="Text"/>
              <w:spacing w:before="60" w:after="60"/>
              <w:ind w:left="0"/>
              <w:jc w:val="center"/>
              <w:outlineLvl w:val="0"/>
              <w:rPr>
                <w:b/>
                <w:color w:val="FFFFFF"/>
                <w:szCs w:val="24"/>
              </w:rPr>
            </w:pPr>
            <w:r w:rsidRPr="00935F58">
              <w:rPr>
                <w:b/>
                <w:color w:val="FFFFFF"/>
                <w:szCs w:val="24"/>
              </w:rPr>
              <w:t>2016</w:t>
            </w:r>
          </w:p>
        </w:tc>
        <w:tc>
          <w:tcPr>
            <w:tcW w:w="1037"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548DD4" w:themeFill="text2" w:themeFillTint="99"/>
            <w:vAlign w:val="center"/>
          </w:tcPr>
          <w:p w:rsidR="00DB091D" w:rsidRPr="00935F58" w:rsidRDefault="00DB091D" w:rsidP="003477E8">
            <w:pPr>
              <w:pStyle w:val="Text"/>
              <w:spacing w:before="60" w:after="60"/>
              <w:ind w:left="0"/>
              <w:jc w:val="center"/>
              <w:outlineLvl w:val="0"/>
              <w:rPr>
                <w:b/>
                <w:color w:val="FFFFFF"/>
                <w:szCs w:val="24"/>
              </w:rPr>
            </w:pPr>
            <w:r w:rsidRPr="00935F58">
              <w:rPr>
                <w:b/>
                <w:color w:val="FFFFFF"/>
                <w:szCs w:val="24"/>
              </w:rPr>
              <w:t>2017</w:t>
            </w:r>
          </w:p>
        </w:tc>
      </w:tr>
      <w:tr w:rsidR="000A2FF4" w:rsidRPr="00935F58" w:rsidTr="000A2FF4">
        <w:tc>
          <w:tcPr>
            <w:tcW w:w="3628" w:type="dxa"/>
            <w:tcBorders>
              <w:top w:val="single" w:sz="4" w:space="0" w:color="548DD4" w:themeColor="text2" w:themeTint="99"/>
            </w:tcBorders>
          </w:tcPr>
          <w:p w:rsidR="000A2FF4" w:rsidRPr="00935F58" w:rsidRDefault="000A2FF4" w:rsidP="003477E8">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 xml:space="preserve">Opening Capital Base </w:t>
            </w:r>
          </w:p>
        </w:tc>
        <w:tc>
          <w:tcPr>
            <w:tcW w:w="1037" w:type="dxa"/>
            <w:tcBorders>
              <w:top w:val="single" w:sz="4" w:space="0" w:color="548DD4" w:themeColor="text2" w:themeTint="99"/>
            </w:tcBorders>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34.6</w:t>
            </w:r>
          </w:p>
        </w:tc>
        <w:tc>
          <w:tcPr>
            <w:tcW w:w="1037" w:type="dxa"/>
            <w:tcBorders>
              <w:top w:val="single" w:sz="4" w:space="0" w:color="548DD4" w:themeColor="text2" w:themeTint="99"/>
            </w:tcBorders>
            <w:vAlign w:val="center"/>
          </w:tcPr>
          <w:p w:rsidR="000A2FF4" w:rsidRPr="00935F58" w:rsidRDefault="00A24784" w:rsidP="003477E8">
            <w:pPr>
              <w:spacing w:before="60" w:after="60" w:line="240" w:lineRule="auto"/>
              <w:jc w:val="center"/>
              <w:rPr>
                <w:rFonts w:ascii="Arial Narrow" w:hAnsi="Arial Narrow"/>
                <w:sz w:val="24"/>
                <w:szCs w:val="24"/>
              </w:rPr>
            </w:pPr>
            <w:r>
              <w:rPr>
                <w:rFonts w:ascii="Arial Narrow" w:hAnsi="Arial Narrow"/>
                <w:sz w:val="24"/>
                <w:szCs w:val="24"/>
              </w:rPr>
              <w:t>35.3</w:t>
            </w:r>
          </w:p>
        </w:tc>
        <w:tc>
          <w:tcPr>
            <w:tcW w:w="1037" w:type="dxa"/>
            <w:tcBorders>
              <w:top w:val="single" w:sz="4" w:space="0" w:color="548DD4" w:themeColor="text2" w:themeTint="99"/>
            </w:tcBorders>
            <w:vAlign w:val="center"/>
          </w:tcPr>
          <w:p w:rsidR="000A2FF4" w:rsidRPr="00935F58" w:rsidRDefault="00A24784" w:rsidP="003477E8">
            <w:pPr>
              <w:spacing w:before="60" w:after="60" w:line="240" w:lineRule="auto"/>
              <w:jc w:val="center"/>
              <w:rPr>
                <w:rFonts w:ascii="Arial Narrow" w:hAnsi="Arial Narrow"/>
                <w:sz w:val="24"/>
                <w:szCs w:val="24"/>
              </w:rPr>
            </w:pPr>
            <w:r>
              <w:rPr>
                <w:rFonts w:ascii="Arial Narrow" w:hAnsi="Arial Narrow"/>
                <w:sz w:val="24"/>
                <w:szCs w:val="24"/>
              </w:rPr>
              <w:t>36.2</w:t>
            </w:r>
          </w:p>
        </w:tc>
        <w:tc>
          <w:tcPr>
            <w:tcW w:w="1037" w:type="dxa"/>
            <w:tcBorders>
              <w:top w:val="single" w:sz="4" w:space="0" w:color="548DD4" w:themeColor="text2" w:themeTint="99"/>
            </w:tcBorders>
            <w:vAlign w:val="center"/>
          </w:tcPr>
          <w:p w:rsidR="000A2FF4" w:rsidRPr="00935F58" w:rsidRDefault="00A24784" w:rsidP="003477E8">
            <w:pPr>
              <w:spacing w:before="60" w:after="60" w:line="240" w:lineRule="auto"/>
              <w:jc w:val="center"/>
              <w:rPr>
                <w:rFonts w:ascii="Arial Narrow" w:hAnsi="Arial Narrow"/>
                <w:sz w:val="24"/>
                <w:szCs w:val="24"/>
              </w:rPr>
            </w:pPr>
            <w:r>
              <w:rPr>
                <w:rFonts w:ascii="Arial Narrow" w:hAnsi="Arial Narrow"/>
                <w:sz w:val="24"/>
                <w:szCs w:val="24"/>
              </w:rPr>
              <w:t>36.9</w:t>
            </w:r>
          </w:p>
        </w:tc>
        <w:tc>
          <w:tcPr>
            <w:tcW w:w="1037" w:type="dxa"/>
            <w:tcBorders>
              <w:top w:val="single" w:sz="4" w:space="0" w:color="548DD4" w:themeColor="text2" w:themeTint="99"/>
            </w:tcBorders>
            <w:vAlign w:val="center"/>
          </w:tcPr>
          <w:p w:rsidR="000A2FF4" w:rsidRPr="00935F58" w:rsidRDefault="00A24784" w:rsidP="003477E8">
            <w:pPr>
              <w:spacing w:before="60" w:after="60" w:line="240" w:lineRule="auto"/>
              <w:jc w:val="center"/>
              <w:rPr>
                <w:rFonts w:ascii="Arial Narrow" w:hAnsi="Arial Narrow"/>
                <w:sz w:val="24"/>
                <w:szCs w:val="24"/>
              </w:rPr>
            </w:pPr>
            <w:r>
              <w:rPr>
                <w:rFonts w:ascii="Arial Narrow" w:hAnsi="Arial Narrow"/>
                <w:sz w:val="24"/>
                <w:szCs w:val="24"/>
              </w:rPr>
              <w:t>37.3</w:t>
            </w:r>
          </w:p>
        </w:tc>
      </w:tr>
      <w:tr w:rsidR="000A2FF4" w:rsidRPr="00935F58" w:rsidTr="000A2FF4">
        <w:tc>
          <w:tcPr>
            <w:tcW w:w="3628" w:type="dxa"/>
          </w:tcPr>
          <w:p w:rsidR="000A2FF4" w:rsidRPr="00935F58" w:rsidRDefault="000A2FF4" w:rsidP="003477E8">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Plus Conforming Capital Expenditure</w:t>
            </w:r>
          </w:p>
        </w:tc>
        <w:tc>
          <w:tcPr>
            <w:tcW w:w="1037" w:type="dxa"/>
            <w:vAlign w:val="center"/>
          </w:tcPr>
          <w:p w:rsidR="000A2FF4" w:rsidRPr="00935F58" w:rsidRDefault="00A24784" w:rsidP="003477E8">
            <w:pPr>
              <w:spacing w:before="60" w:after="60" w:line="240" w:lineRule="auto"/>
              <w:jc w:val="center"/>
              <w:rPr>
                <w:rFonts w:ascii="Arial Narrow" w:hAnsi="Arial Narrow"/>
                <w:sz w:val="24"/>
                <w:szCs w:val="24"/>
              </w:rPr>
            </w:pPr>
            <w:r>
              <w:rPr>
                <w:rFonts w:ascii="Arial Narrow" w:hAnsi="Arial Narrow"/>
                <w:sz w:val="24"/>
                <w:szCs w:val="24"/>
              </w:rPr>
              <w:t>1.3</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1.6</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1.4</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1.3</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2.0</w:t>
            </w:r>
          </w:p>
        </w:tc>
      </w:tr>
      <w:tr w:rsidR="000A2FF4" w:rsidRPr="00935F58" w:rsidTr="000A2FF4">
        <w:tc>
          <w:tcPr>
            <w:tcW w:w="3628" w:type="dxa"/>
          </w:tcPr>
          <w:p w:rsidR="000A2FF4" w:rsidRPr="00935F58" w:rsidRDefault="000A2FF4" w:rsidP="003477E8">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 xml:space="preserve">Less Depreciation </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1.4</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1.5</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1.7</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1.8</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1.9</w:t>
            </w:r>
          </w:p>
        </w:tc>
      </w:tr>
      <w:tr w:rsidR="000A2FF4" w:rsidRPr="00935F58" w:rsidTr="000A2FF4">
        <w:tc>
          <w:tcPr>
            <w:tcW w:w="3628" w:type="dxa"/>
          </w:tcPr>
          <w:p w:rsidR="000A2FF4" w:rsidRPr="00935F58" w:rsidRDefault="000A2FF4" w:rsidP="003477E8">
            <w:pPr>
              <w:spacing w:before="60" w:after="60" w:line="240" w:lineRule="auto"/>
              <w:jc w:val="both"/>
              <w:rPr>
                <w:rFonts w:ascii="Arial Narrow" w:hAnsi="Arial Narrow" w:cs="ArialMT"/>
                <w:sz w:val="24"/>
                <w:szCs w:val="24"/>
                <w:lang w:val="en-US" w:eastAsia="en-AU"/>
              </w:rPr>
            </w:pPr>
            <w:r w:rsidRPr="00935F58">
              <w:rPr>
                <w:rFonts w:ascii="Arial Narrow" w:hAnsi="Arial Narrow" w:cs="ArialMT"/>
                <w:sz w:val="24"/>
                <w:szCs w:val="24"/>
                <w:lang w:val="en-US" w:eastAsia="en-AU"/>
              </w:rPr>
              <w:t>Inflation Adjustment</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0.9</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0.9</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0.9</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0.9</w:t>
            </w:r>
          </w:p>
        </w:tc>
        <w:tc>
          <w:tcPr>
            <w:tcW w:w="1037" w:type="dxa"/>
            <w:vAlign w:val="center"/>
          </w:tcPr>
          <w:p w:rsidR="000A2FF4" w:rsidRPr="00935F58" w:rsidRDefault="000A2FF4" w:rsidP="003477E8">
            <w:pPr>
              <w:spacing w:before="60" w:after="60" w:line="240" w:lineRule="auto"/>
              <w:jc w:val="center"/>
              <w:rPr>
                <w:rFonts w:ascii="Arial Narrow" w:hAnsi="Arial Narrow"/>
                <w:sz w:val="24"/>
                <w:szCs w:val="24"/>
              </w:rPr>
            </w:pPr>
            <w:r w:rsidRPr="00935F58">
              <w:rPr>
                <w:rFonts w:ascii="Arial Narrow" w:hAnsi="Arial Narrow"/>
                <w:sz w:val="24"/>
                <w:szCs w:val="24"/>
              </w:rPr>
              <w:t>0.9</w:t>
            </w:r>
          </w:p>
        </w:tc>
      </w:tr>
      <w:tr w:rsidR="000A2FF4" w:rsidRPr="00935F58" w:rsidTr="000A2FF4">
        <w:tc>
          <w:tcPr>
            <w:tcW w:w="3628" w:type="dxa"/>
          </w:tcPr>
          <w:p w:rsidR="000A2FF4" w:rsidRPr="00935F58" w:rsidRDefault="000A2FF4" w:rsidP="003477E8">
            <w:pPr>
              <w:spacing w:before="60" w:after="60" w:line="240" w:lineRule="auto"/>
              <w:jc w:val="both"/>
              <w:rPr>
                <w:rFonts w:ascii="Arial Narrow" w:hAnsi="Arial Narrow" w:cs="ArialMT"/>
                <w:b/>
                <w:sz w:val="24"/>
                <w:szCs w:val="24"/>
                <w:lang w:val="en-US" w:eastAsia="en-AU"/>
              </w:rPr>
            </w:pPr>
            <w:r w:rsidRPr="00935F58">
              <w:rPr>
                <w:rFonts w:ascii="Arial Narrow" w:hAnsi="Arial Narrow" w:cs="ArialMT"/>
                <w:b/>
                <w:sz w:val="24"/>
                <w:szCs w:val="24"/>
                <w:lang w:val="en-US" w:eastAsia="en-AU"/>
              </w:rPr>
              <w:t>Closing Value</w:t>
            </w:r>
          </w:p>
        </w:tc>
        <w:tc>
          <w:tcPr>
            <w:tcW w:w="1037" w:type="dxa"/>
            <w:vAlign w:val="center"/>
          </w:tcPr>
          <w:p w:rsidR="000A2FF4" w:rsidRPr="00935F58" w:rsidRDefault="00A24784" w:rsidP="003477E8">
            <w:pPr>
              <w:spacing w:before="60" w:after="60" w:line="240" w:lineRule="auto"/>
              <w:jc w:val="center"/>
              <w:rPr>
                <w:rFonts w:ascii="Arial Narrow" w:hAnsi="Arial Narrow"/>
                <w:b/>
                <w:sz w:val="24"/>
                <w:szCs w:val="24"/>
              </w:rPr>
            </w:pPr>
            <w:r>
              <w:rPr>
                <w:rFonts w:ascii="Arial Narrow" w:hAnsi="Arial Narrow"/>
                <w:b/>
                <w:sz w:val="24"/>
                <w:szCs w:val="24"/>
              </w:rPr>
              <w:t>35.3</w:t>
            </w:r>
          </w:p>
        </w:tc>
        <w:tc>
          <w:tcPr>
            <w:tcW w:w="1037" w:type="dxa"/>
            <w:vAlign w:val="center"/>
          </w:tcPr>
          <w:p w:rsidR="000A2FF4" w:rsidRPr="00935F58" w:rsidRDefault="00A24784" w:rsidP="003477E8">
            <w:pPr>
              <w:spacing w:before="60" w:after="60" w:line="240" w:lineRule="auto"/>
              <w:jc w:val="center"/>
              <w:rPr>
                <w:rFonts w:ascii="Arial Narrow" w:hAnsi="Arial Narrow"/>
                <w:b/>
                <w:sz w:val="24"/>
                <w:szCs w:val="24"/>
              </w:rPr>
            </w:pPr>
            <w:r>
              <w:rPr>
                <w:rFonts w:ascii="Arial Narrow" w:hAnsi="Arial Narrow"/>
                <w:b/>
                <w:sz w:val="24"/>
                <w:szCs w:val="24"/>
              </w:rPr>
              <w:t>36.2</w:t>
            </w:r>
          </w:p>
        </w:tc>
        <w:tc>
          <w:tcPr>
            <w:tcW w:w="1037" w:type="dxa"/>
            <w:vAlign w:val="center"/>
          </w:tcPr>
          <w:p w:rsidR="000A2FF4" w:rsidRPr="00935F58" w:rsidRDefault="00A24784" w:rsidP="003477E8">
            <w:pPr>
              <w:spacing w:before="60" w:after="60" w:line="240" w:lineRule="auto"/>
              <w:jc w:val="center"/>
              <w:rPr>
                <w:rFonts w:ascii="Arial Narrow" w:hAnsi="Arial Narrow"/>
                <w:b/>
                <w:sz w:val="24"/>
                <w:szCs w:val="24"/>
              </w:rPr>
            </w:pPr>
            <w:r>
              <w:rPr>
                <w:rFonts w:ascii="Arial Narrow" w:hAnsi="Arial Narrow"/>
                <w:b/>
                <w:sz w:val="24"/>
                <w:szCs w:val="24"/>
              </w:rPr>
              <w:t>36.9</w:t>
            </w:r>
          </w:p>
        </w:tc>
        <w:tc>
          <w:tcPr>
            <w:tcW w:w="1037" w:type="dxa"/>
            <w:vAlign w:val="center"/>
          </w:tcPr>
          <w:p w:rsidR="000A2FF4" w:rsidRPr="00935F58" w:rsidRDefault="00A24784" w:rsidP="003477E8">
            <w:pPr>
              <w:spacing w:before="60" w:after="60" w:line="240" w:lineRule="auto"/>
              <w:jc w:val="center"/>
              <w:rPr>
                <w:rFonts w:ascii="Arial Narrow" w:hAnsi="Arial Narrow"/>
                <w:b/>
                <w:sz w:val="24"/>
                <w:szCs w:val="24"/>
              </w:rPr>
            </w:pPr>
            <w:r>
              <w:rPr>
                <w:rFonts w:ascii="Arial Narrow" w:hAnsi="Arial Narrow"/>
                <w:b/>
                <w:sz w:val="24"/>
                <w:szCs w:val="24"/>
              </w:rPr>
              <w:t>37.3</w:t>
            </w:r>
          </w:p>
        </w:tc>
        <w:tc>
          <w:tcPr>
            <w:tcW w:w="1037" w:type="dxa"/>
            <w:vAlign w:val="center"/>
          </w:tcPr>
          <w:p w:rsidR="000A2FF4" w:rsidRPr="00935F58" w:rsidRDefault="00A24784" w:rsidP="003477E8">
            <w:pPr>
              <w:spacing w:before="60" w:after="60" w:line="240" w:lineRule="auto"/>
              <w:jc w:val="center"/>
              <w:rPr>
                <w:rFonts w:ascii="Arial Narrow" w:hAnsi="Arial Narrow"/>
                <w:b/>
                <w:sz w:val="24"/>
                <w:szCs w:val="24"/>
              </w:rPr>
            </w:pPr>
            <w:r>
              <w:rPr>
                <w:rFonts w:ascii="Arial Narrow" w:hAnsi="Arial Narrow"/>
                <w:b/>
                <w:sz w:val="24"/>
                <w:szCs w:val="24"/>
              </w:rPr>
              <w:t>38.3</w:t>
            </w:r>
          </w:p>
        </w:tc>
      </w:tr>
    </w:tbl>
    <w:p w:rsidR="00901DED" w:rsidRPr="00935F58" w:rsidRDefault="00901DED" w:rsidP="00935F58">
      <w:pPr>
        <w:spacing w:after="0" w:line="240" w:lineRule="auto"/>
        <w:jc w:val="both"/>
        <w:rPr>
          <w:rFonts w:ascii="Arial Narrow" w:hAnsi="Arial Narrow"/>
          <w:sz w:val="24"/>
          <w:szCs w:val="24"/>
          <w:lang w:val="en-US"/>
        </w:rPr>
      </w:pPr>
    </w:p>
    <w:p w:rsidR="00461CCF" w:rsidRPr="00935F58" w:rsidRDefault="00461CCF" w:rsidP="007139D9">
      <w:pPr>
        <w:tabs>
          <w:tab w:val="left" w:pos="567"/>
        </w:tabs>
        <w:spacing w:after="0" w:line="240" w:lineRule="auto"/>
        <w:ind w:left="567" w:hanging="567"/>
        <w:rPr>
          <w:rFonts w:ascii="Arial Narrow" w:hAnsi="Arial Narrow" w:cs="Arial Narrow"/>
          <w:b/>
          <w:bCs/>
          <w:color w:val="17365D" w:themeColor="text2" w:themeShade="BF"/>
          <w:sz w:val="24"/>
          <w:szCs w:val="24"/>
          <w:lang w:val="en-US"/>
        </w:rPr>
      </w:pPr>
      <w:r w:rsidRPr="00935F58">
        <w:rPr>
          <w:rFonts w:ascii="Arial Narrow" w:hAnsi="Arial Narrow" w:cs="Arial Narrow"/>
          <w:b/>
          <w:bCs/>
          <w:color w:val="17365D" w:themeColor="text2" w:themeShade="BF"/>
          <w:sz w:val="24"/>
          <w:szCs w:val="24"/>
          <w:lang w:val="en-US"/>
        </w:rPr>
        <w:t>3</w:t>
      </w:r>
      <w:r w:rsidR="007139D9">
        <w:rPr>
          <w:rFonts w:ascii="Arial Narrow" w:hAnsi="Arial Narrow" w:cs="Arial Narrow"/>
          <w:b/>
          <w:bCs/>
          <w:color w:val="17365D" w:themeColor="text2" w:themeShade="BF"/>
          <w:sz w:val="24"/>
          <w:szCs w:val="24"/>
          <w:lang w:val="en-US"/>
        </w:rPr>
        <w:t>.</w:t>
      </w:r>
      <w:r w:rsidRPr="00935F58">
        <w:rPr>
          <w:rFonts w:ascii="Arial Narrow" w:hAnsi="Arial Narrow" w:cs="Arial Narrow"/>
          <w:b/>
          <w:bCs/>
          <w:color w:val="17365D" w:themeColor="text2" w:themeShade="BF"/>
          <w:sz w:val="24"/>
          <w:szCs w:val="24"/>
          <w:lang w:val="en-US"/>
        </w:rPr>
        <w:tab/>
      </w:r>
      <w:r w:rsidR="0076267E" w:rsidRPr="00935F58">
        <w:rPr>
          <w:rFonts w:ascii="Arial Narrow" w:hAnsi="Arial Narrow" w:cs="Arial Narrow"/>
          <w:b/>
          <w:bCs/>
          <w:color w:val="17365D" w:themeColor="text2" w:themeShade="BF"/>
          <w:sz w:val="24"/>
          <w:szCs w:val="24"/>
          <w:lang w:val="en-US"/>
        </w:rPr>
        <w:t xml:space="preserve">Opening </w:t>
      </w:r>
      <w:r w:rsidR="00DB091D" w:rsidRPr="00935F58">
        <w:rPr>
          <w:rFonts w:ascii="Arial Narrow" w:hAnsi="Arial Narrow" w:cs="Arial Narrow"/>
          <w:b/>
          <w:bCs/>
          <w:color w:val="17365D" w:themeColor="text2" w:themeShade="BF"/>
          <w:sz w:val="24"/>
          <w:szCs w:val="24"/>
          <w:lang w:val="en-US"/>
        </w:rPr>
        <w:t xml:space="preserve">Asset </w:t>
      </w:r>
      <w:r w:rsidR="0076267E" w:rsidRPr="00935F58">
        <w:rPr>
          <w:rFonts w:ascii="Arial Narrow" w:hAnsi="Arial Narrow" w:cs="Arial Narrow"/>
          <w:b/>
          <w:bCs/>
          <w:color w:val="17365D" w:themeColor="text2" w:themeShade="BF"/>
          <w:sz w:val="24"/>
          <w:szCs w:val="24"/>
          <w:lang w:val="en-US"/>
        </w:rPr>
        <w:t>Base as at 1 January 2018</w:t>
      </w:r>
    </w:p>
    <w:p w:rsidR="00901DED" w:rsidRPr="00935F58" w:rsidRDefault="00901DED" w:rsidP="00935F58">
      <w:pPr>
        <w:spacing w:after="0" w:line="240" w:lineRule="auto"/>
        <w:jc w:val="both"/>
        <w:rPr>
          <w:rFonts w:ascii="Arial Narrow" w:hAnsi="Arial Narrow" w:cs="Arial Narrow"/>
          <w:sz w:val="24"/>
          <w:szCs w:val="24"/>
          <w:lang w:val="en-US"/>
        </w:rPr>
      </w:pPr>
    </w:p>
    <w:p w:rsidR="007D4BEE" w:rsidRPr="00935F58" w:rsidRDefault="00DB091D"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Rule 90(2)</w:t>
      </w:r>
      <w:r w:rsidR="00D227CB" w:rsidRPr="00935F58">
        <w:rPr>
          <w:rFonts w:ascii="Arial Narrow" w:hAnsi="Arial Narrow"/>
          <w:sz w:val="24"/>
          <w:szCs w:val="24"/>
          <w:lang w:val="en-GB"/>
        </w:rPr>
        <w:t xml:space="preserve"> requires Envestra to nominate a depreciation approach to be used to establish the opening capital base for the next access arrangement period, in this case the 1 January 2018 opening asset base. Envestra nominated in its submission of 30 March 2012 </w:t>
      </w:r>
      <w:r w:rsidRPr="00935F58">
        <w:rPr>
          <w:rFonts w:ascii="Arial Narrow" w:hAnsi="Arial Narrow"/>
          <w:sz w:val="24"/>
          <w:szCs w:val="24"/>
          <w:lang w:val="en-GB"/>
        </w:rPr>
        <w:t>that actual depreciation be used</w:t>
      </w:r>
      <w:r w:rsidR="00D227CB" w:rsidRPr="00935F58">
        <w:rPr>
          <w:rFonts w:ascii="Arial Narrow" w:hAnsi="Arial Narrow"/>
          <w:sz w:val="24"/>
          <w:szCs w:val="24"/>
          <w:lang w:val="en-GB"/>
        </w:rPr>
        <w:t>.  In its draft decision the AER rejected Envestra’s proposal to use actual depreciation in favour of fo</w:t>
      </w:r>
      <w:r w:rsidR="0075295A" w:rsidRPr="00935F58">
        <w:rPr>
          <w:rFonts w:ascii="Arial Narrow" w:hAnsi="Arial Narrow"/>
          <w:sz w:val="24"/>
          <w:szCs w:val="24"/>
          <w:lang w:val="en-GB"/>
        </w:rPr>
        <w:t>recast depreci</w:t>
      </w:r>
      <w:r w:rsidR="007D4BEE" w:rsidRPr="00935F58">
        <w:rPr>
          <w:rFonts w:ascii="Arial Narrow" w:hAnsi="Arial Narrow"/>
          <w:sz w:val="24"/>
          <w:szCs w:val="24"/>
          <w:lang w:val="en-GB"/>
        </w:rPr>
        <w:t>ation largely on the basis that:</w:t>
      </w:r>
    </w:p>
    <w:p w:rsidR="007D4BEE" w:rsidRPr="00935F58" w:rsidRDefault="007D4BEE" w:rsidP="00935F58">
      <w:pPr>
        <w:spacing w:after="0" w:line="240" w:lineRule="auto"/>
        <w:jc w:val="both"/>
        <w:rPr>
          <w:rFonts w:ascii="Arial Narrow" w:hAnsi="Arial Narrow"/>
          <w:sz w:val="24"/>
          <w:szCs w:val="24"/>
          <w:lang w:val="en-GB"/>
        </w:rPr>
      </w:pPr>
    </w:p>
    <w:p w:rsidR="007D4BEE" w:rsidRPr="00935F58" w:rsidRDefault="007D4BEE" w:rsidP="00935F58">
      <w:pPr>
        <w:pStyle w:val="ListParagraph"/>
        <w:numPr>
          <w:ilvl w:val="0"/>
          <w:numId w:val="36"/>
        </w:numPr>
        <w:spacing w:after="0" w:line="240" w:lineRule="auto"/>
        <w:jc w:val="both"/>
        <w:rPr>
          <w:rFonts w:ascii="Arial Narrow" w:hAnsi="Arial Narrow"/>
          <w:sz w:val="24"/>
          <w:szCs w:val="24"/>
          <w:lang w:val="en-GB"/>
        </w:rPr>
      </w:pPr>
      <w:r w:rsidRPr="00935F58">
        <w:rPr>
          <w:rFonts w:ascii="Arial Narrow" w:hAnsi="Arial Narrow"/>
          <w:sz w:val="24"/>
          <w:szCs w:val="24"/>
          <w:lang w:val="en-GB"/>
        </w:rPr>
        <w:t xml:space="preserve">gas distribution networks differ from electricity networks; and </w:t>
      </w:r>
    </w:p>
    <w:p w:rsidR="007D4BEE" w:rsidRPr="00935F58" w:rsidRDefault="0075295A" w:rsidP="00935F58">
      <w:pPr>
        <w:pStyle w:val="ListParagraph"/>
        <w:numPr>
          <w:ilvl w:val="0"/>
          <w:numId w:val="36"/>
        </w:numPr>
        <w:spacing w:after="0" w:line="240" w:lineRule="auto"/>
        <w:jc w:val="both"/>
        <w:rPr>
          <w:rFonts w:ascii="Arial Narrow" w:hAnsi="Arial Narrow"/>
          <w:sz w:val="24"/>
          <w:szCs w:val="24"/>
          <w:lang w:val="en-GB"/>
        </w:rPr>
      </w:pPr>
      <w:r w:rsidRPr="00935F58">
        <w:rPr>
          <w:rFonts w:ascii="Arial Narrow" w:hAnsi="Arial Narrow"/>
          <w:sz w:val="24"/>
          <w:szCs w:val="24"/>
          <w:lang w:val="en-GB"/>
        </w:rPr>
        <w:t xml:space="preserve">actual depreciation would provide Envestra with a perverse incentive to defer efficient capital expenditure. </w:t>
      </w:r>
    </w:p>
    <w:p w:rsidR="007D4BEE" w:rsidRPr="00935F58" w:rsidRDefault="007D4BEE" w:rsidP="00935F58">
      <w:pPr>
        <w:spacing w:after="0" w:line="240" w:lineRule="auto"/>
        <w:jc w:val="both"/>
        <w:rPr>
          <w:rFonts w:ascii="Arial Narrow" w:hAnsi="Arial Narrow"/>
          <w:sz w:val="24"/>
          <w:szCs w:val="24"/>
          <w:lang w:val="en-GB"/>
        </w:rPr>
      </w:pPr>
    </w:p>
    <w:p w:rsidR="00C025F3" w:rsidRPr="00935F58" w:rsidRDefault="00DE7D70"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The use of actual depreciation</w:t>
      </w:r>
      <w:r w:rsidR="00744523" w:rsidRPr="00935F58">
        <w:rPr>
          <w:rFonts w:ascii="Arial Narrow" w:hAnsi="Arial Narrow"/>
          <w:sz w:val="24"/>
          <w:szCs w:val="24"/>
          <w:lang w:val="en-GB"/>
        </w:rPr>
        <w:t xml:space="preserve"> compared to forecast depreciation</w:t>
      </w:r>
      <w:r w:rsidRPr="00935F58">
        <w:rPr>
          <w:rFonts w:ascii="Arial Narrow" w:hAnsi="Arial Narrow"/>
          <w:sz w:val="24"/>
          <w:szCs w:val="24"/>
          <w:lang w:val="en-GB"/>
        </w:rPr>
        <w:t xml:space="preserve"> when establishing opening capital bases</w:t>
      </w:r>
      <w:r w:rsidR="00744523" w:rsidRPr="00935F58">
        <w:rPr>
          <w:rFonts w:ascii="Arial Narrow" w:hAnsi="Arial Narrow"/>
          <w:sz w:val="24"/>
          <w:szCs w:val="24"/>
          <w:lang w:val="en-GB"/>
        </w:rPr>
        <w:t xml:space="preserve"> provides a capital efficiency incentive. </w:t>
      </w:r>
      <w:r w:rsidR="00C025F3" w:rsidRPr="00935F58">
        <w:rPr>
          <w:rFonts w:ascii="Arial Narrow" w:hAnsi="Arial Narrow"/>
          <w:sz w:val="24"/>
          <w:szCs w:val="24"/>
          <w:lang w:val="en-GB"/>
        </w:rPr>
        <w:t xml:space="preserve">This is because a distributor </w:t>
      </w:r>
      <w:r w:rsidR="00744523" w:rsidRPr="00935F58">
        <w:rPr>
          <w:rFonts w:ascii="Arial Narrow" w:hAnsi="Arial Narrow"/>
          <w:sz w:val="24"/>
          <w:szCs w:val="24"/>
          <w:lang w:val="en-GB"/>
        </w:rPr>
        <w:t xml:space="preserve">would </w:t>
      </w:r>
      <w:r w:rsidRPr="00935F58">
        <w:rPr>
          <w:rFonts w:ascii="Arial Narrow" w:hAnsi="Arial Narrow"/>
          <w:sz w:val="24"/>
          <w:szCs w:val="24"/>
          <w:lang w:val="en-GB"/>
        </w:rPr>
        <w:t xml:space="preserve">gain a benefit by applying actual depreciation </w:t>
      </w:r>
      <w:r w:rsidR="00C025F3" w:rsidRPr="00935F58">
        <w:rPr>
          <w:rFonts w:ascii="Arial Narrow" w:hAnsi="Arial Narrow"/>
          <w:sz w:val="24"/>
          <w:szCs w:val="24"/>
          <w:lang w:val="en-GB"/>
        </w:rPr>
        <w:t>where</w:t>
      </w:r>
      <w:r w:rsidRPr="00935F58">
        <w:rPr>
          <w:rFonts w:ascii="Arial Narrow" w:hAnsi="Arial Narrow"/>
          <w:sz w:val="24"/>
          <w:szCs w:val="24"/>
          <w:lang w:val="en-GB"/>
        </w:rPr>
        <w:t xml:space="preserve"> actual capital expenditure is less than the benchmarks set by the regulator. </w:t>
      </w:r>
      <w:r w:rsidR="00C025F3" w:rsidRPr="00935F58">
        <w:rPr>
          <w:rFonts w:ascii="Arial Narrow" w:hAnsi="Arial Narrow"/>
          <w:sz w:val="24"/>
          <w:szCs w:val="24"/>
          <w:lang w:val="en-GB"/>
        </w:rPr>
        <w:t>T</w:t>
      </w:r>
      <w:r w:rsidRPr="00935F58">
        <w:rPr>
          <w:rFonts w:ascii="Arial Narrow" w:hAnsi="Arial Narrow"/>
          <w:sz w:val="24"/>
          <w:szCs w:val="24"/>
          <w:lang w:val="en-GB"/>
        </w:rPr>
        <w:t xml:space="preserve">he </w:t>
      </w:r>
      <w:r w:rsidR="00C025F3" w:rsidRPr="00935F58">
        <w:rPr>
          <w:rFonts w:ascii="Arial Narrow" w:hAnsi="Arial Narrow"/>
          <w:sz w:val="24"/>
          <w:szCs w:val="24"/>
          <w:lang w:val="en-GB"/>
        </w:rPr>
        <w:t xml:space="preserve">incentive </w:t>
      </w:r>
      <w:r w:rsidRPr="00935F58">
        <w:rPr>
          <w:rFonts w:ascii="Arial Narrow" w:hAnsi="Arial Narrow"/>
          <w:sz w:val="24"/>
          <w:szCs w:val="24"/>
          <w:lang w:val="en-GB"/>
        </w:rPr>
        <w:t>is symmetrical</w:t>
      </w:r>
      <w:r w:rsidR="00C025F3" w:rsidRPr="00935F58">
        <w:rPr>
          <w:rFonts w:ascii="Arial Narrow" w:hAnsi="Arial Narrow"/>
          <w:sz w:val="24"/>
          <w:szCs w:val="24"/>
          <w:lang w:val="en-GB"/>
        </w:rPr>
        <w:t>, where a distributor w</w:t>
      </w:r>
      <w:r w:rsidRPr="00935F58">
        <w:rPr>
          <w:rFonts w:ascii="Arial Narrow" w:hAnsi="Arial Narrow"/>
          <w:sz w:val="24"/>
          <w:szCs w:val="24"/>
          <w:lang w:val="en-GB"/>
        </w:rPr>
        <w:t xml:space="preserve">ould incur a penalty by applying actual depreciation where actual expenditure is greater than the benchmarks. </w:t>
      </w:r>
    </w:p>
    <w:p w:rsidR="00C025F3" w:rsidRPr="00935F58" w:rsidRDefault="00C025F3" w:rsidP="00935F58">
      <w:pPr>
        <w:spacing w:after="0" w:line="240" w:lineRule="auto"/>
        <w:jc w:val="both"/>
        <w:rPr>
          <w:rFonts w:ascii="Arial Narrow" w:hAnsi="Arial Narrow"/>
          <w:sz w:val="24"/>
          <w:szCs w:val="24"/>
          <w:lang w:val="en-GB"/>
        </w:rPr>
      </w:pPr>
    </w:p>
    <w:p w:rsidR="00DE7D70" w:rsidRPr="00935F58" w:rsidRDefault="00744523" w:rsidP="00935F58">
      <w:pPr>
        <w:spacing w:after="0" w:line="240" w:lineRule="auto"/>
        <w:jc w:val="both"/>
        <w:rPr>
          <w:rFonts w:ascii="Arial Narrow" w:hAnsi="Arial Narrow" w:cs="Arial Narrow"/>
          <w:sz w:val="24"/>
          <w:szCs w:val="24"/>
          <w:lang w:val="en-US"/>
        </w:rPr>
      </w:pPr>
      <w:r w:rsidRPr="00935F58">
        <w:rPr>
          <w:rFonts w:ascii="Arial Narrow" w:hAnsi="Arial Narrow"/>
          <w:sz w:val="24"/>
          <w:szCs w:val="24"/>
          <w:lang w:val="en-GB"/>
        </w:rPr>
        <w:t>The</w:t>
      </w:r>
      <w:r w:rsidR="00A93BE7" w:rsidRPr="00935F58">
        <w:rPr>
          <w:rFonts w:ascii="Arial Narrow" w:hAnsi="Arial Narrow"/>
          <w:sz w:val="24"/>
          <w:szCs w:val="24"/>
          <w:lang w:val="en-GB"/>
        </w:rPr>
        <w:t xml:space="preserve"> AEMC discussed the relative power of actual depreciation as a capital incentive in its review int</w:t>
      </w:r>
      <w:r w:rsidR="006F1B7F" w:rsidRPr="00935F58">
        <w:rPr>
          <w:rFonts w:ascii="Arial Narrow" w:hAnsi="Arial Narrow"/>
          <w:sz w:val="24"/>
          <w:szCs w:val="24"/>
          <w:lang w:val="en-GB"/>
        </w:rPr>
        <w:t>o</w:t>
      </w:r>
      <w:r w:rsidR="00A93BE7" w:rsidRPr="00935F58">
        <w:rPr>
          <w:rFonts w:ascii="Arial Narrow" w:hAnsi="Arial Narrow"/>
          <w:sz w:val="24"/>
          <w:szCs w:val="24"/>
          <w:lang w:val="en-GB"/>
        </w:rPr>
        <w:t xml:space="preserve"> </w:t>
      </w:r>
      <w:r w:rsidR="006F1B7F" w:rsidRPr="00935F58">
        <w:rPr>
          <w:rFonts w:ascii="Arial Narrow" w:hAnsi="Arial Narrow"/>
          <w:sz w:val="24"/>
          <w:szCs w:val="24"/>
          <w:lang w:val="en-GB"/>
        </w:rPr>
        <w:t>the Economic Regulation of Network Service Providers</w:t>
      </w:r>
      <w:r w:rsidR="006F1B7F" w:rsidRPr="00935F58">
        <w:rPr>
          <w:rStyle w:val="FootnoteReference"/>
          <w:rFonts w:ascii="Arial Narrow" w:hAnsi="Arial Narrow"/>
          <w:sz w:val="24"/>
          <w:szCs w:val="24"/>
          <w:lang w:val="en-GB"/>
        </w:rPr>
        <w:footnoteReference w:id="1"/>
      </w:r>
      <w:r w:rsidR="006F1B7F" w:rsidRPr="00935F58">
        <w:rPr>
          <w:rFonts w:ascii="Arial Narrow" w:hAnsi="Arial Narrow"/>
          <w:sz w:val="24"/>
          <w:szCs w:val="24"/>
          <w:lang w:val="en-GB"/>
        </w:rPr>
        <w:t>.</w:t>
      </w:r>
    </w:p>
    <w:p w:rsidR="00DE7D70" w:rsidRPr="00935F58" w:rsidRDefault="00DE7D70" w:rsidP="00935F58">
      <w:pPr>
        <w:spacing w:after="0" w:line="240" w:lineRule="auto"/>
        <w:jc w:val="both"/>
        <w:rPr>
          <w:rFonts w:ascii="Arial Narrow" w:hAnsi="Arial Narrow"/>
          <w:sz w:val="24"/>
          <w:szCs w:val="24"/>
          <w:lang w:val="en-GB"/>
        </w:rPr>
      </w:pPr>
    </w:p>
    <w:p w:rsidR="00C025F3" w:rsidRPr="00935F58" w:rsidRDefault="00220BBE"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 xml:space="preserve">As with Envestra’s South Australian and Queensland reviews, the AER continues to make the </w:t>
      </w:r>
      <w:r w:rsidR="00C025F3" w:rsidRPr="00935F58">
        <w:rPr>
          <w:rFonts w:ascii="Arial Narrow" w:hAnsi="Arial Narrow"/>
          <w:sz w:val="24"/>
          <w:szCs w:val="24"/>
          <w:lang w:val="en-GB"/>
        </w:rPr>
        <w:t>incorrect</w:t>
      </w:r>
      <w:r w:rsidRPr="00935F58">
        <w:rPr>
          <w:rFonts w:ascii="Arial Narrow" w:hAnsi="Arial Narrow"/>
          <w:sz w:val="24"/>
          <w:szCs w:val="24"/>
          <w:lang w:val="en-GB"/>
        </w:rPr>
        <w:t xml:space="preserve"> assumption that the dynamics of </w:t>
      </w:r>
      <w:r w:rsidR="00B815F4" w:rsidRPr="00935F58">
        <w:rPr>
          <w:rFonts w:ascii="Arial Narrow" w:hAnsi="Arial Narrow"/>
          <w:sz w:val="24"/>
          <w:szCs w:val="24"/>
          <w:lang w:val="en-GB"/>
        </w:rPr>
        <w:t>gas</w:t>
      </w:r>
      <w:r w:rsidRPr="00935F58">
        <w:rPr>
          <w:rFonts w:ascii="Arial Narrow" w:hAnsi="Arial Narrow"/>
          <w:sz w:val="24"/>
          <w:szCs w:val="24"/>
          <w:lang w:val="en-GB"/>
        </w:rPr>
        <w:t xml:space="preserve"> and </w:t>
      </w:r>
      <w:r w:rsidR="00B815F4" w:rsidRPr="00935F58">
        <w:rPr>
          <w:rFonts w:ascii="Arial Narrow" w:hAnsi="Arial Narrow"/>
          <w:sz w:val="24"/>
          <w:szCs w:val="24"/>
          <w:lang w:val="en-GB"/>
        </w:rPr>
        <w:t>electricity</w:t>
      </w:r>
      <w:r w:rsidRPr="00935F58">
        <w:rPr>
          <w:rFonts w:ascii="Arial Narrow" w:hAnsi="Arial Narrow"/>
          <w:sz w:val="24"/>
          <w:szCs w:val="24"/>
          <w:lang w:val="en-GB"/>
        </w:rPr>
        <w:t xml:space="preserve"> </w:t>
      </w:r>
      <w:r w:rsidR="000741D7" w:rsidRPr="00935F58">
        <w:rPr>
          <w:rFonts w:ascii="Arial Narrow" w:hAnsi="Arial Narrow"/>
          <w:sz w:val="24"/>
          <w:szCs w:val="24"/>
          <w:lang w:val="en-GB"/>
        </w:rPr>
        <w:t>networks differ</w:t>
      </w:r>
      <w:r w:rsidR="00C025F3" w:rsidRPr="00935F58">
        <w:rPr>
          <w:rFonts w:ascii="Arial Narrow" w:hAnsi="Arial Narrow"/>
          <w:sz w:val="24"/>
          <w:szCs w:val="24"/>
          <w:lang w:val="en-GB"/>
        </w:rPr>
        <w:t xml:space="preserve">. The AER claims that </w:t>
      </w:r>
      <w:r w:rsidR="00B815F4" w:rsidRPr="00935F58">
        <w:rPr>
          <w:rFonts w:ascii="Arial Narrow" w:hAnsi="Arial Narrow"/>
          <w:sz w:val="24"/>
          <w:szCs w:val="24"/>
          <w:lang w:val="en-GB"/>
        </w:rPr>
        <w:t xml:space="preserve">a gas distributor has greater scope to defer </w:t>
      </w:r>
      <w:r w:rsidR="00CA7FF0" w:rsidRPr="00935F58">
        <w:rPr>
          <w:rFonts w:ascii="Arial Narrow" w:hAnsi="Arial Narrow"/>
          <w:sz w:val="24"/>
          <w:szCs w:val="24"/>
          <w:lang w:val="en-GB"/>
        </w:rPr>
        <w:t xml:space="preserve">replacement </w:t>
      </w:r>
      <w:r w:rsidR="00B815F4" w:rsidRPr="00935F58">
        <w:rPr>
          <w:rFonts w:ascii="Arial Narrow" w:hAnsi="Arial Narrow"/>
          <w:sz w:val="24"/>
          <w:szCs w:val="24"/>
          <w:lang w:val="en-GB"/>
        </w:rPr>
        <w:t>capital expendi</w:t>
      </w:r>
      <w:r w:rsidR="00CA7FF0" w:rsidRPr="00935F58">
        <w:rPr>
          <w:rFonts w:ascii="Arial Narrow" w:hAnsi="Arial Narrow"/>
          <w:sz w:val="24"/>
          <w:szCs w:val="24"/>
          <w:lang w:val="en-GB"/>
        </w:rPr>
        <w:t>ture as it does not result in significant interruptions to supply, unlike an electricity network where delays to replacement capital expenditure will cause total disruptions to services</w:t>
      </w:r>
      <w:r w:rsidR="00CA7FF0" w:rsidRPr="00935F58">
        <w:rPr>
          <w:rStyle w:val="FootnoteReference"/>
          <w:rFonts w:ascii="Arial Narrow" w:hAnsi="Arial Narrow"/>
          <w:sz w:val="24"/>
          <w:szCs w:val="24"/>
          <w:lang w:val="en-GB"/>
        </w:rPr>
        <w:footnoteReference w:id="2"/>
      </w:r>
      <w:r w:rsidR="00CA7FF0" w:rsidRPr="00935F58">
        <w:rPr>
          <w:rFonts w:ascii="Arial Narrow" w:hAnsi="Arial Narrow"/>
          <w:sz w:val="24"/>
          <w:szCs w:val="24"/>
          <w:lang w:val="en-GB"/>
        </w:rPr>
        <w:t xml:space="preserve">. </w:t>
      </w:r>
    </w:p>
    <w:p w:rsidR="00C025F3" w:rsidRPr="00935F58" w:rsidRDefault="00C025F3" w:rsidP="00935F58">
      <w:pPr>
        <w:spacing w:after="0" w:line="240" w:lineRule="auto"/>
        <w:jc w:val="both"/>
        <w:rPr>
          <w:rFonts w:ascii="Arial Narrow" w:hAnsi="Arial Narrow"/>
          <w:sz w:val="24"/>
          <w:szCs w:val="24"/>
          <w:lang w:val="en-GB"/>
        </w:rPr>
      </w:pPr>
    </w:p>
    <w:p w:rsidR="005D0D67" w:rsidRPr="00935F58" w:rsidRDefault="00C025F3"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Envestra submits that this is incorrect</w:t>
      </w:r>
      <w:r w:rsidR="005D0D67" w:rsidRPr="00935F58">
        <w:rPr>
          <w:rFonts w:ascii="Arial Narrow" w:hAnsi="Arial Narrow"/>
          <w:sz w:val="24"/>
          <w:szCs w:val="24"/>
          <w:lang w:val="en-GB"/>
        </w:rPr>
        <w:t>. Envestra has as much, if not more, of a requirement to repair assets when compared against an electricity distributor</w:t>
      </w:r>
      <w:r w:rsidRPr="00935F58">
        <w:rPr>
          <w:rFonts w:ascii="Arial Narrow" w:hAnsi="Arial Narrow"/>
          <w:sz w:val="24"/>
          <w:szCs w:val="24"/>
          <w:lang w:val="en-GB"/>
        </w:rPr>
        <w:t xml:space="preserve"> for the following reasons</w:t>
      </w:r>
      <w:r w:rsidR="005D0D67" w:rsidRPr="00935F58">
        <w:rPr>
          <w:rFonts w:ascii="Arial Narrow" w:hAnsi="Arial Narrow"/>
          <w:sz w:val="24"/>
          <w:szCs w:val="24"/>
          <w:lang w:val="en-GB"/>
        </w:rPr>
        <w:t>:</w:t>
      </w:r>
    </w:p>
    <w:p w:rsidR="005D0D67" w:rsidRPr="00935F58" w:rsidRDefault="005D0D67" w:rsidP="00935F58">
      <w:pPr>
        <w:spacing w:after="0" w:line="240" w:lineRule="auto"/>
        <w:jc w:val="both"/>
        <w:rPr>
          <w:rFonts w:ascii="Arial Narrow" w:hAnsi="Arial Narrow"/>
          <w:sz w:val="24"/>
          <w:szCs w:val="24"/>
          <w:lang w:val="en-GB"/>
        </w:rPr>
      </w:pPr>
    </w:p>
    <w:p w:rsidR="005D0D67" w:rsidRPr="00935F58" w:rsidRDefault="005D0D67" w:rsidP="00D77A48">
      <w:pPr>
        <w:pStyle w:val="ListParagraph"/>
        <w:numPr>
          <w:ilvl w:val="0"/>
          <w:numId w:val="33"/>
        </w:numPr>
        <w:tabs>
          <w:tab w:val="left" w:pos="426"/>
        </w:tabs>
        <w:spacing w:after="0" w:line="240" w:lineRule="auto"/>
        <w:ind w:left="426" w:hanging="426"/>
        <w:jc w:val="both"/>
        <w:rPr>
          <w:rFonts w:ascii="Arial Narrow" w:hAnsi="Arial Narrow"/>
          <w:sz w:val="24"/>
          <w:szCs w:val="24"/>
          <w:lang w:val="en-GB"/>
        </w:rPr>
      </w:pPr>
      <w:r w:rsidRPr="00935F58">
        <w:rPr>
          <w:rFonts w:ascii="Arial Narrow" w:hAnsi="Arial Narrow"/>
          <w:i/>
          <w:sz w:val="24"/>
          <w:szCs w:val="24"/>
          <w:lang w:val="en-GB"/>
        </w:rPr>
        <w:t>Safety</w:t>
      </w:r>
      <w:r w:rsidRPr="00935F58">
        <w:rPr>
          <w:rFonts w:ascii="Arial Narrow" w:hAnsi="Arial Narrow"/>
          <w:sz w:val="24"/>
          <w:szCs w:val="24"/>
          <w:lang w:val="en-GB"/>
        </w:rPr>
        <w:t xml:space="preserve"> – leaking gas has the potential to </w:t>
      </w:r>
      <w:r w:rsidR="00D2541C" w:rsidRPr="00935F58">
        <w:rPr>
          <w:rFonts w:ascii="Arial Narrow" w:hAnsi="Arial Narrow"/>
          <w:sz w:val="24"/>
          <w:szCs w:val="24"/>
          <w:lang w:val="en-GB"/>
        </w:rPr>
        <w:t>cause a</w:t>
      </w:r>
      <w:r w:rsidR="00C025F3" w:rsidRPr="00935F58">
        <w:rPr>
          <w:rFonts w:ascii="Arial Narrow" w:hAnsi="Arial Narrow"/>
          <w:sz w:val="24"/>
          <w:szCs w:val="24"/>
          <w:lang w:val="en-GB"/>
        </w:rPr>
        <w:t xml:space="preserve"> catastrophic event that could be fatal, which sa</w:t>
      </w:r>
      <w:r w:rsidR="00D2541C" w:rsidRPr="00935F58">
        <w:rPr>
          <w:rFonts w:ascii="Arial Narrow" w:hAnsi="Arial Narrow"/>
          <w:sz w:val="24"/>
          <w:szCs w:val="24"/>
          <w:lang w:val="en-GB"/>
        </w:rPr>
        <w:t>fety issue does not exist for an electricity distributor</w:t>
      </w:r>
      <w:r w:rsidRPr="00935F58">
        <w:rPr>
          <w:rFonts w:ascii="Arial Narrow" w:hAnsi="Arial Narrow"/>
          <w:sz w:val="24"/>
          <w:szCs w:val="24"/>
          <w:lang w:val="en-GB"/>
        </w:rPr>
        <w:t>;</w:t>
      </w:r>
    </w:p>
    <w:p w:rsidR="005D0D67" w:rsidRPr="00935F58" w:rsidRDefault="005D0D67" w:rsidP="001449A5">
      <w:pPr>
        <w:pStyle w:val="ListParagraph"/>
        <w:numPr>
          <w:ilvl w:val="0"/>
          <w:numId w:val="33"/>
        </w:numPr>
        <w:spacing w:after="0" w:line="240" w:lineRule="auto"/>
        <w:ind w:left="426" w:hanging="426"/>
        <w:jc w:val="both"/>
        <w:rPr>
          <w:rFonts w:ascii="Arial Narrow" w:hAnsi="Arial Narrow"/>
          <w:sz w:val="24"/>
          <w:szCs w:val="24"/>
          <w:lang w:val="en-GB"/>
        </w:rPr>
      </w:pPr>
      <w:r w:rsidRPr="00935F58">
        <w:rPr>
          <w:rFonts w:ascii="Arial Narrow" w:hAnsi="Arial Narrow"/>
          <w:i/>
          <w:sz w:val="24"/>
          <w:szCs w:val="24"/>
          <w:lang w:val="en-GB"/>
        </w:rPr>
        <w:lastRenderedPageBreak/>
        <w:t>Increased UAFG</w:t>
      </w:r>
      <w:r w:rsidRPr="00935F58">
        <w:rPr>
          <w:rFonts w:ascii="Arial Narrow" w:hAnsi="Arial Narrow"/>
          <w:sz w:val="24"/>
          <w:szCs w:val="24"/>
          <w:lang w:val="en-GB"/>
        </w:rPr>
        <w:t xml:space="preserve"> – Envestra is liable for any incre</w:t>
      </w:r>
      <w:r w:rsidR="00D2541C" w:rsidRPr="00935F58">
        <w:rPr>
          <w:rFonts w:ascii="Arial Narrow" w:hAnsi="Arial Narrow"/>
          <w:sz w:val="24"/>
          <w:szCs w:val="24"/>
          <w:lang w:val="en-GB"/>
        </w:rPr>
        <w:t xml:space="preserve">ase in UAFG above the benchmark </w:t>
      </w:r>
      <w:r w:rsidR="00C025F3" w:rsidRPr="00935F58">
        <w:rPr>
          <w:rFonts w:ascii="Arial Narrow" w:hAnsi="Arial Narrow"/>
          <w:sz w:val="24"/>
          <w:szCs w:val="24"/>
          <w:lang w:val="en-GB"/>
        </w:rPr>
        <w:t>(</w:t>
      </w:r>
      <w:r w:rsidR="00D2541C" w:rsidRPr="00935F58">
        <w:rPr>
          <w:rFonts w:ascii="Arial Narrow" w:hAnsi="Arial Narrow"/>
          <w:sz w:val="24"/>
          <w:szCs w:val="24"/>
          <w:lang w:val="en-GB"/>
        </w:rPr>
        <w:t>i</w:t>
      </w:r>
      <w:r w:rsidR="00C025F3" w:rsidRPr="00935F58">
        <w:rPr>
          <w:rFonts w:ascii="Arial Narrow" w:hAnsi="Arial Narrow"/>
          <w:sz w:val="24"/>
          <w:szCs w:val="24"/>
          <w:lang w:val="en-GB"/>
        </w:rPr>
        <w:t>.</w:t>
      </w:r>
      <w:r w:rsidR="00D2541C" w:rsidRPr="00935F58">
        <w:rPr>
          <w:rFonts w:ascii="Arial Narrow" w:hAnsi="Arial Narrow"/>
          <w:sz w:val="24"/>
          <w:szCs w:val="24"/>
          <w:lang w:val="en-GB"/>
        </w:rPr>
        <w:t>e</w:t>
      </w:r>
      <w:r w:rsidR="00C025F3" w:rsidRPr="00935F58">
        <w:rPr>
          <w:rFonts w:ascii="Arial Narrow" w:hAnsi="Arial Narrow"/>
          <w:sz w:val="24"/>
          <w:szCs w:val="24"/>
          <w:lang w:val="en-GB"/>
        </w:rPr>
        <w:t>.</w:t>
      </w:r>
      <w:r w:rsidR="00D2541C" w:rsidRPr="00935F58">
        <w:rPr>
          <w:rFonts w:ascii="Arial Narrow" w:hAnsi="Arial Narrow"/>
          <w:sz w:val="24"/>
          <w:szCs w:val="24"/>
          <w:lang w:val="en-GB"/>
        </w:rPr>
        <w:t xml:space="preserve"> operating expenditure is higher than what it otherwise should be</w:t>
      </w:r>
      <w:r w:rsidR="00C025F3" w:rsidRPr="00935F58">
        <w:rPr>
          <w:rFonts w:ascii="Arial Narrow" w:hAnsi="Arial Narrow"/>
          <w:sz w:val="24"/>
          <w:szCs w:val="24"/>
          <w:lang w:val="en-GB"/>
        </w:rPr>
        <w:t>)</w:t>
      </w:r>
      <w:r w:rsidR="00D2541C" w:rsidRPr="00935F58">
        <w:rPr>
          <w:rFonts w:ascii="Arial Narrow" w:hAnsi="Arial Narrow"/>
          <w:sz w:val="24"/>
          <w:szCs w:val="24"/>
          <w:lang w:val="en-GB"/>
        </w:rPr>
        <w:t xml:space="preserve">. An electricity distributor on the other hand </w:t>
      </w:r>
      <w:r w:rsidRPr="00935F58">
        <w:rPr>
          <w:rFonts w:ascii="Arial Narrow" w:hAnsi="Arial Narrow"/>
          <w:sz w:val="24"/>
          <w:szCs w:val="24"/>
          <w:lang w:val="en-GB"/>
        </w:rPr>
        <w:t xml:space="preserve">is not liable for the equivalent distribution losses and therefore has no incentive </w:t>
      </w:r>
      <w:r w:rsidR="00CE2EEC" w:rsidRPr="00935F58">
        <w:rPr>
          <w:rFonts w:ascii="Arial Narrow" w:hAnsi="Arial Narrow"/>
          <w:sz w:val="24"/>
          <w:szCs w:val="24"/>
          <w:lang w:val="en-GB"/>
        </w:rPr>
        <w:t xml:space="preserve">to </w:t>
      </w:r>
      <w:r w:rsidR="00BD0823" w:rsidRPr="00935F58">
        <w:rPr>
          <w:rFonts w:ascii="Arial Narrow" w:hAnsi="Arial Narrow"/>
          <w:sz w:val="24"/>
          <w:szCs w:val="24"/>
          <w:lang w:val="en-GB"/>
        </w:rPr>
        <w:t xml:space="preserve">minimise </w:t>
      </w:r>
      <w:r w:rsidR="00CE2EEC" w:rsidRPr="00935F58">
        <w:rPr>
          <w:rFonts w:ascii="Arial Narrow" w:hAnsi="Arial Narrow"/>
          <w:sz w:val="24"/>
          <w:szCs w:val="24"/>
          <w:lang w:val="en-GB"/>
        </w:rPr>
        <w:t xml:space="preserve">those </w:t>
      </w:r>
      <w:r w:rsidR="00BD0823" w:rsidRPr="00935F58">
        <w:rPr>
          <w:rFonts w:ascii="Arial Narrow" w:hAnsi="Arial Narrow"/>
          <w:sz w:val="24"/>
          <w:szCs w:val="24"/>
          <w:lang w:val="en-GB"/>
        </w:rPr>
        <w:t>losses; and</w:t>
      </w:r>
    </w:p>
    <w:p w:rsidR="00BD0823" w:rsidRPr="00935F58" w:rsidRDefault="00BD0823" w:rsidP="001449A5">
      <w:pPr>
        <w:pStyle w:val="ListParagraph"/>
        <w:numPr>
          <w:ilvl w:val="0"/>
          <w:numId w:val="33"/>
        </w:numPr>
        <w:spacing w:after="0" w:line="240" w:lineRule="auto"/>
        <w:ind w:left="426" w:hanging="426"/>
        <w:jc w:val="both"/>
        <w:rPr>
          <w:rFonts w:ascii="Arial Narrow" w:hAnsi="Arial Narrow"/>
          <w:sz w:val="24"/>
          <w:szCs w:val="24"/>
          <w:lang w:val="en-GB"/>
        </w:rPr>
      </w:pPr>
      <w:r w:rsidRPr="00935F58">
        <w:rPr>
          <w:rFonts w:ascii="Arial Narrow" w:hAnsi="Arial Narrow"/>
          <w:i/>
          <w:sz w:val="24"/>
          <w:szCs w:val="24"/>
          <w:lang w:val="en-GB"/>
        </w:rPr>
        <w:t>Quality and r</w:t>
      </w:r>
      <w:r w:rsidR="00D2541C" w:rsidRPr="00935F58">
        <w:rPr>
          <w:rFonts w:ascii="Arial Narrow" w:hAnsi="Arial Narrow"/>
          <w:i/>
          <w:sz w:val="24"/>
          <w:szCs w:val="24"/>
          <w:lang w:val="en-GB"/>
        </w:rPr>
        <w:t>eliability of s</w:t>
      </w:r>
      <w:r w:rsidRPr="00935F58">
        <w:rPr>
          <w:rFonts w:ascii="Arial Narrow" w:hAnsi="Arial Narrow"/>
          <w:i/>
          <w:sz w:val="24"/>
          <w:szCs w:val="24"/>
          <w:lang w:val="en-GB"/>
        </w:rPr>
        <w:t>upply</w:t>
      </w:r>
      <w:r w:rsidRPr="00935F58">
        <w:rPr>
          <w:rFonts w:ascii="Arial Narrow" w:hAnsi="Arial Narrow"/>
          <w:sz w:val="24"/>
          <w:szCs w:val="24"/>
          <w:lang w:val="en-GB"/>
        </w:rPr>
        <w:t xml:space="preserve"> – Gas is a fuel of choice</w:t>
      </w:r>
      <w:r w:rsidR="00D2541C" w:rsidRPr="00935F58">
        <w:rPr>
          <w:rFonts w:ascii="Arial Narrow" w:hAnsi="Arial Narrow"/>
          <w:sz w:val="24"/>
          <w:szCs w:val="24"/>
          <w:lang w:val="en-GB"/>
        </w:rPr>
        <w:t xml:space="preserve"> unlike electricity.  A gas distributor </w:t>
      </w:r>
      <w:r w:rsidR="00C025F3" w:rsidRPr="00935F58">
        <w:rPr>
          <w:rFonts w:ascii="Arial Narrow" w:hAnsi="Arial Narrow"/>
          <w:sz w:val="24"/>
          <w:szCs w:val="24"/>
          <w:lang w:val="en-GB"/>
        </w:rPr>
        <w:t>that</w:t>
      </w:r>
      <w:r w:rsidR="00D2541C" w:rsidRPr="00935F58">
        <w:rPr>
          <w:rFonts w:ascii="Arial Narrow" w:hAnsi="Arial Narrow"/>
          <w:sz w:val="24"/>
          <w:szCs w:val="24"/>
          <w:lang w:val="en-GB"/>
        </w:rPr>
        <w:t xml:space="preserve"> </w:t>
      </w:r>
      <w:r w:rsidRPr="00935F58">
        <w:rPr>
          <w:rFonts w:ascii="Arial Narrow" w:hAnsi="Arial Narrow"/>
          <w:sz w:val="24"/>
          <w:szCs w:val="24"/>
          <w:lang w:val="en-GB"/>
        </w:rPr>
        <w:t>provide</w:t>
      </w:r>
      <w:r w:rsidR="00D2541C" w:rsidRPr="00935F58">
        <w:rPr>
          <w:rFonts w:ascii="Arial Narrow" w:hAnsi="Arial Narrow"/>
          <w:sz w:val="24"/>
          <w:szCs w:val="24"/>
          <w:lang w:val="en-GB"/>
        </w:rPr>
        <w:t>s</w:t>
      </w:r>
      <w:r w:rsidRPr="00935F58">
        <w:rPr>
          <w:rFonts w:ascii="Arial Narrow" w:hAnsi="Arial Narrow"/>
          <w:sz w:val="24"/>
          <w:szCs w:val="24"/>
          <w:lang w:val="en-GB"/>
        </w:rPr>
        <w:t xml:space="preserve"> poor </w:t>
      </w:r>
      <w:r w:rsidR="00CE2EEC" w:rsidRPr="00935F58">
        <w:rPr>
          <w:rFonts w:ascii="Arial Narrow" w:hAnsi="Arial Narrow"/>
          <w:sz w:val="24"/>
          <w:szCs w:val="24"/>
          <w:lang w:val="en-GB"/>
        </w:rPr>
        <w:t>supply</w:t>
      </w:r>
      <w:r w:rsidRPr="00935F58">
        <w:rPr>
          <w:rFonts w:ascii="Arial Narrow" w:hAnsi="Arial Narrow"/>
          <w:sz w:val="24"/>
          <w:szCs w:val="24"/>
          <w:lang w:val="en-GB"/>
        </w:rPr>
        <w:t xml:space="preserve"> </w:t>
      </w:r>
      <w:r w:rsidR="00CE2EEC" w:rsidRPr="00935F58">
        <w:rPr>
          <w:rFonts w:ascii="Arial Narrow" w:hAnsi="Arial Narrow"/>
          <w:sz w:val="24"/>
          <w:szCs w:val="24"/>
          <w:lang w:val="en-GB"/>
        </w:rPr>
        <w:t>will lose customers.  An electricity distributor never confronts this issue as gas can only replace electricity for a limited range of appliances and not the entire electrical load.</w:t>
      </w:r>
    </w:p>
    <w:p w:rsidR="00BD0823" w:rsidRPr="00935F58" w:rsidRDefault="00BD0823" w:rsidP="00935F58">
      <w:pPr>
        <w:spacing w:after="0" w:line="240" w:lineRule="auto"/>
        <w:jc w:val="both"/>
        <w:rPr>
          <w:rFonts w:ascii="Arial Narrow" w:hAnsi="Arial Narrow"/>
          <w:sz w:val="24"/>
          <w:szCs w:val="24"/>
          <w:lang w:val="en-GB"/>
        </w:rPr>
      </w:pPr>
    </w:p>
    <w:p w:rsidR="004B0039" w:rsidRPr="00935F58" w:rsidRDefault="00BD0823"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Envestra also notes that replacement capital expenditure only forms a third of the enti</w:t>
      </w:r>
      <w:r w:rsidR="00CE2EEC" w:rsidRPr="00935F58">
        <w:rPr>
          <w:rFonts w:ascii="Arial Narrow" w:hAnsi="Arial Narrow"/>
          <w:sz w:val="24"/>
          <w:szCs w:val="24"/>
          <w:lang w:val="en-GB"/>
        </w:rPr>
        <w:t xml:space="preserve">re capital expenditure forecast while connection expenditure forms approximately half. Both gas and electricity face the same </w:t>
      </w:r>
      <w:r w:rsidR="004B0039" w:rsidRPr="00935F58">
        <w:rPr>
          <w:rFonts w:ascii="Arial Narrow" w:hAnsi="Arial Narrow"/>
          <w:sz w:val="24"/>
          <w:szCs w:val="24"/>
          <w:lang w:val="en-GB"/>
        </w:rPr>
        <w:t>circumstances</w:t>
      </w:r>
      <w:r w:rsidR="00CE2EEC" w:rsidRPr="00935F58">
        <w:rPr>
          <w:rFonts w:ascii="Arial Narrow" w:hAnsi="Arial Narrow"/>
          <w:sz w:val="24"/>
          <w:szCs w:val="24"/>
          <w:lang w:val="en-GB"/>
        </w:rPr>
        <w:t xml:space="preserve"> when connecting a </w:t>
      </w:r>
      <w:r w:rsidR="006F1B7F" w:rsidRPr="00935F58">
        <w:rPr>
          <w:rFonts w:ascii="Arial Narrow" w:hAnsi="Arial Narrow"/>
          <w:sz w:val="24"/>
          <w:szCs w:val="24"/>
          <w:lang w:val="en-GB"/>
        </w:rPr>
        <w:t xml:space="preserve">new </w:t>
      </w:r>
      <w:r w:rsidR="00CE2EEC" w:rsidRPr="00935F58">
        <w:rPr>
          <w:rFonts w:ascii="Arial Narrow" w:hAnsi="Arial Narrow"/>
          <w:sz w:val="24"/>
          <w:szCs w:val="24"/>
          <w:lang w:val="en-GB"/>
        </w:rPr>
        <w:t>custome</w:t>
      </w:r>
      <w:r w:rsidR="004B0039" w:rsidRPr="00935F58">
        <w:rPr>
          <w:rFonts w:ascii="Arial Narrow" w:hAnsi="Arial Narrow"/>
          <w:sz w:val="24"/>
          <w:szCs w:val="24"/>
          <w:lang w:val="en-GB"/>
        </w:rPr>
        <w:t>r to their respective networks.  As the circumstances are the same, Envestra believes that both gas and electricity distributors should face the same incentive</w:t>
      </w:r>
      <w:r w:rsidR="00DE7D70" w:rsidRPr="00935F58">
        <w:rPr>
          <w:rFonts w:ascii="Arial Narrow" w:hAnsi="Arial Narrow"/>
          <w:sz w:val="24"/>
          <w:szCs w:val="24"/>
          <w:lang w:val="en-GB"/>
        </w:rPr>
        <w:t xml:space="preserve"> to be efficient.</w:t>
      </w:r>
    </w:p>
    <w:p w:rsidR="004B0039" w:rsidRPr="00935F58" w:rsidRDefault="004B0039" w:rsidP="00935F58">
      <w:pPr>
        <w:spacing w:after="0" w:line="240" w:lineRule="auto"/>
        <w:jc w:val="both"/>
        <w:rPr>
          <w:rFonts w:ascii="Arial Narrow" w:hAnsi="Arial Narrow"/>
          <w:sz w:val="24"/>
          <w:szCs w:val="24"/>
          <w:lang w:val="en-GB"/>
        </w:rPr>
      </w:pPr>
    </w:p>
    <w:p w:rsidR="00D2541C" w:rsidRPr="00935F58" w:rsidRDefault="00D2541C"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The AER has public</w:t>
      </w:r>
      <w:r w:rsidR="006F1B7F" w:rsidRPr="00935F58">
        <w:rPr>
          <w:rFonts w:ascii="Arial Narrow" w:hAnsi="Arial Narrow"/>
          <w:sz w:val="24"/>
          <w:szCs w:val="24"/>
          <w:lang w:val="en-GB"/>
        </w:rPr>
        <w:t>ly stated</w:t>
      </w:r>
      <w:r w:rsidRPr="00935F58">
        <w:rPr>
          <w:rFonts w:ascii="Arial Narrow" w:hAnsi="Arial Narrow"/>
          <w:sz w:val="24"/>
          <w:szCs w:val="24"/>
          <w:lang w:val="en-GB"/>
        </w:rPr>
        <w:t xml:space="preserve"> concerns regarding “gold plating” of networks </w:t>
      </w:r>
      <w:r w:rsidR="00C025F3" w:rsidRPr="00935F58">
        <w:rPr>
          <w:rFonts w:ascii="Arial Narrow" w:hAnsi="Arial Narrow"/>
          <w:sz w:val="24"/>
          <w:szCs w:val="24"/>
          <w:lang w:val="en-GB"/>
        </w:rPr>
        <w:t>(</w:t>
      </w:r>
      <w:r w:rsidRPr="00935F58">
        <w:rPr>
          <w:rFonts w:ascii="Arial Narrow" w:hAnsi="Arial Narrow"/>
          <w:sz w:val="24"/>
          <w:szCs w:val="24"/>
          <w:lang w:val="en-GB"/>
        </w:rPr>
        <w:t>i</w:t>
      </w:r>
      <w:r w:rsidR="00C025F3" w:rsidRPr="00935F58">
        <w:rPr>
          <w:rFonts w:ascii="Arial Narrow" w:hAnsi="Arial Narrow"/>
          <w:sz w:val="24"/>
          <w:szCs w:val="24"/>
          <w:lang w:val="en-GB"/>
        </w:rPr>
        <w:t>.</w:t>
      </w:r>
      <w:r w:rsidRPr="00935F58">
        <w:rPr>
          <w:rFonts w:ascii="Arial Narrow" w:hAnsi="Arial Narrow"/>
          <w:sz w:val="24"/>
          <w:szCs w:val="24"/>
          <w:lang w:val="en-GB"/>
        </w:rPr>
        <w:t>e</w:t>
      </w:r>
      <w:r w:rsidR="00C025F3" w:rsidRPr="00935F58">
        <w:rPr>
          <w:rFonts w:ascii="Arial Narrow" w:hAnsi="Arial Narrow"/>
          <w:sz w:val="24"/>
          <w:szCs w:val="24"/>
          <w:lang w:val="en-GB"/>
        </w:rPr>
        <w:t>.</w:t>
      </w:r>
      <w:r w:rsidRPr="00935F58">
        <w:rPr>
          <w:rFonts w:ascii="Arial Narrow" w:hAnsi="Arial Narrow"/>
          <w:sz w:val="24"/>
          <w:szCs w:val="24"/>
          <w:lang w:val="en-GB"/>
        </w:rPr>
        <w:t xml:space="preserve"> inefficient capital expenditure</w:t>
      </w:r>
      <w:r w:rsidR="00C025F3" w:rsidRPr="00935F58">
        <w:rPr>
          <w:rFonts w:ascii="Arial Narrow" w:hAnsi="Arial Narrow"/>
          <w:sz w:val="24"/>
          <w:szCs w:val="24"/>
          <w:lang w:val="en-GB"/>
        </w:rPr>
        <w:t>)</w:t>
      </w:r>
      <w:r w:rsidRPr="00935F58">
        <w:rPr>
          <w:rFonts w:ascii="Arial Narrow" w:hAnsi="Arial Narrow"/>
          <w:sz w:val="24"/>
          <w:szCs w:val="24"/>
          <w:lang w:val="en-GB"/>
        </w:rPr>
        <w:t xml:space="preserve">.  However, the AER appears steadfast in its refusal </w:t>
      </w:r>
      <w:r w:rsidR="00986548" w:rsidRPr="00935F58">
        <w:rPr>
          <w:rFonts w:ascii="Arial Narrow" w:hAnsi="Arial Narrow"/>
          <w:sz w:val="24"/>
          <w:szCs w:val="24"/>
          <w:lang w:val="en-GB"/>
        </w:rPr>
        <w:t>of</w:t>
      </w:r>
      <w:r w:rsidRPr="00935F58">
        <w:rPr>
          <w:rFonts w:ascii="Arial Narrow" w:hAnsi="Arial Narrow"/>
          <w:sz w:val="24"/>
          <w:szCs w:val="24"/>
          <w:lang w:val="en-GB"/>
        </w:rPr>
        <w:t xml:space="preserve"> the obvious solution to this problem, which</w:t>
      </w:r>
      <w:r w:rsidR="006F1B7F" w:rsidRPr="00935F58">
        <w:rPr>
          <w:rFonts w:ascii="Arial Narrow" w:hAnsi="Arial Narrow"/>
          <w:sz w:val="24"/>
          <w:szCs w:val="24"/>
          <w:lang w:val="en-GB"/>
        </w:rPr>
        <w:t xml:space="preserve"> </w:t>
      </w:r>
      <w:r w:rsidRPr="00935F58">
        <w:rPr>
          <w:rFonts w:ascii="Arial Narrow" w:hAnsi="Arial Narrow"/>
          <w:sz w:val="24"/>
          <w:szCs w:val="24"/>
          <w:lang w:val="en-GB"/>
        </w:rPr>
        <w:t xml:space="preserve">is to apply capital expenditure incentive schemes and use actual depreciation in order to drive </w:t>
      </w:r>
      <w:r w:rsidR="00CE2EEC" w:rsidRPr="00935F58">
        <w:rPr>
          <w:rFonts w:ascii="Arial Narrow" w:hAnsi="Arial Narrow"/>
          <w:sz w:val="24"/>
          <w:szCs w:val="24"/>
          <w:lang w:val="en-GB"/>
        </w:rPr>
        <w:t>efficiency</w:t>
      </w:r>
      <w:r w:rsidRPr="00935F58">
        <w:rPr>
          <w:rFonts w:ascii="Arial Narrow" w:hAnsi="Arial Narrow"/>
          <w:sz w:val="24"/>
          <w:szCs w:val="24"/>
          <w:lang w:val="en-GB"/>
        </w:rPr>
        <w:t xml:space="preserve">. </w:t>
      </w:r>
      <w:r w:rsidR="004B0039" w:rsidRPr="00935F58">
        <w:rPr>
          <w:rFonts w:ascii="Arial Narrow" w:hAnsi="Arial Narrow"/>
          <w:sz w:val="24"/>
          <w:szCs w:val="24"/>
          <w:lang w:val="en-GB"/>
        </w:rPr>
        <w:t xml:space="preserve">Envestra notes the application of </w:t>
      </w:r>
      <w:r w:rsidR="00C025F3" w:rsidRPr="00935F58">
        <w:rPr>
          <w:rFonts w:ascii="Arial Narrow" w:hAnsi="Arial Narrow"/>
          <w:sz w:val="24"/>
          <w:szCs w:val="24"/>
          <w:lang w:val="en-GB"/>
        </w:rPr>
        <w:t>capital incentives</w:t>
      </w:r>
      <w:r w:rsidR="00986548" w:rsidRPr="00935F58">
        <w:rPr>
          <w:rFonts w:ascii="Arial Narrow" w:hAnsi="Arial Narrow"/>
          <w:sz w:val="24"/>
          <w:szCs w:val="24"/>
          <w:lang w:val="en-GB"/>
        </w:rPr>
        <w:t xml:space="preserve"> is consistent with the outcomes of both the AEMC and Productivity Commission inquiries into network regulation, which inquiries identified the need for the AER to provide greater incentives to networks to </w:t>
      </w:r>
      <w:r w:rsidR="00DE7D70" w:rsidRPr="00935F58">
        <w:rPr>
          <w:rFonts w:ascii="Arial Narrow" w:hAnsi="Arial Narrow"/>
          <w:sz w:val="24"/>
          <w:szCs w:val="24"/>
          <w:lang w:val="en-GB"/>
        </w:rPr>
        <w:t>ex</w:t>
      </w:r>
      <w:r w:rsidR="00986548" w:rsidRPr="00935F58">
        <w:rPr>
          <w:rFonts w:ascii="Arial Narrow" w:hAnsi="Arial Narrow"/>
          <w:sz w:val="24"/>
          <w:szCs w:val="24"/>
          <w:lang w:val="en-GB"/>
        </w:rPr>
        <w:t>pend capital efficiently</w:t>
      </w:r>
      <w:r w:rsidR="00F71CF3" w:rsidRPr="00935F58">
        <w:rPr>
          <w:rFonts w:ascii="Arial Narrow" w:hAnsi="Arial Narrow"/>
          <w:sz w:val="24"/>
          <w:szCs w:val="24"/>
          <w:lang w:val="en-GB"/>
        </w:rPr>
        <w:t xml:space="preserve"> (see attachment 11-1 for further discussion on this)</w:t>
      </w:r>
      <w:r w:rsidR="00986548" w:rsidRPr="00935F58">
        <w:rPr>
          <w:rFonts w:ascii="Arial Narrow" w:hAnsi="Arial Narrow"/>
          <w:sz w:val="24"/>
          <w:szCs w:val="24"/>
          <w:lang w:val="en-GB"/>
        </w:rPr>
        <w:t>.</w:t>
      </w:r>
    </w:p>
    <w:p w:rsidR="00DE7D70" w:rsidRPr="00935F58" w:rsidRDefault="00DE7D70" w:rsidP="00935F58">
      <w:pPr>
        <w:spacing w:after="0" w:line="240" w:lineRule="auto"/>
        <w:jc w:val="both"/>
        <w:rPr>
          <w:rFonts w:ascii="Arial Narrow" w:hAnsi="Arial Narrow"/>
          <w:sz w:val="24"/>
          <w:szCs w:val="24"/>
          <w:lang w:val="en-GB"/>
        </w:rPr>
      </w:pPr>
    </w:p>
    <w:p w:rsidR="00DE7D70" w:rsidRPr="00935F58" w:rsidRDefault="00DE7D70" w:rsidP="00935F58">
      <w:pPr>
        <w:spacing w:after="0" w:line="240" w:lineRule="auto"/>
        <w:jc w:val="both"/>
        <w:rPr>
          <w:rFonts w:ascii="Arial Narrow" w:hAnsi="Arial Narrow"/>
          <w:sz w:val="24"/>
          <w:szCs w:val="24"/>
          <w:lang w:val="en-GB"/>
        </w:rPr>
      </w:pPr>
      <w:r w:rsidRPr="00935F58">
        <w:rPr>
          <w:rFonts w:ascii="Arial Narrow" w:hAnsi="Arial Narrow"/>
          <w:sz w:val="24"/>
          <w:szCs w:val="24"/>
          <w:lang w:val="en-GB"/>
        </w:rPr>
        <w:t>Envestra’s preferred position is for the AER to provide both a capital expenditure incentive mechanism and use actual depreciation to establish the asset base at 1 January 2018. However, were the AER to reject the application of capital expenditure incentive mechanism, then the application of actual depreciation</w:t>
      </w:r>
      <w:r w:rsidR="006F1B7F" w:rsidRPr="00935F58">
        <w:rPr>
          <w:rFonts w:ascii="Arial Narrow" w:hAnsi="Arial Narrow"/>
          <w:sz w:val="24"/>
          <w:szCs w:val="24"/>
          <w:lang w:val="en-GB"/>
        </w:rPr>
        <w:t xml:space="preserve"> </w:t>
      </w:r>
      <w:r w:rsidRPr="00935F58">
        <w:rPr>
          <w:rFonts w:ascii="Arial Narrow" w:hAnsi="Arial Narrow"/>
          <w:sz w:val="24"/>
          <w:szCs w:val="24"/>
          <w:lang w:val="en-GB"/>
        </w:rPr>
        <w:t xml:space="preserve">is </w:t>
      </w:r>
      <w:r w:rsidR="006F1B7F" w:rsidRPr="00935F58">
        <w:rPr>
          <w:rFonts w:ascii="Arial Narrow" w:hAnsi="Arial Narrow"/>
          <w:sz w:val="24"/>
          <w:szCs w:val="24"/>
          <w:lang w:val="en-GB"/>
        </w:rPr>
        <w:t>required</w:t>
      </w:r>
      <w:r w:rsidRPr="00935F58">
        <w:rPr>
          <w:rFonts w:ascii="Arial Narrow" w:hAnsi="Arial Narrow"/>
          <w:sz w:val="24"/>
          <w:szCs w:val="24"/>
          <w:lang w:val="en-GB"/>
        </w:rPr>
        <w:t>.</w:t>
      </w:r>
    </w:p>
    <w:p w:rsidR="00CE2EEC" w:rsidRPr="00935F58" w:rsidRDefault="00CE2EEC" w:rsidP="00935F58">
      <w:pPr>
        <w:spacing w:after="0" w:line="240" w:lineRule="auto"/>
        <w:jc w:val="both"/>
        <w:rPr>
          <w:rFonts w:ascii="Arial Narrow" w:hAnsi="Arial Narrow"/>
          <w:sz w:val="24"/>
          <w:szCs w:val="24"/>
          <w:lang w:val="en-GB"/>
        </w:rPr>
      </w:pPr>
    </w:p>
    <w:sectPr w:rsidR="00CE2EEC" w:rsidRPr="00935F58" w:rsidSect="002A10BA">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F3" w:rsidRDefault="00C025F3" w:rsidP="00461CCF">
      <w:pPr>
        <w:spacing w:after="0" w:line="240" w:lineRule="auto"/>
      </w:pPr>
      <w:r>
        <w:separator/>
      </w:r>
    </w:p>
  </w:endnote>
  <w:endnote w:type="continuationSeparator" w:id="0">
    <w:p w:rsidR="00C025F3" w:rsidRDefault="00C025F3" w:rsidP="0046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auto"/>
    <w:pitch w:val="variable"/>
    <w:sig w:usb0="802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F3" w:rsidRDefault="00C025F3" w:rsidP="00461CCF">
      <w:pPr>
        <w:spacing w:after="0" w:line="240" w:lineRule="auto"/>
      </w:pPr>
      <w:r>
        <w:separator/>
      </w:r>
    </w:p>
  </w:footnote>
  <w:footnote w:type="continuationSeparator" w:id="0">
    <w:p w:rsidR="00C025F3" w:rsidRDefault="00C025F3" w:rsidP="00461CCF">
      <w:pPr>
        <w:spacing w:after="0" w:line="240" w:lineRule="auto"/>
      </w:pPr>
      <w:r>
        <w:continuationSeparator/>
      </w:r>
    </w:p>
  </w:footnote>
  <w:footnote w:id="1">
    <w:p w:rsidR="00C025F3" w:rsidRPr="002F41D3" w:rsidRDefault="00C025F3" w:rsidP="002F41D3">
      <w:pPr>
        <w:pStyle w:val="FootnoteText"/>
        <w:tabs>
          <w:tab w:val="left" w:pos="284"/>
        </w:tabs>
        <w:ind w:left="284" w:hanging="284"/>
        <w:jc w:val="both"/>
        <w:rPr>
          <w:rFonts w:ascii="Arial Narrow" w:hAnsi="Arial Narrow"/>
        </w:rPr>
      </w:pPr>
      <w:r w:rsidRPr="002F41D3">
        <w:rPr>
          <w:rStyle w:val="FootnoteReference"/>
          <w:rFonts w:ascii="Arial Narrow" w:hAnsi="Arial Narrow"/>
        </w:rPr>
        <w:footnoteRef/>
      </w:r>
      <w:r w:rsidR="002F41D3" w:rsidRPr="002F41D3">
        <w:rPr>
          <w:rFonts w:ascii="Arial Narrow" w:hAnsi="Arial Narrow"/>
        </w:rPr>
        <w:tab/>
      </w:r>
      <w:r w:rsidRPr="002F41D3">
        <w:rPr>
          <w:rFonts w:ascii="Arial Narrow" w:hAnsi="Arial Narrow"/>
          <w:i/>
        </w:rPr>
        <w:t>Draft Rule Determinations - Draft National Electricity Amendment (Economic Regulation of Network Service Providers) Rule 2012 and Draft National Gas Amendment (Price and Revenue Regulation of Gas Services) Rule 2012</w:t>
      </w:r>
      <w:r w:rsidRPr="002F41D3">
        <w:rPr>
          <w:rFonts w:ascii="Arial Narrow" w:hAnsi="Arial Narrow"/>
        </w:rPr>
        <w:t xml:space="preserve"> issued by the AEMC on 23 August 2012, section 9.7</w:t>
      </w:r>
    </w:p>
  </w:footnote>
  <w:footnote w:id="2">
    <w:p w:rsidR="00C025F3" w:rsidRPr="002F41D3" w:rsidRDefault="00C025F3" w:rsidP="002F41D3">
      <w:pPr>
        <w:pStyle w:val="FootnoteText"/>
        <w:tabs>
          <w:tab w:val="left" w:pos="284"/>
        </w:tabs>
        <w:ind w:left="284" w:hanging="284"/>
        <w:jc w:val="both"/>
        <w:rPr>
          <w:rFonts w:ascii="Arial Narrow" w:hAnsi="Arial Narrow"/>
        </w:rPr>
      </w:pPr>
      <w:r w:rsidRPr="002F41D3">
        <w:rPr>
          <w:rStyle w:val="FootnoteReference"/>
          <w:rFonts w:ascii="Arial Narrow" w:hAnsi="Arial Narrow"/>
        </w:rPr>
        <w:footnoteRef/>
      </w:r>
      <w:r w:rsidR="002F41D3" w:rsidRPr="002F41D3">
        <w:rPr>
          <w:rFonts w:ascii="Arial Narrow" w:hAnsi="Arial Narrow"/>
        </w:rPr>
        <w:tab/>
      </w:r>
      <w:r w:rsidRPr="002F41D3">
        <w:rPr>
          <w:rFonts w:ascii="Arial Narrow" w:hAnsi="Arial Narrow"/>
        </w:rPr>
        <w:t>AER Access Arrangement Draft Decision Envestra 2013-17, Part 2 Attachments, Section 2.4.5 p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4D1"/>
    <w:multiLevelType w:val="hybridMultilevel"/>
    <w:tmpl w:val="D55CDA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61602B"/>
    <w:multiLevelType w:val="hybridMultilevel"/>
    <w:tmpl w:val="7EAE3F18"/>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60319A"/>
    <w:multiLevelType w:val="hybridMultilevel"/>
    <w:tmpl w:val="3B5EDFC2"/>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nsid w:val="09942BBF"/>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89630B"/>
    <w:multiLevelType w:val="hybridMultilevel"/>
    <w:tmpl w:val="CFA0B6E8"/>
    <w:lvl w:ilvl="0" w:tplc="6C8479D2">
      <w:start w:val="1"/>
      <w:numFmt w:val="bullet"/>
      <w:lvlText w:val=""/>
      <w:lvlJc w:val="left"/>
      <w:pPr>
        <w:ind w:left="717" w:hanging="360"/>
      </w:pPr>
      <w:rPr>
        <w:rFonts w:ascii="Wingdings" w:hAnsi="Wingdings" w:hint="default"/>
      </w:rPr>
    </w:lvl>
    <w:lvl w:ilvl="1" w:tplc="0C090019" w:tentative="1">
      <w:start w:val="1"/>
      <w:numFmt w:val="bullet"/>
      <w:lvlText w:val="o"/>
      <w:lvlJc w:val="left"/>
      <w:pPr>
        <w:ind w:left="1437" w:hanging="360"/>
      </w:pPr>
      <w:rPr>
        <w:rFonts w:ascii="Courier New" w:hAnsi="Courier New" w:cs="Courier New" w:hint="default"/>
      </w:rPr>
    </w:lvl>
    <w:lvl w:ilvl="2" w:tplc="0C09001B" w:tentative="1">
      <w:start w:val="1"/>
      <w:numFmt w:val="bullet"/>
      <w:lvlText w:val=""/>
      <w:lvlJc w:val="left"/>
      <w:pPr>
        <w:ind w:left="2157" w:hanging="360"/>
      </w:pPr>
      <w:rPr>
        <w:rFonts w:ascii="Wingdings" w:hAnsi="Wingdings" w:hint="default"/>
      </w:rPr>
    </w:lvl>
    <w:lvl w:ilvl="3" w:tplc="0C09000F" w:tentative="1">
      <w:start w:val="1"/>
      <w:numFmt w:val="bullet"/>
      <w:lvlText w:val=""/>
      <w:lvlJc w:val="left"/>
      <w:pPr>
        <w:ind w:left="2877" w:hanging="360"/>
      </w:pPr>
      <w:rPr>
        <w:rFonts w:ascii="Symbol" w:hAnsi="Symbol" w:hint="default"/>
      </w:rPr>
    </w:lvl>
    <w:lvl w:ilvl="4" w:tplc="0C090019" w:tentative="1">
      <w:start w:val="1"/>
      <w:numFmt w:val="bullet"/>
      <w:lvlText w:val="o"/>
      <w:lvlJc w:val="left"/>
      <w:pPr>
        <w:ind w:left="3597" w:hanging="360"/>
      </w:pPr>
      <w:rPr>
        <w:rFonts w:ascii="Courier New" w:hAnsi="Courier New" w:cs="Courier New" w:hint="default"/>
      </w:rPr>
    </w:lvl>
    <w:lvl w:ilvl="5" w:tplc="0C09001B" w:tentative="1">
      <w:start w:val="1"/>
      <w:numFmt w:val="bullet"/>
      <w:lvlText w:val=""/>
      <w:lvlJc w:val="left"/>
      <w:pPr>
        <w:ind w:left="4317" w:hanging="360"/>
      </w:pPr>
      <w:rPr>
        <w:rFonts w:ascii="Wingdings" w:hAnsi="Wingdings" w:hint="default"/>
      </w:rPr>
    </w:lvl>
    <w:lvl w:ilvl="6" w:tplc="0C09000F" w:tentative="1">
      <w:start w:val="1"/>
      <w:numFmt w:val="bullet"/>
      <w:lvlText w:val=""/>
      <w:lvlJc w:val="left"/>
      <w:pPr>
        <w:ind w:left="5037" w:hanging="360"/>
      </w:pPr>
      <w:rPr>
        <w:rFonts w:ascii="Symbol" w:hAnsi="Symbol" w:hint="default"/>
      </w:rPr>
    </w:lvl>
    <w:lvl w:ilvl="7" w:tplc="0C090019" w:tentative="1">
      <w:start w:val="1"/>
      <w:numFmt w:val="bullet"/>
      <w:lvlText w:val="o"/>
      <w:lvlJc w:val="left"/>
      <w:pPr>
        <w:ind w:left="5757" w:hanging="360"/>
      </w:pPr>
      <w:rPr>
        <w:rFonts w:ascii="Courier New" w:hAnsi="Courier New" w:cs="Courier New" w:hint="default"/>
      </w:rPr>
    </w:lvl>
    <w:lvl w:ilvl="8" w:tplc="0C09001B" w:tentative="1">
      <w:start w:val="1"/>
      <w:numFmt w:val="bullet"/>
      <w:lvlText w:val=""/>
      <w:lvlJc w:val="left"/>
      <w:pPr>
        <w:ind w:left="6477" w:hanging="360"/>
      </w:pPr>
      <w:rPr>
        <w:rFonts w:ascii="Wingdings" w:hAnsi="Wingdings" w:hint="default"/>
      </w:rPr>
    </w:lvl>
  </w:abstractNum>
  <w:abstractNum w:abstractNumId="5">
    <w:nsid w:val="14257D71"/>
    <w:multiLevelType w:val="hybridMultilevel"/>
    <w:tmpl w:val="FCDC2058"/>
    <w:lvl w:ilvl="0" w:tplc="0C090011">
      <w:start w:val="1"/>
      <w:numFmt w:val="decimal"/>
      <w:lvlText w:val="%1)"/>
      <w:lvlJc w:val="left"/>
      <w:pPr>
        <w:ind w:left="1429" w:hanging="360"/>
      </w:pPr>
      <w:rPr>
        <w:rFonts w:hint="default"/>
      </w:rPr>
    </w:lvl>
    <w:lvl w:ilvl="1" w:tplc="0C090017">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nsid w:val="17D50E3E"/>
    <w:multiLevelType w:val="hybridMultilevel"/>
    <w:tmpl w:val="87C86F36"/>
    <w:lvl w:ilvl="0" w:tplc="AC9EDED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8FD5879"/>
    <w:multiLevelType w:val="hybridMultilevel"/>
    <w:tmpl w:val="858EF9F4"/>
    <w:lvl w:ilvl="0" w:tplc="0C090011">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502E744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4B4A01"/>
    <w:multiLevelType w:val="hybridMultilevel"/>
    <w:tmpl w:val="B0F677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287B0B"/>
    <w:multiLevelType w:val="hybridMultilevel"/>
    <w:tmpl w:val="35FEA3AE"/>
    <w:lvl w:ilvl="0" w:tplc="0C090005">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0">
    <w:nsid w:val="217E0B61"/>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14427B"/>
    <w:multiLevelType w:val="hybridMultilevel"/>
    <w:tmpl w:val="17C42370"/>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9B71BC"/>
    <w:multiLevelType w:val="hybridMultilevel"/>
    <w:tmpl w:val="368882A6"/>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nsid w:val="29F54607"/>
    <w:multiLevelType w:val="hybridMultilevel"/>
    <w:tmpl w:val="EADA6974"/>
    <w:lvl w:ilvl="0" w:tplc="BADE8398">
      <w:start w:val="1"/>
      <w:numFmt w:val="decimal"/>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194D4C"/>
    <w:multiLevelType w:val="hybridMultilevel"/>
    <w:tmpl w:val="43D6D5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E8F5FB4"/>
    <w:multiLevelType w:val="hybridMultilevel"/>
    <w:tmpl w:val="9FD8BA72"/>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nsid w:val="30F56960"/>
    <w:multiLevelType w:val="hybridMultilevel"/>
    <w:tmpl w:val="C4DA5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BA4E1A"/>
    <w:multiLevelType w:val="hybridMultilevel"/>
    <w:tmpl w:val="EE6AEA9C"/>
    <w:lvl w:ilvl="0" w:tplc="0C090005">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nsid w:val="4B9E3C0B"/>
    <w:multiLevelType w:val="hybridMultilevel"/>
    <w:tmpl w:val="C486CA10"/>
    <w:lvl w:ilvl="0" w:tplc="0C090011">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4C9C41C3"/>
    <w:multiLevelType w:val="hybridMultilevel"/>
    <w:tmpl w:val="53F68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47093D"/>
    <w:multiLevelType w:val="hybridMultilevel"/>
    <w:tmpl w:val="32483EC2"/>
    <w:lvl w:ilvl="0" w:tplc="0C090005">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53F34B9B"/>
    <w:multiLevelType w:val="hybridMultilevel"/>
    <w:tmpl w:val="0730324C"/>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BE511E"/>
    <w:multiLevelType w:val="hybridMultilevel"/>
    <w:tmpl w:val="C9EA9F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202E1B"/>
    <w:multiLevelType w:val="hybridMultilevel"/>
    <w:tmpl w:val="8FD8DFE6"/>
    <w:lvl w:ilvl="0" w:tplc="0C09001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4">
    <w:nsid w:val="610676CD"/>
    <w:multiLevelType w:val="hybridMultilevel"/>
    <w:tmpl w:val="BF5E12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17879B2"/>
    <w:multiLevelType w:val="hybridMultilevel"/>
    <w:tmpl w:val="DC5C3F4A"/>
    <w:lvl w:ilvl="0" w:tplc="3064C2F6">
      <w:start w:val="1"/>
      <w:numFmt w:val="bullet"/>
      <w:lvlText w:val=""/>
      <w:lvlJc w:val="left"/>
      <w:pPr>
        <w:ind w:left="360" w:hanging="360"/>
      </w:pPr>
      <w:rPr>
        <w:rFonts w:ascii="Wingdings" w:hAnsi="Wingdings"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6">
    <w:nsid w:val="62B9125F"/>
    <w:multiLevelType w:val="hybridMultilevel"/>
    <w:tmpl w:val="D68C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1045D2"/>
    <w:multiLevelType w:val="hybridMultilevel"/>
    <w:tmpl w:val="9AEAAB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6EC2A47"/>
    <w:multiLevelType w:val="hybridMultilevel"/>
    <w:tmpl w:val="EADA6974"/>
    <w:lvl w:ilvl="0" w:tplc="BADE8398">
      <w:start w:val="1"/>
      <w:numFmt w:val="decimal"/>
      <w:lvlText w:val="%1."/>
      <w:lvlJc w:val="left"/>
      <w:pPr>
        <w:ind w:left="1353" w:hanging="360"/>
      </w:pPr>
      <w:rPr>
        <w:rFonts w:hint="default"/>
      </w:rPr>
    </w:lvl>
    <w:lvl w:ilvl="1" w:tplc="0C090019">
      <w:start w:val="1"/>
      <w:numFmt w:val="lowerLetter"/>
      <w:lvlText w:val="%2."/>
      <w:lvlJc w:val="left"/>
      <w:pPr>
        <w:ind w:left="-686" w:hanging="360"/>
      </w:pPr>
    </w:lvl>
    <w:lvl w:ilvl="2" w:tplc="0C09001B">
      <w:start w:val="1"/>
      <w:numFmt w:val="lowerRoman"/>
      <w:lvlText w:val="%3."/>
      <w:lvlJc w:val="right"/>
      <w:pPr>
        <w:ind w:left="34" w:hanging="180"/>
      </w:pPr>
    </w:lvl>
    <w:lvl w:ilvl="3" w:tplc="0C09000F">
      <w:start w:val="1"/>
      <w:numFmt w:val="decimal"/>
      <w:lvlText w:val="%4."/>
      <w:lvlJc w:val="left"/>
      <w:pPr>
        <w:ind w:left="754" w:hanging="360"/>
      </w:pPr>
    </w:lvl>
    <w:lvl w:ilvl="4" w:tplc="0C090019">
      <w:start w:val="1"/>
      <w:numFmt w:val="lowerLetter"/>
      <w:lvlText w:val="%5."/>
      <w:lvlJc w:val="left"/>
      <w:pPr>
        <w:ind w:left="1474" w:hanging="360"/>
      </w:pPr>
    </w:lvl>
    <w:lvl w:ilvl="5" w:tplc="0C09001B" w:tentative="1">
      <w:start w:val="1"/>
      <w:numFmt w:val="lowerRoman"/>
      <w:lvlText w:val="%6."/>
      <w:lvlJc w:val="right"/>
      <w:pPr>
        <w:ind w:left="2194" w:hanging="180"/>
      </w:pPr>
    </w:lvl>
    <w:lvl w:ilvl="6" w:tplc="0C09000F" w:tentative="1">
      <w:start w:val="1"/>
      <w:numFmt w:val="decimal"/>
      <w:lvlText w:val="%7."/>
      <w:lvlJc w:val="left"/>
      <w:pPr>
        <w:ind w:left="2914" w:hanging="360"/>
      </w:pPr>
    </w:lvl>
    <w:lvl w:ilvl="7" w:tplc="0C090019" w:tentative="1">
      <w:start w:val="1"/>
      <w:numFmt w:val="lowerLetter"/>
      <w:lvlText w:val="%8."/>
      <w:lvlJc w:val="left"/>
      <w:pPr>
        <w:ind w:left="3634" w:hanging="360"/>
      </w:pPr>
    </w:lvl>
    <w:lvl w:ilvl="8" w:tplc="0C09001B" w:tentative="1">
      <w:start w:val="1"/>
      <w:numFmt w:val="lowerRoman"/>
      <w:lvlText w:val="%9."/>
      <w:lvlJc w:val="right"/>
      <w:pPr>
        <w:ind w:left="4354" w:hanging="180"/>
      </w:pPr>
    </w:lvl>
  </w:abstractNum>
  <w:abstractNum w:abstractNumId="29">
    <w:nsid w:val="6E417E43"/>
    <w:multiLevelType w:val="hybridMultilevel"/>
    <w:tmpl w:val="421C8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B2743D"/>
    <w:multiLevelType w:val="hybridMultilevel"/>
    <w:tmpl w:val="1C180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EBC6335"/>
    <w:multiLevelType w:val="hybridMultilevel"/>
    <w:tmpl w:val="EE6AEA9C"/>
    <w:lvl w:ilvl="0" w:tplc="0C090005">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2">
    <w:nsid w:val="792C543F"/>
    <w:multiLevelType w:val="hybridMultilevel"/>
    <w:tmpl w:val="81D8C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4E521D"/>
    <w:multiLevelType w:val="hybridMultilevel"/>
    <w:tmpl w:val="D6865A4A"/>
    <w:lvl w:ilvl="0" w:tplc="4094C040">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nsid w:val="7A8E6BD5"/>
    <w:multiLevelType w:val="hybridMultilevel"/>
    <w:tmpl w:val="32D435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5">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19"/>
  </w:num>
  <w:num w:numId="2">
    <w:abstractNumId w:val="22"/>
  </w:num>
  <w:num w:numId="3">
    <w:abstractNumId w:val="12"/>
  </w:num>
  <w:num w:numId="4">
    <w:abstractNumId w:val="23"/>
  </w:num>
  <w:num w:numId="5">
    <w:abstractNumId w:val="15"/>
  </w:num>
  <w:num w:numId="6">
    <w:abstractNumId w:val="6"/>
  </w:num>
  <w:num w:numId="7">
    <w:abstractNumId w:val="7"/>
  </w:num>
  <w:num w:numId="8">
    <w:abstractNumId w:val="13"/>
  </w:num>
  <w:num w:numId="9">
    <w:abstractNumId w:val="4"/>
  </w:num>
  <w:num w:numId="10">
    <w:abstractNumId w:val="25"/>
  </w:num>
  <w:num w:numId="11">
    <w:abstractNumId w:val="9"/>
  </w:num>
  <w:num w:numId="12">
    <w:abstractNumId w:val="8"/>
  </w:num>
  <w:num w:numId="13">
    <w:abstractNumId w:val="18"/>
  </w:num>
  <w:num w:numId="14">
    <w:abstractNumId w:val="5"/>
  </w:num>
  <w:num w:numId="15">
    <w:abstractNumId w:val="2"/>
  </w:num>
  <w:num w:numId="16">
    <w:abstractNumId w:val="17"/>
  </w:num>
  <w:num w:numId="17">
    <w:abstractNumId w:val="34"/>
  </w:num>
  <w:num w:numId="18">
    <w:abstractNumId w:val="20"/>
  </w:num>
  <w:num w:numId="19">
    <w:abstractNumId w:val="28"/>
  </w:num>
  <w:num w:numId="20">
    <w:abstractNumId w:val="1"/>
  </w:num>
  <w:num w:numId="21">
    <w:abstractNumId w:val="33"/>
  </w:num>
  <w:num w:numId="22">
    <w:abstractNumId w:val="31"/>
  </w:num>
  <w:num w:numId="23">
    <w:abstractNumId w:val="11"/>
  </w:num>
  <w:num w:numId="24">
    <w:abstractNumId w:val="21"/>
  </w:num>
  <w:num w:numId="25">
    <w:abstractNumId w:val="3"/>
  </w:num>
  <w:num w:numId="26">
    <w:abstractNumId w:val="10"/>
  </w:num>
  <w:num w:numId="27">
    <w:abstractNumId w:val="26"/>
  </w:num>
  <w:num w:numId="28">
    <w:abstractNumId w:val="16"/>
  </w:num>
  <w:num w:numId="29">
    <w:abstractNumId w:val="24"/>
  </w:num>
  <w:num w:numId="30">
    <w:abstractNumId w:val="32"/>
  </w:num>
  <w:num w:numId="31">
    <w:abstractNumId w:val="35"/>
  </w:num>
  <w:num w:numId="32">
    <w:abstractNumId w:val="29"/>
  </w:num>
  <w:num w:numId="33">
    <w:abstractNumId w:val="27"/>
  </w:num>
  <w:num w:numId="34">
    <w:abstractNumId w:val="30"/>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CF"/>
    <w:rsid w:val="00000EAF"/>
    <w:rsid w:val="00004B24"/>
    <w:rsid w:val="0000533C"/>
    <w:rsid w:val="00006316"/>
    <w:rsid w:val="00006AA3"/>
    <w:rsid w:val="000073D7"/>
    <w:rsid w:val="00013146"/>
    <w:rsid w:val="00025966"/>
    <w:rsid w:val="000304A6"/>
    <w:rsid w:val="00030FE4"/>
    <w:rsid w:val="0003133B"/>
    <w:rsid w:val="000328DF"/>
    <w:rsid w:val="000412AC"/>
    <w:rsid w:val="000507DE"/>
    <w:rsid w:val="000517AD"/>
    <w:rsid w:val="00051D39"/>
    <w:rsid w:val="00052682"/>
    <w:rsid w:val="00053BC2"/>
    <w:rsid w:val="00057FE8"/>
    <w:rsid w:val="00065CFE"/>
    <w:rsid w:val="00067DBF"/>
    <w:rsid w:val="0007222F"/>
    <w:rsid w:val="000741D7"/>
    <w:rsid w:val="0007529B"/>
    <w:rsid w:val="00077AC4"/>
    <w:rsid w:val="000814FB"/>
    <w:rsid w:val="00085554"/>
    <w:rsid w:val="000856C1"/>
    <w:rsid w:val="000912DC"/>
    <w:rsid w:val="00093B86"/>
    <w:rsid w:val="00095B3E"/>
    <w:rsid w:val="000A2FF4"/>
    <w:rsid w:val="000B59B9"/>
    <w:rsid w:val="000C3E20"/>
    <w:rsid w:val="000C53D6"/>
    <w:rsid w:val="000C67AA"/>
    <w:rsid w:val="000C67B4"/>
    <w:rsid w:val="000D0DF8"/>
    <w:rsid w:val="000D685C"/>
    <w:rsid w:val="000D68CF"/>
    <w:rsid w:val="000E01E0"/>
    <w:rsid w:val="000E39EF"/>
    <w:rsid w:val="000E516C"/>
    <w:rsid w:val="00100620"/>
    <w:rsid w:val="0010310D"/>
    <w:rsid w:val="00106577"/>
    <w:rsid w:val="00112C90"/>
    <w:rsid w:val="00113853"/>
    <w:rsid w:val="00114738"/>
    <w:rsid w:val="001265DD"/>
    <w:rsid w:val="001312D4"/>
    <w:rsid w:val="00135E27"/>
    <w:rsid w:val="00136EAF"/>
    <w:rsid w:val="001401F8"/>
    <w:rsid w:val="00143B94"/>
    <w:rsid w:val="00143F52"/>
    <w:rsid w:val="00144745"/>
    <w:rsid w:val="001449A5"/>
    <w:rsid w:val="0015566E"/>
    <w:rsid w:val="0017155A"/>
    <w:rsid w:val="0017622F"/>
    <w:rsid w:val="0017641F"/>
    <w:rsid w:val="0018306C"/>
    <w:rsid w:val="001915F3"/>
    <w:rsid w:val="001919B4"/>
    <w:rsid w:val="00191C6F"/>
    <w:rsid w:val="00191C80"/>
    <w:rsid w:val="00191F2B"/>
    <w:rsid w:val="001965E4"/>
    <w:rsid w:val="00196E33"/>
    <w:rsid w:val="00197296"/>
    <w:rsid w:val="00197522"/>
    <w:rsid w:val="001978AD"/>
    <w:rsid w:val="001A07F7"/>
    <w:rsid w:val="001A120C"/>
    <w:rsid w:val="001A32E3"/>
    <w:rsid w:val="001A61DC"/>
    <w:rsid w:val="001B4B05"/>
    <w:rsid w:val="001C0431"/>
    <w:rsid w:val="001C0657"/>
    <w:rsid w:val="001C0C7D"/>
    <w:rsid w:val="001C35C2"/>
    <w:rsid w:val="001C4357"/>
    <w:rsid w:val="001C7D48"/>
    <w:rsid w:val="001D3DA2"/>
    <w:rsid w:val="001D5C1A"/>
    <w:rsid w:val="001E2407"/>
    <w:rsid w:val="001E284B"/>
    <w:rsid w:val="001E3535"/>
    <w:rsid w:val="001E4799"/>
    <w:rsid w:val="001E5B16"/>
    <w:rsid w:val="001E770C"/>
    <w:rsid w:val="001F7E36"/>
    <w:rsid w:val="00201C03"/>
    <w:rsid w:val="002037FE"/>
    <w:rsid w:val="002070CE"/>
    <w:rsid w:val="00207989"/>
    <w:rsid w:val="00211906"/>
    <w:rsid w:val="00211DDC"/>
    <w:rsid w:val="00216FDE"/>
    <w:rsid w:val="00220BBE"/>
    <w:rsid w:val="00221369"/>
    <w:rsid w:val="0022546A"/>
    <w:rsid w:val="002269A5"/>
    <w:rsid w:val="0023227D"/>
    <w:rsid w:val="00241784"/>
    <w:rsid w:val="00241C49"/>
    <w:rsid w:val="0024482F"/>
    <w:rsid w:val="0025078F"/>
    <w:rsid w:val="00254872"/>
    <w:rsid w:val="002562E1"/>
    <w:rsid w:val="00257FAE"/>
    <w:rsid w:val="002611D8"/>
    <w:rsid w:val="002614B6"/>
    <w:rsid w:val="00262F75"/>
    <w:rsid w:val="00264934"/>
    <w:rsid w:val="00274ABB"/>
    <w:rsid w:val="00276F02"/>
    <w:rsid w:val="00280F4B"/>
    <w:rsid w:val="00282924"/>
    <w:rsid w:val="002868F0"/>
    <w:rsid w:val="00287FC8"/>
    <w:rsid w:val="00290A2D"/>
    <w:rsid w:val="00294FC1"/>
    <w:rsid w:val="002A0E6A"/>
    <w:rsid w:val="002A10BA"/>
    <w:rsid w:val="002A2A2A"/>
    <w:rsid w:val="002A449B"/>
    <w:rsid w:val="002A7F5E"/>
    <w:rsid w:val="002B082B"/>
    <w:rsid w:val="002B0F09"/>
    <w:rsid w:val="002B39B7"/>
    <w:rsid w:val="002B61F0"/>
    <w:rsid w:val="002B68CB"/>
    <w:rsid w:val="002C0095"/>
    <w:rsid w:val="002C122A"/>
    <w:rsid w:val="002C21E1"/>
    <w:rsid w:val="002C6EA4"/>
    <w:rsid w:val="002D1723"/>
    <w:rsid w:val="002D6D8A"/>
    <w:rsid w:val="002D77D6"/>
    <w:rsid w:val="002E2F96"/>
    <w:rsid w:val="002E49C8"/>
    <w:rsid w:val="002E77DC"/>
    <w:rsid w:val="002F1151"/>
    <w:rsid w:val="002F41D3"/>
    <w:rsid w:val="0030300C"/>
    <w:rsid w:val="00306249"/>
    <w:rsid w:val="003062E8"/>
    <w:rsid w:val="0030645F"/>
    <w:rsid w:val="0031662A"/>
    <w:rsid w:val="00326CAF"/>
    <w:rsid w:val="003359BA"/>
    <w:rsid w:val="003477E8"/>
    <w:rsid w:val="00352D2F"/>
    <w:rsid w:val="00357ABC"/>
    <w:rsid w:val="00362FC9"/>
    <w:rsid w:val="003671E2"/>
    <w:rsid w:val="00372BA4"/>
    <w:rsid w:val="003803FF"/>
    <w:rsid w:val="003843F6"/>
    <w:rsid w:val="00385F2C"/>
    <w:rsid w:val="00387427"/>
    <w:rsid w:val="003964B1"/>
    <w:rsid w:val="003A007D"/>
    <w:rsid w:val="003A07FD"/>
    <w:rsid w:val="003A0881"/>
    <w:rsid w:val="003A2D37"/>
    <w:rsid w:val="003A51CB"/>
    <w:rsid w:val="003A7F0F"/>
    <w:rsid w:val="003B008A"/>
    <w:rsid w:val="003B2252"/>
    <w:rsid w:val="003B2928"/>
    <w:rsid w:val="003B49D3"/>
    <w:rsid w:val="003C1D7B"/>
    <w:rsid w:val="003C4ACE"/>
    <w:rsid w:val="003D3C30"/>
    <w:rsid w:val="003D5287"/>
    <w:rsid w:val="003E1B69"/>
    <w:rsid w:val="003E2A2D"/>
    <w:rsid w:val="003E4049"/>
    <w:rsid w:val="003E4A28"/>
    <w:rsid w:val="003E690A"/>
    <w:rsid w:val="003F229B"/>
    <w:rsid w:val="003F294A"/>
    <w:rsid w:val="003F3D4C"/>
    <w:rsid w:val="00400784"/>
    <w:rsid w:val="004030FE"/>
    <w:rsid w:val="00405B48"/>
    <w:rsid w:val="004103B2"/>
    <w:rsid w:val="00410456"/>
    <w:rsid w:val="00410AF7"/>
    <w:rsid w:val="004129B6"/>
    <w:rsid w:val="0041417A"/>
    <w:rsid w:val="004179DB"/>
    <w:rsid w:val="00422DA2"/>
    <w:rsid w:val="00423DB7"/>
    <w:rsid w:val="00430EAA"/>
    <w:rsid w:val="00431368"/>
    <w:rsid w:val="00432C17"/>
    <w:rsid w:val="00433AC9"/>
    <w:rsid w:val="004345B1"/>
    <w:rsid w:val="00434FF5"/>
    <w:rsid w:val="004404B1"/>
    <w:rsid w:val="00442782"/>
    <w:rsid w:val="004447DC"/>
    <w:rsid w:val="0045546B"/>
    <w:rsid w:val="00456946"/>
    <w:rsid w:val="004571B9"/>
    <w:rsid w:val="004602B6"/>
    <w:rsid w:val="0046044C"/>
    <w:rsid w:val="00461CCF"/>
    <w:rsid w:val="0046283C"/>
    <w:rsid w:val="00464176"/>
    <w:rsid w:val="00465F38"/>
    <w:rsid w:val="004662D9"/>
    <w:rsid w:val="0047202D"/>
    <w:rsid w:val="00475E77"/>
    <w:rsid w:val="00476DF2"/>
    <w:rsid w:val="00477335"/>
    <w:rsid w:val="0048091D"/>
    <w:rsid w:val="00480FDF"/>
    <w:rsid w:val="00481452"/>
    <w:rsid w:val="00482811"/>
    <w:rsid w:val="00483784"/>
    <w:rsid w:val="0049199D"/>
    <w:rsid w:val="004931AE"/>
    <w:rsid w:val="00493EEF"/>
    <w:rsid w:val="00495695"/>
    <w:rsid w:val="00497D3E"/>
    <w:rsid w:val="004A0232"/>
    <w:rsid w:val="004A496E"/>
    <w:rsid w:val="004A5D33"/>
    <w:rsid w:val="004B0039"/>
    <w:rsid w:val="004B2ED6"/>
    <w:rsid w:val="004B649A"/>
    <w:rsid w:val="004C0BD5"/>
    <w:rsid w:val="004C1739"/>
    <w:rsid w:val="004C1D1A"/>
    <w:rsid w:val="004C61AC"/>
    <w:rsid w:val="004C6DA2"/>
    <w:rsid w:val="004D21AA"/>
    <w:rsid w:val="004D50F7"/>
    <w:rsid w:val="004D63FE"/>
    <w:rsid w:val="004D6D95"/>
    <w:rsid w:val="004E344E"/>
    <w:rsid w:val="004E3B9B"/>
    <w:rsid w:val="004E5477"/>
    <w:rsid w:val="004F1DE3"/>
    <w:rsid w:val="004F7EFB"/>
    <w:rsid w:val="00501316"/>
    <w:rsid w:val="00502836"/>
    <w:rsid w:val="00502EC3"/>
    <w:rsid w:val="005034DE"/>
    <w:rsid w:val="00503CB4"/>
    <w:rsid w:val="005101F5"/>
    <w:rsid w:val="00512609"/>
    <w:rsid w:val="005134A0"/>
    <w:rsid w:val="005134D6"/>
    <w:rsid w:val="00514F1A"/>
    <w:rsid w:val="0051753C"/>
    <w:rsid w:val="00521643"/>
    <w:rsid w:val="005310BF"/>
    <w:rsid w:val="005320E5"/>
    <w:rsid w:val="00534EA1"/>
    <w:rsid w:val="00535713"/>
    <w:rsid w:val="005422EF"/>
    <w:rsid w:val="00542A19"/>
    <w:rsid w:val="00543401"/>
    <w:rsid w:val="0054343F"/>
    <w:rsid w:val="00546BC3"/>
    <w:rsid w:val="00546E07"/>
    <w:rsid w:val="00552277"/>
    <w:rsid w:val="005628C4"/>
    <w:rsid w:val="005708D0"/>
    <w:rsid w:val="005713FC"/>
    <w:rsid w:val="00571557"/>
    <w:rsid w:val="00574B5C"/>
    <w:rsid w:val="00575001"/>
    <w:rsid w:val="00580DCD"/>
    <w:rsid w:val="0058606E"/>
    <w:rsid w:val="0059264B"/>
    <w:rsid w:val="00597AEE"/>
    <w:rsid w:val="005A153C"/>
    <w:rsid w:val="005A293E"/>
    <w:rsid w:val="005A3674"/>
    <w:rsid w:val="005A3D65"/>
    <w:rsid w:val="005A7389"/>
    <w:rsid w:val="005B1708"/>
    <w:rsid w:val="005B7659"/>
    <w:rsid w:val="005B79BF"/>
    <w:rsid w:val="005C28FF"/>
    <w:rsid w:val="005C469C"/>
    <w:rsid w:val="005C7E55"/>
    <w:rsid w:val="005D0D67"/>
    <w:rsid w:val="005D490F"/>
    <w:rsid w:val="005D5291"/>
    <w:rsid w:val="005D77CB"/>
    <w:rsid w:val="005E29C8"/>
    <w:rsid w:val="005E6E97"/>
    <w:rsid w:val="005F125B"/>
    <w:rsid w:val="005F34F1"/>
    <w:rsid w:val="005F6274"/>
    <w:rsid w:val="005F6E38"/>
    <w:rsid w:val="006074D3"/>
    <w:rsid w:val="00607D2E"/>
    <w:rsid w:val="00607FB0"/>
    <w:rsid w:val="006102E5"/>
    <w:rsid w:val="006117A0"/>
    <w:rsid w:val="006148DD"/>
    <w:rsid w:val="00621A9B"/>
    <w:rsid w:val="006220FF"/>
    <w:rsid w:val="006355AF"/>
    <w:rsid w:val="006405AA"/>
    <w:rsid w:val="00640C79"/>
    <w:rsid w:val="00641CC3"/>
    <w:rsid w:val="006433A6"/>
    <w:rsid w:val="0064352B"/>
    <w:rsid w:val="00643A40"/>
    <w:rsid w:val="00645BA8"/>
    <w:rsid w:val="00651846"/>
    <w:rsid w:val="00653DFE"/>
    <w:rsid w:val="0065418B"/>
    <w:rsid w:val="00654B2E"/>
    <w:rsid w:val="00656112"/>
    <w:rsid w:val="006564CA"/>
    <w:rsid w:val="00661906"/>
    <w:rsid w:val="00661B47"/>
    <w:rsid w:val="00661F59"/>
    <w:rsid w:val="00663AAE"/>
    <w:rsid w:val="00673C3C"/>
    <w:rsid w:val="006757A6"/>
    <w:rsid w:val="00675B8D"/>
    <w:rsid w:val="00684057"/>
    <w:rsid w:val="006841B2"/>
    <w:rsid w:val="00690BA9"/>
    <w:rsid w:val="00694066"/>
    <w:rsid w:val="00695588"/>
    <w:rsid w:val="006A1123"/>
    <w:rsid w:val="006A1B2A"/>
    <w:rsid w:val="006A353F"/>
    <w:rsid w:val="006A7B21"/>
    <w:rsid w:val="006B03CA"/>
    <w:rsid w:val="006B082C"/>
    <w:rsid w:val="006B53A3"/>
    <w:rsid w:val="006C14EE"/>
    <w:rsid w:val="006C2C9A"/>
    <w:rsid w:val="006C5060"/>
    <w:rsid w:val="006D0173"/>
    <w:rsid w:val="006D5464"/>
    <w:rsid w:val="006D63EC"/>
    <w:rsid w:val="006E2429"/>
    <w:rsid w:val="006E47D4"/>
    <w:rsid w:val="006F0D18"/>
    <w:rsid w:val="006F0E84"/>
    <w:rsid w:val="006F1B7F"/>
    <w:rsid w:val="006F4599"/>
    <w:rsid w:val="006F5CDB"/>
    <w:rsid w:val="006F6CC4"/>
    <w:rsid w:val="006F6F76"/>
    <w:rsid w:val="007068B9"/>
    <w:rsid w:val="007107CC"/>
    <w:rsid w:val="007139D9"/>
    <w:rsid w:val="00713DB3"/>
    <w:rsid w:val="00715922"/>
    <w:rsid w:val="00716B21"/>
    <w:rsid w:val="007207EB"/>
    <w:rsid w:val="00721CF1"/>
    <w:rsid w:val="00722576"/>
    <w:rsid w:val="00722D95"/>
    <w:rsid w:val="007269A7"/>
    <w:rsid w:val="00726D98"/>
    <w:rsid w:val="00727756"/>
    <w:rsid w:val="00730537"/>
    <w:rsid w:val="00730E84"/>
    <w:rsid w:val="00733785"/>
    <w:rsid w:val="007344F5"/>
    <w:rsid w:val="00735643"/>
    <w:rsid w:val="00741373"/>
    <w:rsid w:val="00741C89"/>
    <w:rsid w:val="00744523"/>
    <w:rsid w:val="00746EF0"/>
    <w:rsid w:val="007470D9"/>
    <w:rsid w:val="00751E59"/>
    <w:rsid w:val="0075295A"/>
    <w:rsid w:val="0076267E"/>
    <w:rsid w:val="00763B1B"/>
    <w:rsid w:val="007717B1"/>
    <w:rsid w:val="00772F34"/>
    <w:rsid w:val="00775977"/>
    <w:rsid w:val="007763CD"/>
    <w:rsid w:val="00776AA9"/>
    <w:rsid w:val="00777A28"/>
    <w:rsid w:val="00781DBC"/>
    <w:rsid w:val="00781DEA"/>
    <w:rsid w:val="007833A5"/>
    <w:rsid w:val="00785E62"/>
    <w:rsid w:val="00791B70"/>
    <w:rsid w:val="00794846"/>
    <w:rsid w:val="00795017"/>
    <w:rsid w:val="007A0B5A"/>
    <w:rsid w:val="007A627D"/>
    <w:rsid w:val="007A70B8"/>
    <w:rsid w:val="007B18B8"/>
    <w:rsid w:val="007B2A64"/>
    <w:rsid w:val="007B2CCE"/>
    <w:rsid w:val="007B35C9"/>
    <w:rsid w:val="007B6429"/>
    <w:rsid w:val="007B6E84"/>
    <w:rsid w:val="007C14E8"/>
    <w:rsid w:val="007C3E06"/>
    <w:rsid w:val="007D13EB"/>
    <w:rsid w:val="007D169C"/>
    <w:rsid w:val="007D2F0B"/>
    <w:rsid w:val="007D4BEE"/>
    <w:rsid w:val="007D4E3C"/>
    <w:rsid w:val="007D572A"/>
    <w:rsid w:val="007D6B7F"/>
    <w:rsid w:val="007D6D16"/>
    <w:rsid w:val="007E149F"/>
    <w:rsid w:val="007E1705"/>
    <w:rsid w:val="007E57B2"/>
    <w:rsid w:val="007F2107"/>
    <w:rsid w:val="007F4A2E"/>
    <w:rsid w:val="00804229"/>
    <w:rsid w:val="008063B1"/>
    <w:rsid w:val="008139A0"/>
    <w:rsid w:val="008150EC"/>
    <w:rsid w:val="00816557"/>
    <w:rsid w:val="008205A7"/>
    <w:rsid w:val="008267EB"/>
    <w:rsid w:val="00827051"/>
    <w:rsid w:val="00827178"/>
    <w:rsid w:val="008330A2"/>
    <w:rsid w:val="00833158"/>
    <w:rsid w:val="00833163"/>
    <w:rsid w:val="00837E06"/>
    <w:rsid w:val="0084045C"/>
    <w:rsid w:val="008411E9"/>
    <w:rsid w:val="00844C57"/>
    <w:rsid w:val="00846365"/>
    <w:rsid w:val="00846586"/>
    <w:rsid w:val="0084684F"/>
    <w:rsid w:val="008519C9"/>
    <w:rsid w:val="00856183"/>
    <w:rsid w:val="00857158"/>
    <w:rsid w:val="00862E49"/>
    <w:rsid w:val="00872701"/>
    <w:rsid w:val="00873800"/>
    <w:rsid w:val="0087506B"/>
    <w:rsid w:val="00876297"/>
    <w:rsid w:val="008763F3"/>
    <w:rsid w:val="008866B7"/>
    <w:rsid w:val="008916A9"/>
    <w:rsid w:val="00892127"/>
    <w:rsid w:val="008942B3"/>
    <w:rsid w:val="008977E7"/>
    <w:rsid w:val="008A498B"/>
    <w:rsid w:val="008A7EBD"/>
    <w:rsid w:val="008B1581"/>
    <w:rsid w:val="008B5743"/>
    <w:rsid w:val="008B5CC5"/>
    <w:rsid w:val="008D4E33"/>
    <w:rsid w:val="008E10CC"/>
    <w:rsid w:val="008E3356"/>
    <w:rsid w:val="008E3F0A"/>
    <w:rsid w:val="008E4AB6"/>
    <w:rsid w:val="008E60E9"/>
    <w:rsid w:val="008E6695"/>
    <w:rsid w:val="008F440E"/>
    <w:rsid w:val="008F7092"/>
    <w:rsid w:val="00901DED"/>
    <w:rsid w:val="009064EA"/>
    <w:rsid w:val="00911672"/>
    <w:rsid w:val="00911DE6"/>
    <w:rsid w:val="009120A2"/>
    <w:rsid w:val="00913621"/>
    <w:rsid w:val="00922089"/>
    <w:rsid w:val="009260D7"/>
    <w:rsid w:val="00932151"/>
    <w:rsid w:val="009355BB"/>
    <w:rsid w:val="00935F58"/>
    <w:rsid w:val="009417BD"/>
    <w:rsid w:val="00943587"/>
    <w:rsid w:val="00943FDE"/>
    <w:rsid w:val="0094552C"/>
    <w:rsid w:val="00950329"/>
    <w:rsid w:val="009601C4"/>
    <w:rsid w:val="00965411"/>
    <w:rsid w:val="009661D1"/>
    <w:rsid w:val="009669EB"/>
    <w:rsid w:val="0097086F"/>
    <w:rsid w:val="00971890"/>
    <w:rsid w:val="00972741"/>
    <w:rsid w:val="00984307"/>
    <w:rsid w:val="00986548"/>
    <w:rsid w:val="00992EA0"/>
    <w:rsid w:val="009A403D"/>
    <w:rsid w:val="009A56D1"/>
    <w:rsid w:val="009A7560"/>
    <w:rsid w:val="009A7AB0"/>
    <w:rsid w:val="009B0A75"/>
    <w:rsid w:val="009B1CC3"/>
    <w:rsid w:val="009B2AD7"/>
    <w:rsid w:val="009B3B3C"/>
    <w:rsid w:val="009B536A"/>
    <w:rsid w:val="009C14E6"/>
    <w:rsid w:val="009C5234"/>
    <w:rsid w:val="009D4B55"/>
    <w:rsid w:val="009D7099"/>
    <w:rsid w:val="009E55EF"/>
    <w:rsid w:val="009F11CD"/>
    <w:rsid w:val="009F44AA"/>
    <w:rsid w:val="009F7C33"/>
    <w:rsid w:val="00A03CCE"/>
    <w:rsid w:val="00A057D2"/>
    <w:rsid w:val="00A061AA"/>
    <w:rsid w:val="00A074B3"/>
    <w:rsid w:val="00A11F67"/>
    <w:rsid w:val="00A12511"/>
    <w:rsid w:val="00A155D6"/>
    <w:rsid w:val="00A172E5"/>
    <w:rsid w:val="00A17375"/>
    <w:rsid w:val="00A22518"/>
    <w:rsid w:val="00A24784"/>
    <w:rsid w:val="00A25F1C"/>
    <w:rsid w:val="00A43523"/>
    <w:rsid w:val="00A46C15"/>
    <w:rsid w:val="00A53540"/>
    <w:rsid w:val="00A53E00"/>
    <w:rsid w:val="00A53F69"/>
    <w:rsid w:val="00A54534"/>
    <w:rsid w:val="00A575A5"/>
    <w:rsid w:val="00A5784E"/>
    <w:rsid w:val="00A60C33"/>
    <w:rsid w:val="00A61D38"/>
    <w:rsid w:val="00A666A6"/>
    <w:rsid w:val="00A66B55"/>
    <w:rsid w:val="00A70D0A"/>
    <w:rsid w:val="00A72DFC"/>
    <w:rsid w:val="00A76694"/>
    <w:rsid w:val="00A77026"/>
    <w:rsid w:val="00A847EE"/>
    <w:rsid w:val="00A85D59"/>
    <w:rsid w:val="00A93BE7"/>
    <w:rsid w:val="00A95ACB"/>
    <w:rsid w:val="00A95C72"/>
    <w:rsid w:val="00A97156"/>
    <w:rsid w:val="00AA5165"/>
    <w:rsid w:val="00AA57B2"/>
    <w:rsid w:val="00AB0D69"/>
    <w:rsid w:val="00AB5F8C"/>
    <w:rsid w:val="00AB6D2D"/>
    <w:rsid w:val="00AB76A2"/>
    <w:rsid w:val="00AB789F"/>
    <w:rsid w:val="00AC1277"/>
    <w:rsid w:val="00AC2064"/>
    <w:rsid w:val="00AC6E10"/>
    <w:rsid w:val="00AC7142"/>
    <w:rsid w:val="00AD2C3B"/>
    <w:rsid w:val="00AD4313"/>
    <w:rsid w:val="00AD5226"/>
    <w:rsid w:val="00AE47FE"/>
    <w:rsid w:val="00AF131C"/>
    <w:rsid w:val="00AF1FC3"/>
    <w:rsid w:val="00AF27BF"/>
    <w:rsid w:val="00AF4C5A"/>
    <w:rsid w:val="00AF6D9D"/>
    <w:rsid w:val="00B01594"/>
    <w:rsid w:val="00B033E4"/>
    <w:rsid w:val="00B047AB"/>
    <w:rsid w:val="00B06949"/>
    <w:rsid w:val="00B07493"/>
    <w:rsid w:val="00B12FAC"/>
    <w:rsid w:val="00B13C21"/>
    <w:rsid w:val="00B15845"/>
    <w:rsid w:val="00B2327E"/>
    <w:rsid w:val="00B27D54"/>
    <w:rsid w:val="00B31A40"/>
    <w:rsid w:val="00B338AA"/>
    <w:rsid w:val="00B36D3E"/>
    <w:rsid w:val="00B370C8"/>
    <w:rsid w:val="00B40D27"/>
    <w:rsid w:val="00B47B95"/>
    <w:rsid w:val="00B52B96"/>
    <w:rsid w:val="00B6457F"/>
    <w:rsid w:val="00B75858"/>
    <w:rsid w:val="00B75A04"/>
    <w:rsid w:val="00B76C6B"/>
    <w:rsid w:val="00B76F3E"/>
    <w:rsid w:val="00B815F4"/>
    <w:rsid w:val="00B824CD"/>
    <w:rsid w:val="00B84267"/>
    <w:rsid w:val="00B91D15"/>
    <w:rsid w:val="00BA51FB"/>
    <w:rsid w:val="00BA6761"/>
    <w:rsid w:val="00BB762C"/>
    <w:rsid w:val="00BC087D"/>
    <w:rsid w:val="00BC63D3"/>
    <w:rsid w:val="00BC7136"/>
    <w:rsid w:val="00BD0823"/>
    <w:rsid w:val="00BD30FB"/>
    <w:rsid w:val="00BD3BAE"/>
    <w:rsid w:val="00BD531B"/>
    <w:rsid w:val="00BE4C82"/>
    <w:rsid w:val="00BE502D"/>
    <w:rsid w:val="00BE6BE9"/>
    <w:rsid w:val="00BE6DDE"/>
    <w:rsid w:val="00BF1070"/>
    <w:rsid w:val="00BF31DF"/>
    <w:rsid w:val="00BF6385"/>
    <w:rsid w:val="00BF7359"/>
    <w:rsid w:val="00BF7EF2"/>
    <w:rsid w:val="00C00220"/>
    <w:rsid w:val="00C025F3"/>
    <w:rsid w:val="00C128B4"/>
    <w:rsid w:val="00C12942"/>
    <w:rsid w:val="00C1694E"/>
    <w:rsid w:val="00C1797D"/>
    <w:rsid w:val="00C2422B"/>
    <w:rsid w:val="00C335A8"/>
    <w:rsid w:val="00C3450D"/>
    <w:rsid w:val="00C355F6"/>
    <w:rsid w:val="00C420C0"/>
    <w:rsid w:val="00C435A4"/>
    <w:rsid w:val="00C44911"/>
    <w:rsid w:val="00C47A4C"/>
    <w:rsid w:val="00C5355E"/>
    <w:rsid w:val="00C54DE9"/>
    <w:rsid w:val="00C551D9"/>
    <w:rsid w:val="00C70EE3"/>
    <w:rsid w:val="00C80021"/>
    <w:rsid w:val="00C80928"/>
    <w:rsid w:val="00C817A9"/>
    <w:rsid w:val="00C81E7D"/>
    <w:rsid w:val="00C827F8"/>
    <w:rsid w:val="00C90303"/>
    <w:rsid w:val="00C9181D"/>
    <w:rsid w:val="00C91EE7"/>
    <w:rsid w:val="00C9748A"/>
    <w:rsid w:val="00CA2E8B"/>
    <w:rsid w:val="00CA53DF"/>
    <w:rsid w:val="00CA55B5"/>
    <w:rsid w:val="00CA7FF0"/>
    <w:rsid w:val="00CB19F2"/>
    <w:rsid w:val="00CB4F24"/>
    <w:rsid w:val="00CC158D"/>
    <w:rsid w:val="00CD0A32"/>
    <w:rsid w:val="00CD2392"/>
    <w:rsid w:val="00CD3777"/>
    <w:rsid w:val="00CD4384"/>
    <w:rsid w:val="00CD5558"/>
    <w:rsid w:val="00CD5764"/>
    <w:rsid w:val="00CE0C99"/>
    <w:rsid w:val="00CE2EEC"/>
    <w:rsid w:val="00CE506A"/>
    <w:rsid w:val="00CE5B0F"/>
    <w:rsid w:val="00CF0B5A"/>
    <w:rsid w:val="00CF22F2"/>
    <w:rsid w:val="00D04205"/>
    <w:rsid w:val="00D10534"/>
    <w:rsid w:val="00D11C00"/>
    <w:rsid w:val="00D132C5"/>
    <w:rsid w:val="00D1612F"/>
    <w:rsid w:val="00D16C48"/>
    <w:rsid w:val="00D2004B"/>
    <w:rsid w:val="00D227CB"/>
    <w:rsid w:val="00D2541C"/>
    <w:rsid w:val="00D30B19"/>
    <w:rsid w:val="00D46926"/>
    <w:rsid w:val="00D47125"/>
    <w:rsid w:val="00D47CEA"/>
    <w:rsid w:val="00D5117B"/>
    <w:rsid w:val="00D54B23"/>
    <w:rsid w:val="00D5506F"/>
    <w:rsid w:val="00D55DDC"/>
    <w:rsid w:val="00D57CF9"/>
    <w:rsid w:val="00D67C8B"/>
    <w:rsid w:val="00D7263B"/>
    <w:rsid w:val="00D7742F"/>
    <w:rsid w:val="00D77A48"/>
    <w:rsid w:val="00D81535"/>
    <w:rsid w:val="00D81BAD"/>
    <w:rsid w:val="00D83347"/>
    <w:rsid w:val="00D848D2"/>
    <w:rsid w:val="00D850B3"/>
    <w:rsid w:val="00D90AD6"/>
    <w:rsid w:val="00D91837"/>
    <w:rsid w:val="00D923C9"/>
    <w:rsid w:val="00D959C4"/>
    <w:rsid w:val="00D976CE"/>
    <w:rsid w:val="00DA3A6F"/>
    <w:rsid w:val="00DA66A6"/>
    <w:rsid w:val="00DA7ABC"/>
    <w:rsid w:val="00DB00D8"/>
    <w:rsid w:val="00DB091D"/>
    <w:rsid w:val="00DB2916"/>
    <w:rsid w:val="00DB4AB2"/>
    <w:rsid w:val="00DB5997"/>
    <w:rsid w:val="00DB5D12"/>
    <w:rsid w:val="00DC0138"/>
    <w:rsid w:val="00DC2398"/>
    <w:rsid w:val="00DC27BB"/>
    <w:rsid w:val="00DC369E"/>
    <w:rsid w:val="00DC4E45"/>
    <w:rsid w:val="00DC53A1"/>
    <w:rsid w:val="00DC5587"/>
    <w:rsid w:val="00DC6C9D"/>
    <w:rsid w:val="00DD655B"/>
    <w:rsid w:val="00DE25F6"/>
    <w:rsid w:val="00DE3E07"/>
    <w:rsid w:val="00DE7D70"/>
    <w:rsid w:val="00DF03F4"/>
    <w:rsid w:val="00DF3093"/>
    <w:rsid w:val="00E047E8"/>
    <w:rsid w:val="00E04B32"/>
    <w:rsid w:val="00E07502"/>
    <w:rsid w:val="00E152BC"/>
    <w:rsid w:val="00E16920"/>
    <w:rsid w:val="00E212A9"/>
    <w:rsid w:val="00E22A82"/>
    <w:rsid w:val="00E23635"/>
    <w:rsid w:val="00E24DB2"/>
    <w:rsid w:val="00E303A9"/>
    <w:rsid w:val="00E31F25"/>
    <w:rsid w:val="00E33D48"/>
    <w:rsid w:val="00E33E45"/>
    <w:rsid w:val="00E340ED"/>
    <w:rsid w:val="00E43221"/>
    <w:rsid w:val="00E446BC"/>
    <w:rsid w:val="00E52934"/>
    <w:rsid w:val="00E56CBB"/>
    <w:rsid w:val="00E63987"/>
    <w:rsid w:val="00E66141"/>
    <w:rsid w:val="00E66187"/>
    <w:rsid w:val="00E6781B"/>
    <w:rsid w:val="00E74BC5"/>
    <w:rsid w:val="00E80071"/>
    <w:rsid w:val="00E80746"/>
    <w:rsid w:val="00E81F9F"/>
    <w:rsid w:val="00E842FA"/>
    <w:rsid w:val="00E85061"/>
    <w:rsid w:val="00E86EAC"/>
    <w:rsid w:val="00E87F00"/>
    <w:rsid w:val="00E87F48"/>
    <w:rsid w:val="00E94DE5"/>
    <w:rsid w:val="00E969DD"/>
    <w:rsid w:val="00EA2877"/>
    <w:rsid w:val="00EA358C"/>
    <w:rsid w:val="00EA3C82"/>
    <w:rsid w:val="00EA4ADF"/>
    <w:rsid w:val="00EA52DF"/>
    <w:rsid w:val="00EA5780"/>
    <w:rsid w:val="00EB1FD0"/>
    <w:rsid w:val="00EB2689"/>
    <w:rsid w:val="00EB6332"/>
    <w:rsid w:val="00EC0201"/>
    <w:rsid w:val="00EC1A15"/>
    <w:rsid w:val="00EC3E2B"/>
    <w:rsid w:val="00EC66CE"/>
    <w:rsid w:val="00EC6BAE"/>
    <w:rsid w:val="00ED0233"/>
    <w:rsid w:val="00ED259E"/>
    <w:rsid w:val="00ED5274"/>
    <w:rsid w:val="00EE0F91"/>
    <w:rsid w:val="00EE3C67"/>
    <w:rsid w:val="00EE3C84"/>
    <w:rsid w:val="00EE3DBA"/>
    <w:rsid w:val="00EF1052"/>
    <w:rsid w:val="00EF35D1"/>
    <w:rsid w:val="00EF4FC0"/>
    <w:rsid w:val="00EF5C15"/>
    <w:rsid w:val="00EF5D0B"/>
    <w:rsid w:val="00F014AC"/>
    <w:rsid w:val="00F0459E"/>
    <w:rsid w:val="00F04643"/>
    <w:rsid w:val="00F04909"/>
    <w:rsid w:val="00F049A0"/>
    <w:rsid w:val="00F1533A"/>
    <w:rsid w:val="00F21749"/>
    <w:rsid w:val="00F222D8"/>
    <w:rsid w:val="00F246B0"/>
    <w:rsid w:val="00F26D17"/>
    <w:rsid w:val="00F336DE"/>
    <w:rsid w:val="00F37A92"/>
    <w:rsid w:val="00F41EEA"/>
    <w:rsid w:val="00F501E1"/>
    <w:rsid w:val="00F53E9E"/>
    <w:rsid w:val="00F55218"/>
    <w:rsid w:val="00F55259"/>
    <w:rsid w:val="00F55D9F"/>
    <w:rsid w:val="00F601EF"/>
    <w:rsid w:val="00F60A06"/>
    <w:rsid w:val="00F6171C"/>
    <w:rsid w:val="00F65242"/>
    <w:rsid w:val="00F71CF3"/>
    <w:rsid w:val="00F72630"/>
    <w:rsid w:val="00F75188"/>
    <w:rsid w:val="00F82826"/>
    <w:rsid w:val="00F82B41"/>
    <w:rsid w:val="00F84B8A"/>
    <w:rsid w:val="00F85D1C"/>
    <w:rsid w:val="00F87A0D"/>
    <w:rsid w:val="00F900E6"/>
    <w:rsid w:val="00F91904"/>
    <w:rsid w:val="00F91C23"/>
    <w:rsid w:val="00F92441"/>
    <w:rsid w:val="00FA19B0"/>
    <w:rsid w:val="00FA3934"/>
    <w:rsid w:val="00FA6960"/>
    <w:rsid w:val="00FB16D1"/>
    <w:rsid w:val="00FB74A2"/>
    <w:rsid w:val="00FB77CE"/>
    <w:rsid w:val="00FC16BE"/>
    <w:rsid w:val="00FC19FB"/>
    <w:rsid w:val="00FC2458"/>
    <w:rsid w:val="00FC622F"/>
    <w:rsid w:val="00FD0E69"/>
    <w:rsid w:val="00FD3A56"/>
    <w:rsid w:val="00FD5DCC"/>
    <w:rsid w:val="00FE09BD"/>
    <w:rsid w:val="00FE5A7F"/>
    <w:rsid w:val="00FF1B33"/>
    <w:rsid w:val="00FF6E08"/>
    <w:rsid w:val="00FF7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1CCF"/>
    <w:pPr>
      <w:ind w:left="720"/>
      <w:contextualSpacing/>
    </w:p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Footnote Text1,f"/>
    <w:basedOn w:val="Normal"/>
    <w:link w:val="FootnoteTextChar"/>
    <w:uiPriority w:val="99"/>
    <w:qFormat/>
    <w:rsid w:val="00461CCF"/>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461CCF"/>
    <w:rPr>
      <w:rFonts w:ascii="Times New Roman" w:eastAsia="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uiPriority w:val="99"/>
    <w:rsid w:val="00461CCF"/>
    <w:rPr>
      <w:vertAlign w:val="superscript"/>
    </w:rPr>
  </w:style>
  <w:style w:type="paragraph" w:styleId="BalloonText">
    <w:name w:val="Balloon Text"/>
    <w:basedOn w:val="Normal"/>
    <w:link w:val="BalloonTextChar"/>
    <w:uiPriority w:val="99"/>
    <w:semiHidden/>
    <w:unhideWhenUsed/>
    <w:rsid w:val="0046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CF"/>
    <w:rPr>
      <w:rFonts w:ascii="Tahoma" w:eastAsia="Calibri" w:hAnsi="Tahoma" w:cs="Tahoma"/>
      <w:sz w:val="16"/>
      <w:szCs w:val="16"/>
    </w:rPr>
  </w:style>
  <w:style w:type="character" w:styleId="CommentReference">
    <w:name w:val="annotation reference"/>
    <w:basedOn w:val="DefaultParagraphFont"/>
    <w:uiPriority w:val="99"/>
    <w:semiHidden/>
    <w:unhideWhenUsed/>
    <w:rsid w:val="00F04643"/>
    <w:rPr>
      <w:sz w:val="16"/>
      <w:szCs w:val="16"/>
    </w:rPr>
  </w:style>
  <w:style w:type="paragraph" w:styleId="CommentText">
    <w:name w:val="annotation text"/>
    <w:basedOn w:val="Normal"/>
    <w:link w:val="CommentTextChar"/>
    <w:uiPriority w:val="99"/>
    <w:semiHidden/>
    <w:unhideWhenUsed/>
    <w:rsid w:val="00F04643"/>
    <w:pPr>
      <w:spacing w:line="240" w:lineRule="auto"/>
    </w:pPr>
    <w:rPr>
      <w:sz w:val="20"/>
      <w:szCs w:val="20"/>
    </w:rPr>
  </w:style>
  <w:style w:type="character" w:customStyle="1" w:styleId="CommentTextChar">
    <w:name w:val="Comment Text Char"/>
    <w:basedOn w:val="DefaultParagraphFont"/>
    <w:link w:val="CommentText"/>
    <w:uiPriority w:val="99"/>
    <w:semiHidden/>
    <w:rsid w:val="00F046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4643"/>
    <w:rPr>
      <w:b/>
      <w:bCs/>
    </w:rPr>
  </w:style>
  <w:style w:type="character" w:customStyle="1" w:styleId="CommentSubjectChar">
    <w:name w:val="Comment Subject Char"/>
    <w:basedOn w:val="CommentTextChar"/>
    <w:link w:val="CommentSubject"/>
    <w:uiPriority w:val="99"/>
    <w:semiHidden/>
    <w:rsid w:val="00F04643"/>
    <w:rPr>
      <w:rFonts w:ascii="Calibri" w:eastAsia="Calibri" w:hAnsi="Calibri" w:cs="Times New Roman"/>
      <w:b/>
      <w:bCs/>
      <w:sz w:val="20"/>
      <w:szCs w:val="20"/>
    </w:rPr>
  </w:style>
  <w:style w:type="character" w:customStyle="1" w:styleId="ListParagraphChar">
    <w:name w:val="List Paragraph Char"/>
    <w:link w:val="ListParagraph"/>
    <w:uiPriority w:val="99"/>
    <w:locked/>
    <w:rsid w:val="00207989"/>
    <w:rPr>
      <w:rFonts w:ascii="Calibri" w:eastAsia="Calibri" w:hAnsi="Calibri" w:cs="Times New Roman"/>
    </w:rPr>
  </w:style>
  <w:style w:type="character" w:customStyle="1" w:styleId="AERtextitalic">
    <w:name w:val="AER text italic"/>
    <w:qFormat/>
    <w:rsid w:val="00432C17"/>
    <w:rPr>
      <w:i/>
    </w:rPr>
  </w:style>
  <w:style w:type="paragraph" w:customStyle="1" w:styleId="Text">
    <w:name w:val="Text"/>
    <w:basedOn w:val="Normal"/>
    <w:rsid w:val="00DB091D"/>
    <w:pPr>
      <w:spacing w:after="0" w:line="240" w:lineRule="auto"/>
      <w:ind w:left="709"/>
      <w:jc w:val="both"/>
    </w:pPr>
    <w:rPr>
      <w:rFonts w:ascii="Arial Narrow" w:eastAsia="Times New Roman" w:hAnsi="Arial Narrow"/>
      <w:sz w:val="24"/>
      <w:szCs w:val="20"/>
      <w:lang w:val="en-GB"/>
    </w:rPr>
  </w:style>
  <w:style w:type="paragraph" w:customStyle="1" w:styleId="AERbulletlistfirststyle">
    <w:name w:val="AER bullet list (first style)"/>
    <w:basedOn w:val="Normal"/>
    <w:qFormat/>
    <w:rsid w:val="00422DA2"/>
    <w:pPr>
      <w:numPr>
        <w:numId w:val="31"/>
      </w:numPr>
      <w:tabs>
        <w:tab w:val="clear" w:pos="1071"/>
        <w:tab w:val="num" w:pos="357"/>
      </w:tabs>
      <w:spacing w:line="240" w:lineRule="atLeast"/>
      <w:ind w:left="357"/>
      <w:jc w:val="both"/>
    </w:pPr>
    <w:rPr>
      <w:rFonts w:ascii="Gautami" w:eastAsia="Times New Roman" w:hAnsi="Gautam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61CCF"/>
    <w:pPr>
      <w:ind w:left="720"/>
      <w:contextualSpacing/>
    </w:p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Footnote Text1,f"/>
    <w:basedOn w:val="Normal"/>
    <w:link w:val="FootnoteTextChar"/>
    <w:uiPriority w:val="99"/>
    <w:qFormat/>
    <w:rsid w:val="00461CCF"/>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461CCF"/>
    <w:rPr>
      <w:rFonts w:ascii="Times New Roman" w:eastAsia="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uiPriority w:val="99"/>
    <w:rsid w:val="00461CCF"/>
    <w:rPr>
      <w:vertAlign w:val="superscript"/>
    </w:rPr>
  </w:style>
  <w:style w:type="paragraph" w:styleId="BalloonText">
    <w:name w:val="Balloon Text"/>
    <w:basedOn w:val="Normal"/>
    <w:link w:val="BalloonTextChar"/>
    <w:uiPriority w:val="99"/>
    <w:semiHidden/>
    <w:unhideWhenUsed/>
    <w:rsid w:val="0046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CF"/>
    <w:rPr>
      <w:rFonts w:ascii="Tahoma" w:eastAsia="Calibri" w:hAnsi="Tahoma" w:cs="Tahoma"/>
      <w:sz w:val="16"/>
      <w:szCs w:val="16"/>
    </w:rPr>
  </w:style>
  <w:style w:type="character" w:styleId="CommentReference">
    <w:name w:val="annotation reference"/>
    <w:basedOn w:val="DefaultParagraphFont"/>
    <w:uiPriority w:val="99"/>
    <w:semiHidden/>
    <w:unhideWhenUsed/>
    <w:rsid w:val="00F04643"/>
    <w:rPr>
      <w:sz w:val="16"/>
      <w:szCs w:val="16"/>
    </w:rPr>
  </w:style>
  <w:style w:type="paragraph" w:styleId="CommentText">
    <w:name w:val="annotation text"/>
    <w:basedOn w:val="Normal"/>
    <w:link w:val="CommentTextChar"/>
    <w:uiPriority w:val="99"/>
    <w:semiHidden/>
    <w:unhideWhenUsed/>
    <w:rsid w:val="00F04643"/>
    <w:pPr>
      <w:spacing w:line="240" w:lineRule="auto"/>
    </w:pPr>
    <w:rPr>
      <w:sz w:val="20"/>
      <w:szCs w:val="20"/>
    </w:rPr>
  </w:style>
  <w:style w:type="character" w:customStyle="1" w:styleId="CommentTextChar">
    <w:name w:val="Comment Text Char"/>
    <w:basedOn w:val="DefaultParagraphFont"/>
    <w:link w:val="CommentText"/>
    <w:uiPriority w:val="99"/>
    <w:semiHidden/>
    <w:rsid w:val="00F046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4643"/>
    <w:rPr>
      <w:b/>
      <w:bCs/>
    </w:rPr>
  </w:style>
  <w:style w:type="character" w:customStyle="1" w:styleId="CommentSubjectChar">
    <w:name w:val="Comment Subject Char"/>
    <w:basedOn w:val="CommentTextChar"/>
    <w:link w:val="CommentSubject"/>
    <w:uiPriority w:val="99"/>
    <w:semiHidden/>
    <w:rsid w:val="00F04643"/>
    <w:rPr>
      <w:rFonts w:ascii="Calibri" w:eastAsia="Calibri" w:hAnsi="Calibri" w:cs="Times New Roman"/>
      <w:b/>
      <w:bCs/>
      <w:sz w:val="20"/>
      <w:szCs w:val="20"/>
    </w:rPr>
  </w:style>
  <w:style w:type="character" w:customStyle="1" w:styleId="ListParagraphChar">
    <w:name w:val="List Paragraph Char"/>
    <w:link w:val="ListParagraph"/>
    <w:uiPriority w:val="99"/>
    <w:locked/>
    <w:rsid w:val="00207989"/>
    <w:rPr>
      <w:rFonts w:ascii="Calibri" w:eastAsia="Calibri" w:hAnsi="Calibri" w:cs="Times New Roman"/>
    </w:rPr>
  </w:style>
  <w:style w:type="character" w:customStyle="1" w:styleId="AERtextitalic">
    <w:name w:val="AER text italic"/>
    <w:qFormat/>
    <w:rsid w:val="00432C17"/>
    <w:rPr>
      <w:i/>
    </w:rPr>
  </w:style>
  <w:style w:type="paragraph" w:customStyle="1" w:styleId="Text">
    <w:name w:val="Text"/>
    <w:basedOn w:val="Normal"/>
    <w:rsid w:val="00DB091D"/>
    <w:pPr>
      <w:spacing w:after="0" w:line="240" w:lineRule="auto"/>
      <w:ind w:left="709"/>
      <w:jc w:val="both"/>
    </w:pPr>
    <w:rPr>
      <w:rFonts w:ascii="Arial Narrow" w:eastAsia="Times New Roman" w:hAnsi="Arial Narrow"/>
      <w:sz w:val="24"/>
      <w:szCs w:val="20"/>
      <w:lang w:val="en-GB"/>
    </w:rPr>
  </w:style>
  <w:style w:type="paragraph" w:customStyle="1" w:styleId="AERbulletlistfirststyle">
    <w:name w:val="AER bullet list (first style)"/>
    <w:basedOn w:val="Normal"/>
    <w:qFormat/>
    <w:rsid w:val="00422DA2"/>
    <w:pPr>
      <w:numPr>
        <w:numId w:val="31"/>
      </w:numPr>
      <w:tabs>
        <w:tab w:val="clear" w:pos="1071"/>
        <w:tab w:val="num" w:pos="357"/>
      </w:tabs>
      <w:spacing w:line="240" w:lineRule="atLeast"/>
      <w:ind w:left="357"/>
      <w:jc w:val="both"/>
    </w:pPr>
    <w:rPr>
      <w:rFonts w:ascii="Gautami" w:eastAsia="Times New Roman" w:hAnsi="Gautam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6A54-99A2-45BB-8823-CA980D57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Bucki</dc:creator>
  <cp:lastModifiedBy>Copeland, Tracey</cp:lastModifiedBy>
  <cp:revision>17</cp:revision>
  <cp:lastPrinted>2012-11-08T08:41:00Z</cp:lastPrinted>
  <dcterms:created xsi:type="dcterms:W3CDTF">2012-11-08T03:54:00Z</dcterms:created>
  <dcterms:modified xsi:type="dcterms:W3CDTF">2012-11-09T01:57:00Z</dcterms:modified>
</cp:coreProperties>
</file>