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THE </w:t>
      </w:r>
      <w:r w:rsidR="00135364">
        <w:rPr>
          <w:rFonts w:ascii="Times New Roman" w:hAnsi="Times New Roman" w:cs="Times New Roman"/>
          <w:b/>
          <w:sz w:val="24"/>
          <w:szCs w:val="24"/>
        </w:rPr>
        <w:t>PRESENT VALUE PRINCIPLE</w:t>
      </w:r>
      <w:r w:rsidR="00EE06BF">
        <w:rPr>
          <w:rFonts w:ascii="Times New Roman" w:hAnsi="Times New Roman" w:cs="Times New Roman"/>
          <w:b/>
          <w:sz w:val="24"/>
          <w:szCs w:val="24"/>
        </w:rPr>
        <w:t>: RISK, INFLATION, AND INTERPRETATION</w:t>
      </w:r>
    </w:p>
    <w:p w:rsidR="00D66208" w:rsidRDefault="00D66208" w:rsidP="00D66208">
      <w:pPr>
        <w:spacing w:after="0" w:line="360" w:lineRule="auto"/>
        <w:jc w:val="center"/>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Martin Lally</w:t>
      </w: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School of Economics and Finance</w:t>
      </w: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Victoria University of Wellington</w:t>
      </w:r>
    </w:p>
    <w:p w:rsidR="00D66208" w:rsidRDefault="00D66208" w:rsidP="00D66208">
      <w:pPr>
        <w:spacing w:after="0" w:line="360" w:lineRule="auto"/>
        <w:jc w:val="center"/>
        <w:rPr>
          <w:rFonts w:ascii="Times New Roman" w:hAnsi="Times New Roman" w:cs="Times New Roman"/>
          <w:sz w:val="24"/>
          <w:szCs w:val="24"/>
        </w:rPr>
      </w:pPr>
    </w:p>
    <w:p w:rsidR="00D66208" w:rsidRDefault="0067480E"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 March 2013</w:t>
      </w:r>
    </w:p>
    <w:p w:rsidR="00AF121B" w:rsidRDefault="00AF121B" w:rsidP="00AF121B">
      <w:pPr>
        <w:spacing w:after="0" w:line="360" w:lineRule="auto"/>
        <w:jc w:val="both"/>
        <w:rPr>
          <w:rFonts w:ascii="Times New Roman" w:hAnsi="Times New Roman" w:cs="Times New Roman"/>
          <w:sz w:val="24"/>
          <w:szCs w:val="24"/>
        </w:rPr>
      </w:pPr>
    </w:p>
    <w:p w:rsidR="00AF121B" w:rsidRDefault="00AF121B">
      <w:pPr>
        <w:rPr>
          <w:rFonts w:ascii="Times New Roman" w:hAnsi="Times New Roman" w:cs="Times New Roman"/>
          <w:sz w:val="24"/>
          <w:szCs w:val="24"/>
        </w:rPr>
      </w:pPr>
      <w:r>
        <w:rPr>
          <w:rFonts w:ascii="Times New Roman" w:hAnsi="Times New Roman" w:cs="Times New Roman"/>
          <w:sz w:val="24"/>
          <w:szCs w:val="24"/>
        </w:rPr>
        <w:br w:type="page"/>
      </w:r>
    </w:p>
    <w:p w:rsidR="00AF121B" w:rsidRDefault="00AF121B" w:rsidP="00AF121B">
      <w:pPr>
        <w:pStyle w:val="Heading1"/>
      </w:pPr>
      <w:r>
        <w:lastRenderedPageBreak/>
        <w:t>CONTENTS</w:t>
      </w:r>
    </w:p>
    <w:p w:rsidR="00AF121B" w:rsidRDefault="00AF121B" w:rsidP="00AF121B">
      <w:pPr>
        <w:pStyle w:val="Heading1"/>
      </w:pPr>
    </w:p>
    <w:p w:rsidR="00FD0E45" w:rsidRPr="00AF121B" w:rsidRDefault="00C35E43" w:rsidP="00AF121B">
      <w:pPr>
        <w:pStyle w:val="BodyText"/>
        <w:tabs>
          <w:tab w:val="left" w:pos="7638"/>
        </w:tabs>
        <w:rPr>
          <w:bCs/>
        </w:rPr>
      </w:pPr>
      <w:r>
        <w:rPr>
          <w:bCs/>
        </w:rPr>
        <w:t>Executive Summary</w:t>
      </w:r>
      <w:r>
        <w:rPr>
          <w:bCs/>
        </w:rPr>
        <w:tab/>
        <w:t>3</w:t>
      </w:r>
    </w:p>
    <w:p w:rsidR="00AF121B" w:rsidRPr="00AF121B" w:rsidRDefault="00ED0986" w:rsidP="00AF121B">
      <w:pPr>
        <w:pStyle w:val="BodyText"/>
        <w:tabs>
          <w:tab w:val="left" w:pos="7638"/>
        </w:tabs>
        <w:rPr>
          <w:bCs/>
        </w:rPr>
      </w:pPr>
      <w:r>
        <w:rPr>
          <w:bCs/>
        </w:rPr>
        <w:t>1.  Introduction</w:t>
      </w:r>
      <w:r>
        <w:rPr>
          <w:bCs/>
        </w:rPr>
        <w:tab/>
        <w:t>5</w:t>
      </w:r>
    </w:p>
    <w:p w:rsidR="00AF121B" w:rsidRPr="00AF121B" w:rsidRDefault="00544E98" w:rsidP="00AF121B">
      <w:pPr>
        <w:pStyle w:val="BodyText"/>
        <w:tabs>
          <w:tab w:val="left" w:pos="7638"/>
        </w:tabs>
        <w:rPr>
          <w:bCs/>
        </w:rPr>
      </w:pPr>
      <w:r>
        <w:rPr>
          <w:bCs/>
        </w:rPr>
        <w:t>2.  The Impact of Risk on the Present Value Principle</w:t>
      </w:r>
      <w:r w:rsidR="00ED0986">
        <w:rPr>
          <w:bCs/>
        </w:rPr>
        <w:tab/>
        <w:t>5</w:t>
      </w:r>
    </w:p>
    <w:p w:rsidR="00AF121B" w:rsidRPr="00AF121B" w:rsidRDefault="00AF121B" w:rsidP="00AF121B">
      <w:pPr>
        <w:pStyle w:val="BodyText"/>
        <w:tabs>
          <w:tab w:val="left" w:pos="7638"/>
        </w:tabs>
        <w:rPr>
          <w:bCs/>
        </w:rPr>
      </w:pPr>
      <w:r w:rsidRPr="00AF121B">
        <w:rPr>
          <w:bCs/>
        </w:rPr>
        <w:t xml:space="preserve">3.  </w:t>
      </w:r>
      <w:r w:rsidR="00544E98">
        <w:rPr>
          <w:bCs/>
        </w:rPr>
        <w:t>Application of the Sharpe-</w:t>
      </w:r>
      <w:proofErr w:type="spellStart"/>
      <w:r w:rsidR="00544E98">
        <w:rPr>
          <w:bCs/>
        </w:rPr>
        <w:t>Lintner</w:t>
      </w:r>
      <w:proofErr w:type="spellEnd"/>
      <w:r w:rsidR="00544E98">
        <w:rPr>
          <w:bCs/>
        </w:rPr>
        <w:t xml:space="preserve"> CAPM to Regulatory Situations</w:t>
      </w:r>
      <w:r w:rsidR="00ED0986">
        <w:rPr>
          <w:bCs/>
        </w:rPr>
        <w:tab/>
        <w:t>6</w:t>
      </w:r>
    </w:p>
    <w:p w:rsidR="00AF121B" w:rsidRPr="00AF121B" w:rsidRDefault="00AF121B" w:rsidP="009039A8">
      <w:pPr>
        <w:pStyle w:val="BodyText"/>
        <w:tabs>
          <w:tab w:val="left" w:pos="7638"/>
        </w:tabs>
        <w:rPr>
          <w:bCs/>
        </w:rPr>
      </w:pPr>
      <w:r w:rsidRPr="00AF121B">
        <w:rPr>
          <w:bCs/>
        </w:rPr>
        <w:t xml:space="preserve">4.  The </w:t>
      </w:r>
      <w:r w:rsidR="00544E98">
        <w:rPr>
          <w:bCs/>
        </w:rPr>
        <w:t>Impact of Inflation</w:t>
      </w:r>
      <w:r w:rsidR="00135550">
        <w:rPr>
          <w:bCs/>
        </w:rPr>
        <w:t xml:space="preserve"> on the Present Value Principle</w:t>
      </w:r>
      <w:r w:rsidR="00ED0986">
        <w:rPr>
          <w:bCs/>
        </w:rPr>
        <w:tab/>
        <w:t>8</w:t>
      </w:r>
    </w:p>
    <w:p w:rsidR="00AF121B" w:rsidRDefault="00AF121B" w:rsidP="00FD0E45">
      <w:pPr>
        <w:pStyle w:val="BodyText"/>
        <w:tabs>
          <w:tab w:val="left" w:pos="7638"/>
        </w:tabs>
        <w:rPr>
          <w:bCs/>
        </w:rPr>
      </w:pPr>
      <w:r w:rsidRPr="00AF121B">
        <w:rPr>
          <w:bCs/>
        </w:rPr>
        <w:t xml:space="preserve">5.  </w:t>
      </w:r>
      <w:r w:rsidR="00544E98">
        <w:rPr>
          <w:bCs/>
        </w:rPr>
        <w:t>Interpretations of the Present Value Principle</w:t>
      </w:r>
      <w:r w:rsidR="00ED0986">
        <w:rPr>
          <w:bCs/>
        </w:rPr>
        <w:tab/>
        <w:t>9</w:t>
      </w:r>
    </w:p>
    <w:p w:rsidR="00FF553C" w:rsidRDefault="00FF553C" w:rsidP="00FD0E45">
      <w:pPr>
        <w:pStyle w:val="BodyText"/>
        <w:tabs>
          <w:tab w:val="left" w:pos="7638"/>
        </w:tabs>
        <w:rPr>
          <w:bCs/>
        </w:rPr>
      </w:pPr>
      <w:r>
        <w:rPr>
          <w:bCs/>
          <w:i/>
        </w:rPr>
        <w:t xml:space="preserve">    5.1 Wright’s Arguments</w:t>
      </w:r>
      <w:r>
        <w:rPr>
          <w:bCs/>
        </w:rPr>
        <w:tab/>
      </w:r>
      <w:r w:rsidR="00964BCA">
        <w:rPr>
          <w:bCs/>
        </w:rPr>
        <w:t>9</w:t>
      </w:r>
    </w:p>
    <w:p w:rsidR="00FF553C" w:rsidRDefault="00FF553C" w:rsidP="00FD0E45">
      <w:pPr>
        <w:pStyle w:val="BodyText"/>
        <w:tabs>
          <w:tab w:val="left" w:pos="7638"/>
        </w:tabs>
        <w:rPr>
          <w:bCs/>
        </w:rPr>
      </w:pPr>
      <w:r>
        <w:rPr>
          <w:bCs/>
          <w:i/>
        </w:rPr>
        <w:t xml:space="preserve">    5.2 Gregory’s Arguments</w:t>
      </w:r>
      <w:r>
        <w:rPr>
          <w:bCs/>
        </w:rPr>
        <w:tab/>
      </w:r>
      <w:r w:rsidR="00964BCA">
        <w:rPr>
          <w:bCs/>
        </w:rPr>
        <w:t>10</w:t>
      </w:r>
    </w:p>
    <w:p w:rsidR="00FF553C" w:rsidRPr="00FF553C" w:rsidRDefault="00FF553C" w:rsidP="00FD0E45">
      <w:pPr>
        <w:pStyle w:val="BodyText"/>
        <w:tabs>
          <w:tab w:val="left" w:pos="7638"/>
        </w:tabs>
        <w:rPr>
          <w:bCs/>
        </w:rPr>
      </w:pPr>
      <w:r>
        <w:rPr>
          <w:bCs/>
          <w:i/>
        </w:rPr>
        <w:t xml:space="preserve">    5.3 CEG’s Arguments</w:t>
      </w:r>
      <w:r>
        <w:rPr>
          <w:bCs/>
        </w:rPr>
        <w:tab/>
      </w:r>
      <w:r w:rsidR="00964BCA">
        <w:rPr>
          <w:bCs/>
        </w:rPr>
        <w:t>12</w:t>
      </w:r>
    </w:p>
    <w:p w:rsidR="00AF121B" w:rsidRPr="00AF121B" w:rsidRDefault="00ED0986" w:rsidP="00AF121B">
      <w:pPr>
        <w:pStyle w:val="BodyText"/>
        <w:tabs>
          <w:tab w:val="left" w:pos="7638"/>
        </w:tabs>
        <w:rPr>
          <w:bCs/>
        </w:rPr>
      </w:pPr>
      <w:r>
        <w:rPr>
          <w:bCs/>
        </w:rPr>
        <w:t>6</w:t>
      </w:r>
      <w:r w:rsidR="00AF121B" w:rsidRPr="00AF121B">
        <w:rPr>
          <w:bCs/>
        </w:rPr>
        <w:t xml:space="preserve">.  </w:t>
      </w:r>
      <w:r w:rsidR="00735B08">
        <w:rPr>
          <w:bCs/>
        </w:rPr>
        <w:t>Conclusions</w:t>
      </w:r>
      <w:r w:rsidR="00735B08">
        <w:rPr>
          <w:bCs/>
        </w:rPr>
        <w:tab/>
        <w:t>16</w:t>
      </w:r>
    </w:p>
    <w:p w:rsidR="00AF121B" w:rsidRDefault="00ED0363" w:rsidP="00AF121B">
      <w:pPr>
        <w:pStyle w:val="BodyText"/>
        <w:tabs>
          <w:tab w:val="left" w:pos="7638"/>
        </w:tabs>
        <w:rPr>
          <w:bCs/>
        </w:rPr>
      </w:pPr>
      <w:r>
        <w:rPr>
          <w:bCs/>
        </w:rPr>
        <w:t>References</w:t>
      </w:r>
      <w:r w:rsidR="00ED0986">
        <w:rPr>
          <w:bCs/>
        </w:rPr>
        <w:tab/>
        <w:t>18</w:t>
      </w:r>
    </w:p>
    <w:p w:rsidR="00AF121B" w:rsidRPr="00AF121B" w:rsidRDefault="00AF121B" w:rsidP="00AF121B">
      <w:pPr>
        <w:pStyle w:val="ListParagraph"/>
        <w:numPr>
          <w:ilvl w:val="0"/>
          <w:numId w:val="9"/>
        </w:numPr>
        <w:tabs>
          <w:tab w:val="left" w:pos="8222"/>
        </w:tabs>
        <w:spacing w:after="0" w:line="360" w:lineRule="auto"/>
        <w:ind w:left="284" w:hanging="284"/>
        <w:rPr>
          <w:rFonts w:ascii="Times New Roman" w:hAnsi="Times New Roman" w:cs="Times New Roman"/>
          <w:sz w:val="24"/>
          <w:szCs w:val="24"/>
        </w:rPr>
      </w:pPr>
      <w:r w:rsidRPr="00AF121B">
        <w:rPr>
          <w:rFonts w:ascii="Times New Roman" w:hAnsi="Times New Roman" w:cs="Times New Roman"/>
          <w:sz w:val="24"/>
          <w:szCs w:val="24"/>
        </w:rPr>
        <w:br w:type="page"/>
      </w:r>
    </w:p>
    <w:p w:rsidR="00AF121B" w:rsidRPr="00AF121B" w:rsidRDefault="00AF121B" w:rsidP="00AF121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rsidR="00AF121B" w:rsidRDefault="00AF121B" w:rsidP="00AF121B">
      <w:pPr>
        <w:spacing w:after="0" w:line="360" w:lineRule="auto"/>
        <w:jc w:val="both"/>
        <w:rPr>
          <w:rFonts w:ascii="Times New Roman" w:hAnsi="Times New Roman" w:cs="Times New Roman"/>
          <w:sz w:val="24"/>
          <w:szCs w:val="24"/>
        </w:rPr>
      </w:pPr>
    </w:p>
    <w:p w:rsidR="00AF121B" w:rsidRDefault="00AF121B" w:rsidP="00AF12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has sought to address a number of questions posed by the </w:t>
      </w:r>
      <w:r w:rsidR="0067480E">
        <w:rPr>
          <w:rFonts w:ascii="Times New Roman" w:hAnsi="Times New Roman" w:cs="Times New Roman"/>
          <w:sz w:val="24"/>
          <w:szCs w:val="24"/>
        </w:rPr>
        <w:t>Australian Energy Regulator (</w:t>
      </w:r>
      <w:r>
        <w:rPr>
          <w:rFonts w:ascii="Times New Roman" w:hAnsi="Times New Roman" w:cs="Times New Roman"/>
          <w:sz w:val="24"/>
          <w:szCs w:val="24"/>
        </w:rPr>
        <w:t>AER</w:t>
      </w:r>
      <w:r w:rsidR="0067480E">
        <w:rPr>
          <w:rFonts w:ascii="Times New Roman" w:hAnsi="Times New Roman" w:cs="Times New Roman"/>
          <w:sz w:val="24"/>
          <w:szCs w:val="24"/>
        </w:rPr>
        <w:t>)</w:t>
      </w:r>
      <w:r>
        <w:rPr>
          <w:rFonts w:ascii="Times New Roman" w:hAnsi="Times New Roman" w:cs="Times New Roman"/>
          <w:sz w:val="24"/>
          <w:szCs w:val="24"/>
        </w:rPr>
        <w:t xml:space="preserve">, </w:t>
      </w:r>
      <w:r w:rsidR="00FB29C7">
        <w:rPr>
          <w:rFonts w:ascii="Times New Roman" w:hAnsi="Times New Roman" w:cs="Times New Roman"/>
          <w:sz w:val="24"/>
          <w:szCs w:val="24"/>
        </w:rPr>
        <w:t xml:space="preserve">as </w:t>
      </w:r>
      <w:r w:rsidR="007931E2">
        <w:rPr>
          <w:rFonts w:ascii="Times New Roman" w:hAnsi="Times New Roman" w:cs="Times New Roman"/>
          <w:sz w:val="24"/>
          <w:szCs w:val="24"/>
        </w:rPr>
        <w:t>follows</w:t>
      </w:r>
      <w:r>
        <w:rPr>
          <w:rFonts w:ascii="Times New Roman" w:hAnsi="Times New Roman" w:cs="Times New Roman"/>
          <w:sz w:val="24"/>
          <w:szCs w:val="24"/>
        </w:rPr>
        <w:t>.</w:t>
      </w:r>
    </w:p>
    <w:p w:rsidR="00AF121B" w:rsidRDefault="00AF121B" w:rsidP="00AF121B">
      <w:pPr>
        <w:spacing w:after="0" w:line="360" w:lineRule="auto"/>
        <w:jc w:val="both"/>
        <w:rPr>
          <w:rFonts w:ascii="Times New Roman" w:hAnsi="Times New Roman" w:cs="Times New Roman"/>
          <w:sz w:val="24"/>
          <w:szCs w:val="24"/>
        </w:rPr>
      </w:pPr>
    </w:p>
    <w:p w:rsidR="0015791A" w:rsidRDefault="0015791A" w:rsidP="0015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Firstly, in respect of the implications of risk for the Present Value principle, the principle applies equally to risk free and risky situations.  In the former case, the risk free rate is defined over the regulatory period and based upon conditions prevailing at the start of that period.  In the latter case, both the risk free rate and the risk premium are defined over the regulatory period and based upon conditions prevailing at the start of that period.</w:t>
      </w:r>
    </w:p>
    <w:p w:rsidR="0015791A" w:rsidRDefault="0015791A" w:rsidP="0015791A">
      <w:pPr>
        <w:spacing w:after="0" w:line="360" w:lineRule="auto"/>
        <w:jc w:val="both"/>
        <w:rPr>
          <w:rFonts w:ascii="Times New Roman" w:hAnsi="Times New Roman" w:cs="Times New Roman"/>
          <w:sz w:val="24"/>
          <w:szCs w:val="24"/>
        </w:rPr>
      </w:pPr>
    </w:p>
    <w:p w:rsidR="0015791A" w:rsidRPr="00EE4BFD" w:rsidRDefault="0015791A" w:rsidP="0015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Secondly, in respect of how the Sharpe-</w:t>
      </w:r>
      <w:proofErr w:type="spellStart"/>
      <w:r>
        <w:rPr>
          <w:rFonts w:ascii="Times New Roman" w:hAnsi="Times New Roman" w:cs="Times New Roman"/>
          <w:sz w:val="24"/>
          <w:szCs w:val="24"/>
        </w:rPr>
        <w:t>Lintner</w:t>
      </w:r>
      <w:proofErr w:type="spellEnd"/>
      <w:r>
        <w:rPr>
          <w:rFonts w:ascii="Times New Roman" w:hAnsi="Times New Roman" w:cs="Times New Roman"/>
          <w:sz w:val="24"/>
          <w:szCs w:val="24"/>
        </w:rPr>
        <w:t xml:space="preserve"> </w:t>
      </w:r>
      <w:r w:rsidR="00076762">
        <w:rPr>
          <w:rFonts w:ascii="Times New Roman" w:hAnsi="Times New Roman" w:cs="Times New Roman"/>
          <w:sz w:val="24"/>
          <w:szCs w:val="24"/>
        </w:rPr>
        <w:t>version of the Capital Asset Pricing Model (</w:t>
      </w:r>
      <w:r>
        <w:rPr>
          <w:rFonts w:ascii="Times New Roman" w:hAnsi="Times New Roman" w:cs="Times New Roman"/>
          <w:sz w:val="24"/>
          <w:szCs w:val="24"/>
        </w:rPr>
        <w:t>CAPM</w:t>
      </w:r>
      <w:r w:rsidR="00076762">
        <w:rPr>
          <w:rFonts w:ascii="Times New Roman" w:hAnsi="Times New Roman" w:cs="Times New Roman"/>
          <w:sz w:val="24"/>
          <w:szCs w:val="24"/>
        </w:rPr>
        <w:t>)</w:t>
      </w:r>
      <w:r>
        <w:rPr>
          <w:rFonts w:ascii="Times New Roman" w:hAnsi="Times New Roman" w:cs="Times New Roman"/>
          <w:sz w:val="24"/>
          <w:szCs w:val="24"/>
        </w:rPr>
        <w:t xml:space="preserve"> should be applied to ensure consistency with the Present Value principle and whether this principle requires use of an inter-temporal version of the CAPM, the Sharpe-</w:t>
      </w:r>
      <w:proofErr w:type="spellStart"/>
      <w:r>
        <w:rPr>
          <w:rFonts w:ascii="Times New Roman" w:hAnsi="Times New Roman" w:cs="Times New Roman"/>
          <w:sz w:val="24"/>
          <w:szCs w:val="24"/>
        </w:rPr>
        <w:t>Lintner</w:t>
      </w:r>
      <w:proofErr w:type="spellEnd"/>
      <w:r>
        <w:rPr>
          <w:rFonts w:ascii="Times New Roman" w:hAnsi="Times New Roman" w:cs="Times New Roman"/>
          <w:sz w:val="24"/>
          <w:szCs w:val="24"/>
        </w:rPr>
        <w:t xml:space="preserve"> CAPM is consistent with the Present Value principle so long as the parameter values are defined over the regulatory period and based upon conditions prevailing at the start of that period.  Furthermore, although the model is a one-period model and therefore inconsistent with the </w:t>
      </w:r>
      <w:r w:rsidR="009873DB">
        <w:rPr>
          <w:rFonts w:ascii="Times New Roman" w:hAnsi="Times New Roman" w:cs="Times New Roman"/>
          <w:sz w:val="24"/>
          <w:szCs w:val="24"/>
        </w:rPr>
        <w:t xml:space="preserve">usual </w:t>
      </w:r>
      <w:r>
        <w:rPr>
          <w:rFonts w:ascii="Times New Roman" w:hAnsi="Times New Roman" w:cs="Times New Roman"/>
          <w:sz w:val="24"/>
          <w:szCs w:val="24"/>
        </w:rPr>
        <w:t xml:space="preserve">multi-period </w:t>
      </w:r>
      <w:r w:rsidR="009873DB">
        <w:rPr>
          <w:rFonts w:ascii="Times New Roman" w:hAnsi="Times New Roman" w:cs="Times New Roman"/>
          <w:sz w:val="24"/>
          <w:szCs w:val="24"/>
        </w:rPr>
        <w:t xml:space="preserve">regulatory </w:t>
      </w:r>
      <w:r>
        <w:rPr>
          <w:rFonts w:ascii="Times New Roman" w:hAnsi="Times New Roman" w:cs="Times New Roman"/>
          <w:sz w:val="24"/>
          <w:szCs w:val="24"/>
        </w:rPr>
        <w:t xml:space="preserve">situation, this is merely one of many features of the model that simplify reality and recourse to models with more realistic assumptions </w:t>
      </w:r>
      <w:r w:rsidR="009873DB">
        <w:rPr>
          <w:rFonts w:ascii="Times New Roman" w:hAnsi="Times New Roman" w:cs="Times New Roman"/>
          <w:sz w:val="24"/>
          <w:szCs w:val="24"/>
        </w:rPr>
        <w:t xml:space="preserve">generally </w:t>
      </w:r>
      <w:r>
        <w:rPr>
          <w:rFonts w:ascii="Times New Roman" w:hAnsi="Times New Roman" w:cs="Times New Roman"/>
          <w:sz w:val="24"/>
          <w:szCs w:val="24"/>
        </w:rPr>
        <w:t>incurs greater difficulties in estimating parameters</w:t>
      </w:r>
      <w:r w:rsidR="00EA6669">
        <w:rPr>
          <w:rFonts w:ascii="Times New Roman" w:hAnsi="Times New Roman" w:cs="Times New Roman"/>
          <w:sz w:val="24"/>
          <w:szCs w:val="24"/>
        </w:rPr>
        <w:t>,</w:t>
      </w:r>
      <w:r>
        <w:rPr>
          <w:rFonts w:ascii="Times New Roman" w:hAnsi="Times New Roman" w:cs="Times New Roman"/>
          <w:sz w:val="24"/>
          <w:szCs w:val="24"/>
        </w:rPr>
        <w:t xml:space="preserve"> thereby requiring a judgement over the trade-off.  The AER’s preference for a one-period version of the model is universal amongst regulators, overwhelmingly typical of submissions to them, and consistent with most other applications of the CAPM</w:t>
      </w:r>
      <w:r w:rsidR="009873DB">
        <w:rPr>
          <w:rFonts w:ascii="Times New Roman" w:hAnsi="Times New Roman" w:cs="Times New Roman"/>
          <w:sz w:val="24"/>
          <w:szCs w:val="24"/>
        </w:rPr>
        <w:t>,</w:t>
      </w:r>
      <w:r>
        <w:rPr>
          <w:rFonts w:ascii="Times New Roman" w:hAnsi="Times New Roman" w:cs="Times New Roman"/>
          <w:sz w:val="24"/>
          <w:szCs w:val="24"/>
        </w:rPr>
        <w:t xml:space="preserve"> presumably in recognition of this trade-off.</w:t>
      </w:r>
    </w:p>
    <w:p w:rsidR="0015791A" w:rsidRDefault="0015791A" w:rsidP="0015791A">
      <w:pPr>
        <w:spacing w:after="0" w:line="360" w:lineRule="auto"/>
        <w:jc w:val="both"/>
        <w:rPr>
          <w:rFonts w:ascii="Times New Roman" w:hAnsi="Times New Roman" w:cs="Times New Roman"/>
          <w:sz w:val="24"/>
          <w:szCs w:val="24"/>
        </w:rPr>
      </w:pPr>
    </w:p>
    <w:p w:rsidR="0015791A" w:rsidRDefault="0015791A" w:rsidP="0015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Thirdly, in respect of the impact of inflation on the Present Value principle and the validity of </w:t>
      </w:r>
      <w:r w:rsidR="0016060B">
        <w:rPr>
          <w:rFonts w:ascii="Times New Roman" w:hAnsi="Times New Roman" w:cs="Times New Roman"/>
          <w:sz w:val="24"/>
          <w:szCs w:val="24"/>
        </w:rPr>
        <w:t xml:space="preserve">Gregory’s comments on this matter, </w:t>
      </w:r>
      <w:r>
        <w:rPr>
          <w:rFonts w:ascii="Times New Roman" w:hAnsi="Times New Roman" w:cs="Times New Roman"/>
          <w:sz w:val="24"/>
          <w:szCs w:val="24"/>
        </w:rPr>
        <w:t xml:space="preserve">Lally </w:t>
      </w:r>
      <w:r w:rsidR="00D47454">
        <w:rPr>
          <w:rFonts w:ascii="Times New Roman" w:hAnsi="Times New Roman" w:cs="Times New Roman"/>
          <w:sz w:val="24"/>
          <w:szCs w:val="24"/>
        </w:rPr>
        <w:t xml:space="preserve">(2012a) </w:t>
      </w:r>
      <w:r>
        <w:rPr>
          <w:rFonts w:ascii="Times New Roman" w:hAnsi="Times New Roman" w:cs="Times New Roman"/>
          <w:sz w:val="24"/>
          <w:szCs w:val="24"/>
        </w:rPr>
        <w:t>examines the implications of inflation and shows that it induces a very small understatement in the allowed rate of return when setting the risk free rate equal to the yield to maturity on a bond whose term to maturity matches the regulatory cycle.  Thus Gregory’s claim that Lally fails to account for inflation is wrong.</w:t>
      </w:r>
    </w:p>
    <w:p w:rsidR="0015791A" w:rsidRDefault="0015791A" w:rsidP="0015791A">
      <w:pPr>
        <w:spacing w:after="0" w:line="360" w:lineRule="auto"/>
        <w:jc w:val="both"/>
        <w:rPr>
          <w:rFonts w:ascii="Times New Roman" w:hAnsi="Times New Roman" w:cs="Times New Roman"/>
          <w:sz w:val="24"/>
          <w:szCs w:val="24"/>
        </w:rPr>
      </w:pPr>
    </w:p>
    <w:p w:rsidR="004C3B04" w:rsidRPr="005A4D9C" w:rsidRDefault="0015791A" w:rsidP="004C3B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Fourthly, in relation to </w:t>
      </w:r>
      <w:r w:rsidR="00D02799">
        <w:rPr>
          <w:rFonts w:ascii="Times New Roman" w:hAnsi="Times New Roman" w:cs="Times New Roman"/>
          <w:sz w:val="24"/>
          <w:szCs w:val="24"/>
        </w:rPr>
        <w:t>whether papers by Gregory, Wright, and CEG</w:t>
      </w:r>
      <w:r>
        <w:rPr>
          <w:rFonts w:ascii="Times New Roman" w:hAnsi="Times New Roman" w:cs="Times New Roman"/>
          <w:sz w:val="24"/>
          <w:szCs w:val="24"/>
        </w:rPr>
        <w:t xml:space="preserve"> have correctly interpreted the Present Value principle and applied it to Australia’s regulatory context, Wright agrees with the Present Value principle and his favoured strategy of estimating the cost of capital for the market portfolio </w:t>
      </w:r>
      <w:r w:rsidR="007C75D0">
        <w:rPr>
          <w:rFonts w:ascii="Times New Roman" w:hAnsi="Times New Roman" w:cs="Times New Roman"/>
          <w:sz w:val="24"/>
          <w:szCs w:val="24"/>
        </w:rPr>
        <w:t xml:space="preserve">(using the historic average return) </w:t>
      </w:r>
      <w:r>
        <w:rPr>
          <w:rFonts w:ascii="Times New Roman" w:hAnsi="Times New Roman" w:cs="Times New Roman"/>
          <w:sz w:val="24"/>
          <w:szCs w:val="24"/>
        </w:rPr>
        <w:t xml:space="preserve">coupled with the use </w:t>
      </w:r>
      <w:r>
        <w:rPr>
          <w:rFonts w:ascii="Times New Roman" w:hAnsi="Times New Roman" w:cs="Times New Roman"/>
          <w:sz w:val="24"/>
          <w:szCs w:val="24"/>
        </w:rPr>
        <w:lastRenderedPageBreak/>
        <w:t>of the risk free rate prevailing at the commencement of the regulatory cycle (both in real terms) is consistent with the Present Value principle.  Whether it is the best approach is a distinct matter and is the subject of anothe</w:t>
      </w:r>
      <w:r w:rsidR="00EA6669">
        <w:rPr>
          <w:rFonts w:ascii="Times New Roman" w:hAnsi="Times New Roman" w:cs="Times New Roman"/>
          <w:sz w:val="24"/>
          <w:szCs w:val="24"/>
        </w:rPr>
        <w:t>r paper</w:t>
      </w:r>
      <w:r w:rsidR="0036123A">
        <w:rPr>
          <w:rFonts w:ascii="Times New Roman" w:hAnsi="Times New Roman" w:cs="Times New Roman"/>
          <w:sz w:val="24"/>
          <w:szCs w:val="24"/>
        </w:rPr>
        <w:t xml:space="preserve"> (Lally, 2013)</w:t>
      </w:r>
      <w:r w:rsidR="00EA6669">
        <w:rPr>
          <w:rFonts w:ascii="Times New Roman" w:hAnsi="Times New Roman" w:cs="Times New Roman"/>
          <w:sz w:val="24"/>
          <w:szCs w:val="24"/>
        </w:rPr>
        <w:t>.  In addition, Gregory</w:t>
      </w:r>
      <w:r>
        <w:rPr>
          <w:rFonts w:ascii="Times New Roman" w:hAnsi="Times New Roman" w:cs="Times New Roman"/>
          <w:sz w:val="24"/>
          <w:szCs w:val="24"/>
        </w:rPr>
        <w:t xml:space="preserve"> appears to agree with the Present Value principle and argues that a long-run historical average of government bond </w:t>
      </w:r>
      <w:r w:rsidR="00EA6669">
        <w:rPr>
          <w:rFonts w:ascii="Times New Roman" w:hAnsi="Times New Roman" w:cs="Times New Roman"/>
          <w:sz w:val="24"/>
          <w:szCs w:val="24"/>
        </w:rPr>
        <w:t xml:space="preserve">yields </w:t>
      </w:r>
      <w:r>
        <w:rPr>
          <w:rFonts w:ascii="Times New Roman" w:hAnsi="Times New Roman" w:cs="Times New Roman"/>
          <w:sz w:val="24"/>
          <w:szCs w:val="24"/>
        </w:rPr>
        <w:t xml:space="preserve">(or some weight on </w:t>
      </w:r>
      <w:r w:rsidR="00EA6669">
        <w:rPr>
          <w:rFonts w:ascii="Times New Roman" w:hAnsi="Times New Roman" w:cs="Times New Roman"/>
          <w:sz w:val="24"/>
          <w:szCs w:val="24"/>
        </w:rPr>
        <w:t xml:space="preserve">this </w:t>
      </w:r>
      <w:r>
        <w:rPr>
          <w:rFonts w:ascii="Times New Roman" w:hAnsi="Times New Roman" w:cs="Times New Roman"/>
          <w:sz w:val="24"/>
          <w:szCs w:val="24"/>
        </w:rPr>
        <w:t xml:space="preserve">in conjunction with the current value) could provide an estimate of the risk free rate that is consistent with the Present Value principle, on the grounds that the risk free rate is unobservable because even government bond yields are subject to default, re-investment and inflation risks.  However, whilst government bonds do or may have such characteristics, none of these characteristics support the use of a long-run historical average risk free rate or some weight being placed upon this.  Finally CEG also agree with the Present Value principle but consider that the relevant period for assessing whether a particular approach to parameter estimation is consistent with it is the entire life of the regulated assets rather than each regulatory cycle.  I agree with this.  CEG also favours using a long-run average risk free rate along with a long-run estimate of the </w:t>
      </w:r>
      <w:r w:rsidR="004B3230">
        <w:rPr>
          <w:rFonts w:ascii="Times New Roman" w:hAnsi="Times New Roman" w:cs="Times New Roman"/>
          <w:sz w:val="24"/>
          <w:szCs w:val="24"/>
        </w:rPr>
        <w:t>market risk premium (</w:t>
      </w:r>
      <w:r>
        <w:rPr>
          <w:rFonts w:ascii="Times New Roman" w:hAnsi="Times New Roman" w:cs="Times New Roman"/>
          <w:sz w:val="24"/>
          <w:szCs w:val="24"/>
        </w:rPr>
        <w:t>MRP</w:t>
      </w:r>
      <w:r w:rsidR="004B3230">
        <w:rPr>
          <w:rFonts w:ascii="Times New Roman" w:hAnsi="Times New Roman" w:cs="Times New Roman"/>
          <w:sz w:val="24"/>
          <w:szCs w:val="24"/>
        </w:rPr>
        <w:t>)</w:t>
      </w:r>
      <w:r>
        <w:rPr>
          <w:rFonts w:ascii="Times New Roman" w:hAnsi="Times New Roman" w:cs="Times New Roman"/>
          <w:sz w:val="24"/>
          <w:szCs w:val="24"/>
        </w:rPr>
        <w:t xml:space="preserve"> on the grounds that </w:t>
      </w:r>
      <w:r w:rsidR="00EA6669">
        <w:rPr>
          <w:rFonts w:ascii="Times New Roman" w:hAnsi="Times New Roman" w:cs="Times New Roman"/>
          <w:sz w:val="24"/>
          <w:szCs w:val="24"/>
        </w:rPr>
        <w:t xml:space="preserve">this </w:t>
      </w:r>
      <w:r>
        <w:rPr>
          <w:rFonts w:ascii="Times New Roman" w:hAnsi="Times New Roman" w:cs="Times New Roman"/>
          <w:sz w:val="24"/>
          <w:szCs w:val="24"/>
        </w:rPr>
        <w:t xml:space="preserve">produces the best estimate of the cost of equity for a regulated business over the entire life of the regulated assets.  </w:t>
      </w:r>
      <w:r w:rsidR="005A3882">
        <w:rPr>
          <w:rFonts w:ascii="Times New Roman" w:hAnsi="Times New Roman" w:cs="Times New Roman"/>
          <w:sz w:val="24"/>
          <w:szCs w:val="24"/>
        </w:rPr>
        <w:t xml:space="preserve">However </w:t>
      </w:r>
      <w:r w:rsidR="007C75D0">
        <w:rPr>
          <w:rFonts w:ascii="Times New Roman" w:hAnsi="Times New Roman" w:cs="Times New Roman"/>
          <w:sz w:val="24"/>
          <w:szCs w:val="24"/>
        </w:rPr>
        <w:t xml:space="preserve">this </w:t>
      </w:r>
      <w:r>
        <w:rPr>
          <w:rFonts w:ascii="Times New Roman" w:hAnsi="Times New Roman" w:cs="Times New Roman"/>
          <w:sz w:val="24"/>
          <w:szCs w:val="24"/>
        </w:rPr>
        <w:t xml:space="preserve">approach </w:t>
      </w:r>
      <w:r w:rsidR="007C75D0">
        <w:rPr>
          <w:rFonts w:ascii="Times New Roman" w:hAnsi="Times New Roman" w:cs="Times New Roman"/>
          <w:sz w:val="24"/>
          <w:szCs w:val="24"/>
        </w:rPr>
        <w:t xml:space="preserve">to the risk free rate </w:t>
      </w:r>
      <w:r>
        <w:rPr>
          <w:rFonts w:ascii="Times New Roman" w:hAnsi="Times New Roman" w:cs="Times New Roman"/>
          <w:sz w:val="24"/>
          <w:szCs w:val="24"/>
        </w:rPr>
        <w:t>is not consistent with the Present Value principle</w:t>
      </w:r>
      <w:r w:rsidR="00B0778B">
        <w:rPr>
          <w:rFonts w:ascii="Times New Roman" w:hAnsi="Times New Roman" w:cs="Times New Roman"/>
          <w:sz w:val="24"/>
          <w:szCs w:val="24"/>
        </w:rPr>
        <w:t>,</w:t>
      </w:r>
      <w:r>
        <w:rPr>
          <w:rFonts w:ascii="Times New Roman" w:hAnsi="Times New Roman" w:cs="Times New Roman"/>
          <w:sz w:val="24"/>
          <w:szCs w:val="24"/>
        </w:rPr>
        <w:t xml:space="preserve"> except in t</w:t>
      </w:r>
      <w:r w:rsidR="004C3B04">
        <w:rPr>
          <w:rFonts w:ascii="Times New Roman" w:hAnsi="Times New Roman" w:cs="Times New Roman"/>
          <w:sz w:val="24"/>
          <w:szCs w:val="24"/>
        </w:rPr>
        <w:t>he special case where beta is 1</w:t>
      </w:r>
      <w:r w:rsidR="00B0778B">
        <w:rPr>
          <w:rFonts w:ascii="Times New Roman" w:hAnsi="Times New Roman" w:cs="Times New Roman"/>
          <w:sz w:val="24"/>
          <w:szCs w:val="24"/>
        </w:rPr>
        <w:t xml:space="preserve"> because CEG’s approach then coincides with Wright’s preferred approach</w:t>
      </w:r>
      <w:r w:rsidR="004C3B04">
        <w:rPr>
          <w:rFonts w:ascii="Times New Roman" w:hAnsi="Times New Roman" w:cs="Times New Roman"/>
          <w:sz w:val="24"/>
          <w:szCs w:val="24"/>
        </w:rPr>
        <w:t xml:space="preserve">.  Furthermore, even under the idealised conditions underpinning CEG’s approach in which </w:t>
      </w:r>
      <w:r w:rsidR="004B3230">
        <w:rPr>
          <w:rFonts w:ascii="Times New Roman" w:hAnsi="Times New Roman" w:cs="Times New Roman"/>
          <w:sz w:val="24"/>
          <w:szCs w:val="24"/>
        </w:rPr>
        <w:t xml:space="preserve">the expected rate of return on the market portfolio </w:t>
      </w:r>
      <w:r w:rsidR="004C3B04">
        <w:rPr>
          <w:rFonts w:ascii="Times New Roman" w:hAnsi="Times New Roman" w:cs="Times New Roman"/>
          <w:sz w:val="24"/>
          <w:szCs w:val="24"/>
        </w:rPr>
        <w:t xml:space="preserve">is constant over time, their approach is </w:t>
      </w:r>
      <w:r w:rsidR="00B0778B">
        <w:rPr>
          <w:rFonts w:ascii="Times New Roman" w:hAnsi="Times New Roman" w:cs="Times New Roman"/>
          <w:sz w:val="24"/>
          <w:szCs w:val="24"/>
        </w:rPr>
        <w:t xml:space="preserve">still </w:t>
      </w:r>
      <w:r w:rsidR="004C3B04">
        <w:rPr>
          <w:rFonts w:ascii="Times New Roman" w:hAnsi="Times New Roman" w:cs="Times New Roman"/>
          <w:sz w:val="24"/>
          <w:szCs w:val="24"/>
        </w:rPr>
        <w:t>inferior to Wright’s approach.</w:t>
      </w:r>
    </w:p>
    <w:p w:rsidR="00AF121B" w:rsidRDefault="0015791A" w:rsidP="00AF12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21B">
        <w:rPr>
          <w:rFonts w:ascii="Times New Roman" w:hAnsi="Times New Roman" w:cs="Times New Roman"/>
          <w:sz w:val="24"/>
          <w:szCs w:val="24"/>
        </w:rPr>
        <w:br w:type="page"/>
      </w:r>
    </w:p>
    <w:p w:rsidR="00D66208" w:rsidRPr="00A54826" w:rsidRDefault="00D66208" w:rsidP="00D66208">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Introduction</w:t>
      </w:r>
    </w:p>
    <w:p w:rsidR="00D66208" w:rsidRDefault="00D66208" w:rsidP="00D66208">
      <w:pPr>
        <w:spacing w:after="0" w:line="360" w:lineRule="auto"/>
        <w:jc w:val="both"/>
        <w:rPr>
          <w:rFonts w:ascii="Times New Roman" w:hAnsi="Times New Roman" w:cs="Times New Roman"/>
          <w:sz w:val="24"/>
          <w:szCs w:val="24"/>
        </w:rPr>
      </w:pPr>
    </w:p>
    <w:p w:rsidR="000D7110" w:rsidRDefault="00A55233"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Consequent upon earlier work by Lally (2012a)</w:t>
      </w:r>
      <w:r w:rsidR="00FC3C43">
        <w:rPr>
          <w:rFonts w:ascii="Times New Roman" w:hAnsi="Times New Roman" w:cs="Times New Roman"/>
          <w:sz w:val="24"/>
          <w:szCs w:val="24"/>
        </w:rPr>
        <w:t xml:space="preserve"> relating to the Present Value principle</w:t>
      </w:r>
      <w:r>
        <w:rPr>
          <w:rFonts w:ascii="Times New Roman" w:hAnsi="Times New Roman" w:cs="Times New Roman"/>
          <w:sz w:val="24"/>
          <w:szCs w:val="24"/>
        </w:rPr>
        <w:t xml:space="preserve">, and critiques of it by various authors, the AER has raised a number of questions that this paper seeks to address, as </w:t>
      </w:r>
      <w:r w:rsidR="009E1846">
        <w:rPr>
          <w:rFonts w:ascii="Times New Roman" w:hAnsi="Times New Roman" w:cs="Times New Roman"/>
          <w:sz w:val="24"/>
          <w:szCs w:val="24"/>
        </w:rPr>
        <w:t>follows</w:t>
      </w:r>
      <w:r w:rsidR="00CC2D84">
        <w:rPr>
          <w:rFonts w:ascii="Times New Roman" w:hAnsi="Times New Roman" w:cs="Times New Roman"/>
          <w:sz w:val="24"/>
          <w:szCs w:val="24"/>
        </w:rPr>
        <w:t xml:space="preserve">.  </w:t>
      </w:r>
    </w:p>
    <w:p w:rsidR="009E1846" w:rsidRDefault="009E1846" w:rsidP="00D66208">
      <w:pPr>
        <w:spacing w:after="0" w:line="360" w:lineRule="auto"/>
        <w:jc w:val="both"/>
        <w:rPr>
          <w:rFonts w:ascii="Times New Roman" w:hAnsi="Times New Roman" w:cs="Times New Roman"/>
          <w:sz w:val="24"/>
          <w:szCs w:val="24"/>
        </w:rPr>
      </w:pPr>
    </w:p>
    <w:p w:rsidR="004013E2" w:rsidRDefault="00A72070"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Firstly</w:t>
      </w:r>
      <w:r w:rsidR="009E1846">
        <w:rPr>
          <w:rFonts w:ascii="Times New Roman" w:hAnsi="Times New Roman" w:cs="Times New Roman"/>
          <w:sz w:val="24"/>
          <w:szCs w:val="24"/>
        </w:rPr>
        <w:t xml:space="preserve">, </w:t>
      </w:r>
      <w:r w:rsidR="004013E2">
        <w:rPr>
          <w:rFonts w:ascii="Times New Roman" w:hAnsi="Times New Roman" w:cs="Times New Roman"/>
          <w:sz w:val="24"/>
          <w:szCs w:val="24"/>
        </w:rPr>
        <w:t xml:space="preserve">to assess whether the Present Value principle is affected by the presence of risky assets and what relevance </w:t>
      </w:r>
      <w:r w:rsidR="005A3882">
        <w:rPr>
          <w:rFonts w:ascii="Times New Roman" w:hAnsi="Times New Roman" w:cs="Times New Roman"/>
          <w:sz w:val="24"/>
          <w:szCs w:val="24"/>
        </w:rPr>
        <w:t xml:space="preserve">the principle </w:t>
      </w:r>
      <w:r w:rsidR="002142C6">
        <w:rPr>
          <w:rFonts w:ascii="Times New Roman" w:hAnsi="Times New Roman" w:cs="Times New Roman"/>
          <w:sz w:val="24"/>
          <w:szCs w:val="24"/>
        </w:rPr>
        <w:t xml:space="preserve">has </w:t>
      </w:r>
      <w:r w:rsidR="004013E2">
        <w:rPr>
          <w:rFonts w:ascii="Times New Roman" w:hAnsi="Times New Roman" w:cs="Times New Roman"/>
          <w:sz w:val="24"/>
          <w:szCs w:val="24"/>
        </w:rPr>
        <w:t>to the determination of the MRP.</w:t>
      </w:r>
    </w:p>
    <w:p w:rsidR="004013E2" w:rsidRDefault="004013E2" w:rsidP="009E1846">
      <w:pPr>
        <w:spacing w:after="0" w:line="360" w:lineRule="auto"/>
        <w:jc w:val="both"/>
        <w:rPr>
          <w:rFonts w:ascii="Times New Roman" w:hAnsi="Times New Roman" w:cs="Times New Roman"/>
          <w:sz w:val="24"/>
          <w:szCs w:val="24"/>
        </w:rPr>
      </w:pPr>
    </w:p>
    <w:p w:rsidR="000F30A4" w:rsidRDefault="00A72070" w:rsidP="00CE76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w:t>
      </w:r>
      <w:r w:rsidR="000F30A4">
        <w:rPr>
          <w:rFonts w:ascii="Times New Roman" w:hAnsi="Times New Roman" w:cs="Times New Roman"/>
          <w:sz w:val="24"/>
          <w:szCs w:val="24"/>
        </w:rPr>
        <w:t>to assess how the Sharpe-</w:t>
      </w:r>
      <w:proofErr w:type="spellStart"/>
      <w:r w:rsidR="000F30A4">
        <w:rPr>
          <w:rFonts w:ascii="Times New Roman" w:hAnsi="Times New Roman" w:cs="Times New Roman"/>
          <w:sz w:val="24"/>
          <w:szCs w:val="24"/>
        </w:rPr>
        <w:t>Lintner</w:t>
      </w:r>
      <w:proofErr w:type="spellEnd"/>
      <w:r w:rsidR="000F30A4">
        <w:rPr>
          <w:rFonts w:ascii="Times New Roman" w:hAnsi="Times New Roman" w:cs="Times New Roman"/>
          <w:sz w:val="24"/>
          <w:szCs w:val="24"/>
        </w:rPr>
        <w:t xml:space="preserve"> CAPM should be applied to ensure consistency with the Present Value principle and whether this principle requires use of an inter-temporal version of the CAPM.</w:t>
      </w:r>
    </w:p>
    <w:p w:rsidR="009E1846" w:rsidRDefault="009E1846" w:rsidP="00D66208">
      <w:pPr>
        <w:spacing w:after="0" w:line="360" w:lineRule="auto"/>
        <w:jc w:val="both"/>
        <w:rPr>
          <w:rFonts w:ascii="Times New Roman" w:hAnsi="Times New Roman" w:cs="Times New Roman"/>
          <w:sz w:val="24"/>
          <w:szCs w:val="24"/>
        </w:rPr>
      </w:pPr>
    </w:p>
    <w:p w:rsidR="00A72070" w:rsidRDefault="00A72070" w:rsidP="00A72070">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Thirdly, to assess the impact of inflation</w:t>
      </w:r>
      <w:r w:rsidR="003D1BC0">
        <w:rPr>
          <w:rFonts w:ascii="Times New Roman" w:hAnsi="Times New Roman" w:cs="Times New Roman"/>
          <w:sz w:val="24"/>
          <w:szCs w:val="24"/>
        </w:rPr>
        <w:t xml:space="preserve"> on the Present Value principle and the validity of </w:t>
      </w:r>
      <w:r w:rsidR="002142C6">
        <w:rPr>
          <w:rFonts w:ascii="Times New Roman" w:hAnsi="Times New Roman" w:cs="Times New Roman"/>
          <w:sz w:val="24"/>
          <w:szCs w:val="24"/>
        </w:rPr>
        <w:t xml:space="preserve">comments on this issue by </w:t>
      </w:r>
      <w:r w:rsidR="003D1BC0">
        <w:rPr>
          <w:rFonts w:ascii="Times New Roman" w:hAnsi="Times New Roman" w:cs="Times New Roman"/>
          <w:sz w:val="24"/>
          <w:szCs w:val="24"/>
        </w:rPr>
        <w:t xml:space="preserve">Gregory (2012a, </w:t>
      </w:r>
      <w:proofErr w:type="spellStart"/>
      <w:r w:rsidR="003D1BC0">
        <w:rPr>
          <w:rFonts w:ascii="Times New Roman" w:hAnsi="Times New Roman" w:cs="Times New Roman"/>
          <w:sz w:val="24"/>
          <w:szCs w:val="24"/>
        </w:rPr>
        <w:t>para</w:t>
      </w:r>
      <w:proofErr w:type="spellEnd"/>
      <w:r w:rsidR="003D1BC0">
        <w:rPr>
          <w:rFonts w:ascii="Times New Roman" w:hAnsi="Times New Roman" w:cs="Times New Roman"/>
          <w:sz w:val="24"/>
          <w:szCs w:val="24"/>
        </w:rPr>
        <w:t xml:space="preserve"> 11).</w:t>
      </w:r>
      <w:proofErr w:type="gramEnd"/>
    </w:p>
    <w:p w:rsidR="00A72070" w:rsidRDefault="00A72070" w:rsidP="00D66208">
      <w:pPr>
        <w:spacing w:after="0" w:line="360" w:lineRule="auto"/>
        <w:jc w:val="both"/>
        <w:rPr>
          <w:rFonts w:ascii="Times New Roman" w:hAnsi="Times New Roman" w:cs="Times New Roman"/>
          <w:sz w:val="24"/>
          <w:szCs w:val="24"/>
        </w:rPr>
      </w:pPr>
    </w:p>
    <w:p w:rsidR="00A72070" w:rsidRDefault="00A72070" w:rsidP="00A720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Fourthly, in relation to papers by Gregory (2012), Wright (2012), and CEG (2012), </w:t>
      </w:r>
      <w:r w:rsidR="002142C6">
        <w:rPr>
          <w:rFonts w:ascii="Times New Roman" w:hAnsi="Times New Roman" w:cs="Times New Roman"/>
          <w:sz w:val="24"/>
          <w:szCs w:val="24"/>
        </w:rPr>
        <w:t xml:space="preserve">to </w:t>
      </w:r>
      <w:r>
        <w:rPr>
          <w:rFonts w:ascii="Times New Roman" w:hAnsi="Times New Roman" w:cs="Times New Roman"/>
          <w:sz w:val="24"/>
          <w:szCs w:val="24"/>
        </w:rPr>
        <w:t>assess whether these authors have correctly interpreted the Present Value principle and applied it to Australia’s regulatory context.  Consideration should be given to the effect of regulatory periods that consist of multiple single years and the relevance of the expectations hypothesis.</w:t>
      </w:r>
    </w:p>
    <w:p w:rsidR="00A72070" w:rsidRDefault="00A72070" w:rsidP="00D66208">
      <w:pPr>
        <w:spacing w:after="0" w:line="360" w:lineRule="auto"/>
        <w:jc w:val="both"/>
        <w:rPr>
          <w:rFonts w:ascii="Times New Roman" w:hAnsi="Times New Roman" w:cs="Times New Roman"/>
          <w:sz w:val="24"/>
          <w:szCs w:val="24"/>
        </w:rPr>
      </w:pPr>
    </w:p>
    <w:p w:rsidR="00D66208" w:rsidRPr="004E34E2" w:rsidRDefault="000F30A4" w:rsidP="00D66208">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The </w:t>
      </w:r>
      <w:r w:rsidR="000E01DB">
        <w:rPr>
          <w:rFonts w:ascii="Times New Roman" w:hAnsi="Times New Roman" w:cs="Times New Roman"/>
          <w:b/>
          <w:sz w:val="24"/>
          <w:szCs w:val="24"/>
        </w:rPr>
        <w:t>Impact of Risk on the Present Value Principle</w:t>
      </w:r>
      <w:r w:rsidR="00686ECF">
        <w:rPr>
          <w:rFonts w:ascii="Times New Roman" w:hAnsi="Times New Roman" w:cs="Times New Roman"/>
          <w:b/>
          <w:sz w:val="24"/>
          <w:szCs w:val="24"/>
        </w:rPr>
        <w:t xml:space="preserve"> </w:t>
      </w:r>
    </w:p>
    <w:p w:rsidR="00D66208" w:rsidRDefault="00D66208" w:rsidP="00D66208">
      <w:pPr>
        <w:spacing w:after="0" w:line="360" w:lineRule="auto"/>
        <w:jc w:val="both"/>
        <w:rPr>
          <w:rFonts w:ascii="Times New Roman" w:hAnsi="Times New Roman" w:cs="Times New Roman"/>
          <w:sz w:val="24"/>
          <w:szCs w:val="24"/>
        </w:rPr>
      </w:pPr>
    </w:p>
    <w:p w:rsidR="00D62D42" w:rsidRDefault="000E01DB"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Present Value principle states that the present value of a regulated firm’s revenue stream should match</w:t>
      </w:r>
      <w:r w:rsidR="00361B73">
        <w:rPr>
          <w:rFonts w:ascii="Times New Roman" w:hAnsi="Times New Roman" w:cs="Times New Roman"/>
          <w:sz w:val="24"/>
          <w:szCs w:val="24"/>
        </w:rPr>
        <w:t xml:space="preserve"> </w:t>
      </w:r>
      <w:r>
        <w:rPr>
          <w:rFonts w:ascii="Times New Roman" w:hAnsi="Times New Roman" w:cs="Times New Roman"/>
          <w:sz w:val="24"/>
          <w:szCs w:val="24"/>
        </w:rPr>
        <w:t xml:space="preserve">the present value of its expenditure stream plus or minus any efficiency incentive rewards or penalties.  </w:t>
      </w:r>
      <w:r w:rsidR="00D54BA0">
        <w:rPr>
          <w:rFonts w:ascii="Times New Roman" w:hAnsi="Times New Roman" w:cs="Times New Roman"/>
          <w:sz w:val="24"/>
          <w:szCs w:val="24"/>
        </w:rPr>
        <w:t xml:space="preserve">This principle is sufficiently general that it deals with situations that involve risk.  </w:t>
      </w:r>
      <w:r>
        <w:rPr>
          <w:rFonts w:ascii="Times New Roman" w:hAnsi="Times New Roman" w:cs="Times New Roman"/>
          <w:sz w:val="24"/>
          <w:szCs w:val="24"/>
        </w:rPr>
        <w:t>In assessing the implications of this principle for the choice of the risk free rate, Lally (2012</w:t>
      </w:r>
      <w:r w:rsidR="00AD3A45">
        <w:rPr>
          <w:rFonts w:ascii="Times New Roman" w:hAnsi="Times New Roman" w:cs="Times New Roman"/>
          <w:sz w:val="24"/>
          <w:szCs w:val="24"/>
        </w:rPr>
        <w:t>a</w:t>
      </w:r>
      <w:r>
        <w:rPr>
          <w:rFonts w:ascii="Times New Roman" w:hAnsi="Times New Roman" w:cs="Times New Roman"/>
          <w:sz w:val="24"/>
          <w:szCs w:val="24"/>
        </w:rPr>
        <w:t>) assumes away any risk relating to operating</w:t>
      </w:r>
      <w:r w:rsidR="00A4288E">
        <w:rPr>
          <w:rFonts w:ascii="Times New Roman" w:hAnsi="Times New Roman" w:cs="Times New Roman"/>
          <w:sz w:val="24"/>
          <w:szCs w:val="24"/>
        </w:rPr>
        <w:t xml:space="preserve"> costs or revenues and concluded</w:t>
      </w:r>
      <w:r>
        <w:rPr>
          <w:rFonts w:ascii="Times New Roman" w:hAnsi="Times New Roman" w:cs="Times New Roman"/>
          <w:sz w:val="24"/>
          <w:szCs w:val="24"/>
        </w:rPr>
        <w:t xml:space="preserve"> that the appropriate risk free rate is that prevailing at the commencement of the regulatory period</w:t>
      </w:r>
      <w:r w:rsidR="00D54BA0">
        <w:rPr>
          <w:rFonts w:ascii="Times New Roman" w:hAnsi="Times New Roman" w:cs="Times New Roman"/>
          <w:sz w:val="24"/>
          <w:szCs w:val="24"/>
        </w:rPr>
        <w:t xml:space="preserve"> and applicable to the regulatory period</w:t>
      </w:r>
      <w:r>
        <w:rPr>
          <w:rFonts w:ascii="Times New Roman" w:hAnsi="Times New Roman" w:cs="Times New Roman"/>
          <w:sz w:val="24"/>
          <w:szCs w:val="24"/>
        </w:rPr>
        <w:t>.</w:t>
      </w:r>
      <w:r w:rsidR="001B33E6">
        <w:rPr>
          <w:rFonts w:ascii="Times New Roman" w:hAnsi="Times New Roman" w:cs="Times New Roman"/>
          <w:sz w:val="24"/>
          <w:szCs w:val="24"/>
        </w:rPr>
        <w:t xml:space="preserve">  </w:t>
      </w:r>
      <w:r w:rsidR="00D54BA0">
        <w:rPr>
          <w:rFonts w:ascii="Times New Roman" w:hAnsi="Times New Roman" w:cs="Times New Roman"/>
          <w:sz w:val="24"/>
          <w:szCs w:val="24"/>
        </w:rPr>
        <w:t xml:space="preserve">Thus, if the regulatory period were </w:t>
      </w:r>
      <w:r w:rsidR="00361B73">
        <w:rPr>
          <w:rFonts w:ascii="Times New Roman" w:hAnsi="Times New Roman" w:cs="Times New Roman"/>
          <w:sz w:val="24"/>
          <w:szCs w:val="24"/>
        </w:rPr>
        <w:t xml:space="preserve">five </w:t>
      </w:r>
      <w:r w:rsidR="00D54BA0">
        <w:rPr>
          <w:rFonts w:ascii="Times New Roman" w:hAnsi="Times New Roman" w:cs="Times New Roman"/>
          <w:sz w:val="24"/>
          <w:szCs w:val="24"/>
        </w:rPr>
        <w:t xml:space="preserve">years, the appropriate risk free rate would be the </w:t>
      </w:r>
      <w:r w:rsidR="00361B73">
        <w:rPr>
          <w:rFonts w:ascii="Times New Roman" w:hAnsi="Times New Roman" w:cs="Times New Roman"/>
          <w:sz w:val="24"/>
          <w:szCs w:val="24"/>
        </w:rPr>
        <w:t xml:space="preserve">five </w:t>
      </w:r>
      <w:r w:rsidR="00D54BA0">
        <w:rPr>
          <w:rFonts w:ascii="Times New Roman" w:hAnsi="Times New Roman" w:cs="Times New Roman"/>
          <w:sz w:val="24"/>
          <w:szCs w:val="24"/>
        </w:rPr>
        <w:t xml:space="preserve">year rate prevailing at the commencement of the regulatory period.  </w:t>
      </w:r>
      <w:r w:rsidR="001B33E6">
        <w:rPr>
          <w:rFonts w:ascii="Times New Roman" w:hAnsi="Times New Roman" w:cs="Times New Roman"/>
          <w:sz w:val="24"/>
          <w:szCs w:val="24"/>
        </w:rPr>
        <w:t>In respect of risks relating to operating costs or revenues, Lally (2012</w:t>
      </w:r>
      <w:r w:rsidR="00E5369F">
        <w:rPr>
          <w:rFonts w:ascii="Times New Roman" w:hAnsi="Times New Roman" w:cs="Times New Roman"/>
          <w:sz w:val="24"/>
          <w:szCs w:val="24"/>
        </w:rPr>
        <w:t>a</w:t>
      </w:r>
      <w:r w:rsidR="001B33E6">
        <w:rPr>
          <w:rFonts w:ascii="Times New Roman" w:hAnsi="Times New Roman" w:cs="Times New Roman"/>
          <w:sz w:val="24"/>
          <w:szCs w:val="24"/>
        </w:rPr>
        <w:t>, footnote 1) notes that any such uncertainty leads to a risk premium being added to the discount rate and that this does no</w:t>
      </w:r>
      <w:r w:rsidR="00D54BA0">
        <w:rPr>
          <w:rFonts w:ascii="Times New Roman" w:hAnsi="Times New Roman" w:cs="Times New Roman"/>
          <w:sz w:val="24"/>
          <w:szCs w:val="24"/>
        </w:rPr>
        <w:t xml:space="preserve">t affect the appropriate choice of the risk </w:t>
      </w:r>
      <w:r w:rsidR="00D54BA0">
        <w:rPr>
          <w:rFonts w:ascii="Times New Roman" w:hAnsi="Times New Roman" w:cs="Times New Roman"/>
          <w:sz w:val="24"/>
          <w:szCs w:val="24"/>
        </w:rPr>
        <w:lastRenderedPageBreak/>
        <w:t xml:space="preserve">free rate.  Like the risk free rate, this risk premium must reflect conditions prevailing at the commencement of the regulatory period and applicable to the regulatory period.  Thus, if the regulatory period were </w:t>
      </w:r>
      <w:r w:rsidR="00091567">
        <w:rPr>
          <w:rFonts w:ascii="Times New Roman" w:hAnsi="Times New Roman" w:cs="Times New Roman"/>
          <w:sz w:val="24"/>
          <w:szCs w:val="24"/>
        </w:rPr>
        <w:t xml:space="preserve">five </w:t>
      </w:r>
      <w:r w:rsidR="00D54BA0">
        <w:rPr>
          <w:rFonts w:ascii="Times New Roman" w:hAnsi="Times New Roman" w:cs="Times New Roman"/>
          <w:sz w:val="24"/>
          <w:szCs w:val="24"/>
        </w:rPr>
        <w:t xml:space="preserve">years, the appropriate risk premium would be the </w:t>
      </w:r>
      <w:r w:rsidR="00091567">
        <w:rPr>
          <w:rFonts w:ascii="Times New Roman" w:hAnsi="Times New Roman" w:cs="Times New Roman"/>
          <w:sz w:val="24"/>
          <w:szCs w:val="24"/>
        </w:rPr>
        <w:t xml:space="preserve">five </w:t>
      </w:r>
      <w:r w:rsidR="00D54BA0">
        <w:rPr>
          <w:rFonts w:ascii="Times New Roman" w:hAnsi="Times New Roman" w:cs="Times New Roman"/>
          <w:sz w:val="24"/>
          <w:szCs w:val="24"/>
        </w:rPr>
        <w:t>year premium prevailing at the commenc</w:t>
      </w:r>
      <w:r w:rsidR="00D62D42">
        <w:rPr>
          <w:rFonts w:ascii="Times New Roman" w:hAnsi="Times New Roman" w:cs="Times New Roman"/>
          <w:sz w:val="24"/>
          <w:szCs w:val="24"/>
        </w:rPr>
        <w:t>ement of the regulatory period.</w:t>
      </w:r>
    </w:p>
    <w:p w:rsidR="00D62D42" w:rsidRDefault="00D62D42" w:rsidP="00D66208">
      <w:pPr>
        <w:spacing w:after="0" w:line="360" w:lineRule="auto"/>
        <w:jc w:val="both"/>
        <w:rPr>
          <w:rFonts w:ascii="Times New Roman" w:hAnsi="Times New Roman" w:cs="Times New Roman"/>
          <w:sz w:val="24"/>
          <w:szCs w:val="24"/>
        </w:rPr>
      </w:pPr>
    </w:p>
    <w:p w:rsidR="000E01DB" w:rsidRDefault="00D62D42"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summary, the Present Value principle applies equally to risk free and risky situations and, in the latter case, requires both a risk free rate and a risk premium that are defined over the regulatory period and based upon conditions prevailing at the start of that period.</w:t>
      </w:r>
      <w:r w:rsidR="00D54BA0">
        <w:rPr>
          <w:rFonts w:ascii="Times New Roman" w:hAnsi="Times New Roman" w:cs="Times New Roman"/>
          <w:sz w:val="24"/>
          <w:szCs w:val="24"/>
        </w:rPr>
        <w:t xml:space="preserve"> </w:t>
      </w:r>
    </w:p>
    <w:p w:rsidR="00D54BA0" w:rsidRDefault="00D54BA0" w:rsidP="00D66208">
      <w:pPr>
        <w:spacing w:after="0" w:line="360" w:lineRule="auto"/>
        <w:jc w:val="both"/>
        <w:rPr>
          <w:rFonts w:ascii="Times New Roman" w:hAnsi="Times New Roman" w:cs="Times New Roman"/>
          <w:sz w:val="24"/>
          <w:szCs w:val="24"/>
        </w:rPr>
      </w:pPr>
    </w:p>
    <w:p w:rsidR="0032394B" w:rsidRPr="0032394B" w:rsidRDefault="0032394B" w:rsidP="0032394B">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Application of the Sharpe-</w:t>
      </w:r>
      <w:proofErr w:type="spellStart"/>
      <w:r>
        <w:rPr>
          <w:rFonts w:ascii="Times New Roman" w:hAnsi="Times New Roman" w:cs="Times New Roman"/>
          <w:b/>
          <w:sz w:val="24"/>
          <w:szCs w:val="24"/>
        </w:rPr>
        <w:t>Lintner</w:t>
      </w:r>
      <w:proofErr w:type="spellEnd"/>
      <w:r>
        <w:rPr>
          <w:rFonts w:ascii="Times New Roman" w:hAnsi="Times New Roman" w:cs="Times New Roman"/>
          <w:b/>
          <w:sz w:val="24"/>
          <w:szCs w:val="24"/>
        </w:rPr>
        <w:t xml:space="preserve"> CAPM</w:t>
      </w:r>
      <w:r w:rsidR="003D1BC0">
        <w:rPr>
          <w:rFonts w:ascii="Times New Roman" w:hAnsi="Times New Roman" w:cs="Times New Roman"/>
          <w:b/>
          <w:sz w:val="24"/>
          <w:szCs w:val="24"/>
        </w:rPr>
        <w:t xml:space="preserve"> to Regulatory Situations</w:t>
      </w:r>
    </w:p>
    <w:p w:rsidR="0032394B" w:rsidRDefault="0032394B" w:rsidP="00D66208">
      <w:pPr>
        <w:spacing w:after="0" w:line="360" w:lineRule="auto"/>
        <w:jc w:val="both"/>
        <w:rPr>
          <w:rFonts w:ascii="Times New Roman" w:hAnsi="Times New Roman" w:cs="Times New Roman"/>
          <w:sz w:val="24"/>
          <w:szCs w:val="24"/>
        </w:rPr>
      </w:pPr>
    </w:p>
    <w:p w:rsidR="001425C9" w:rsidRDefault="00091567" w:rsidP="000915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54BA0">
        <w:rPr>
          <w:rFonts w:ascii="Times New Roman" w:hAnsi="Times New Roman" w:cs="Times New Roman"/>
          <w:sz w:val="24"/>
          <w:szCs w:val="24"/>
        </w:rPr>
        <w:t>Sharpe-</w:t>
      </w:r>
      <w:proofErr w:type="spellStart"/>
      <w:r w:rsidR="00D54BA0">
        <w:rPr>
          <w:rFonts w:ascii="Times New Roman" w:hAnsi="Times New Roman" w:cs="Times New Roman"/>
          <w:sz w:val="24"/>
          <w:szCs w:val="24"/>
        </w:rPr>
        <w:t>Lintner</w:t>
      </w:r>
      <w:proofErr w:type="spellEnd"/>
      <w:r w:rsidR="00D54BA0">
        <w:rPr>
          <w:rFonts w:ascii="Times New Roman" w:hAnsi="Times New Roman" w:cs="Times New Roman"/>
          <w:sz w:val="24"/>
          <w:szCs w:val="24"/>
        </w:rPr>
        <w:t xml:space="preserve"> version of the CAPM</w:t>
      </w:r>
      <w:r w:rsidR="00780E94">
        <w:rPr>
          <w:rFonts w:ascii="Times New Roman" w:hAnsi="Times New Roman" w:cs="Times New Roman"/>
          <w:sz w:val="24"/>
          <w:szCs w:val="24"/>
        </w:rPr>
        <w:t xml:space="preserve"> (Sharpe, 1964; </w:t>
      </w:r>
      <w:proofErr w:type="spellStart"/>
      <w:r w:rsidR="00780E94">
        <w:rPr>
          <w:rFonts w:ascii="Times New Roman" w:hAnsi="Times New Roman" w:cs="Times New Roman"/>
          <w:sz w:val="24"/>
          <w:szCs w:val="24"/>
        </w:rPr>
        <w:t>Lintner</w:t>
      </w:r>
      <w:proofErr w:type="spellEnd"/>
      <w:r w:rsidR="00780E94">
        <w:rPr>
          <w:rFonts w:ascii="Times New Roman" w:hAnsi="Times New Roman" w:cs="Times New Roman"/>
          <w:sz w:val="24"/>
          <w:szCs w:val="24"/>
        </w:rPr>
        <w:t xml:space="preserve">, 1965; </w:t>
      </w:r>
      <w:proofErr w:type="spellStart"/>
      <w:r w:rsidR="00780E94">
        <w:rPr>
          <w:rFonts w:ascii="Times New Roman" w:hAnsi="Times New Roman" w:cs="Times New Roman"/>
          <w:sz w:val="24"/>
          <w:szCs w:val="24"/>
        </w:rPr>
        <w:t>Mossin</w:t>
      </w:r>
      <w:proofErr w:type="spellEnd"/>
      <w:r w:rsidR="00780E94">
        <w:rPr>
          <w:rFonts w:ascii="Times New Roman" w:hAnsi="Times New Roman" w:cs="Times New Roman"/>
          <w:sz w:val="24"/>
          <w:szCs w:val="24"/>
        </w:rPr>
        <w:t>, 1966)</w:t>
      </w:r>
      <w:r>
        <w:rPr>
          <w:rFonts w:ascii="Times New Roman" w:hAnsi="Times New Roman" w:cs="Times New Roman"/>
          <w:sz w:val="24"/>
          <w:szCs w:val="24"/>
        </w:rPr>
        <w:t xml:space="preserve"> </w:t>
      </w:r>
      <w:r w:rsidR="001425C9">
        <w:rPr>
          <w:rFonts w:ascii="Times New Roman" w:hAnsi="Times New Roman" w:cs="Times New Roman"/>
          <w:sz w:val="24"/>
          <w:szCs w:val="24"/>
        </w:rPr>
        <w:t xml:space="preserve">specifies the equilibrium expected rate of return on asset </w:t>
      </w:r>
      <w:r w:rsidR="001425C9" w:rsidRPr="001B7F2B">
        <w:rPr>
          <w:rFonts w:ascii="Times New Roman" w:hAnsi="Times New Roman" w:cs="Times New Roman"/>
          <w:i/>
          <w:sz w:val="24"/>
          <w:szCs w:val="24"/>
        </w:rPr>
        <w:t>j</w:t>
      </w:r>
      <w:r w:rsidR="001425C9">
        <w:rPr>
          <w:rFonts w:ascii="Times New Roman" w:hAnsi="Times New Roman" w:cs="Times New Roman"/>
          <w:sz w:val="24"/>
          <w:szCs w:val="24"/>
        </w:rPr>
        <w:t xml:space="preserve"> (‘the cost of capital’ for asset </w:t>
      </w:r>
      <w:r w:rsidR="001425C9" w:rsidRPr="001B7F2B">
        <w:rPr>
          <w:rFonts w:ascii="Times New Roman" w:hAnsi="Times New Roman" w:cs="Times New Roman"/>
          <w:i/>
          <w:sz w:val="24"/>
          <w:szCs w:val="24"/>
        </w:rPr>
        <w:t>j</w:t>
      </w:r>
      <w:r w:rsidR="001425C9">
        <w:rPr>
          <w:rFonts w:ascii="Times New Roman" w:hAnsi="Times New Roman" w:cs="Times New Roman"/>
          <w:sz w:val="24"/>
          <w:szCs w:val="24"/>
        </w:rPr>
        <w:t>) as follows:</w:t>
      </w:r>
    </w:p>
    <w:p w:rsidR="00835C69" w:rsidRDefault="00835C69"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25C9">
        <w:rPr>
          <w:b/>
          <w:bCs/>
          <w:position w:val="-14"/>
        </w:rPr>
        <w:object w:dxaOrig="29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18.8pt" o:ole="">
            <v:imagedata r:id="rId8" o:title=""/>
          </v:shape>
          <o:OLEObject Type="Embed" ProgID="Equation.3" ShapeID="_x0000_i1025" DrawAspect="Content" ObjectID="_1423918340" r:id="rId9"/>
        </w:object>
      </w:r>
      <w:r>
        <w:rPr>
          <w:rFonts w:ascii="Times New Roman" w:hAnsi="Times New Roman" w:cs="Times New Roman"/>
          <w:sz w:val="24"/>
          <w:szCs w:val="24"/>
        </w:rPr>
        <w:t xml:space="preserve">                                               (1)</w:t>
      </w:r>
    </w:p>
    <w:p w:rsidR="00835C69" w:rsidRDefault="00835C69" w:rsidP="00D66208">
      <w:pPr>
        <w:spacing w:after="0" w:line="360" w:lineRule="auto"/>
        <w:jc w:val="both"/>
        <w:rPr>
          <w:rFonts w:ascii="Times New Roman" w:hAnsi="Times New Roman" w:cs="Times New Roman"/>
          <w:sz w:val="24"/>
          <w:szCs w:val="24"/>
        </w:rPr>
      </w:pPr>
    </w:p>
    <w:p w:rsidR="001425C9" w:rsidRDefault="001425C9" w:rsidP="00D6620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proofErr w:type="spellStart"/>
      <w:r w:rsidRPr="001B7F2B">
        <w:rPr>
          <w:rFonts w:ascii="Times New Roman" w:hAnsi="Times New Roman" w:cs="Times New Roman"/>
          <w:i/>
          <w:sz w:val="24"/>
          <w:szCs w:val="24"/>
        </w:rPr>
        <w:t>R</w:t>
      </w:r>
      <w:r w:rsidRPr="001B7F2B">
        <w:rPr>
          <w:rFonts w:ascii="Times New Roman" w:hAnsi="Times New Roman" w:cs="Times New Roman"/>
          <w:i/>
          <w:sz w:val="24"/>
          <w:szCs w:val="24"/>
          <w:vertAlign w:val="subscript"/>
        </w:rPr>
        <w:t>f</w:t>
      </w:r>
      <w:proofErr w:type="spellEnd"/>
      <w:r>
        <w:rPr>
          <w:rFonts w:ascii="Times New Roman" w:hAnsi="Times New Roman" w:cs="Times New Roman"/>
          <w:sz w:val="24"/>
          <w:szCs w:val="24"/>
        </w:rPr>
        <w:t xml:space="preserve"> is the risk free rate, </w:t>
      </w:r>
      <w:r w:rsidRPr="001B7F2B">
        <w:rPr>
          <w:rFonts w:ascii="Times New Roman" w:hAnsi="Times New Roman" w:cs="Times New Roman"/>
          <w:i/>
          <w:sz w:val="24"/>
          <w:szCs w:val="24"/>
        </w:rPr>
        <w:t>E</w:t>
      </w:r>
      <w:r>
        <w:rPr>
          <w:rFonts w:ascii="Times New Roman" w:hAnsi="Times New Roman" w:cs="Times New Roman"/>
          <w:sz w:val="24"/>
          <w:szCs w:val="24"/>
        </w:rPr>
        <w:t>(</w:t>
      </w:r>
      <w:proofErr w:type="spellStart"/>
      <w:r w:rsidRPr="001B7F2B">
        <w:rPr>
          <w:rFonts w:ascii="Times New Roman" w:hAnsi="Times New Roman" w:cs="Times New Roman"/>
          <w:i/>
          <w:sz w:val="24"/>
          <w:szCs w:val="24"/>
        </w:rPr>
        <w:t>R</w:t>
      </w:r>
      <w:r w:rsidRPr="001B7F2B">
        <w:rPr>
          <w:rFonts w:ascii="Times New Roman" w:hAnsi="Times New Roman" w:cs="Times New Roman"/>
          <w:i/>
          <w:sz w:val="24"/>
          <w:szCs w:val="24"/>
          <w:vertAlign w:val="subscript"/>
        </w:rPr>
        <w:t>m</w:t>
      </w:r>
      <w:proofErr w:type="spellEnd"/>
      <w:r>
        <w:rPr>
          <w:rFonts w:ascii="Times New Roman" w:hAnsi="Times New Roman" w:cs="Times New Roman"/>
          <w:sz w:val="24"/>
          <w:szCs w:val="24"/>
        </w:rPr>
        <w:t xml:space="preserve">) is the equilibrium expected rate of return on the ‘market’ portfolio, and </w:t>
      </w:r>
      <w:proofErr w:type="spellStart"/>
      <w:r w:rsidRPr="001B7F2B">
        <w:rPr>
          <w:rFonts w:ascii="Times New Roman" w:hAnsi="Times New Roman" w:cs="Times New Roman"/>
          <w:i/>
          <w:sz w:val="24"/>
          <w:szCs w:val="24"/>
        </w:rPr>
        <w:t>β</w:t>
      </w:r>
      <w:r w:rsidRPr="001B7F2B">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is the beta of asset </w:t>
      </w:r>
      <w:r w:rsidRPr="001B7F2B">
        <w:rPr>
          <w:rFonts w:ascii="Times New Roman" w:hAnsi="Times New Roman" w:cs="Times New Roman"/>
          <w:i/>
          <w:sz w:val="24"/>
          <w:szCs w:val="24"/>
        </w:rPr>
        <w:t>j</w:t>
      </w:r>
      <w:r>
        <w:rPr>
          <w:rFonts w:ascii="Times New Roman" w:hAnsi="Times New Roman" w:cs="Times New Roman"/>
          <w:sz w:val="24"/>
          <w:szCs w:val="24"/>
        </w:rPr>
        <w:t xml:space="preserve"> defined as</w:t>
      </w:r>
    </w:p>
    <w:p w:rsidR="001425C9" w:rsidRDefault="001425C9" w:rsidP="00D66208">
      <w:pPr>
        <w:spacing w:after="0" w:line="360" w:lineRule="auto"/>
        <w:jc w:val="both"/>
        <w:rPr>
          <w:rFonts w:ascii="Times New Roman" w:hAnsi="Times New Roman" w:cs="Times New Roman"/>
          <w:sz w:val="24"/>
          <w:szCs w:val="24"/>
        </w:rPr>
      </w:pPr>
    </w:p>
    <w:p w:rsidR="001425C9" w:rsidRDefault="00EE59AE" w:rsidP="001425C9">
      <w:pPr>
        <w:spacing w:after="0" w:line="360" w:lineRule="auto"/>
        <w:jc w:val="center"/>
        <w:rPr>
          <w:rFonts w:ascii="Times New Roman" w:hAnsi="Times New Roman" w:cs="Times New Roman"/>
          <w:sz w:val="24"/>
          <w:szCs w:val="24"/>
        </w:rPr>
      </w:pPr>
      <w:r w:rsidRPr="00EE59AE">
        <w:rPr>
          <w:b/>
          <w:bCs/>
          <w:position w:val="-30"/>
        </w:rPr>
        <w:object w:dxaOrig="1840" w:dyaOrig="720">
          <v:shape id="_x0000_i1026" type="#_x0000_t75" style="width:92.05pt;height:36.3pt" o:ole="">
            <v:imagedata r:id="rId10" o:title=""/>
          </v:shape>
          <o:OLEObject Type="Embed" ProgID="Equation.3" ShapeID="_x0000_i1026" DrawAspect="Content" ObjectID="_1423918341" r:id="rId11"/>
        </w:object>
      </w:r>
    </w:p>
    <w:p w:rsidR="001425C9" w:rsidRDefault="001425C9" w:rsidP="00D66208">
      <w:pPr>
        <w:spacing w:after="0" w:line="360" w:lineRule="auto"/>
        <w:jc w:val="both"/>
        <w:rPr>
          <w:rFonts w:ascii="Times New Roman" w:hAnsi="Times New Roman" w:cs="Times New Roman"/>
          <w:sz w:val="24"/>
          <w:szCs w:val="24"/>
        </w:rPr>
      </w:pPr>
    </w:p>
    <w:p w:rsidR="00EE5540" w:rsidRDefault="001425C9"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light of the </w:t>
      </w:r>
      <w:r w:rsidR="00EE4BFD">
        <w:rPr>
          <w:rFonts w:ascii="Times New Roman" w:hAnsi="Times New Roman" w:cs="Times New Roman"/>
          <w:sz w:val="24"/>
          <w:szCs w:val="24"/>
        </w:rPr>
        <w:t xml:space="preserve">conclusions </w:t>
      </w:r>
      <w:r>
        <w:rPr>
          <w:rFonts w:ascii="Times New Roman" w:hAnsi="Times New Roman" w:cs="Times New Roman"/>
          <w:sz w:val="24"/>
          <w:szCs w:val="24"/>
        </w:rPr>
        <w:t xml:space="preserve">in the previous </w:t>
      </w:r>
      <w:r w:rsidR="0032394B">
        <w:rPr>
          <w:rFonts w:ascii="Times New Roman" w:hAnsi="Times New Roman" w:cs="Times New Roman"/>
          <w:sz w:val="24"/>
          <w:szCs w:val="24"/>
        </w:rPr>
        <w:t xml:space="preserve">section, if the regulatory period were </w:t>
      </w:r>
      <w:r w:rsidR="00091567">
        <w:rPr>
          <w:rFonts w:ascii="Times New Roman" w:hAnsi="Times New Roman" w:cs="Times New Roman"/>
          <w:sz w:val="24"/>
          <w:szCs w:val="24"/>
        </w:rPr>
        <w:t xml:space="preserve">five </w:t>
      </w:r>
      <w:r w:rsidR="0032394B">
        <w:rPr>
          <w:rFonts w:ascii="Times New Roman" w:hAnsi="Times New Roman" w:cs="Times New Roman"/>
          <w:sz w:val="24"/>
          <w:szCs w:val="24"/>
        </w:rPr>
        <w:t xml:space="preserve">years, </w:t>
      </w:r>
      <w:r>
        <w:rPr>
          <w:rFonts w:ascii="Times New Roman" w:hAnsi="Times New Roman" w:cs="Times New Roman"/>
          <w:sz w:val="24"/>
          <w:szCs w:val="24"/>
        </w:rPr>
        <w:t xml:space="preserve">the </w:t>
      </w:r>
      <w:r w:rsidR="001B7F2B">
        <w:rPr>
          <w:rFonts w:ascii="Times New Roman" w:hAnsi="Times New Roman" w:cs="Times New Roman"/>
          <w:sz w:val="24"/>
          <w:szCs w:val="24"/>
        </w:rPr>
        <w:t xml:space="preserve">appropriate </w:t>
      </w:r>
      <w:r w:rsidR="00EE59AE">
        <w:rPr>
          <w:rFonts w:ascii="Times New Roman" w:hAnsi="Times New Roman" w:cs="Times New Roman"/>
          <w:sz w:val="24"/>
          <w:szCs w:val="24"/>
        </w:rPr>
        <w:t xml:space="preserve">values for </w:t>
      </w:r>
      <w:proofErr w:type="spellStart"/>
      <w:r w:rsidR="00EE59AE" w:rsidRPr="001B7F2B">
        <w:rPr>
          <w:rFonts w:ascii="Times New Roman" w:hAnsi="Times New Roman" w:cs="Times New Roman"/>
          <w:i/>
          <w:sz w:val="24"/>
          <w:szCs w:val="24"/>
        </w:rPr>
        <w:t>R</w:t>
      </w:r>
      <w:r w:rsidR="00EE59AE" w:rsidRPr="001B7F2B">
        <w:rPr>
          <w:rFonts w:ascii="Times New Roman" w:hAnsi="Times New Roman" w:cs="Times New Roman"/>
          <w:i/>
          <w:sz w:val="24"/>
          <w:szCs w:val="24"/>
          <w:vertAlign w:val="subscript"/>
        </w:rPr>
        <w:t>f</w:t>
      </w:r>
      <w:proofErr w:type="spellEnd"/>
      <w:r w:rsidR="00EE59AE">
        <w:rPr>
          <w:rFonts w:ascii="Times New Roman" w:hAnsi="Times New Roman" w:cs="Times New Roman"/>
          <w:sz w:val="24"/>
          <w:szCs w:val="24"/>
        </w:rPr>
        <w:t xml:space="preserve"> and </w:t>
      </w:r>
      <w:proofErr w:type="gramStart"/>
      <w:r w:rsidR="0032394B" w:rsidRPr="001B7F2B">
        <w:rPr>
          <w:rFonts w:ascii="Times New Roman" w:hAnsi="Times New Roman" w:cs="Times New Roman"/>
          <w:i/>
          <w:sz w:val="24"/>
          <w:szCs w:val="24"/>
        </w:rPr>
        <w:t>E</w:t>
      </w:r>
      <w:r w:rsidR="0032394B">
        <w:rPr>
          <w:rFonts w:ascii="Times New Roman" w:hAnsi="Times New Roman" w:cs="Times New Roman"/>
          <w:sz w:val="24"/>
          <w:szCs w:val="24"/>
        </w:rPr>
        <w:t>(</w:t>
      </w:r>
      <w:proofErr w:type="spellStart"/>
      <w:proofErr w:type="gramEnd"/>
      <w:r w:rsidR="0032394B" w:rsidRPr="001B7F2B">
        <w:rPr>
          <w:rFonts w:ascii="Times New Roman" w:hAnsi="Times New Roman" w:cs="Times New Roman"/>
          <w:i/>
          <w:sz w:val="24"/>
          <w:szCs w:val="24"/>
        </w:rPr>
        <w:t>R</w:t>
      </w:r>
      <w:r w:rsidR="0032394B" w:rsidRPr="001B7F2B">
        <w:rPr>
          <w:rFonts w:ascii="Times New Roman" w:hAnsi="Times New Roman" w:cs="Times New Roman"/>
          <w:i/>
          <w:sz w:val="24"/>
          <w:szCs w:val="24"/>
          <w:vertAlign w:val="subscript"/>
        </w:rPr>
        <w:t>m</w:t>
      </w:r>
      <w:proofErr w:type="spellEnd"/>
      <w:r w:rsidR="0032394B">
        <w:rPr>
          <w:rFonts w:ascii="Times New Roman" w:hAnsi="Times New Roman" w:cs="Times New Roman"/>
          <w:sz w:val="24"/>
          <w:szCs w:val="24"/>
        </w:rPr>
        <w:t>)</w:t>
      </w:r>
      <w:r>
        <w:rPr>
          <w:rFonts w:ascii="Times New Roman" w:hAnsi="Times New Roman" w:cs="Times New Roman"/>
          <w:sz w:val="24"/>
          <w:szCs w:val="24"/>
        </w:rPr>
        <w:t xml:space="preserve"> would </w:t>
      </w:r>
      <w:r w:rsidR="00EE5540">
        <w:rPr>
          <w:rFonts w:ascii="Times New Roman" w:hAnsi="Times New Roman" w:cs="Times New Roman"/>
          <w:sz w:val="24"/>
          <w:szCs w:val="24"/>
        </w:rPr>
        <w:t xml:space="preserve">be </w:t>
      </w:r>
      <w:r w:rsidR="00EE59AE">
        <w:rPr>
          <w:rFonts w:ascii="Times New Roman" w:hAnsi="Times New Roman" w:cs="Times New Roman"/>
          <w:sz w:val="24"/>
          <w:szCs w:val="24"/>
        </w:rPr>
        <w:t xml:space="preserve">the </w:t>
      </w:r>
      <w:r w:rsidR="00091567">
        <w:rPr>
          <w:rFonts w:ascii="Times New Roman" w:hAnsi="Times New Roman" w:cs="Times New Roman"/>
          <w:sz w:val="24"/>
          <w:szCs w:val="24"/>
        </w:rPr>
        <w:t xml:space="preserve">five </w:t>
      </w:r>
      <w:r w:rsidR="00EE59AE">
        <w:rPr>
          <w:rFonts w:ascii="Times New Roman" w:hAnsi="Times New Roman" w:cs="Times New Roman"/>
          <w:sz w:val="24"/>
          <w:szCs w:val="24"/>
        </w:rPr>
        <w:t xml:space="preserve">year rates prevailing at the commencement of the regulatory period and </w:t>
      </w:r>
      <w:proofErr w:type="spellStart"/>
      <w:r w:rsidR="00EE59AE" w:rsidRPr="001B7F2B">
        <w:rPr>
          <w:rFonts w:ascii="Times New Roman" w:hAnsi="Times New Roman" w:cs="Times New Roman"/>
          <w:i/>
          <w:sz w:val="24"/>
          <w:szCs w:val="24"/>
        </w:rPr>
        <w:t>β</w:t>
      </w:r>
      <w:r w:rsidR="00EE59AE" w:rsidRPr="001B7F2B">
        <w:rPr>
          <w:rFonts w:ascii="Times New Roman" w:hAnsi="Times New Roman" w:cs="Times New Roman"/>
          <w:i/>
          <w:sz w:val="24"/>
          <w:szCs w:val="24"/>
          <w:vertAlign w:val="subscript"/>
        </w:rPr>
        <w:t>j</w:t>
      </w:r>
      <w:proofErr w:type="spellEnd"/>
      <w:r w:rsidR="00EE59AE">
        <w:rPr>
          <w:rFonts w:ascii="Times New Roman" w:hAnsi="Times New Roman" w:cs="Times New Roman"/>
          <w:sz w:val="24"/>
          <w:szCs w:val="24"/>
        </w:rPr>
        <w:t xml:space="preserve"> </w:t>
      </w:r>
      <w:r w:rsidR="00EE5540">
        <w:rPr>
          <w:rFonts w:ascii="Times New Roman" w:hAnsi="Times New Roman" w:cs="Times New Roman"/>
          <w:sz w:val="24"/>
          <w:szCs w:val="24"/>
        </w:rPr>
        <w:t>should</w:t>
      </w:r>
      <w:r w:rsidR="00EE59AE">
        <w:rPr>
          <w:rFonts w:ascii="Times New Roman" w:hAnsi="Times New Roman" w:cs="Times New Roman"/>
          <w:sz w:val="24"/>
          <w:szCs w:val="24"/>
        </w:rPr>
        <w:t xml:space="preserve"> be </w:t>
      </w:r>
      <w:r w:rsidR="0032394B">
        <w:rPr>
          <w:rFonts w:ascii="Times New Roman" w:hAnsi="Times New Roman" w:cs="Times New Roman"/>
          <w:sz w:val="24"/>
          <w:szCs w:val="24"/>
        </w:rPr>
        <w:t xml:space="preserve">defined with respect to the probability distributions for </w:t>
      </w:r>
      <w:proofErr w:type="spellStart"/>
      <w:r w:rsidR="0032394B" w:rsidRPr="001B7F2B">
        <w:rPr>
          <w:rFonts w:ascii="Times New Roman" w:hAnsi="Times New Roman" w:cs="Times New Roman"/>
          <w:i/>
          <w:sz w:val="24"/>
          <w:szCs w:val="24"/>
        </w:rPr>
        <w:t>R</w:t>
      </w:r>
      <w:r w:rsidR="0032394B" w:rsidRPr="001B7F2B">
        <w:rPr>
          <w:rFonts w:ascii="Times New Roman" w:hAnsi="Times New Roman" w:cs="Times New Roman"/>
          <w:i/>
          <w:sz w:val="24"/>
          <w:szCs w:val="24"/>
          <w:vertAlign w:val="subscript"/>
        </w:rPr>
        <w:t>j</w:t>
      </w:r>
      <w:proofErr w:type="spellEnd"/>
      <w:r w:rsidR="0032394B">
        <w:rPr>
          <w:rFonts w:ascii="Times New Roman" w:hAnsi="Times New Roman" w:cs="Times New Roman"/>
          <w:sz w:val="24"/>
          <w:szCs w:val="24"/>
        </w:rPr>
        <w:t xml:space="preserve"> and </w:t>
      </w:r>
      <w:proofErr w:type="spellStart"/>
      <w:r w:rsidR="0032394B" w:rsidRPr="001B7F2B">
        <w:rPr>
          <w:rFonts w:ascii="Times New Roman" w:hAnsi="Times New Roman" w:cs="Times New Roman"/>
          <w:i/>
          <w:sz w:val="24"/>
          <w:szCs w:val="24"/>
        </w:rPr>
        <w:t>R</w:t>
      </w:r>
      <w:r w:rsidR="0032394B" w:rsidRPr="001B7F2B">
        <w:rPr>
          <w:rFonts w:ascii="Times New Roman" w:hAnsi="Times New Roman" w:cs="Times New Roman"/>
          <w:i/>
          <w:sz w:val="24"/>
          <w:szCs w:val="24"/>
          <w:vertAlign w:val="subscript"/>
        </w:rPr>
        <w:t>m</w:t>
      </w:r>
      <w:proofErr w:type="spellEnd"/>
      <w:r w:rsidR="0032394B">
        <w:rPr>
          <w:rFonts w:ascii="Times New Roman" w:hAnsi="Times New Roman" w:cs="Times New Roman"/>
          <w:sz w:val="24"/>
          <w:szCs w:val="24"/>
        </w:rPr>
        <w:t xml:space="preserve"> over the </w:t>
      </w:r>
      <w:r w:rsidR="00091567">
        <w:rPr>
          <w:rFonts w:ascii="Times New Roman" w:hAnsi="Times New Roman" w:cs="Times New Roman"/>
          <w:sz w:val="24"/>
          <w:szCs w:val="24"/>
        </w:rPr>
        <w:t xml:space="preserve">five </w:t>
      </w:r>
      <w:r w:rsidR="0032394B">
        <w:rPr>
          <w:rFonts w:ascii="Times New Roman" w:hAnsi="Times New Roman" w:cs="Times New Roman"/>
          <w:sz w:val="24"/>
          <w:szCs w:val="24"/>
        </w:rPr>
        <w:t>year period corresp</w:t>
      </w:r>
      <w:r w:rsidR="00EE5540">
        <w:rPr>
          <w:rFonts w:ascii="Times New Roman" w:hAnsi="Times New Roman" w:cs="Times New Roman"/>
          <w:sz w:val="24"/>
          <w:szCs w:val="24"/>
        </w:rPr>
        <w:t xml:space="preserve">onding to the regulatory period.  </w:t>
      </w:r>
    </w:p>
    <w:p w:rsidR="00EE5540" w:rsidRDefault="00EE5540" w:rsidP="00D66208">
      <w:pPr>
        <w:spacing w:after="0" w:line="360" w:lineRule="auto"/>
        <w:jc w:val="both"/>
        <w:rPr>
          <w:rFonts w:ascii="Times New Roman" w:hAnsi="Times New Roman" w:cs="Times New Roman"/>
          <w:sz w:val="24"/>
          <w:szCs w:val="24"/>
        </w:rPr>
      </w:pPr>
    </w:p>
    <w:p w:rsidR="000E01DB" w:rsidRDefault="00EE5540"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there are some situations where variations from these implications are inconsequential or unavoidable.  One of them occurs where </w:t>
      </w:r>
      <w:proofErr w:type="gramStart"/>
      <w:r w:rsidRPr="007566C9">
        <w:rPr>
          <w:rFonts w:ascii="Times New Roman" w:hAnsi="Times New Roman" w:cs="Times New Roman"/>
          <w:i/>
          <w:sz w:val="24"/>
          <w:szCs w:val="24"/>
        </w:rPr>
        <w:t>E</w:t>
      </w:r>
      <w:r>
        <w:rPr>
          <w:rFonts w:ascii="Times New Roman" w:hAnsi="Times New Roman" w:cs="Times New Roman"/>
          <w:sz w:val="24"/>
          <w:szCs w:val="24"/>
        </w:rPr>
        <w:t>(</w:t>
      </w:r>
      <w:proofErr w:type="spellStart"/>
      <w:proofErr w:type="gramEnd"/>
      <w:r w:rsidRPr="007566C9">
        <w:rPr>
          <w:rFonts w:ascii="Times New Roman" w:hAnsi="Times New Roman" w:cs="Times New Roman"/>
          <w:i/>
          <w:sz w:val="24"/>
          <w:szCs w:val="24"/>
        </w:rPr>
        <w:t>R</w:t>
      </w:r>
      <w:r w:rsidRPr="007566C9">
        <w:rPr>
          <w:rFonts w:ascii="Times New Roman" w:hAnsi="Times New Roman" w:cs="Times New Roman"/>
          <w:i/>
          <w:sz w:val="24"/>
          <w:szCs w:val="24"/>
          <w:vertAlign w:val="subscript"/>
        </w:rPr>
        <w:t>m</w:t>
      </w:r>
      <w:proofErr w:type="spellEnd"/>
      <w:r>
        <w:rPr>
          <w:rFonts w:ascii="Times New Roman" w:hAnsi="Times New Roman" w:cs="Times New Roman"/>
          <w:sz w:val="24"/>
          <w:szCs w:val="24"/>
        </w:rPr>
        <w:t xml:space="preserve">) is estimated and beta is 1; in this case, the value for </w:t>
      </w:r>
      <w:proofErr w:type="spellStart"/>
      <w:r w:rsidRPr="007566C9">
        <w:rPr>
          <w:rFonts w:ascii="Times New Roman" w:hAnsi="Times New Roman" w:cs="Times New Roman"/>
          <w:i/>
          <w:sz w:val="24"/>
          <w:szCs w:val="24"/>
        </w:rPr>
        <w:t>R</w:t>
      </w:r>
      <w:r w:rsidRPr="007566C9">
        <w:rPr>
          <w:rFonts w:ascii="Times New Roman" w:hAnsi="Times New Roman" w:cs="Times New Roman"/>
          <w:i/>
          <w:sz w:val="24"/>
          <w:szCs w:val="24"/>
          <w:vertAlign w:val="subscript"/>
        </w:rPr>
        <w:t>f</w:t>
      </w:r>
      <w:proofErr w:type="spellEnd"/>
      <w:r>
        <w:rPr>
          <w:rFonts w:ascii="Times New Roman" w:hAnsi="Times New Roman" w:cs="Times New Roman"/>
          <w:sz w:val="24"/>
          <w:szCs w:val="24"/>
        </w:rPr>
        <w:t xml:space="preserve"> is irrelevant because it washes out.  </w:t>
      </w:r>
      <w:r w:rsidR="007566C9">
        <w:rPr>
          <w:rFonts w:ascii="Times New Roman" w:hAnsi="Times New Roman" w:cs="Times New Roman"/>
          <w:sz w:val="24"/>
          <w:szCs w:val="24"/>
        </w:rPr>
        <w:t xml:space="preserve">The </w:t>
      </w:r>
      <w:r>
        <w:rPr>
          <w:rFonts w:ascii="Times New Roman" w:hAnsi="Times New Roman" w:cs="Times New Roman"/>
          <w:sz w:val="24"/>
          <w:szCs w:val="24"/>
        </w:rPr>
        <w:t xml:space="preserve">second situation occurs </w:t>
      </w:r>
      <w:r w:rsidR="007566C9">
        <w:rPr>
          <w:rFonts w:ascii="Times New Roman" w:hAnsi="Times New Roman" w:cs="Times New Roman"/>
          <w:sz w:val="24"/>
          <w:szCs w:val="24"/>
        </w:rPr>
        <w:t xml:space="preserve">when </w:t>
      </w:r>
      <w:proofErr w:type="gramStart"/>
      <w:r w:rsidR="007566C9" w:rsidRPr="007566C9">
        <w:rPr>
          <w:rFonts w:ascii="Times New Roman" w:hAnsi="Times New Roman" w:cs="Times New Roman"/>
          <w:i/>
          <w:sz w:val="24"/>
          <w:szCs w:val="24"/>
        </w:rPr>
        <w:t>E</w:t>
      </w:r>
      <w:r w:rsidR="007566C9">
        <w:rPr>
          <w:rFonts w:ascii="Times New Roman" w:hAnsi="Times New Roman" w:cs="Times New Roman"/>
          <w:sz w:val="24"/>
          <w:szCs w:val="24"/>
        </w:rPr>
        <w:t>(</w:t>
      </w:r>
      <w:proofErr w:type="spellStart"/>
      <w:proofErr w:type="gramEnd"/>
      <w:r w:rsidR="007566C9" w:rsidRPr="007566C9">
        <w:rPr>
          <w:rFonts w:ascii="Times New Roman" w:hAnsi="Times New Roman" w:cs="Times New Roman"/>
          <w:i/>
          <w:sz w:val="24"/>
          <w:szCs w:val="24"/>
        </w:rPr>
        <w:t>R</w:t>
      </w:r>
      <w:r w:rsidR="007566C9" w:rsidRPr="007566C9">
        <w:rPr>
          <w:rFonts w:ascii="Times New Roman" w:hAnsi="Times New Roman" w:cs="Times New Roman"/>
          <w:i/>
          <w:sz w:val="24"/>
          <w:szCs w:val="24"/>
          <w:vertAlign w:val="subscript"/>
        </w:rPr>
        <w:t>m</w:t>
      </w:r>
      <w:proofErr w:type="spellEnd"/>
      <w:r w:rsidR="007566C9">
        <w:rPr>
          <w:rFonts w:ascii="Times New Roman" w:hAnsi="Times New Roman" w:cs="Times New Roman"/>
          <w:sz w:val="24"/>
          <w:szCs w:val="24"/>
        </w:rPr>
        <w:t xml:space="preserve">) or the MRP has a term structure, i.e., the expected rate over the next (say) </w:t>
      </w:r>
      <w:r w:rsidR="00091567">
        <w:rPr>
          <w:rFonts w:ascii="Times New Roman" w:hAnsi="Times New Roman" w:cs="Times New Roman"/>
          <w:sz w:val="24"/>
          <w:szCs w:val="24"/>
        </w:rPr>
        <w:t xml:space="preserve">five </w:t>
      </w:r>
      <w:r w:rsidR="007566C9">
        <w:rPr>
          <w:rFonts w:ascii="Times New Roman" w:hAnsi="Times New Roman" w:cs="Times New Roman"/>
          <w:sz w:val="24"/>
          <w:szCs w:val="24"/>
        </w:rPr>
        <w:t xml:space="preserve">years differs from the expected rate over a different term.  Unlike the term structure in the </w:t>
      </w:r>
      <w:r w:rsidR="007566C9">
        <w:rPr>
          <w:rFonts w:ascii="Times New Roman" w:hAnsi="Times New Roman" w:cs="Times New Roman"/>
          <w:sz w:val="24"/>
          <w:szCs w:val="24"/>
        </w:rPr>
        <w:lastRenderedPageBreak/>
        <w:t xml:space="preserve">risk free rate, this term structure in </w:t>
      </w:r>
      <w:proofErr w:type="gramStart"/>
      <w:r w:rsidR="007566C9" w:rsidRPr="007566C9">
        <w:rPr>
          <w:rFonts w:ascii="Times New Roman" w:hAnsi="Times New Roman" w:cs="Times New Roman"/>
          <w:i/>
          <w:sz w:val="24"/>
          <w:szCs w:val="24"/>
        </w:rPr>
        <w:t>E</w:t>
      </w:r>
      <w:r w:rsidR="007566C9">
        <w:rPr>
          <w:rFonts w:ascii="Times New Roman" w:hAnsi="Times New Roman" w:cs="Times New Roman"/>
          <w:sz w:val="24"/>
          <w:szCs w:val="24"/>
        </w:rPr>
        <w:t>(</w:t>
      </w:r>
      <w:proofErr w:type="spellStart"/>
      <w:proofErr w:type="gramEnd"/>
      <w:r w:rsidR="007566C9" w:rsidRPr="007566C9">
        <w:rPr>
          <w:rFonts w:ascii="Times New Roman" w:hAnsi="Times New Roman" w:cs="Times New Roman"/>
          <w:i/>
          <w:sz w:val="24"/>
          <w:szCs w:val="24"/>
        </w:rPr>
        <w:t>R</w:t>
      </w:r>
      <w:r w:rsidR="007566C9" w:rsidRPr="007566C9">
        <w:rPr>
          <w:rFonts w:ascii="Times New Roman" w:hAnsi="Times New Roman" w:cs="Times New Roman"/>
          <w:i/>
          <w:sz w:val="24"/>
          <w:szCs w:val="24"/>
          <w:vertAlign w:val="subscript"/>
        </w:rPr>
        <w:t>m</w:t>
      </w:r>
      <w:proofErr w:type="spellEnd"/>
      <w:r w:rsidR="007566C9">
        <w:rPr>
          <w:rFonts w:ascii="Times New Roman" w:hAnsi="Times New Roman" w:cs="Times New Roman"/>
          <w:sz w:val="24"/>
          <w:szCs w:val="24"/>
        </w:rPr>
        <w:t>) or the MRP cannot be observed or (in general) even estimated using historical or other data.</w:t>
      </w:r>
      <w:r w:rsidR="007566C9">
        <w:rPr>
          <w:rStyle w:val="FootnoteReference"/>
          <w:rFonts w:ascii="Times New Roman" w:hAnsi="Times New Roman" w:cs="Times New Roman"/>
          <w:sz w:val="24"/>
          <w:szCs w:val="24"/>
        </w:rPr>
        <w:footnoteReference w:id="1"/>
      </w:r>
      <w:r w:rsidR="007566C9">
        <w:rPr>
          <w:rFonts w:ascii="Times New Roman" w:hAnsi="Times New Roman" w:cs="Times New Roman"/>
          <w:sz w:val="24"/>
          <w:szCs w:val="24"/>
        </w:rPr>
        <w:t xml:space="preserve">  </w:t>
      </w:r>
      <w:r w:rsidR="00EE4BFD">
        <w:rPr>
          <w:rFonts w:ascii="Times New Roman" w:hAnsi="Times New Roman" w:cs="Times New Roman"/>
          <w:sz w:val="24"/>
          <w:szCs w:val="24"/>
        </w:rPr>
        <w:t xml:space="preserve">Consequently one is bound to act as if the term structure is always flat.  The third situation arises in respect of beta, which is defined with respect to probability distributions for </w:t>
      </w:r>
      <w:proofErr w:type="spellStart"/>
      <w:proofErr w:type="gramStart"/>
      <w:r w:rsidR="00EE4BFD" w:rsidRPr="00D34074">
        <w:rPr>
          <w:rFonts w:ascii="Times New Roman" w:hAnsi="Times New Roman" w:cs="Times New Roman"/>
          <w:i/>
          <w:sz w:val="24"/>
          <w:szCs w:val="24"/>
        </w:rPr>
        <w:t>R</w:t>
      </w:r>
      <w:r w:rsidR="00EE4BFD" w:rsidRPr="00D34074">
        <w:rPr>
          <w:rFonts w:ascii="Times New Roman" w:hAnsi="Times New Roman" w:cs="Times New Roman"/>
          <w:i/>
          <w:sz w:val="24"/>
          <w:szCs w:val="24"/>
          <w:vertAlign w:val="subscript"/>
        </w:rPr>
        <w:t>j</w:t>
      </w:r>
      <w:proofErr w:type="spellEnd"/>
      <w:proofErr w:type="gramEnd"/>
      <w:r w:rsidR="00EE4BFD">
        <w:rPr>
          <w:rFonts w:ascii="Times New Roman" w:hAnsi="Times New Roman" w:cs="Times New Roman"/>
          <w:sz w:val="24"/>
          <w:szCs w:val="24"/>
        </w:rPr>
        <w:t xml:space="preserve"> and </w:t>
      </w:r>
      <w:proofErr w:type="spellStart"/>
      <w:r w:rsidR="00EE4BFD" w:rsidRPr="00D34074">
        <w:rPr>
          <w:rFonts w:ascii="Times New Roman" w:hAnsi="Times New Roman" w:cs="Times New Roman"/>
          <w:i/>
          <w:sz w:val="24"/>
          <w:szCs w:val="24"/>
        </w:rPr>
        <w:t>R</w:t>
      </w:r>
      <w:r w:rsidR="00EE4BFD" w:rsidRPr="00D34074">
        <w:rPr>
          <w:rFonts w:ascii="Times New Roman" w:hAnsi="Times New Roman" w:cs="Times New Roman"/>
          <w:i/>
          <w:sz w:val="24"/>
          <w:szCs w:val="24"/>
          <w:vertAlign w:val="subscript"/>
        </w:rPr>
        <w:t>m</w:t>
      </w:r>
      <w:proofErr w:type="spellEnd"/>
      <w:r w:rsidR="00EE4BFD">
        <w:rPr>
          <w:rFonts w:ascii="Times New Roman" w:hAnsi="Times New Roman" w:cs="Times New Roman"/>
          <w:sz w:val="24"/>
          <w:szCs w:val="24"/>
        </w:rPr>
        <w:t xml:space="preserve"> over the regulatory period (typically several years).  However, when using past data to estimate beta, it is necessary to use data of a higher frequency (usually monthly) in order to provide sufficient observations to estimate beta and this induces bias in the estimate.</w:t>
      </w:r>
      <w:r w:rsidR="00126DB5">
        <w:rPr>
          <w:rStyle w:val="FootnoteReference"/>
          <w:rFonts w:ascii="Times New Roman" w:hAnsi="Times New Roman" w:cs="Times New Roman"/>
          <w:sz w:val="24"/>
          <w:szCs w:val="24"/>
        </w:rPr>
        <w:footnoteReference w:id="2"/>
      </w:r>
    </w:p>
    <w:p w:rsidR="00EE4BFD" w:rsidRDefault="00EE4BFD" w:rsidP="00D66208">
      <w:pPr>
        <w:spacing w:after="0" w:line="360" w:lineRule="auto"/>
        <w:jc w:val="both"/>
        <w:rPr>
          <w:rFonts w:ascii="Times New Roman" w:hAnsi="Times New Roman" w:cs="Times New Roman"/>
          <w:sz w:val="24"/>
          <w:szCs w:val="24"/>
        </w:rPr>
      </w:pPr>
    </w:p>
    <w:p w:rsidR="00EE4BFD" w:rsidRDefault="00EE4BFD"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addition to issues relating to definitions within the Sharpe-</w:t>
      </w:r>
      <w:proofErr w:type="spellStart"/>
      <w:r>
        <w:rPr>
          <w:rFonts w:ascii="Times New Roman" w:hAnsi="Times New Roman" w:cs="Times New Roman"/>
          <w:sz w:val="24"/>
          <w:szCs w:val="24"/>
        </w:rPr>
        <w:t>Lintner</w:t>
      </w:r>
      <w:proofErr w:type="spellEnd"/>
      <w:r>
        <w:rPr>
          <w:rFonts w:ascii="Times New Roman" w:hAnsi="Times New Roman" w:cs="Times New Roman"/>
          <w:sz w:val="24"/>
          <w:szCs w:val="24"/>
        </w:rPr>
        <w:t xml:space="preserve"> model, there are also issues arising from the fact that this is a one-period model that is being applied successively in a multi-period </w:t>
      </w:r>
      <w:r w:rsidR="00091567">
        <w:rPr>
          <w:rFonts w:ascii="Times New Roman" w:hAnsi="Times New Roman" w:cs="Times New Roman"/>
          <w:sz w:val="24"/>
          <w:szCs w:val="24"/>
        </w:rPr>
        <w:t xml:space="preserve">regulatory </w:t>
      </w:r>
      <w:r>
        <w:rPr>
          <w:rFonts w:ascii="Times New Roman" w:hAnsi="Times New Roman" w:cs="Times New Roman"/>
          <w:sz w:val="24"/>
          <w:szCs w:val="24"/>
        </w:rPr>
        <w:t>situation, i.e., the model assumes that investors select portfolios at a point in time with the intention of liquidating them at some later point in time whilst the regulatory situations to which the model is applied</w:t>
      </w:r>
      <w:r w:rsidR="001D62C1">
        <w:rPr>
          <w:rFonts w:ascii="Times New Roman" w:hAnsi="Times New Roman" w:cs="Times New Roman"/>
          <w:sz w:val="24"/>
          <w:szCs w:val="24"/>
        </w:rPr>
        <w:t xml:space="preserve"> do not have this terminal feature.  As noted by Gregory (2012</w:t>
      </w:r>
      <w:r w:rsidR="00E154C5">
        <w:rPr>
          <w:rFonts w:ascii="Times New Roman" w:hAnsi="Times New Roman" w:cs="Times New Roman"/>
          <w:sz w:val="24"/>
          <w:szCs w:val="24"/>
        </w:rPr>
        <w:t>a</w:t>
      </w:r>
      <w:r w:rsidR="001D62C1">
        <w:rPr>
          <w:rFonts w:ascii="Times New Roman" w:hAnsi="Times New Roman" w:cs="Times New Roman"/>
          <w:sz w:val="24"/>
          <w:szCs w:val="24"/>
        </w:rPr>
        <w:t xml:space="preserve">, page 4), application of the CAPM to a succession of periods requires either a </w:t>
      </w:r>
      <w:r w:rsidR="003C169A">
        <w:rPr>
          <w:rFonts w:ascii="Times New Roman" w:hAnsi="Times New Roman" w:cs="Times New Roman"/>
          <w:sz w:val="24"/>
          <w:szCs w:val="24"/>
        </w:rPr>
        <w:t xml:space="preserve">multi-period version of </w:t>
      </w:r>
      <w:r w:rsidR="001D62C1">
        <w:rPr>
          <w:rFonts w:ascii="Times New Roman" w:hAnsi="Times New Roman" w:cs="Times New Roman"/>
          <w:sz w:val="24"/>
          <w:szCs w:val="24"/>
        </w:rPr>
        <w:t xml:space="preserve">the CAPM or highly </w:t>
      </w:r>
      <w:r w:rsidR="003C169A">
        <w:rPr>
          <w:rFonts w:ascii="Times New Roman" w:hAnsi="Times New Roman" w:cs="Times New Roman"/>
          <w:sz w:val="24"/>
          <w:szCs w:val="24"/>
        </w:rPr>
        <w:t xml:space="preserve">unrealistic </w:t>
      </w:r>
      <w:r w:rsidR="001D62C1">
        <w:rPr>
          <w:rFonts w:ascii="Times New Roman" w:hAnsi="Times New Roman" w:cs="Times New Roman"/>
          <w:sz w:val="24"/>
          <w:szCs w:val="24"/>
        </w:rPr>
        <w:t>assumptions about various parameters</w:t>
      </w:r>
      <w:r w:rsidR="003C169A">
        <w:rPr>
          <w:rFonts w:ascii="Times New Roman" w:hAnsi="Times New Roman" w:cs="Times New Roman"/>
          <w:sz w:val="24"/>
          <w:szCs w:val="24"/>
        </w:rPr>
        <w:t xml:space="preserve"> within one-period versions of the CAPM (such as the Sharpe-</w:t>
      </w:r>
      <w:proofErr w:type="spellStart"/>
      <w:r w:rsidR="003C169A">
        <w:rPr>
          <w:rFonts w:ascii="Times New Roman" w:hAnsi="Times New Roman" w:cs="Times New Roman"/>
          <w:sz w:val="24"/>
          <w:szCs w:val="24"/>
        </w:rPr>
        <w:t>Lintner</w:t>
      </w:r>
      <w:proofErr w:type="spellEnd"/>
      <w:r w:rsidR="003C169A">
        <w:rPr>
          <w:rFonts w:ascii="Times New Roman" w:hAnsi="Times New Roman" w:cs="Times New Roman"/>
          <w:sz w:val="24"/>
          <w:szCs w:val="24"/>
        </w:rPr>
        <w:t xml:space="preserve"> model).</w:t>
      </w:r>
      <w:r w:rsidR="00E154C5">
        <w:rPr>
          <w:rFonts w:ascii="Times New Roman" w:hAnsi="Times New Roman" w:cs="Times New Roman"/>
          <w:sz w:val="24"/>
          <w:szCs w:val="24"/>
        </w:rPr>
        <w:t xml:space="preserve">  However all models make simplifying assumptions and the usual consequence of invoking a model </w:t>
      </w:r>
      <w:r w:rsidR="00C4736B">
        <w:rPr>
          <w:rFonts w:ascii="Times New Roman" w:hAnsi="Times New Roman" w:cs="Times New Roman"/>
          <w:sz w:val="24"/>
          <w:szCs w:val="24"/>
        </w:rPr>
        <w:t xml:space="preserve">with </w:t>
      </w:r>
      <w:r w:rsidR="00E154C5">
        <w:rPr>
          <w:rFonts w:ascii="Times New Roman" w:hAnsi="Times New Roman" w:cs="Times New Roman"/>
          <w:sz w:val="24"/>
          <w:szCs w:val="24"/>
        </w:rPr>
        <w:t>more realistic assumptions is to aggravate difficulties in estimating parameters.  Thus, regulators and others must exercise judgement in making the trade-off.  So far as I am aware, all regu</w:t>
      </w:r>
      <w:r w:rsidR="00A72070">
        <w:rPr>
          <w:rFonts w:ascii="Times New Roman" w:hAnsi="Times New Roman" w:cs="Times New Roman"/>
          <w:sz w:val="24"/>
          <w:szCs w:val="24"/>
        </w:rPr>
        <w:t xml:space="preserve">latory applications of the CAPM, </w:t>
      </w:r>
      <w:r w:rsidR="00E154C5">
        <w:rPr>
          <w:rFonts w:ascii="Times New Roman" w:hAnsi="Times New Roman" w:cs="Times New Roman"/>
          <w:sz w:val="24"/>
          <w:szCs w:val="24"/>
        </w:rPr>
        <w:t xml:space="preserve">the overwhelming majority of submissions to </w:t>
      </w:r>
      <w:r w:rsidR="00C4736B">
        <w:rPr>
          <w:rFonts w:ascii="Times New Roman" w:hAnsi="Times New Roman" w:cs="Times New Roman"/>
          <w:sz w:val="24"/>
          <w:szCs w:val="24"/>
        </w:rPr>
        <w:t xml:space="preserve">regulators, </w:t>
      </w:r>
      <w:r w:rsidR="00A72070">
        <w:rPr>
          <w:rFonts w:ascii="Times New Roman" w:hAnsi="Times New Roman" w:cs="Times New Roman"/>
          <w:sz w:val="24"/>
          <w:szCs w:val="24"/>
        </w:rPr>
        <w:t>and most other applications of the CAPM</w:t>
      </w:r>
      <w:r w:rsidR="00E154C5">
        <w:rPr>
          <w:rFonts w:ascii="Times New Roman" w:hAnsi="Times New Roman" w:cs="Times New Roman"/>
          <w:sz w:val="24"/>
          <w:szCs w:val="24"/>
        </w:rPr>
        <w:t xml:space="preserve"> involve a one-period version of the model presumably in recognition of this trade-off.  Gregory (2012a) </w:t>
      </w:r>
      <w:r w:rsidR="005B588A">
        <w:rPr>
          <w:rFonts w:ascii="Times New Roman" w:hAnsi="Times New Roman" w:cs="Times New Roman"/>
          <w:sz w:val="24"/>
          <w:szCs w:val="24"/>
        </w:rPr>
        <w:t xml:space="preserve">is </w:t>
      </w:r>
      <w:r w:rsidR="00E154C5">
        <w:rPr>
          <w:rFonts w:ascii="Times New Roman" w:hAnsi="Times New Roman" w:cs="Times New Roman"/>
          <w:sz w:val="24"/>
          <w:szCs w:val="24"/>
        </w:rPr>
        <w:t xml:space="preserve">no exception to this; although raising these concerns about one-period versions of the CAPM, he adopts the same model in another paper written </w:t>
      </w:r>
      <w:r w:rsidR="00D02799">
        <w:rPr>
          <w:rFonts w:ascii="Times New Roman" w:hAnsi="Times New Roman" w:cs="Times New Roman"/>
          <w:sz w:val="24"/>
          <w:szCs w:val="24"/>
        </w:rPr>
        <w:t xml:space="preserve">for the same parties at </w:t>
      </w:r>
      <w:r w:rsidR="00D62D42">
        <w:rPr>
          <w:rFonts w:ascii="Times New Roman" w:hAnsi="Times New Roman" w:cs="Times New Roman"/>
          <w:sz w:val="24"/>
          <w:szCs w:val="24"/>
        </w:rPr>
        <w:t>the same time (Gregory, 2012b).</w:t>
      </w:r>
    </w:p>
    <w:p w:rsidR="00D62D42" w:rsidRDefault="00D62D42" w:rsidP="00D66208">
      <w:pPr>
        <w:spacing w:after="0" w:line="360" w:lineRule="auto"/>
        <w:jc w:val="both"/>
        <w:rPr>
          <w:rFonts w:ascii="Times New Roman" w:hAnsi="Times New Roman" w:cs="Times New Roman"/>
          <w:sz w:val="24"/>
          <w:szCs w:val="24"/>
        </w:rPr>
      </w:pPr>
    </w:p>
    <w:p w:rsidR="00D62D42" w:rsidRPr="00EE4BFD" w:rsidRDefault="00D62D42"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summary, the Sharpe-</w:t>
      </w:r>
      <w:proofErr w:type="spellStart"/>
      <w:r>
        <w:rPr>
          <w:rFonts w:ascii="Times New Roman" w:hAnsi="Times New Roman" w:cs="Times New Roman"/>
          <w:sz w:val="24"/>
          <w:szCs w:val="24"/>
        </w:rPr>
        <w:t>Lintner</w:t>
      </w:r>
      <w:proofErr w:type="spellEnd"/>
      <w:r>
        <w:rPr>
          <w:rFonts w:ascii="Times New Roman" w:hAnsi="Times New Roman" w:cs="Times New Roman"/>
          <w:sz w:val="24"/>
          <w:szCs w:val="24"/>
        </w:rPr>
        <w:t xml:space="preserve"> CAPM is consistent with the Present Value principle so long as the parameter values are defined over the regulatory period and based upon conditions prevailing at the start of that period.  Furthermore, although the model is a one-period model </w:t>
      </w:r>
      <w:r>
        <w:rPr>
          <w:rFonts w:ascii="Times New Roman" w:hAnsi="Times New Roman" w:cs="Times New Roman"/>
          <w:sz w:val="24"/>
          <w:szCs w:val="24"/>
        </w:rPr>
        <w:lastRenderedPageBreak/>
        <w:t xml:space="preserve">and therefore inconsistent with the </w:t>
      </w:r>
      <w:r w:rsidR="00053ED5">
        <w:rPr>
          <w:rFonts w:ascii="Times New Roman" w:hAnsi="Times New Roman" w:cs="Times New Roman"/>
          <w:sz w:val="24"/>
          <w:szCs w:val="24"/>
        </w:rPr>
        <w:t xml:space="preserve">usual </w:t>
      </w:r>
      <w:r>
        <w:rPr>
          <w:rFonts w:ascii="Times New Roman" w:hAnsi="Times New Roman" w:cs="Times New Roman"/>
          <w:sz w:val="24"/>
          <w:szCs w:val="24"/>
        </w:rPr>
        <w:t xml:space="preserve">multi-period </w:t>
      </w:r>
      <w:r w:rsidR="00053ED5">
        <w:rPr>
          <w:rFonts w:ascii="Times New Roman" w:hAnsi="Times New Roman" w:cs="Times New Roman"/>
          <w:sz w:val="24"/>
          <w:szCs w:val="24"/>
        </w:rPr>
        <w:t xml:space="preserve">regulatory </w:t>
      </w:r>
      <w:r>
        <w:rPr>
          <w:rFonts w:ascii="Times New Roman" w:hAnsi="Times New Roman" w:cs="Times New Roman"/>
          <w:sz w:val="24"/>
          <w:szCs w:val="24"/>
        </w:rPr>
        <w:t>situation</w:t>
      </w:r>
      <w:r w:rsidR="00C336E7">
        <w:rPr>
          <w:rFonts w:ascii="Times New Roman" w:hAnsi="Times New Roman" w:cs="Times New Roman"/>
          <w:sz w:val="24"/>
          <w:szCs w:val="24"/>
        </w:rPr>
        <w:t xml:space="preserve">, this is merely one of many features of the model that simplify reality and recourse to models with more realistic assumptions </w:t>
      </w:r>
      <w:r w:rsidR="00AD3A45">
        <w:rPr>
          <w:rFonts w:ascii="Times New Roman" w:hAnsi="Times New Roman" w:cs="Times New Roman"/>
          <w:sz w:val="24"/>
          <w:szCs w:val="24"/>
        </w:rPr>
        <w:t xml:space="preserve">generally </w:t>
      </w:r>
      <w:r w:rsidR="00C336E7">
        <w:rPr>
          <w:rFonts w:ascii="Times New Roman" w:hAnsi="Times New Roman" w:cs="Times New Roman"/>
          <w:sz w:val="24"/>
          <w:szCs w:val="24"/>
        </w:rPr>
        <w:t>incurs greater difficulties in estimating parameters</w:t>
      </w:r>
      <w:r w:rsidR="00053ED5">
        <w:rPr>
          <w:rFonts w:ascii="Times New Roman" w:hAnsi="Times New Roman" w:cs="Times New Roman"/>
          <w:sz w:val="24"/>
          <w:szCs w:val="24"/>
        </w:rPr>
        <w:t>,</w:t>
      </w:r>
      <w:r w:rsidR="00C336E7">
        <w:rPr>
          <w:rFonts w:ascii="Times New Roman" w:hAnsi="Times New Roman" w:cs="Times New Roman"/>
          <w:sz w:val="24"/>
          <w:szCs w:val="24"/>
        </w:rPr>
        <w:t xml:space="preserve"> thereby requiring a judgement over the trade-off.  The AER’s preference for a one-period version of the model is </w:t>
      </w:r>
      <w:r w:rsidR="00A72070">
        <w:rPr>
          <w:rFonts w:ascii="Times New Roman" w:hAnsi="Times New Roman" w:cs="Times New Roman"/>
          <w:sz w:val="24"/>
          <w:szCs w:val="24"/>
        </w:rPr>
        <w:t xml:space="preserve">universal amongst regulators, </w:t>
      </w:r>
      <w:r w:rsidR="00F171CB">
        <w:rPr>
          <w:rFonts w:ascii="Times New Roman" w:hAnsi="Times New Roman" w:cs="Times New Roman"/>
          <w:sz w:val="24"/>
          <w:szCs w:val="24"/>
        </w:rPr>
        <w:t xml:space="preserve">overwhelmingly </w:t>
      </w:r>
      <w:r w:rsidR="00A72070">
        <w:rPr>
          <w:rFonts w:ascii="Times New Roman" w:hAnsi="Times New Roman" w:cs="Times New Roman"/>
          <w:sz w:val="24"/>
          <w:szCs w:val="24"/>
        </w:rPr>
        <w:t xml:space="preserve">typical of submissions to them, and </w:t>
      </w:r>
      <w:r w:rsidR="00F171CB">
        <w:rPr>
          <w:rFonts w:ascii="Times New Roman" w:hAnsi="Times New Roman" w:cs="Times New Roman"/>
          <w:sz w:val="24"/>
          <w:szCs w:val="24"/>
        </w:rPr>
        <w:t xml:space="preserve">consistent with most </w:t>
      </w:r>
      <w:r w:rsidR="00A72070">
        <w:rPr>
          <w:rFonts w:ascii="Times New Roman" w:hAnsi="Times New Roman" w:cs="Times New Roman"/>
          <w:sz w:val="24"/>
          <w:szCs w:val="24"/>
        </w:rPr>
        <w:t>other applications of the CAPM</w:t>
      </w:r>
      <w:r w:rsidR="00053ED5">
        <w:rPr>
          <w:rFonts w:ascii="Times New Roman" w:hAnsi="Times New Roman" w:cs="Times New Roman"/>
          <w:sz w:val="24"/>
          <w:szCs w:val="24"/>
        </w:rPr>
        <w:t>,</w:t>
      </w:r>
      <w:r w:rsidR="00A72070">
        <w:rPr>
          <w:rFonts w:ascii="Times New Roman" w:hAnsi="Times New Roman" w:cs="Times New Roman"/>
          <w:sz w:val="24"/>
          <w:szCs w:val="24"/>
        </w:rPr>
        <w:t xml:space="preserve"> presumably in recognition of this trade-off.</w:t>
      </w:r>
    </w:p>
    <w:p w:rsidR="007566C9" w:rsidRDefault="007566C9" w:rsidP="00D66208">
      <w:pPr>
        <w:spacing w:after="0" w:line="360" w:lineRule="auto"/>
        <w:jc w:val="both"/>
        <w:rPr>
          <w:rFonts w:ascii="Times New Roman" w:hAnsi="Times New Roman" w:cs="Times New Roman"/>
          <w:sz w:val="24"/>
          <w:szCs w:val="24"/>
        </w:rPr>
      </w:pPr>
    </w:p>
    <w:p w:rsidR="002D55CF" w:rsidRPr="002D55CF" w:rsidRDefault="002D55CF" w:rsidP="002D55CF">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The Impact of Inflation</w:t>
      </w:r>
      <w:r w:rsidR="00135550">
        <w:rPr>
          <w:rFonts w:ascii="Times New Roman" w:hAnsi="Times New Roman" w:cs="Times New Roman"/>
          <w:b/>
          <w:sz w:val="24"/>
          <w:szCs w:val="24"/>
        </w:rPr>
        <w:t xml:space="preserve"> on the Present Value Principle</w:t>
      </w:r>
    </w:p>
    <w:p w:rsidR="002D55CF" w:rsidRDefault="002D55CF" w:rsidP="00D66208">
      <w:pPr>
        <w:spacing w:after="0" w:line="360" w:lineRule="auto"/>
        <w:jc w:val="both"/>
        <w:rPr>
          <w:rFonts w:ascii="Times New Roman" w:hAnsi="Times New Roman" w:cs="Times New Roman"/>
          <w:sz w:val="24"/>
          <w:szCs w:val="24"/>
        </w:rPr>
      </w:pPr>
    </w:p>
    <w:p w:rsidR="003867E1" w:rsidRDefault="002D55CF"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Lally (2012</w:t>
      </w:r>
      <w:r w:rsidR="00E5369F">
        <w:rPr>
          <w:rFonts w:ascii="Times New Roman" w:hAnsi="Times New Roman" w:cs="Times New Roman"/>
          <w:sz w:val="24"/>
          <w:szCs w:val="24"/>
        </w:rPr>
        <w:t>a</w:t>
      </w:r>
      <w:r>
        <w:rPr>
          <w:rFonts w:ascii="Times New Roman" w:hAnsi="Times New Roman" w:cs="Times New Roman"/>
          <w:sz w:val="24"/>
          <w:szCs w:val="24"/>
        </w:rPr>
        <w:t xml:space="preserve">) examines the implications of the Present Value principle for the choice of the risk free rate.  In response, Gregory (2012a,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11) claims that Lally ignores inflation with the result that the allowed rate of return will be systematically too low.  </w:t>
      </w:r>
    </w:p>
    <w:p w:rsidR="003867E1" w:rsidRDefault="003867E1" w:rsidP="00D66208">
      <w:pPr>
        <w:spacing w:after="0" w:line="360" w:lineRule="auto"/>
        <w:jc w:val="both"/>
        <w:rPr>
          <w:rFonts w:ascii="Times New Roman" w:hAnsi="Times New Roman" w:cs="Times New Roman"/>
          <w:sz w:val="24"/>
          <w:szCs w:val="24"/>
        </w:rPr>
      </w:pPr>
    </w:p>
    <w:p w:rsidR="002D55CF" w:rsidRDefault="002D55CF"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Inflation matters in two principal respects: it causes capital expenditure to grow over time, leading to growth in the book value of regulatory assets, and it also causes operating costs to grow over </w:t>
      </w:r>
      <w:r w:rsidR="003867E1">
        <w:rPr>
          <w:rFonts w:ascii="Times New Roman" w:hAnsi="Times New Roman" w:cs="Times New Roman"/>
          <w:sz w:val="24"/>
          <w:szCs w:val="24"/>
        </w:rPr>
        <w:t>time.  In respect of inflation in capital expenditure, and contrary to Gregory’s claim, Lally (2012</w:t>
      </w:r>
      <w:r w:rsidR="00E5369F">
        <w:rPr>
          <w:rFonts w:ascii="Times New Roman" w:hAnsi="Times New Roman" w:cs="Times New Roman"/>
          <w:sz w:val="24"/>
          <w:szCs w:val="24"/>
        </w:rPr>
        <w:t>a</w:t>
      </w:r>
      <w:r w:rsidR="003867E1">
        <w:rPr>
          <w:rFonts w:ascii="Times New Roman" w:hAnsi="Times New Roman" w:cs="Times New Roman"/>
          <w:sz w:val="24"/>
          <w:szCs w:val="24"/>
        </w:rPr>
        <w:t>, section 3.3) does in fact examine the implications of both inflation and real growth in capital expenditure, finding that the dual effect is to induce an understatement in the allowed rate of return of up to 0.07% (seven basis points)</w:t>
      </w:r>
      <w:r w:rsidR="00FE1FA5">
        <w:rPr>
          <w:rFonts w:ascii="Times New Roman" w:hAnsi="Times New Roman" w:cs="Times New Roman"/>
          <w:sz w:val="24"/>
          <w:szCs w:val="24"/>
        </w:rPr>
        <w:t xml:space="preserve"> when setting the risk free rate equal to the yield to maturity on a bond whose term to maturity matches the regulatory cycle</w:t>
      </w:r>
      <w:r w:rsidR="003867E1">
        <w:rPr>
          <w:rFonts w:ascii="Times New Roman" w:hAnsi="Times New Roman" w:cs="Times New Roman"/>
          <w:sz w:val="24"/>
          <w:szCs w:val="24"/>
        </w:rPr>
        <w:t xml:space="preserve">.  I do not think this error is material.  </w:t>
      </w:r>
    </w:p>
    <w:p w:rsidR="003867E1" w:rsidRDefault="003867E1" w:rsidP="00D66208">
      <w:pPr>
        <w:spacing w:after="0" w:line="360" w:lineRule="auto"/>
        <w:jc w:val="both"/>
        <w:rPr>
          <w:rFonts w:ascii="Times New Roman" w:hAnsi="Times New Roman" w:cs="Times New Roman"/>
          <w:sz w:val="24"/>
          <w:szCs w:val="24"/>
        </w:rPr>
      </w:pPr>
    </w:p>
    <w:p w:rsidR="003D1BC0" w:rsidRDefault="003867E1"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respect of inflation in operating expenditure, this is not considered in Lally (2012</w:t>
      </w:r>
      <w:r w:rsidR="000C377E">
        <w:rPr>
          <w:rFonts w:ascii="Times New Roman" w:hAnsi="Times New Roman" w:cs="Times New Roman"/>
          <w:sz w:val="24"/>
          <w:szCs w:val="24"/>
        </w:rPr>
        <w:t>a</w:t>
      </w:r>
      <w:r>
        <w:rPr>
          <w:rFonts w:ascii="Times New Roman" w:hAnsi="Times New Roman" w:cs="Times New Roman"/>
          <w:sz w:val="24"/>
          <w:szCs w:val="24"/>
        </w:rPr>
        <w:t>) because it does not induce any further error in the allowed rate of return.  To see this, consider the example in Lally (2012</w:t>
      </w:r>
      <w:r w:rsidR="000C377E">
        <w:rPr>
          <w:rFonts w:ascii="Times New Roman" w:hAnsi="Times New Roman" w:cs="Times New Roman"/>
          <w:sz w:val="24"/>
          <w:szCs w:val="24"/>
        </w:rPr>
        <w:t>a</w:t>
      </w:r>
      <w:r>
        <w:rPr>
          <w:rFonts w:ascii="Times New Roman" w:hAnsi="Times New Roman" w:cs="Times New Roman"/>
          <w:sz w:val="24"/>
          <w:szCs w:val="24"/>
        </w:rPr>
        <w:t>, section 3.3)</w:t>
      </w:r>
      <w:r w:rsidR="003D1BC0">
        <w:rPr>
          <w:rFonts w:ascii="Times New Roman" w:hAnsi="Times New Roman" w:cs="Times New Roman"/>
          <w:sz w:val="24"/>
          <w:szCs w:val="24"/>
        </w:rPr>
        <w:t xml:space="preserve"> and extend it to allow for operating expenditures growing over time.  The effect will be that the revenues of the business will grow even faster than as shown in the example but the net cash flows (revenues less operating expenditures and capital expenditures</w:t>
      </w:r>
      <w:r w:rsidR="008D509A">
        <w:rPr>
          <w:rFonts w:ascii="Times New Roman" w:hAnsi="Times New Roman" w:cs="Times New Roman"/>
          <w:sz w:val="24"/>
          <w:szCs w:val="24"/>
        </w:rPr>
        <w:t>) will not be affected</w:t>
      </w:r>
      <w:r w:rsidR="003D1BC0">
        <w:rPr>
          <w:rFonts w:ascii="Times New Roman" w:hAnsi="Times New Roman" w:cs="Times New Roman"/>
          <w:sz w:val="24"/>
          <w:szCs w:val="24"/>
        </w:rPr>
        <w:t xml:space="preserve"> and therefore the understatement in the allowed rate of return will still be up to 0.07%.</w:t>
      </w:r>
    </w:p>
    <w:p w:rsidR="003D1BC0" w:rsidRDefault="003D1BC0" w:rsidP="00D66208">
      <w:pPr>
        <w:spacing w:after="0" w:line="360" w:lineRule="auto"/>
        <w:jc w:val="both"/>
        <w:rPr>
          <w:rFonts w:ascii="Times New Roman" w:hAnsi="Times New Roman" w:cs="Times New Roman"/>
          <w:sz w:val="24"/>
          <w:szCs w:val="24"/>
        </w:rPr>
      </w:pPr>
    </w:p>
    <w:p w:rsidR="003867E1" w:rsidRDefault="003D1BC0"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summary, and contrary to Gregory’s claim, Lally (2012</w:t>
      </w:r>
      <w:r w:rsidR="000C377E">
        <w:rPr>
          <w:rFonts w:ascii="Times New Roman" w:hAnsi="Times New Roman" w:cs="Times New Roman"/>
          <w:sz w:val="24"/>
          <w:szCs w:val="24"/>
        </w:rPr>
        <w:t>a</w:t>
      </w:r>
      <w:r>
        <w:rPr>
          <w:rFonts w:ascii="Times New Roman" w:hAnsi="Times New Roman" w:cs="Times New Roman"/>
          <w:sz w:val="24"/>
          <w:szCs w:val="24"/>
        </w:rPr>
        <w:t>) does examine the implications of inflation and shows that it induces a very small understatement in the allowed rate of return</w:t>
      </w:r>
      <w:r w:rsidR="00FE1FA5">
        <w:rPr>
          <w:rFonts w:ascii="Times New Roman" w:hAnsi="Times New Roman" w:cs="Times New Roman"/>
          <w:sz w:val="24"/>
          <w:szCs w:val="24"/>
        </w:rPr>
        <w:t xml:space="preserve"> when setting the risk free rate equal to the yield to maturity on a bond whose term to maturity matches the regulatory </w:t>
      </w:r>
      <w:r w:rsidR="00F56276">
        <w:rPr>
          <w:rFonts w:ascii="Times New Roman" w:hAnsi="Times New Roman" w:cs="Times New Roman"/>
          <w:sz w:val="24"/>
          <w:szCs w:val="24"/>
        </w:rPr>
        <w:t>period.</w:t>
      </w:r>
    </w:p>
    <w:p w:rsidR="002D55CF" w:rsidRDefault="002D55CF" w:rsidP="00D66208">
      <w:pPr>
        <w:spacing w:after="0" w:line="360" w:lineRule="auto"/>
        <w:jc w:val="both"/>
        <w:rPr>
          <w:rFonts w:ascii="Times New Roman" w:hAnsi="Times New Roman" w:cs="Times New Roman"/>
          <w:sz w:val="24"/>
          <w:szCs w:val="24"/>
        </w:rPr>
      </w:pPr>
    </w:p>
    <w:p w:rsidR="00F171CB" w:rsidRPr="00F171CB" w:rsidRDefault="00F171CB" w:rsidP="00F171CB">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Interpretations of the Present Value Principle</w:t>
      </w:r>
    </w:p>
    <w:p w:rsidR="00F171CB" w:rsidRPr="00964BCA" w:rsidRDefault="00964BCA" w:rsidP="00D662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5.1 Wright’s Arguments</w:t>
      </w:r>
    </w:p>
    <w:p w:rsidR="00F171CB" w:rsidRPr="00177D62" w:rsidRDefault="00E42881"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Wright (2012</w:t>
      </w:r>
      <w:r w:rsidR="00F171CB">
        <w:rPr>
          <w:rFonts w:ascii="Times New Roman" w:hAnsi="Times New Roman" w:cs="Times New Roman"/>
          <w:sz w:val="24"/>
          <w:szCs w:val="24"/>
        </w:rPr>
        <w:t xml:space="preserve">) </w:t>
      </w:r>
      <w:r w:rsidR="00835C69">
        <w:rPr>
          <w:rFonts w:ascii="Times New Roman" w:hAnsi="Times New Roman" w:cs="Times New Roman"/>
          <w:sz w:val="24"/>
          <w:szCs w:val="24"/>
        </w:rPr>
        <w:t>agrees with the Present Value principle and also invokes the Sharpe-</w:t>
      </w:r>
      <w:proofErr w:type="spellStart"/>
      <w:r w:rsidR="00835C69">
        <w:rPr>
          <w:rFonts w:ascii="Times New Roman" w:hAnsi="Times New Roman" w:cs="Times New Roman"/>
          <w:sz w:val="24"/>
          <w:szCs w:val="24"/>
        </w:rPr>
        <w:t>Lintner</w:t>
      </w:r>
      <w:proofErr w:type="spellEnd"/>
      <w:r w:rsidR="00835C69">
        <w:rPr>
          <w:rFonts w:ascii="Times New Roman" w:hAnsi="Times New Roman" w:cs="Times New Roman"/>
          <w:sz w:val="24"/>
          <w:szCs w:val="24"/>
        </w:rPr>
        <w:t xml:space="preserve"> CAPM as shown in equation (1).  His preferred approach to the parameter values</w:t>
      </w:r>
      <w:r w:rsidR="005A4D9C">
        <w:rPr>
          <w:rFonts w:ascii="Times New Roman" w:hAnsi="Times New Roman" w:cs="Times New Roman"/>
          <w:sz w:val="24"/>
          <w:szCs w:val="24"/>
        </w:rPr>
        <w:t xml:space="preserve">, which he calls strategy 2, </w:t>
      </w:r>
      <w:r w:rsidR="00835C69">
        <w:rPr>
          <w:rFonts w:ascii="Times New Roman" w:hAnsi="Times New Roman" w:cs="Times New Roman"/>
          <w:sz w:val="24"/>
          <w:szCs w:val="24"/>
        </w:rPr>
        <w:t xml:space="preserve">is to invoke the observed risk free rate at both points in the model (presumably the rate prevailing at the commencement of the regulatory period) along with use of the historical average </w:t>
      </w:r>
      <w:proofErr w:type="spellStart"/>
      <w:r w:rsidR="00835C69" w:rsidRPr="00177D62">
        <w:rPr>
          <w:rFonts w:ascii="Times New Roman" w:hAnsi="Times New Roman" w:cs="Times New Roman"/>
          <w:i/>
          <w:sz w:val="24"/>
          <w:szCs w:val="24"/>
        </w:rPr>
        <w:t>R</w:t>
      </w:r>
      <w:r w:rsidR="00835C69" w:rsidRPr="00177D62">
        <w:rPr>
          <w:rFonts w:ascii="Times New Roman" w:hAnsi="Times New Roman" w:cs="Times New Roman"/>
          <w:i/>
          <w:sz w:val="24"/>
          <w:szCs w:val="24"/>
          <w:vertAlign w:val="subscript"/>
        </w:rPr>
        <w:t>m</w:t>
      </w:r>
      <w:proofErr w:type="spellEnd"/>
      <w:r w:rsidR="00835C69">
        <w:rPr>
          <w:rFonts w:ascii="Times New Roman" w:hAnsi="Times New Roman" w:cs="Times New Roman"/>
          <w:sz w:val="24"/>
          <w:szCs w:val="24"/>
        </w:rPr>
        <w:t xml:space="preserve"> as an estimate of </w:t>
      </w:r>
      <w:r w:rsidR="00835C69" w:rsidRPr="00177D62">
        <w:rPr>
          <w:rFonts w:ascii="Times New Roman" w:hAnsi="Times New Roman" w:cs="Times New Roman"/>
          <w:i/>
          <w:sz w:val="24"/>
          <w:szCs w:val="24"/>
        </w:rPr>
        <w:t>E</w:t>
      </w:r>
      <w:r w:rsidR="00835C69">
        <w:rPr>
          <w:rFonts w:ascii="Times New Roman" w:hAnsi="Times New Roman" w:cs="Times New Roman"/>
          <w:sz w:val="24"/>
          <w:szCs w:val="24"/>
        </w:rPr>
        <w:t>(</w:t>
      </w:r>
      <w:proofErr w:type="spellStart"/>
      <w:r w:rsidR="00835C69" w:rsidRPr="00177D62">
        <w:rPr>
          <w:rFonts w:ascii="Times New Roman" w:hAnsi="Times New Roman" w:cs="Times New Roman"/>
          <w:i/>
          <w:sz w:val="24"/>
          <w:szCs w:val="24"/>
        </w:rPr>
        <w:t>R</w:t>
      </w:r>
      <w:r w:rsidR="00835C69" w:rsidRPr="00177D62">
        <w:rPr>
          <w:rFonts w:ascii="Times New Roman" w:hAnsi="Times New Roman" w:cs="Times New Roman"/>
          <w:i/>
          <w:sz w:val="24"/>
          <w:szCs w:val="24"/>
          <w:vertAlign w:val="subscript"/>
        </w:rPr>
        <w:t>m</w:t>
      </w:r>
      <w:proofErr w:type="spellEnd"/>
      <w:r w:rsidR="00835C69">
        <w:rPr>
          <w:rFonts w:ascii="Times New Roman" w:hAnsi="Times New Roman" w:cs="Times New Roman"/>
          <w:sz w:val="24"/>
          <w:szCs w:val="24"/>
        </w:rPr>
        <w:t>)</w:t>
      </w:r>
      <w:r w:rsidR="005A4D9C">
        <w:rPr>
          <w:rFonts w:ascii="Times New Roman" w:hAnsi="Times New Roman" w:cs="Times New Roman"/>
          <w:sz w:val="24"/>
          <w:szCs w:val="24"/>
        </w:rPr>
        <w:t xml:space="preserve"> (Wright</w:t>
      </w:r>
      <w:r w:rsidR="00E47A59">
        <w:rPr>
          <w:rFonts w:ascii="Times New Roman" w:hAnsi="Times New Roman" w:cs="Times New Roman"/>
          <w:sz w:val="24"/>
          <w:szCs w:val="24"/>
        </w:rPr>
        <w:t>, 2012</w:t>
      </w:r>
      <w:r w:rsidR="005A4D9C">
        <w:rPr>
          <w:rFonts w:ascii="Times New Roman" w:hAnsi="Times New Roman" w:cs="Times New Roman"/>
          <w:sz w:val="24"/>
          <w:szCs w:val="24"/>
        </w:rPr>
        <w:t>, section f)</w:t>
      </w:r>
      <w:r w:rsidR="00835C69">
        <w:rPr>
          <w:rFonts w:ascii="Times New Roman" w:hAnsi="Times New Roman" w:cs="Times New Roman"/>
          <w:sz w:val="24"/>
          <w:szCs w:val="24"/>
        </w:rPr>
        <w:t xml:space="preserve">.  His recourse to the historical average </w:t>
      </w:r>
      <w:proofErr w:type="spellStart"/>
      <w:r w:rsidR="00835C69" w:rsidRPr="00177D62">
        <w:rPr>
          <w:rFonts w:ascii="Times New Roman" w:hAnsi="Times New Roman" w:cs="Times New Roman"/>
          <w:i/>
          <w:sz w:val="24"/>
          <w:szCs w:val="24"/>
        </w:rPr>
        <w:t>R</w:t>
      </w:r>
      <w:r w:rsidR="00835C69" w:rsidRPr="00177D62">
        <w:rPr>
          <w:rFonts w:ascii="Times New Roman" w:hAnsi="Times New Roman" w:cs="Times New Roman"/>
          <w:i/>
          <w:sz w:val="24"/>
          <w:szCs w:val="24"/>
          <w:vertAlign w:val="subscript"/>
        </w:rPr>
        <w:t>m</w:t>
      </w:r>
      <w:proofErr w:type="spellEnd"/>
      <w:r w:rsidR="00835C69">
        <w:rPr>
          <w:rFonts w:ascii="Times New Roman" w:hAnsi="Times New Roman" w:cs="Times New Roman"/>
          <w:sz w:val="24"/>
          <w:szCs w:val="24"/>
        </w:rPr>
        <w:t xml:space="preserve"> is premised upon </w:t>
      </w:r>
      <w:proofErr w:type="gramStart"/>
      <w:r w:rsidR="00835C69" w:rsidRPr="00177D62">
        <w:rPr>
          <w:rFonts w:ascii="Times New Roman" w:hAnsi="Times New Roman" w:cs="Times New Roman"/>
          <w:i/>
          <w:sz w:val="24"/>
          <w:szCs w:val="24"/>
        </w:rPr>
        <w:t>E</w:t>
      </w:r>
      <w:r w:rsidR="00835C69">
        <w:rPr>
          <w:rFonts w:ascii="Times New Roman" w:hAnsi="Times New Roman" w:cs="Times New Roman"/>
          <w:sz w:val="24"/>
          <w:szCs w:val="24"/>
        </w:rPr>
        <w:t>(</w:t>
      </w:r>
      <w:proofErr w:type="spellStart"/>
      <w:proofErr w:type="gramEnd"/>
      <w:r w:rsidR="00835C69" w:rsidRPr="00177D62">
        <w:rPr>
          <w:rFonts w:ascii="Times New Roman" w:hAnsi="Times New Roman" w:cs="Times New Roman"/>
          <w:i/>
          <w:sz w:val="24"/>
          <w:szCs w:val="24"/>
        </w:rPr>
        <w:t>R</w:t>
      </w:r>
      <w:r w:rsidR="00835C69" w:rsidRPr="00177D62">
        <w:rPr>
          <w:rFonts w:ascii="Times New Roman" w:hAnsi="Times New Roman" w:cs="Times New Roman"/>
          <w:i/>
          <w:sz w:val="24"/>
          <w:szCs w:val="24"/>
          <w:vertAlign w:val="subscript"/>
        </w:rPr>
        <w:t>m</w:t>
      </w:r>
      <w:proofErr w:type="spellEnd"/>
      <w:r w:rsidR="00835C69">
        <w:rPr>
          <w:rFonts w:ascii="Times New Roman" w:hAnsi="Times New Roman" w:cs="Times New Roman"/>
          <w:sz w:val="24"/>
          <w:szCs w:val="24"/>
        </w:rPr>
        <w:t xml:space="preserve">) being </w:t>
      </w:r>
      <w:r w:rsidR="007E6B57">
        <w:rPr>
          <w:rFonts w:ascii="Times New Roman" w:hAnsi="Times New Roman" w:cs="Times New Roman"/>
          <w:sz w:val="24"/>
          <w:szCs w:val="24"/>
        </w:rPr>
        <w:t xml:space="preserve">fairly stable over </w:t>
      </w:r>
      <w:r w:rsidR="00835C69">
        <w:rPr>
          <w:rFonts w:ascii="Times New Roman" w:hAnsi="Times New Roman" w:cs="Times New Roman"/>
          <w:sz w:val="24"/>
          <w:szCs w:val="24"/>
        </w:rPr>
        <w:t>time.</w:t>
      </w:r>
      <w:r w:rsidR="005A4D9C">
        <w:rPr>
          <w:rFonts w:ascii="Times New Roman" w:hAnsi="Times New Roman" w:cs="Times New Roman"/>
          <w:sz w:val="24"/>
          <w:szCs w:val="24"/>
        </w:rPr>
        <w:t xml:space="preserve">  Consequently his strategy 2 </w:t>
      </w:r>
      <w:r w:rsidR="00053ED5">
        <w:rPr>
          <w:rFonts w:ascii="Times New Roman" w:hAnsi="Times New Roman" w:cs="Times New Roman"/>
          <w:sz w:val="24"/>
          <w:szCs w:val="24"/>
        </w:rPr>
        <w:t xml:space="preserve">is </w:t>
      </w:r>
      <w:r w:rsidR="005A4D9C">
        <w:rPr>
          <w:rFonts w:ascii="Times New Roman" w:hAnsi="Times New Roman" w:cs="Times New Roman"/>
          <w:sz w:val="24"/>
          <w:szCs w:val="24"/>
        </w:rPr>
        <w:t xml:space="preserve">consistent with the Present Value principle.  Whether </w:t>
      </w:r>
      <w:r w:rsidR="00177D62">
        <w:rPr>
          <w:rFonts w:ascii="Times New Roman" w:hAnsi="Times New Roman" w:cs="Times New Roman"/>
          <w:sz w:val="24"/>
          <w:szCs w:val="24"/>
        </w:rPr>
        <w:t xml:space="preserve">his assumption about </w:t>
      </w:r>
      <w:r w:rsidR="00177D62" w:rsidRPr="00177D62">
        <w:rPr>
          <w:rFonts w:ascii="Times New Roman" w:hAnsi="Times New Roman" w:cs="Times New Roman"/>
          <w:i/>
          <w:sz w:val="24"/>
          <w:szCs w:val="24"/>
        </w:rPr>
        <w:t>E</w:t>
      </w:r>
      <w:r w:rsidR="00177D62">
        <w:rPr>
          <w:rFonts w:ascii="Times New Roman" w:hAnsi="Times New Roman" w:cs="Times New Roman"/>
          <w:sz w:val="24"/>
          <w:szCs w:val="24"/>
        </w:rPr>
        <w:t>(</w:t>
      </w:r>
      <w:proofErr w:type="spellStart"/>
      <w:r w:rsidR="00177D62" w:rsidRPr="00177D62">
        <w:rPr>
          <w:rFonts w:ascii="Times New Roman" w:hAnsi="Times New Roman" w:cs="Times New Roman"/>
          <w:i/>
          <w:sz w:val="24"/>
          <w:szCs w:val="24"/>
        </w:rPr>
        <w:t>R</w:t>
      </w:r>
      <w:r w:rsidR="00177D62" w:rsidRPr="00177D62">
        <w:rPr>
          <w:rFonts w:ascii="Times New Roman" w:hAnsi="Times New Roman" w:cs="Times New Roman"/>
          <w:i/>
          <w:sz w:val="24"/>
          <w:szCs w:val="24"/>
          <w:vertAlign w:val="subscript"/>
        </w:rPr>
        <w:t>m</w:t>
      </w:r>
      <w:proofErr w:type="spellEnd"/>
      <w:r w:rsidR="00177D62">
        <w:rPr>
          <w:rFonts w:ascii="Times New Roman" w:hAnsi="Times New Roman" w:cs="Times New Roman"/>
          <w:sz w:val="24"/>
          <w:szCs w:val="24"/>
        </w:rPr>
        <w:t xml:space="preserve">) is valid and, even if it is, </w:t>
      </w:r>
      <w:r w:rsidR="00053ED5">
        <w:rPr>
          <w:rFonts w:ascii="Times New Roman" w:hAnsi="Times New Roman" w:cs="Times New Roman"/>
          <w:sz w:val="24"/>
          <w:szCs w:val="24"/>
        </w:rPr>
        <w:t xml:space="preserve">whether </w:t>
      </w:r>
      <w:r w:rsidR="005A4D9C">
        <w:rPr>
          <w:rFonts w:ascii="Times New Roman" w:hAnsi="Times New Roman" w:cs="Times New Roman"/>
          <w:sz w:val="24"/>
          <w:szCs w:val="24"/>
        </w:rPr>
        <w:t xml:space="preserve">there is a better approach to estimating </w:t>
      </w:r>
      <w:r w:rsidR="005A4D9C" w:rsidRPr="00177D62">
        <w:rPr>
          <w:rFonts w:ascii="Times New Roman" w:hAnsi="Times New Roman" w:cs="Times New Roman"/>
          <w:i/>
          <w:sz w:val="24"/>
          <w:szCs w:val="24"/>
        </w:rPr>
        <w:t>E</w:t>
      </w:r>
      <w:r w:rsidR="005A4D9C">
        <w:rPr>
          <w:rFonts w:ascii="Times New Roman" w:hAnsi="Times New Roman" w:cs="Times New Roman"/>
          <w:sz w:val="24"/>
          <w:szCs w:val="24"/>
        </w:rPr>
        <w:t>(</w:t>
      </w:r>
      <w:proofErr w:type="spellStart"/>
      <w:r w:rsidR="005A4D9C" w:rsidRPr="00177D62">
        <w:rPr>
          <w:rFonts w:ascii="Times New Roman" w:hAnsi="Times New Roman" w:cs="Times New Roman"/>
          <w:i/>
          <w:sz w:val="24"/>
          <w:szCs w:val="24"/>
        </w:rPr>
        <w:t>R</w:t>
      </w:r>
      <w:r w:rsidR="005A4D9C" w:rsidRPr="00177D62">
        <w:rPr>
          <w:rFonts w:ascii="Times New Roman" w:hAnsi="Times New Roman" w:cs="Times New Roman"/>
          <w:i/>
          <w:sz w:val="24"/>
          <w:szCs w:val="24"/>
          <w:vertAlign w:val="subscript"/>
        </w:rPr>
        <w:t>m</w:t>
      </w:r>
      <w:proofErr w:type="spellEnd"/>
      <w:r w:rsidR="005A4D9C">
        <w:rPr>
          <w:rFonts w:ascii="Times New Roman" w:hAnsi="Times New Roman" w:cs="Times New Roman"/>
          <w:sz w:val="24"/>
          <w:szCs w:val="24"/>
        </w:rPr>
        <w:t>), or the MRP directly, is a quite distinct matter and wil</w:t>
      </w:r>
      <w:r w:rsidR="00177D62">
        <w:rPr>
          <w:rFonts w:ascii="Times New Roman" w:hAnsi="Times New Roman" w:cs="Times New Roman"/>
          <w:sz w:val="24"/>
          <w:szCs w:val="24"/>
        </w:rPr>
        <w:t>l be addressed in another paper</w:t>
      </w:r>
      <w:r w:rsidR="00053ED5">
        <w:rPr>
          <w:rFonts w:ascii="Times New Roman" w:hAnsi="Times New Roman" w:cs="Times New Roman"/>
          <w:sz w:val="24"/>
          <w:szCs w:val="24"/>
        </w:rPr>
        <w:t xml:space="preserve"> (Lally, 2013)</w:t>
      </w:r>
      <w:r w:rsidR="00177D62">
        <w:rPr>
          <w:rFonts w:ascii="Times New Roman" w:hAnsi="Times New Roman" w:cs="Times New Roman"/>
          <w:sz w:val="24"/>
          <w:szCs w:val="24"/>
        </w:rPr>
        <w:t xml:space="preserve">.  However it is worth noting that a minimum condition for believing that </w:t>
      </w:r>
      <w:proofErr w:type="gramStart"/>
      <w:r w:rsidR="00177D62" w:rsidRPr="00177D62">
        <w:rPr>
          <w:rFonts w:ascii="Times New Roman" w:hAnsi="Times New Roman" w:cs="Times New Roman"/>
          <w:i/>
          <w:sz w:val="24"/>
          <w:szCs w:val="24"/>
        </w:rPr>
        <w:t>E</w:t>
      </w:r>
      <w:r w:rsidR="00177D62">
        <w:rPr>
          <w:rFonts w:ascii="Times New Roman" w:hAnsi="Times New Roman" w:cs="Times New Roman"/>
          <w:sz w:val="24"/>
          <w:szCs w:val="24"/>
        </w:rPr>
        <w:t>(</w:t>
      </w:r>
      <w:proofErr w:type="spellStart"/>
      <w:proofErr w:type="gramEnd"/>
      <w:r w:rsidR="00177D62" w:rsidRPr="00177D62">
        <w:rPr>
          <w:rFonts w:ascii="Times New Roman" w:hAnsi="Times New Roman" w:cs="Times New Roman"/>
          <w:i/>
          <w:sz w:val="24"/>
          <w:szCs w:val="24"/>
        </w:rPr>
        <w:t>R</w:t>
      </w:r>
      <w:r w:rsidR="00177D62" w:rsidRPr="00177D62">
        <w:rPr>
          <w:rFonts w:ascii="Times New Roman" w:hAnsi="Times New Roman" w:cs="Times New Roman"/>
          <w:i/>
          <w:sz w:val="24"/>
          <w:szCs w:val="24"/>
          <w:vertAlign w:val="subscript"/>
        </w:rPr>
        <w:t>m</w:t>
      </w:r>
      <w:proofErr w:type="spellEnd"/>
      <w:r w:rsidR="00177D62">
        <w:rPr>
          <w:rFonts w:ascii="Times New Roman" w:hAnsi="Times New Roman" w:cs="Times New Roman"/>
          <w:sz w:val="24"/>
          <w:szCs w:val="24"/>
        </w:rPr>
        <w:t xml:space="preserve">) is </w:t>
      </w:r>
      <w:r w:rsidR="007E6B57">
        <w:rPr>
          <w:rFonts w:ascii="Times New Roman" w:hAnsi="Times New Roman" w:cs="Times New Roman"/>
          <w:sz w:val="24"/>
          <w:szCs w:val="24"/>
        </w:rPr>
        <w:t>stable over time</w:t>
      </w:r>
      <w:r w:rsidR="00177D62">
        <w:rPr>
          <w:rFonts w:ascii="Times New Roman" w:hAnsi="Times New Roman" w:cs="Times New Roman"/>
          <w:sz w:val="24"/>
          <w:szCs w:val="24"/>
        </w:rPr>
        <w:t xml:space="preserve"> is a focus upon the real rather than the nominal value and Wright (2012a) repeatedly refers to the real value in his paper.  Consistent with this, the prevailing risk free rate that he invokes would also have to be the real rate.</w:t>
      </w:r>
    </w:p>
    <w:p w:rsidR="005A4D9C" w:rsidRDefault="005A4D9C" w:rsidP="00D66208">
      <w:pPr>
        <w:spacing w:after="0" w:line="360" w:lineRule="auto"/>
        <w:jc w:val="both"/>
        <w:rPr>
          <w:rFonts w:ascii="Times New Roman" w:hAnsi="Times New Roman" w:cs="Times New Roman"/>
          <w:sz w:val="24"/>
          <w:szCs w:val="24"/>
        </w:rPr>
      </w:pPr>
    </w:p>
    <w:p w:rsidR="00E9477C" w:rsidRDefault="00E47A59"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Wright (2012</w:t>
      </w:r>
      <w:r w:rsidR="005A4D9C">
        <w:rPr>
          <w:rFonts w:ascii="Times New Roman" w:hAnsi="Times New Roman" w:cs="Times New Roman"/>
          <w:sz w:val="24"/>
          <w:szCs w:val="24"/>
        </w:rPr>
        <w:t xml:space="preserve">, section f) also refers to a different approach, which he calls strategy 3, involving estimating the MRP directly from </w:t>
      </w:r>
      <w:r w:rsidR="00E9477C">
        <w:rPr>
          <w:rFonts w:ascii="Times New Roman" w:hAnsi="Times New Roman" w:cs="Times New Roman"/>
          <w:sz w:val="24"/>
          <w:szCs w:val="24"/>
        </w:rPr>
        <w:t>the</w:t>
      </w:r>
      <w:r w:rsidR="005A4D9C">
        <w:rPr>
          <w:rFonts w:ascii="Times New Roman" w:hAnsi="Times New Roman" w:cs="Times New Roman"/>
          <w:sz w:val="24"/>
          <w:szCs w:val="24"/>
        </w:rPr>
        <w:t xml:space="preserve"> historical average </w:t>
      </w:r>
      <w:r w:rsidR="00E9477C">
        <w:rPr>
          <w:rFonts w:ascii="Times New Roman" w:hAnsi="Times New Roman" w:cs="Times New Roman"/>
          <w:sz w:val="24"/>
          <w:szCs w:val="24"/>
        </w:rPr>
        <w:t xml:space="preserve">of </w:t>
      </w:r>
      <w:r w:rsidR="001E1226">
        <w:rPr>
          <w:rFonts w:ascii="Times New Roman" w:hAnsi="Times New Roman" w:cs="Times New Roman"/>
          <w:sz w:val="24"/>
          <w:szCs w:val="24"/>
        </w:rPr>
        <w:t xml:space="preserve">real </w:t>
      </w:r>
      <w:r w:rsidR="00E9477C">
        <w:rPr>
          <w:rFonts w:ascii="Times New Roman" w:hAnsi="Times New Roman" w:cs="Times New Roman"/>
          <w:sz w:val="24"/>
          <w:szCs w:val="24"/>
        </w:rPr>
        <w:t xml:space="preserve">excess returns </w:t>
      </w:r>
      <w:r w:rsidR="005A4D9C">
        <w:rPr>
          <w:rFonts w:ascii="Times New Roman" w:hAnsi="Times New Roman" w:cs="Times New Roman"/>
          <w:sz w:val="24"/>
          <w:szCs w:val="24"/>
        </w:rPr>
        <w:t xml:space="preserve">and using the historical average </w:t>
      </w:r>
      <w:r w:rsidR="001E1226">
        <w:rPr>
          <w:rFonts w:ascii="Times New Roman" w:hAnsi="Times New Roman" w:cs="Times New Roman"/>
          <w:sz w:val="24"/>
          <w:szCs w:val="24"/>
        </w:rPr>
        <w:t xml:space="preserve">real </w:t>
      </w:r>
      <w:r w:rsidR="005A4D9C">
        <w:rPr>
          <w:rFonts w:ascii="Times New Roman" w:hAnsi="Times New Roman" w:cs="Times New Roman"/>
          <w:sz w:val="24"/>
          <w:szCs w:val="24"/>
        </w:rPr>
        <w:t>risk free rate for the first term of the CAPM</w:t>
      </w:r>
      <w:r w:rsidR="00053ED5">
        <w:rPr>
          <w:rFonts w:ascii="Times New Roman" w:hAnsi="Times New Roman" w:cs="Times New Roman"/>
          <w:sz w:val="24"/>
          <w:szCs w:val="24"/>
        </w:rPr>
        <w:t xml:space="preserve"> as shown in equation (1)</w:t>
      </w:r>
      <w:r w:rsidR="005A4D9C">
        <w:rPr>
          <w:rFonts w:ascii="Times New Roman" w:hAnsi="Times New Roman" w:cs="Times New Roman"/>
          <w:sz w:val="24"/>
          <w:szCs w:val="24"/>
        </w:rPr>
        <w:t>.  Wright correctly notes that strategy 3 is identical in outcome to his pref</w:t>
      </w:r>
      <w:r w:rsidR="000637E5">
        <w:rPr>
          <w:rFonts w:ascii="Times New Roman" w:hAnsi="Times New Roman" w:cs="Times New Roman"/>
          <w:sz w:val="24"/>
          <w:szCs w:val="24"/>
        </w:rPr>
        <w:t xml:space="preserve">erred strategy 2 when beta is 1.  He clearly appreciates that the AER’s beta estimate is 0.8 rather than 1 </w:t>
      </w:r>
      <w:r w:rsidR="001E1226">
        <w:rPr>
          <w:rFonts w:ascii="Times New Roman" w:hAnsi="Times New Roman" w:cs="Times New Roman"/>
          <w:sz w:val="24"/>
          <w:szCs w:val="24"/>
        </w:rPr>
        <w:t xml:space="preserve">and he (properly) notes </w:t>
      </w:r>
      <w:r w:rsidR="000637E5">
        <w:rPr>
          <w:rFonts w:ascii="Times New Roman" w:hAnsi="Times New Roman" w:cs="Times New Roman"/>
          <w:sz w:val="24"/>
          <w:szCs w:val="24"/>
        </w:rPr>
        <w:t xml:space="preserve">that strategies 2 and 3 will generate different results in this case.  Given that he prefers strategy 2, </w:t>
      </w:r>
      <w:r w:rsidR="00053ED5">
        <w:rPr>
          <w:rFonts w:ascii="Times New Roman" w:hAnsi="Times New Roman" w:cs="Times New Roman"/>
          <w:sz w:val="24"/>
          <w:szCs w:val="24"/>
        </w:rPr>
        <w:t xml:space="preserve">this implies that he </w:t>
      </w:r>
      <w:r w:rsidR="000637E5">
        <w:rPr>
          <w:rFonts w:ascii="Times New Roman" w:hAnsi="Times New Roman" w:cs="Times New Roman"/>
          <w:sz w:val="24"/>
          <w:szCs w:val="24"/>
        </w:rPr>
        <w:t>rejects strategy 3 in the present case because beta is 0.8.</w:t>
      </w:r>
      <w:r w:rsidR="004241C6">
        <w:rPr>
          <w:rFonts w:ascii="Times New Roman" w:hAnsi="Times New Roman" w:cs="Times New Roman"/>
          <w:sz w:val="24"/>
          <w:szCs w:val="24"/>
        </w:rPr>
        <w:t xml:space="preserve">  </w:t>
      </w:r>
    </w:p>
    <w:p w:rsidR="00E9477C" w:rsidRDefault="00E9477C" w:rsidP="00D66208">
      <w:pPr>
        <w:spacing w:after="0" w:line="360" w:lineRule="auto"/>
        <w:jc w:val="both"/>
        <w:rPr>
          <w:rFonts w:ascii="Times New Roman" w:hAnsi="Times New Roman" w:cs="Times New Roman"/>
          <w:sz w:val="24"/>
          <w:szCs w:val="24"/>
        </w:rPr>
      </w:pPr>
    </w:p>
    <w:p w:rsidR="005A7907" w:rsidRDefault="004241C6"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illustrate this</w:t>
      </w:r>
      <w:r w:rsidR="00E9477C">
        <w:rPr>
          <w:rFonts w:ascii="Times New Roman" w:hAnsi="Times New Roman" w:cs="Times New Roman"/>
          <w:sz w:val="24"/>
          <w:szCs w:val="24"/>
        </w:rPr>
        <w:t xml:space="preserve"> point</w:t>
      </w:r>
      <w:r>
        <w:rPr>
          <w:rFonts w:ascii="Times New Roman" w:hAnsi="Times New Roman" w:cs="Times New Roman"/>
          <w:sz w:val="24"/>
          <w:szCs w:val="24"/>
        </w:rPr>
        <w:t xml:space="preserve">, suppose the historical </w:t>
      </w:r>
      <w:r w:rsidR="009C4CE0">
        <w:rPr>
          <w:rFonts w:ascii="Times New Roman" w:hAnsi="Times New Roman" w:cs="Times New Roman"/>
          <w:sz w:val="24"/>
          <w:szCs w:val="24"/>
        </w:rPr>
        <w:t xml:space="preserve">average </w:t>
      </w:r>
      <w:r w:rsidR="001E1226">
        <w:rPr>
          <w:rFonts w:ascii="Times New Roman" w:hAnsi="Times New Roman" w:cs="Times New Roman"/>
          <w:sz w:val="24"/>
          <w:szCs w:val="24"/>
        </w:rPr>
        <w:t xml:space="preserve">real </w:t>
      </w:r>
      <w:r w:rsidR="009C4CE0">
        <w:rPr>
          <w:rFonts w:ascii="Times New Roman" w:hAnsi="Times New Roman" w:cs="Times New Roman"/>
          <w:sz w:val="24"/>
          <w:szCs w:val="24"/>
        </w:rPr>
        <w:t xml:space="preserve">market return </w:t>
      </w:r>
      <w:r w:rsidR="0058038D">
        <w:rPr>
          <w:rFonts w:ascii="Times New Roman" w:hAnsi="Times New Roman" w:cs="Times New Roman"/>
          <w:sz w:val="24"/>
          <w:szCs w:val="24"/>
        </w:rPr>
        <w:t xml:space="preserve">since 1900 </w:t>
      </w:r>
      <w:r w:rsidR="000314AA">
        <w:rPr>
          <w:rFonts w:ascii="Times New Roman" w:hAnsi="Times New Roman" w:cs="Times New Roman"/>
          <w:sz w:val="24"/>
          <w:szCs w:val="24"/>
        </w:rPr>
        <w:t xml:space="preserve">has been </w:t>
      </w:r>
      <w:r w:rsidR="001E1226">
        <w:rPr>
          <w:rFonts w:ascii="Times New Roman" w:hAnsi="Times New Roman" w:cs="Times New Roman"/>
          <w:sz w:val="24"/>
          <w:szCs w:val="24"/>
        </w:rPr>
        <w:t>8%</w:t>
      </w:r>
      <w:r w:rsidR="009C4CE0">
        <w:rPr>
          <w:rFonts w:ascii="Times New Roman" w:hAnsi="Times New Roman" w:cs="Times New Roman"/>
          <w:sz w:val="24"/>
          <w:szCs w:val="24"/>
        </w:rPr>
        <w:t xml:space="preserve"> comprising an </w:t>
      </w:r>
      <w:r w:rsidR="00E9477C">
        <w:rPr>
          <w:rFonts w:ascii="Times New Roman" w:hAnsi="Times New Roman" w:cs="Times New Roman"/>
          <w:sz w:val="24"/>
          <w:szCs w:val="24"/>
        </w:rPr>
        <w:t xml:space="preserve">average </w:t>
      </w:r>
      <w:r w:rsidR="00AB5E85">
        <w:rPr>
          <w:rFonts w:ascii="Times New Roman" w:hAnsi="Times New Roman" w:cs="Times New Roman"/>
          <w:sz w:val="24"/>
          <w:szCs w:val="24"/>
        </w:rPr>
        <w:t xml:space="preserve">real </w:t>
      </w:r>
      <w:r w:rsidR="001E1226">
        <w:rPr>
          <w:rFonts w:ascii="Times New Roman" w:hAnsi="Times New Roman" w:cs="Times New Roman"/>
          <w:sz w:val="24"/>
          <w:szCs w:val="24"/>
        </w:rPr>
        <w:t>risk free rate of 2%</w:t>
      </w:r>
      <w:r w:rsidR="00E9477C">
        <w:rPr>
          <w:rFonts w:ascii="Times New Roman" w:hAnsi="Times New Roman" w:cs="Times New Roman"/>
          <w:sz w:val="24"/>
          <w:szCs w:val="24"/>
        </w:rPr>
        <w:t xml:space="preserve"> and therefore average </w:t>
      </w:r>
      <w:r w:rsidR="00AB5E85">
        <w:rPr>
          <w:rFonts w:ascii="Times New Roman" w:hAnsi="Times New Roman" w:cs="Times New Roman"/>
          <w:sz w:val="24"/>
          <w:szCs w:val="24"/>
        </w:rPr>
        <w:t xml:space="preserve">real </w:t>
      </w:r>
      <w:r w:rsidR="00E9477C">
        <w:rPr>
          <w:rFonts w:ascii="Times New Roman" w:hAnsi="Times New Roman" w:cs="Times New Roman"/>
          <w:sz w:val="24"/>
          <w:szCs w:val="24"/>
        </w:rPr>
        <w:t>excess returns of 6%</w:t>
      </w:r>
      <w:r w:rsidR="00AB5E85">
        <w:rPr>
          <w:rFonts w:ascii="Times New Roman" w:hAnsi="Times New Roman" w:cs="Times New Roman"/>
          <w:sz w:val="24"/>
          <w:szCs w:val="24"/>
        </w:rPr>
        <w:t xml:space="preserve">.  In addition, </w:t>
      </w:r>
      <w:r w:rsidR="009C4CE0">
        <w:rPr>
          <w:rFonts w:ascii="Times New Roman" w:hAnsi="Times New Roman" w:cs="Times New Roman"/>
          <w:sz w:val="24"/>
          <w:szCs w:val="24"/>
        </w:rPr>
        <w:t xml:space="preserve">the </w:t>
      </w:r>
      <w:r w:rsidR="005A7907">
        <w:rPr>
          <w:rFonts w:ascii="Times New Roman" w:hAnsi="Times New Roman" w:cs="Times New Roman"/>
          <w:sz w:val="24"/>
          <w:szCs w:val="24"/>
        </w:rPr>
        <w:t xml:space="preserve">current </w:t>
      </w:r>
      <w:r w:rsidR="001E1226">
        <w:rPr>
          <w:rFonts w:ascii="Times New Roman" w:hAnsi="Times New Roman" w:cs="Times New Roman"/>
          <w:sz w:val="24"/>
          <w:szCs w:val="24"/>
        </w:rPr>
        <w:t xml:space="preserve">real </w:t>
      </w:r>
      <w:r w:rsidR="005A7907">
        <w:rPr>
          <w:rFonts w:ascii="Times New Roman" w:hAnsi="Times New Roman" w:cs="Times New Roman"/>
          <w:sz w:val="24"/>
          <w:szCs w:val="24"/>
        </w:rPr>
        <w:t xml:space="preserve">risk free rate is </w:t>
      </w:r>
      <w:r w:rsidR="001E1226">
        <w:rPr>
          <w:rFonts w:ascii="Times New Roman" w:hAnsi="Times New Roman" w:cs="Times New Roman"/>
          <w:sz w:val="24"/>
          <w:szCs w:val="24"/>
        </w:rPr>
        <w:t>1%</w:t>
      </w:r>
      <w:r w:rsidR="009C4CE0">
        <w:rPr>
          <w:rFonts w:ascii="Times New Roman" w:hAnsi="Times New Roman" w:cs="Times New Roman"/>
          <w:sz w:val="24"/>
          <w:szCs w:val="24"/>
        </w:rPr>
        <w:t xml:space="preserve">.  If </w:t>
      </w:r>
      <w:r w:rsidR="00E9477C">
        <w:rPr>
          <w:rFonts w:ascii="Times New Roman" w:hAnsi="Times New Roman" w:cs="Times New Roman"/>
          <w:sz w:val="24"/>
          <w:szCs w:val="24"/>
        </w:rPr>
        <w:t xml:space="preserve">asset </w:t>
      </w:r>
      <w:r w:rsidR="00E9477C" w:rsidRPr="00E9477C">
        <w:rPr>
          <w:rFonts w:ascii="Times New Roman" w:hAnsi="Times New Roman" w:cs="Times New Roman"/>
          <w:i/>
          <w:sz w:val="24"/>
          <w:szCs w:val="24"/>
        </w:rPr>
        <w:t>j</w:t>
      </w:r>
      <w:r w:rsidR="00E9477C">
        <w:rPr>
          <w:rFonts w:ascii="Times New Roman" w:hAnsi="Times New Roman" w:cs="Times New Roman"/>
          <w:sz w:val="24"/>
          <w:szCs w:val="24"/>
        </w:rPr>
        <w:t xml:space="preserve"> has a </w:t>
      </w:r>
      <w:r w:rsidR="009C4CE0">
        <w:rPr>
          <w:rFonts w:ascii="Times New Roman" w:hAnsi="Times New Roman" w:cs="Times New Roman"/>
          <w:sz w:val="24"/>
          <w:szCs w:val="24"/>
        </w:rPr>
        <w:t xml:space="preserve">beta </w:t>
      </w:r>
      <w:r w:rsidR="00E9477C">
        <w:rPr>
          <w:rFonts w:ascii="Times New Roman" w:hAnsi="Times New Roman" w:cs="Times New Roman"/>
          <w:sz w:val="24"/>
          <w:szCs w:val="24"/>
        </w:rPr>
        <w:t>of 1</w:t>
      </w:r>
      <w:r w:rsidR="009C4CE0">
        <w:rPr>
          <w:rFonts w:ascii="Times New Roman" w:hAnsi="Times New Roman" w:cs="Times New Roman"/>
          <w:sz w:val="24"/>
          <w:szCs w:val="24"/>
        </w:rPr>
        <w:t xml:space="preserve">, and strategy 3 uses the average </w:t>
      </w:r>
      <w:r w:rsidR="001E1226">
        <w:rPr>
          <w:rFonts w:ascii="Times New Roman" w:hAnsi="Times New Roman" w:cs="Times New Roman"/>
          <w:sz w:val="24"/>
          <w:szCs w:val="24"/>
        </w:rPr>
        <w:t xml:space="preserve">real </w:t>
      </w:r>
      <w:r w:rsidR="009C4CE0">
        <w:rPr>
          <w:rFonts w:ascii="Times New Roman" w:hAnsi="Times New Roman" w:cs="Times New Roman"/>
          <w:sz w:val="24"/>
          <w:szCs w:val="24"/>
        </w:rPr>
        <w:t xml:space="preserve">risk free rate since 1900, both strategies </w:t>
      </w:r>
      <w:r w:rsidR="00E9477C">
        <w:rPr>
          <w:rFonts w:ascii="Times New Roman" w:hAnsi="Times New Roman" w:cs="Times New Roman"/>
          <w:sz w:val="24"/>
          <w:szCs w:val="24"/>
        </w:rPr>
        <w:t xml:space="preserve">2 and 3 </w:t>
      </w:r>
      <w:r w:rsidR="009C4CE0">
        <w:rPr>
          <w:rFonts w:ascii="Times New Roman" w:hAnsi="Times New Roman" w:cs="Times New Roman"/>
          <w:sz w:val="24"/>
          <w:szCs w:val="24"/>
        </w:rPr>
        <w:t xml:space="preserve">yield </w:t>
      </w:r>
      <w:r w:rsidR="00E9477C">
        <w:rPr>
          <w:rFonts w:ascii="Times New Roman" w:hAnsi="Times New Roman" w:cs="Times New Roman"/>
          <w:sz w:val="24"/>
          <w:szCs w:val="24"/>
        </w:rPr>
        <w:t xml:space="preserve">an estimated </w:t>
      </w:r>
      <w:r w:rsidR="001E1226">
        <w:rPr>
          <w:rFonts w:ascii="Times New Roman" w:hAnsi="Times New Roman" w:cs="Times New Roman"/>
          <w:sz w:val="24"/>
          <w:szCs w:val="24"/>
        </w:rPr>
        <w:t xml:space="preserve">real </w:t>
      </w:r>
      <w:r w:rsidR="00E9477C">
        <w:rPr>
          <w:rFonts w:ascii="Times New Roman" w:hAnsi="Times New Roman" w:cs="Times New Roman"/>
          <w:sz w:val="24"/>
          <w:szCs w:val="24"/>
        </w:rPr>
        <w:t>cost</w:t>
      </w:r>
      <w:r w:rsidR="009C4CE0">
        <w:rPr>
          <w:rFonts w:ascii="Times New Roman" w:hAnsi="Times New Roman" w:cs="Times New Roman"/>
          <w:sz w:val="24"/>
          <w:szCs w:val="24"/>
        </w:rPr>
        <w:t xml:space="preserve"> of equity for asset </w:t>
      </w:r>
      <w:r w:rsidR="009C4CE0" w:rsidRPr="0072009E">
        <w:rPr>
          <w:rFonts w:ascii="Times New Roman" w:hAnsi="Times New Roman" w:cs="Times New Roman"/>
          <w:i/>
          <w:sz w:val="24"/>
          <w:szCs w:val="24"/>
        </w:rPr>
        <w:t>j</w:t>
      </w:r>
      <w:r w:rsidR="009C4CE0">
        <w:rPr>
          <w:rFonts w:ascii="Times New Roman" w:hAnsi="Times New Roman" w:cs="Times New Roman"/>
          <w:sz w:val="24"/>
          <w:szCs w:val="24"/>
        </w:rPr>
        <w:t xml:space="preserve"> of </w:t>
      </w:r>
      <w:r w:rsidR="001E1226">
        <w:rPr>
          <w:rFonts w:ascii="Times New Roman" w:hAnsi="Times New Roman" w:cs="Times New Roman"/>
          <w:sz w:val="24"/>
          <w:szCs w:val="24"/>
        </w:rPr>
        <w:t xml:space="preserve">8%, </w:t>
      </w:r>
      <w:r w:rsidR="009C4CE0">
        <w:rPr>
          <w:rFonts w:ascii="Times New Roman" w:hAnsi="Times New Roman" w:cs="Times New Roman"/>
          <w:sz w:val="24"/>
          <w:szCs w:val="24"/>
        </w:rPr>
        <w:t>i.e.,</w:t>
      </w:r>
    </w:p>
    <w:p w:rsidR="00E9477C" w:rsidRDefault="00E9477C" w:rsidP="00D66208">
      <w:pPr>
        <w:spacing w:after="0" w:line="360" w:lineRule="auto"/>
        <w:jc w:val="both"/>
        <w:rPr>
          <w:rFonts w:ascii="Times New Roman" w:hAnsi="Times New Roman" w:cs="Times New Roman"/>
          <w:sz w:val="24"/>
          <w:szCs w:val="24"/>
        </w:rPr>
      </w:pPr>
    </w:p>
    <w:p w:rsidR="009C4CE0" w:rsidRDefault="009C4CE0" w:rsidP="009C4CE0">
      <w:pPr>
        <w:spacing w:after="0" w:line="360" w:lineRule="auto"/>
        <w:ind w:left="2552" w:hanging="2552"/>
        <w:jc w:val="both"/>
        <w:rPr>
          <w:rFonts w:ascii="Times New Roman" w:hAnsi="Times New Roman" w:cs="Times New Roman"/>
          <w:sz w:val="24"/>
          <w:szCs w:val="24"/>
        </w:rPr>
      </w:pPr>
      <w:r>
        <w:rPr>
          <w:b/>
          <w:bCs/>
          <w:position w:val="-14"/>
        </w:rPr>
        <w:tab/>
      </w:r>
      <w:r w:rsidR="001E1226" w:rsidRPr="001425C9">
        <w:rPr>
          <w:b/>
          <w:bCs/>
          <w:position w:val="-14"/>
        </w:rPr>
        <w:object w:dxaOrig="3660" w:dyaOrig="420">
          <v:shape id="_x0000_i1027" type="#_x0000_t75" style="width:183.45pt;height:20.65pt" o:ole="">
            <v:imagedata r:id="rId12" o:title=""/>
          </v:shape>
          <o:OLEObject Type="Embed" ProgID="Equation.3" ShapeID="_x0000_i1027" DrawAspect="Content" ObjectID="_1423918342" r:id="rId13"/>
        </w:object>
      </w:r>
    </w:p>
    <w:p w:rsidR="009C4CE0" w:rsidRDefault="009C4CE0" w:rsidP="009C4CE0">
      <w:pPr>
        <w:spacing w:after="0" w:line="360" w:lineRule="auto"/>
        <w:ind w:left="2552" w:hanging="2552"/>
        <w:jc w:val="both"/>
        <w:rPr>
          <w:rFonts w:ascii="Times New Roman" w:hAnsi="Times New Roman" w:cs="Times New Roman"/>
          <w:sz w:val="24"/>
          <w:szCs w:val="24"/>
        </w:rPr>
      </w:pPr>
      <w:r>
        <w:rPr>
          <w:b/>
          <w:bCs/>
          <w:position w:val="-14"/>
        </w:rPr>
        <w:lastRenderedPageBreak/>
        <w:tab/>
      </w:r>
      <w:r w:rsidR="001E1226" w:rsidRPr="001425C9">
        <w:rPr>
          <w:b/>
          <w:bCs/>
          <w:position w:val="-14"/>
        </w:rPr>
        <w:object w:dxaOrig="3260" w:dyaOrig="420">
          <v:shape id="_x0000_i1028" type="#_x0000_t75" style="width:162.8pt;height:20.65pt" o:ole="">
            <v:imagedata r:id="rId14" o:title=""/>
          </v:shape>
          <o:OLEObject Type="Embed" ProgID="Equation.3" ShapeID="_x0000_i1028" DrawAspect="Content" ObjectID="_1423918343" r:id="rId15"/>
        </w:object>
      </w:r>
    </w:p>
    <w:p w:rsidR="001A52E5" w:rsidRDefault="001A52E5" w:rsidP="00D66208">
      <w:pPr>
        <w:spacing w:after="0" w:line="360" w:lineRule="auto"/>
        <w:jc w:val="both"/>
        <w:rPr>
          <w:rFonts w:ascii="Times New Roman" w:hAnsi="Times New Roman" w:cs="Times New Roman"/>
          <w:sz w:val="24"/>
          <w:szCs w:val="24"/>
        </w:rPr>
      </w:pPr>
    </w:p>
    <w:p w:rsidR="00B41F33" w:rsidRDefault="009C4CE0"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if </w:t>
      </w:r>
      <w:r w:rsidR="00AB5E85">
        <w:rPr>
          <w:rFonts w:ascii="Times New Roman" w:hAnsi="Times New Roman" w:cs="Times New Roman"/>
          <w:sz w:val="24"/>
          <w:szCs w:val="24"/>
        </w:rPr>
        <w:t xml:space="preserve">the beta of asset j is 0.8, then </w:t>
      </w:r>
      <w:r>
        <w:rPr>
          <w:rFonts w:ascii="Times New Roman" w:hAnsi="Times New Roman" w:cs="Times New Roman"/>
          <w:sz w:val="24"/>
          <w:szCs w:val="24"/>
        </w:rPr>
        <w:t xml:space="preserve">the resulting </w:t>
      </w:r>
      <w:r w:rsidR="00B41F33">
        <w:rPr>
          <w:rFonts w:ascii="Times New Roman" w:hAnsi="Times New Roman" w:cs="Times New Roman"/>
          <w:sz w:val="24"/>
          <w:szCs w:val="24"/>
        </w:rPr>
        <w:t xml:space="preserve">estimated </w:t>
      </w:r>
      <w:r>
        <w:rPr>
          <w:rFonts w:ascii="Times New Roman" w:hAnsi="Times New Roman" w:cs="Times New Roman"/>
          <w:sz w:val="24"/>
          <w:szCs w:val="24"/>
        </w:rPr>
        <w:t xml:space="preserve">cost of equity for asset </w:t>
      </w:r>
      <w:r w:rsidRPr="0072009E">
        <w:rPr>
          <w:rFonts w:ascii="Times New Roman" w:hAnsi="Times New Roman" w:cs="Times New Roman"/>
          <w:i/>
          <w:sz w:val="24"/>
          <w:szCs w:val="24"/>
        </w:rPr>
        <w:t>j</w:t>
      </w:r>
      <w:r>
        <w:rPr>
          <w:rFonts w:ascii="Times New Roman" w:hAnsi="Times New Roman" w:cs="Times New Roman"/>
          <w:sz w:val="24"/>
          <w:szCs w:val="24"/>
        </w:rPr>
        <w:t xml:space="preserve"> would be </w:t>
      </w:r>
      <w:r w:rsidR="00B41F33">
        <w:rPr>
          <w:rFonts w:ascii="Times New Roman" w:hAnsi="Times New Roman" w:cs="Times New Roman"/>
          <w:sz w:val="24"/>
          <w:szCs w:val="24"/>
        </w:rPr>
        <w:t>higher under strategy 3 as follows:</w:t>
      </w:r>
    </w:p>
    <w:p w:rsidR="00B41F33" w:rsidRDefault="00B41F33" w:rsidP="00D66208">
      <w:pPr>
        <w:spacing w:after="0" w:line="360" w:lineRule="auto"/>
        <w:jc w:val="both"/>
        <w:rPr>
          <w:rFonts w:ascii="Times New Roman" w:hAnsi="Times New Roman" w:cs="Times New Roman"/>
          <w:sz w:val="24"/>
          <w:szCs w:val="24"/>
        </w:rPr>
      </w:pPr>
    </w:p>
    <w:p w:rsidR="00B41F33" w:rsidRDefault="00B41F33" w:rsidP="00B41F33">
      <w:pPr>
        <w:spacing w:after="0" w:line="360" w:lineRule="auto"/>
        <w:ind w:left="2552" w:hanging="2552"/>
        <w:jc w:val="both"/>
        <w:rPr>
          <w:rFonts w:ascii="Times New Roman" w:hAnsi="Times New Roman" w:cs="Times New Roman"/>
          <w:sz w:val="24"/>
          <w:szCs w:val="24"/>
        </w:rPr>
      </w:pPr>
      <w:r>
        <w:rPr>
          <w:b/>
          <w:bCs/>
          <w:position w:val="-14"/>
        </w:rPr>
        <w:tab/>
      </w:r>
      <w:r w:rsidR="00AB5E85" w:rsidRPr="001425C9">
        <w:rPr>
          <w:b/>
          <w:bCs/>
          <w:position w:val="-14"/>
        </w:rPr>
        <w:object w:dxaOrig="4000" w:dyaOrig="420">
          <v:shape id="_x0000_i1029" type="#_x0000_t75" style="width:200.35pt;height:20.65pt" o:ole="">
            <v:imagedata r:id="rId16" o:title=""/>
          </v:shape>
          <o:OLEObject Type="Embed" ProgID="Equation.3" ShapeID="_x0000_i1029" DrawAspect="Content" ObjectID="_1423918344" r:id="rId17"/>
        </w:object>
      </w:r>
    </w:p>
    <w:p w:rsidR="00B41F33" w:rsidRDefault="00B41F33" w:rsidP="00B41F33">
      <w:pPr>
        <w:tabs>
          <w:tab w:val="left" w:pos="2552"/>
        </w:tabs>
        <w:spacing w:after="0" w:line="360" w:lineRule="auto"/>
        <w:jc w:val="both"/>
        <w:rPr>
          <w:rFonts w:ascii="Times New Roman" w:hAnsi="Times New Roman" w:cs="Times New Roman"/>
          <w:sz w:val="24"/>
          <w:szCs w:val="24"/>
        </w:rPr>
      </w:pPr>
      <w:r>
        <w:rPr>
          <w:b/>
          <w:bCs/>
          <w:position w:val="-14"/>
        </w:rPr>
        <w:tab/>
      </w:r>
      <w:r w:rsidR="00AB5E85" w:rsidRPr="001425C9">
        <w:rPr>
          <w:b/>
          <w:bCs/>
          <w:position w:val="-14"/>
        </w:rPr>
        <w:object w:dxaOrig="3519" w:dyaOrig="420">
          <v:shape id="_x0000_i1030" type="#_x0000_t75" style="width:175.95pt;height:20.65pt" o:ole="">
            <v:imagedata r:id="rId18" o:title=""/>
          </v:shape>
          <o:OLEObject Type="Embed" ProgID="Equation.3" ShapeID="_x0000_i1030" DrawAspect="Content" ObjectID="_1423918345" r:id="rId19"/>
        </w:object>
      </w:r>
    </w:p>
    <w:p w:rsidR="00B41F33" w:rsidRDefault="00B41F33" w:rsidP="00D66208">
      <w:pPr>
        <w:spacing w:after="0" w:line="360" w:lineRule="auto"/>
        <w:jc w:val="both"/>
        <w:rPr>
          <w:rFonts w:ascii="Times New Roman" w:hAnsi="Times New Roman" w:cs="Times New Roman"/>
          <w:sz w:val="24"/>
          <w:szCs w:val="24"/>
        </w:rPr>
      </w:pPr>
    </w:p>
    <w:p w:rsidR="00E42881" w:rsidRDefault="00E42881"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Wright agrees with the Present Value principle and his favoured strategy of estimating the cost of capital for the market portfolio (using the historical average real market return) coupled with the use of the </w:t>
      </w:r>
      <w:r w:rsidR="006A5E2D">
        <w:rPr>
          <w:rFonts w:ascii="Times New Roman" w:hAnsi="Times New Roman" w:cs="Times New Roman"/>
          <w:sz w:val="24"/>
          <w:szCs w:val="24"/>
        </w:rPr>
        <w:t xml:space="preserve">real </w:t>
      </w:r>
      <w:r>
        <w:rPr>
          <w:rFonts w:ascii="Times New Roman" w:hAnsi="Times New Roman" w:cs="Times New Roman"/>
          <w:sz w:val="24"/>
          <w:szCs w:val="24"/>
        </w:rPr>
        <w:t xml:space="preserve">risk free rate prevailing at the commencement of the regulatory cycle is consistent with the Present Value principle.  Whether it is the best approach is a distinct matter and is the subject </w:t>
      </w:r>
      <w:r w:rsidR="00AB5E85">
        <w:rPr>
          <w:rFonts w:ascii="Times New Roman" w:hAnsi="Times New Roman" w:cs="Times New Roman"/>
          <w:sz w:val="24"/>
          <w:szCs w:val="24"/>
        </w:rPr>
        <w:t>of another paper (Lally, 2013).  Wright also implicitly rejects use of the historical average real risk free rate throughout the CAPM.</w:t>
      </w:r>
      <w:r>
        <w:rPr>
          <w:rFonts w:ascii="Times New Roman" w:hAnsi="Times New Roman" w:cs="Times New Roman"/>
          <w:sz w:val="24"/>
          <w:szCs w:val="24"/>
        </w:rPr>
        <w:t xml:space="preserve"> </w:t>
      </w:r>
    </w:p>
    <w:p w:rsidR="00E42881" w:rsidRDefault="00E42881" w:rsidP="00D66208">
      <w:pPr>
        <w:spacing w:after="0" w:line="360" w:lineRule="auto"/>
        <w:jc w:val="both"/>
        <w:rPr>
          <w:rFonts w:ascii="Times New Roman" w:hAnsi="Times New Roman" w:cs="Times New Roman"/>
          <w:sz w:val="24"/>
          <w:szCs w:val="24"/>
        </w:rPr>
      </w:pPr>
    </w:p>
    <w:p w:rsidR="00964BCA" w:rsidRPr="00964BCA" w:rsidRDefault="00964BCA" w:rsidP="00D662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5.2 Gregory’s Arguments</w:t>
      </w:r>
    </w:p>
    <w:p w:rsidR="00AD3A45" w:rsidRDefault="001A52E5"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Gregory (2012a) appears to agree with the Present Value principle but asserts that a long-run historical average of government bond rates (or some weight on it in conjunction with the current value) could provide an estimate of the risk free rate that is consistent with the Present Value principle.  In support of this, he argues that the risk free rate is unobservable because even government bond yields are subject to default, re-investment and inflation risks.  </w:t>
      </w:r>
    </w:p>
    <w:p w:rsidR="00AD3A45" w:rsidRDefault="00AD3A45" w:rsidP="00D66208">
      <w:pPr>
        <w:spacing w:after="0" w:line="360" w:lineRule="auto"/>
        <w:jc w:val="both"/>
        <w:rPr>
          <w:rFonts w:ascii="Times New Roman" w:hAnsi="Times New Roman" w:cs="Times New Roman"/>
          <w:sz w:val="24"/>
          <w:szCs w:val="24"/>
        </w:rPr>
      </w:pPr>
    </w:p>
    <w:p w:rsidR="001A52E5" w:rsidRDefault="00C31332"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default risk, naturally all government bonds face this </w:t>
      </w:r>
      <w:r w:rsidR="00E87152">
        <w:rPr>
          <w:rFonts w:ascii="Times New Roman" w:hAnsi="Times New Roman" w:cs="Times New Roman"/>
          <w:sz w:val="24"/>
          <w:szCs w:val="24"/>
        </w:rPr>
        <w:t xml:space="preserve">to some degree </w:t>
      </w:r>
      <w:r>
        <w:rPr>
          <w:rFonts w:ascii="Times New Roman" w:hAnsi="Times New Roman" w:cs="Times New Roman"/>
          <w:sz w:val="24"/>
          <w:szCs w:val="24"/>
        </w:rPr>
        <w:t xml:space="preserve">and </w:t>
      </w:r>
      <w:r w:rsidR="00E87152">
        <w:rPr>
          <w:rFonts w:ascii="Times New Roman" w:hAnsi="Times New Roman" w:cs="Times New Roman"/>
          <w:sz w:val="24"/>
          <w:szCs w:val="24"/>
        </w:rPr>
        <w:t xml:space="preserve">their yields </w:t>
      </w:r>
      <w:r>
        <w:rPr>
          <w:rFonts w:ascii="Times New Roman" w:hAnsi="Times New Roman" w:cs="Times New Roman"/>
          <w:sz w:val="24"/>
          <w:szCs w:val="24"/>
        </w:rPr>
        <w:t xml:space="preserve">will therefore overestimate the risk free rate to some degree.  However this problem cannot be mitigated by using the historical average </w:t>
      </w:r>
      <w:r w:rsidR="00E87152">
        <w:rPr>
          <w:rFonts w:ascii="Times New Roman" w:hAnsi="Times New Roman" w:cs="Times New Roman"/>
          <w:sz w:val="24"/>
          <w:szCs w:val="24"/>
        </w:rPr>
        <w:t xml:space="preserve">government bond yield </w:t>
      </w:r>
      <w:r>
        <w:rPr>
          <w:rFonts w:ascii="Times New Roman" w:hAnsi="Times New Roman" w:cs="Times New Roman"/>
          <w:sz w:val="24"/>
          <w:szCs w:val="24"/>
        </w:rPr>
        <w:t xml:space="preserve">or placing some weight on it.  </w:t>
      </w:r>
      <w:r w:rsidR="00E87152">
        <w:rPr>
          <w:rFonts w:ascii="Times New Roman" w:hAnsi="Times New Roman" w:cs="Times New Roman"/>
          <w:sz w:val="24"/>
          <w:szCs w:val="24"/>
        </w:rPr>
        <w:t>Such</w:t>
      </w:r>
      <w:r>
        <w:rPr>
          <w:rFonts w:ascii="Times New Roman" w:hAnsi="Times New Roman" w:cs="Times New Roman"/>
          <w:sz w:val="24"/>
          <w:szCs w:val="24"/>
        </w:rPr>
        <w:t xml:space="preserve"> </w:t>
      </w:r>
      <w:r w:rsidR="00135550">
        <w:rPr>
          <w:rFonts w:ascii="Times New Roman" w:hAnsi="Times New Roman" w:cs="Times New Roman"/>
          <w:sz w:val="24"/>
          <w:szCs w:val="24"/>
        </w:rPr>
        <w:t>medicine</w:t>
      </w:r>
      <w:r>
        <w:rPr>
          <w:rFonts w:ascii="Times New Roman" w:hAnsi="Times New Roman" w:cs="Times New Roman"/>
          <w:sz w:val="24"/>
          <w:szCs w:val="24"/>
        </w:rPr>
        <w:t xml:space="preserve"> bears no connection to the </w:t>
      </w:r>
      <w:r w:rsidR="00E87152">
        <w:rPr>
          <w:rFonts w:ascii="Times New Roman" w:hAnsi="Times New Roman" w:cs="Times New Roman"/>
          <w:sz w:val="24"/>
          <w:szCs w:val="24"/>
        </w:rPr>
        <w:t xml:space="preserve">diagnosed ailment.  </w:t>
      </w:r>
      <w:r w:rsidR="00135550">
        <w:rPr>
          <w:rFonts w:ascii="Times New Roman" w:hAnsi="Times New Roman" w:cs="Times New Roman"/>
          <w:sz w:val="24"/>
          <w:szCs w:val="24"/>
        </w:rPr>
        <w:t xml:space="preserve">For example, suppose </w:t>
      </w:r>
      <w:r w:rsidR="00E87152">
        <w:rPr>
          <w:rFonts w:ascii="Times New Roman" w:hAnsi="Times New Roman" w:cs="Times New Roman"/>
          <w:sz w:val="24"/>
          <w:szCs w:val="24"/>
        </w:rPr>
        <w:t xml:space="preserve">the yield on some </w:t>
      </w:r>
      <w:r w:rsidR="00135550">
        <w:rPr>
          <w:rFonts w:ascii="Times New Roman" w:hAnsi="Times New Roman" w:cs="Times New Roman"/>
          <w:sz w:val="24"/>
          <w:szCs w:val="24"/>
        </w:rPr>
        <w:t xml:space="preserve">government </w:t>
      </w:r>
      <w:r w:rsidR="00E87152">
        <w:rPr>
          <w:rFonts w:ascii="Times New Roman" w:hAnsi="Times New Roman" w:cs="Times New Roman"/>
          <w:sz w:val="24"/>
          <w:szCs w:val="24"/>
        </w:rPr>
        <w:t xml:space="preserve">bond overestimates </w:t>
      </w:r>
      <w:r w:rsidR="00135550">
        <w:rPr>
          <w:rFonts w:ascii="Times New Roman" w:hAnsi="Times New Roman" w:cs="Times New Roman"/>
          <w:sz w:val="24"/>
          <w:szCs w:val="24"/>
        </w:rPr>
        <w:t xml:space="preserve">the risk free rate by 0.1% due to default risk.  So, if the historic average </w:t>
      </w:r>
      <w:r w:rsidR="00A620AA">
        <w:rPr>
          <w:rFonts w:ascii="Times New Roman" w:hAnsi="Times New Roman" w:cs="Times New Roman"/>
          <w:sz w:val="24"/>
          <w:szCs w:val="24"/>
        </w:rPr>
        <w:t xml:space="preserve">government bond </w:t>
      </w:r>
      <w:r w:rsidR="00E87152">
        <w:rPr>
          <w:rFonts w:ascii="Times New Roman" w:hAnsi="Times New Roman" w:cs="Times New Roman"/>
          <w:sz w:val="24"/>
          <w:szCs w:val="24"/>
        </w:rPr>
        <w:t xml:space="preserve">yield </w:t>
      </w:r>
      <w:r w:rsidR="00A620AA">
        <w:rPr>
          <w:rFonts w:ascii="Times New Roman" w:hAnsi="Times New Roman" w:cs="Times New Roman"/>
          <w:sz w:val="24"/>
          <w:szCs w:val="24"/>
        </w:rPr>
        <w:t xml:space="preserve">is less than </w:t>
      </w:r>
      <w:r w:rsidR="00135550">
        <w:rPr>
          <w:rFonts w:ascii="Times New Roman" w:hAnsi="Times New Roman" w:cs="Times New Roman"/>
          <w:sz w:val="24"/>
          <w:szCs w:val="24"/>
        </w:rPr>
        <w:t xml:space="preserve">the current </w:t>
      </w:r>
      <w:r w:rsidR="00E87152">
        <w:rPr>
          <w:rFonts w:ascii="Times New Roman" w:hAnsi="Times New Roman" w:cs="Times New Roman"/>
          <w:sz w:val="24"/>
          <w:szCs w:val="24"/>
        </w:rPr>
        <w:t>yield</w:t>
      </w:r>
      <w:r w:rsidR="00135550">
        <w:rPr>
          <w:rFonts w:ascii="Times New Roman" w:hAnsi="Times New Roman" w:cs="Times New Roman"/>
          <w:sz w:val="24"/>
          <w:szCs w:val="24"/>
        </w:rPr>
        <w:t xml:space="preserve"> on these bonds by </w:t>
      </w:r>
      <w:r w:rsidR="00F82F27">
        <w:rPr>
          <w:rFonts w:ascii="Times New Roman" w:hAnsi="Times New Roman" w:cs="Times New Roman"/>
          <w:sz w:val="24"/>
          <w:szCs w:val="24"/>
        </w:rPr>
        <w:t xml:space="preserve">exactly </w:t>
      </w:r>
      <w:r w:rsidR="00135550">
        <w:rPr>
          <w:rFonts w:ascii="Times New Roman" w:hAnsi="Times New Roman" w:cs="Times New Roman"/>
          <w:sz w:val="24"/>
          <w:szCs w:val="24"/>
        </w:rPr>
        <w:t xml:space="preserve">0.2%, a 50/50 weighting of the historic average and the current </w:t>
      </w:r>
      <w:r w:rsidR="00A620AA">
        <w:rPr>
          <w:rFonts w:ascii="Times New Roman" w:hAnsi="Times New Roman" w:cs="Times New Roman"/>
          <w:sz w:val="24"/>
          <w:szCs w:val="24"/>
        </w:rPr>
        <w:t xml:space="preserve">government bond </w:t>
      </w:r>
      <w:r w:rsidR="00E87152">
        <w:rPr>
          <w:rFonts w:ascii="Times New Roman" w:hAnsi="Times New Roman" w:cs="Times New Roman"/>
          <w:sz w:val="24"/>
          <w:szCs w:val="24"/>
        </w:rPr>
        <w:t xml:space="preserve">yield </w:t>
      </w:r>
      <w:r w:rsidR="00135550">
        <w:rPr>
          <w:rFonts w:ascii="Times New Roman" w:hAnsi="Times New Roman" w:cs="Times New Roman"/>
          <w:sz w:val="24"/>
          <w:szCs w:val="24"/>
        </w:rPr>
        <w:t xml:space="preserve">will generate the correct result.  However, the far more likely result of such a weighting scheme would be to aggravate the minor error from using the current </w:t>
      </w:r>
      <w:r w:rsidR="00E87152">
        <w:rPr>
          <w:rFonts w:ascii="Times New Roman" w:hAnsi="Times New Roman" w:cs="Times New Roman"/>
          <w:sz w:val="24"/>
          <w:szCs w:val="24"/>
        </w:rPr>
        <w:t>yield</w:t>
      </w:r>
      <w:r w:rsidR="00135550">
        <w:rPr>
          <w:rFonts w:ascii="Times New Roman" w:hAnsi="Times New Roman" w:cs="Times New Roman"/>
          <w:sz w:val="24"/>
          <w:szCs w:val="24"/>
        </w:rPr>
        <w:t xml:space="preserve"> on </w:t>
      </w:r>
      <w:r w:rsidR="00A620AA">
        <w:rPr>
          <w:rFonts w:ascii="Times New Roman" w:hAnsi="Times New Roman" w:cs="Times New Roman"/>
          <w:sz w:val="24"/>
          <w:szCs w:val="24"/>
        </w:rPr>
        <w:t>government bonds</w:t>
      </w:r>
      <w:r w:rsidR="00135550">
        <w:rPr>
          <w:rFonts w:ascii="Times New Roman" w:hAnsi="Times New Roman" w:cs="Times New Roman"/>
          <w:sz w:val="24"/>
          <w:szCs w:val="24"/>
        </w:rPr>
        <w:t xml:space="preserve">.  </w:t>
      </w:r>
      <w:r w:rsidR="00F82F27">
        <w:rPr>
          <w:rFonts w:ascii="Times New Roman" w:hAnsi="Times New Roman" w:cs="Times New Roman"/>
          <w:sz w:val="24"/>
          <w:szCs w:val="24"/>
        </w:rPr>
        <w:t>For example</w:t>
      </w:r>
      <w:r w:rsidR="00135550">
        <w:rPr>
          <w:rFonts w:ascii="Times New Roman" w:hAnsi="Times New Roman" w:cs="Times New Roman"/>
          <w:sz w:val="24"/>
          <w:szCs w:val="24"/>
        </w:rPr>
        <w:t xml:space="preserve">, if the historical average is 2.0% higher than the current value, the 50/50 weighting scheme will overestimate the risk free rate by </w:t>
      </w:r>
      <w:r w:rsidR="00A620AA">
        <w:rPr>
          <w:rFonts w:ascii="Times New Roman" w:hAnsi="Times New Roman" w:cs="Times New Roman"/>
          <w:sz w:val="24"/>
          <w:szCs w:val="24"/>
        </w:rPr>
        <w:t xml:space="preserve">1.1% rather than the </w:t>
      </w:r>
      <w:r w:rsidR="00A620AA">
        <w:rPr>
          <w:rFonts w:ascii="Times New Roman" w:hAnsi="Times New Roman" w:cs="Times New Roman"/>
          <w:sz w:val="24"/>
          <w:szCs w:val="24"/>
        </w:rPr>
        <w:lastRenderedPageBreak/>
        <w:t xml:space="preserve">0.1% overestimation from using the current government bond </w:t>
      </w:r>
      <w:r w:rsidR="00E87152">
        <w:rPr>
          <w:rFonts w:ascii="Times New Roman" w:hAnsi="Times New Roman" w:cs="Times New Roman"/>
          <w:sz w:val="24"/>
          <w:szCs w:val="24"/>
        </w:rPr>
        <w:t xml:space="preserve">yield, </w:t>
      </w:r>
      <w:r w:rsidR="00A620AA">
        <w:rPr>
          <w:rFonts w:ascii="Times New Roman" w:hAnsi="Times New Roman" w:cs="Times New Roman"/>
          <w:sz w:val="24"/>
          <w:szCs w:val="24"/>
        </w:rPr>
        <w:t>i.e., the er</w:t>
      </w:r>
      <w:r w:rsidR="00F82F27">
        <w:rPr>
          <w:rFonts w:ascii="Times New Roman" w:hAnsi="Times New Roman" w:cs="Times New Roman"/>
          <w:sz w:val="24"/>
          <w:szCs w:val="24"/>
        </w:rPr>
        <w:t xml:space="preserve">ror would be magnified 11 times.  Furthermore, given that the historical average government bond </w:t>
      </w:r>
      <w:r w:rsidR="008628FA">
        <w:rPr>
          <w:rFonts w:ascii="Times New Roman" w:hAnsi="Times New Roman" w:cs="Times New Roman"/>
          <w:sz w:val="24"/>
          <w:szCs w:val="24"/>
        </w:rPr>
        <w:t xml:space="preserve">yields </w:t>
      </w:r>
      <w:r w:rsidR="00F82F27">
        <w:rPr>
          <w:rFonts w:ascii="Times New Roman" w:hAnsi="Times New Roman" w:cs="Times New Roman"/>
          <w:sz w:val="24"/>
          <w:szCs w:val="24"/>
        </w:rPr>
        <w:t xml:space="preserve">that have been proposed </w:t>
      </w:r>
      <w:r w:rsidR="001A6C7B">
        <w:rPr>
          <w:rFonts w:ascii="Times New Roman" w:hAnsi="Times New Roman" w:cs="Times New Roman"/>
          <w:sz w:val="24"/>
          <w:szCs w:val="24"/>
        </w:rPr>
        <w:t xml:space="preserve">by regulated businesses or their </w:t>
      </w:r>
      <w:r w:rsidR="000C6C67">
        <w:rPr>
          <w:rFonts w:ascii="Times New Roman" w:hAnsi="Times New Roman" w:cs="Times New Roman"/>
          <w:sz w:val="24"/>
          <w:szCs w:val="24"/>
        </w:rPr>
        <w:t xml:space="preserve">advisers </w:t>
      </w:r>
      <w:r w:rsidR="00F82F27">
        <w:rPr>
          <w:rFonts w:ascii="Times New Roman" w:hAnsi="Times New Roman" w:cs="Times New Roman"/>
          <w:sz w:val="24"/>
          <w:szCs w:val="24"/>
        </w:rPr>
        <w:t xml:space="preserve">all exceed the current </w:t>
      </w:r>
      <w:r w:rsidR="008628FA">
        <w:rPr>
          <w:rFonts w:ascii="Times New Roman" w:hAnsi="Times New Roman" w:cs="Times New Roman"/>
          <w:sz w:val="24"/>
          <w:szCs w:val="24"/>
        </w:rPr>
        <w:t>yield</w:t>
      </w:r>
      <w:r w:rsidR="00F82F27">
        <w:rPr>
          <w:rFonts w:ascii="Times New Roman" w:hAnsi="Times New Roman" w:cs="Times New Roman"/>
          <w:sz w:val="24"/>
          <w:szCs w:val="24"/>
        </w:rPr>
        <w:t xml:space="preserve">, the effect of putting any weighting on the historical average rates will be to increase the estimated risk free rate and therefore </w:t>
      </w:r>
      <w:r w:rsidR="001A6C7B">
        <w:rPr>
          <w:rFonts w:ascii="Times New Roman" w:hAnsi="Times New Roman" w:cs="Times New Roman"/>
          <w:sz w:val="24"/>
          <w:szCs w:val="24"/>
        </w:rPr>
        <w:t xml:space="preserve">aggravate the overestimation that arises from default risk.  Thus Gregory’s proposal would in general aggravate error and, in the present circumstances, </w:t>
      </w:r>
      <w:r w:rsidR="008628FA">
        <w:rPr>
          <w:rFonts w:ascii="Times New Roman" w:hAnsi="Times New Roman" w:cs="Times New Roman"/>
          <w:sz w:val="24"/>
          <w:szCs w:val="24"/>
        </w:rPr>
        <w:t xml:space="preserve">would definitely </w:t>
      </w:r>
      <w:r w:rsidR="001A6C7B">
        <w:rPr>
          <w:rFonts w:ascii="Times New Roman" w:hAnsi="Times New Roman" w:cs="Times New Roman"/>
          <w:sz w:val="24"/>
          <w:szCs w:val="24"/>
        </w:rPr>
        <w:t>do so.</w:t>
      </w:r>
    </w:p>
    <w:p w:rsidR="00A620AA" w:rsidRDefault="00A620AA" w:rsidP="00D66208">
      <w:pPr>
        <w:spacing w:after="0" w:line="360" w:lineRule="auto"/>
        <w:jc w:val="both"/>
        <w:rPr>
          <w:rFonts w:ascii="Times New Roman" w:hAnsi="Times New Roman" w:cs="Times New Roman"/>
          <w:sz w:val="24"/>
          <w:szCs w:val="24"/>
        </w:rPr>
      </w:pPr>
    </w:p>
    <w:p w:rsidR="00A620AA" w:rsidRDefault="00A620AA"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reinvestment risk, Gregory notes that a holder of government </w:t>
      </w:r>
      <w:r w:rsidR="0072009E">
        <w:rPr>
          <w:rFonts w:ascii="Times New Roman" w:hAnsi="Times New Roman" w:cs="Times New Roman"/>
          <w:sz w:val="24"/>
          <w:szCs w:val="24"/>
        </w:rPr>
        <w:t>bonds</w:t>
      </w:r>
      <w:r>
        <w:rPr>
          <w:rFonts w:ascii="Times New Roman" w:hAnsi="Times New Roman" w:cs="Times New Roman"/>
          <w:sz w:val="24"/>
          <w:szCs w:val="24"/>
        </w:rPr>
        <w:t xml:space="preserve"> faces uncertainty about the rates that will prevail at the dates on which the coup</w:t>
      </w:r>
      <w:r w:rsidR="0072009E">
        <w:rPr>
          <w:rFonts w:ascii="Times New Roman" w:hAnsi="Times New Roman" w:cs="Times New Roman"/>
          <w:sz w:val="24"/>
          <w:szCs w:val="24"/>
        </w:rPr>
        <w:t>ons are received.  However this characteristic of these bonds does</w:t>
      </w:r>
      <w:r>
        <w:rPr>
          <w:rFonts w:ascii="Times New Roman" w:hAnsi="Times New Roman" w:cs="Times New Roman"/>
          <w:sz w:val="24"/>
          <w:szCs w:val="24"/>
        </w:rPr>
        <w:t xml:space="preserve"> not disqualify </w:t>
      </w:r>
      <w:r w:rsidR="0072009E">
        <w:rPr>
          <w:rFonts w:ascii="Times New Roman" w:hAnsi="Times New Roman" w:cs="Times New Roman"/>
          <w:sz w:val="24"/>
          <w:szCs w:val="24"/>
        </w:rPr>
        <w:t>their</w:t>
      </w:r>
      <w:r w:rsidR="001B6DE8">
        <w:rPr>
          <w:rFonts w:ascii="Times New Roman" w:hAnsi="Times New Roman" w:cs="Times New Roman"/>
          <w:sz w:val="24"/>
          <w:szCs w:val="24"/>
        </w:rPr>
        <w:t xml:space="preserve"> current yield </w:t>
      </w:r>
      <w:r>
        <w:rPr>
          <w:rFonts w:ascii="Times New Roman" w:hAnsi="Times New Roman" w:cs="Times New Roman"/>
          <w:sz w:val="24"/>
          <w:szCs w:val="24"/>
        </w:rPr>
        <w:t xml:space="preserve">from being the appropriate </w:t>
      </w:r>
      <w:r w:rsidR="0072009E">
        <w:rPr>
          <w:rFonts w:ascii="Times New Roman" w:hAnsi="Times New Roman" w:cs="Times New Roman"/>
          <w:sz w:val="24"/>
          <w:szCs w:val="24"/>
        </w:rPr>
        <w:t xml:space="preserve">risk free rate </w:t>
      </w:r>
      <w:r>
        <w:rPr>
          <w:rFonts w:ascii="Times New Roman" w:hAnsi="Times New Roman" w:cs="Times New Roman"/>
          <w:sz w:val="24"/>
          <w:szCs w:val="24"/>
        </w:rPr>
        <w:t xml:space="preserve">for setting the allowed rate of return for a regulated business.  </w:t>
      </w:r>
      <w:r w:rsidR="003A4D44">
        <w:rPr>
          <w:rFonts w:ascii="Times New Roman" w:hAnsi="Times New Roman" w:cs="Times New Roman"/>
          <w:sz w:val="24"/>
          <w:szCs w:val="24"/>
        </w:rPr>
        <w:t xml:space="preserve">Apart from cost and demand shocks, a </w:t>
      </w:r>
      <w:r>
        <w:rPr>
          <w:rFonts w:ascii="Times New Roman" w:hAnsi="Times New Roman" w:cs="Times New Roman"/>
          <w:sz w:val="24"/>
          <w:szCs w:val="24"/>
        </w:rPr>
        <w:t xml:space="preserve">regulated business </w:t>
      </w:r>
      <w:r w:rsidR="003A4D44">
        <w:rPr>
          <w:rFonts w:ascii="Times New Roman" w:hAnsi="Times New Roman" w:cs="Times New Roman"/>
          <w:sz w:val="24"/>
          <w:szCs w:val="24"/>
        </w:rPr>
        <w:t xml:space="preserve">subject to a regulatory cycle of (say) five years </w:t>
      </w:r>
      <w:r>
        <w:rPr>
          <w:rFonts w:ascii="Times New Roman" w:hAnsi="Times New Roman" w:cs="Times New Roman"/>
          <w:sz w:val="24"/>
          <w:szCs w:val="24"/>
        </w:rPr>
        <w:t>is like a coupon bearing government bond</w:t>
      </w:r>
      <w:r w:rsidR="003A4D44">
        <w:rPr>
          <w:rFonts w:ascii="Times New Roman" w:hAnsi="Times New Roman" w:cs="Times New Roman"/>
          <w:sz w:val="24"/>
          <w:szCs w:val="24"/>
        </w:rPr>
        <w:t xml:space="preserve"> maturing in five years</w:t>
      </w:r>
      <w:r>
        <w:rPr>
          <w:rFonts w:ascii="Times New Roman" w:hAnsi="Times New Roman" w:cs="Times New Roman"/>
          <w:sz w:val="24"/>
          <w:szCs w:val="24"/>
        </w:rPr>
        <w:t xml:space="preserve">, in that it delivers cash flows over the course of the regulatory </w:t>
      </w:r>
      <w:r w:rsidR="003A4D44">
        <w:rPr>
          <w:rFonts w:ascii="Times New Roman" w:hAnsi="Times New Roman" w:cs="Times New Roman"/>
          <w:sz w:val="24"/>
          <w:szCs w:val="24"/>
        </w:rPr>
        <w:t xml:space="preserve">cycle </w:t>
      </w:r>
      <w:r>
        <w:rPr>
          <w:rFonts w:ascii="Times New Roman" w:hAnsi="Times New Roman" w:cs="Times New Roman"/>
          <w:sz w:val="24"/>
          <w:szCs w:val="24"/>
        </w:rPr>
        <w:t xml:space="preserve">and a value at the end of that </w:t>
      </w:r>
      <w:r w:rsidR="003A4D44">
        <w:rPr>
          <w:rFonts w:ascii="Times New Roman" w:hAnsi="Times New Roman" w:cs="Times New Roman"/>
          <w:sz w:val="24"/>
          <w:szCs w:val="24"/>
        </w:rPr>
        <w:t xml:space="preserve">cycle.  </w:t>
      </w:r>
      <w:r>
        <w:rPr>
          <w:rFonts w:ascii="Times New Roman" w:hAnsi="Times New Roman" w:cs="Times New Roman"/>
          <w:sz w:val="24"/>
          <w:szCs w:val="24"/>
        </w:rPr>
        <w:t>As shown in Lally (2012</w:t>
      </w:r>
      <w:r w:rsidR="000C377E">
        <w:rPr>
          <w:rFonts w:ascii="Times New Roman" w:hAnsi="Times New Roman" w:cs="Times New Roman"/>
          <w:sz w:val="24"/>
          <w:szCs w:val="24"/>
        </w:rPr>
        <w:t>a</w:t>
      </w:r>
      <w:r w:rsidR="003A4D44">
        <w:rPr>
          <w:rFonts w:ascii="Times New Roman" w:hAnsi="Times New Roman" w:cs="Times New Roman"/>
          <w:sz w:val="24"/>
          <w:szCs w:val="24"/>
        </w:rPr>
        <w:t>, sections 3.2 and 3.3</w:t>
      </w:r>
      <w:r>
        <w:rPr>
          <w:rFonts w:ascii="Times New Roman" w:hAnsi="Times New Roman" w:cs="Times New Roman"/>
          <w:sz w:val="24"/>
          <w:szCs w:val="24"/>
        </w:rPr>
        <w:t xml:space="preserve">), </w:t>
      </w:r>
      <w:r w:rsidR="001B6DE8">
        <w:rPr>
          <w:rFonts w:ascii="Times New Roman" w:hAnsi="Times New Roman" w:cs="Times New Roman"/>
          <w:sz w:val="24"/>
          <w:szCs w:val="24"/>
        </w:rPr>
        <w:t xml:space="preserve">because the </w:t>
      </w:r>
      <w:r>
        <w:rPr>
          <w:rFonts w:ascii="Times New Roman" w:hAnsi="Times New Roman" w:cs="Times New Roman"/>
          <w:sz w:val="24"/>
          <w:szCs w:val="24"/>
        </w:rPr>
        <w:t xml:space="preserve">durations on the two assets </w:t>
      </w:r>
      <w:r w:rsidR="001B6DE8">
        <w:rPr>
          <w:rFonts w:ascii="Times New Roman" w:hAnsi="Times New Roman" w:cs="Times New Roman"/>
          <w:sz w:val="24"/>
          <w:szCs w:val="24"/>
        </w:rPr>
        <w:t>are similar</w:t>
      </w:r>
      <w:r>
        <w:rPr>
          <w:rFonts w:ascii="Times New Roman" w:hAnsi="Times New Roman" w:cs="Times New Roman"/>
          <w:sz w:val="24"/>
          <w:szCs w:val="24"/>
        </w:rPr>
        <w:t xml:space="preserve">, the </w:t>
      </w:r>
      <w:r w:rsidR="00F82F27">
        <w:rPr>
          <w:rFonts w:ascii="Times New Roman" w:hAnsi="Times New Roman" w:cs="Times New Roman"/>
          <w:sz w:val="24"/>
          <w:szCs w:val="24"/>
        </w:rPr>
        <w:t xml:space="preserve">yield to maturity on a </w:t>
      </w:r>
      <w:r>
        <w:rPr>
          <w:rFonts w:ascii="Times New Roman" w:hAnsi="Times New Roman" w:cs="Times New Roman"/>
          <w:sz w:val="24"/>
          <w:szCs w:val="24"/>
        </w:rPr>
        <w:t xml:space="preserve">government bond with a maturity equal to that of the regulatory cycle </w:t>
      </w:r>
      <w:r w:rsidR="00F82F27">
        <w:rPr>
          <w:rFonts w:ascii="Times New Roman" w:hAnsi="Times New Roman" w:cs="Times New Roman"/>
          <w:sz w:val="24"/>
          <w:szCs w:val="24"/>
        </w:rPr>
        <w:t>will yield regulatory cash flows that satisfy the Present Value principle</w:t>
      </w:r>
      <w:r w:rsidR="001B6DE8">
        <w:rPr>
          <w:rFonts w:ascii="Times New Roman" w:hAnsi="Times New Roman" w:cs="Times New Roman"/>
          <w:sz w:val="24"/>
          <w:szCs w:val="24"/>
        </w:rPr>
        <w:t xml:space="preserve"> to a very close approximation</w:t>
      </w:r>
      <w:r w:rsidR="00F82F27">
        <w:rPr>
          <w:rFonts w:ascii="Times New Roman" w:hAnsi="Times New Roman" w:cs="Times New Roman"/>
          <w:sz w:val="24"/>
          <w:szCs w:val="24"/>
        </w:rPr>
        <w:t>.  Of course, the cash flows from the regulatory asset are exposed to demand and costs risks but these are dealt with through a risk premium in the allowed rate of return.  If Gregory considers that reinvestment risk</w:t>
      </w:r>
      <w:r w:rsidR="001A6C7B">
        <w:rPr>
          <w:rFonts w:ascii="Times New Roman" w:hAnsi="Times New Roman" w:cs="Times New Roman"/>
          <w:sz w:val="24"/>
          <w:szCs w:val="24"/>
        </w:rPr>
        <w:t xml:space="preserve"> disqualifies the current yield on government </w:t>
      </w:r>
      <w:r w:rsidR="001B6DE8">
        <w:rPr>
          <w:rFonts w:ascii="Times New Roman" w:hAnsi="Times New Roman" w:cs="Times New Roman"/>
          <w:sz w:val="24"/>
          <w:szCs w:val="24"/>
        </w:rPr>
        <w:t xml:space="preserve">bonds </w:t>
      </w:r>
      <w:r w:rsidR="001A6C7B">
        <w:rPr>
          <w:rFonts w:ascii="Times New Roman" w:hAnsi="Times New Roman" w:cs="Times New Roman"/>
          <w:sz w:val="24"/>
          <w:szCs w:val="24"/>
        </w:rPr>
        <w:t xml:space="preserve">from satisfying the Present Value principle, he ought to identify the point or assumption in </w:t>
      </w:r>
      <w:proofErr w:type="spellStart"/>
      <w:r w:rsidR="001A6C7B">
        <w:rPr>
          <w:rFonts w:ascii="Times New Roman" w:hAnsi="Times New Roman" w:cs="Times New Roman"/>
          <w:sz w:val="24"/>
          <w:szCs w:val="24"/>
        </w:rPr>
        <w:t>Lally’s</w:t>
      </w:r>
      <w:proofErr w:type="spellEnd"/>
      <w:r w:rsidR="001A6C7B">
        <w:rPr>
          <w:rFonts w:ascii="Times New Roman" w:hAnsi="Times New Roman" w:cs="Times New Roman"/>
          <w:sz w:val="24"/>
          <w:szCs w:val="24"/>
        </w:rPr>
        <w:t xml:space="preserve"> analysis at which this </w:t>
      </w:r>
      <w:r w:rsidR="00DE1734">
        <w:rPr>
          <w:rFonts w:ascii="Times New Roman" w:hAnsi="Times New Roman" w:cs="Times New Roman"/>
          <w:sz w:val="24"/>
          <w:szCs w:val="24"/>
        </w:rPr>
        <w:t xml:space="preserve">problem arises, </w:t>
      </w:r>
      <w:r w:rsidR="001A6C7B">
        <w:rPr>
          <w:rFonts w:ascii="Times New Roman" w:hAnsi="Times New Roman" w:cs="Times New Roman"/>
          <w:sz w:val="24"/>
          <w:szCs w:val="24"/>
        </w:rPr>
        <w:t>and he has not done so.  Furthermore, even if it were true that reinvestment risk did disqualify the current yield on government bonds</w:t>
      </w:r>
      <w:r w:rsidR="00031F50">
        <w:rPr>
          <w:rFonts w:ascii="Times New Roman" w:hAnsi="Times New Roman" w:cs="Times New Roman"/>
          <w:sz w:val="24"/>
          <w:szCs w:val="24"/>
        </w:rPr>
        <w:t xml:space="preserve"> from satisfying the Present Value principle</w:t>
      </w:r>
      <w:r w:rsidR="001A6C7B">
        <w:rPr>
          <w:rFonts w:ascii="Times New Roman" w:hAnsi="Times New Roman" w:cs="Times New Roman"/>
          <w:sz w:val="24"/>
          <w:szCs w:val="24"/>
        </w:rPr>
        <w:t xml:space="preserve">, Gregory fails to explain how some average of the current and historical average </w:t>
      </w:r>
      <w:r w:rsidR="009F4780">
        <w:rPr>
          <w:rFonts w:ascii="Times New Roman" w:hAnsi="Times New Roman" w:cs="Times New Roman"/>
          <w:sz w:val="24"/>
          <w:szCs w:val="24"/>
        </w:rPr>
        <w:t xml:space="preserve">yields </w:t>
      </w:r>
      <w:r w:rsidR="001A6C7B">
        <w:rPr>
          <w:rFonts w:ascii="Times New Roman" w:hAnsi="Times New Roman" w:cs="Times New Roman"/>
          <w:sz w:val="24"/>
          <w:szCs w:val="24"/>
        </w:rPr>
        <w:t xml:space="preserve">would overcome or </w:t>
      </w:r>
      <w:r w:rsidR="001B6DE8">
        <w:rPr>
          <w:rFonts w:ascii="Times New Roman" w:hAnsi="Times New Roman" w:cs="Times New Roman"/>
          <w:sz w:val="24"/>
          <w:szCs w:val="24"/>
        </w:rPr>
        <w:t xml:space="preserve">even </w:t>
      </w:r>
      <w:r w:rsidR="001A6C7B">
        <w:rPr>
          <w:rFonts w:ascii="Times New Roman" w:hAnsi="Times New Roman" w:cs="Times New Roman"/>
          <w:sz w:val="24"/>
          <w:szCs w:val="24"/>
        </w:rPr>
        <w:t xml:space="preserve">mitigate </w:t>
      </w:r>
      <w:r w:rsidR="009F4780">
        <w:rPr>
          <w:rFonts w:ascii="Times New Roman" w:hAnsi="Times New Roman" w:cs="Times New Roman"/>
          <w:sz w:val="24"/>
          <w:szCs w:val="24"/>
        </w:rPr>
        <w:t xml:space="preserve">this </w:t>
      </w:r>
      <w:r w:rsidR="001A6C7B">
        <w:rPr>
          <w:rFonts w:ascii="Times New Roman" w:hAnsi="Times New Roman" w:cs="Times New Roman"/>
          <w:sz w:val="24"/>
          <w:szCs w:val="24"/>
        </w:rPr>
        <w:t>problem</w:t>
      </w:r>
      <w:r w:rsidR="00031F50">
        <w:rPr>
          <w:rFonts w:ascii="Times New Roman" w:hAnsi="Times New Roman" w:cs="Times New Roman"/>
          <w:sz w:val="24"/>
          <w:szCs w:val="24"/>
        </w:rPr>
        <w:t>.</w:t>
      </w:r>
    </w:p>
    <w:p w:rsidR="00031F50" w:rsidRDefault="00031F50" w:rsidP="00D66208">
      <w:pPr>
        <w:spacing w:after="0" w:line="360" w:lineRule="auto"/>
        <w:jc w:val="both"/>
        <w:rPr>
          <w:rFonts w:ascii="Times New Roman" w:hAnsi="Times New Roman" w:cs="Times New Roman"/>
          <w:sz w:val="24"/>
          <w:szCs w:val="24"/>
        </w:rPr>
      </w:pPr>
    </w:p>
    <w:p w:rsidR="00431130" w:rsidRDefault="00031F50"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inflation risk, government bonds deliver payoffs that are either fixed in nominal terms (a conventional bond) or real terms (an inflation-indexed bond) and regulatory situations can also be of either type.  Thus, if a regulatory situation sets a price or revenue cap based upon forecast inflation and does not protect the regulated business from inflation shocks, the appropriate government bond to use in setting the allowed risk free rate will be a conventional government bond despite its exposure to inflation risk (because the regulated </w:t>
      </w:r>
      <w:r>
        <w:rPr>
          <w:rFonts w:ascii="Times New Roman" w:hAnsi="Times New Roman" w:cs="Times New Roman"/>
          <w:sz w:val="24"/>
          <w:szCs w:val="24"/>
        </w:rPr>
        <w:lastRenderedPageBreak/>
        <w:t>business would face the same risk).</w:t>
      </w:r>
      <w:r w:rsidR="001953D7">
        <w:rPr>
          <w:rFonts w:ascii="Times New Roman" w:hAnsi="Times New Roman" w:cs="Times New Roman"/>
          <w:sz w:val="24"/>
          <w:szCs w:val="24"/>
        </w:rPr>
        <w:t xml:space="preserve">  Thus the issue (if there is one) is that of consistency between the risk faced by the regulated business and that faced by investors in government bonds rather than the fact that conventional gover</w:t>
      </w:r>
      <w:r w:rsidR="006530F6">
        <w:rPr>
          <w:rFonts w:ascii="Times New Roman" w:hAnsi="Times New Roman" w:cs="Times New Roman"/>
          <w:sz w:val="24"/>
          <w:szCs w:val="24"/>
        </w:rPr>
        <w:t xml:space="preserve">nment bonds face inflation risk.  However, even if there were an inconsistency, this would be an argument for switching to the alternative government bond rather than for placing some weight on the historical average </w:t>
      </w:r>
      <w:r w:rsidR="00431130">
        <w:rPr>
          <w:rFonts w:ascii="Times New Roman" w:hAnsi="Times New Roman" w:cs="Times New Roman"/>
          <w:sz w:val="24"/>
          <w:szCs w:val="24"/>
        </w:rPr>
        <w:t>government bond yield.</w:t>
      </w:r>
    </w:p>
    <w:p w:rsidR="00431130" w:rsidRDefault="00431130" w:rsidP="00D66208">
      <w:pPr>
        <w:spacing w:after="0" w:line="360" w:lineRule="auto"/>
        <w:jc w:val="both"/>
        <w:rPr>
          <w:rFonts w:ascii="Times New Roman" w:hAnsi="Times New Roman" w:cs="Times New Roman"/>
          <w:sz w:val="24"/>
          <w:szCs w:val="24"/>
        </w:rPr>
      </w:pPr>
    </w:p>
    <w:p w:rsidR="001F3D8A" w:rsidRDefault="001F3D8A"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Gregory (2012</w:t>
      </w:r>
      <w:r w:rsidR="00704645">
        <w:rPr>
          <w:rFonts w:ascii="Times New Roman" w:hAnsi="Times New Roman" w:cs="Times New Roman"/>
          <w:sz w:val="24"/>
          <w:szCs w:val="24"/>
        </w:rPr>
        <w:t>a</w:t>
      </w:r>
      <w:r>
        <w:rPr>
          <w:rFonts w:ascii="Times New Roman" w:hAnsi="Times New Roman" w:cs="Times New Roman"/>
          <w:sz w:val="24"/>
          <w:szCs w:val="24"/>
        </w:rPr>
        <w:t>, pp. 3-5) also refers to the expectations hypothesis relating to the term structure of interest rates, notes (correctly) that it has not been empirically supported, and asserts that this hypothesis underlies the analysis in Lally (2012</w:t>
      </w:r>
      <w:r w:rsidR="000C377E">
        <w:rPr>
          <w:rFonts w:ascii="Times New Roman" w:hAnsi="Times New Roman" w:cs="Times New Roman"/>
          <w:sz w:val="24"/>
          <w:szCs w:val="24"/>
        </w:rPr>
        <w:t>a</w:t>
      </w:r>
      <w:r>
        <w:rPr>
          <w:rFonts w:ascii="Times New Roman" w:hAnsi="Times New Roman" w:cs="Times New Roman"/>
          <w:sz w:val="24"/>
          <w:szCs w:val="24"/>
        </w:rPr>
        <w:t xml:space="preserve">, section 3.2).  However </w:t>
      </w:r>
      <w:r w:rsidR="00A03D68">
        <w:rPr>
          <w:rFonts w:ascii="Times New Roman" w:hAnsi="Times New Roman" w:cs="Times New Roman"/>
          <w:sz w:val="24"/>
          <w:szCs w:val="24"/>
        </w:rPr>
        <w:t xml:space="preserve">the expectations </w:t>
      </w:r>
      <w:r>
        <w:rPr>
          <w:rFonts w:ascii="Times New Roman" w:hAnsi="Times New Roman" w:cs="Times New Roman"/>
          <w:sz w:val="24"/>
          <w:szCs w:val="24"/>
        </w:rPr>
        <w:t xml:space="preserve">hypothesis is neither explicitly nor implicitly assumed by Lally and Gregory fails to identify the point at which </w:t>
      </w:r>
      <w:r w:rsidR="00A03D68">
        <w:rPr>
          <w:rFonts w:ascii="Times New Roman" w:hAnsi="Times New Roman" w:cs="Times New Roman"/>
          <w:sz w:val="24"/>
          <w:szCs w:val="24"/>
        </w:rPr>
        <w:t xml:space="preserve">he believes that </w:t>
      </w:r>
      <w:r>
        <w:rPr>
          <w:rFonts w:ascii="Times New Roman" w:hAnsi="Times New Roman" w:cs="Times New Roman"/>
          <w:sz w:val="24"/>
          <w:szCs w:val="24"/>
        </w:rPr>
        <w:t xml:space="preserve">Lally makes this assumption.  In fact, not only does Lally </w:t>
      </w:r>
      <w:r w:rsidRPr="001F3D8A">
        <w:rPr>
          <w:rFonts w:ascii="Times New Roman" w:hAnsi="Times New Roman" w:cs="Times New Roman"/>
          <w:i/>
          <w:sz w:val="24"/>
          <w:szCs w:val="24"/>
        </w:rPr>
        <w:t>not</w:t>
      </w:r>
      <w:r>
        <w:rPr>
          <w:rFonts w:ascii="Times New Roman" w:hAnsi="Times New Roman" w:cs="Times New Roman"/>
          <w:sz w:val="24"/>
          <w:szCs w:val="24"/>
        </w:rPr>
        <w:t xml:space="preserve"> invoke the expectations hypothesis but the term structure example he uses involves an upward slope on the grounds that “this situation is typical” </w:t>
      </w:r>
      <w:r w:rsidR="004241C6">
        <w:rPr>
          <w:rFonts w:ascii="Times New Roman" w:hAnsi="Times New Roman" w:cs="Times New Roman"/>
          <w:sz w:val="24"/>
          <w:szCs w:val="24"/>
        </w:rPr>
        <w:t>(Lally, 2012</w:t>
      </w:r>
      <w:r w:rsidR="000C377E">
        <w:rPr>
          <w:rFonts w:ascii="Times New Roman" w:hAnsi="Times New Roman" w:cs="Times New Roman"/>
          <w:sz w:val="24"/>
          <w:szCs w:val="24"/>
        </w:rPr>
        <w:t>a</w:t>
      </w:r>
      <w:r w:rsidR="004241C6">
        <w:rPr>
          <w:rFonts w:ascii="Times New Roman" w:hAnsi="Times New Roman" w:cs="Times New Roman"/>
          <w:sz w:val="24"/>
          <w:szCs w:val="24"/>
        </w:rPr>
        <w:t xml:space="preserve">, footnote 6) </w:t>
      </w:r>
      <w:r>
        <w:rPr>
          <w:rFonts w:ascii="Times New Roman" w:hAnsi="Times New Roman" w:cs="Times New Roman"/>
          <w:sz w:val="24"/>
          <w:szCs w:val="24"/>
        </w:rPr>
        <w:t xml:space="preserve">and it is typical precisely because the expectations hypothesis is </w:t>
      </w:r>
      <w:r w:rsidRPr="001B6DE8">
        <w:rPr>
          <w:rFonts w:ascii="Times New Roman" w:hAnsi="Times New Roman" w:cs="Times New Roman"/>
          <w:i/>
          <w:sz w:val="24"/>
          <w:szCs w:val="24"/>
        </w:rPr>
        <w:t>not</w:t>
      </w:r>
      <w:r>
        <w:rPr>
          <w:rFonts w:ascii="Times New Roman" w:hAnsi="Times New Roman" w:cs="Times New Roman"/>
          <w:sz w:val="24"/>
          <w:szCs w:val="24"/>
        </w:rPr>
        <w:t xml:space="preserve"> valid. </w:t>
      </w:r>
    </w:p>
    <w:p w:rsidR="001C39A0" w:rsidRDefault="001C39A0" w:rsidP="00D66208">
      <w:pPr>
        <w:spacing w:after="0" w:line="360" w:lineRule="auto"/>
        <w:jc w:val="both"/>
        <w:rPr>
          <w:rFonts w:ascii="Times New Roman" w:hAnsi="Times New Roman" w:cs="Times New Roman"/>
          <w:sz w:val="24"/>
          <w:szCs w:val="24"/>
        </w:rPr>
      </w:pPr>
    </w:p>
    <w:p w:rsidR="006A5E2D" w:rsidRDefault="006A5E2D"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Gregory appears to agree with the Present Value principle and argues that a long-run historical average of government bond yields (or some weight on this in conjunction with the current value) could provide an estimate of the risk free rate that is consistent with the Present Value principle, on the grounds that the risk free rate is unobservable because even government bond yields are subject to default, re-investment and inflation risks.  However, whilst government bonds do or may have such characteristics, none of these characteristics support the use of a long-run historical average risk free rate or some weight being placed upon this.  </w:t>
      </w:r>
    </w:p>
    <w:p w:rsidR="006A5E2D" w:rsidRDefault="006A5E2D" w:rsidP="00D66208">
      <w:pPr>
        <w:spacing w:after="0" w:line="360" w:lineRule="auto"/>
        <w:jc w:val="both"/>
        <w:rPr>
          <w:rFonts w:ascii="Times New Roman" w:hAnsi="Times New Roman" w:cs="Times New Roman"/>
          <w:sz w:val="24"/>
          <w:szCs w:val="24"/>
        </w:rPr>
      </w:pPr>
    </w:p>
    <w:p w:rsidR="00964BCA" w:rsidRPr="00964BCA" w:rsidRDefault="00964BCA" w:rsidP="00D6620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5.3 CEG’s Arguments</w:t>
      </w:r>
    </w:p>
    <w:p w:rsidR="001C39A0" w:rsidRDefault="001C39A0"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(2012b, pp. 47-51) </w:t>
      </w:r>
      <w:r w:rsidR="00361B73">
        <w:rPr>
          <w:rFonts w:ascii="Times New Roman" w:hAnsi="Times New Roman" w:cs="Times New Roman"/>
          <w:sz w:val="24"/>
          <w:szCs w:val="24"/>
        </w:rPr>
        <w:t xml:space="preserve">seems to accept </w:t>
      </w:r>
      <w:r>
        <w:rPr>
          <w:rFonts w:ascii="Times New Roman" w:hAnsi="Times New Roman" w:cs="Times New Roman"/>
          <w:sz w:val="24"/>
          <w:szCs w:val="24"/>
        </w:rPr>
        <w:t xml:space="preserve">the Present Value principle </w:t>
      </w:r>
      <w:r w:rsidR="00432F08">
        <w:rPr>
          <w:rFonts w:ascii="Times New Roman" w:hAnsi="Times New Roman" w:cs="Times New Roman"/>
          <w:sz w:val="24"/>
          <w:szCs w:val="24"/>
        </w:rPr>
        <w:t xml:space="preserve">but </w:t>
      </w:r>
      <w:r w:rsidR="005A49DB">
        <w:rPr>
          <w:rFonts w:ascii="Times New Roman" w:hAnsi="Times New Roman" w:cs="Times New Roman"/>
          <w:sz w:val="24"/>
          <w:szCs w:val="24"/>
        </w:rPr>
        <w:t xml:space="preserve">claims that </w:t>
      </w:r>
      <w:r w:rsidR="00361B73">
        <w:rPr>
          <w:rFonts w:ascii="Times New Roman" w:hAnsi="Times New Roman" w:cs="Times New Roman"/>
          <w:sz w:val="24"/>
          <w:szCs w:val="24"/>
        </w:rPr>
        <w:t>there are</w:t>
      </w:r>
      <w:r w:rsidR="00FF06A8">
        <w:rPr>
          <w:rFonts w:ascii="Times New Roman" w:hAnsi="Times New Roman" w:cs="Times New Roman"/>
          <w:sz w:val="24"/>
          <w:szCs w:val="24"/>
        </w:rPr>
        <w:t xml:space="preserve"> two versions of it.  The first </w:t>
      </w:r>
      <w:r w:rsidR="00432F08">
        <w:rPr>
          <w:rFonts w:ascii="Times New Roman" w:hAnsi="Times New Roman" w:cs="Times New Roman"/>
          <w:sz w:val="24"/>
          <w:szCs w:val="24"/>
        </w:rPr>
        <w:t xml:space="preserve">version </w:t>
      </w:r>
      <w:r w:rsidR="00FF06A8">
        <w:rPr>
          <w:rFonts w:ascii="Times New Roman" w:hAnsi="Times New Roman" w:cs="Times New Roman"/>
          <w:sz w:val="24"/>
          <w:szCs w:val="24"/>
        </w:rPr>
        <w:t>involves satisfying the principle cycle by cycle</w:t>
      </w:r>
      <w:r w:rsidR="00CA439E">
        <w:rPr>
          <w:rFonts w:ascii="Times New Roman" w:hAnsi="Times New Roman" w:cs="Times New Roman"/>
          <w:sz w:val="24"/>
          <w:szCs w:val="24"/>
        </w:rPr>
        <w:t xml:space="preserve">, i.e., </w:t>
      </w:r>
      <w:r w:rsidR="00361B73">
        <w:rPr>
          <w:rFonts w:ascii="Times New Roman" w:hAnsi="Times New Roman" w:cs="Times New Roman"/>
          <w:sz w:val="24"/>
          <w:szCs w:val="24"/>
        </w:rPr>
        <w:t xml:space="preserve">at the commencement of the regulatory cycle, the present value of revenues over that cycle </w:t>
      </w:r>
      <w:r w:rsidR="00CA439E">
        <w:rPr>
          <w:rFonts w:ascii="Times New Roman" w:hAnsi="Times New Roman" w:cs="Times New Roman"/>
          <w:sz w:val="24"/>
          <w:szCs w:val="24"/>
        </w:rPr>
        <w:t xml:space="preserve">plus the regulatory book value of assets ‘received’ at the end of the cycle </w:t>
      </w:r>
      <w:r w:rsidR="00361B73">
        <w:rPr>
          <w:rFonts w:ascii="Times New Roman" w:hAnsi="Times New Roman" w:cs="Times New Roman"/>
          <w:sz w:val="24"/>
          <w:szCs w:val="24"/>
        </w:rPr>
        <w:t>sh</w:t>
      </w:r>
      <w:r w:rsidR="005A49DB">
        <w:rPr>
          <w:rFonts w:ascii="Times New Roman" w:hAnsi="Times New Roman" w:cs="Times New Roman"/>
          <w:sz w:val="24"/>
          <w:szCs w:val="24"/>
        </w:rPr>
        <w:t xml:space="preserve">ould match the present value </w:t>
      </w:r>
      <w:r w:rsidR="00D76BAF">
        <w:rPr>
          <w:rFonts w:ascii="Times New Roman" w:hAnsi="Times New Roman" w:cs="Times New Roman"/>
          <w:sz w:val="24"/>
          <w:szCs w:val="24"/>
        </w:rPr>
        <w:t xml:space="preserve">of expenditures over that cycle </w:t>
      </w:r>
      <w:r w:rsidR="00CA439E">
        <w:rPr>
          <w:rFonts w:ascii="Times New Roman" w:hAnsi="Times New Roman" w:cs="Times New Roman"/>
          <w:sz w:val="24"/>
          <w:szCs w:val="24"/>
        </w:rPr>
        <w:t>plus the regulatory book value of assets ‘paid’ at the beginning of the cycle (</w:t>
      </w:r>
      <w:r w:rsidR="00361B73">
        <w:rPr>
          <w:rFonts w:ascii="Times New Roman" w:hAnsi="Times New Roman" w:cs="Times New Roman"/>
          <w:sz w:val="24"/>
          <w:szCs w:val="24"/>
        </w:rPr>
        <w:t>plus or minus any efficiency incentive rewards or penalties</w:t>
      </w:r>
      <w:r w:rsidR="00CA439E">
        <w:rPr>
          <w:rFonts w:ascii="Times New Roman" w:hAnsi="Times New Roman" w:cs="Times New Roman"/>
          <w:sz w:val="24"/>
          <w:szCs w:val="24"/>
        </w:rPr>
        <w:t>)</w:t>
      </w:r>
      <w:r w:rsidR="00361B73">
        <w:rPr>
          <w:rFonts w:ascii="Times New Roman" w:hAnsi="Times New Roman" w:cs="Times New Roman"/>
          <w:sz w:val="24"/>
          <w:szCs w:val="24"/>
        </w:rPr>
        <w:t>.</w:t>
      </w:r>
      <w:r w:rsidR="005A49DB">
        <w:rPr>
          <w:rFonts w:ascii="Times New Roman" w:hAnsi="Times New Roman" w:cs="Times New Roman"/>
          <w:sz w:val="24"/>
          <w:szCs w:val="24"/>
        </w:rPr>
        <w:t xml:space="preserve">  The second version </w:t>
      </w:r>
      <w:r w:rsidR="00FF06A8">
        <w:rPr>
          <w:rFonts w:ascii="Times New Roman" w:hAnsi="Times New Roman" w:cs="Times New Roman"/>
          <w:sz w:val="24"/>
          <w:szCs w:val="24"/>
        </w:rPr>
        <w:t xml:space="preserve">involves satisfying the principle over the </w:t>
      </w:r>
      <w:r w:rsidR="005A49DB">
        <w:rPr>
          <w:rFonts w:ascii="Times New Roman" w:hAnsi="Times New Roman" w:cs="Times New Roman"/>
          <w:sz w:val="24"/>
          <w:szCs w:val="24"/>
        </w:rPr>
        <w:t>full life of the regulated assets</w:t>
      </w:r>
      <w:r w:rsidR="00034C9E">
        <w:rPr>
          <w:rFonts w:ascii="Times New Roman" w:hAnsi="Times New Roman" w:cs="Times New Roman"/>
          <w:sz w:val="24"/>
          <w:szCs w:val="24"/>
        </w:rPr>
        <w:t xml:space="preserve">, i.e., at the time of purchasing the assets, the present value of revenues received over the life of the </w:t>
      </w:r>
      <w:r w:rsidR="00034C9E">
        <w:rPr>
          <w:rFonts w:ascii="Times New Roman" w:hAnsi="Times New Roman" w:cs="Times New Roman"/>
          <w:sz w:val="24"/>
          <w:szCs w:val="24"/>
        </w:rPr>
        <w:lastRenderedPageBreak/>
        <w:t>assets equals the present value of all expenditures including the initial cost of the assets</w:t>
      </w:r>
      <w:r>
        <w:rPr>
          <w:rFonts w:ascii="Times New Roman" w:hAnsi="Times New Roman" w:cs="Times New Roman"/>
          <w:sz w:val="24"/>
          <w:szCs w:val="24"/>
        </w:rPr>
        <w:t xml:space="preserve">.  </w:t>
      </w:r>
      <w:r w:rsidR="005A49DB">
        <w:rPr>
          <w:rFonts w:ascii="Times New Roman" w:hAnsi="Times New Roman" w:cs="Times New Roman"/>
          <w:sz w:val="24"/>
          <w:szCs w:val="24"/>
        </w:rPr>
        <w:t xml:space="preserve">In respect of the first version, CEG states that it </w:t>
      </w:r>
      <w:r>
        <w:rPr>
          <w:rFonts w:ascii="Times New Roman" w:hAnsi="Times New Roman" w:cs="Times New Roman"/>
          <w:sz w:val="24"/>
          <w:szCs w:val="24"/>
        </w:rPr>
        <w:t>requires use of both a risk free rate and a market risk premium that reflect conditions prevailing at the commencement of the regulato</w:t>
      </w:r>
      <w:r w:rsidR="005A49DB">
        <w:rPr>
          <w:rFonts w:ascii="Times New Roman" w:hAnsi="Times New Roman" w:cs="Times New Roman"/>
          <w:sz w:val="24"/>
          <w:szCs w:val="24"/>
        </w:rPr>
        <w:t>ry period.  In respect of the second version, CEG does not clearly state its implications for the risk free rate and the market risk premium</w:t>
      </w:r>
      <w:r w:rsidR="00CA439E">
        <w:rPr>
          <w:rFonts w:ascii="Times New Roman" w:hAnsi="Times New Roman" w:cs="Times New Roman"/>
          <w:sz w:val="24"/>
          <w:szCs w:val="24"/>
        </w:rPr>
        <w:t>,</w:t>
      </w:r>
      <w:r w:rsidR="005A49DB">
        <w:rPr>
          <w:rFonts w:ascii="Times New Roman" w:hAnsi="Times New Roman" w:cs="Times New Roman"/>
          <w:sz w:val="24"/>
          <w:szCs w:val="24"/>
        </w:rPr>
        <w:t xml:space="preserve"> and refers only to it admitting values for these rates that are averaged over a relatively long period</w:t>
      </w:r>
      <w:r w:rsidR="006B2D7A">
        <w:rPr>
          <w:rFonts w:ascii="Times New Roman" w:hAnsi="Times New Roman" w:cs="Times New Roman"/>
          <w:sz w:val="24"/>
          <w:szCs w:val="24"/>
        </w:rPr>
        <w:t xml:space="preserve"> so that the first version of the Present Value principle is satisfied on average over the life of the regulated assets rather than for each cycle</w:t>
      </w:r>
      <w:r w:rsidR="000C377E">
        <w:rPr>
          <w:rFonts w:ascii="Times New Roman" w:hAnsi="Times New Roman" w:cs="Times New Roman"/>
          <w:sz w:val="24"/>
          <w:szCs w:val="24"/>
        </w:rPr>
        <w:t xml:space="preserve">.  CEG argues that the second version is more important and therefore averaging of the cost of equity </w:t>
      </w:r>
      <w:r w:rsidR="002F4EB7">
        <w:rPr>
          <w:rFonts w:ascii="Times New Roman" w:hAnsi="Times New Roman" w:cs="Times New Roman"/>
          <w:sz w:val="24"/>
          <w:szCs w:val="24"/>
        </w:rPr>
        <w:t xml:space="preserve">parameters </w:t>
      </w:r>
      <w:r w:rsidR="00136CEE">
        <w:rPr>
          <w:rFonts w:ascii="Times New Roman" w:hAnsi="Times New Roman" w:cs="Times New Roman"/>
          <w:sz w:val="24"/>
          <w:szCs w:val="24"/>
        </w:rPr>
        <w:t>over a long period is justified.  This approach matches that of Gregory</w:t>
      </w:r>
      <w:r w:rsidR="00704645">
        <w:rPr>
          <w:rFonts w:ascii="Times New Roman" w:hAnsi="Times New Roman" w:cs="Times New Roman"/>
          <w:sz w:val="24"/>
          <w:szCs w:val="24"/>
        </w:rPr>
        <w:t xml:space="preserve"> (2012a)</w:t>
      </w:r>
      <w:r w:rsidR="00136CEE">
        <w:rPr>
          <w:rFonts w:ascii="Times New Roman" w:hAnsi="Times New Roman" w:cs="Times New Roman"/>
          <w:sz w:val="24"/>
          <w:szCs w:val="24"/>
        </w:rPr>
        <w:t>, as discussed in the previous section, although the rationale for using the historical average risk free rate is different.</w:t>
      </w:r>
    </w:p>
    <w:p w:rsidR="00043BCA" w:rsidRDefault="00043BCA" w:rsidP="00D66208">
      <w:pPr>
        <w:spacing w:after="0" w:line="360" w:lineRule="auto"/>
        <w:jc w:val="both"/>
        <w:rPr>
          <w:rFonts w:ascii="Times New Roman" w:hAnsi="Times New Roman" w:cs="Times New Roman"/>
          <w:sz w:val="24"/>
          <w:szCs w:val="24"/>
        </w:rPr>
      </w:pPr>
    </w:p>
    <w:p w:rsidR="00043BCA" w:rsidRDefault="000C377E"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agree that these two versions </w:t>
      </w:r>
      <w:r w:rsidR="00136CEE">
        <w:rPr>
          <w:rFonts w:ascii="Times New Roman" w:hAnsi="Times New Roman" w:cs="Times New Roman"/>
          <w:sz w:val="24"/>
          <w:szCs w:val="24"/>
        </w:rPr>
        <w:t xml:space="preserve">of the Present Value principle </w:t>
      </w:r>
      <w:r>
        <w:rPr>
          <w:rFonts w:ascii="Times New Roman" w:hAnsi="Times New Roman" w:cs="Times New Roman"/>
          <w:sz w:val="24"/>
          <w:szCs w:val="24"/>
        </w:rPr>
        <w:t xml:space="preserve">exist, </w:t>
      </w:r>
      <w:r w:rsidR="00043BCA">
        <w:rPr>
          <w:rFonts w:ascii="Times New Roman" w:hAnsi="Times New Roman" w:cs="Times New Roman"/>
          <w:sz w:val="24"/>
          <w:szCs w:val="24"/>
        </w:rPr>
        <w:t xml:space="preserve">with the first version merely being that one used by a regulator to </w:t>
      </w:r>
      <w:proofErr w:type="spellStart"/>
      <w:r w:rsidR="00043BCA">
        <w:rPr>
          <w:rFonts w:ascii="Times New Roman" w:hAnsi="Times New Roman" w:cs="Times New Roman"/>
          <w:sz w:val="24"/>
          <w:szCs w:val="24"/>
        </w:rPr>
        <w:t>operationalise</w:t>
      </w:r>
      <w:proofErr w:type="spellEnd"/>
      <w:r w:rsidR="00043BCA">
        <w:rPr>
          <w:rFonts w:ascii="Times New Roman" w:hAnsi="Times New Roman" w:cs="Times New Roman"/>
          <w:sz w:val="24"/>
          <w:szCs w:val="24"/>
        </w:rPr>
        <w:t xml:space="preserve"> the second version.  I also agree that</w:t>
      </w:r>
      <w:r>
        <w:rPr>
          <w:rFonts w:ascii="Times New Roman" w:hAnsi="Times New Roman" w:cs="Times New Roman"/>
          <w:sz w:val="24"/>
          <w:szCs w:val="24"/>
        </w:rPr>
        <w:t xml:space="preserve"> the second </w:t>
      </w:r>
      <w:r w:rsidR="00043BCA">
        <w:rPr>
          <w:rFonts w:ascii="Times New Roman" w:hAnsi="Times New Roman" w:cs="Times New Roman"/>
          <w:sz w:val="24"/>
          <w:szCs w:val="24"/>
        </w:rPr>
        <w:t xml:space="preserve">version </w:t>
      </w:r>
      <w:r>
        <w:rPr>
          <w:rFonts w:ascii="Times New Roman" w:hAnsi="Times New Roman" w:cs="Times New Roman"/>
          <w:sz w:val="24"/>
          <w:szCs w:val="24"/>
        </w:rPr>
        <w:t xml:space="preserve">is more </w:t>
      </w:r>
      <w:r w:rsidR="009C1C7E">
        <w:rPr>
          <w:rFonts w:ascii="Times New Roman" w:hAnsi="Times New Roman" w:cs="Times New Roman"/>
          <w:sz w:val="24"/>
          <w:szCs w:val="24"/>
        </w:rPr>
        <w:t xml:space="preserve">fundamental, and therefore more </w:t>
      </w:r>
      <w:r>
        <w:rPr>
          <w:rFonts w:ascii="Times New Roman" w:hAnsi="Times New Roman" w:cs="Times New Roman"/>
          <w:sz w:val="24"/>
          <w:szCs w:val="24"/>
        </w:rPr>
        <w:t xml:space="preserve">important, and that this </w:t>
      </w:r>
      <w:r w:rsidRPr="000C377E">
        <w:rPr>
          <w:rFonts w:ascii="Times New Roman" w:hAnsi="Times New Roman" w:cs="Times New Roman"/>
          <w:i/>
          <w:sz w:val="24"/>
          <w:szCs w:val="24"/>
        </w:rPr>
        <w:t>might</w:t>
      </w:r>
      <w:r>
        <w:rPr>
          <w:rFonts w:ascii="Times New Roman" w:hAnsi="Times New Roman" w:cs="Times New Roman"/>
          <w:sz w:val="24"/>
          <w:szCs w:val="24"/>
        </w:rPr>
        <w:t xml:space="preserve"> lead to favouring an estimate of the MRP that was appropriate </w:t>
      </w:r>
      <w:r w:rsidR="00043BCA">
        <w:rPr>
          <w:rFonts w:ascii="Times New Roman" w:hAnsi="Times New Roman" w:cs="Times New Roman"/>
          <w:sz w:val="24"/>
          <w:szCs w:val="24"/>
        </w:rPr>
        <w:t xml:space="preserve">on average </w:t>
      </w:r>
      <w:r>
        <w:rPr>
          <w:rFonts w:ascii="Times New Roman" w:hAnsi="Times New Roman" w:cs="Times New Roman"/>
          <w:sz w:val="24"/>
          <w:szCs w:val="24"/>
        </w:rPr>
        <w:t xml:space="preserve">over the life of the regulated assets </w:t>
      </w:r>
      <w:r w:rsidR="00043BCA">
        <w:rPr>
          <w:rFonts w:ascii="Times New Roman" w:hAnsi="Times New Roman" w:cs="Times New Roman"/>
          <w:sz w:val="24"/>
          <w:szCs w:val="24"/>
        </w:rPr>
        <w:t xml:space="preserve">but would </w:t>
      </w:r>
      <w:r>
        <w:rPr>
          <w:rFonts w:ascii="Times New Roman" w:hAnsi="Times New Roman" w:cs="Times New Roman"/>
          <w:sz w:val="24"/>
          <w:szCs w:val="24"/>
        </w:rPr>
        <w:t>be too high for some regulatory cycles and too low for others.  This is consistent with my views in Lally (2012b, page 26)</w:t>
      </w:r>
      <w:r w:rsidR="00043BCA">
        <w:rPr>
          <w:rFonts w:ascii="Times New Roman" w:hAnsi="Times New Roman" w:cs="Times New Roman"/>
          <w:sz w:val="24"/>
          <w:szCs w:val="24"/>
        </w:rPr>
        <w:t xml:space="preserve"> and arises from the fact that the MRP is unobservable</w:t>
      </w:r>
      <w:r w:rsidR="001B6DE8">
        <w:rPr>
          <w:rFonts w:ascii="Times New Roman" w:hAnsi="Times New Roman" w:cs="Times New Roman"/>
          <w:sz w:val="24"/>
          <w:szCs w:val="24"/>
        </w:rPr>
        <w:t xml:space="preserve">.  However </w:t>
      </w:r>
      <w:r w:rsidR="00043BCA">
        <w:rPr>
          <w:rFonts w:ascii="Times New Roman" w:hAnsi="Times New Roman" w:cs="Times New Roman"/>
          <w:sz w:val="24"/>
          <w:szCs w:val="24"/>
        </w:rPr>
        <w:t>this</w:t>
      </w:r>
      <w:r w:rsidR="001B6DE8">
        <w:rPr>
          <w:rFonts w:ascii="Times New Roman" w:hAnsi="Times New Roman" w:cs="Times New Roman"/>
          <w:sz w:val="24"/>
          <w:szCs w:val="24"/>
        </w:rPr>
        <w:t xml:space="preserve"> does not support averaging of the risk free rate over a long historical period</w:t>
      </w:r>
      <w:r w:rsidR="00043BCA">
        <w:rPr>
          <w:rFonts w:ascii="Times New Roman" w:hAnsi="Times New Roman" w:cs="Times New Roman"/>
          <w:sz w:val="24"/>
          <w:szCs w:val="24"/>
        </w:rPr>
        <w:t xml:space="preserve"> because the risk free rate (unlike the MRP) is observable</w:t>
      </w:r>
      <w:r w:rsidR="001B6DE8">
        <w:rPr>
          <w:rFonts w:ascii="Times New Roman" w:hAnsi="Times New Roman" w:cs="Times New Roman"/>
          <w:sz w:val="24"/>
          <w:szCs w:val="24"/>
        </w:rPr>
        <w:t xml:space="preserve">.  </w:t>
      </w:r>
      <w:r w:rsidR="002F4EB7">
        <w:rPr>
          <w:rFonts w:ascii="Times New Roman" w:hAnsi="Times New Roman" w:cs="Times New Roman"/>
          <w:sz w:val="24"/>
          <w:szCs w:val="24"/>
        </w:rPr>
        <w:t>CEG (2012</w:t>
      </w:r>
      <w:r w:rsidR="007E6B57">
        <w:rPr>
          <w:rFonts w:ascii="Times New Roman" w:hAnsi="Times New Roman" w:cs="Times New Roman"/>
          <w:sz w:val="24"/>
          <w:szCs w:val="24"/>
        </w:rPr>
        <w:t>a</w:t>
      </w:r>
      <w:r w:rsidR="002F4EB7">
        <w:rPr>
          <w:rFonts w:ascii="Times New Roman" w:hAnsi="Times New Roman" w:cs="Times New Roman"/>
          <w:sz w:val="24"/>
          <w:szCs w:val="24"/>
        </w:rPr>
        <w:t xml:space="preserve">) argues that the resulting errors in the risk free rate that is used tend to offset the resulting errors in the MRP estimate.  However, if this is </w:t>
      </w:r>
      <w:r w:rsidR="00311956">
        <w:rPr>
          <w:rFonts w:ascii="Times New Roman" w:hAnsi="Times New Roman" w:cs="Times New Roman"/>
          <w:sz w:val="24"/>
          <w:szCs w:val="24"/>
        </w:rPr>
        <w:t xml:space="preserve">believed to be </w:t>
      </w:r>
      <w:r w:rsidR="002F4EB7">
        <w:rPr>
          <w:rFonts w:ascii="Times New Roman" w:hAnsi="Times New Roman" w:cs="Times New Roman"/>
          <w:sz w:val="24"/>
          <w:szCs w:val="24"/>
        </w:rPr>
        <w:t xml:space="preserve">true, the appropriate course of action would be to add these two estimates to produce an estimate of </w:t>
      </w:r>
      <w:proofErr w:type="gramStart"/>
      <w:r w:rsidR="002F4EB7" w:rsidRPr="002339B4">
        <w:rPr>
          <w:rFonts w:ascii="Times New Roman" w:hAnsi="Times New Roman" w:cs="Times New Roman"/>
          <w:i/>
          <w:sz w:val="24"/>
          <w:szCs w:val="24"/>
        </w:rPr>
        <w:t>E</w:t>
      </w:r>
      <w:r w:rsidR="002F4EB7">
        <w:rPr>
          <w:rFonts w:ascii="Times New Roman" w:hAnsi="Times New Roman" w:cs="Times New Roman"/>
          <w:sz w:val="24"/>
          <w:szCs w:val="24"/>
        </w:rPr>
        <w:t>(</w:t>
      </w:r>
      <w:proofErr w:type="spellStart"/>
      <w:proofErr w:type="gramEnd"/>
      <w:r w:rsidR="002F4EB7" w:rsidRPr="002339B4">
        <w:rPr>
          <w:rFonts w:ascii="Times New Roman" w:hAnsi="Times New Roman" w:cs="Times New Roman"/>
          <w:i/>
          <w:sz w:val="24"/>
          <w:szCs w:val="24"/>
        </w:rPr>
        <w:t>R</w:t>
      </w:r>
      <w:r w:rsidR="002F4EB7" w:rsidRPr="002339B4">
        <w:rPr>
          <w:rFonts w:ascii="Times New Roman" w:hAnsi="Times New Roman" w:cs="Times New Roman"/>
          <w:i/>
          <w:sz w:val="24"/>
          <w:szCs w:val="24"/>
          <w:vertAlign w:val="subscript"/>
        </w:rPr>
        <w:t>m</w:t>
      </w:r>
      <w:proofErr w:type="spellEnd"/>
      <w:r w:rsidR="002F4EB7">
        <w:rPr>
          <w:rFonts w:ascii="Times New Roman" w:hAnsi="Times New Roman" w:cs="Times New Roman"/>
          <w:sz w:val="24"/>
          <w:szCs w:val="24"/>
        </w:rPr>
        <w:t>) in the CAPM, as shown in equation (1)</w:t>
      </w:r>
      <w:r w:rsidR="002339B4">
        <w:rPr>
          <w:rFonts w:ascii="Times New Roman" w:hAnsi="Times New Roman" w:cs="Times New Roman"/>
          <w:sz w:val="24"/>
          <w:szCs w:val="24"/>
        </w:rPr>
        <w:t xml:space="preserve">, and to couple this parameter estimate with the risk free rate prevailing at the commencement of the regulatory cycle.  Such a process corresponds to Wright’s </w:t>
      </w:r>
      <w:r w:rsidR="00E26486">
        <w:rPr>
          <w:rFonts w:ascii="Times New Roman" w:hAnsi="Times New Roman" w:cs="Times New Roman"/>
          <w:sz w:val="24"/>
          <w:szCs w:val="24"/>
        </w:rPr>
        <w:t xml:space="preserve">preferred </w:t>
      </w:r>
      <w:r w:rsidR="002339B4">
        <w:rPr>
          <w:rFonts w:ascii="Times New Roman" w:hAnsi="Times New Roman" w:cs="Times New Roman"/>
          <w:sz w:val="24"/>
          <w:szCs w:val="24"/>
        </w:rPr>
        <w:t xml:space="preserve">strategy, which is consistent with the Present Value principle.  </w:t>
      </w:r>
      <w:r w:rsidR="002F4EB7">
        <w:rPr>
          <w:rFonts w:ascii="Times New Roman" w:hAnsi="Times New Roman" w:cs="Times New Roman"/>
          <w:sz w:val="24"/>
          <w:szCs w:val="24"/>
        </w:rPr>
        <w:t xml:space="preserve"> </w:t>
      </w:r>
      <w:r w:rsidR="005B6D71">
        <w:rPr>
          <w:rFonts w:ascii="Times New Roman" w:hAnsi="Times New Roman" w:cs="Times New Roman"/>
          <w:sz w:val="24"/>
          <w:szCs w:val="24"/>
        </w:rPr>
        <w:t xml:space="preserve">  </w:t>
      </w:r>
    </w:p>
    <w:p w:rsidR="00640C99" w:rsidRDefault="00640C99" w:rsidP="00D66208">
      <w:pPr>
        <w:spacing w:after="0" w:line="360" w:lineRule="auto"/>
        <w:jc w:val="both"/>
        <w:rPr>
          <w:rFonts w:ascii="Times New Roman" w:hAnsi="Times New Roman" w:cs="Times New Roman"/>
          <w:sz w:val="24"/>
          <w:szCs w:val="24"/>
        </w:rPr>
      </w:pPr>
    </w:p>
    <w:p w:rsidR="00AA47E5" w:rsidRDefault="001B6DE8"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w:t>
      </w:r>
      <w:r w:rsidR="00A64A39">
        <w:rPr>
          <w:rFonts w:ascii="Times New Roman" w:hAnsi="Times New Roman" w:cs="Times New Roman"/>
          <w:sz w:val="24"/>
          <w:szCs w:val="24"/>
        </w:rPr>
        <w:t xml:space="preserve">these points, </w:t>
      </w:r>
      <w:r>
        <w:rPr>
          <w:rFonts w:ascii="Times New Roman" w:hAnsi="Times New Roman" w:cs="Times New Roman"/>
          <w:sz w:val="24"/>
          <w:szCs w:val="24"/>
        </w:rPr>
        <w:t xml:space="preserve">consider a regulatory situation in which assets with a life of </w:t>
      </w:r>
      <w:r w:rsidR="00B05DDC">
        <w:rPr>
          <w:rFonts w:ascii="Times New Roman" w:hAnsi="Times New Roman" w:cs="Times New Roman"/>
          <w:sz w:val="24"/>
          <w:szCs w:val="24"/>
        </w:rPr>
        <w:t xml:space="preserve">50 </w:t>
      </w:r>
      <w:r>
        <w:rPr>
          <w:rFonts w:ascii="Times New Roman" w:hAnsi="Times New Roman" w:cs="Times New Roman"/>
          <w:sz w:val="24"/>
          <w:szCs w:val="24"/>
        </w:rPr>
        <w:t xml:space="preserve">years have just been purchased, the regulatory cycle is five years, </w:t>
      </w:r>
      <w:r w:rsidR="00D12A59">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B23BAE">
        <w:rPr>
          <w:rFonts w:ascii="Times New Roman" w:hAnsi="Times New Roman" w:cs="Times New Roman"/>
          <w:sz w:val="24"/>
          <w:szCs w:val="24"/>
        </w:rPr>
        <w:t>risk free rate moves over time</w:t>
      </w:r>
      <w:r w:rsidR="00D12A59">
        <w:rPr>
          <w:rFonts w:ascii="Times New Roman" w:hAnsi="Times New Roman" w:cs="Times New Roman"/>
          <w:sz w:val="24"/>
          <w:szCs w:val="24"/>
        </w:rPr>
        <w:t xml:space="preserve">.  In addition, </w:t>
      </w:r>
      <w:r w:rsidR="00B23BAE">
        <w:rPr>
          <w:rFonts w:ascii="Times New Roman" w:hAnsi="Times New Roman" w:cs="Times New Roman"/>
          <w:sz w:val="24"/>
          <w:szCs w:val="24"/>
        </w:rPr>
        <w:t xml:space="preserve">the (unobservable) </w:t>
      </w:r>
      <w:r>
        <w:rPr>
          <w:rFonts w:ascii="Times New Roman" w:hAnsi="Times New Roman" w:cs="Times New Roman"/>
          <w:sz w:val="24"/>
          <w:szCs w:val="24"/>
        </w:rPr>
        <w:t xml:space="preserve">MRP </w:t>
      </w:r>
      <w:r w:rsidR="00F667E3">
        <w:rPr>
          <w:rFonts w:ascii="Times New Roman" w:hAnsi="Times New Roman" w:cs="Times New Roman"/>
          <w:sz w:val="24"/>
          <w:szCs w:val="24"/>
        </w:rPr>
        <w:t xml:space="preserve">may move </w:t>
      </w:r>
      <w:r w:rsidR="00B23BAE">
        <w:rPr>
          <w:rFonts w:ascii="Times New Roman" w:hAnsi="Times New Roman" w:cs="Times New Roman"/>
          <w:sz w:val="24"/>
          <w:szCs w:val="24"/>
        </w:rPr>
        <w:t xml:space="preserve">over time and all that is </w:t>
      </w:r>
      <w:r w:rsidR="00043EBE">
        <w:rPr>
          <w:rFonts w:ascii="Times New Roman" w:hAnsi="Times New Roman" w:cs="Times New Roman"/>
          <w:sz w:val="24"/>
          <w:szCs w:val="24"/>
        </w:rPr>
        <w:t xml:space="preserve">known about it is that it is </w:t>
      </w:r>
      <w:r w:rsidR="006F5290">
        <w:rPr>
          <w:rFonts w:ascii="Times New Roman" w:hAnsi="Times New Roman" w:cs="Times New Roman"/>
          <w:sz w:val="24"/>
          <w:szCs w:val="24"/>
        </w:rPr>
        <w:t>drawn</w:t>
      </w:r>
      <w:r w:rsidR="00EF1C65">
        <w:rPr>
          <w:rFonts w:ascii="Times New Roman" w:hAnsi="Times New Roman" w:cs="Times New Roman"/>
          <w:sz w:val="24"/>
          <w:szCs w:val="24"/>
        </w:rPr>
        <w:t xml:space="preserve"> from a distribution with </w:t>
      </w:r>
      <w:r w:rsidR="0099107B">
        <w:rPr>
          <w:rFonts w:ascii="Times New Roman" w:hAnsi="Times New Roman" w:cs="Times New Roman"/>
          <w:sz w:val="24"/>
          <w:szCs w:val="24"/>
        </w:rPr>
        <w:t xml:space="preserve">a </w:t>
      </w:r>
      <w:r w:rsidR="00EF1C65">
        <w:rPr>
          <w:rFonts w:ascii="Times New Roman" w:hAnsi="Times New Roman" w:cs="Times New Roman"/>
          <w:sz w:val="24"/>
          <w:szCs w:val="24"/>
        </w:rPr>
        <w:t xml:space="preserve">mean </w:t>
      </w:r>
      <w:r w:rsidR="0099107B">
        <w:rPr>
          <w:rFonts w:ascii="Times New Roman" w:hAnsi="Times New Roman" w:cs="Times New Roman"/>
          <w:sz w:val="24"/>
          <w:szCs w:val="24"/>
        </w:rPr>
        <w:t xml:space="preserve">believed to be </w:t>
      </w:r>
      <w:r w:rsidR="00EF1C65">
        <w:rPr>
          <w:rFonts w:ascii="Times New Roman" w:hAnsi="Times New Roman" w:cs="Times New Roman"/>
          <w:sz w:val="24"/>
          <w:szCs w:val="24"/>
        </w:rPr>
        <w:t xml:space="preserve">6% </w:t>
      </w:r>
      <w:r w:rsidR="00311956">
        <w:rPr>
          <w:rFonts w:ascii="Times New Roman" w:hAnsi="Times New Roman" w:cs="Times New Roman"/>
          <w:sz w:val="24"/>
          <w:szCs w:val="24"/>
        </w:rPr>
        <w:t>based upon the historical average outcome (</w:t>
      </w:r>
      <w:r w:rsidR="00D12A59">
        <w:rPr>
          <w:rFonts w:ascii="Times New Roman" w:hAnsi="Times New Roman" w:cs="Times New Roman"/>
          <w:sz w:val="24"/>
          <w:szCs w:val="24"/>
        </w:rPr>
        <w:t xml:space="preserve">a historical </w:t>
      </w:r>
      <w:r w:rsidR="00311956">
        <w:rPr>
          <w:rFonts w:ascii="Times New Roman" w:hAnsi="Times New Roman" w:cs="Times New Roman"/>
          <w:sz w:val="24"/>
          <w:szCs w:val="24"/>
        </w:rPr>
        <w:t xml:space="preserve">average market return of 11% and </w:t>
      </w:r>
      <w:r w:rsidR="00D12A59">
        <w:rPr>
          <w:rFonts w:ascii="Times New Roman" w:hAnsi="Times New Roman" w:cs="Times New Roman"/>
          <w:sz w:val="24"/>
          <w:szCs w:val="24"/>
        </w:rPr>
        <w:t>a historical average</w:t>
      </w:r>
      <w:r w:rsidR="00311956">
        <w:rPr>
          <w:rFonts w:ascii="Times New Roman" w:hAnsi="Times New Roman" w:cs="Times New Roman"/>
          <w:sz w:val="24"/>
          <w:szCs w:val="24"/>
        </w:rPr>
        <w:t xml:space="preserve"> risk free rate of 5%).</w:t>
      </w:r>
      <w:r w:rsidR="00EF1C65">
        <w:rPr>
          <w:rFonts w:ascii="Times New Roman" w:hAnsi="Times New Roman" w:cs="Times New Roman"/>
          <w:sz w:val="24"/>
          <w:szCs w:val="24"/>
        </w:rPr>
        <w:t xml:space="preserve">  </w:t>
      </w:r>
      <w:r w:rsidR="00AA47E5">
        <w:rPr>
          <w:rFonts w:ascii="Times New Roman" w:hAnsi="Times New Roman" w:cs="Times New Roman"/>
          <w:sz w:val="24"/>
          <w:szCs w:val="24"/>
        </w:rPr>
        <w:t xml:space="preserve">One possible strategy </w:t>
      </w:r>
      <w:r w:rsidR="00D12A59">
        <w:rPr>
          <w:rFonts w:ascii="Times New Roman" w:hAnsi="Times New Roman" w:cs="Times New Roman"/>
          <w:sz w:val="24"/>
          <w:szCs w:val="24"/>
        </w:rPr>
        <w:t xml:space="preserve">for estimating the cost of equity on asset </w:t>
      </w:r>
      <w:r w:rsidR="00D12A59" w:rsidRPr="00D12A59">
        <w:rPr>
          <w:rFonts w:ascii="Times New Roman" w:hAnsi="Times New Roman" w:cs="Times New Roman"/>
          <w:i/>
          <w:sz w:val="24"/>
          <w:szCs w:val="24"/>
        </w:rPr>
        <w:t>j</w:t>
      </w:r>
      <w:r w:rsidR="00AA47E5">
        <w:rPr>
          <w:rFonts w:ascii="Times New Roman" w:hAnsi="Times New Roman" w:cs="Times New Roman"/>
          <w:sz w:val="24"/>
          <w:szCs w:val="24"/>
        </w:rPr>
        <w:t xml:space="preserve">, which I denote option 1, would be to use the observed risk free rate at the commencement </w:t>
      </w:r>
      <w:r w:rsidR="00AA47E5">
        <w:rPr>
          <w:rFonts w:ascii="Times New Roman" w:hAnsi="Times New Roman" w:cs="Times New Roman"/>
          <w:sz w:val="24"/>
          <w:szCs w:val="24"/>
        </w:rPr>
        <w:lastRenderedPageBreak/>
        <w:t>of each regulatory cycle</w:t>
      </w:r>
      <w:r w:rsidR="000A096B">
        <w:rPr>
          <w:rFonts w:ascii="Times New Roman" w:hAnsi="Times New Roman" w:cs="Times New Roman"/>
          <w:sz w:val="24"/>
          <w:szCs w:val="24"/>
        </w:rPr>
        <w:t xml:space="preserve"> (</w:t>
      </w:r>
      <w:r w:rsidR="000A096B" w:rsidRPr="000A096B">
        <w:rPr>
          <w:rFonts w:ascii="Times New Roman" w:hAnsi="Times New Roman" w:cs="Times New Roman"/>
          <w:i/>
          <w:sz w:val="24"/>
          <w:szCs w:val="24"/>
        </w:rPr>
        <w:t>R</w:t>
      </w:r>
      <w:r w:rsidR="000A096B" w:rsidRPr="000A096B">
        <w:rPr>
          <w:rFonts w:ascii="Times New Roman" w:hAnsi="Times New Roman" w:cs="Times New Roman"/>
          <w:i/>
          <w:sz w:val="24"/>
          <w:szCs w:val="24"/>
          <w:vertAlign w:val="subscript"/>
        </w:rPr>
        <w:t>f0</w:t>
      </w:r>
      <w:r w:rsidR="000A096B">
        <w:rPr>
          <w:rFonts w:ascii="Times New Roman" w:hAnsi="Times New Roman" w:cs="Times New Roman"/>
          <w:sz w:val="24"/>
          <w:szCs w:val="24"/>
        </w:rPr>
        <w:t>)</w:t>
      </w:r>
      <w:r w:rsidR="00AA47E5">
        <w:rPr>
          <w:rFonts w:ascii="Times New Roman" w:hAnsi="Times New Roman" w:cs="Times New Roman"/>
          <w:sz w:val="24"/>
          <w:szCs w:val="24"/>
        </w:rPr>
        <w:t xml:space="preserve"> with the MR</w:t>
      </w:r>
      <w:r w:rsidR="000A096B">
        <w:rPr>
          <w:rFonts w:ascii="Times New Roman" w:hAnsi="Times New Roman" w:cs="Times New Roman"/>
          <w:sz w:val="24"/>
          <w:szCs w:val="24"/>
        </w:rPr>
        <w:t>P estimate of 6%</w:t>
      </w:r>
      <w:r w:rsidR="00AA47E5">
        <w:rPr>
          <w:rFonts w:ascii="Times New Roman" w:hAnsi="Times New Roman" w:cs="Times New Roman"/>
          <w:sz w:val="24"/>
          <w:szCs w:val="24"/>
        </w:rPr>
        <w:t xml:space="preserve">.  A second possibility, being Wright’s </w:t>
      </w:r>
      <w:r w:rsidR="00E26486">
        <w:rPr>
          <w:rFonts w:ascii="Times New Roman" w:hAnsi="Times New Roman" w:cs="Times New Roman"/>
          <w:sz w:val="24"/>
          <w:szCs w:val="24"/>
        </w:rPr>
        <w:t>preferred strategy</w:t>
      </w:r>
      <w:r w:rsidR="00AA47E5">
        <w:rPr>
          <w:rFonts w:ascii="Times New Roman" w:hAnsi="Times New Roman" w:cs="Times New Roman"/>
          <w:sz w:val="24"/>
          <w:szCs w:val="24"/>
        </w:rPr>
        <w:t>, would be to use the observed risk free rate at the commencement of each regulatory cycle</w:t>
      </w:r>
      <w:r w:rsidR="000A096B">
        <w:rPr>
          <w:rFonts w:ascii="Times New Roman" w:hAnsi="Times New Roman" w:cs="Times New Roman"/>
          <w:sz w:val="24"/>
          <w:szCs w:val="24"/>
        </w:rPr>
        <w:t xml:space="preserve"> (</w:t>
      </w:r>
      <w:r w:rsidR="000A096B" w:rsidRPr="000A096B">
        <w:rPr>
          <w:rFonts w:ascii="Times New Roman" w:hAnsi="Times New Roman" w:cs="Times New Roman"/>
          <w:i/>
          <w:sz w:val="24"/>
          <w:szCs w:val="24"/>
        </w:rPr>
        <w:t>R</w:t>
      </w:r>
      <w:r w:rsidR="000A096B" w:rsidRPr="000A096B">
        <w:rPr>
          <w:rFonts w:ascii="Times New Roman" w:hAnsi="Times New Roman" w:cs="Times New Roman"/>
          <w:i/>
          <w:sz w:val="24"/>
          <w:szCs w:val="24"/>
          <w:vertAlign w:val="subscript"/>
        </w:rPr>
        <w:t>f0</w:t>
      </w:r>
      <w:r w:rsidR="000A096B">
        <w:rPr>
          <w:rFonts w:ascii="Times New Roman" w:hAnsi="Times New Roman" w:cs="Times New Roman"/>
          <w:sz w:val="24"/>
          <w:szCs w:val="24"/>
        </w:rPr>
        <w:t>)</w:t>
      </w:r>
      <w:r w:rsidR="00AA47E5">
        <w:rPr>
          <w:rFonts w:ascii="Times New Roman" w:hAnsi="Times New Roman" w:cs="Times New Roman"/>
          <w:sz w:val="24"/>
          <w:szCs w:val="24"/>
        </w:rPr>
        <w:t xml:space="preserve"> with the </w:t>
      </w:r>
      <w:proofErr w:type="gramStart"/>
      <w:r w:rsidR="00AA47E5" w:rsidRPr="00AA47E5">
        <w:rPr>
          <w:rFonts w:ascii="Times New Roman" w:hAnsi="Times New Roman" w:cs="Times New Roman"/>
          <w:i/>
          <w:sz w:val="24"/>
          <w:szCs w:val="24"/>
        </w:rPr>
        <w:t>E</w:t>
      </w:r>
      <w:r w:rsidR="00AA47E5">
        <w:rPr>
          <w:rFonts w:ascii="Times New Roman" w:hAnsi="Times New Roman" w:cs="Times New Roman"/>
          <w:sz w:val="24"/>
          <w:szCs w:val="24"/>
        </w:rPr>
        <w:t>(</w:t>
      </w:r>
      <w:proofErr w:type="spellStart"/>
      <w:proofErr w:type="gramEnd"/>
      <w:r w:rsidR="00AA47E5" w:rsidRPr="00AA47E5">
        <w:rPr>
          <w:rFonts w:ascii="Times New Roman" w:hAnsi="Times New Roman" w:cs="Times New Roman"/>
          <w:i/>
          <w:sz w:val="24"/>
          <w:szCs w:val="24"/>
        </w:rPr>
        <w:t>R</w:t>
      </w:r>
      <w:r w:rsidR="00AA47E5" w:rsidRPr="00AA47E5">
        <w:rPr>
          <w:rFonts w:ascii="Times New Roman" w:hAnsi="Times New Roman" w:cs="Times New Roman"/>
          <w:i/>
          <w:sz w:val="24"/>
          <w:szCs w:val="24"/>
          <w:vertAlign w:val="subscript"/>
        </w:rPr>
        <w:t>m</w:t>
      </w:r>
      <w:proofErr w:type="spellEnd"/>
      <w:r w:rsidR="00AA47E5">
        <w:rPr>
          <w:rFonts w:ascii="Times New Roman" w:hAnsi="Times New Roman" w:cs="Times New Roman"/>
          <w:sz w:val="24"/>
          <w:szCs w:val="24"/>
        </w:rPr>
        <w:t>) esti</w:t>
      </w:r>
      <w:r w:rsidR="000A096B">
        <w:rPr>
          <w:rFonts w:ascii="Times New Roman" w:hAnsi="Times New Roman" w:cs="Times New Roman"/>
          <w:sz w:val="24"/>
          <w:szCs w:val="24"/>
        </w:rPr>
        <w:t>mate of 11%</w:t>
      </w:r>
      <w:r w:rsidR="00AA47E5">
        <w:rPr>
          <w:rFonts w:ascii="Times New Roman" w:hAnsi="Times New Roman" w:cs="Times New Roman"/>
          <w:sz w:val="24"/>
          <w:szCs w:val="24"/>
        </w:rPr>
        <w:t>.</w:t>
      </w:r>
      <w:r w:rsidR="00E33C74">
        <w:rPr>
          <w:rStyle w:val="FootnoteReference"/>
          <w:rFonts w:ascii="Times New Roman" w:hAnsi="Times New Roman" w:cs="Times New Roman"/>
          <w:sz w:val="24"/>
          <w:szCs w:val="24"/>
        </w:rPr>
        <w:footnoteReference w:id="3"/>
      </w:r>
      <w:r w:rsidR="00AA47E5">
        <w:rPr>
          <w:rFonts w:ascii="Times New Roman" w:hAnsi="Times New Roman" w:cs="Times New Roman"/>
          <w:sz w:val="24"/>
          <w:szCs w:val="24"/>
        </w:rPr>
        <w:t xml:space="preserve">  The</w:t>
      </w:r>
      <w:r w:rsidR="00704645">
        <w:rPr>
          <w:rFonts w:ascii="Times New Roman" w:hAnsi="Times New Roman" w:cs="Times New Roman"/>
          <w:sz w:val="24"/>
          <w:szCs w:val="24"/>
        </w:rPr>
        <w:t xml:space="preserve"> third possibility, being CEG’s proposal</w:t>
      </w:r>
      <w:r w:rsidR="00AA47E5">
        <w:rPr>
          <w:rFonts w:ascii="Times New Roman" w:hAnsi="Times New Roman" w:cs="Times New Roman"/>
          <w:sz w:val="24"/>
          <w:szCs w:val="24"/>
        </w:rPr>
        <w:t>, is to use the historical average risk free rate of 5% along with the historical average MRP estimate of 6</w:t>
      </w:r>
      <w:r w:rsidR="000A096B">
        <w:rPr>
          <w:rFonts w:ascii="Times New Roman" w:hAnsi="Times New Roman" w:cs="Times New Roman"/>
          <w:sz w:val="24"/>
          <w:szCs w:val="24"/>
        </w:rPr>
        <w:t>%:</w:t>
      </w:r>
      <w:r w:rsidR="00704645">
        <w:rPr>
          <w:rStyle w:val="FootnoteReference"/>
          <w:rFonts w:ascii="Times New Roman" w:hAnsi="Times New Roman" w:cs="Times New Roman"/>
          <w:sz w:val="24"/>
          <w:szCs w:val="24"/>
        </w:rPr>
        <w:footnoteReference w:id="4"/>
      </w:r>
      <w:r w:rsidR="00AA47E5">
        <w:rPr>
          <w:rFonts w:ascii="Times New Roman" w:hAnsi="Times New Roman" w:cs="Times New Roman"/>
          <w:sz w:val="24"/>
          <w:szCs w:val="24"/>
        </w:rPr>
        <w:t xml:space="preserve"> </w:t>
      </w:r>
    </w:p>
    <w:p w:rsidR="000A096B" w:rsidRDefault="000A096B" w:rsidP="00D66208">
      <w:pPr>
        <w:spacing w:after="0" w:line="360" w:lineRule="auto"/>
        <w:jc w:val="both"/>
        <w:rPr>
          <w:rFonts w:ascii="Times New Roman" w:hAnsi="Times New Roman" w:cs="Times New Roman"/>
          <w:sz w:val="24"/>
          <w:szCs w:val="24"/>
        </w:rPr>
      </w:pPr>
    </w:p>
    <w:p w:rsidR="00AA47E5" w:rsidRDefault="00AA47E5" w:rsidP="00AA47E5">
      <w:pPr>
        <w:spacing w:after="0" w:line="360" w:lineRule="auto"/>
        <w:ind w:left="2552" w:hanging="2552"/>
        <w:jc w:val="both"/>
        <w:rPr>
          <w:rFonts w:ascii="Times New Roman" w:hAnsi="Times New Roman" w:cs="Times New Roman"/>
          <w:sz w:val="24"/>
          <w:szCs w:val="24"/>
        </w:rPr>
      </w:pPr>
      <w:r>
        <w:rPr>
          <w:b/>
          <w:bCs/>
          <w:position w:val="-14"/>
        </w:rPr>
        <w:tab/>
      </w:r>
      <w:r w:rsidR="00D12A59" w:rsidRPr="001425C9">
        <w:rPr>
          <w:b/>
          <w:bCs/>
          <w:position w:val="-14"/>
        </w:rPr>
        <w:object w:dxaOrig="3320" w:dyaOrig="420">
          <v:shape id="_x0000_i1031" type="#_x0000_t75" style="width:165.9pt;height:20.65pt" o:ole="">
            <v:imagedata r:id="rId20" o:title=""/>
          </v:shape>
          <o:OLEObject Type="Embed" ProgID="Equation.3" ShapeID="_x0000_i1031" DrawAspect="Content" ObjectID="_1423918346" r:id="rId21"/>
        </w:object>
      </w:r>
    </w:p>
    <w:p w:rsidR="00AA47E5" w:rsidRDefault="00AA47E5" w:rsidP="00AA47E5">
      <w:pPr>
        <w:spacing w:after="0" w:line="360" w:lineRule="auto"/>
        <w:ind w:left="2552" w:hanging="2552"/>
        <w:jc w:val="both"/>
        <w:rPr>
          <w:rFonts w:ascii="Times New Roman" w:hAnsi="Times New Roman" w:cs="Times New Roman"/>
          <w:sz w:val="24"/>
          <w:szCs w:val="24"/>
        </w:rPr>
      </w:pPr>
      <w:r>
        <w:rPr>
          <w:b/>
          <w:bCs/>
          <w:position w:val="-14"/>
        </w:rPr>
        <w:tab/>
      </w:r>
      <w:r w:rsidR="00D12A59" w:rsidRPr="001425C9">
        <w:rPr>
          <w:b/>
          <w:bCs/>
          <w:position w:val="-14"/>
        </w:rPr>
        <w:object w:dxaOrig="3760" w:dyaOrig="420">
          <v:shape id="_x0000_i1032" type="#_x0000_t75" style="width:188.45pt;height:20.65pt" o:ole="">
            <v:imagedata r:id="rId22" o:title=""/>
          </v:shape>
          <o:OLEObject Type="Embed" ProgID="Equation.3" ShapeID="_x0000_i1032" DrawAspect="Content" ObjectID="_1423918347" r:id="rId23"/>
        </w:object>
      </w:r>
    </w:p>
    <w:p w:rsidR="00AA47E5" w:rsidRDefault="00AA47E5" w:rsidP="00AA47E5">
      <w:pPr>
        <w:spacing w:after="0" w:line="360" w:lineRule="auto"/>
        <w:ind w:left="2552" w:hanging="2552"/>
        <w:jc w:val="both"/>
        <w:rPr>
          <w:rFonts w:ascii="Times New Roman" w:hAnsi="Times New Roman" w:cs="Times New Roman"/>
          <w:sz w:val="24"/>
          <w:szCs w:val="24"/>
        </w:rPr>
      </w:pPr>
      <w:r>
        <w:rPr>
          <w:b/>
          <w:bCs/>
          <w:position w:val="-14"/>
        </w:rPr>
        <w:tab/>
      </w:r>
      <w:r w:rsidR="00D12A59" w:rsidRPr="001425C9">
        <w:rPr>
          <w:b/>
          <w:bCs/>
          <w:position w:val="-14"/>
        </w:rPr>
        <w:object w:dxaOrig="2940" w:dyaOrig="420">
          <v:shape id="_x0000_i1033" type="#_x0000_t75" style="width:147.15pt;height:20.65pt" o:ole="">
            <v:imagedata r:id="rId24" o:title=""/>
          </v:shape>
          <o:OLEObject Type="Embed" ProgID="Equation.3" ShapeID="_x0000_i1033" DrawAspect="Content" ObjectID="_1423918348" r:id="rId25"/>
        </w:object>
      </w:r>
    </w:p>
    <w:p w:rsidR="00AA47E5" w:rsidRDefault="00AA47E5" w:rsidP="00D66208">
      <w:pPr>
        <w:spacing w:after="0" w:line="360" w:lineRule="auto"/>
        <w:jc w:val="both"/>
        <w:rPr>
          <w:rFonts w:ascii="Times New Roman" w:hAnsi="Times New Roman" w:cs="Times New Roman"/>
          <w:sz w:val="24"/>
          <w:szCs w:val="24"/>
        </w:rPr>
      </w:pPr>
    </w:p>
    <w:p w:rsidR="00D12A59" w:rsidRDefault="000A096B"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which, if any, of these </w:t>
      </w:r>
      <w:r w:rsidR="0029011F">
        <w:rPr>
          <w:rFonts w:ascii="Times New Roman" w:hAnsi="Times New Roman" w:cs="Times New Roman"/>
          <w:sz w:val="24"/>
          <w:szCs w:val="24"/>
        </w:rPr>
        <w:t>approaches to estimating the cost of equity capital is</w:t>
      </w:r>
      <w:r>
        <w:rPr>
          <w:rFonts w:ascii="Times New Roman" w:hAnsi="Times New Roman" w:cs="Times New Roman"/>
          <w:sz w:val="24"/>
          <w:szCs w:val="24"/>
        </w:rPr>
        <w:t xml:space="preserve"> compatible with the Present Value principle, compatibility must exist at </w:t>
      </w:r>
      <w:r w:rsidR="00E6380E">
        <w:rPr>
          <w:rFonts w:ascii="Times New Roman" w:hAnsi="Times New Roman" w:cs="Times New Roman"/>
          <w:sz w:val="24"/>
          <w:szCs w:val="24"/>
        </w:rPr>
        <w:t xml:space="preserve">every </w:t>
      </w:r>
      <w:r>
        <w:rPr>
          <w:rFonts w:ascii="Times New Roman" w:hAnsi="Times New Roman" w:cs="Times New Roman"/>
          <w:sz w:val="24"/>
          <w:szCs w:val="24"/>
        </w:rPr>
        <w:t xml:space="preserve">beta level because the </w:t>
      </w:r>
      <w:r w:rsidR="00E6380E">
        <w:rPr>
          <w:rFonts w:ascii="Times New Roman" w:hAnsi="Times New Roman" w:cs="Times New Roman"/>
          <w:sz w:val="24"/>
          <w:szCs w:val="24"/>
        </w:rPr>
        <w:t xml:space="preserve">approaches </w:t>
      </w:r>
      <w:r>
        <w:rPr>
          <w:rFonts w:ascii="Times New Roman" w:hAnsi="Times New Roman" w:cs="Times New Roman"/>
          <w:sz w:val="24"/>
          <w:szCs w:val="24"/>
        </w:rPr>
        <w:t xml:space="preserve">are intended to be applied across a range of possible beta values arising in different regulatory situations.  So, if any model fails the test at a particular beta level, it must be rejected.  So, consider a beta of zero.  At this beta level, </w:t>
      </w:r>
      <w:r w:rsidR="00D12A59">
        <w:rPr>
          <w:rFonts w:ascii="Times New Roman" w:hAnsi="Times New Roman" w:cs="Times New Roman"/>
          <w:sz w:val="24"/>
          <w:szCs w:val="24"/>
        </w:rPr>
        <w:t>the estimated costs of equity under the three approaches are as follows:</w:t>
      </w:r>
    </w:p>
    <w:p w:rsidR="00D12A59" w:rsidRDefault="00D12A59" w:rsidP="00D12A59">
      <w:pPr>
        <w:spacing w:after="0" w:line="360" w:lineRule="auto"/>
        <w:jc w:val="both"/>
        <w:rPr>
          <w:rFonts w:ascii="Times New Roman" w:hAnsi="Times New Roman" w:cs="Times New Roman"/>
          <w:sz w:val="24"/>
          <w:szCs w:val="24"/>
        </w:rPr>
      </w:pPr>
    </w:p>
    <w:p w:rsidR="00D12A59" w:rsidRDefault="00D12A59" w:rsidP="00D12A59">
      <w:pPr>
        <w:spacing w:after="0" w:line="360" w:lineRule="auto"/>
        <w:ind w:left="2552" w:hanging="2552"/>
        <w:jc w:val="both"/>
        <w:rPr>
          <w:rFonts w:ascii="Times New Roman" w:hAnsi="Times New Roman" w:cs="Times New Roman"/>
          <w:sz w:val="24"/>
          <w:szCs w:val="24"/>
        </w:rPr>
      </w:pPr>
      <w:r>
        <w:rPr>
          <w:b/>
          <w:bCs/>
          <w:position w:val="-14"/>
        </w:rPr>
        <w:tab/>
      </w:r>
      <w:r w:rsidRPr="001425C9">
        <w:rPr>
          <w:b/>
          <w:bCs/>
          <w:position w:val="-14"/>
        </w:rPr>
        <w:object w:dxaOrig="2340" w:dyaOrig="420">
          <v:shape id="_x0000_i1034" type="#_x0000_t75" style="width:117.1pt;height:20.65pt" o:ole="">
            <v:imagedata r:id="rId26" o:title=""/>
          </v:shape>
          <o:OLEObject Type="Embed" ProgID="Equation.3" ShapeID="_x0000_i1034" DrawAspect="Content" ObjectID="_1423918349" r:id="rId27"/>
        </w:object>
      </w:r>
    </w:p>
    <w:p w:rsidR="00D12A59" w:rsidRDefault="00D12A59" w:rsidP="00D12A59">
      <w:pPr>
        <w:spacing w:after="0" w:line="360" w:lineRule="auto"/>
        <w:ind w:left="2552" w:hanging="2552"/>
        <w:jc w:val="both"/>
        <w:rPr>
          <w:rFonts w:ascii="Times New Roman" w:hAnsi="Times New Roman" w:cs="Times New Roman"/>
          <w:sz w:val="24"/>
          <w:szCs w:val="24"/>
        </w:rPr>
      </w:pPr>
      <w:r>
        <w:rPr>
          <w:b/>
          <w:bCs/>
          <w:position w:val="-14"/>
        </w:rPr>
        <w:tab/>
      </w:r>
      <w:r w:rsidRPr="001425C9">
        <w:rPr>
          <w:b/>
          <w:bCs/>
          <w:position w:val="-14"/>
        </w:rPr>
        <w:object w:dxaOrig="2220" w:dyaOrig="420">
          <v:shape id="_x0000_i1035" type="#_x0000_t75" style="width:110.8pt;height:20.65pt" o:ole="">
            <v:imagedata r:id="rId28" o:title=""/>
          </v:shape>
          <o:OLEObject Type="Embed" ProgID="Equation.3" ShapeID="_x0000_i1035" DrawAspect="Content" ObjectID="_1423918350" r:id="rId29"/>
        </w:object>
      </w:r>
    </w:p>
    <w:p w:rsidR="00D12A59" w:rsidRDefault="00D12A59" w:rsidP="00D12A59">
      <w:pPr>
        <w:spacing w:after="0" w:line="360" w:lineRule="auto"/>
        <w:ind w:left="2552" w:hanging="2552"/>
        <w:jc w:val="both"/>
        <w:rPr>
          <w:rFonts w:ascii="Times New Roman" w:hAnsi="Times New Roman" w:cs="Times New Roman"/>
          <w:sz w:val="24"/>
          <w:szCs w:val="24"/>
        </w:rPr>
      </w:pPr>
      <w:r>
        <w:rPr>
          <w:b/>
          <w:bCs/>
          <w:position w:val="-14"/>
        </w:rPr>
        <w:tab/>
      </w:r>
      <w:r w:rsidRPr="001425C9">
        <w:rPr>
          <w:b/>
          <w:bCs/>
          <w:position w:val="-14"/>
        </w:rPr>
        <w:object w:dxaOrig="1980" w:dyaOrig="420">
          <v:shape id="_x0000_i1036" type="#_x0000_t75" style="width:98.9pt;height:20.65pt" o:ole="">
            <v:imagedata r:id="rId30" o:title=""/>
          </v:shape>
          <o:OLEObject Type="Embed" ProgID="Equation.3" ShapeID="_x0000_i1036" DrawAspect="Content" ObjectID="_1423918351" r:id="rId31"/>
        </w:object>
      </w:r>
    </w:p>
    <w:p w:rsidR="00D12A59" w:rsidRDefault="00D12A59" w:rsidP="00D66208">
      <w:pPr>
        <w:spacing w:after="0" w:line="360" w:lineRule="auto"/>
        <w:jc w:val="both"/>
        <w:rPr>
          <w:rFonts w:ascii="Times New Roman" w:hAnsi="Times New Roman" w:cs="Times New Roman"/>
          <w:sz w:val="24"/>
          <w:szCs w:val="24"/>
        </w:rPr>
      </w:pPr>
    </w:p>
    <w:p w:rsidR="00F460C6" w:rsidRDefault="00D12A59"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 both </w:t>
      </w:r>
      <w:r w:rsidR="000A096B">
        <w:rPr>
          <w:rFonts w:ascii="Times New Roman" w:hAnsi="Times New Roman" w:cs="Times New Roman"/>
          <w:sz w:val="24"/>
          <w:szCs w:val="24"/>
        </w:rPr>
        <w:t xml:space="preserve">option 1 and Wright’s approach use the risk free rate </w:t>
      </w:r>
      <w:r>
        <w:rPr>
          <w:rFonts w:ascii="Times New Roman" w:hAnsi="Times New Roman" w:cs="Times New Roman"/>
          <w:sz w:val="24"/>
          <w:szCs w:val="24"/>
        </w:rPr>
        <w:t xml:space="preserve">prevailing </w:t>
      </w:r>
      <w:r w:rsidR="000A096B">
        <w:rPr>
          <w:rFonts w:ascii="Times New Roman" w:hAnsi="Times New Roman" w:cs="Times New Roman"/>
          <w:sz w:val="24"/>
          <w:szCs w:val="24"/>
        </w:rPr>
        <w:t>at the beginning of each regulatory cycle</w:t>
      </w:r>
      <w:r w:rsidR="00F460C6">
        <w:rPr>
          <w:rFonts w:ascii="Times New Roman" w:hAnsi="Times New Roman" w:cs="Times New Roman"/>
          <w:sz w:val="24"/>
          <w:szCs w:val="24"/>
        </w:rPr>
        <w:t>,</w:t>
      </w:r>
      <w:r w:rsidR="000A096B">
        <w:rPr>
          <w:rFonts w:ascii="Times New Roman" w:hAnsi="Times New Roman" w:cs="Times New Roman"/>
          <w:sz w:val="24"/>
          <w:szCs w:val="24"/>
        </w:rPr>
        <w:t xml:space="preserve"> and will therefore satisfy both versions of the Present Value principle.</w:t>
      </w:r>
      <w:r w:rsidR="00B05DDC">
        <w:rPr>
          <w:rFonts w:ascii="Times New Roman" w:hAnsi="Times New Roman" w:cs="Times New Roman"/>
          <w:sz w:val="24"/>
          <w:szCs w:val="24"/>
        </w:rPr>
        <w:t xml:space="preserve">  By contrast, CEG’s approach will always use the historical average risk free rate of 5%.  Invariably the risk free rate at the commencement of the regulatory cycle will differ from this and therefore CEG’s approach will not satisfy the first version of the Present Value principle.  Nor will it satisfy the second version of the Present Value principle because the average of the actual risk free rates that prevail over the life of the regulatory assets (one at the </w:t>
      </w:r>
      <w:r w:rsidR="00B05DDC">
        <w:rPr>
          <w:rFonts w:ascii="Times New Roman" w:hAnsi="Times New Roman" w:cs="Times New Roman"/>
          <w:sz w:val="24"/>
          <w:szCs w:val="24"/>
        </w:rPr>
        <w:lastRenderedPageBreak/>
        <w:t>beginning of each regulatory cycle) will almost certainly differ from</w:t>
      </w:r>
      <w:r w:rsidR="00F460C6">
        <w:rPr>
          <w:rFonts w:ascii="Times New Roman" w:hAnsi="Times New Roman" w:cs="Times New Roman"/>
          <w:sz w:val="24"/>
          <w:szCs w:val="24"/>
        </w:rPr>
        <w:t xml:space="preserve"> the historical average of 5%.  In fact, CEG’s approach would be akin to a bond trader valuing government bonds using the historical average risk free rate rather than the prevailing rate.</w:t>
      </w:r>
    </w:p>
    <w:p w:rsidR="00F460C6" w:rsidRDefault="00F460C6" w:rsidP="00D66208">
      <w:pPr>
        <w:spacing w:after="0" w:line="360" w:lineRule="auto"/>
        <w:jc w:val="both"/>
        <w:rPr>
          <w:rFonts w:ascii="Times New Roman" w:hAnsi="Times New Roman" w:cs="Times New Roman"/>
          <w:sz w:val="24"/>
          <w:szCs w:val="24"/>
        </w:rPr>
      </w:pPr>
    </w:p>
    <w:p w:rsidR="001E4615" w:rsidRDefault="00B05DDC"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might be observed that CEG’s approach will always match Wright’s approach when beta is 1.  This is true but the two approaches will otherwise produce different results, including the case just examined of beta being zero.  It might also be observed that, </w:t>
      </w:r>
      <w:r w:rsidR="005720E4">
        <w:rPr>
          <w:rFonts w:ascii="Times New Roman" w:hAnsi="Times New Roman" w:cs="Times New Roman"/>
          <w:sz w:val="24"/>
          <w:szCs w:val="24"/>
        </w:rPr>
        <w:t xml:space="preserve">apart </w:t>
      </w:r>
      <w:r>
        <w:rPr>
          <w:rFonts w:ascii="Times New Roman" w:hAnsi="Times New Roman" w:cs="Times New Roman"/>
          <w:sz w:val="24"/>
          <w:szCs w:val="24"/>
        </w:rPr>
        <w:t>from the case in which beta is zero, option 1 and Wright’s approach will produce different results and therefore one of them must be better.  This is true but, in the hypothesised situation here of only minimal knowledge about the MRP, we cannot say which is better.</w:t>
      </w:r>
    </w:p>
    <w:p w:rsidR="00F667E3" w:rsidRDefault="00F667E3" w:rsidP="00D66208">
      <w:pPr>
        <w:spacing w:after="0" w:line="360" w:lineRule="auto"/>
        <w:jc w:val="both"/>
        <w:rPr>
          <w:rFonts w:ascii="Times New Roman" w:hAnsi="Times New Roman" w:cs="Times New Roman"/>
          <w:sz w:val="24"/>
          <w:szCs w:val="24"/>
        </w:rPr>
      </w:pPr>
    </w:p>
    <w:p w:rsidR="00F667E3" w:rsidRPr="00946D6E" w:rsidRDefault="00F667E3" w:rsidP="00946D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might be argued that this comparison is unfair to CEG’s proposal</w:t>
      </w:r>
      <w:r w:rsidR="005720E4">
        <w:rPr>
          <w:rFonts w:ascii="Times New Roman" w:hAnsi="Times New Roman" w:cs="Times New Roman"/>
          <w:sz w:val="24"/>
          <w:szCs w:val="24"/>
        </w:rPr>
        <w:t>,</w:t>
      </w:r>
      <w:r>
        <w:rPr>
          <w:rFonts w:ascii="Times New Roman" w:hAnsi="Times New Roman" w:cs="Times New Roman"/>
          <w:sz w:val="24"/>
          <w:szCs w:val="24"/>
        </w:rPr>
        <w:t xml:space="preserve"> because it fails to account for CEG’s </w:t>
      </w:r>
      <w:r w:rsidRPr="00F460C6">
        <w:rPr>
          <w:rFonts w:ascii="Times New Roman" w:hAnsi="Times New Roman" w:cs="Times New Roman"/>
          <w:i/>
          <w:sz w:val="24"/>
          <w:szCs w:val="24"/>
        </w:rPr>
        <w:t>belief</w:t>
      </w:r>
      <w:r>
        <w:rPr>
          <w:rFonts w:ascii="Times New Roman" w:hAnsi="Times New Roman" w:cs="Times New Roman"/>
          <w:sz w:val="24"/>
          <w:szCs w:val="24"/>
        </w:rPr>
        <w:t xml:space="preserve"> that movements in the MRP are negatively correlated with movements in the risk free rate, and is also unfair to Wright’s proposal because it fails to account for his </w:t>
      </w:r>
      <w:r w:rsidRPr="00F460C6">
        <w:rPr>
          <w:rFonts w:ascii="Times New Roman" w:hAnsi="Times New Roman" w:cs="Times New Roman"/>
          <w:i/>
          <w:sz w:val="24"/>
          <w:szCs w:val="24"/>
        </w:rPr>
        <w:t>belief</w:t>
      </w:r>
      <w:r>
        <w:rPr>
          <w:rFonts w:ascii="Times New Roman" w:hAnsi="Times New Roman" w:cs="Times New Roman"/>
          <w:sz w:val="24"/>
          <w:szCs w:val="24"/>
        </w:rPr>
        <w:t xml:space="preserve"> that </w:t>
      </w:r>
      <w:proofErr w:type="gramStart"/>
      <w:r w:rsidRPr="00946D6E">
        <w:rPr>
          <w:rFonts w:ascii="Times New Roman" w:hAnsi="Times New Roman" w:cs="Times New Roman"/>
          <w:i/>
          <w:sz w:val="24"/>
          <w:szCs w:val="24"/>
        </w:rPr>
        <w:t>E</w:t>
      </w:r>
      <w:r>
        <w:rPr>
          <w:rFonts w:ascii="Times New Roman" w:hAnsi="Times New Roman" w:cs="Times New Roman"/>
          <w:sz w:val="24"/>
          <w:szCs w:val="24"/>
        </w:rPr>
        <w:t>(</w:t>
      </w:r>
      <w:proofErr w:type="spellStart"/>
      <w:proofErr w:type="gramEnd"/>
      <w:r w:rsidRPr="00946D6E">
        <w:rPr>
          <w:rFonts w:ascii="Times New Roman" w:hAnsi="Times New Roman" w:cs="Times New Roman"/>
          <w:i/>
          <w:sz w:val="24"/>
          <w:szCs w:val="24"/>
        </w:rPr>
        <w:t>R</w:t>
      </w:r>
      <w:r w:rsidRPr="00946D6E">
        <w:rPr>
          <w:rFonts w:ascii="Times New Roman" w:hAnsi="Times New Roman" w:cs="Times New Roman"/>
          <w:i/>
          <w:sz w:val="24"/>
          <w:szCs w:val="24"/>
          <w:vertAlign w:val="subscript"/>
        </w:rPr>
        <w:t>m</w:t>
      </w:r>
      <w:proofErr w:type="spellEnd"/>
      <w:r>
        <w:rPr>
          <w:rFonts w:ascii="Times New Roman" w:hAnsi="Times New Roman" w:cs="Times New Roman"/>
          <w:sz w:val="24"/>
          <w:szCs w:val="24"/>
        </w:rPr>
        <w:t xml:space="preserve">) is fairly stable over time.  So, suppose now that </w:t>
      </w:r>
      <w:proofErr w:type="gramStart"/>
      <w:r w:rsidRPr="00946D6E">
        <w:rPr>
          <w:rFonts w:ascii="Times New Roman" w:hAnsi="Times New Roman" w:cs="Times New Roman"/>
          <w:i/>
          <w:sz w:val="24"/>
          <w:szCs w:val="24"/>
        </w:rPr>
        <w:t>E</w:t>
      </w:r>
      <w:r>
        <w:rPr>
          <w:rFonts w:ascii="Times New Roman" w:hAnsi="Times New Roman" w:cs="Times New Roman"/>
          <w:sz w:val="24"/>
          <w:szCs w:val="24"/>
        </w:rPr>
        <w:t>(</w:t>
      </w:r>
      <w:proofErr w:type="spellStart"/>
      <w:proofErr w:type="gramEnd"/>
      <w:r w:rsidRPr="00946D6E">
        <w:rPr>
          <w:rFonts w:ascii="Times New Roman" w:hAnsi="Times New Roman" w:cs="Times New Roman"/>
          <w:i/>
          <w:sz w:val="24"/>
          <w:szCs w:val="24"/>
        </w:rPr>
        <w:t>R</w:t>
      </w:r>
      <w:r w:rsidRPr="00946D6E">
        <w:rPr>
          <w:rFonts w:ascii="Times New Roman" w:hAnsi="Times New Roman" w:cs="Times New Roman"/>
          <w:i/>
          <w:sz w:val="24"/>
          <w:szCs w:val="24"/>
          <w:vertAlign w:val="subscript"/>
        </w:rPr>
        <w:t>m</w:t>
      </w:r>
      <w:proofErr w:type="spellEnd"/>
      <w:r>
        <w:rPr>
          <w:rFonts w:ascii="Times New Roman" w:hAnsi="Times New Roman" w:cs="Times New Roman"/>
          <w:sz w:val="24"/>
          <w:szCs w:val="24"/>
        </w:rPr>
        <w:t xml:space="preserve">) is constant over time and therefore that movements in the risk free rate and the MRP are perfectly negatively correlated.  Suppose further that we have enough historical returns data to be assured that the historical average market return of 11% matches </w:t>
      </w:r>
      <w:proofErr w:type="gramStart"/>
      <w:r w:rsidRPr="00946D6E">
        <w:rPr>
          <w:rFonts w:ascii="Times New Roman" w:hAnsi="Times New Roman" w:cs="Times New Roman"/>
          <w:i/>
          <w:sz w:val="24"/>
          <w:szCs w:val="24"/>
        </w:rPr>
        <w:t>E</w:t>
      </w:r>
      <w:r>
        <w:rPr>
          <w:rFonts w:ascii="Times New Roman" w:hAnsi="Times New Roman" w:cs="Times New Roman"/>
          <w:sz w:val="24"/>
          <w:szCs w:val="24"/>
        </w:rPr>
        <w:t>(</w:t>
      </w:r>
      <w:proofErr w:type="spellStart"/>
      <w:proofErr w:type="gramEnd"/>
      <w:r w:rsidRPr="00946D6E">
        <w:rPr>
          <w:rFonts w:ascii="Times New Roman" w:hAnsi="Times New Roman" w:cs="Times New Roman"/>
          <w:i/>
          <w:sz w:val="24"/>
          <w:szCs w:val="24"/>
        </w:rPr>
        <w:t>R</w:t>
      </w:r>
      <w:r w:rsidRPr="00946D6E">
        <w:rPr>
          <w:rFonts w:ascii="Times New Roman" w:hAnsi="Times New Roman" w:cs="Times New Roman"/>
          <w:i/>
          <w:sz w:val="24"/>
          <w:szCs w:val="24"/>
          <w:vertAlign w:val="subscript"/>
        </w:rPr>
        <w:t>m</w:t>
      </w:r>
      <w:proofErr w:type="spellEnd"/>
      <w:r w:rsidR="00946D6E">
        <w:rPr>
          <w:rFonts w:ascii="Times New Roman" w:hAnsi="Times New Roman" w:cs="Times New Roman"/>
          <w:sz w:val="24"/>
          <w:szCs w:val="24"/>
        </w:rPr>
        <w:t>).  In this case, unsurprisingly, Wright’s approach is the best (it alwa</w:t>
      </w:r>
      <w:r w:rsidR="00DA4042">
        <w:rPr>
          <w:rFonts w:ascii="Times New Roman" w:hAnsi="Times New Roman" w:cs="Times New Roman"/>
          <w:sz w:val="24"/>
          <w:szCs w:val="24"/>
        </w:rPr>
        <w:t xml:space="preserve">ys produces the correct result).  </w:t>
      </w:r>
      <w:r w:rsidR="00946D6E">
        <w:rPr>
          <w:rFonts w:ascii="Times New Roman" w:hAnsi="Times New Roman" w:cs="Times New Roman"/>
          <w:sz w:val="24"/>
          <w:szCs w:val="24"/>
        </w:rPr>
        <w:t>CEG’s approach matches it when beta is 1</w:t>
      </w:r>
      <w:r w:rsidR="00DA4042">
        <w:rPr>
          <w:rFonts w:ascii="Times New Roman" w:hAnsi="Times New Roman" w:cs="Times New Roman"/>
          <w:sz w:val="24"/>
          <w:szCs w:val="24"/>
        </w:rPr>
        <w:t>, but not otherwise, and is therefore inferior to Wright’s approach</w:t>
      </w:r>
      <w:r w:rsidR="00946D6E">
        <w:rPr>
          <w:rFonts w:ascii="Times New Roman" w:hAnsi="Times New Roman" w:cs="Times New Roman"/>
          <w:sz w:val="24"/>
          <w:szCs w:val="24"/>
        </w:rPr>
        <w:t xml:space="preserve">.  </w:t>
      </w:r>
      <w:r w:rsidR="00DA4042">
        <w:rPr>
          <w:rFonts w:ascii="Times New Roman" w:hAnsi="Times New Roman" w:cs="Times New Roman"/>
          <w:sz w:val="24"/>
          <w:szCs w:val="24"/>
        </w:rPr>
        <w:t xml:space="preserve">Thus, even under the idealised conditions underpinning CEG’s approach, in which </w:t>
      </w:r>
      <w:proofErr w:type="gramStart"/>
      <w:r w:rsidR="00DA4042" w:rsidRPr="00E00F52">
        <w:rPr>
          <w:rFonts w:ascii="Times New Roman" w:hAnsi="Times New Roman" w:cs="Times New Roman"/>
          <w:i/>
          <w:sz w:val="24"/>
          <w:szCs w:val="24"/>
        </w:rPr>
        <w:t>E</w:t>
      </w:r>
      <w:r w:rsidR="00DA4042">
        <w:rPr>
          <w:rFonts w:ascii="Times New Roman" w:hAnsi="Times New Roman" w:cs="Times New Roman"/>
          <w:sz w:val="24"/>
          <w:szCs w:val="24"/>
        </w:rPr>
        <w:t>(</w:t>
      </w:r>
      <w:proofErr w:type="spellStart"/>
      <w:proofErr w:type="gramEnd"/>
      <w:r w:rsidR="00DA4042" w:rsidRPr="00E00F52">
        <w:rPr>
          <w:rFonts w:ascii="Times New Roman" w:hAnsi="Times New Roman" w:cs="Times New Roman"/>
          <w:i/>
          <w:sz w:val="24"/>
          <w:szCs w:val="24"/>
        </w:rPr>
        <w:t>R</w:t>
      </w:r>
      <w:r w:rsidR="00DA4042" w:rsidRPr="00E00F52">
        <w:rPr>
          <w:rFonts w:ascii="Times New Roman" w:hAnsi="Times New Roman" w:cs="Times New Roman"/>
          <w:i/>
          <w:sz w:val="24"/>
          <w:szCs w:val="24"/>
          <w:vertAlign w:val="subscript"/>
        </w:rPr>
        <w:t>m</w:t>
      </w:r>
      <w:proofErr w:type="spellEnd"/>
      <w:r w:rsidR="00DA4042">
        <w:rPr>
          <w:rFonts w:ascii="Times New Roman" w:hAnsi="Times New Roman" w:cs="Times New Roman"/>
          <w:sz w:val="24"/>
          <w:szCs w:val="24"/>
        </w:rPr>
        <w:t xml:space="preserve">) is constant over time, their approach is inferior to Wright’s approach and it </w:t>
      </w:r>
      <w:r w:rsidR="00946D6E">
        <w:rPr>
          <w:rFonts w:ascii="Times New Roman" w:hAnsi="Times New Roman" w:cs="Times New Roman"/>
          <w:sz w:val="24"/>
          <w:szCs w:val="24"/>
        </w:rPr>
        <w:t>does not satisfy either version</w:t>
      </w:r>
      <w:r w:rsidR="00DA4042">
        <w:rPr>
          <w:rFonts w:ascii="Times New Roman" w:hAnsi="Times New Roman" w:cs="Times New Roman"/>
          <w:sz w:val="24"/>
          <w:szCs w:val="24"/>
        </w:rPr>
        <w:t xml:space="preserve"> of the Present Value principle</w:t>
      </w:r>
      <w:r w:rsidR="00946D6E">
        <w:rPr>
          <w:rFonts w:ascii="Times New Roman" w:hAnsi="Times New Roman" w:cs="Times New Roman"/>
          <w:sz w:val="24"/>
          <w:szCs w:val="24"/>
        </w:rPr>
        <w:t xml:space="preserve"> except when beta is 1.  </w:t>
      </w:r>
    </w:p>
    <w:p w:rsidR="000A096B" w:rsidRDefault="000A096B" w:rsidP="00D66208">
      <w:pPr>
        <w:spacing w:after="0" w:line="360" w:lineRule="auto"/>
        <w:jc w:val="both"/>
        <w:rPr>
          <w:rFonts w:ascii="Times New Roman" w:hAnsi="Times New Roman" w:cs="Times New Roman"/>
          <w:sz w:val="24"/>
          <w:szCs w:val="24"/>
        </w:rPr>
      </w:pPr>
    </w:p>
    <w:p w:rsidR="001E4615" w:rsidRPr="005A4D9C" w:rsidRDefault="00136CEE"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t>
      </w:r>
      <w:r w:rsidR="0077347B">
        <w:rPr>
          <w:rFonts w:ascii="Times New Roman" w:hAnsi="Times New Roman" w:cs="Times New Roman"/>
          <w:sz w:val="24"/>
          <w:szCs w:val="24"/>
        </w:rPr>
        <w:t>CEG also agree with the Present Value principle but consider that the relevant period for assessing whether a particular approach to parameter estimation is consistent with it is the entire life of the regulated assets rather than each regulatory cycle.  I agree with this.  CEG also favours using</w:t>
      </w:r>
      <w:r w:rsidR="00780E94">
        <w:rPr>
          <w:rFonts w:ascii="Times New Roman" w:hAnsi="Times New Roman" w:cs="Times New Roman"/>
          <w:sz w:val="24"/>
          <w:szCs w:val="24"/>
        </w:rPr>
        <w:t xml:space="preserve"> a long-run average risk free rate along with a long-run estimate of the MRP on the grounds that </w:t>
      </w:r>
      <w:r w:rsidR="009D6CB4">
        <w:rPr>
          <w:rFonts w:ascii="Times New Roman" w:hAnsi="Times New Roman" w:cs="Times New Roman"/>
          <w:sz w:val="24"/>
          <w:szCs w:val="24"/>
        </w:rPr>
        <w:t xml:space="preserve">this </w:t>
      </w:r>
      <w:r w:rsidR="00780E94">
        <w:rPr>
          <w:rFonts w:ascii="Times New Roman" w:hAnsi="Times New Roman" w:cs="Times New Roman"/>
          <w:sz w:val="24"/>
          <w:szCs w:val="24"/>
        </w:rPr>
        <w:t xml:space="preserve">produces the best estimate of the cost of equity for a regulated business over the entire life of the regulated assets.  </w:t>
      </w:r>
      <w:r w:rsidR="009D6CB4">
        <w:rPr>
          <w:rFonts w:ascii="Times New Roman" w:hAnsi="Times New Roman" w:cs="Times New Roman"/>
          <w:sz w:val="24"/>
          <w:szCs w:val="24"/>
        </w:rPr>
        <w:t xml:space="preserve">However </w:t>
      </w:r>
      <w:r w:rsidR="00A944BE">
        <w:rPr>
          <w:rFonts w:ascii="Times New Roman" w:hAnsi="Times New Roman" w:cs="Times New Roman"/>
          <w:sz w:val="24"/>
          <w:szCs w:val="24"/>
        </w:rPr>
        <w:t xml:space="preserve">this </w:t>
      </w:r>
      <w:r w:rsidR="00780E94">
        <w:rPr>
          <w:rFonts w:ascii="Times New Roman" w:hAnsi="Times New Roman" w:cs="Times New Roman"/>
          <w:sz w:val="24"/>
          <w:szCs w:val="24"/>
        </w:rPr>
        <w:t xml:space="preserve">approach </w:t>
      </w:r>
      <w:r w:rsidR="00A944BE">
        <w:rPr>
          <w:rFonts w:ascii="Times New Roman" w:hAnsi="Times New Roman" w:cs="Times New Roman"/>
          <w:sz w:val="24"/>
          <w:szCs w:val="24"/>
        </w:rPr>
        <w:t xml:space="preserve">to the risk free rate </w:t>
      </w:r>
      <w:r w:rsidR="00F667E3">
        <w:rPr>
          <w:rFonts w:ascii="Times New Roman" w:hAnsi="Times New Roman" w:cs="Times New Roman"/>
          <w:sz w:val="24"/>
          <w:szCs w:val="24"/>
        </w:rPr>
        <w:t xml:space="preserve">is not </w:t>
      </w:r>
      <w:r w:rsidR="00780E94">
        <w:rPr>
          <w:rFonts w:ascii="Times New Roman" w:hAnsi="Times New Roman" w:cs="Times New Roman"/>
          <w:sz w:val="24"/>
          <w:szCs w:val="24"/>
        </w:rPr>
        <w:t>consistent with the Present</w:t>
      </w:r>
      <w:r w:rsidR="00F667E3">
        <w:rPr>
          <w:rFonts w:ascii="Times New Roman" w:hAnsi="Times New Roman" w:cs="Times New Roman"/>
          <w:sz w:val="24"/>
          <w:szCs w:val="24"/>
        </w:rPr>
        <w:t xml:space="preserve"> Value principle</w:t>
      </w:r>
      <w:r w:rsidR="003B4994">
        <w:rPr>
          <w:rFonts w:ascii="Times New Roman" w:hAnsi="Times New Roman" w:cs="Times New Roman"/>
          <w:sz w:val="24"/>
          <w:szCs w:val="24"/>
        </w:rPr>
        <w:t>,</w:t>
      </w:r>
      <w:r w:rsidR="00F667E3">
        <w:rPr>
          <w:rFonts w:ascii="Times New Roman" w:hAnsi="Times New Roman" w:cs="Times New Roman"/>
          <w:sz w:val="24"/>
          <w:szCs w:val="24"/>
        </w:rPr>
        <w:t xml:space="preserve"> except in t</w:t>
      </w:r>
      <w:r w:rsidR="00946D6E">
        <w:rPr>
          <w:rFonts w:ascii="Times New Roman" w:hAnsi="Times New Roman" w:cs="Times New Roman"/>
          <w:sz w:val="24"/>
          <w:szCs w:val="24"/>
        </w:rPr>
        <w:t>he special case where beta is 1</w:t>
      </w:r>
      <w:r w:rsidR="003B4994">
        <w:rPr>
          <w:rFonts w:ascii="Times New Roman" w:hAnsi="Times New Roman" w:cs="Times New Roman"/>
          <w:sz w:val="24"/>
          <w:szCs w:val="24"/>
        </w:rPr>
        <w:t xml:space="preserve"> because CEG’s approach then coincides with Wright’s preferred approach</w:t>
      </w:r>
      <w:r w:rsidR="00946D6E">
        <w:rPr>
          <w:rFonts w:ascii="Times New Roman" w:hAnsi="Times New Roman" w:cs="Times New Roman"/>
          <w:sz w:val="24"/>
          <w:szCs w:val="24"/>
        </w:rPr>
        <w:t xml:space="preserve">.  </w:t>
      </w:r>
      <w:r w:rsidR="00E00F52">
        <w:rPr>
          <w:rFonts w:ascii="Times New Roman" w:hAnsi="Times New Roman" w:cs="Times New Roman"/>
          <w:sz w:val="24"/>
          <w:szCs w:val="24"/>
        </w:rPr>
        <w:t xml:space="preserve">Furthermore, even under the idealised conditions underpinning CEG’s approach in which </w:t>
      </w:r>
      <w:proofErr w:type="gramStart"/>
      <w:r w:rsidR="00E00F52" w:rsidRPr="00E00F52">
        <w:rPr>
          <w:rFonts w:ascii="Times New Roman" w:hAnsi="Times New Roman" w:cs="Times New Roman"/>
          <w:i/>
          <w:sz w:val="24"/>
          <w:szCs w:val="24"/>
        </w:rPr>
        <w:t>E</w:t>
      </w:r>
      <w:r w:rsidR="00E00F52">
        <w:rPr>
          <w:rFonts w:ascii="Times New Roman" w:hAnsi="Times New Roman" w:cs="Times New Roman"/>
          <w:sz w:val="24"/>
          <w:szCs w:val="24"/>
        </w:rPr>
        <w:t>(</w:t>
      </w:r>
      <w:proofErr w:type="spellStart"/>
      <w:proofErr w:type="gramEnd"/>
      <w:r w:rsidR="00E00F52" w:rsidRPr="00E00F52">
        <w:rPr>
          <w:rFonts w:ascii="Times New Roman" w:hAnsi="Times New Roman" w:cs="Times New Roman"/>
          <w:i/>
          <w:sz w:val="24"/>
          <w:szCs w:val="24"/>
        </w:rPr>
        <w:t>R</w:t>
      </w:r>
      <w:r w:rsidR="00E00F52" w:rsidRPr="00E00F52">
        <w:rPr>
          <w:rFonts w:ascii="Times New Roman" w:hAnsi="Times New Roman" w:cs="Times New Roman"/>
          <w:i/>
          <w:sz w:val="24"/>
          <w:szCs w:val="24"/>
          <w:vertAlign w:val="subscript"/>
        </w:rPr>
        <w:t>m</w:t>
      </w:r>
      <w:proofErr w:type="spellEnd"/>
      <w:r w:rsidR="00E00F52">
        <w:rPr>
          <w:rFonts w:ascii="Times New Roman" w:hAnsi="Times New Roman" w:cs="Times New Roman"/>
          <w:sz w:val="24"/>
          <w:szCs w:val="24"/>
        </w:rPr>
        <w:t xml:space="preserve">) is constant over time, their approach is </w:t>
      </w:r>
      <w:r w:rsidR="003B4994">
        <w:rPr>
          <w:rFonts w:ascii="Times New Roman" w:hAnsi="Times New Roman" w:cs="Times New Roman"/>
          <w:sz w:val="24"/>
          <w:szCs w:val="24"/>
        </w:rPr>
        <w:t xml:space="preserve">still </w:t>
      </w:r>
      <w:r w:rsidR="00E00F52">
        <w:rPr>
          <w:rFonts w:ascii="Times New Roman" w:hAnsi="Times New Roman" w:cs="Times New Roman"/>
          <w:sz w:val="24"/>
          <w:szCs w:val="24"/>
        </w:rPr>
        <w:t>inferior to Wright’s approach.</w:t>
      </w:r>
    </w:p>
    <w:p w:rsidR="00CE62BD" w:rsidRDefault="00CE62BD" w:rsidP="00722372">
      <w:pPr>
        <w:spacing w:after="0" w:line="360" w:lineRule="auto"/>
        <w:jc w:val="both"/>
        <w:rPr>
          <w:rFonts w:ascii="Times New Roman" w:hAnsi="Times New Roman" w:cs="Times New Roman"/>
          <w:sz w:val="24"/>
          <w:szCs w:val="24"/>
        </w:rPr>
      </w:pPr>
    </w:p>
    <w:p w:rsidR="00EF7EDC" w:rsidRPr="00EF7EDC" w:rsidRDefault="00EF7EDC" w:rsidP="00EF7EDC">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Conclusions</w:t>
      </w:r>
    </w:p>
    <w:p w:rsidR="00EF7EDC" w:rsidRDefault="00EF7EDC" w:rsidP="00DE23AF">
      <w:pPr>
        <w:spacing w:after="0" w:line="360" w:lineRule="auto"/>
        <w:jc w:val="both"/>
        <w:rPr>
          <w:rFonts w:ascii="Times New Roman" w:hAnsi="Times New Roman" w:cs="Times New Roman"/>
          <w:sz w:val="24"/>
          <w:szCs w:val="24"/>
        </w:rPr>
      </w:pPr>
    </w:p>
    <w:p w:rsidR="00EF7EDC" w:rsidRDefault="00EF7EDC"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paper has sought to address a number of questions posed by the AER, and</w:t>
      </w:r>
      <w:r w:rsidR="005A7907">
        <w:rPr>
          <w:rFonts w:ascii="Times New Roman" w:hAnsi="Times New Roman" w:cs="Times New Roman"/>
          <w:sz w:val="24"/>
          <w:szCs w:val="24"/>
        </w:rPr>
        <w:t xml:space="preserve"> the conclusions are as follows.</w:t>
      </w:r>
    </w:p>
    <w:p w:rsidR="005A7907" w:rsidRDefault="005A7907" w:rsidP="00DE23AF">
      <w:pPr>
        <w:spacing w:after="0" w:line="360" w:lineRule="auto"/>
        <w:jc w:val="both"/>
        <w:rPr>
          <w:rFonts w:ascii="Times New Roman" w:hAnsi="Times New Roman" w:cs="Times New Roman"/>
          <w:sz w:val="24"/>
          <w:szCs w:val="24"/>
        </w:rPr>
      </w:pPr>
    </w:p>
    <w:p w:rsidR="005A7907" w:rsidRDefault="005A7907" w:rsidP="005A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Firstly, in respect of the implications of risk for the Present Value principle</w:t>
      </w:r>
      <w:r w:rsidR="008A2A40">
        <w:rPr>
          <w:rFonts w:ascii="Times New Roman" w:hAnsi="Times New Roman" w:cs="Times New Roman"/>
          <w:sz w:val="24"/>
          <w:szCs w:val="24"/>
        </w:rPr>
        <w:t>, the principle applies equally to risk free and risky situations.  In the former case, the risk free rate is defined over the regulatory period and based upon conditions prevailing at the start of that period.  In the latter case, both the risk free rate and the risk premium are defined over the regulatory period and based upon conditions prevailing at the start of that period.</w:t>
      </w:r>
    </w:p>
    <w:p w:rsidR="008A2A40" w:rsidRDefault="008A2A40" w:rsidP="005A7907">
      <w:pPr>
        <w:spacing w:after="0" w:line="360" w:lineRule="auto"/>
        <w:jc w:val="both"/>
        <w:rPr>
          <w:rFonts w:ascii="Times New Roman" w:hAnsi="Times New Roman" w:cs="Times New Roman"/>
          <w:sz w:val="24"/>
          <w:szCs w:val="24"/>
        </w:rPr>
      </w:pPr>
    </w:p>
    <w:p w:rsidR="00FE1FA5" w:rsidRPr="00EE4BFD" w:rsidRDefault="00085E36" w:rsidP="00FE1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Secondly, in respect of how the Sharpe-</w:t>
      </w:r>
      <w:proofErr w:type="spellStart"/>
      <w:r>
        <w:rPr>
          <w:rFonts w:ascii="Times New Roman" w:hAnsi="Times New Roman" w:cs="Times New Roman"/>
          <w:sz w:val="24"/>
          <w:szCs w:val="24"/>
        </w:rPr>
        <w:t>Lintner</w:t>
      </w:r>
      <w:proofErr w:type="spellEnd"/>
      <w:r>
        <w:rPr>
          <w:rFonts w:ascii="Times New Roman" w:hAnsi="Times New Roman" w:cs="Times New Roman"/>
          <w:sz w:val="24"/>
          <w:szCs w:val="24"/>
        </w:rPr>
        <w:t xml:space="preserve"> CAPM should be applied to ensure consistency with the Present Value principle and whether this principle requires use of an inter-temporal version of the CAPM</w:t>
      </w:r>
      <w:r w:rsidR="00FE1FA5">
        <w:rPr>
          <w:rFonts w:ascii="Times New Roman" w:hAnsi="Times New Roman" w:cs="Times New Roman"/>
          <w:sz w:val="24"/>
          <w:szCs w:val="24"/>
        </w:rPr>
        <w:t>, the Sharpe-</w:t>
      </w:r>
      <w:proofErr w:type="spellStart"/>
      <w:r w:rsidR="00FE1FA5">
        <w:rPr>
          <w:rFonts w:ascii="Times New Roman" w:hAnsi="Times New Roman" w:cs="Times New Roman"/>
          <w:sz w:val="24"/>
          <w:szCs w:val="24"/>
        </w:rPr>
        <w:t>Lintner</w:t>
      </w:r>
      <w:proofErr w:type="spellEnd"/>
      <w:r w:rsidR="00FE1FA5">
        <w:rPr>
          <w:rFonts w:ascii="Times New Roman" w:hAnsi="Times New Roman" w:cs="Times New Roman"/>
          <w:sz w:val="24"/>
          <w:szCs w:val="24"/>
        </w:rPr>
        <w:t xml:space="preserve"> CAPM is consistent with the Present Value principle so long as the parameter values are defined over the regulatory period and based upon conditions prevailing at the start of that period.  Furthermore, although the model is a one-period model and therefore inconsistent with the </w:t>
      </w:r>
      <w:r w:rsidR="009D6CB4">
        <w:rPr>
          <w:rFonts w:ascii="Times New Roman" w:hAnsi="Times New Roman" w:cs="Times New Roman"/>
          <w:sz w:val="24"/>
          <w:szCs w:val="24"/>
        </w:rPr>
        <w:t xml:space="preserve">usual </w:t>
      </w:r>
      <w:r w:rsidR="00FE1FA5">
        <w:rPr>
          <w:rFonts w:ascii="Times New Roman" w:hAnsi="Times New Roman" w:cs="Times New Roman"/>
          <w:sz w:val="24"/>
          <w:szCs w:val="24"/>
        </w:rPr>
        <w:t xml:space="preserve">multi-period </w:t>
      </w:r>
      <w:r w:rsidR="009D6CB4">
        <w:rPr>
          <w:rFonts w:ascii="Times New Roman" w:hAnsi="Times New Roman" w:cs="Times New Roman"/>
          <w:sz w:val="24"/>
          <w:szCs w:val="24"/>
        </w:rPr>
        <w:t xml:space="preserve">regulatory </w:t>
      </w:r>
      <w:r w:rsidR="00FE1FA5">
        <w:rPr>
          <w:rFonts w:ascii="Times New Roman" w:hAnsi="Times New Roman" w:cs="Times New Roman"/>
          <w:sz w:val="24"/>
          <w:szCs w:val="24"/>
        </w:rPr>
        <w:t xml:space="preserve">situation, this is merely one of many features of the model that simplify reality and recourse to models with more realistic assumptions </w:t>
      </w:r>
      <w:r w:rsidR="009D6CB4">
        <w:rPr>
          <w:rFonts w:ascii="Times New Roman" w:hAnsi="Times New Roman" w:cs="Times New Roman"/>
          <w:sz w:val="24"/>
          <w:szCs w:val="24"/>
        </w:rPr>
        <w:t xml:space="preserve">generally </w:t>
      </w:r>
      <w:r w:rsidR="00FE1FA5">
        <w:rPr>
          <w:rFonts w:ascii="Times New Roman" w:hAnsi="Times New Roman" w:cs="Times New Roman"/>
          <w:sz w:val="24"/>
          <w:szCs w:val="24"/>
        </w:rPr>
        <w:t>incurs greater difficulties in estimating parameters</w:t>
      </w:r>
      <w:r w:rsidR="009D6CB4">
        <w:rPr>
          <w:rFonts w:ascii="Times New Roman" w:hAnsi="Times New Roman" w:cs="Times New Roman"/>
          <w:sz w:val="24"/>
          <w:szCs w:val="24"/>
        </w:rPr>
        <w:t>,</w:t>
      </w:r>
      <w:r w:rsidR="00FE1FA5">
        <w:rPr>
          <w:rFonts w:ascii="Times New Roman" w:hAnsi="Times New Roman" w:cs="Times New Roman"/>
          <w:sz w:val="24"/>
          <w:szCs w:val="24"/>
        </w:rPr>
        <w:t xml:space="preserve"> thereby requiring a judgement over the trade-off.  The AER’s preference for a one-period version of the model is universal amongst regulators, overwhelmingly typical of submissions to </w:t>
      </w:r>
      <w:r w:rsidR="009D6CB4">
        <w:rPr>
          <w:rFonts w:ascii="Times New Roman" w:hAnsi="Times New Roman" w:cs="Times New Roman"/>
          <w:sz w:val="24"/>
          <w:szCs w:val="24"/>
        </w:rPr>
        <w:t>regulators, and</w:t>
      </w:r>
      <w:r w:rsidR="00FE1FA5">
        <w:rPr>
          <w:rFonts w:ascii="Times New Roman" w:hAnsi="Times New Roman" w:cs="Times New Roman"/>
          <w:sz w:val="24"/>
          <w:szCs w:val="24"/>
        </w:rPr>
        <w:t xml:space="preserve"> consistent with most other applications of the CAPM</w:t>
      </w:r>
      <w:r w:rsidR="009D6CB4">
        <w:rPr>
          <w:rFonts w:ascii="Times New Roman" w:hAnsi="Times New Roman" w:cs="Times New Roman"/>
          <w:sz w:val="24"/>
          <w:szCs w:val="24"/>
        </w:rPr>
        <w:t>,</w:t>
      </w:r>
      <w:r w:rsidR="00FE1FA5">
        <w:rPr>
          <w:rFonts w:ascii="Times New Roman" w:hAnsi="Times New Roman" w:cs="Times New Roman"/>
          <w:sz w:val="24"/>
          <w:szCs w:val="24"/>
        </w:rPr>
        <w:t xml:space="preserve"> presumably in recognition of this trade-off.</w:t>
      </w:r>
    </w:p>
    <w:p w:rsidR="00085E36" w:rsidRDefault="00085E36" w:rsidP="00085E36">
      <w:pPr>
        <w:spacing w:after="0" w:line="360" w:lineRule="auto"/>
        <w:jc w:val="both"/>
        <w:rPr>
          <w:rFonts w:ascii="Times New Roman" w:hAnsi="Times New Roman" w:cs="Times New Roman"/>
          <w:sz w:val="24"/>
          <w:szCs w:val="24"/>
        </w:rPr>
      </w:pPr>
    </w:p>
    <w:p w:rsidR="00FE1FA5" w:rsidRDefault="00FE1FA5" w:rsidP="00FE1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Thirdly, in respect of the impact of inflation on the Present Value principle and the validity of </w:t>
      </w:r>
      <w:r w:rsidR="0050279B">
        <w:rPr>
          <w:rFonts w:ascii="Times New Roman" w:hAnsi="Times New Roman" w:cs="Times New Roman"/>
          <w:sz w:val="24"/>
          <w:szCs w:val="24"/>
        </w:rPr>
        <w:t xml:space="preserve">Gregory’s comments on this matter, </w:t>
      </w:r>
      <w:r>
        <w:rPr>
          <w:rFonts w:ascii="Times New Roman" w:hAnsi="Times New Roman" w:cs="Times New Roman"/>
          <w:sz w:val="24"/>
          <w:szCs w:val="24"/>
        </w:rPr>
        <w:t>Lally</w:t>
      </w:r>
      <w:r w:rsidR="00D02799">
        <w:rPr>
          <w:rFonts w:ascii="Times New Roman" w:hAnsi="Times New Roman" w:cs="Times New Roman"/>
          <w:sz w:val="24"/>
          <w:szCs w:val="24"/>
        </w:rPr>
        <w:t xml:space="preserve"> </w:t>
      </w:r>
      <w:r>
        <w:rPr>
          <w:rFonts w:ascii="Times New Roman" w:hAnsi="Times New Roman" w:cs="Times New Roman"/>
          <w:sz w:val="24"/>
          <w:szCs w:val="24"/>
        </w:rPr>
        <w:t>examines the implications of inflation and shows that it induces a very small understatement in the allowed rate of return when setting the risk free rate equal to the yield to maturity on a bond whose term to maturity matches the regulatory cycle.  Thus Gregory’s claim that Lally fails to account for inflation is wrong</w:t>
      </w:r>
      <w:r w:rsidR="00A11F94">
        <w:rPr>
          <w:rFonts w:ascii="Times New Roman" w:hAnsi="Times New Roman" w:cs="Times New Roman"/>
          <w:sz w:val="24"/>
          <w:szCs w:val="24"/>
        </w:rPr>
        <w:t>.</w:t>
      </w:r>
    </w:p>
    <w:p w:rsidR="00A11F94" w:rsidRDefault="00A11F94" w:rsidP="00FE1FA5">
      <w:pPr>
        <w:spacing w:after="0" w:line="360" w:lineRule="auto"/>
        <w:jc w:val="both"/>
        <w:rPr>
          <w:rFonts w:ascii="Times New Roman" w:hAnsi="Times New Roman" w:cs="Times New Roman"/>
          <w:sz w:val="24"/>
          <w:szCs w:val="24"/>
        </w:rPr>
      </w:pPr>
    </w:p>
    <w:p w:rsidR="004C3B04" w:rsidRPr="005A4D9C" w:rsidRDefault="00A11F94" w:rsidP="004C3B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Fourthly, in relation to whether papers by Gregory, Wright, and CEG have correctly interpreted the Present Value principle and applied it to Australia’s regulatory context, Wright</w:t>
      </w:r>
      <w:r w:rsidR="00780E94">
        <w:rPr>
          <w:rFonts w:ascii="Times New Roman" w:hAnsi="Times New Roman" w:cs="Times New Roman"/>
          <w:sz w:val="24"/>
          <w:szCs w:val="24"/>
        </w:rPr>
        <w:t xml:space="preserve"> agrees with the Present Value principle and his favoured strategy of estimating the </w:t>
      </w:r>
      <w:r w:rsidR="00780E94">
        <w:rPr>
          <w:rFonts w:ascii="Times New Roman" w:hAnsi="Times New Roman" w:cs="Times New Roman"/>
          <w:sz w:val="24"/>
          <w:szCs w:val="24"/>
        </w:rPr>
        <w:lastRenderedPageBreak/>
        <w:t xml:space="preserve">cost of capital for the market portfolio </w:t>
      </w:r>
      <w:r w:rsidR="00D750FE">
        <w:rPr>
          <w:rFonts w:ascii="Times New Roman" w:hAnsi="Times New Roman" w:cs="Times New Roman"/>
          <w:sz w:val="24"/>
          <w:szCs w:val="24"/>
        </w:rPr>
        <w:t xml:space="preserve">(from the historical average return) </w:t>
      </w:r>
      <w:r w:rsidR="00780E94">
        <w:rPr>
          <w:rFonts w:ascii="Times New Roman" w:hAnsi="Times New Roman" w:cs="Times New Roman"/>
          <w:sz w:val="24"/>
          <w:szCs w:val="24"/>
        </w:rPr>
        <w:t>coupled with the use of the risk free rate prevailing at the commencement of the regulatory cycle (both in real terms) is consistent with the Present Value principle.  Whether it is the best approach is a distinct matter and is the subject of anothe</w:t>
      </w:r>
      <w:r w:rsidR="0098172C">
        <w:rPr>
          <w:rFonts w:ascii="Times New Roman" w:hAnsi="Times New Roman" w:cs="Times New Roman"/>
          <w:sz w:val="24"/>
          <w:szCs w:val="24"/>
        </w:rPr>
        <w:t>r paper.  In addition, Gregory</w:t>
      </w:r>
      <w:r w:rsidR="00780E94">
        <w:rPr>
          <w:rFonts w:ascii="Times New Roman" w:hAnsi="Times New Roman" w:cs="Times New Roman"/>
          <w:sz w:val="24"/>
          <w:szCs w:val="24"/>
        </w:rPr>
        <w:t xml:space="preserve"> appears to agree with the Present Value principle and argues that a long-run historical average of government bond </w:t>
      </w:r>
      <w:r w:rsidR="0098172C">
        <w:rPr>
          <w:rFonts w:ascii="Times New Roman" w:hAnsi="Times New Roman" w:cs="Times New Roman"/>
          <w:sz w:val="24"/>
          <w:szCs w:val="24"/>
        </w:rPr>
        <w:t xml:space="preserve">yields </w:t>
      </w:r>
      <w:r w:rsidR="00780E94">
        <w:rPr>
          <w:rFonts w:ascii="Times New Roman" w:hAnsi="Times New Roman" w:cs="Times New Roman"/>
          <w:sz w:val="24"/>
          <w:szCs w:val="24"/>
        </w:rPr>
        <w:t xml:space="preserve">(or some weight on </w:t>
      </w:r>
      <w:r w:rsidR="0098172C">
        <w:rPr>
          <w:rFonts w:ascii="Times New Roman" w:hAnsi="Times New Roman" w:cs="Times New Roman"/>
          <w:sz w:val="24"/>
          <w:szCs w:val="24"/>
        </w:rPr>
        <w:t xml:space="preserve">this </w:t>
      </w:r>
      <w:r w:rsidR="00780E94">
        <w:rPr>
          <w:rFonts w:ascii="Times New Roman" w:hAnsi="Times New Roman" w:cs="Times New Roman"/>
          <w:sz w:val="24"/>
          <w:szCs w:val="24"/>
        </w:rPr>
        <w:t xml:space="preserve">in conjunction with the current value) could provide an estimate of the risk free rate that is consistent with the Present Value principle, on the grounds that the risk free rate is unobservable because even government bond yields are subject to default, re-investment and inflation risks.  However, whilst government bonds do or may have such characteristics, none of these characteristics support the use of a long-run historical average risk free rate or some weight being placed upon this.  Finally CEG also agree with the Present Value principle but consider that the relevant period for assessing whether a particular approach to parameter estimation is consistent with it is the entire life of the regulated assets rather than each regulatory cycle.  I agree with this.  CEG also favours using a long-run average risk free rate along with a long-run estimate of the MRP on the grounds that </w:t>
      </w:r>
      <w:r w:rsidR="0098172C">
        <w:rPr>
          <w:rFonts w:ascii="Times New Roman" w:hAnsi="Times New Roman" w:cs="Times New Roman"/>
          <w:sz w:val="24"/>
          <w:szCs w:val="24"/>
        </w:rPr>
        <w:t xml:space="preserve">this </w:t>
      </w:r>
      <w:r w:rsidR="00780E94">
        <w:rPr>
          <w:rFonts w:ascii="Times New Roman" w:hAnsi="Times New Roman" w:cs="Times New Roman"/>
          <w:sz w:val="24"/>
          <w:szCs w:val="24"/>
        </w:rPr>
        <w:t>produces the best estimate of the cost of equity for a regulated business over the entire</w:t>
      </w:r>
      <w:r w:rsidR="00946D6E">
        <w:rPr>
          <w:rFonts w:ascii="Times New Roman" w:hAnsi="Times New Roman" w:cs="Times New Roman"/>
          <w:sz w:val="24"/>
          <w:szCs w:val="24"/>
        </w:rPr>
        <w:t xml:space="preserve"> life of the regulated assets.  </w:t>
      </w:r>
      <w:r w:rsidR="0098172C">
        <w:rPr>
          <w:rFonts w:ascii="Times New Roman" w:hAnsi="Times New Roman" w:cs="Times New Roman"/>
          <w:sz w:val="24"/>
          <w:szCs w:val="24"/>
        </w:rPr>
        <w:t xml:space="preserve">However </w:t>
      </w:r>
      <w:r w:rsidR="00D750FE">
        <w:rPr>
          <w:rFonts w:ascii="Times New Roman" w:hAnsi="Times New Roman" w:cs="Times New Roman"/>
          <w:sz w:val="24"/>
          <w:szCs w:val="24"/>
        </w:rPr>
        <w:t xml:space="preserve">this </w:t>
      </w:r>
      <w:r w:rsidR="00946D6E">
        <w:rPr>
          <w:rFonts w:ascii="Times New Roman" w:hAnsi="Times New Roman" w:cs="Times New Roman"/>
          <w:sz w:val="24"/>
          <w:szCs w:val="24"/>
        </w:rPr>
        <w:t xml:space="preserve">approach </w:t>
      </w:r>
      <w:r w:rsidR="00D750FE">
        <w:rPr>
          <w:rFonts w:ascii="Times New Roman" w:hAnsi="Times New Roman" w:cs="Times New Roman"/>
          <w:sz w:val="24"/>
          <w:szCs w:val="24"/>
        </w:rPr>
        <w:t xml:space="preserve">to the risk free rate </w:t>
      </w:r>
      <w:r w:rsidR="00946D6E">
        <w:rPr>
          <w:rFonts w:ascii="Times New Roman" w:hAnsi="Times New Roman" w:cs="Times New Roman"/>
          <w:sz w:val="24"/>
          <w:szCs w:val="24"/>
        </w:rPr>
        <w:t>is not consistent with the Present Value principle</w:t>
      </w:r>
      <w:r w:rsidR="003B4994">
        <w:rPr>
          <w:rFonts w:ascii="Times New Roman" w:hAnsi="Times New Roman" w:cs="Times New Roman"/>
          <w:sz w:val="24"/>
          <w:szCs w:val="24"/>
        </w:rPr>
        <w:t>,</w:t>
      </w:r>
      <w:r w:rsidR="00946D6E">
        <w:rPr>
          <w:rFonts w:ascii="Times New Roman" w:hAnsi="Times New Roman" w:cs="Times New Roman"/>
          <w:sz w:val="24"/>
          <w:szCs w:val="24"/>
        </w:rPr>
        <w:t xml:space="preserve"> except in the</w:t>
      </w:r>
      <w:r w:rsidR="004C3B04">
        <w:rPr>
          <w:rFonts w:ascii="Times New Roman" w:hAnsi="Times New Roman" w:cs="Times New Roman"/>
          <w:sz w:val="24"/>
          <w:szCs w:val="24"/>
        </w:rPr>
        <w:t xml:space="preserve"> special case where beta is 1</w:t>
      </w:r>
      <w:r w:rsidR="003B4994">
        <w:rPr>
          <w:rFonts w:ascii="Times New Roman" w:hAnsi="Times New Roman" w:cs="Times New Roman"/>
          <w:sz w:val="24"/>
          <w:szCs w:val="24"/>
        </w:rPr>
        <w:t xml:space="preserve"> because CEG’s approach then coincides with Wright’s preferred approach</w:t>
      </w:r>
      <w:r w:rsidR="004C3B04">
        <w:rPr>
          <w:rFonts w:ascii="Times New Roman" w:hAnsi="Times New Roman" w:cs="Times New Roman"/>
          <w:sz w:val="24"/>
          <w:szCs w:val="24"/>
        </w:rPr>
        <w:t xml:space="preserve">.  Furthermore, even under the idealised conditions underpinning CEG’s approach in which </w:t>
      </w:r>
      <w:proofErr w:type="gramStart"/>
      <w:r w:rsidR="004C3B04" w:rsidRPr="00E00F52">
        <w:rPr>
          <w:rFonts w:ascii="Times New Roman" w:hAnsi="Times New Roman" w:cs="Times New Roman"/>
          <w:i/>
          <w:sz w:val="24"/>
          <w:szCs w:val="24"/>
        </w:rPr>
        <w:t>E</w:t>
      </w:r>
      <w:r w:rsidR="004C3B04">
        <w:rPr>
          <w:rFonts w:ascii="Times New Roman" w:hAnsi="Times New Roman" w:cs="Times New Roman"/>
          <w:sz w:val="24"/>
          <w:szCs w:val="24"/>
        </w:rPr>
        <w:t>(</w:t>
      </w:r>
      <w:proofErr w:type="spellStart"/>
      <w:proofErr w:type="gramEnd"/>
      <w:r w:rsidR="004C3B04" w:rsidRPr="00E00F52">
        <w:rPr>
          <w:rFonts w:ascii="Times New Roman" w:hAnsi="Times New Roman" w:cs="Times New Roman"/>
          <w:i/>
          <w:sz w:val="24"/>
          <w:szCs w:val="24"/>
        </w:rPr>
        <w:t>R</w:t>
      </w:r>
      <w:r w:rsidR="004C3B04" w:rsidRPr="00E00F52">
        <w:rPr>
          <w:rFonts w:ascii="Times New Roman" w:hAnsi="Times New Roman" w:cs="Times New Roman"/>
          <w:i/>
          <w:sz w:val="24"/>
          <w:szCs w:val="24"/>
          <w:vertAlign w:val="subscript"/>
        </w:rPr>
        <w:t>m</w:t>
      </w:r>
      <w:proofErr w:type="spellEnd"/>
      <w:r w:rsidR="004C3B04">
        <w:rPr>
          <w:rFonts w:ascii="Times New Roman" w:hAnsi="Times New Roman" w:cs="Times New Roman"/>
          <w:sz w:val="24"/>
          <w:szCs w:val="24"/>
        </w:rPr>
        <w:t xml:space="preserve">) is constant over time, their approach is </w:t>
      </w:r>
      <w:r w:rsidR="003B4994">
        <w:rPr>
          <w:rFonts w:ascii="Times New Roman" w:hAnsi="Times New Roman" w:cs="Times New Roman"/>
          <w:sz w:val="24"/>
          <w:szCs w:val="24"/>
        </w:rPr>
        <w:t xml:space="preserve">still </w:t>
      </w:r>
      <w:r w:rsidR="004C3B04">
        <w:rPr>
          <w:rFonts w:ascii="Times New Roman" w:hAnsi="Times New Roman" w:cs="Times New Roman"/>
          <w:sz w:val="24"/>
          <w:szCs w:val="24"/>
        </w:rPr>
        <w:t>inferior to Wright’s approach.</w:t>
      </w:r>
    </w:p>
    <w:p w:rsidR="00A11F94" w:rsidRDefault="00A11F94" w:rsidP="00FE1FA5">
      <w:pPr>
        <w:spacing w:after="0" w:line="360" w:lineRule="auto"/>
        <w:jc w:val="both"/>
        <w:rPr>
          <w:rFonts w:ascii="Times New Roman" w:hAnsi="Times New Roman" w:cs="Times New Roman"/>
          <w:sz w:val="24"/>
          <w:szCs w:val="24"/>
        </w:rPr>
      </w:pPr>
    </w:p>
    <w:p w:rsidR="00FE1FA5" w:rsidRDefault="00FE1FA5" w:rsidP="00085E36">
      <w:pPr>
        <w:spacing w:after="0" w:line="360" w:lineRule="auto"/>
        <w:jc w:val="both"/>
        <w:rPr>
          <w:rFonts w:ascii="Times New Roman" w:hAnsi="Times New Roman" w:cs="Times New Roman"/>
          <w:sz w:val="24"/>
          <w:szCs w:val="24"/>
        </w:rPr>
      </w:pPr>
    </w:p>
    <w:p w:rsidR="008A2A40" w:rsidRDefault="008A2A40" w:rsidP="005A7907">
      <w:pPr>
        <w:spacing w:after="0" w:line="360" w:lineRule="auto"/>
        <w:jc w:val="both"/>
        <w:rPr>
          <w:rFonts w:ascii="Times New Roman" w:hAnsi="Times New Roman" w:cs="Times New Roman"/>
          <w:sz w:val="24"/>
          <w:szCs w:val="24"/>
        </w:rPr>
      </w:pPr>
    </w:p>
    <w:p w:rsidR="005A7907" w:rsidRDefault="005A7907" w:rsidP="00DE23AF">
      <w:pPr>
        <w:spacing w:after="0" w:line="360" w:lineRule="auto"/>
        <w:jc w:val="both"/>
        <w:rPr>
          <w:rFonts w:ascii="Times New Roman" w:hAnsi="Times New Roman" w:cs="Times New Roman"/>
          <w:sz w:val="24"/>
          <w:szCs w:val="24"/>
        </w:rPr>
      </w:pPr>
    </w:p>
    <w:p w:rsidR="00EF7EDC" w:rsidRDefault="00EF7EDC" w:rsidP="00DE23AF">
      <w:pPr>
        <w:spacing w:after="0" w:line="360" w:lineRule="auto"/>
        <w:jc w:val="both"/>
        <w:rPr>
          <w:rFonts w:ascii="Times New Roman" w:hAnsi="Times New Roman" w:cs="Times New Roman"/>
          <w:sz w:val="24"/>
          <w:szCs w:val="24"/>
        </w:rPr>
      </w:pPr>
    </w:p>
    <w:p w:rsidR="00F171CB" w:rsidRDefault="00F171CB">
      <w:pPr>
        <w:rPr>
          <w:rFonts w:ascii="Times New Roman" w:hAnsi="Times New Roman" w:cs="Times New Roman"/>
          <w:sz w:val="24"/>
          <w:szCs w:val="24"/>
        </w:rPr>
      </w:pPr>
      <w:r>
        <w:rPr>
          <w:rFonts w:ascii="Times New Roman" w:hAnsi="Times New Roman" w:cs="Times New Roman"/>
          <w:sz w:val="24"/>
          <w:szCs w:val="24"/>
        </w:rPr>
        <w:br w:type="page"/>
      </w:r>
    </w:p>
    <w:p w:rsidR="00D66208" w:rsidRDefault="00D66208" w:rsidP="009D67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REFERENCES</w:t>
      </w:r>
    </w:p>
    <w:p w:rsidR="00D66208" w:rsidRDefault="00D66208" w:rsidP="009D6700">
      <w:pPr>
        <w:spacing w:after="0" w:line="240" w:lineRule="auto"/>
        <w:jc w:val="both"/>
        <w:rPr>
          <w:rFonts w:ascii="Times New Roman" w:hAnsi="Times New Roman" w:cs="Times New Roman"/>
          <w:sz w:val="24"/>
          <w:szCs w:val="24"/>
        </w:rPr>
      </w:pPr>
    </w:p>
    <w:p w:rsidR="00DE23AF" w:rsidRPr="00DE23AF" w:rsidRDefault="00DE23AF" w:rsidP="009D6700">
      <w:pPr>
        <w:pStyle w:val="BodyText"/>
        <w:spacing w:line="240" w:lineRule="auto"/>
      </w:pPr>
      <w:proofErr w:type="gramStart"/>
      <w:r>
        <w:t xml:space="preserve">AER, 2012, </w:t>
      </w:r>
      <w:r>
        <w:rPr>
          <w:i/>
        </w:rPr>
        <w:t>Final Distribution Determination Aurora Energy Pty Ltd 2012-13 to 2016-17</w:t>
      </w:r>
      <w:r>
        <w:t xml:space="preserve"> (</w:t>
      </w:r>
      <w:hyperlink r:id="rId32" w:history="1">
        <w:r w:rsidRPr="003160F3">
          <w:rPr>
            <w:rStyle w:val="Hyperlink"/>
          </w:rPr>
          <w:t>www.aer.gov.au</w:t>
        </w:r>
      </w:hyperlink>
      <w:r>
        <w:t>).</w:t>
      </w:r>
      <w:proofErr w:type="gramEnd"/>
    </w:p>
    <w:p w:rsidR="00052CFD" w:rsidRDefault="00052CFD" w:rsidP="009D6700">
      <w:pPr>
        <w:spacing w:after="0" w:line="240" w:lineRule="auto"/>
        <w:jc w:val="both"/>
        <w:rPr>
          <w:rFonts w:ascii="Times New Roman" w:hAnsi="Times New Roman" w:cs="Times New Roman"/>
          <w:sz w:val="24"/>
          <w:szCs w:val="24"/>
        </w:rPr>
      </w:pPr>
    </w:p>
    <w:p w:rsidR="00D66208" w:rsidRDefault="00D66208" w:rsidP="009D67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CEG.</w:t>
      </w:r>
      <w:proofErr w:type="gramEnd"/>
      <w:r>
        <w:rPr>
          <w:rFonts w:ascii="Times New Roman" w:hAnsi="Times New Roman" w:cs="Times New Roman"/>
          <w:sz w:val="24"/>
          <w:szCs w:val="24"/>
        </w:rPr>
        <w:t xml:space="preserve"> 2012</w:t>
      </w:r>
      <w:r w:rsidR="007E6B57">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Internal Consistency of Risk Free Rate and MRP in the CAPM</w:t>
      </w:r>
      <w:r>
        <w:rPr>
          <w:rFonts w:ascii="Times New Roman" w:hAnsi="Times New Roman" w:cs="Times New Roman"/>
          <w:sz w:val="24"/>
          <w:szCs w:val="24"/>
        </w:rPr>
        <w:t xml:space="preserve">, report prepared for </w:t>
      </w:r>
      <w:proofErr w:type="spellStart"/>
      <w:r>
        <w:rPr>
          <w:rFonts w:ascii="Times New Roman" w:hAnsi="Times New Roman" w:cs="Times New Roman"/>
          <w:sz w:val="24"/>
          <w:szCs w:val="24"/>
        </w:rPr>
        <w:t>Envestra</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AusNet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Multinet</w:t>
      </w:r>
      <w:proofErr w:type="spellEnd"/>
      <w:r>
        <w:rPr>
          <w:rFonts w:ascii="Times New Roman" w:hAnsi="Times New Roman" w:cs="Times New Roman"/>
          <w:sz w:val="24"/>
          <w:szCs w:val="24"/>
        </w:rPr>
        <w:t xml:space="preserve"> and APA</w:t>
      </w:r>
      <w:r w:rsidR="000435EB">
        <w:rPr>
          <w:rFonts w:ascii="Times New Roman" w:hAnsi="Times New Roman" w:cs="Times New Roman"/>
          <w:sz w:val="24"/>
          <w:szCs w:val="24"/>
        </w:rPr>
        <w:t xml:space="preserve"> (</w:t>
      </w:r>
      <w:hyperlink r:id="rId33" w:history="1">
        <w:r w:rsidR="000435EB" w:rsidRPr="00A70FB4">
          <w:rPr>
            <w:rStyle w:val="Hyperlink"/>
            <w:rFonts w:ascii="Times New Roman" w:hAnsi="Times New Roman" w:cs="Times New Roman"/>
            <w:sz w:val="24"/>
            <w:szCs w:val="24"/>
          </w:rPr>
          <w:t>www.aer.gov.au</w:t>
        </w:r>
      </w:hyperlink>
      <w:r w:rsidR="000435EB">
        <w:rPr>
          <w:rFonts w:ascii="Times New Roman" w:hAnsi="Times New Roman" w:cs="Times New Roman"/>
          <w:sz w:val="24"/>
          <w:szCs w:val="24"/>
        </w:rPr>
        <w:t>).</w:t>
      </w:r>
    </w:p>
    <w:p w:rsidR="007E6B57" w:rsidRDefault="007E6B57" w:rsidP="009D6700">
      <w:pPr>
        <w:spacing w:after="0" w:line="240" w:lineRule="auto"/>
        <w:jc w:val="both"/>
        <w:rPr>
          <w:rFonts w:ascii="Times New Roman" w:hAnsi="Times New Roman" w:cs="Times New Roman"/>
          <w:sz w:val="24"/>
          <w:szCs w:val="24"/>
        </w:rPr>
      </w:pPr>
    </w:p>
    <w:p w:rsidR="007E6B57" w:rsidRPr="007E6B57" w:rsidRDefault="007E6B57" w:rsidP="009D6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2012b, </w:t>
      </w:r>
      <w:r>
        <w:rPr>
          <w:rFonts w:ascii="Times New Roman" w:hAnsi="Times New Roman" w:cs="Times New Roman"/>
          <w:i/>
          <w:sz w:val="24"/>
          <w:szCs w:val="24"/>
        </w:rPr>
        <w:t>Response to AER Vic Gas Draft Decision</w:t>
      </w:r>
      <w:r>
        <w:rPr>
          <w:rFonts w:ascii="Times New Roman" w:hAnsi="Times New Roman" w:cs="Times New Roman"/>
          <w:sz w:val="24"/>
          <w:szCs w:val="24"/>
        </w:rPr>
        <w:t xml:space="preserve">, report prepared for </w:t>
      </w:r>
      <w:proofErr w:type="spellStart"/>
      <w:r>
        <w:rPr>
          <w:rFonts w:ascii="Times New Roman" w:hAnsi="Times New Roman" w:cs="Times New Roman"/>
          <w:sz w:val="24"/>
          <w:szCs w:val="24"/>
        </w:rPr>
        <w:t>Envestra</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AusNet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Multinet</w:t>
      </w:r>
      <w:proofErr w:type="spellEnd"/>
      <w:r>
        <w:rPr>
          <w:rFonts w:ascii="Times New Roman" w:hAnsi="Times New Roman" w:cs="Times New Roman"/>
          <w:sz w:val="24"/>
          <w:szCs w:val="24"/>
        </w:rPr>
        <w:t xml:space="preserve"> and APA (</w:t>
      </w:r>
      <w:hyperlink r:id="rId34" w:history="1">
        <w:r w:rsidRPr="00A70FB4">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D1192F" w:rsidRDefault="00D1192F" w:rsidP="009D6700">
      <w:pPr>
        <w:spacing w:after="0" w:line="240" w:lineRule="auto"/>
        <w:rPr>
          <w:rFonts w:ascii="Times New Roman" w:hAnsi="Times New Roman" w:cs="Times New Roman"/>
          <w:sz w:val="24"/>
          <w:szCs w:val="24"/>
        </w:rPr>
      </w:pPr>
    </w:p>
    <w:p w:rsidR="009D6700" w:rsidRDefault="009D6700" w:rsidP="009D6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Gregory, A., 2012</w:t>
      </w:r>
      <w:r w:rsidR="00D34074">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The Risk Free Rate and the Present Value Principle</w:t>
      </w:r>
      <w:r>
        <w:rPr>
          <w:rFonts w:ascii="Times New Roman" w:hAnsi="Times New Roman" w:cs="Times New Roman"/>
          <w:sz w:val="24"/>
          <w:szCs w:val="24"/>
        </w:rPr>
        <w:t xml:space="preserve">, report </w:t>
      </w:r>
      <w:r w:rsidR="00D34074">
        <w:rPr>
          <w:rFonts w:ascii="Times New Roman" w:hAnsi="Times New Roman" w:cs="Times New Roman"/>
          <w:sz w:val="24"/>
          <w:szCs w:val="24"/>
        </w:rPr>
        <w:t xml:space="preserve">prepared for </w:t>
      </w:r>
      <w:proofErr w:type="spellStart"/>
      <w:r w:rsidR="00D34074">
        <w:rPr>
          <w:rFonts w:ascii="Times New Roman" w:hAnsi="Times New Roman" w:cs="Times New Roman"/>
          <w:sz w:val="24"/>
          <w:szCs w:val="24"/>
        </w:rPr>
        <w:t>Envestra</w:t>
      </w:r>
      <w:proofErr w:type="spellEnd"/>
      <w:r w:rsidR="00D34074">
        <w:rPr>
          <w:rFonts w:ascii="Times New Roman" w:hAnsi="Times New Roman" w:cs="Times New Roman"/>
          <w:sz w:val="24"/>
          <w:szCs w:val="24"/>
        </w:rPr>
        <w:t xml:space="preserve">, SP </w:t>
      </w:r>
      <w:proofErr w:type="spellStart"/>
      <w:r w:rsidR="00D34074">
        <w:rPr>
          <w:rFonts w:ascii="Times New Roman" w:hAnsi="Times New Roman" w:cs="Times New Roman"/>
          <w:sz w:val="24"/>
          <w:szCs w:val="24"/>
        </w:rPr>
        <w:t>AusNet</w:t>
      </w:r>
      <w:proofErr w:type="spellEnd"/>
      <w:r w:rsidR="00D34074">
        <w:rPr>
          <w:rFonts w:ascii="Times New Roman" w:hAnsi="Times New Roman" w:cs="Times New Roman"/>
          <w:sz w:val="24"/>
          <w:szCs w:val="24"/>
        </w:rPr>
        <w:t xml:space="preserve">, </w:t>
      </w:r>
      <w:proofErr w:type="spellStart"/>
      <w:r w:rsidR="00D34074">
        <w:rPr>
          <w:rFonts w:ascii="Times New Roman" w:hAnsi="Times New Roman" w:cs="Times New Roman"/>
          <w:sz w:val="24"/>
          <w:szCs w:val="24"/>
        </w:rPr>
        <w:t>Multinet</w:t>
      </w:r>
      <w:proofErr w:type="spellEnd"/>
      <w:r w:rsidR="00D34074">
        <w:rPr>
          <w:rFonts w:ascii="Times New Roman" w:hAnsi="Times New Roman" w:cs="Times New Roman"/>
          <w:sz w:val="24"/>
          <w:szCs w:val="24"/>
        </w:rPr>
        <w:t xml:space="preserve"> and APA (</w:t>
      </w:r>
      <w:hyperlink r:id="rId35" w:history="1">
        <w:r w:rsidR="00D34074" w:rsidRPr="00A70FB4">
          <w:rPr>
            <w:rStyle w:val="Hyperlink"/>
            <w:rFonts w:ascii="Times New Roman" w:hAnsi="Times New Roman" w:cs="Times New Roman"/>
            <w:sz w:val="24"/>
            <w:szCs w:val="24"/>
          </w:rPr>
          <w:t>www.aer.gov.au</w:t>
        </w:r>
      </w:hyperlink>
      <w:r w:rsidR="00D34074">
        <w:rPr>
          <w:rFonts w:ascii="Times New Roman" w:hAnsi="Times New Roman" w:cs="Times New Roman"/>
          <w:sz w:val="24"/>
          <w:szCs w:val="24"/>
        </w:rPr>
        <w:t>).</w:t>
      </w:r>
    </w:p>
    <w:p w:rsidR="00D34074" w:rsidRDefault="00D34074" w:rsidP="009D6700">
      <w:pPr>
        <w:spacing w:after="0" w:line="240" w:lineRule="auto"/>
        <w:jc w:val="both"/>
        <w:rPr>
          <w:rFonts w:ascii="Times New Roman" w:hAnsi="Times New Roman" w:cs="Times New Roman"/>
          <w:sz w:val="24"/>
          <w:szCs w:val="24"/>
        </w:rPr>
      </w:pPr>
    </w:p>
    <w:p w:rsidR="00D34074" w:rsidRPr="00D34074" w:rsidRDefault="00D34074" w:rsidP="009D6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 2012b, </w:t>
      </w:r>
      <w:r>
        <w:rPr>
          <w:rFonts w:ascii="Times New Roman" w:hAnsi="Times New Roman" w:cs="Times New Roman"/>
          <w:i/>
          <w:sz w:val="24"/>
          <w:szCs w:val="24"/>
        </w:rPr>
        <w:t>The AER Approach to Establishing the Cost of Equity – Analysis of the Method Used to Establish the Risk Free Rate and the Market Risk Premium</w:t>
      </w:r>
      <w:r>
        <w:rPr>
          <w:rFonts w:ascii="Times New Roman" w:hAnsi="Times New Roman" w:cs="Times New Roman"/>
          <w:sz w:val="24"/>
          <w:szCs w:val="24"/>
        </w:rPr>
        <w:t xml:space="preserve">, report prepared for </w:t>
      </w:r>
      <w:proofErr w:type="spellStart"/>
      <w:r>
        <w:rPr>
          <w:rFonts w:ascii="Times New Roman" w:hAnsi="Times New Roman" w:cs="Times New Roman"/>
          <w:sz w:val="24"/>
          <w:szCs w:val="24"/>
        </w:rPr>
        <w:t>Envestra</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AusNet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Multinet</w:t>
      </w:r>
      <w:proofErr w:type="spellEnd"/>
      <w:r>
        <w:rPr>
          <w:rFonts w:ascii="Times New Roman" w:hAnsi="Times New Roman" w:cs="Times New Roman"/>
          <w:sz w:val="24"/>
          <w:szCs w:val="24"/>
        </w:rPr>
        <w:t xml:space="preserve"> and APA (</w:t>
      </w:r>
      <w:hyperlink r:id="rId36" w:history="1">
        <w:r w:rsidRPr="00A70FB4">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860D4D" w:rsidRPr="00860D4D" w:rsidRDefault="00860D4D" w:rsidP="00860D4D">
      <w:pPr>
        <w:spacing w:after="0" w:line="240" w:lineRule="auto"/>
        <w:jc w:val="both"/>
        <w:rPr>
          <w:rFonts w:ascii="Times New Roman" w:eastAsia="SimSun" w:hAnsi="Times New Roman" w:cs="Times New Roman"/>
          <w:sz w:val="24"/>
          <w:szCs w:val="24"/>
        </w:rPr>
      </w:pPr>
    </w:p>
    <w:p w:rsidR="00860D4D" w:rsidRPr="00860D4D" w:rsidRDefault="00860D4D" w:rsidP="00860D4D">
      <w:pPr>
        <w:spacing w:after="0" w:line="240" w:lineRule="auto"/>
        <w:jc w:val="both"/>
        <w:rPr>
          <w:rFonts w:ascii="Times New Roman" w:eastAsia="SimSun" w:hAnsi="Times New Roman" w:cs="Times New Roman"/>
          <w:sz w:val="24"/>
          <w:szCs w:val="24"/>
        </w:rPr>
      </w:pPr>
      <w:proofErr w:type="spellStart"/>
      <w:r w:rsidRPr="00860D4D">
        <w:rPr>
          <w:rFonts w:ascii="Times New Roman" w:eastAsia="SimSun" w:hAnsi="Times New Roman" w:cs="Times New Roman"/>
          <w:sz w:val="24"/>
          <w:szCs w:val="24"/>
        </w:rPr>
        <w:t>Handa</w:t>
      </w:r>
      <w:proofErr w:type="spellEnd"/>
      <w:r w:rsidRPr="00860D4D">
        <w:rPr>
          <w:rFonts w:ascii="Times New Roman" w:eastAsia="SimSun" w:hAnsi="Times New Roman" w:cs="Times New Roman"/>
          <w:sz w:val="24"/>
          <w:szCs w:val="24"/>
        </w:rPr>
        <w:t xml:space="preserve">, P., Kothari, S. and </w:t>
      </w:r>
      <w:proofErr w:type="spellStart"/>
      <w:r w:rsidRPr="00860D4D">
        <w:rPr>
          <w:rFonts w:ascii="Times New Roman" w:eastAsia="SimSun" w:hAnsi="Times New Roman" w:cs="Times New Roman"/>
          <w:sz w:val="24"/>
          <w:szCs w:val="24"/>
        </w:rPr>
        <w:t>Wasley</w:t>
      </w:r>
      <w:proofErr w:type="spellEnd"/>
      <w:r w:rsidRPr="00860D4D">
        <w:rPr>
          <w:rFonts w:ascii="Times New Roman" w:eastAsia="SimSun" w:hAnsi="Times New Roman" w:cs="Times New Roman"/>
          <w:sz w:val="24"/>
          <w:szCs w:val="24"/>
        </w:rPr>
        <w:t>, C. 1989, ‘</w:t>
      </w:r>
      <w:proofErr w:type="gramStart"/>
      <w:r w:rsidRPr="00860D4D">
        <w:rPr>
          <w:rFonts w:ascii="Times New Roman" w:eastAsia="SimSun" w:hAnsi="Times New Roman" w:cs="Times New Roman"/>
          <w:sz w:val="24"/>
          <w:szCs w:val="24"/>
        </w:rPr>
        <w:t>The</w:t>
      </w:r>
      <w:proofErr w:type="gramEnd"/>
      <w:r w:rsidRPr="00860D4D">
        <w:rPr>
          <w:rFonts w:ascii="Times New Roman" w:eastAsia="SimSun" w:hAnsi="Times New Roman" w:cs="Times New Roman"/>
          <w:sz w:val="24"/>
          <w:szCs w:val="24"/>
        </w:rPr>
        <w:t xml:space="preserve"> Relation Between the Return Interval and Betas: Implications for the Size Effect’, </w:t>
      </w:r>
      <w:r w:rsidRPr="00860D4D">
        <w:rPr>
          <w:rFonts w:ascii="Times New Roman" w:eastAsia="SimSun" w:hAnsi="Times New Roman" w:cs="Times New Roman"/>
          <w:i/>
          <w:sz w:val="24"/>
          <w:szCs w:val="24"/>
        </w:rPr>
        <w:t>Journal of Financial Economics</w:t>
      </w:r>
      <w:r w:rsidRPr="00860D4D">
        <w:rPr>
          <w:rFonts w:ascii="Times New Roman" w:eastAsia="SimSun" w:hAnsi="Times New Roman" w:cs="Times New Roman"/>
          <w:sz w:val="24"/>
          <w:szCs w:val="24"/>
        </w:rPr>
        <w:t xml:space="preserve">, vol. 23, pp. 79-100. </w:t>
      </w:r>
    </w:p>
    <w:p w:rsidR="009D6700" w:rsidRPr="00860D4D" w:rsidRDefault="009D6700" w:rsidP="00860D4D">
      <w:pPr>
        <w:spacing w:after="0" w:line="240" w:lineRule="auto"/>
        <w:jc w:val="both"/>
        <w:rPr>
          <w:rFonts w:ascii="Times New Roman" w:hAnsi="Times New Roman" w:cs="Times New Roman"/>
          <w:sz w:val="24"/>
          <w:szCs w:val="24"/>
        </w:rPr>
      </w:pPr>
    </w:p>
    <w:p w:rsidR="009D6700" w:rsidRDefault="009D6700" w:rsidP="009D6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Lally, M., 2012a, </w:t>
      </w:r>
      <w:r>
        <w:rPr>
          <w:rFonts w:ascii="Times New Roman" w:hAnsi="Times New Roman" w:cs="Times New Roman"/>
          <w:i/>
          <w:sz w:val="24"/>
          <w:szCs w:val="24"/>
        </w:rPr>
        <w:t>The Risk Free Rate and the Present Value Principle</w:t>
      </w:r>
      <w:r>
        <w:rPr>
          <w:rFonts w:ascii="Times New Roman" w:hAnsi="Times New Roman" w:cs="Times New Roman"/>
          <w:sz w:val="24"/>
          <w:szCs w:val="24"/>
        </w:rPr>
        <w:t>, report prepared for the AER (</w:t>
      </w:r>
      <w:hyperlink r:id="rId37" w:history="1">
        <w:r w:rsidRPr="00705954">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9D6700" w:rsidRDefault="009D6700" w:rsidP="009D6700">
      <w:pPr>
        <w:spacing w:after="0" w:line="240" w:lineRule="auto"/>
        <w:jc w:val="both"/>
        <w:rPr>
          <w:rFonts w:ascii="Times New Roman" w:hAnsi="Times New Roman" w:cs="Times New Roman"/>
          <w:sz w:val="24"/>
          <w:szCs w:val="24"/>
        </w:rPr>
      </w:pPr>
    </w:p>
    <w:p w:rsidR="009D6700" w:rsidRDefault="009D6700" w:rsidP="009D6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2012b, </w:t>
      </w:r>
      <w:r>
        <w:rPr>
          <w:rFonts w:ascii="Times New Roman" w:hAnsi="Times New Roman" w:cs="Times New Roman"/>
          <w:i/>
          <w:sz w:val="24"/>
          <w:szCs w:val="24"/>
        </w:rPr>
        <w:t>The Cost of Equity and the Market Risk Premium</w:t>
      </w:r>
      <w:r>
        <w:rPr>
          <w:rFonts w:ascii="Times New Roman" w:hAnsi="Times New Roman" w:cs="Times New Roman"/>
          <w:sz w:val="24"/>
          <w:szCs w:val="24"/>
        </w:rPr>
        <w:t>, report prepared for the AER (</w:t>
      </w:r>
      <w:hyperlink r:id="rId38" w:history="1">
        <w:r w:rsidRPr="00705954">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98172C" w:rsidRDefault="0098172C" w:rsidP="009D6700">
      <w:pPr>
        <w:spacing w:after="0" w:line="240" w:lineRule="auto"/>
        <w:jc w:val="both"/>
        <w:rPr>
          <w:rFonts w:ascii="Times New Roman" w:hAnsi="Times New Roman" w:cs="Times New Roman"/>
          <w:sz w:val="24"/>
          <w:szCs w:val="24"/>
        </w:rPr>
      </w:pPr>
    </w:p>
    <w:p w:rsidR="0098172C" w:rsidRPr="00F460C6" w:rsidRDefault="0098172C" w:rsidP="009D6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 2013</w:t>
      </w:r>
      <w:r w:rsidR="00A81D7B">
        <w:rPr>
          <w:rFonts w:ascii="Times New Roman" w:hAnsi="Times New Roman" w:cs="Times New Roman"/>
          <w:sz w:val="24"/>
          <w:szCs w:val="24"/>
        </w:rPr>
        <w:t xml:space="preserve">, </w:t>
      </w:r>
      <w:r w:rsidR="00F460C6">
        <w:rPr>
          <w:rFonts w:ascii="Times New Roman" w:hAnsi="Times New Roman" w:cs="Times New Roman"/>
          <w:i/>
          <w:sz w:val="24"/>
          <w:szCs w:val="24"/>
        </w:rPr>
        <w:t>Review of the AER’s Methodology</w:t>
      </w:r>
      <w:r w:rsidR="00F460C6">
        <w:rPr>
          <w:rFonts w:ascii="Times New Roman" w:hAnsi="Times New Roman" w:cs="Times New Roman"/>
          <w:sz w:val="24"/>
          <w:szCs w:val="24"/>
        </w:rPr>
        <w:t>, report prepared for the AER.</w:t>
      </w:r>
    </w:p>
    <w:p w:rsidR="002427CB" w:rsidRDefault="002427CB" w:rsidP="002427CB">
      <w:pPr>
        <w:pStyle w:val="BodyText"/>
        <w:spacing w:line="240" w:lineRule="auto"/>
      </w:pPr>
    </w:p>
    <w:p w:rsidR="002427CB" w:rsidRPr="002427CB" w:rsidRDefault="002427CB" w:rsidP="002427CB">
      <w:pPr>
        <w:pStyle w:val="BodyText"/>
        <w:spacing w:line="240" w:lineRule="auto"/>
      </w:pPr>
      <w:proofErr w:type="spellStart"/>
      <w:proofErr w:type="gramStart"/>
      <w:r w:rsidRPr="002427CB">
        <w:t>Levhari</w:t>
      </w:r>
      <w:proofErr w:type="spellEnd"/>
      <w:r w:rsidRPr="002427CB">
        <w:t xml:space="preserve">, D. and Levy, H. 1977, ‘The Capital Asset Pricing Model and the Investment Horizon’, </w:t>
      </w:r>
      <w:r w:rsidRPr="002427CB">
        <w:rPr>
          <w:i/>
        </w:rPr>
        <w:t>The Review of Economics and Statistics</w:t>
      </w:r>
      <w:r w:rsidRPr="002427CB">
        <w:t>, vol. 59, pp. 92-104.</w:t>
      </w:r>
      <w:proofErr w:type="gramEnd"/>
    </w:p>
    <w:p w:rsidR="00C651B9" w:rsidRPr="002427CB" w:rsidRDefault="00C651B9" w:rsidP="00C651B9">
      <w:pPr>
        <w:spacing w:after="0" w:line="240" w:lineRule="auto"/>
        <w:jc w:val="both"/>
        <w:rPr>
          <w:rFonts w:ascii="Times New Roman" w:hAnsi="Times New Roman" w:cs="Times New Roman"/>
          <w:sz w:val="24"/>
          <w:szCs w:val="24"/>
          <w:lang w:val="en-GB"/>
        </w:rPr>
      </w:pPr>
    </w:p>
    <w:p w:rsidR="00C651B9" w:rsidRDefault="00C651B9" w:rsidP="00C651B9">
      <w:pPr>
        <w:pStyle w:val="BodyText"/>
        <w:spacing w:line="240" w:lineRule="auto"/>
        <w:rPr>
          <w:b/>
          <w:bCs/>
        </w:rPr>
      </w:pPr>
      <w:proofErr w:type="spellStart"/>
      <w:r>
        <w:t>Lintner</w:t>
      </w:r>
      <w:proofErr w:type="spellEnd"/>
      <w:r>
        <w:t xml:space="preserve">, J., 1965, ‘The Valuation of Risky Assets and the Selection of Investments in Stock Portfolios and Capital Budgets’, </w:t>
      </w:r>
      <w:r>
        <w:rPr>
          <w:i/>
        </w:rPr>
        <w:t>Review of Economics and Statistics</w:t>
      </w:r>
      <w:r>
        <w:t>, vol.47, pp.13-37.</w:t>
      </w:r>
    </w:p>
    <w:p w:rsidR="00C651B9" w:rsidRDefault="00C651B9" w:rsidP="00C651B9">
      <w:pPr>
        <w:spacing w:after="0" w:line="240" w:lineRule="auto"/>
        <w:jc w:val="both"/>
        <w:rPr>
          <w:rFonts w:ascii="Times New Roman" w:hAnsi="Times New Roman" w:cs="Times New Roman"/>
          <w:sz w:val="24"/>
          <w:szCs w:val="24"/>
          <w:lang w:val="en-GB"/>
        </w:rPr>
      </w:pPr>
    </w:p>
    <w:p w:rsidR="00C651B9" w:rsidRDefault="00C651B9" w:rsidP="00C651B9">
      <w:pPr>
        <w:pStyle w:val="BodyText"/>
        <w:spacing w:line="240" w:lineRule="auto"/>
        <w:rPr>
          <w:b/>
          <w:bCs/>
        </w:rPr>
      </w:pPr>
      <w:proofErr w:type="spellStart"/>
      <w:r>
        <w:t>Mossin</w:t>
      </w:r>
      <w:proofErr w:type="spellEnd"/>
      <w:r>
        <w:t xml:space="preserve">, J., 1966, ‘Equilibrium in a Capital Asset Market’, </w:t>
      </w:r>
      <w:proofErr w:type="spellStart"/>
      <w:r>
        <w:rPr>
          <w:i/>
        </w:rPr>
        <w:t>Econometrica</w:t>
      </w:r>
      <w:proofErr w:type="spellEnd"/>
      <w:r>
        <w:t>, vol. 24, pp. 768-783.</w:t>
      </w:r>
    </w:p>
    <w:p w:rsidR="00C651B9" w:rsidRDefault="00C651B9" w:rsidP="009D6700">
      <w:pPr>
        <w:pStyle w:val="BodyText"/>
        <w:spacing w:line="240" w:lineRule="auto"/>
      </w:pPr>
    </w:p>
    <w:p w:rsidR="009D6700" w:rsidRDefault="009D6700" w:rsidP="009D6700">
      <w:pPr>
        <w:pStyle w:val="BodyText"/>
        <w:spacing w:line="240" w:lineRule="auto"/>
        <w:rPr>
          <w:b/>
          <w:bCs/>
        </w:rPr>
      </w:pPr>
      <w:r>
        <w:t xml:space="preserve">Sharpe, W., 1964, ‘Capital Asset Prices: A Theory of Market Equilibrium under Conditions of Risk’, </w:t>
      </w:r>
      <w:r>
        <w:rPr>
          <w:i/>
        </w:rPr>
        <w:t>Journal of Finance</w:t>
      </w:r>
      <w:r>
        <w:t>, vol. 19, pp. 425-442.</w:t>
      </w:r>
    </w:p>
    <w:p w:rsidR="009D6700" w:rsidRPr="009D6700" w:rsidRDefault="009D6700" w:rsidP="009D6700">
      <w:pPr>
        <w:spacing w:after="0" w:line="240" w:lineRule="auto"/>
        <w:jc w:val="both"/>
        <w:rPr>
          <w:rFonts w:ascii="Times New Roman" w:hAnsi="Times New Roman" w:cs="Times New Roman"/>
          <w:sz w:val="24"/>
          <w:szCs w:val="24"/>
          <w:lang w:val="en-GB"/>
        </w:rPr>
      </w:pPr>
    </w:p>
    <w:p w:rsidR="009D6700" w:rsidRPr="009D6700" w:rsidRDefault="009D6700" w:rsidP="009D6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Wright, S., 2012, </w:t>
      </w:r>
      <w:r>
        <w:rPr>
          <w:rFonts w:ascii="Times New Roman" w:hAnsi="Times New Roman" w:cs="Times New Roman"/>
          <w:i/>
          <w:sz w:val="24"/>
          <w:szCs w:val="24"/>
        </w:rPr>
        <w:t xml:space="preserve">Response to Professor </w:t>
      </w:r>
      <w:proofErr w:type="spellStart"/>
      <w:r>
        <w:rPr>
          <w:rFonts w:ascii="Times New Roman" w:hAnsi="Times New Roman" w:cs="Times New Roman"/>
          <w:i/>
          <w:sz w:val="24"/>
          <w:szCs w:val="24"/>
        </w:rPr>
        <w:t>Lally’s</w:t>
      </w:r>
      <w:proofErr w:type="spellEnd"/>
      <w:r>
        <w:rPr>
          <w:rFonts w:ascii="Times New Roman" w:hAnsi="Times New Roman" w:cs="Times New Roman"/>
          <w:i/>
          <w:sz w:val="24"/>
          <w:szCs w:val="24"/>
        </w:rPr>
        <w:t xml:space="preserve"> Analysis</w:t>
      </w:r>
      <w:r>
        <w:rPr>
          <w:rFonts w:ascii="Times New Roman" w:hAnsi="Times New Roman" w:cs="Times New Roman"/>
          <w:sz w:val="24"/>
          <w:szCs w:val="24"/>
        </w:rPr>
        <w:t xml:space="preserve">, report </w:t>
      </w:r>
      <w:r w:rsidR="00D34074">
        <w:rPr>
          <w:rFonts w:ascii="Times New Roman" w:hAnsi="Times New Roman" w:cs="Times New Roman"/>
          <w:sz w:val="24"/>
          <w:szCs w:val="24"/>
        </w:rPr>
        <w:t xml:space="preserve">prepared for </w:t>
      </w:r>
      <w:proofErr w:type="spellStart"/>
      <w:r w:rsidR="00D34074">
        <w:rPr>
          <w:rFonts w:ascii="Times New Roman" w:hAnsi="Times New Roman" w:cs="Times New Roman"/>
          <w:sz w:val="24"/>
          <w:szCs w:val="24"/>
        </w:rPr>
        <w:t>Envestra</w:t>
      </w:r>
      <w:proofErr w:type="spellEnd"/>
      <w:r w:rsidR="00D34074">
        <w:rPr>
          <w:rFonts w:ascii="Times New Roman" w:hAnsi="Times New Roman" w:cs="Times New Roman"/>
          <w:sz w:val="24"/>
          <w:szCs w:val="24"/>
        </w:rPr>
        <w:t xml:space="preserve">, SP </w:t>
      </w:r>
      <w:proofErr w:type="spellStart"/>
      <w:r w:rsidR="00D34074">
        <w:rPr>
          <w:rFonts w:ascii="Times New Roman" w:hAnsi="Times New Roman" w:cs="Times New Roman"/>
          <w:sz w:val="24"/>
          <w:szCs w:val="24"/>
        </w:rPr>
        <w:t>AusNet</w:t>
      </w:r>
      <w:proofErr w:type="spellEnd"/>
      <w:r w:rsidR="00D34074">
        <w:rPr>
          <w:rFonts w:ascii="Times New Roman" w:hAnsi="Times New Roman" w:cs="Times New Roman"/>
          <w:sz w:val="24"/>
          <w:szCs w:val="24"/>
        </w:rPr>
        <w:t xml:space="preserve">, </w:t>
      </w:r>
      <w:proofErr w:type="spellStart"/>
      <w:r w:rsidR="00D34074">
        <w:rPr>
          <w:rFonts w:ascii="Times New Roman" w:hAnsi="Times New Roman" w:cs="Times New Roman"/>
          <w:sz w:val="24"/>
          <w:szCs w:val="24"/>
        </w:rPr>
        <w:t>Multinet</w:t>
      </w:r>
      <w:proofErr w:type="spellEnd"/>
      <w:r w:rsidR="00D34074">
        <w:rPr>
          <w:rFonts w:ascii="Times New Roman" w:hAnsi="Times New Roman" w:cs="Times New Roman"/>
          <w:sz w:val="24"/>
          <w:szCs w:val="24"/>
        </w:rPr>
        <w:t xml:space="preserve"> and APA (</w:t>
      </w:r>
      <w:hyperlink r:id="rId39" w:history="1">
        <w:r w:rsidR="00D34074" w:rsidRPr="00A70FB4">
          <w:rPr>
            <w:rStyle w:val="Hyperlink"/>
            <w:rFonts w:ascii="Times New Roman" w:hAnsi="Times New Roman" w:cs="Times New Roman"/>
            <w:sz w:val="24"/>
            <w:szCs w:val="24"/>
          </w:rPr>
          <w:t>www.aer.gov.au</w:t>
        </w:r>
      </w:hyperlink>
      <w:r w:rsidR="00D34074">
        <w:rPr>
          <w:rFonts w:ascii="Times New Roman" w:hAnsi="Times New Roman" w:cs="Times New Roman"/>
          <w:sz w:val="24"/>
          <w:szCs w:val="24"/>
        </w:rPr>
        <w:t>).</w:t>
      </w:r>
    </w:p>
    <w:sectPr w:rsidR="009D6700" w:rsidRPr="009D6700" w:rsidSect="004425A5">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0C6" w:rsidRDefault="00F460C6" w:rsidP="00D66208">
      <w:pPr>
        <w:spacing w:after="0" w:line="240" w:lineRule="auto"/>
      </w:pPr>
      <w:r>
        <w:separator/>
      </w:r>
    </w:p>
  </w:endnote>
  <w:endnote w:type="continuationSeparator" w:id="0">
    <w:p w:rsidR="00F460C6" w:rsidRDefault="00F460C6" w:rsidP="00D6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C6" w:rsidRDefault="00F46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974919"/>
      <w:docPartObj>
        <w:docPartGallery w:val="Page Numbers (Bottom of Page)"/>
        <w:docPartUnique/>
      </w:docPartObj>
    </w:sdtPr>
    <w:sdtContent>
      <w:p w:rsidR="00F460C6" w:rsidRDefault="004B6AB4">
        <w:pPr>
          <w:pStyle w:val="Footer"/>
          <w:jc w:val="center"/>
        </w:pPr>
        <w:fldSimple w:instr=" PAGE   \* MERGEFORMAT ">
          <w:r w:rsidR="006F5290">
            <w:rPr>
              <w:noProof/>
            </w:rPr>
            <w:t>14</w:t>
          </w:r>
        </w:fldSimple>
      </w:p>
    </w:sdtContent>
  </w:sdt>
  <w:p w:rsidR="00F460C6" w:rsidRDefault="00F460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C6" w:rsidRDefault="00F46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0C6" w:rsidRDefault="00F460C6" w:rsidP="00D66208">
      <w:pPr>
        <w:spacing w:after="0" w:line="240" w:lineRule="auto"/>
      </w:pPr>
      <w:r>
        <w:separator/>
      </w:r>
    </w:p>
  </w:footnote>
  <w:footnote w:type="continuationSeparator" w:id="0">
    <w:p w:rsidR="00F460C6" w:rsidRDefault="00F460C6" w:rsidP="00D66208">
      <w:pPr>
        <w:spacing w:after="0" w:line="240" w:lineRule="auto"/>
      </w:pPr>
      <w:r>
        <w:continuationSeparator/>
      </w:r>
    </w:p>
  </w:footnote>
  <w:footnote w:id="1">
    <w:p w:rsidR="00F460C6" w:rsidRDefault="00F460C6" w:rsidP="007566C9">
      <w:pPr>
        <w:pStyle w:val="FootnoteText"/>
        <w:jc w:val="both"/>
      </w:pPr>
      <w:r>
        <w:rPr>
          <w:rStyle w:val="FootnoteReference"/>
        </w:rPr>
        <w:footnoteRef/>
      </w:r>
      <w:r>
        <w:t xml:space="preserve"> The one exception is survey evidence on </w:t>
      </w:r>
      <w:proofErr w:type="gramStart"/>
      <w:r w:rsidRPr="00AD3A45">
        <w:rPr>
          <w:i/>
        </w:rPr>
        <w:t>E</w:t>
      </w:r>
      <w:r>
        <w:t>(</w:t>
      </w:r>
      <w:proofErr w:type="spellStart"/>
      <w:proofErr w:type="gramEnd"/>
      <w:r w:rsidRPr="00AD3A45">
        <w:rPr>
          <w:i/>
        </w:rPr>
        <w:t>R</w:t>
      </w:r>
      <w:r w:rsidRPr="00AD3A45">
        <w:rPr>
          <w:i/>
          <w:vertAlign w:val="subscript"/>
        </w:rPr>
        <w:t>m</w:t>
      </w:r>
      <w:proofErr w:type="spellEnd"/>
      <w:r>
        <w:t>) or the MRP, where the survey question could be framed to specify the future period of interest.</w:t>
      </w:r>
    </w:p>
    <w:p w:rsidR="00F460C6" w:rsidRPr="007566C9" w:rsidRDefault="00F460C6" w:rsidP="007566C9">
      <w:pPr>
        <w:pStyle w:val="FootnoteText"/>
        <w:jc w:val="both"/>
      </w:pPr>
    </w:p>
  </w:footnote>
  <w:footnote w:id="2">
    <w:p w:rsidR="00F460C6" w:rsidRPr="00126DB5" w:rsidRDefault="00F460C6" w:rsidP="00126DB5">
      <w:pPr>
        <w:pStyle w:val="FootnoteText"/>
        <w:jc w:val="both"/>
      </w:pPr>
      <w:r>
        <w:rPr>
          <w:rStyle w:val="FootnoteReference"/>
        </w:rPr>
        <w:footnoteRef/>
      </w:r>
      <w:r>
        <w:t xml:space="preserve"> </w:t>
      </w:r>
      <w:r w:rsidRPr="00126DB5">
        <w:rPr>
          <w:bCs/>
        </w:rPr>
        <w:t xml:space="preserve">Levi and </w:t>
      </w:r>
      <w:proofErr w:type="spellStart"/>
      <w:r w:rsidRPr="00126DB5">
        <w:rPr>
          <w:bCs/>
        </w:rPr>
        <w:t>Levhari</w:t>
      </w:r>
      <w:proofErr w:type="spellEnd"/>
      <w:r w:rsidRPr="00126DB5">
        <w:rPr>
          <w:bCs/>
        </w:rPr>
        <w:t xml:space="preserve"> (1977) </w:t>
      </w:r>
      <w:r>
        <w:rPr>
          <w:bCs/>
        </w:rPr>
        <w:t xml:space="preserve">argue </w:t>
      </w:r>
      <w:r w:rsidRPr="00126DB5">
        <w:rPr>
          <w:bCs/>
        </w:rPr>
        <w:t xml:space="preserve">that beta estimates will be biased up </w:t>
      </w:r>
      <w:r>
        <w:rPr>
          <w:bCs/>
        </w:rPr>
        <w:t xml:space="preserve">(down) </w:t>
      </w:r>
      <w:r w:rsidRPr="00126DB5">
        <w:rPr>
          <w:bCs/>
        </w:rPr>
        <w:t xml:space="preserve">when the investor horizon is longer than the data frequency used in estimating betas and the true beta is less </w:t>
      </w:r>
      <w:r>
        <w:rPr>
          <w:bCs/>
        </w:rPr>
        <w:t xml:space="preserve">(greater) </w:t>
      </w:r>
      <w:r w:rsidRPr="00126DB5">
        <w:rPr>
          <w:bCs/>
        </w:rPr>
        <w:t>than one</w:t>
      </w:r>
      <w:r>
        <w:rPr>
          <w:bCs/>
        </w:rPr>
        <w:t xml:space="preserve">.  Empirical </w:t>
      </w:r>
      <w:r w:rsidRPr="00126DB5">
        <w:rPr>
          <w:bCs/>
        </w:rPr>
        <w:t xml:space="preserve">estimates of the </w:t>
      </w:r>
      <w:r>
        <w:rPr>
          <w:bCs/>
        </w:rPr>
        <w:t xml:space="preserve">predicted </w:t>
      </w:r>
      <w:r w:rsidRPr="00126DB5">
        <w:rPr>
          <w:bCs/>
        </w:rPr>
        <w:t xml:space="preserve">bias </w:t>
      </w:r>
      <w:r>
        <w:rPr>
          <w:bCs/>
        </w:rPr>
        <w:t xml:space="preserve">by </w:t>
      </w:r>
      <w:r w:rsidRPr="00126DB5">
        <w:rPr>
          <w:bCs/>
        </w:rPr>
        <w:t xml:space="preserve">Levy and </w:t>
      </w:r>
      <w:proofErr w:type="spellStart"/>
      <w:r w:rsidRPr="00126DB5">
        <w:rPr>
          <w:bCs/>
        </w:rPr>
        <w:t>Levhari</w:t>
      </w:r>
      <w:proofErr w:type="spellEnd"/>
      <w:r w:rsidRPr="00126DB5">
        <w:rPr>
          <w:bCs/>
        </w:rPr>
        <w:t xml:space="preserve"> (1977, Table 1) </w:t>
      </w:r>
      <w:r>
        <w:rPr>
          <w:bCs/>
        </w:rPr>
        <w:t xml:space="preserve">and </w:t>
      </w:r>
      <w:proofErr w:type="spellStart"/>
      <w:r w:rsidRPr="00126DB5">
        <w:rPr>
          <w:bCs/>
        </w:rPr>
        <w:t>Handa</w:t>
      </w:r>
      <w:proofErr w:type="spellEnd"/>
      <w:r w:rsidRPr="00126DB5">
        <w:rPr>
          <w:bCs/>
        </w:rPr>
        <w:t xml:space="preserve"> et al (1989, Table 1)</w:t>
      </w:r>
      <w:r>
        <w:rPr>
          <w:bCs/>
        </w:rPr>
        <w:t xml:space="preserve"> are consistent with this.</w:t>
      </w:r>
    </w:p>
  </w:footnote>
  <w:footnote w:id="3">
    <w:p w:rsidR="00F460C6" w:rsidRDefault="00F460C6" w:rsidP="00E33C74">
      <w:pPr>
        <w:pStyle w:val="FootnoteText"/>
        <w:jc w:val="both"/>
        <w:rPr>
          <w:lang w:val="en-NZ"/>
        </w:rPr>
      </w:pPr>
      <w:r>
        <w:rPr>
          <w:rStyle w:val="FootnoteReference"/>
        </w:rPr>
        <w:footnoteRef/>
      </w:r>
      <w:r>
        <w:t xml:space="preserve"> </w:t>
      </w:r>
      <w:r>
        <w:rPr>
          <w:lang w:val="en-NZ"/>
        </w:rPr>
        <w:t>Wright’s preferred approach generates a real cost of equity, which must then be converted to nominal terms.  To facilitate comparison with CEG, I treat inflation as zero.</w:t>
      </w:r>
    </w:p>
    <w:p w:rsidR="00704645" w:rsidRPr="00E33C74" w:rsidRDefault="00704645" w:rsidP="00E33C74">
      <w:pPr>
        <w:pStyle w:val="FootnoteText"/>
        <w:jc w:val="both"/>
        <w:rPr>
          <w:lang w:val="en-NZ"/>
        </w:rPr>
      </w:pPr>
    </w:p>
  </w:footnote>
  <w:footnote w:id="4">
    <w:p w:rsidR="00704645" w:rsidRPr="00704645" w:rsidRDefault="00704645" w:rsidP="00704645">
      <w:pPr>
        <w:pStyle w:val="FootnoteText"/>
        <w:jc w:val="both"/>
        <w:rPr>
          <w:lang w:val="en-NZ"/>
        </w:rPr>
      </w:pPr>
      <w:r>
        <w:rPr>
          <w:rStyle w:val="FootnoteReference"/>
        </w:rPr>
        <w:footnoteRef/>
      </w:r>
      <w:r>
        <w:t xml:space="preserve"> </w:t>
      </w:r>
      <w:r>
        <w:rPr>
          <w:lang w:val="en-NZ"/>
        </w:rPr>
        <w:t>Gregory (2012a) favours CEG’s approach whilst Gregory (2012b) instead seems to equally favour this approach and Wright’s approach.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C6" w:rsidRDefault="00F460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C6" w:rsidRDefault="00F460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C6" w:rsidRDefault="00F460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DDF"/>
    <w:multiLevelType w:val="hybridMultilevel"/>
    <w:tmpl w:val="C9FC79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BF55692"/>
    <w:multiLevelType w:val="multilevel"/>
    <w:tmpl w:val="D24ADB4A"/>
    <w:lvl w:ilvl="0">
      <w:start w:val="1987"/>
      <w:numFmt w:val="decimal"/>
      <w:lvlText w:val="%1"/>
      <w:lvlJc w:val="left"/>
      <w:pPr>
        <w:tabs>
          <w:tab w:val="num" w:pos="855"/>
        </w:tabs>
        <w:ind w:left="855" w:hanging="855"/>
      </w:pPr>
      <w:rPr>
        <w:rFonts w:hint="default"/>
      </w:rPr>
    </w:lvl>
    <w:lvl w:ilvl="1">
      <w:start w:val="97"/>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
    <w:nsid w:val="1AFE35F4"/>
    <w:multiLevelType w:val="multilevel"/>
    <w:tmpl w:val="2C4CE048"/>
    <w:lvl w:ilvl="0">
      <w:start w:val="1979"/>
      <w:numFmt w:val="decimal"/>
      <w:lvlText w:val="%1"/>
      <w:lvlJc w:val="left"/>
      <w:pPr>
        <w:tabs>
          <w:tab w:val="num" w:pos="855"/>
        </w:tabs>
        <w:ind w:left="855" w:hanging="855"/>
      </w:pPr>
      <w:rPr>
        <w:rFonts w:hint="default"/>
      </w:rPr>
    </w:lvl>
    <w:lvl w:ilvl="1">
      <w:start w:val="80"/>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
    <w:nsid w:val="1F0E18E6"/>
    <w:multiLevelType w:val="hybridMultilevel"/>
    <w:tmpl w:val="C9BCE3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A7739A9"/>
    <w:multiLevelType w:val="hybridMultilevel"/>
    <w:tmpl w:val="87A66E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ABF69F4"/>
    <w:multiLevelType w:val="hybridMultilevel"/>
    <w:tmpl w:val="F3468E82"/>
    <w:lvl w:ilvl="0" w:tplc="B49EC3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DC15F06"/>
    <w:multiLevelType w:val="hybridMultilevel"/>
    <w:tmpl w:val="BF5A8BB8"/>
    <w:lvl w:ilvl="0" w:tplc="CEDEC472">
      <w:start w:val="1"/>
      <w:numFmt w:val="lowerLetter"/>
      <w:lvlText w:val="(%1)"/>
      <w:lvlJc w:val="left"/>
      <w:pPr>
        <w:tabs>
          <w:tab w:val="num" w:pos="531"/>
        </w:tabs>
        <w:ind w:left="531" w:hanging="36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nsid w:val="42F02668"/>
    <w:multiLevelType w:val="hybridMultilevel"/>
    <w:tmpl w:val="6CBE38D0"/>
    <w:lvl w:ilvl="0" w:tplc="CADABC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6961164"/>
    <w:multiLevelType w:val="hybridMultilevel"/>
    <w:tmpl w:val="FE18727C"/>
    <w:lvl w:ilvl="0" w:tplc="30581E9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00900D0"/>
    <w:multiLevelType w:val="multilevel"/>
    <w:tmpl w:val="B40495A4"/>
    <w:lvl w:ilvl="0">
      <w:start w:val="1984"/>
      <w:numFmt w:val="decimal"/>
      <w:lvlText w:val="%1"/>
      <w:lvlJc w:val="left"/>
      <w:pPr>
        <w:tabs>
          <w:tab w:val="num" w:pos="855"/>
        </w:tabs>
        <w:ind w:left="855" w:hanging="855"/>
      </w:pPr>
      <w:rPr>
        <w:rFonts w:hint="default"/>
      </w:rPr>
    </w:lvl>
    <w:lvl w:ilvl="1">
      <w:start w:val="87"/>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nsid w:val="609E58EA"/>
    <w:multiLevelType w:val="hybridMultilevel"/>
    <w:tmpl w:val="D7BE1A3E"/>
    <w:lvl w:ilvl="0" w:tplc="EC2E20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1E557BC"/>
    <w:multiLevelType w:val="multilevel"/>
    <w:tmpl w:val="1D165436"/>
    <w:lvl w:ilvl="0">
      <w:start w:val="1977"/>
      <w:numFmt w:val="decimal"/>
      <w:lvlText w:val="%1"/>
      <w:lvlJc w:val="left"/>
      <w:pPr>
        <w:tabs>
          <w:tab w:val="num" w:pos="855"/>
        </w:tabs>
        <w:ind w:left="855" w:hanging="855"/>
      </w:pPr>
      <w:rPr>
        <w:rFonts w:hint="default"/>
      </w:rPr>
    </w:lvl>
    <w:lvl w:ilvl="1">
      <w:start w:val="78"/>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2">
    <w:nsid w:val="68320310"/>
    <w:multiLevelType w:val="hybridMultilevel"/>
    <w:tmpl w:val="86D06EEA"/>
    <w:lvl w:ilvl="0" w:tplc="78420458">
      <w:start w:val="1"/>
      <w:numFmt w:val="decimal"/>
      <w:lvlText w:val="%1."/>
      <w:lvlJc w:val="left"/>
      <w:pPr>
        <w:ind w:left="360" w:hanging="360"/>
      </w:pPr>
      <w:rPr>
        <w:rFonts w:hint="default"/>
        <w:lang w:val="en-NZ"/>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1384366"/>
    <w:multiLevelType w:val="multilevel"/>
    <w:tmpl w:val="DFF43C60"/>
    <w:lvl w:ilvl="0">
      <w:start w:val="1980"/>
      <w:numFmt w:val="decimal"/>
      <w:lvlText w:val="%1"/>
      <w:lvlJc w:val="left"/>
      <w:pPr>
        <w:tabs>
          <w:tab w:val="num" w:pos="870"/>
        </w:tabs>
        <w:ind w:left="870" w:hanging="870"/>
      </w:pPr>
      <w:rPr>
        <w:rFonts w:hint="default"/>
      </w:rPr>
    </w:lvl>
    <w:lvl w:ilvl="1">
      <w:start w:val="84"/>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030"/>
        </w:tabs>
        <w:ind w:left="3030" w:hanging="87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nsid w:val="778328A1"/>
    <w:multiLevelType w:val="multilevel"/>
    <w:tmpl w:val="B096F4C6"/>
    <w:lvl w:ilvl="0">
      <w:start w:val="1997"/>
      <w:numFmt w:val="decimal"/>
      <w:lvlText w:val="%1"/>
      <w:lvlJc w:val="left"/>
      <w:pPr>
        <w:tabs>
          <w:tab w:val="num" w:pos="1035"/>
        </w:tabs>
        <w:ind w:left="1035" w:hanging="1035"/>
      </w:pPr>
      <w:rPr>
        <w:rFonts w:hint="default"/>
      </w:rPr>
    </w:lvl>
    <w:lvl w:ilvl="1">
      <w:start w:val="2001"/>
      <w:numFmt w:val="decimal"/>
      <w:lvlText w:val="%1-%2"/>
      <w:lvlJc w:val="left"/>
      <w:pPr>
        <w:tabs>
          <w:tab w:val="num" w:pos="1080"/>
        </w:tabs>
        <w:ind w:left="1080" w:hanging="1035"/>
      </w:pPr>
      <w:rPr>
        <w:rFonts w:hint="default"/>
      </w:rPr>
    </w:lvl>
    <w:lvl w:ilvl="2">
      <w:start w:val="1"/>
      <w:numFmt w:val="decimal"/>
      <w:lvlText w:val="%1-%2.%3"/>
      <w:lvlJc w:val="left"/>
      <w:pPr>
        <w:tabs>
          <w:tab w:val="num" w:pos="1125"/>
        </w:tabs>
        <w:ind w:left="1125" w:hanging="1035"/>
      </w:pPr>
      <w:rPr>
        <w:rFonts w:hint="default"/>
      </w:rPr>
    </w:lvl>
    <w:lvl w:ilvl="3">
      <w:start w:val="1"/>
      <w:numFmt w:val="decimal"/>
      <w:lvlText w:val="%1-%2.%3.%4"/>
      <w:lvlJc w:val="left"/>
      <w:pPr>
        <w:tabs>
          <w:tab w:val="num" w:pos="1170"/>
        </w:tabs>
        <w:ind w:left="1170" w:hanging="1035"/>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num w:numId="1">
    <w:abstractNumId w:val="0"/>
  </w:num>
  <w:num w:numId="2">
    <w:abstractNumId w:val="4"/>
  </w:num>
  <w:num w:numId="3">
    <w:abstractNumId w:val="6"/>
  </w:num>
  <w:num w:numId="4">
    <w:abstractNumId w:val="12"/>
  </w:num>
  <w:num w:numId="5">
    <w:abstractNumId w:val="10"/>
  </w:num>
  <w:num w:numId="6">
    <w:abstractNumId w:val="7"/>
  </w:num>
  <w:num w:numId="7">
    <w:abstractNumId w:val="8"/>
  </w:num>
  <w:num w:numId="8">
    <w:abstractNumId w:val="5"/>
  </w:num>
  <w:num w:numId="9">
    <w:abstractNumId w:val="3"/>
  </w:num>
  <w:num w:numId="10">
    <w:abstractNumId w:val="11"/>
  </w:num>
  <w:num w:numId="11">
    <w:abstractNumId w:val="2"/>
  </w:num>
  <w:num w:numId="12">
    <w:abstractNumId w:val="13"/>
  </w:num>
  <w:num w:numId="13">
    <w:abstractNumId w:val="9"/>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526C0E"/>
    <w:rsid w:val="000008E5"/>
    <w:rsid w:val="00001900"/>
    <w:rsid w:val="00002061"/>
    <w:rsid w:val="000022A9"/>
    <w:rsid w:val="000038AE"/>
    <w:rsid w:val="0000524A"/>
    <w:rsid w:val="000057A8"/>
    <w:rsid w:val="00005C81"/>
    <w:rsid w:val="000064C9"/>
    <w:rsid w:val="0001013E"/>
    <w:rsid w:val="000102D0"/>
    <w:rsid w:val="00010E5D"/>
    <w:rsid w:val="00012ABA"/>
    <w:rsid w:val="000135C8"/>
    <w:rsid w:val="00013C4F"/>
    <w:rsid w:val="00014A1F"/>
    <w:rsid w:val="00015F38"/>
    <w:rsid w:val="0001777C"/>
    <w:rsid w:val="00024155"/>
    <w:rsid w:val="000243BE"/>
    <w:rsid w:val="000264C0"/>
    <w:rsid w:val="000314AA"/>
    <w:rsid w:val="00031F50"/>
    <w:rsid w:val="00032465"/>
    <w:rsid w:val="00032B0A"/>
    <w:rsid w:val="000334B0"/>
    <w:rsid w:val="00033B81"/>
    <w:rsid w:val="00034B78"/>
    <w:rsid w:val="00034C9E"/>
    <w:rsid w:val="00034F06"/>
    <w:rsid w:val="00035451"/>
    <w:rsid w:val="00036CCE"/>
    <w:rsid w:val="00040B3E"/>
    <w:rsid w:val="00041292"/>
    <w:rsid w:val="000414CF"/>
    <w:rsid w:val="0004247D"/>
    <w:rsid w:val="00043381"/>
    <w:rsid w:val="000435EB"/>
    <w:rsid w:val="00043BCA"/>
    <w:rsid w:val="00043BF0"/>
    <w:rsid w:val="00043EBE"/>
    <w:rsid w:val="00050E2C"/>
    <w:rsid w:val="000519F7"/>
    <w:rsid w:val="00052CFD"/>
    <w:rsid w:val="00053ED5"/>
    <w:rsid w:val="000554BA"/>
    <w:rsid w:val="000557AD"/>
    <w:rsid w:val="00056341"/>
    <w:rsid w:val="00062005"/>
    <w:rsid w:val="00063276"/>
    <w:rsid w:val="000637E5"/>
    <w:rsid w:val="00064C0D"/>
    <w:rsid w:val="0006590E"/>
    <w:rsid w:val="00065C55"/>
    <w:rsid w:val="000668E4"/>
    <w:rsid w:val="0006748F"/>
    <w:rsid w:val="000707B5"/>
    <w:rsid w:val="00071E6B"/>
    <w:rsid w:val="00073AC4"/>
    <w:rsid w:val="00075C4E"/>
    <w:rsid w:val="00076762"/>
    <w:rsid w:val="0007754D"/>
    <w:rsid w:val="00077684"/>
    <w:rsid w:val="0008245B"/>
    <w:rsid w:val="000835DC"/>
    <w:rsid w:val="00085E36"/>
    <w:rsid w:val="000862A6"/>
    <w:rsid w:val="000869F2"/>
    <w:rsid w:val="00087456"/>
    <w:rsid w:val="000879F8"/>
    <w:rsid w:val="00091567"/>
    <w:rsid w:val="0009323D"/>
    <w:rsid w:val="0009594A"/>
    <w:rsid w:val="0009714F"/>
    <w:rsid w:val="000A096B"/>
    <w:rsid w:val="000A0B05"/>
    <w:rsid w:val="000A0C97"/>
    <w:rsid w:val="000A3F1D"/>
    <w:rsid w:val="000A68B4"/>
    <w:rsid w:val="000A7C56"/>
    <w:rsid w:val="000A7CAD"/>
    <w:rsid w:val="000B2A0D"/>
    <w:rsid w:val="000B2A9A"/>
    <w:rsid w:val="000B2DF2"/>
    <w:rsid w:val="000B7C23"/>
    <w:rsid w:val="000C04E0"/>
    <w:rsid w:val="000C1885"/>
    <w:rsid w:val="000C377E"/>
    <w:rsid w:val="000C46DA"/>
    <w:rsid w:val="000C630C"/>
    <w:rsid w:val="000C6C67"/>
    <w:rsid w:val="000C7B31"/>
    <w:rsid w:val="000C7F60"/>
    <w:rsid w:val="000D0DEF"/>
    <w:rsid w:val="000D11CF"/>
    <w:rsid w:val="000D21C9"/>
    <w:rsid w:val="000D2B22"/>
    <w:rsid w:val="000D301B"/>
    <w:rsid w:val="000D3097"/>
    <w:rsid w:val="000D5F3D"/>
    <w:rsid w:val="000D7110"/>
    <w:rsid w:val="000E01DB"/>
    <w:rsid w:val="000E1937"/>
    <w:rsid w:val="000E1CE7"/>
    <w:rsid w:val="000E27C5"/>
    <w:rsid w:val="000E2CFF"/>
    <w:rsid w:val="000E39AD"/>
    <w:rsid w:val="000E75C4"/>
    <w:rsid w:val="000E7B42"/>
    <w:rsid w:val="000F09F4"/>
    <w:rsid w:val="000F18FE"/>
    <w:rsid w:val="000F2DA6"/>
    <w:rsid w:val="000F30A4"/>
    <w:rsid w:val="000F530A"/>
    <w:rsid w:val="000F5698"/>
    <w:rsid w:val="0010163D"/>
    <w:rsid w:val="00101D01"/>
    <w:rsid w:val="00102C10"/>
    <w:rsid w:val="00104B36"/>
    <w:rsid w:val="0010549C"/>
    <w:rsid w:val="001113B4"/>
    <w:rsid w:val="00114C8C"/>
    <w:rsid w:val="00114D93"/>
    <w:rsid w:val="00117514"/>
    <w:rsid w:val="00120AC0"/>
    <w:rsid w:val="001212C6"/>
    <w:rsid w:val="00121C8E"/>
    <w:rsid w:val="00121CEA"/>
    <w:rsid w:val="001257BD"/>
    <w:rsid w:val="00126DB5"/>
    <w:rsid w:val="00127E51"/>
    <w:rsid w:val="00132C16"/>
    <w:rsid w:val="00133647"/>
    <w:rsid w:val="001347D0"/>
    <w:rsid w:val="00135364"/>
    <w:rsid w:val="00135550"/>
    <w:rsid w:val="00136CEE"/>
    <w:rsid w:val="001371B6"/>
    <w:rsid w:val="00137A36"/>
    <w:rsid w:val="00137F7A"/>
    <w:rsid w:val="00141021"/>
    <w:rsid w:val="00141D12"/>
    <w:rsid w:val="00141EC0"/>
    <w:rsid w:val="001425C9"/>
    <w:rsid w:val="00146960"/>
    <w:rsid w:val="00147123"/>
    <w:rsid w:val="0015027F"/>
    <w:rsid w:val="00150D2D"/>
    <w:rsid w:val="0015150C"/>
    <w:rsid w:val="001518FD"/>
    <w:rsid w:val="00155078"/>
    <w:rsid w:val="0015791A"/>
    <w:rsid w:val="0016060B"/>
    <w:rsid w:val="0016124C"/>
    <w:rsid w:val="00161348"/>
    <w:rsid w:val="00161BF2"/>
    <w:rsid w:val="001633A2"/>
    <w:rsid w:val="00163D36"/>
    <w:rsid w:val="00165466"/>
    <w:rsid w:val="0016690C"/>
    <w:rsid w:val="001670D9"/>
    <w:rsid w:val="0016746C"/>
    <w:rsid w:val="00170556"/>
    <w:rsid w:val="00171CF9"/>
    <w:rsid w:val="00171D0E"/>
    <w:rsid w:val="00171D3E"/>
    <w:rsid w:val="0017502F"/>
    <w:rsid w:val="001770AF"/>
    <w:rsid w:val="0017780B"/>
    <w:rsid w:val="00177D62"/>
    <w:rsid w:val="00177D74"/>
    <w:rsid w:val="00182E5B"/>
    <w:rsid w:val="00187E7D"/>
    <w:rsid w:val="00187F43"/>
    <w:rsid w:val="00192A69"/>
    <w:rsid w:val="0019387F"/>
    <w:rsid w:val="0019427B"/>
    <w:rsid w:val="001953D7"/>
    <w:rsid w:val="00195CA7"/>
    <w:rsid w:val="00197990"/>
    <w:rsid w:val="001A06FF"/>
    <w:rsid w:val="001A13F9"/>
    <w:rsid w:val="001A325D"/>
    <w:rsid w:val="001A44C5"/>
    <w:rsid w:val="001A52E5"/>
    <w:rsid w:val="001A59FF"/>
    <w:rsid w:val="001A6C7B"/>
    <w:rsid w:val="001B0F96"/>
    <w:rsid w:val="001B24A4"/>
    <w:rsid w:val="001B296F"/>
    <w:rsid w:val="001B2C89"/>
    <w:rsid w:val="001B33E6"/>
    <w:rsid w:val="001B3E71"/>
    <w:rsid w:val="001B657B"/>
    <w:rsid w:val="001B6DE8"/>
    <w:rsid w:val="001B7068"/>
    <w:rsid w:val="001B7F2B"/>
    <w:rsid w:val="001C0EAD"/>
    <w:rsid w:val="001C20BA"/>
    <w:rsid w:val="001C2B91"/>
    <w:rsid w:val="001C39A0"/>
    <w:rsid w:val="001C4BD6"/>
    <w:rsid w:val="001C6053"/>
    <w:rsid w:val="001C69E2"/>
    <w:rsid w:val="001D2951"/>
    <w:rsid w:val="001D566C"/>
    <w:rsid w:val="001D5D84"/>
    <w:rsid w:val="001D62C1"/>
    <w:rsid w:val="001D7C3E"/>
    <w:rsid w:val="001E08D3"/>
    <w:rsid w:val="001E1226"/>
    <w:rsid w:val="001E313B"/>
    <w:rsid w:val="001E3C6B"/>
    <w:rsid w:val="001E4615"/>
    <w:rsid w:val="001F042D"/>
    <w:rsid w:val="001F3D8A"/>
    <w:rsid w:val="001F50C2"/>
    <w:rsid w:val="001F50FD"/>
    <w:rsid w:val="001F546C"/>
    <w:rsid w:val="001F6BD7"/>
    <w:rsid w:val="001F6C14"/>
    <w:rsid w:val="001F7184"/>
    <w:rsid w:val="00200383"/>
    <w:rsid w:val="002017E6"/>
    <w:rsid w:val="00210F7F"/>
    <w:rsid w:val="00212397"/>
    <w:rsid w:val="002142C6"/>
    <w:rsid w:val="00215897"/>
    <w:rsid w:val="0021617F"/>
    <w:rsid w:val="00216FBA"/>
    <w:rsid w:val="00217681"/>
    <w:rsid w:val="00222CC5"/>
    <w:rsid w:val="002254BF"/>
    <w:rsid w:val="00226055"/>
    <w:rsid w:val="00230E3A"/>
    <w:rsid w:val="00232807"/>
    <w:rsid w:val="0023285E"/>
    <w:rsid w:val="00233160"/>
    <w:rsid w:val="002339B4"/>
    <w:rsid w:val="00236DF2"/>
    <w:rsid w:val="0023746F"/>
    <w:rsid w:val="0024158F"/>
    <w:rsid w:val="002427CB"/>
    <w:rsid w:val="00243006"/>
    <w:rsid w:val="002437AF"/>
    <w:rsid w:val="00245314"/>
    <w:rsid w:val="002477F8"/>
    <w:rsid w:val="00250B3B"/>
    <w:rsid w:val="00252537"/>
    <w:rsid w:val="00252B31"/>
    <w:rsid w:val="00253CA5"/>
    <w:rsid w:val="002551A9"/>
    <w:rsid w:val="00262311"/>
    <w:rsid w:val="002654BC"/>
    <w:rsid w:val="002668C6"/>
    <w:rsid w:val="002669AC"/>
    <w:rsid w:val="00267630"/>
    <w:rsid w:val="0026788E"/>
    <w:rsid w:val="002678D6"/>
    <w:rsid w:val="002709CF"/>
    <w:rsid w:val="00271BE8"/>
    <w:rsid w:val="00271F4A"/>
    <w:rsid w:val="002727AC"/>
    <w:rsid w:val="0027281B"/>
    <w:rsid w:val="00272DA0"/>
    <w:rsid w:val="00273197"/>
    <w:rsid w:val="002770A2"/>
    <w:rsid w:val="00282A33"/>
    <w:rsid w:val="0028310F"/>
    <w:rsid w:val="002834BC"/>
    <w:rsid w:val="00283DDF"/>
    <w:rsid w:val="00283F3E"/>
    <w:rsid w:val="002840AD"/>
    <w:rsid w:val="002844F5"/>
    <w:rsid w:val="0029011F"/>
    <w:rsid w:val="0029032D"/>
    <w:rsid w:val="00294103"/>
    <w:rsid w:val="00294C83"/>
    <w:rsid w:val="00295B5D"/>
    <w:rsid w:val="002A4DD5"/>
    <w:rsid w:val="002A55E0"/>
    <w:rsid w:val="002A778F"/>
    <w:rsid w:val="002B2F42"/>
    <w:rsid w:val="002B3BC1"/>
    <w:rsid w:val="002B46A1"/>
    <w:rsid w:val="002B4C96"/>
    <w:rsid w:val="002B4F8D"/>
    <w:rsid w:val="002B68BF"/>
    <w:rsid w:val="002B6D23"/>
    <w:rsid w:val="002B708C"/>
    <w:rsid w:val="002C3147"/>
    <w:rsid w:val="002C5697"/>
    <w:rsid w:val="002D281D"/>
    <w:rsid w:val="002D30F3"/>
    <w:rsid w:val="002D3DEA"/>
    <w:rsid w:val="002D55CF"/>
    <w:rsid w:val="002D5A62"/>
    <w:rsid w:val="002E0369"/>
    <w:rsid w:val="002E32FE"/>
    <w:rsid w:val="002E3F61"/>
    <w:rsid w:val="002E5FDF"/>
    <w:rsid w:val="002E6167"/>
    <w:rsid w:val="002E6E03"/>
    <w:rsid w:val="002F0E64"/>
    <w:rsid w:val="002F27BE"/>
    <w:rsid w:val="002F320E"/>
    <w:rsid w:val="002F3CF4"/>
    <w:rsid w:val="002F4EB7"/>
    <w:rsid w:val="002F6BBB"/>
    <w:rsid w:val="002F7988"/>
    <w:rsid w:val="00300CD1"/>
    <w:rsid w:val="0030136C"/>
    <w:rsid w:val="00301D16"/>
    <w:rsid w:val="003058C3"/>
    <w:rsid w:val="00306070"/>
    <w:rsid w:val="0030628F"/>
    <w:rsid w:val="00311956"/>
    <w:rsid w:val="0031258B"/>
    <w:rsid w:val="0031471A"/>
    <w:rsid w:val="00315BB7"/>
    <w:rsid w:val="0032394B"/>
    <w:rsid w:val="003268FC"/>
    <w:rsid w:val="0033141C"/>
    <w:rsid w:val="003317D5"/>
    <w:rsid w:val="00332C98"/>
    <w:rsid w:val="0033311D"/>
    <w:rsid w:val="0033458D"/>
    <w:rsid w:val="003346A0"/>
    <w:rsid w:val="0033760E"/>
    <w:rsid w:val="00340875"/>
    <w:rsid w:val="00340C7F"/>
    <w:rsid w:val="00341396"/>
    <w:rsid w:val="003436DC"/>
    <w:rsid w:val="00343C26"/>
    <w:rsid w:val="003463CC"/>
    <w:rsid w:val="003477DA"/>
    <w:rsid w:val="00354B32"/>
    <w:rsid w:val="003570D6"/>
    <w:rsid w:val="003572A4"/>
    <w:rsid w:val="003577B4"/>
    <w:rsid w:val="0036123A"/>
    <w:rsid w:val="00361879"/>
    <w:rsid w:val="00361AC1"/>
    <w:rsid w:val="00361B73"/>
    <w:rsid w:val="00362562"/>
    <w:rsid w:val="00365ADC"/>
    <w:rsid w:val="00367B2D"/>
    <w:rsid w:val="00370F92"/>
    <w:rsid w:val="0037123A"/>
    <w:rsid w:val="0037170A"/>
    <w:rsid w:val="00371BAF"/>
    <w:rsid w:val="003720DA"/>
    <w:rsid w:val="003722F0"/>
    <w:rsid w:val="00372FA7"/>
    <w:rsid w:val="00374C1D"/>
    <w:rsid w:val="003753DF"/>
    <w:rsid w:val="00375692"/>
    <w:rsid w:val="00375875"/>
    <w:rsid w:val="00380F3F"/>
    <w:rsid w:val="00381006"/>
    <w:rsid w:val="00383D82"/>
    <w:rsid w:val="003856C9"/>
    <w:rsid w:val="003863AD"/>
    <w:rsid w:val="003867E1"/>
    <w:rsid w:val="003914AE"/>
    <w:rsid w:val="003917DF"/>
    <w:rsid w:val="0039408A"/>
    <w:rsid w:val="00394D98"/>
    <w:rsid w:val="003A137C"/>
    <w:rsid w:val="003A1FC2"/>
    <w:rsid w:val="003A323F"/>
    <w:rsid w:val="003A48F6"/>
    <w:rsid w:val="003A4D44"/>
    <w:rsid w:val="003A55A2"/>
    <w:rsid w:val="003A6723"/>
    <w:rsid w:val="003A7215"/>
    <w:rsid w:val="003B1726"/>
    <w:rsid w:val="003B1E95"/>
    <w:rsid w:val="003B3B87"/>
    <w:rsid w:val="003B4994"/>
    <w:rsid w:val="003B5672"/>
    <w:rsid w:val="003B56D8"/>
    <w:rsid w:val="003B63A3"/>
    <w:rsid w:val="003C1442"/>
    <w:rsid w:val="003C169A"/>
    <w:rsid w:val="003C5900"/>
    <w:rsid w:val="003D0426"/>
    <w:rsid w:val="003D0828"/>
    <w:rsid w:val="003D1728"/>
    <w:rsid w:val="003D1A21"/>
    <w:rsid w:val="003D1BC0"/>
    <w:rsid w:val="003D2162"/>
    <w:rsid w:val="003D34A7"/>
    <w:rsid w:val="003D5EC0"/>
    <w:rsid w:val="003E0D58"/>
    <w:rsid w:val="003E20DE"/>
    <w:rsid w:val="003E294F"/>
    <w:rsid w:val="003E2B21"/>
    <w:rsid w:val="003E39C3"/>
    <w:rsid w:val="003E4635"/>
    <w:rsid w:val="003E5651"/>
    <w:rsid w:val="003E5700"/>
    <w:rsid w:val="003E6A85"/>
    <w:rsid w:val="003F35E3"/>
    <w:rsid w:val="003F4C28"/>
    <w:rsid w:val="003F5486"/>
    <w:rsid w:val="00400EA7"/>
    <w:rsid w:val="00400FA6"/>
    <w:rsid w:val="004013E2"/>
    <w:rsid w:val="004017ED"/>
    <w:rsid w:val="00401891"/>
    <w:rsid w:val="0040474E"/>
    <w:rsid w:val="0040504E"/>
    <w:rsid w:val="004076CF"/>
    <w:rsid w:val="00407F27"/>
    <w:rsid w:val="00407F8D"/>
    <w:rsid w:val="00411CA1"/>
    <w:rsid w:val="00414311"/>
    <w:rsid w:val="004175E5"/>
    <w:rsid w:val="00417C87"/>
    <w:rsid w:val="004241C6"/>
    <w:rsid w:val="0042564E"/>
    <w:rsid w:val="004272C2"/>
    <w:rsid w:val="0042797D"/>
    <w:rsid w:val="00431130"/>
    <w:rsid w:val="004325BE"/>
    <w:rsid w:val="00432F08"/>
    <w:rsid w:val="00434244"/>
    <w:rsid w:val="00434C67"/>
    <w:rsid w:val="00435A94"/>
    <w:rsid w:val="00435BF9"/>
    <w:rsid w:val="00435FBE"/>
    <w:rsid w:val="0044009F"/>
    <w:rsid w:val="00441C3E"/>
    <w:rsid w:val="004425A5"/>
    <w:rsid w:val="00442DD2"/>
    <w:rsid w:val="004435F4"/>
    <w:rsid w:val="004617C8"/>
    <w:rsid w:val="0046246C"/>
    <w:rsid w:val="004628EF"/>
    <w:rsid w:val="00462AD7"/>
    <w:rsid w:val="00467BF9"/>
    <w:rsid w:val="00470F92"/>
    <w:rsid w:val="00471333"/>
    <w:rsid w:val="00472840"/>
    <w:rsid w:val="00474053"/>
    <w:rsid w:val="00477A65"/>
    <w:rsid w:val="0048363D"/>
    <w:rsid w:val="0048536F"/>
    <w:rsid w:val="0048694D"/>
    <w:rsid w:val="0049006A"/>
    <w:rsid w:val="0049215D"/>
    <w:rsid w:val="00492306"/>
    <w:rsid w:val="00492DAE"/>
    <w:rsid w:val="004932F8"/>
    <w:rsid w:val="00497957"/>
    <w:rsid w:val="004A1F54"/>
    <w:rsid w:val="004A4D29"/>
    <w:rsid w:val="004A6851"/>
    <w:rsid w:val="004A7872"/>
    <w:rsid w:val="004B0E85"/>
    <w:rsid w:val="004B1244"/>
    <w:rsid w:val="004B2C4E"/>
    <w:rsid w:val="004B3230"/>
    <w:rsid w:val="004B4C18"/>
    <w:rsid w:val="004B54C3"/>
    <w:rsid w:val="004B6AB4"/>
    <w:rsid w:val="004B7329"/>
    <w:rsid w:val="004B7567"/>
    <w:rsid w:val="004B7C52"/>
    <w:rsid w:val="004C0080"/>
    <w:rsid w:val="004C0EB8"/>
    <w:rsid w:val="004C1003"/>
    <w:rsid w:val="004C23A0"/>
    <w:rsid w:val="004C24D9"/>
    <w:rsid w:val="004C29D1"/>
    <w:rsid w:val="004C30B6"/>
    <w:rsid w:val="004C360B"/>
    <w:rsid w:val="004C3B04"/>
    <w:rsid w:val="004C3DD9"/>
    <w:rsid w:val="004C4BC3"/>
    <w:rsid w:val="004C5131"/>
    <w:rsid w:val="004C5516"/>
    <w:rsid w:val="004D14F6"/>
    <w:rsid w:val="004D1E84"/>
    <w:rsid w:val="004D34EE"/>
    <w:rsid w:val="004D6A05"/>
    <w:rsid w:val="004E0460"/>
    <w:rsid w:val="004E23F6"/>
    <w:rsid w:val="004E4A75"/>
    <w:rsid w:val="004E5E16"/>
    <w:rsid w:val="004E5F68"/>
    <w:rsid w:val="004F0C06"/>
    <w:rsid w:val="004F0C7F"/>
    <w:rsid w:val="004F3E4F"/>
    <w:rsid w:val="004F4D58"/>
    <w:rsid w:val="004F6480"/>
    <w:rsid w:val="004F726F"/>
    <w:rsid w:val="00501C32"/>
    <w:rsid w:val="0050279B"/>
    <w:rsid w:val="00502FAF"/>
    <w:rsid w:val="00503211"/>
    <w:rsid w:val="00503DF3"/>
    <w:rsid w:val="00504638"/>
    <w:rsid w:val="00510334"/>
    <w:rsid w:val="00510E07"/>
    <w:rsid w:val="00511B4A"/>
    <w:rsid w:val="00513014"/>
    <w:rsid w:val="005174F0"/>
    <w:rsid w:val="005176C8"/>
    <w:rsid w:val="00521A39"/>
    <w:rsid w:val="00522145"/>
    <w:rsid w:val="00526C0E"/>
    <w:rsid w:val="005317BF"/>
    <w:rsid w:val="0053471E"/>
    <w:rsid w:val="00534C9D"/>
    <w:rsid w:val="00535C2E"/>
    <w:rsid w:val="005365DE"/>
    <w:rsid w:val="0054389D"/>
    <w:rsid w:val="0054475F"/>
    <w:rsid w:val="00544E98"/>
    <w:rsid w:val="00545312"/>
    <w:rsid w:val="00546F21"/>
    <w:rsid w:val="0054782A"/>
    <w:rsid w:val="005518C9"/>
    <w:rsid w:val="00553D2D"/>
    <w:rsid w:val="00555C40"/>
    <w:rsid w:val="00560F69"/>
    <w:rsid w:val="00561255"/>
    <w:rsid w:val="0056276B"/>
    <w:rsid w:val="00565900"/>
    <w:rsid w:val="00565AF7"/>
    <w:rsid w:val="00566771"/>
    <w:rsid w:val="00567232"/>
    <w:rsid w:val="00570FB3"/>
    <w:rsid w:val="005720E4"/>
    <w:rsid w:val="005727BE"/>
    <w:rsid w:val="00576355"/>
    <w:rsid w:val="00576F07"/>
    <w:rsid w:val="00577F32"/>
    <w:rsid w:val="0058038D"/>
    <w:rsid w:val="00580FE5"/>
    <w:rsid w:val="00581776"/>
    <w:rsid w:val="00584543"/>
    <w:rsid w:val="00584873"/>
    <w:rsid w:val="00586D61"/>
    <w:rsid w:val="0059194D"/>
    <w:rsid w:val="00591CB3"/>
    <w:rsid w:val="005943F9"/>
    <w:rsid w:val="00594CA6"/>
    <w:rsid w:val="005963C5"/>
    <w:rsid w:val="005A04B6"/>
    <w:rsid w:val="005A09AE"/>
    <w:rsid w:val="005A0C2D"/>
    <w:rsid w:val="005A0E20"/>
    <w:rsid w:val="005A3882"/>
    <w:rsid w:val="005A39C2"/>
    <w:rsid w:val="005A49C0"/>
    <w:rsid w:val="005A49DB"/>
    <w:rsid w:val="005A4D9C"/>
    <w:rsid w:val="005A5357"/>
    <w:rsid w:val="005A7907"/>
    <w:rsid w:val="005B08E2"/>
    <w:rsid w:val="005B5570"/>
    <w:rsid w:val="005B588A"/>
    <w:rsid w:val="005B6D71"/>
    <w:rsid w:val="005B7616"/>
    <w:rsid w:val="005C0299"/>
    <w:rsid w:val="005C0C1F"/>
    <w:rsid w:val="005C236B"/>
    <w:rsid w:val="005C34A7"/>
    <w:rsid w:val="005C73D0"/>
    <w:rsid w:val="005D0A24"/>
    <w:rsid w:val="005D1E1B"/>
    <w:rsid w:val="005D3143"/>
    <w:rsid w:val="005D3A00"/>
    <w:rsid w:val="005D48E6"/>
    <w:rsid w:val="005D4C80"/>
    <w:rsid w:val="005D51B1"/>
    <w:rsid w:val="005D5F6D"/>
    <w:rsid w:val="005D6210"/>
    <w:rsid w:val="005E1C60"/>
    <w:rsid w:val="005E7266"/>
    <w:rsid w:val="005E7630"/>
    <w:rsid w:val="005F1990"/>
    <w:rsid w:val="005F2ED0"/>
    <w:rsid w:val="005F36AB"/>
    <w:rsid w:val="005F38B4"/>
    <w:rsid w:val="005F3F0D"/>
    <w:rsid w:val="005F6031"/>
    <w:rsid w:val="005F685D"/>
    <w:rsid w:val="005F6998"/>
    <w:rsid w:val="0060320D"/>
    <w:rsid w:val="00603625"/>
    <w:rsid w:val="006064C4"/>
    <w:rsid w:val="00607DE8"/>
    <w:rsid w:val="006104FE"/>
    <w:rsid w:val="00610C2D"/>
    <w:rsid w:val="006116A5"/>
    <w:rsid w:val="006124AF"/>
    <w:rsid w:val="0062124E"/>
    <w:rsid w:val="00624429"/>
    <w:rsid w:val="00625319"/>
    <w:rsid w:val="00630C61"/>
    <w:rsid w:val="0063320E"/>
    <w:rsid w:val="00636729"/>
    <w:rsid w:val="00636BBB"/>
    <w:rsid w:val="00640C99"/>
    <w:rsid w:val="00641327"/>
    <w:rsid w:val="00645191"/>
    <w:rsid w:val="00645604"/>
    <w:rsid w:val="0064705E"/>
    <w:rsid w:val="00647F37"/>
    <w:rsid w:val="00650CCC"/>
    <w:rsid w:val="006530F6"/>
    <w:rsid w:val="00654701"/>
    <w:rsid w:val="00655A71"/>
    <w:rsid w:val="00656CDC"/>
    <w:rsid w:val="006607C2"/>
    <w:rsid w:val="00660F07"/>
    <w:rsid w:val="00667062"/>
    <w:rsid w:val="00667DAF"/>
    <w:rsid w:val="00667FE2"/>
    <w:rsid w:val="006702F6"/>
    <w:rsid w:val="006729DC"/>
    <w:rsid w:val="0067480E"/>
    <w:rsid w:val="006775C5"/>
    <w:rsid w:val="00680D6F"/>
    <w:rsid w:val="00680FFF"/>
    <w:rsid w:val="006831BC"/>
    <w:rsid w:val="00683BB2"/>
    <w:rsid w:val="006864D6"/>
    <w:rsid w:val="00686ECF"/>
    <w:rsid w:val="006918BB"/>
    <w:rsid w:val="00694148"/>
    <w:rsid w:val="006941DF"/>
    <w:rsid w:val="006941F3"/>
    <w:rsid w:val="006A53E3"/>
    <w:rsid w:val="006A57E8"/>
    <w:rsid w:val="006A5E2D"/>
    <w:rsid w:val="006A5FDE"/>
    <w:rsid w:val="006A6014"/>
    <w:rsid w:val="006B03EF"/>
    <w:rsid w:val="006B2D7A"/>
    <w:rsid w:val="006B36B8"/>
    <w:rsid w:val="006B654E"/>
    <w:rsid w:val="006B669B"/>
    <w:rsid w:val="006B677D"/>
    <w:rsid w:val="006B7966"/>
    <w:rsid w:val="006C1EDB"/>
    <w:rsid w:val="006C2EBA"/>
    <w:rsid w:val="006C46EF"/>
    <w:rsid w:val="006C4CDF"/>
    <w:rsid w:val="006C5EB5"/>
    <w:rsid w:val="006C5F94"/>
    <w:rsid w:val="006C61F3"/>
    <w:rsid w:val="006C6325"/>
    <w:rsid w:val="006C661D"/>
    <w:rsid w:val="006D24DA"/>
    <w:rsid w:val="006D2B57"/>
    <w:rsid w:val="006D3729"/>
    <w:rsid w:val="006D3774"/>
    <w:rsid w:val="006E03DA"/>
    <w:rsid w:val="006E1086"/>
    <w:rsid w:val="006E1AFE"/>
    <w:rsid w:val="006E3502"/>
    <w:rsid w:val="006E4472"/>
    <w:rsid w:val="006E6679"/>
    <w:rsid w:val="006E6C4F"/>
    <w:rsid w:val="006E72E6"/>
    <w:rsid w:val="006E7D18"/>
    <w:rsid w:val="006F294D"/>
    <w:rsid w:val="006F448D"/>
    <w:rsid w:val="006F462B"/>
    <w:rsid w:val="006F4C9F"/>
    <w:rsid w:val="006F5290"/>
    <w:rsid w:val="006F58EA"/>
    <w:rsid w:val="00701354"/>
    <w:rsid w:val="00701B4C"/>
    <w:rsid w:val="00701E03"/>
    <w:rsid w:val="00704645"/>
    <w:rsid w:val="0070708B"/>
    <w:rsid w:val="00707A50"/>
    <w:rsid w:val="007115F2"/>
    <w:rsid w:val="00711635"/>
    <w:rsid w:val="00712B71"/>
    <w:rsid w:val="007153E9"/>
    <w:rsid w:val="00717655"/>
    <w:rsid w:val="0072009E"/>
    <w:rsid w:val="00720FF6"/>
    <w:rsid w:val="00722372"/>
    <w:rsid w:val="007254BD"/>
    <w:rsid w:val="007263B5"/>
    <w:rsid w:val="00727392"/>
    <w:rsid w:val="007325B5"/>
    <w:rsid w:val="00732AF4"/>
    <w:rsid w:val="00732CD7"/>
    <w:rsid w:val="00733A4D"/>
    <w:rsid w:val="00735B08"/>
    <w:rsid w:val="00742845"/>
    <w:rsid w:val="00744765"/>
    <w:rsid w:val="00744D0A"/>
    <w:rsid w:val="00744F27"/>
    <w:rsid w:val="00746564"/>
    <w:rsid w:val="00747023"/>
    <w:rsid w:val="007507BA"/>
    <w:rsid w:val="0075373D"/>
    <w:rsid w:val="00754247"/>
    <w:rsid w:val="00754985"/>
    <w:rsid w:val="007566C9"/>
    <w:rsid w:val="00757D12"/>
    <w:rsid w:val="0076019B"/>
    <w:rsid w:val="00760F80"/>
    <w:rsid w:val="0076429F"/>
    <w:rsid w:val="007642A2"/>
    <w:rsid w:val="00766777"/>
    <w:rsid w:val="00770040"/>
    <w:rsid w:val="00770C78"/>
    <w:rsid w:val="00773094"/>
    <w:rsid w:val="0077347B"/>
    <w:rsid w:val="00773678"/>
    <w:rsid w:val="00773C08"/>
    <w:rsid w:val="007765CD"/>
    <w:rsid w:val="007767D5"/>
    <w:rsid w:val="00780E94"/>
    <w:rsid w:val="00783C89"/>
    <w:rsid w:val="00784205"/>
    <w:rsid w:val="00786BFB"/>
    <w:rsid w:val="00787CBE"/>
    <w:rsid w:val="00790175"/>
    <w:rsid w:val="007909DA"/>
    <w:rsid w:val="007920B3"/>
    <w:rsid w:val="007931E2"/>
    <w:rsid w:val="00795DEC"/>
    <w:rsid w:val="00797D28"/>
    <w:rsid w:val="007A2651"/>
    <w:rsid w:val="007A4743"/>
    <w:rsid w:val="007B25BC"/>
    <w:rsid w:val="007B25F6"/>
    <w:rsid w:val="007B51B0"/>
    <w:rsid w:val="007B5419"/>
    <w:rsid w:val="007B5BBA"/>
    <w:rsid w:val="007C23AD"/>
    <w:rsid w:val="007C4E64"/>
    <w:rsid w:val="007C520B"/>
    <w:rsid w:val="007C75D0"/>
    <w:rsid w:val="007D00EF"/>
    <w:rsid w:val="007D1C1C"/>
    <w:rsid w:val="007D3426"/>
    <w:rsid w:val="007D39B7"/>
    <w:rsid w:val="007D4875"/>
    <w:rsid w:val="007D4AD7"/>
    <w:rsid w:val="007D4E5E"/>
    <w:rsid w:val="007D76B1"/>
    <w:rsid w:val="007E0C74"/>
    <w:rsid w:val="007E0EAC"/>
    <w:rsid w:val="007E244E"/>
    <w:rsid w:val="007E3289"/>
    <w:rsid w:val="007E330B"/>
    <w:rsid w:val="007E65D9"/>
    <w:rsid w:val="007E6B57"/>
    <w:rsid w:val="007E7D23"/>
    <w:rsid w:val="007F014B"/>
    <w:rsid w:val="007F0849"/>
    <w:rsid w:val="007F1E76"/>
    <w:rsid w:val="007F1F32"/>
    <w:rsid w:val="007F2639"/>
    <w:rsid w:val="007F27F8"/>
    <w:rsid w:val="007F2F78"/>
    <w:rsid w:val="007F34F3"/>
    <w:rsid w:val="007F531B"/>
    <w:rsid w:val="007F67B3"/>
    <w:rsid w:val="007F751F"/>
    <w:rsid w:val="0080069D"/>
    <w:rsid w:val="008034EA"/>
    <w:rsid w:val="00803786"/>
    <w:rsid w:val="00803D93"/>
    <w:rsid w:val="0081184E"/>
    <w:rsid w:val="008122C9"/>
    <w:rsid w:val="008127AA"/>
    <w:rsid w:val="0081584F"/>
    <w:rsid w:val="00817C67"/>
    <w:rsid w:val="00817F8F"/>
    <w:rsid w:val="0082783C"/>
    <w:rsid w:val="008318D5"/>
    <w:rsid w:val="00832220"/>
    <w:rsid w:val="00832A6A"/>
    <w:rsid w:val="00835C69"/>
    <w:rsid w:val="008366D7"/>
    <w:rsid w:val="008378A6"/>
    <w:rsid w:val="008400D5"/>
    <w:rsid w:val="008418BA"/>
    <w:rsid w:val="00842E85"/>
    <w:rsid w:val="00842E9F"/>
    <w:rsid w:val="00843485"/>
    <w:rsid w:val="00847257"/>
    <w:rsid w:val="008477FA"/>
    <w:rsid w:val="00851CE7"/>
    <w:rsid w:val="00852657"/>
    <w:rsid w:val="0085674F"/>
    <w:rsid w:val="0085775F"/>
    <w:rsid w:val="008600D7"/>
    <w:rsid w:val="008605DD"/>
    <w:rsid w:val="00860D4D"/>
    <w:rsid w:val="0086160A"/>
    <w:rsid w:val="008628FA"/>
    <w:rsid w:val="008665F7"/>
    <w:rsid w:val="00866D53"/>
    <w:rsid w:val="00867801"/>
    <w:rsid w:val="00867A31"/>
    <w:rsid w:val="0087132D"/>
    <w:rsid w:val="008733D7"/>
    <w:rsid w:val="00877282"/>
    <w:rsid w:val="008815F4"/>
    <w:rsid w:val="00882938"/>
    <w:rsid w:val="00883118"/>
    <w:rsid w:val="008834F5"/>
    <w:rsid w:val="00883744"/>
    <w:rsid w:val="008839B7"/>
    <w:rsid w:val="0088498F"/>
    <w:rsid w:val="008849B8"/>
    <w:rsid w:val="00885327"/>
    <w:rsid w:val="00885B81"/>
    <w:rsid w:val="008869AE"/>
    <w:rsid w:val="00890518"/>
    <w:rsid w:val="00896A66"/>
    <w:rsid w:val="00897766"/>
    <w:rsid w:val="008A046A"/>
    <w:rsid w:val="008A117B"/>
    <w:rsid w:val="008A1351"/>
    <w:rsid w:val="008A227A"/>
    <w:rsid w:val="008A2A40"/>
    <w:rsid w:val="008A362B"/>
    <w:rsid w:val="008A788C"/>
    <w:rsid w:val="008B26FE"/>
    <w:rsid w:val="008B313B"/>
    <w:rsid w:val="008B46AD"/>
    <w:rsid w:val="008B6276"/>
    <w:rsid w:val="008B66A1"/>
    <w:rsid w:val="008C1442"/>
    <w:rsid w:val="008C1D4D"/>
    <w:rsid w:val="008C2F42"/>
    <w:rsid w:val="008C4177"/>
    <w:rsid w:val="008C6369"/>
    <w:rsid w:val="008C6631"/>
    <w:rsid w:val="008C6B54"/>
    <w:rsid w:val="008D3BBC"/>
    <w:rsid w:val="008D3E2E"/>
    <w:rsid w:val="008D509A"/>
    <w:rsid w:val="008D7C09"/>
    <w:rsid w:val="008E0C42"/>
    <w:rsid w:val="008E1CF6"/>
    <w:rsid w:val="008E3EE6"/>
    <w:rsid w:val="008E56B5"/>
    <w:rsid w:val="008E6AB0"/>
    <w:rsid w:val="008E7DAD"/>
    <w:rsid w:val="008F18D9"/>
    <w:rsid w:val="008F20FB"/>
    <w:rsid w:val="008F21CA"/>
    <w:rsid w:val="008F6E16"/>
    <w:rsid w:val="008F73A0"/>
    <w:rsid w:val="008F759D"/>
    <w:rsid w:val="00900CCE"/>
    <w:rsid w:val="009033B0"/>
    <w:rsid w:val="009039A8"/>
    <w:rsid w:val="009047F5"/>
    <w:rsid w:val="00906852"/>
    <w:rsid w:val="00906A9C"/>
    <w:rsid w:val="00907A7C"/>
    <w:rsid w:val="00910296"/>
    <w:rsid w:val="00915C99"/>
    <w:rsid w:val="00917789"/>
    <w:rsid w:val="00917CC9"/>
    <w:rsid w:val="00922B4B"/>
    <w:rsid w:val="00922DC1"/>
    <w:rsid w:val="009238B0"/>
    <w:rsid w:val="0092432B"/>
    <w:rsid w:val="0092534A"/>
    <w:rsid w:val="009261C4"/>
    <w:rsid w:val="00926384"/>
    <w:rsid w:val="00926850"/>
    <w:rsid w:val="00926B8A"/>
    <w:rsid w:val="00931165"/>
    <w:rsid w:val="0093403F"/>
    <w:rsid w:val="009341AF"/>
    <w:rsid w:val="00935714"/>
    <w:rsid w:val="00941AC9"/>
    <w:rsid w:val="00944D1D"/>
    <w:rsid w:val="00946D6E"/>
    <w:rsid w:val="0094762F"/>
    <w:rsid w:val="00947E5E"/>
    <w:rsid w:val="00953B1D"/>
    <w:rsid w:val="00953CDD"/>
    <w:rsid w:val="00954CF7"/>
    <w:rsid w:val="00955D33"/>
    <w:rsid w:val="00956314"/>
    <w:rsid w:val="00957994"/>
    <w:rsid w:val="00962E58"/>
    <w:rsid w:val="00962F56"/>
    <w:rsid w:val="00964714"/>
    <w:rsid w:val="00964BCA"/>
    <w:rsid w:val="00966028"/>
    <w:rsid w:val="009661C4"/>
    <w:rsid w:val="00966CBD"/>
    <w:rsid w:val="009676F4"/>
    <w:rsid w:val="009706E5"/>
    <w:rsid w:val="009714D8"/>
    <w:rsid w:val="00971B40"/>
    <w:rsid w:val="00972CE7"/>
    <w:rsid w:val="0097318C"/>
    <w:rsid w:val="00973F12"/>
    <w:rsid w:val="00974748"/>
    <w:rsid w:val="0097632F"/>
    <w:rsid w:val="0097662C"/>
    <w:rsid w:val="00976BCC"/>
    <w:rsid w:val="00980BFF"/>
    <w:rsid w:val="0098172C"/>
    <w:rsid w:val="00981FA6"/>
    <w:rsid w:val="00986567"/>
    <w:rsid w:val="00986A55"/>
    <w:rsid w:val="00987012"/>
    <w:rsid w:val="00987376"/>
    <w:rsid w:val="009873DB"/>
    <w:rsid w:val="00987F03"/>
    <w:rsid w:val="0099107B"/>
    <w:rsid w:val="00991167"/>
    <w:rsid w:val="00992B36"/>
    <w:rsid w:val="00993195"/>
    <w:rsid w:val="009935C1"/>
    <w:rsid w:val="00994FF3"/>
    <w:rsid w:val="00997964"/>
    <w:rsid w:val="009A01F2"/>
    <w:rsid w:val="009A0CF7"/>
    <w:rsid w:val="009A3B6A"/>
    <w:rsid w:val="009A3E9D"/>
    <w:rsid w:val="009A4919"/>
    <w:rsid w:val="009A4AB6"/>
    <w:rsid w:val="009A725B"/>
    <w:rsid w:val="009B3627"/>
    <w:rsid w:val="009B5524"/>
    <w:rsid w:val="009B65CD"/>
    <w:rsid w:val="009B675D"/>
    <w:rsid w:val="009B6DAD"/>
    <w:rsid w:val="009C1C7E"/>
    <w:rsid w:val="009C368A"/>
    <w:rsid w:val="009C4CE0"/>
    <w:rsid w:val="009C51D4"/>
    <w:rsid w:val="009C6DA7"/>
    <w:rsid w:val="009D3362"/>
    <w:rsid w:val="009D5FE5"/>
    <w:rsid w:val="009D6700"/>
    <w:rsid w:val="009D6CB4"/>
    <w:rsid w:val="009D74A5"/>
    <w:rsid w:val="009D7DF8"/>
    <w:rsid w:val="009E173A"/>
    <w:rsid w:val="009E1846"/>
    <w:rsid w:val="009E5D80"/>
    <w:rsid w:val="009E6DD9"/>
    <w:rsid w:val="009E7F5A"/>
    <w:rsid w:val="009F0F9D"/>
    <w:rsid w:val="009F4780"/>
    <w:rsid w:val="009F4C29"/>
    <w:rsid w:val="009F5492"/>
    <w:rsid w:val="009F5E58"/>
    <w:rsid w:val="009F6CB9"/>
    <w:rsid w:val="00A00A0F"/>
    <w:rsid w:val="00A01FCA"/>
    <w:rsid w:val="00A03D68"/>
    <w:rsid w:val="00A05838"/>
    <w:rsid w:val="00A06D29"/>
    <w:rsid w:val="00A1076B"/>
    <w:rsid w:val="00A11F94"/>
    <w:rsid w:val="00A127CD"/>
    <w:rsid w:val="00A21FFA"/>
    <w:rsid w:val="00A23746"/>
    <w:rsid w:val="00A262E5"/>
    <w:rsid w:val="00A26DF3"/>
    <w:rsid w:val="00A30392"/>
    <w:rsid w:val="00A32134"/>
    <w:rsid w:val="00A3229C"/>
    <w:rsid w:val="00A328DC"/>
    <w:rsid w:val="00A32A01"/>
    <w:rsid w:val="00A3554D"/>
    <w:rsid w:val="00A4288E"/>
    <w:rsid w:val="00A4288F"/>
    <w:rsid w:val="00A46384"/>
    <w:rsid w:val="00A504DB"/>
    <w:rsid w:val="00A51B9D"/>
    <w:rsid w:val="00A53859"/>
    <w:rsid w:val="00A55233"/>
    <w:rsid w:val="00A56B21"/>
    <w:rsid w:val="00A56CBF"/>
    <w:rsid w:val="00A5712B"/>
    <w:rsid w:val="00A605E2"/>
    <w:rsid w:val="00A60972"/>
    <w:rsid w:val="00A60AD9"/>
    <w:rsid w:val="00A620AA"/>
    <w:rsid w:val="00A62406"/>
    <w:rsid w:val="00A637C1"/>
    <w:rsid w:val="00A64A39"/>
    <w:rsid w:val="00A66119"/>
    <w:rsid w:val="00A72070"/>
    <w:rsid w:val="00A72720"/>
    <w:rsid w:val="00A7286F"/>
    <w:rsid w:val="00A747C9"/>
    <w:rsid w:val="00A74BA8"/>
    <w:rsid w:val="00A77EC6"/>
    <w:rsid w:val="00A81D7B"/>
    <w:rsid w:val="00A83BAD"/>
    <w:rsid w:val="00A855CF"/>
    <w:rsid w:val="00A86C8D"/>
    <w:rsid w:val="00A93E3E"/>
    <w:rsid w:val="00A944BE"/>
    <w:rsid w:val="00A946AD"/>
    <w:rsid w:val="00A96CF3"/>
    <w:rsid w:val="00AA23C8"/>
    <w:rsid w:val="00AA451D"/>
    <w:rsid w:val="00AA47E5"/>
    <w:rsid w:val="00AA6754"/>
    <w:rsid w:val="00AA7DA8"/>
    <w:rsid w:val="00AB070E"/>
    <w:rsid w:val="00AB1055"/>
    <w:rsid w:val="00AB26A2"/>
    <w:rsid w:val="00AB5809"/>
    <w:rsid w:val="00AB5E85"/>
    <w:rsid w:val="00AB70B7"/>
    <w:rsid w:val="00AC0C85"/>
    <w:rsid w:val="00AC1A5A"/>
    <w:rsid w:val="00AC494A"/>
    <w:rsid w:val="00AC6458"/>
    <w:rsid w:val="00AC7760"/>
    <w:rsid w:val="00AD0283"/>
    <w:rsid w:val="00AD14BA"/>
    <w:rsid w:val="00AD319B"/>
    <w:rsid w:val="00AD3A45"/>
    <w:rsid w:val="00AD3FF1"/>
    <w:rsid w:val="00AD5660"/>
    <w:rsid w:val="00AD72BD"/>
    <w:rsid w:val="00AE01AD"/>
    <w:rsid w:val="00AE271C"/>
    <w:rsid w:val="00AE3263"/>
    <w:rsid w:val="00AE3874"/>
    <w:rsid w:val="00AE389B"/>
    <w:rsid w:val="00AE3C7D"/>
    <w:rsid w:val="00AE5258"/>
    <w:rsid w:val="00AF121B"/>
    <w:rsid w:val="00AF1A62"/>
    <w:rsid w:val="00AF365E"/>
    <w:rsid w:val="00B05266"/>
    <w:rsid w:val="00B05DDC"/>
    <w:rsid w:val="00B05EF7"/>
    <w:rsid w:val="00B0733D"/>
    <w:rsid w:val="00B0778B"/>
    <w:rsid w:val="00B126AF"/>
    <w:rsid w:val="00B1521A"/>
    <w:rsid w:val="00B1536A"/>
    <w:rsid w:val="00B20DED"/>
    <w:rsid w:val="00B21B94"/>
    <w:rsid w:val="00B23BAE"/>
    <w:rsid w:val="00B25239"/>
    <w:rsid w:val="00B27307"/>
    <w:rsid w:val="00B3098D"/>
    <w:rsid w:val="00B347C0"/>
    <w:rsid w:val="00B356C6"/>
    <w:rsid w:val="00B35723"/>
    <w:rsid w:val="00B35A77"/>
    <w:rsid w:val="00B374CE"/>
    <w:rsid w:val="00B37EDC"/>
    <w:rsid w:val="00B41F33"/>
    <w:rsid w:val="00B4350E"/>
    <w:rsid w:val="00B43B81"/>
    <w:rsid w:val="00B44D76"/>
    <w:rsid w:val="00B4526B"/>
    <w:rsid w:val="00B47A90"/>
    <w:rsid w:val="00B47AE7"/>
    <w:rsid w:val="00B47F68"/>
    <w:rsid w:val="00B50D18"/>
    <w:rsid w:val="00B52D53"/>
    <w:rsid w:val="00B537B1"/>
    <w:rsid w:val="00B5435A"/>
    <w:rsid w:val="00B5474D"/>
    <w:rsid w:val="00B562D6"/>
    <w:rsid w:val="00B567EC"/>
    <w:rsid w:val="00B60173"/>
    <w:rsid w:val="00B6597E"/>
    <w:rsid w:val="00B671B9"/>
    <w:rsid w:val="00B672C5"/>
    <w:rsid w:val="00B716E3"/>
    <w:rsid w:val="00B72BBC"/>
    <w:rsid w:val="00B72FF8"/>
    <w:rsid w:val="00B754C0"/>
    <w:rsid w:val="00B758D0"/>
    <w:rsid w:val="00B81B8E"/>
    <w:rsid w:val="00B8249B"/>
    <w:rsid w:val="00B86911"/>
    <w:rsid w:val="00B9090C"/>
    <w:rsid w:val="00B93D30"/>
    <w:rsid w:val="00B95041"/>
    <w:rsid w:val="00B95A76"/>
    <w:rsid w:val="00B9748A"/>
    <w:rsid w:val="00BA1091"/>
    <w:rsid w:val="00BA5BDB"/>
    <w:rsid w:val="00BA7A18"/>
    <w:rsid w:val="00BB0012"/>
    <w:rsid w:val="00BB0334"/>
    <w:rsid w:val="00BB2EA1"/>
    <w:rsid w:val="00BB3618"/>
    <w:rsid w:val="00BB3A5E"/>
    <w:rsid w:val="00BB5413"/>
    <w:rsid w:val="00BB5E4B"/>
    <w:rsid w:val="00BB7413"/>
    <w:rsid w:val="00BC360C"/>
    <w:rsid w:val="00BC467F"/>
    <w:rsid w:val="00BC5F5D"/>
    <w:rsid w:val="00BC68F8"/>
    <w:rsid w:val="00BC73E0"/>
    <w:rsid w:val="00BC7A05"/>
    <w:rsid w:val="00BD04E2"/>
    <w:rsid w:val="00BD0650"/>
    <w:rsid w:val="00BD1F90"/>
    <w:rsid w:val="00BD26E0"/>
    <w:rsid w:val="00BD379F"/>
    <w:rsid w:val="00BD6214"/>
    <w:rsid w:val="00BE0390"/>
    <w:rsid w:val="00BE5F4B"/>
    <w:rsid w:val="00BE6E52"/>
    <w:rsid w:val="00BF0341"/>
    <w:rsid w:val="00BF338A"/>
    <w:rsid w:val="00BF3E59"/>
    <w:rsid w:val="00BF4BF7"/>
    <w:rsid w:val="00BF51BD"/>
    <w:rsid w:val="00BF7DCD"/>
    <w:rsid w:val="00C001CF"/>
    <w:rsid w:val="00C01FD7"/>
    <w:rsid w:val="00C05221"/>
    <w:rsid w:val="00C05CEF"/>
    <w:rsid w:val="00C0615E"/>
    <w:rsid w:val="00C07D0E"/>
    <w:rsid w:val="00C10474"/>
    <w:rsid w:val="00C11A9F"/>
    <w:rsid w:val="00C127E6"/>
    <w:rsid w:val="00C1418A"/>
    <w:rsid w:val="00C146E9"/>
    <w:rsid w:val="00C20816"/>
    <w:rsid w:val="00C21849"/>
    <w:rsid w:val="00C26EE9"/>
    <w:rsid w:val="00C271A8"/>
    <w:rsid w:val="00C2760B"/>
    <w:rsid w:val="00C305B9"/>
    <w:rsid w:val="00C31332"/>
    <w:rsid w:val="00C336E7"/>
    <w:rsid w:val="00C34A8C"/>
    <w:rsid w:val="00C3534C"/>
    <w:rsid w:val="00C3590F"/>
    <w:rsid w:val="00C35961"/>
    <w:rsid w:val="00C35E43"/>
    <w:rsid w:val="00C36599"/>
    <w:rsid w:val="00C37264"/>
    <w:rsid w:val="00C4577C"/>
    <w:rsid w:val="00C45864"/>
    <w:rsid w:val="00C4736B"/>
    <w:rsid w:val="00C4771A"/>
    <w:rsid w:val="00C500FE"/>
    <w:rsid w:val="00C51898"/>
    <w:rsid w:val="00C54269"/>
    <w:rsid w:val="00C554FF"/>
    <w:rsid w:val="00C565C8"/>
    <w:rsid w:val="00C5750F"/>
    <w:rsid w:val="00C579EA"/>
    <w:rsid w:val="00C60657"/>
    <w:rsid w:val="00C62436"/>
    <w:rsid w:val="00C62AA3"/>
    <w:rsid w:val="00C64BA9"/>
    <w:rsid w:val="00C6518E"/>
    <w:rsid w:val="00C651B9"/>
    <w:rsid w:val="00C6685F"/>
    <w:rsid w:val="00C6742F"/>
    <w:rsid w:val="00C706BE"/>
    <w:rsid w:val="00C754B8"/>
    <w:rsid w:val="00C76693"/>
    <w:rsid w:val="00C8052D"/>
    <w:rsid w:val="00C81F20"/>
    <w:rsid w:val="00C85CCD"/>
    <w:rsid w:val="00C86AE0"/>
    <w:rsid w:val="00C92239"/>
    <w:rsid w:val="00C92AFB"/>
    <w:rsid w:val="00C96CEC"/>
    <w:rsid w:val="00C97EB5"/>
    <w:rsid w:val="00CA15C6"/>
    <w:rsid w:val="00CA1A8E"/>
    <w:rsid w:val="00CA439E"/>
    <w:rsid w:val="00CB1A68"/>
    <w:rsid w:val="00CB1E57"/>
    <w:rsid w:val="00CB44F9"/>
    <w:rsid w:val="00CB7116"/>
    <w:rsid w:val="00CC0485"/>
    <w:rsid w:val="00CC1947"/>
    <w:rsid w:val="00CC2D84"/>
    <w:rsid w:val="00CC45B6"/>
    <w:rsid w:val="00CC6472"/>
    <w:rsid w:val="00CC6F0F"/>
    <w:rsid w:val="00CD110F"/>
    <w:rsid w:val="00CD227A"/>
    <w:rsid w:val="00CD2F5F"/>
    <w:rsid w:val="00CD57B8"/>
    <w:rsid w:val="00CD696F"/>
    <w:rsid w:val="00CE0077"/>
    <w:rsid w:val="00CE1211"/>
    <w:rsid w:val="00CE127E"/>
    <w:rsid w:val="00CE142D"/>
    <w:rsid w:val="00CE1795"/>
    <w:rsid w:val="00CE2458"/>
    <w:rsid w:val="00CE5BBB"/>
    <w:rsid w:val="00CE5DEF"/>
    <w:rsid w:val="00CE5FBE"/>
    <w:rsid w:val="00CE62BD"/>
    <w:rsid w:val="00CE7373"/>
    <w:rsid w:val="00CE76EC"/>
    <w:rsid w:val="00CF33DF"/>
    <w:rsid w:val="00CF60DF"/>
    <w:rsid w:val="00CF657B"/>
    <w:rsid w:val="00CF6C27"/>
    <w:rsid w:val="00CF7F78"/>
    <w:rsid w:val="00D00E5A"/>
    <w:rsid w:val="00D02799"/>
    <w:rsid w:val="00D04F96"/>
    <w:rsid w:val="00D0598E"/>
    <w:rsid w:val="00D0607F"/>
    <w:rsid w:val="00D06C02"/>
    <w:rsid w:val="00D07C79"/>
    <w:rsid w:val="00D10B15"/>
    <w:rsid w:val="00D1192F"/>
    <w:rsid w:val="00D12A59"/>
    <w:rsid w:val="00D13B07"/>
    <w:rsid w:val="00D16054"/>
    <w:rsid w:val="00D2091A"/>
    <w:rsid w:val="00D24879"/>
    <w:rsid w:val="00D2559E"/>
    <w:rsid w:val="00D268A1"/>
    <w:rsid w:val="00D2702B"/>
    <w:rsid w:val="00D27350"/>
    <w:rsid w:val="00D31084"/>
    <w:rsid w:val="00D31DA4"/>
    <w:rsid w:val="00D33ACA"/>
    <w:rsid w:val="00D34074"/>
    <w:rsid w:val="00D348B3"/>
    <w:rsid w:val="00D34FD7"/>
    <w:rsid w:val="00D35C76"/>
    <w:rsid w:val="00D36BEA"/>
    <w:rsid w:val="00D41082"/>
    <w:rsid w:val="00D4417A"/>
    <w:rsid w:val="00D47454"/>
    <w:rsid w:val="00D47617"/>
    <w:rsid w:val="00D517B7"/>
    <w:rsid w:val="00D51A75"/>
    <w:rsid w:val="00D5356B"/>
    <w:rsid w:val="00D539F4"/>
    <w:rsid w:val="00D54BA0"/>
    <w:rsid w:val="00D56A05"/>
    <w:rsid w:val="00D5709C"/>
    <w:rsid w:val="00D60A64"/>
    <w:rsid w:val="00D61B61"/>
    <w:rsid w:val="00D626D8"/>
    <w:rsid w:val="00D62D42"/>
    <w:rsid w:val="00D65A4C"/>
    <w:rsid w:val="00D66208"/>
    <w:rsid w:val="00D67035"/>
    <w:rsid w:val="00D67A8C"/>
    <w:rsid w:val="00D701BD"/>
    <w:rsid w:val="00D70528"/>
    <w:rsid w:val="00D749F8"/>
    <w:rsid w:val="00D750FE"/>
    <w:rsid w:val="00D7644F"/>
    <w:rsid w:val="00D76BAF"/>
    <w:rsid w:val="00D77445"/>
    <w:rsid w:val="00D776D6"/>
    <w:rsid w:val="00D803CA"/>
    <w:rsid w:val="00D81F30"/>
    <w:rsid w:val="00D930E5"/>
    <w:rsid w:val="00D93A35"/>
    <w:rsid w:val="00D953AC"/>
    <w:rsid w:val="00D957FC"/>
    <w:rsid w:val="00DA4042"/>
    <w:rsid w:val="00DA479B"/>
    <w:rsid w:val="00DA48C7"/>
    <w:rsid w:val="00DA51DB"/>
    <w:rsid w:val="00DA6E48"/>
    <w:rsid w:val="00DA71FC"/>
    <w:rsid w:val="00DA78B6"/>
    <w:rsid w:val="00DA7BEC"/>
    <w:rsid w:val="00DB4107"/>
    <w:rsid w:val="00DB4FCE"/>
    <w:rsid w:val="00DB670B"/>
    <w:rsid w:val="00DC1820"/>
    <w:rsid w:val="00DC394E"/>
    <w:rsid w:val="00DC6C76"/>
    <w:rsid w:val="00DC7D99"/>
    <w:rsid w:val="00DD0FDD"/>
    <w:rsid w:val="00DD30C0"/>
    <w:rsid w:val="00DD5E6A"/>
    <w:rsid w:val="00DD669A"/>
    <w:rsid w:val="00DD6907"/>
    <w:rsid w:val="00DD7557"/>
    <w:rsid w:val="00DE14F0"/>
    <w:rsid w:val="00DE1734"/>
    <w:rsid w:val="00DE23AF"/>
    <w:rsid w:val="00DE5159"/>
    <w:rsid w:val="00DE5ACE"/>
    <w:rsid w:val="00DE6FA4"/>
    <w:rsid w:val="00DE7393"/>
    <w:rsid w:val="00DF16CA"/>
    <w:rsid w:val="00DF2173"/>
    <w:rsid w:val="00DF2E32"/>
    <w:rsid w:val="00E00E5E"/>
    <w:rsid w:val="00E00F52"/>
    <w:rsid w:val="00E00F6D"/>
    <w:rsid w:val="00E05E0E"/>
    <w:rsid w:val="00E0672A"/>
    <w:rsid w:val="00E1201D"/>
    <w:rsid w:val="00E129AD"/>
    <w:rsid w:val="00E154C5"/>
    <w:rsid w:val="00E15ABD"/>
    <w:rsid w:val="00E225B7"/>
    <w:rsid w:val="00E23745"/>
    <w:rsid w:val="00E2418B"/>
    <w:rsid w:val="00E25F97"/>
    <w:rsid w:val="00E263A0"/>
    <w:rsid w:val="00E26486"/>
    <w:rsid w:val="00E313A3"/>
    <w:rsid w:val="00E32443"/>
    <w:rsid w:val="00E32CBB"/>
    <w:rsid w:val="00E33BDB"/>
    <w:rsid w:val="00E33C74"/>
    <w:rsid w:val="00E33D96"/>
    <w:rsid w:val="00E347FF"/>
    <w:rsid w:val="00E3501C"/>
    <w:rsid w:val="00E35E0C"/>
    <w:rsid w:val="00E411F2"/>
    <w:rsid w:val="00E414D7"/>
    <w:rsid w:val="00E42740"/>
    <w:rsid w:val="00E42836"/>
    <w:rsid w:val="00E42881"/>
    <w:rsid w:val="00E440BF"/>
    <w:rsid w:val="00E46B4E"/>
    <w:rsid w:val="00E47A59"/>
    <w:rsid w:val="00E47B16"/>
    <w:rsid w:val="00E50790"/>
    <w:rsid w:val="00E52F4E"/>
    <w:rsid w:val="00E5369F"/>
    <w:rsid w:val="00E541DF"/>
    <w:rsid w:val="00E551AA"/>
    <w:rsid w:val="00E555B7"/>
    <w:rsid w:val="00E56996"/>
    <w:rsid w:val="00E576A9"/>
    <w:rsid w:val="00E62561"/>
    <w:rsid w:val="00E631EE"/>
    <w:rsid w:val="00E6380E"/>
    <w:rsid w:val="00E63C07"/>
    <w:rsid w:val="00E64AF7"/>
    <w:rsid w:val="00E655DD"/>
    <w:rsid w:val="00E70ECF"/>
    <w:rsid w:val="00E71AC5"/>
    <w:rsid w:val="00E72E70"/>
    <w:rsid w:val="00E730E4"/>
    <w:rsid w:val="00E75ECB"/>
    <w:rsid w:val="00E7639C"/>
    <w:rsid w:val="00E77BD2"/>
    <w:rsid w:val="00E8107B"/>
    <w:rsid w:val="00E8195B"/>
    <w:rsid w:val="00E82D8C"/>
    <w:rsid w:val="00E86EFF"/>
    <w:rsid w:val="00E87152"/>
    <w:rsid w:val="00E879CF"/>
    <w:rsid w:val="00E90CD4"/>
    <w:rsid w:val="00E943FA"/>
    <w:rsid w:val="00E9477C"/>
    <w:rsid w:val="00E94F63"/>
    <w:rsid w:val="00E956BB"/>
    <w:rsid w:val="00E95722"/>
    <w:rsid w:val="00E966E3"/>
    <w:rsid w:val="00E97FC4"/>
    <w:rsid w:val="00EA09EB"/>
    <w:rsid w:val="00EA1C30"/>
    <w:rsid w:val="00EA2FB6"/>
    <w:rsid w:val="00EA6669"/>
    <w:rsid w:val="00EA7934"/>
    <w:rsid w:val="00EB17F7"/>
    <w:rsid w:val="00EB394D"/>
    <w:rsid w:val="00EB3E7F"/>
    <w:rsid w:val="00EB61C7"/>
    <w:rsid w:val="00EB78D9"/>
    <w:rsid w:val="00EC4B60"/>
    <w:rsid w:val="00ED0363"/>
    <w:rsid w:val="00ED0986"/>
    <w:rsid w:val="00ED0D53"/>
    <w:rsid w:val="00ED2BC3"/>
    <w:rsid w:val="00ED3079"/>
    <w:rsid w:val="00ED3E12"/>
    <w:rsid w:val="00ED45FE"/>
    <w:rsid w:val="00ED5777"/>
    <w:rsid w:val="00ED63D7"/>
    <w:rsid w:val="00ED7B34"/>
    <w:rsid w:val="00EE06BF"/>
    <w:rsid w:val="00EE12EE"/>
    <w:rsid w:val="00EE1998"/>
    <w:rsid w:val="00EE2857"/>
    <w:rsid w:val="00EE2B73"/>
    <w:rsid w:val="00EE2ECF"/>
    <w:rsid w:val="00EE2F9F"/>
    <w:rsid w:val="00EE4A6A"/>
    <w:rsid w:val="00EE4BFD"/>
    <w:rsid w:val="00EE5540"/>
    <w:rsid w:val="00EE59AE"/>
    <w:rsid w:val="00EE5A45"/>
    <w:rsid w:val="00EE6135"/>
    <w:rsid w:val="00EE6E6C"/>
    <w:rsid w:val="00EE7E86"/>
    <w:rsid w:val="00EF04F3"/>
    <w:rsid w:val="00EF188A"/>
    <w:rsid w:val="00EF1C65"/>
    <w:rsid w:val="00EF2411"/>
    <w:rsid w:val="00EF5155"/>
    <w:rsid w:val="00EF5847"/>
    <w:rsid w:val="00EF7D79"/>
    <w:rsid w:val="00EF7EDC"/>
    <w:rsid w:val="00F00AE8"/>
    <w:rsid w:val="00F0193C"/>
    <w:rsid w:val="00F060CD"/>
    <w:rsid w:val="00F0713E"/>
    <w:rsid w:val="00F07BB0"/>
    <w:rsid w:val="00F1006B"/>
    <w:rsid w:val="00F10B78"/>
    <w:rsid w:val="00F115CE"/>
    <w:rsid w:val="00F13C28"/>
    <w:rsid w:val="00F141BE"/>
    <w:rsid w:val="00F146FA"/>
    <w:rsid w:val="00F162BF"/>
    <w:rsid w:val="00F171CB"/>
    <w:rsid w:val="00F2328A"/>
    <w:rsid w:val="00F255C2"/>
    <w:rsid w:val="00F2770E"/>
    <w:rsid w:val="00F35194"/>
    <w:rsid w:val="00F36490"/>
    <w:rsid w:val="00F4055F"/>
    <w:rsid w:val="00F435E7"/>
    <w:rsid w:val="00F460C6"/>
    <w:rsid w:val="00F478E8"/>
    <w:rsid w:val="00F55A4C"/>
    <w:rsid w:val="00F561B5"/>
    <w:rsid w:val="00F56276"/>
    <w:rsid w:val="00F620CB"/>
    <w:rsid w:val="00F6294A"/>
    <w:rsid w:val="00F6322C"/>
    <w:rsid w:val="00F64BA1"/>
    <w:rsid w:val="00F667E3"/>
    <w:rsid w:val="00F66CFB"/>
    <w:rsid w:val="00F67EA2"/>
    <w:rsid w:val="00F70610"/>
    <w:rsid w:val="00F71AE2"/>
    <w:rsid w:val="00F72384"/>
    <w:rsid w:val="00F728FC"/>
    <w:rsid w:val="00F73F2B"/>
    <w:rsid w:val="00F74B3B"/>
    <w:rsid w:val="00F77F02"/>
    <w:rsid w:val="00F80F6A"/>
    <w:rsid w:val="00F81951"/>
    <w:rsid w:val="00F82F27"/>
    <w:rsid w:val="00F84016"/>
    <w:rsid w:val="00F87BB5"/>
    <w:rsid w:val="00F90564"/>
    <w:rsid w:val="00F92601"/>
    <w:rsid w:val="00F94940"/>
    <w:rsid w:val="00F953BE"/>
    <w:rsid w:val="00F969BD"/>
    <w:rsid w:val="00FA2998"/>
    <w:rsid w:val="00FA364F"/>
    <w:rsid w:val="00FA7DE9"/>
    <w:rsid w:val="00FB0BBE"/>
    <w:rsid w:val="00FB1A4E"/>
    <w:rsid w:val="00FB29C7"/>
    <w:rsid w:val="00FB3AB3"/>
    <w:rsid w:val="00FB4094"/>
    <w:rsid w:val="00FB487C"/>
    <w:rsid w:val="00FB4D04"/>
    <w:rsid w:val="00FB5ECD"/>
    <w:rsid w:val="00FB6195"/>
    <w:rsid w:val="00FB6307"/>
    <w:rsid w:val="00FB634A"/>
    <w:rsid w:val="00FB6AED"/>
    <w:rsid w:val="00FB77F5"/>
    <w:rsid w:val="00FC089E"/>
    <w:rsid w:val="00FC0FF0"/>
    <w:rsid w:val="00FC3110"/>
    <w:rsid w:val="00FC39C5"/>
    <w:rsid w:val="00FC3C43"/>
    <w:rsid w:val="00FC3CAF"/>
    <w:rsid w:val="00FC4387"/>
    <w:rsid w:val="00FC4C93"/>
    <w:rsid w:val="00FC5C7E"/>
    <w:rsid w:val="00FD0E45"/>
    <w:rsid w:val="00FD287A"/>
    <w:rsid w:val="00FD29B4"/>
    <w:rsid w:val="00FD3991"/>
    <w:rsid w:val="00FD6345"/>
    <w:rsid w:val="00FE1AD9"/>
    <w:rsid w:val="00FE1FA5"/>
    <w:rsid w:val="00FE224A"/>
    <w:rsid w:val="00FE32F2"/>
    <w:rsid w:val="00FE4517"/>
    <w:rsid w:val="00FE66DF"/>
    <w:rsid w:val="00FF06A8"/>
    <w:rsid w:val="00FF1F13"/>
    <w:rsid w:val="00FF31DE"/>
    <w:rsid w:val="00FF3ABD"/>
    <w:rsid w:val="00FF4645"/>
    <w:rsid w:val="00FF553C"/>
    <w:rsid w:val="00FF573D"/>
  </w:rsids>
  <m:mathPr>
    <m:mathFont m:val="Cambria Math"/>
    <m:brkBin m:val="before"/>
    <m:brkBinSub m:val="--"/>
    <m:smallFrac m:val="off"/>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A5"/>
  </w:style>
  <w:style w:type="paragraph" w:styleId="Heading1">
    <w:name w:val="heading 1"/>
    <w:basedOn w:val="Normal"/>
    <w:next w:val="Normal"/>
    <w:link w:val="Heading1Char"/>
    <w:qFormat/>
    <w:rsid w:val="00AF121B"/>
    <w:pPr>
      <w:keepNext/>
      <w:spacing w:after="0" w:line="360" w:lineRule="auto"/>
      <w:jc w:val="center"/>
      <w:outlineLvl w:val="0"/>
    </w:pPr>
    <w:rPr>
      <w:rFonts w:ascii="Times New Roman" w:eastAsia="Times New Roman" w:hAnsi="Times New Roman" w:cs="Times New Roman"/>
      <w:b/>
      <w:bCs/>
      <w:sz w:val="24"/>
      <w:szCs w:val="24"/>
      <w:lang w:val="en-GB" w:eastAsia="en-US"/>
    </w:rPr>
  </w:style>
  <w:style w:type="paragraph" w:styleId="Heading2">
    <w:name w:val="heading 2"/>
    <w:basedOn w:val="Normal"/>
    <w:next w:val="Normal"/>
    <w:link w:val="Heading2Char"/>
    <w:uiPriority w:val="9"/>
    <w:semiHidden/>
    <w:unhideWhenUsed/>
    <w:qFormat/>
    <w:rsid w:val="00D93A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A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3A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3A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93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3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66208"/>
  </w:style>
  <w:style w:type="character" w:customStyle="1" w:styleId="DateChar">
    <w:name w:val="Date Char"/>
    <w:basedOn w:val="DefaultParagraphFont"/>
    <w:link w:val="Date"/>
    <w:uiPriority w:val="99"/>
    <w:semiHidden/>
    <w:rsid w:val="00D66208"/>
  </w:style>
  <w:style w:type="paragraph" w:styleId="ListParagraph">
    <w:name w:val="List Paragraph"/>
    <w:basedOn w:val="Normal"/>
    <w:uiPriority w:val="34"/>
    <w:qFormat/>
    <w:rsid w:val="00D66208"/>
    <w:pPr>
      <w:ind w:left="720"/>
      <w:contextualSpacing/>
    </w:pPr>
  </w:style>
  <w:style w:type="paragraph" w:styleId="BodyText">
    <w:name w:val="Body Text"/>
    <w:basedOn w:val="Normal"/>
    <w:link w:val="BodyTextChar"/>
    <w:rsid w:val="00D66208"/>
    <w:pPr>
      <w:spacing w:after="0" w:line="360" w:lineRule="auto"/>
      <w:jc w:val="both"/>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66208"/>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D662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208"/>
  </w:style>
  <w:style w:type="paragraph" w:styleId="Footer">
    <w:name w:val="footer"/>
    <w:basedOn w:val="Normal"/>
    <w:link w:val="FooterChar"/>
    <w:unhideWhenUsed/>
    <w:rsid w:val="00D6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08"/>
  </w:style>
  <w:style w:type="paragraph" w:styleId="FootnoteText">
    <w:name w:val="footnote text"/>
    <w:basedOn w:val="Normal"/>
    <w:link w:val="FootnoteTextChar"/>
    <w:semiHidden/>
    <w:rsid w:val="00D66208"/>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D66208"/>
    <w:rPr>
      <w:rFonts w:ascii="Times New Roman" w:eastAsia="Times New Roman" w:hAnsi="Times New Roman" w:cs="Times New Roman"/>
      <w:sz w:val="20"/>
      <w:szCs w:val="20"/>
      <w:lang w:val="en-GB" w:eastAsia="en-US"/>
    </w:rPr>
  </w:style>
  <w:style w:type="character" w:styleId="FootnoteReference">
    <w:name w:val="footnote reference"/>
    <w:basedOn w:val="DefaultParagraphFont"/>
    <w:semiHidden/>
    <w:rsid w:val="00D66208"/>
    <w:rPr>
      <w:vertAlign w:val="superscript"/>
    </w:rPr>
  </w:style>
  <w:style w:type="character" w:styleId="Hyperlink">
    <w:name w:val="Hyperlink"/>
    <w:basedOn w:val="DefaultParagraphFont"/>
    <w:uiPriority w:val="99"/>
    <w:unhideWhenUsed/>
    <w:rsid w:val="00D66208"/>
    <w:rPr>
      <w:color w:val="0000FF" w:themeColor="hyperlink"/>
      <w:u w:val="single"/>
    </w:rPr>
  </w:style>
  <w:style w:type="character" w:customStyle="1" w:styleId="Heading1Char">
    <w:name w:val="Heading 1 Char"/>
    <w:basedOn w:val="DefaultParagraphFont"/>
    <w:link w:val="Heading1"/>
    <w:rsid w:val="00AF121B"/>
    <w:rPr>
      <w:rFonts w:ascii="Times New Roman" w:eastAsia="Times New Roman" w:hAnsi="Times New Roman" w:cs="Times New Roman"/>
      <w:b/>
      <w:bCs/>
      <w:sz w:val="24"/>
      <w:szCs w:val="24"/>
      <w:lang w:val="en-GB" w:eastAsia="en-US"/>
    </w:rPr>
  </w:style>
  <w:style w:type="character" w:customStyle="1" w:styleId="Heading2Char">
    <w:name w:val="Heading 2 Char"/>
    <w:basedOn w:val="DefaultParagraphFont"/>
    <w:link w:val="Heading2"/>
    <w:uiPriority w:val="9"/>
    <w:semiHidden/>
    <w:rsid w:val="00D93A3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93A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93A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93A3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93A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3A35"/>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D93A35"/>
    <w:pPr>
      <w:spacing w:after="120"/>
      <w:ind w:left="283"/>
    </w:pPr>
  </w:style>
  <w:style w:type="character" w:customStyle="1" w:styleId="BodyTextIndentChar">
    <w:name w:val="Body Text Indent Char"/>
    <w:basedOn w:val="DefaultParagraphFont"/>
    <w:link w:val="BodyTextIndent"/>
    <w:uiPriority w:val="99"/>
    <w:semiHidden/>
    <w:rsid w:val="00D93A35"/>
  </w:style>
  <w:style w:type="paragraph" w:styleId="BodyTextIndent2">
    <w:name w:val="Body Text Indent 2"/>
    <w:basedOn w:val="Normal"/>
    <w:link w:val="BodyTextIndent2Char"/>
    <w:uiPriority w:val="99"/>
    <w:semiHidden/>
    <w:unhideWhenUsed/>
    <w:rsid w:val="00D93A35"/>
    <w:pPr>
      <w:spacing w:after="120" w:line="480" w:lineRule="auto"/>
      <w:ind w:left="283"/>
    </w:pPr>
  </w:style>
  <w:style w:type="character" w:customStyle="1" w:styleId="BodyTextIndent2Char">
    <w:name w:val="Body Text Indent 2 Char"/>
    <w:basedOn w:val="DefaultParagraphFont"/>
    <w:link w:val="BodyTextIndent2"/>
    <w:uiPriority w:val="99"/>
    <w:semiHidden/>
    <w:rsid w:val="00D93A35"/>
  </w:style>
  <w:style w:type="paragraph" w:styleId="BodyTextIndent3">
    <w:name w:val="Body Text Indent 3"/>
    <w:basedOn w:val="Normal"/>
    <w:link w:val="BodyTextIndent3Char"/>
    <w:uiPriority w:val="99"/>
    <w:semiHidden/>
    <w:unhideWhenUsed/>
    <w:rsid w:val="00D93A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93A35"/>
    <w:rPr>
      <w:sz w:val="16"/>
      <w:szCs w:val="16"/>
    </w:rPr>
  </w:style>
  <w:style w:type="paragraph" w:styleId="Title">
    <w:name w:val="Title"/>
    <w:basedOn w:val="Normal"/>
    <w:link w:val="TitleChar"/>
    <w:qFormat/>
    <w:rsid w:val="00D93A35"/>
    <w:pPr>
      <w:spacing w:after="0" w:line="360" w:lineRule="auto"/>
      <w:jc w:val="center"/>
    </w:pPr>
    <w:rPr>
      <w:rFonts w:ascii="Times New Roman" w:eastAsia="Times New Roman" w:hAnsi="Times New Roman" w:cs="Times New Roman"/>
      <w:b/>
      <w:sz w:val="20"/>
      <w:szCs w:val="20"/>
      <w:lang w:val="en-US" w:eastAsia="en-US"/>
    </w:rPr>
  </w:style>
  <w:style w:type="character" w:customStyle="1" w:styleId="TitleChar">
    <w:name w:val="Title Char"/>
    <w:basedOn w:val="DefaultParagraphFont"/>
    <w:link w:val="Title"/>
    <w:rsid w:val="00D93A35"/>
    <w:rPr>
      <w:rFonts w:ascii="Times New Roman" w:eastAsia="Times New Roman" w:hAnsi="Times New Roman" w:cs="Times New Roman"/>
      <w:b/>
      <w:sz w:val="20"/>
      <w:szCs w:val="20"/>
      <w:lang w:val="en-US" w:eastAsia="en-US"/>
    </w:rPr>
  </w:style>
  <w:style w:type="paragraph" w:styleId="Subtitle">
    <w:name w:val="Subtitle"/>
    <w:basedOn w:val="Normal"/>
    <w:link w:val="SubtitleChar"/>
    <w:qFormat/>
    <w:rsid w:val="00D93A35"/>
    <w:pPr>
      <w:pBdr>
        <w:bottom w:val="single" w:sz="12" w:space="1" w:color="auto"/>
      </w:pBdr>
      <w:spacing w:after="0" w:line="240" w:lineRule="auto"/>
      <w:jc w:val="center"/>
    </w:pPr>
    <w:rPr>
      <w:rFonts w:ascii="Times New Roman" w:eastAsia="Times New Roman" w:hAnsi="Times New Roman" w:cs="Times New Roman"/>
      <w:b/>
      <w:sz w:val="24"/>
      <w:szCs w:val="20"/>
      <w:lang w:val="en-US" w:eastAsia="en-US"/>
    </w:rPr>
  </w:style>
  <w:style w:type="character" w:customStyle="1" w:styleId="SubtitleChar">
    <w:name w:val="Subtitle Char"/>
    <w:basedOn w:val="DefaultParagraphFont"/>
    <w:link w:val="Subtitle"/>
    <w:rsid w:val="00D93A35"/>
    <w:rPr>
      <w:rFonts w:ascii="Times New Roman" w:eastAsia="Times New Roman" w:hAnsi="Times New Roman" w:cs="Times New Roman"/>
      <w:b/>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www.aer.gov.au"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http://www.aer.gov.a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www.aer.gov.au" TargetMode="External"/><Relationship Id="rId38" Type="http://schemas.openxmlformats.org/officeDocument/2006/relationships/hyperlink" Target="http://www.aer.gov.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www.aer.gov.au" TargetMode="External"/><Relationship Id="rId37" Type="http://schemas.openxmlformats.org/officeDocument/2006/relationships/hyperlink" Target="http://www.aer.gov.a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yperlink" Target="http://www.aer.gov.au"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yperlink" Target="http://www.aer.gov.au" TargetMode="External"/><Relationship Id="rId43" Type="http://schemas.openxmlformats.org/officeDocument/2006/relationships/footer" Target="footer2.xml"/><Relationship Id="rId12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0DB8-9C8C-4C66-8286-0DC325E4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18</Pages>
  <Words>5695</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38087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Lally</dc:creator>
  <cp:lastModifiedBy>Martin Lally</cp:lastModifiedBy>
  <cp:revision>125</cp:revision>
  <cp:lastPrinted>2013-01-29T23:16:00Z</cp:lastPrinted>
  <dcterms:created xsi:type="dcterms:W3CDTF">2013-01-08T01:14:00Z</dcterms:created>
  <dcterms:modified xsi:type="dcterms:W3CDTF">2013-03-04T03:06:00Z</dcterms:modified>
</cp:coreProperties>
</file>