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63A80" w14:textId="77777777" w:rsidR="0048253A" w:rsidRPr="003E589D" w:rsidRDefault="0048253A" w:rsidP="0048253A">
      <w:pPr>
        <w:jc w:val="center"/>
        <w:rPr>
          <w:rFonts w:ascii="Gautami" w:hAnsi="Gautami" w:cs="Arial"/>
          <w:b/>
          <w:sz w:val="26"/>
          <w:szCs w:val="28"/>
        </w:rPr>
      </w:pPr>
      <w:bookmarkStart w:id="0" w:name="_GoBack"/>
      <w:bookmarkEnd w:id="0"/>
      <w:r w:rsidRPr="003E589D">
        <w:rPr>
          <w:rFonts w:ascii="Gautami" w:hAnsi="Gautami" w:cs="Arial"/>
          <w:b/>
          <w:sz w:val="26"/>
          <w:szCs w:val="28"/>
        </w:rPr>
        <w:t>AUSTRALIAN ENERGY REGULATOR</w:t>
      </w:r>
    </w:p>
    <w:p w14:paraId="209F1672" w14:textId="4CFF4F24" w:rsidR="0048253A" w:rsidRPr="003E589D" w:rsidRDefault="0048253A" w:rsidP="0048253A">
      <w:pPr>
        <w:jc w:val="center"/>
        <w:rPr>
          <w:rFonts w:ascii="Gautami" w:hAnsi="Gautami" w:cs="Arial"/>
          <w:b/>
          <w:sz w:val="26"/>
          <w:szCs w:val="28"/>
        </w:rPr>
      </w:pPr>
      <w:r w:rsidRPr="003E589D">
        <w:rPr>
          <w:rFonts w:ascii="Gautami" w:hAnsi="Gautami" w:cs="Arial"/>
          <w:b/>
          <w:sz w:val="26"/>
          <w:szCs w:val="28"/>
        </w:rPr>
        <w:t>Key Issues and Action Items</w:t>
      </w:r>
    </w:p>
    <w:p w14:paraId="122CD401" w14:textId="3A9154ED" w:rsidR="0048253A" w:rsidRPr="003E589D" w:rsidRDefault="0048253A" w:rsidP="0048253A">
      <w:pPr>
        <w:rPr>
          <w:rFonts w:ascii="Gautami" w:hAnsi="Gautami" w:cs="Arial"/>
          <w:szCs w:val="24"/>
        </w:rPr>
      </w:pPr>
      <w:r w:rsidRPr="003E589D">
        <w:rPr>
          <w:rFonts w:ascii="Gautami" w:hAnsi="Gautami" w:cs="Arial"/>
          <w:szCs w:val="24"/>
        </w:rPr>
        <w:t xml:space="preserve">DATE: </w:t>
      </w:r>
      <w:r w:rsidR="008365A3">
        <w:rPr>
          <w:rFonts w:ascii="Gautami" w:hAnsi="Gautami" w:cs="Arial"/>
          <w:szCs w:val="24"/>
        </w:rPr>
        <w:tab/>
      </w:r>
      <w:r w:rsidR="008365A3">
        <w:rPr>
          <w:rFonts w:ascii="Gautami" w:hAnsi="Gautami" w:cs="Arial"/>
          <w:szCs w:val="24"/>
        </w:rPr>
        <w:tab/>
      </w:r>
      <w:r w:rsidR="00143478">
        <w:rPr>
          <w:rFonts w:ascii="Gautami" w:hAnsi="Gautami" w:cs="Arial"/>
          <w:szCs w:val="24"/>
        </w:rPr>
        <w:t xml:space="preserve">18 </w:t>
      </w:r>
      <w:r w:rsidR="00CA471D">
        <w:rPr>
          <w:rFonts w:ascii="Gautami" w:hAnsi="Gautami" w:cs="Arial"/>
          <w:szCs w:val="24"/>
        </w:rPr>
        <w:t>April</w:t>
      </w:r>
      <w:r w:rsidR="00143478">
        <w:rPr>
          <w:rFonts w:ascii="Gautami" w:hAnsi="Gautami" w:cs="Arial"/>
          <w:szCs w:val="24"/>
        </w:rPr>
        <w:t xml:space="preserve"> </w:t>
      </w:r>
      <w:r w:rsidRPr="003E589D">
        <w:rPr>
          <w:rFonts w:ascii="Gautami" w:hAnsi="Gautami" w:cs="Arial"/>
          <w:szCs w:val="24"/>
        </w:rPr>
        <w:t>2018</w:t>
      </w:r>
    </w:p>
    <w:p w14:paraId="5CCDF3DE" w14:textId="1F449896" w:rsidR="0048253A" w:rsidRPr="003E589D" w:rsidRDefault="0048253A" w:rsidP="0048253A">
      <w:pPr>
        <w:rPr>
          <w:rFonts w:ascii="Gautami" w:hAnsi="Gautami" w:cs="Arial"/>
          <w:szCs w:val="24"/>
        </w:rPr>
      </w:pPr>
      <w:r w:rsidRPr="003E589D">
        <w:rPr>
          <w:rFonts w:ascii="Gautami" w:hAnsi="Gautami" w:cs="Arial"/>
          <w:szCs w:val="24"/>
        </w:rPr>
        <w:t xml:space="preserve">TO: </w:t>
      </w:r>
      <w:r w:rsidR="008365A3">
        <w:rPr>
          <w:rFonts w:ascii="Gautami" w:hAnsi="Gautami" w:cs="Arial"/>
          <w:szCs w:val="24"/>
        </w:rPr>
        <w:tab/>
      </w:r>
      <w:r w:rsidR="008365A3">
        <w:rPr>
          <w:rFonts w:ascii="Gautami" w:hAnsi="Gautami" w:cs="Arial"/>
          <w:szCs w:val="24"/>
        </w:rPr>
        <w:tab/>
      </w:r>
      <w:r w:rsidRPr="003E589D">
        <w:rPr>
          <w:rFonts w:ascii="Gautami" w:hAnsi="Gautami" w:cs="Arial"/>
          <w:szCs w:val="24"/>
        </w:rPr>
        <w:t>AER’s Retailer Reference Group on Rate of Return</w:t>
      </w:r>
    </w:p>
    <w:p w14:paraId="64116CC1" w14:textId="48982E51" w:rsidR="0048253A" w:rsidRPr="003E589D" w:rsidRDefault="0048253A" w:rsidP="0048253A">
      <w:pPr>
        <w:rPr>
          <w:rFonts w:ascii="Gautami" w:hAnsi="Gautami" w:cs="Arial"/>
          <w:szCs w:val="24"/>
        </w:rPr>
      </w:pPr>
      <w:r w:rsidRPr="003E589D">
        <w:rPr>
          <w:rFonts w:ascii="Gautami" w:hAnsi="Gautami" w:cs="Arial"/>
          <w:szCs w:val="24"/>
        </w:rPr>
        <w:t>CC:</w:t>
      </w:r>
      <w:r w:rsidR="008365A3">
        <w:rPr>
          <w:rFonts w:ascii="Gautami" w:hAnsi="Gautami" w:cs="Arial"/>
          <w:szCs w:val="24"/>
        </w:rPr>
        <w:tab/>
      </w:r>
      <w:r w:rsidR="008365A3">
        <w:rPr>
          <w:rFonts w:ascii="Gautami" w:hAnsi="Gautami" w:cs="Arial"/>
          <w:szCs w:val="24"/>
        </w:rPr>
        <w:tab/>
      </w:r>
      <w:r w:rsidRPr="003E589D">
        <w:rPr>
          <w:rFonts w:ascii="Gautami" w:hAnsi="Gautami" w:cs="Arial"/>
          <w:szCs w:val="24"/>
        </w:rPr>
        <w:t xml:space="preserve"> Warwick Anderson</w:t>
      </w:r>
    </w:p>
    <w:p w14:paraId="0B86118A" w14:textId="5DC5D769" w:rsidR="0048253A" w:rsidRPr="003E589D" w:rsidRDefault="0048253A" w:rsidP="0048253A">
      <w:pPr>
        <w:rPr>
          <w:rFonts w:ascii="Gautami" w:hAnsi="Gautami" w:cs="Arial"/>
          <w:b/>
          <w:szCs w:val="24"/>
        </w:rPr>
      </w:pPr>
      <w:r w:rsidRPr="003E589D">
        <w:rPr>
          <w:rFonts w:ascii="Gautami" w:hAnsi="Gautami" w:cs="Arial"/>
          <w:b/>
          <w:szCs w:val="24"/>
        </w:rPr>
        <w:t xml:space="preserve">SUBJECT: </w:t>
      </w:r>
      <w:r w:rsidR="008365A3" w:rsidRPr="003E589D">
        <w:rPr>
          <w:rFonts w:ascii="Gautami" w:hAnsi="Gautami" w:cs="Arial"/>
          <w:b/>
          <w:szCs w:val="24"/>
        </w:rPr>
        <w:tab/>
      </w:r>
      <w:r w:rsidRPr="003E589D">
        <w:rPr>
          <w:rFonts w:ascii="Gautami" w:hAnsi="Gautami" w:cs="Arial"/>
          <w:b/>
          <w:szCs w:val="24"/>
        </w:rPr>
        <w:t xml:space="preserve">RRG </w:t>
      </w:r>
      <w:r w:rsidR="00143478">
        <w:rPr>
          <w:rFonts w:ascii="Gautami" w:hAnsi="Gautami" w:cs="Arial"/>
          <w:b/>
          <w:szCs w:val="24"/>
        </w:rPr>
        <w:t xml:space="preserve">18 </w:t>
      </w:r>
      <w:r w:rsidR="00CA471D">
        <w:rPr>
          <w:rFonts w:ascii="Gautami" w:hAnsi="Gautami" w:cs="Arial"/>
          <w:b/>
          <w:szCs w:val="24"/>
        </w:rPr>
        <w:t>April</w:t>
      </w:r>
      <w:r w:rsidR="00CD062B">
        <w:rPr>
          <w:rFonts w:ascii="Gautami" w:hAnsi="Gautami" w:cs="Arial"/>
          <w:b/>
          <w:szCs w:val="24"/>
        </w:rPr>
        <w:t xml:space="preserve"> video</w:t>
      </w:r>
      <w:r w:rsidRPr="003E589D">
        <w:rPr>
          <w:rFonts w:ascii="Gautami" w:hAnsi="Gautami" w:cs="Arial"/>
          <w:b/>
          <w:szCs w:val="24"/>
        </w:rPr>
        <w:t xml:space="preserve">conference </w:t>
      </w:r>
    </w:p>
    <w:p w14:paraId="315BA46A" w14:textId="77777777" w:rsidR="0048253A" w:rsidRPr="003E589D" w:rsidRDefault="0048253A" w:rsidP="0048253A">
      <w:pPr>
        <w:rPr>
          <w:rFonts w:ascii="Arial" w:hAnsi="Arial" w:cs="Arial"/>
          <w:sz w:val="24"/>
          <w:szCs w:val="24"/>
        </w:rPr>
      </w:pPr>
    </w:p>
    <w:p w14:paraId="23BF42B6" w14:textId="77777777" w:rsidR="0048253A" w:rsidRPr="003E589D" w:rsidRDefault="0048253A" w:rsidP="0048253A">
      <w:pPr>
        <w:rPr>
          <w:rFonts w:ascii="Arial" w:hAnsi="Arial" w:cs="Arial"/>
          <w:b/>
          <w:szCs w:val="24"/>
          <w:u w:val="single"/>
        </w:rPr>
      </w:pPr>
      <w:r w:rsidRPr="003E589D">
        <w:rPr>
          <w:rFonts w:ascii="Arial" w:hAnsi="Arial" w:cs="Arial"/>
          <w:b/>
          <w:szCs w:val="24"/>
          <w:u w:val="single"/>
        </w:rPr>
        <w:t>Introduction</w:t>
      </w:r>
    </w:p>
    <w:p w14:paraId="7BF67B92" w14:textId="7DBAC37A" w:rsidR="00143478" w:rsidRPr="00143478" w:rsidRDefault="00143478" w:rsidP="00143478">
      <w:pPr>
        <w:outlineLvl w:val="0"/>
        <w:rPr>
          <w:rFonts w:ascii="Arial" w:eastAsia="Times New Roman" w:hAnsi="Arial" w:cs="Arial"/>
          <w:szCs w:val="20"/>
          <w:lang w:eastAsia="en-AU"/>
        </w:rPr>
      </w:pPr>
      <w:r w:rsidRPr="00143478">
        <w:rPr>
          <w:rFonts w:ascii="Arial" w:eastAsia="Times New Roman" w:hAnsi="Arial" w:cs="Arial"/>
          <w:szCs w:val="20"/>
          <w:lang w:eastAsia="en-AU"/>
        </w:rPr>
        <w:t>The AER organised for the RRG to engage in another videoconference to discuss the process for the rate of return review. The agenda included:</w:t>
      </w:r>
    </w:p>
    <w:p w14:paraId="336420E0" w14:textId="77777777" w:rsidR="00143478" w:rsidRPr="00143478" w:rsidRDefault="00143478" w:rsidP="00143478">
      <w:pPr>
        <w:pStyle w:val="ListParagraph"/>
        <w:numPr>
          <w:ilvl w:val="0"/>
          <w:numId w:val="9"/>
        </w:numPr>
        <w:outlineLvl w:val="0"/>
        <w:rPr>
          <w:rFonts w:ascii="Arial" w:eastAsia="Times New Roman" w:hAnsi="Arial" w:cs="Arial"/>
          <w:szCs w:val="20"/>
          <w:lang w:eastAsia="en-AU"/>
        </w:rPr>
      </w:pPr>
      <w:r w:rsidRPr="00143478">
        <w:rPr>
          <w:rFonts w:ascii="Arial" w:eastAsia="Times New Roman" w:hAnsi="Arial" w:cs="Arial"/>
          <w:szCs w:val="20"/>
          <w:lang w:eastAsia="en-AU"/>
        </w:rPr>
        <w:t>Introduction</w:t>
      </w:r>
    </w:p>
    <w:p w14:paraId="234DF8A2" w14:textId="77777777" w:rsidR="00143478" w:rsidRPr="00143478" w:rsidRDefault="00143478" w:rsidP="00143478">
      <w:pPr>
        <w:pStyle w:val="ListParagraph"/>
        <w:numPr>
          <w:ilvl w:val="0"/>
          <w:numId w:val="9"/>
        </w:numPr>
        <w:outlineLvl w:val="0"/>
        <w:rPr>
          <w:rFonts w:ascii="Arial" w:eastAsia="Times New Roman" w:hAnsi="Arial" w:cs="Arial"/>
          <w:szCs w:val="20"/>
          <w:lang w:eastAsia="en-AU"/>
        </w:rPr>
      </w:pPr>
      <w:r w:rsidRPr="00143478">
        <w:rPr>
          <w:rFonts w:ascii="Arial" w:eastAsia="Times New Roman" w:hAnsi="Arial" w:cs="Arial"/>
          <w:szCs w:val="20"/>
          <w:lang w:eastAsia="en-AU"/>
        </w:rPr>
        <w:t>Recap of the concurrent evidence sessions</w:t>
      </w:r>
    </w:p>
    <w:p w14:paraId="01482EBB" w14:textId="77777777" w:rsidR="00143478" w:rsidRPr="00143478" w:rsidRDefault="00143478" w:rsidP="00143478">
      <w:pPr>
        <w:pStyle w:val="ListParagraph"/>
        <w:numPr>
          <w:ilvl w:val="0"/>
          <w:numId w:val="9"/>
        </w:numPr>
        <w:outlineLvl w:val="0"/>
        <w:rPr>
          <w:rFonts w:ascii="Arial" w:eastAsia="Times New Roman" w:hAnsi="Arial" w:cs="Arial"/>
          <w:szCs w:val="20"/>
          <w:lang w:eastAsia="en-AU"/>
        </w:rPr>
      </w:pPr>
      <w:r w:rsidRPr="00143478">
        <w:rPr>
          <w:rFonts w:ascii="Arial" w:eastAsia="Times New Roman" w:hAnsi="Arial" w:cs="Arial"/>
          <w:szCs w:val="20"/>
          <w:lang w:eastAsia="en-AU"/>
        </w:rPr>
        <w:t>Brief explanation of COAG EC amendment package and AER submission</w:t>
      </w:r>
    </w:p>
    <w:p w14:paraId="4935612C" w14:textId="77777777" w:rsidR="00143478" w:rsidRPr="00143478" w:rsidRDefault="00143478" w:rsidP="00143478">
      <w:pPr>
        <w:pStyle w:val="ListParagraph"/>
        <w:numPr>
          <w:ilvl w:val="0"/>
          <w:numId w:val="9"/>
        </w:numPr>
        <w:outlineLvl w:val="0"/>
        <w:rPr>
          <w:rFonts w:ascii="Arial" w:eastAsia="Times New Roman" w:hAnsi="Arial" w:cs="Arial"/>
          <w:szCs w:val="20"/>
          <w:lang w:eastAsia="en-AU"/>
        </w:rPr>
      </w:pPr>
      <w:r w:rsidRPr="00143478">
        <w:rPr>
          <w:rFonts w:ascii="Arial" w:eastAsia="Times New Roman" w:hAnsi="Arial" w:cs="Arial"/>
          <w:szCs w:val="20"/>
          <w:lang w:eastAsia="en-AU"/>
        </w:rPr>
        <w:t>Overview of next steps in the rate of return review process</w:t>
      </w:r>
    </w:p>
    <w:p w14:paraId="1FDDB964" w14:textId="77777777" w:rsidR="00143478" w:rsidRPr="00143478" w:rsidRDefault="00143478" w:rsidP="00143478">
      <w:pPr>
        <w:pStyle w:val="ListParagraph"/>
        <w:numPr>
          <w:ilvl w:val="0"/>
          <w:numId w:val="9"/>
        </w:numPr>
        <w:outlineLvl w:val="0"/>
        <w:rPr>
          <w:rFonts w:ascii="Arial" w:eastAsia="Times New Roman" w:hAnsi="Arial" w:cs="Arial"/>
          <w:szCs w:val="20"/>
          <w:lang w:eastAsia="en-AU"/>
        </w:rPr>
      </w:pPr>
      <w:r w:rsidRPr="00143478">
        <w:rPr>
          <w:rFonts w:ascii="Arial" w:eastAsia="Times New Roman" w:hAnsi="Arial" w:cs="Arial"/>
          <w:szCs w:val="20"/>
          <w:lang w:eastAsia="en-AU"/>
        </w:rPr>
        <w:t>Other issues</w:t>
      </w:r>
    </w:p>
    <w:p w14:paraId="0CC95083" w14:textId="77777777" w:rsidR="0048253A" w:rsidRPr="003E589D" w:rsidRDefault="0048253A" w:rsidP="0048253A">
      <w:pPr>
        <w:rPr>
          <w:rFonts w:ascii="Arial" w:hAnsi="Arial" w:cs="Arial"/>
          <w:b/>
          <w:szCs w:val="24"/>
          <w:u w:val="single"/>
        </w:rPr>
      </w:pPr>
      <w:r w:rsidRPr="003E589D">
        <w:rPr>
          <w:rFonts w:ascii="Arial" w:hAnsi="Arial" w:cs="Arial"/>
          <w:b/>
          <w:szCs w:val="24"/>
          <w:u w:val="single"/>
        </w:rPr>
        <w:t>Key Issues</w:t>
      </w:r>
    </w:p>
    <w:p w14:paraId="1F8E6C31" w14:textId="39BB50D9" w:rsidR="002A0FB4" w:rsidRDefault="00143478" w:rsidP="003E589D">
      <w:pPr>
        <w:outlineLvl w:val="0"/>
        <w:rPr>
          <w:rFonts w:ascii="Arial" w:eastAsia="Times New Roman" w:hAnsi="Arial" w:cs="Arial"/>
          <w:b/>
          <w:szCs w:val="20"/>
          <w:lang w:eastAsia="en-AU"/>
        </w:rPr>
      </w:pPr>
      <w:r>
        <w:rPr>
          <w:rFonts w:ascii="Arial" w:eastAsia="Times New Roman" w:hAnsi="Arial" w:cs="Arial"/>
          <w:b/>
          <w:szCs w:val="20"/>
          <w:lang w:eastAsia="en-AU"/>
        </w:rPr>
        <w:t>Recap of the concurrent evidence sessions</w:t>
      </w:r>
    </w:p>
    <w:p w14:paraId="052BAE39" w14:textId="5A157A5A" w:rsidR="00143478" w:rsidRPr="00D07471" w:rsidRDefault="00143478" w:rsidP="003E589D">
      <w:pPr>
        <w:outlineLvl w:val="0"/>
        <w:rPr>
          <w:rFonts w:ascii="Arial" w:eastAsia="Times New Roman" w:hAnsi="Arial" w:cs="Arial"/>
          <w:szCs w:val="20"/>
          <w:lang w:eastAsia="en-AU"/>
        </w:rPr>
      </w:pPr>
      <w:r>
        <w:rPr>
          <w:rFonts w:ascii="Arial" w:eastAsia="Times New Roman" w:hAnsi="Arial" w:cs="Arial"/>
          <w:szCs w:val="20"/>
          <w:lang w:eastAsia="en-AU"/>
        </w:rPr>
        <w:t xml:space="preserve">The AER stated that </w:t>
      </w:r>
      <w:r w:rsidR="003119A2">
        <w:rPr>
          <w:rFonts w:ascii="Arial" w:eastAsia="Times New Roman" w:hAnsi="Arial" w:cs="Arial"/>
          <w:szCs w:val="20"/>
          <w:lang w:eastAsia="en-AU"/>
        </w:rPr>
        <w:t>the independent facilitator and the concurrent evidence session</w:t>
      </w:r>
      <w:r w:rsidR="00057F58">
        <w:rPr>
          <w:rFonts w:ascii="Arial" w:eastAsia="Times New Roman" w:hAnsi="Arial" w:cs="Arial"/>
          <w:szCs w:val="20"/>
          <w:lang w:eastAsia="en-AU"/>
        </w:rPr>
        <w:t xml:space="preserve"> </w:t>
      </w:r>
      <w:r w:rsidR="003119A2">
        <w:rPr>
          <w:rFonts w:ascii="Arial" w:eastAsia="Times New Roman" w:hAnsi="Arial" w:cs="Arial"/>
          <w:szCs w:val="20"/>
          <w:lang w:eastAsia="en-AU"/>
        </w:rPr>
        <w:t>(CES) experts are working on a statement of positions</w:t>
      </w:r>
      <w:r>
        <w:rPr>
          <w:rFonts w:ascii="Arial" w:eastAsia="Times New Roman" w:hAnsi="Arial" w:cs="Arial"/>
          <w:szCs w:val="20"/>
          <w:lang w:eastAsia="en-AU"/>
        </w:rPr>
        <w:t xml:space="preserve">. The AER said that while the </w:t>
      </w:r>
      <w:r w:rsidR="003119A2">
        <w:rPr>
          <w:rFonts w:ascii="Arial" w:eastAsia="Times New Roman" w:hAnsi="Arial" w:cs="Arial"/>
          <w:szCs w:val="20"/>
          <w:lang w:eastAsia="en-AU"/>
        </w:rPr>
        <w:t xml:space="preserve">CES </w:t>
      </w:r>
      <w:r>
        <w:rPr>
          <w:rFonts w:ascii="Arial" w:eastAsia="Times New Roman" w:hAnsi="Arial" w:cs="Arial"/>
          <w:szCs w:val="20"/>
          <w:lang w:eastAsia="en-AU"/>
        </w:rPr>
        <w:t xml:space="preserve">are influential, they are one aspect of the considerations taken into account. The RRG said that their attendees found the session very interesting. </w:t>
      </w:r>
      <w:r w:rsidR="00A169A3">
        <w:rPr>
          <w:rFonts w:ascii="Arial" w:eastAsia="Times New Roman" w:hAnsi="Arial" w:cs="Arial"/>
          <w:szCs w:val="20"/>
          <w:lang w:eastAsia="en-AU"/>
        </w:rPr>
        <w:t>The AER also gave an ov</w:t>
      </w:r>
      <w:r w:rsidR="003119A2">
        <w:rPr>
          <w:rFonts w:ascii="Arial" w:eastAsia="Times New Roman" w:hAnsi="Arial" w:cs="Arial"/>
          <w:szCs w:val="20"/>
          <w:lang w:eastAsia="en-AU"/>
        </w:rPr>
        <w:t>erview of the experts that participated.</w:t>
      </w:r>
    </w:p>
    <w:p w14:paraId="7EEC604C" w14:textId="77777777" w:rsidR="00143478" w:rsidRDefault="00143478" w:rsidP="0048253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COAG EC amendment package</w:t>
      </w:r>
    </w:p>
    <w:p w14:paraId="5CFD6B33" w14:textId="7660175D" w:rsidR="00143478" w:rsidRDefault="00143478" w:rsidP="003E589D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AER </w:t>
      </w:r>
      <w:r w:rsidR="00A169A3">
        <w:rPr>
          <w:rFonts w:ascii="Arial" w:hAnsi="Arial" w:cs="Arial"/>
          <w:szCs w:val="24"/>
        </w:rPr>
        <w:t xml:space="preserve">is supportive of the approach taken by the COAG EC. The AER also gave a brief explanation of the submission they have provided to the COAG EC. The AER identified that the matter of reopening the guideline </w:t>
      </w:r>
      <w:r w:rsidR="00DE7BEA">
        <w:rPr>
          <w:rFonts w:ascii="Arial" w:hAnsi="Arial" w:cs="Arial"/>
          <w:szCs w:val="24"/>
        </w:rPr>
        <w:t>may</w:t>
      </w:r>
      <w:r w:rsidR="00A169A3">
        <w:rPr>
          <w:rFonts w:ascii="Arial" w:hAnsi="Arial" w:cs="Arial"/>
          <w:szCs w:val="24"/>
        </w:rPr>
        <w:t xml:space="preserve"> be contentious. </w:t>
      </w:r>
    </w:p>
    <w:p w14:paraId="6B111B38" w14:textId="0A4E362C" w:rsidR="00A169A3" w:rsidRDefault="00A169A3" w:rsidP="003E589D">
      <w:pPr>
        <w:spacing w:after="0"/>
        <w:rPr>
          <w:rFonts w:ascii="Arial" w:hAnsi="Arial" w:cs="Arial"/>
          <w:szCs w:val="24"/>
        </w:rPr>
      </w:pPr>
    </w:p>
    <w:p w14:paraId="7580EF27" w14:textId="27D9620F" w:rsidR="00A169A3" w:rsidRDefault="00A169A3" w:rsidP="003E589D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Overview of the rate of return review process</w:t>
      </w:r>
    </w:p>
    <w:p w14:paraId="5993905F" w14:textId="77532DB3" w:rsidR="00A169A3" w:rsidRPr="00A169A3" w:rsidRDefault="00A169A3" w:rsidP="003E589D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AER gave a brief ov</w:t>
      </w:r>
      <w:r w:rsidR="00D07471">
        <w:rPr>
          <w:rFonts w:ascii="Arial" w:hAnsi="Arial" w:cs="Arial"/>
          <w:szCs w:val="24"/>
        </w:rPr>
        <w:t>erview of the previous steps in the rate of return process</w:t>
      </w:r>
      <w:r w:rsidR="00CA471D">
        <w:rPr>
          <w:rFonts w:ascii="Arial" w:hAnsi="Arial" w:cs="Arial"/>
          <w:szCs w:val="24"/>
        </w:rPr>
        <w:t xml:space="preserve">. The AER stated that they are looking to produce a return on debt discussion paper and discussed some of the issues. The AER strongly encouraged the RRG to make submissions </w:t>
      </w:r>
      <w:r w:rsidR="00FD76DC">
        <w:rPr>
          <w:rFonts w:ascii="Arial" w:hAnsi="Arial" w:cs="Arial"/>
          <w:szCs w:val="24"/>
        </w:rPr>
        <w:t xml:space="preserve">to the AER </w:t>
      </w:r>
      <w:r w:rsidR="00CA471D">
        <w:rPr>
          <w:rFonts w:ascii="Arial" w:hAnsi="Arial" w:cs="Arial"/>
          <w:szCs w:val="24"/>
        </w:rPr>
        <w:t xml:space="preserve">in advance of the </w:t>
      </w:r>
      <w:r w:rsidR="00FD76DC">
        <w:rPr>
          <w:rFonts w:ascii="Arial" w:hAnsi="Arial" w:cs="Arial"/>
          <w:szCs w:val="24"/>
        </w:rPr>
        <w:t xml:space="preserve">guideline </w:t>
      </w:r>
      <w:r w:rsidR="00CA471D">
        <w:rPr>
          <w:rFonts w:ascii="Arial" w:hAnsi="Arial" w:cs="Arial"/>
          <w:szCs w:val="24"/>
        </w:rPr>
        <w:t>draft decision.</w:t>
      </w:r>
    </w:p>
    <w:p w14:paraId="7005027D" w14:textId="77777777" w:rsidR="00A169A3" w:rsidRPr="00143478" w:rsidRDefault="00A169A3" w:rsidP="003E589D">
      <w:pPr>
        <w:spacing w:after="0"/>
        <w:rPr>
          <w:rFonts w:ascii="Arial" w:hAnsi="Arial" w:cs="Arial"/>
          <w:szCs w:val="24"/>
        </w:rPr>
      </w:pPr>
    </w:p>
    <w:p w14:paraId="2E170F95" w14:textId="5E74A068" w:rsidR="0048253A" w:rsidRPr="003E589D" w:rsidRDefault="0048253A" w:rsidP="0048253A">
      <w:pPr>
        <w:rPr>
          <w:rFonts w:ascii="Arial" w:hAnsi="Arial" w:cs="Arial"/>
          <w:b/>
          <w:szCs w:val="24"/>
          <w:u w:val="single"/>
        </w:rPr>
      </w:pPr>
      <w:r w:rsidRPr="003E589D">
        <w:rPr>
          <w:rFonts w:ascii="Arial" w:hAnsi="Arial" w:cs="Arial"/>
          <w:b/>
          <w:szCs w:val="24"/>
          <w:u w:val="single"/>
        </w:rPr>
        <w:t>Action Items</w:t>
      </w:r>
    </w:p>
    <w:p w14:paraId="6910C09B" w14:textId="77777777" w:rsidR="00ED0373" w:rsidRPr="003E589D" w:rsidRDefault="00ED0373" w:rsidP="0048253A">
      <w:pPr>
        <w:rPr>
          <w:rFonts w:ascii="Arial" w:hAnsi="Arial" w:cs="Arial"/>
          <w:b/>
          <w:szCs w:val="24"/>
        </w:rPr>
      </w:pPr>
      <w:r w:rsidRPr="003E589D">
        <w:rPr>
          <w:rFonts w:ascii="Arial" w:hAnsi="Arial" w:cs="Arial"/>
          <w:b/>
          <w:szCs w:val="24"/>
        </w:rPr>
        <w:t>AER:</w:t>
      </w:r>
    </w:p>
    <w:p w14:paraId="42B9F245" w14:textId="7FE32A80" w:rsidR="00ED0373" w:rsidRPr="003E589D" w:rsidRDefault="00CC152A" w:rsidP="003E589D">
      <w:pPr>
        <w:pStyle w:val="ListParagraph"/>
        <w:numPr>
          <w:ilvl w:val="0"/>
          <w:numId w:val="5"/>
        </w:numPr>
        <w:tabs>
          <w:tab w:val="left" w:pos="340"/>
        </w:tabs>
        <w:spacing w:before="120" w:after="0" w:line="240" w:lineRule="auto"/>
        <w:contextualSpacing w:val="0"/>
        <w:jc w:val="both"/>
        <w:rPr>
          <w:rFonts w:ascii="Arial" w:eastAsia="Times New Roman" w:hAnsi="Arial" w:cs="Arial"/>
          <w:i/>
          <w:szCs w:val="20"/>
          <w:lang w:eastAsia="en-AU"/>
        </w:rPr>
      </w:pPr>
      <w:r w:rsidRPr="003E589D">
        <w:rPr>
          <w:rFonts w:ascii="Arial" w:eastAsia="Times New Roman" w:hAnsi="Arial" w:cs="Arial"/>
          <w:i/>
          <w:szCs w:val="20"/>
          <w:lang w:eastAsia="en-AU"/>
        </w:rPr>
        <w:t>Arrange with the RRG a time for the next monthly meeting</w:t>
      </w:r>
      <w:r w:rsidR="00C21688">
        <w:rPr>
          <w:rFonts w:ascii="Arial" w:eastAsia="Times New Roman" w:hAnsi="Arial" w:cs="Arial"/>
          <w:i/>
          <w:szCs w:val="20"/>
          <w:lang w:eastAsia="en-AU"/>
        </w:rPr>
        <w:t>.</w:t>
      </w:r>
    </w:p>
    <w:p w14:paraId="00A59403" w14:textId="418F2A63" w:rsidR="00C21688" w:rsidRPr="003E589D" w:rsidRDefault="00C21688" w:rsidP="003E589D">
      <w:pPr>
        <w:tabs>
          <w:tab w:val="left" w:pos="340"/>
        </w:tabs>
        <w:spacing w:before="120" w:after="0" w:line="240" w:lineRule="auto"/>
        <w:jc w:val="both"/>
        <w:rPr>
          <w:rFonts w:ascii="Arial" w:eastAsia="Times New Roman" w:hAnsi="Arial" w:cs="Arial"/>
          <w:i/>
          <w:szCs w:val="20"/>
          <w:lang w:eastAsia="en-AU"/>
        </w:rPr>
      </w:pPr>
    </w:p>
    <w:p w14:paraId="39E790DA" w14:textId="77777777" w:rsidR="003571A6" w:rsidRPr="003E589D" w:rsidRDefault="003571A6">
      <w:pPr>
        <w:rPr>
          <w:rFonts w:ascii="Arial" w:hAnsi="Arial" w:cs="Arial"/>
          <w:b/>
          <w:sz w:val="20"/>
        </w:rPr>
      </w:pPr>
    </w:p>
    <w:sectPr w:rsidR="003571A6" w:rsidRPr="003E5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42B"/>
    <w:multiLevelType w:val="hybridMultilevel"/>
    <w:tmpl w:val="7C60E1FC"/>
    <w:lvl w:ilvl="0" w:tplc="021E886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345DD"/>
    <w:multiLevelType w:val="hybridMultilevel"/>
    <w:tmpl w:val="F0241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6579A"/>
    <w:multiLevelType w:val="hybridMultilevel"/>
    <w:tmpl w:val="E21614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084B55"/>
    <w:multiLevelType w:val="hybridMultilevel"/>
    <w:tmpl w:val="812ABF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A7E62"/>
    <w:multiLevelType w:val="hybridMultilevel"/>
    <w:tmpl w:val="B156D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97278"/>
    <w:multiLevelType w:val="hybridMultilevel"/>
    <w:tmpl w:val="7B8E522E"/>
    <w:lvl w:ilvl="0" w:tplc="F942E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46C8F"/>
    <w:multiLevelType w:val="hybridMultilevel"/>
    <w:tmpl w:val="E3AE0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67B13"/>
    <w:multiLevelType w:val="hybridMultilevel"/>
    <w:tmpl w:val="D264D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19"/>
    <w:rsid w:val="0002598E"/>
    <w:rsid w:val="00027F82"/>
    <w:rsid w:val="00031876"/>
    <w:rsid w:val="00057F58"/>
    <w:rsid w:val="000B524A"/>
    <w:rsid w:val="00143478"/>
    <w:rsid w:val="00181C02"/>
    <w:rsid w:val="002A0FB4"/>
    <w:rsid w:val="002D478B"/>
    <w:rsid w:val="002E2055"/>
    <w:rsid w:val="002E772A"/>
    <w:rsid w:val="003119A2"/>
    <w:rsid w:val="003571A6"/>
    <w:rsid w:val="00374347"/>
    <w:rsid w:val="003C3E96"/>
    <w:rsid w:val="003E4303"/>
    <w:rsid w:val="003E589D"/>
    <w:rsid w:val="003E6049"/>
    <w:rsid w:val="00412F72"/>
    <w:rsid w:val="00444001"/>
    <w:rsid w:val="0045268F"/>
    <w:rsid w:val="0048253A"/>
    <w:rsid w:val="00610F25"/>
    <w:rsid w:val="00611DCE"/>
    <w:rsid w:val="00724F8F"/>
    <w:rsid w:val="00733B05"/>
    <w:rsid w:val="00814CB5"/>
    <w:rsid w:val="008365A3"/>
    <w:rsid w:val="00974919"/>
    <w:rsid w:val="009A01F5"/>
    <w:rsid w:val="00A169A3"/>
    <w:rsid w:val="00A210CB"/>
    <w:rsid w:val="00A95978"/>
    <w:rsid w:val="00AF0F7F"/>
    <w:rsid w:val="00BA5DC2"/>
    <w:rsid w:val="00BC4A12"/>
    <w:rsid w:val="00C12DB3"/>
    <w:rsid w:val="00C21688"/>
    <w:rsid w:val="00C9404A"/>
    <w:rsid w:val="00CA471D"/>
    <w:rsid w:val="00CB5D0A"/>
    <w:rsid w:val="00CC152A"/>
    <w:rsid w:val="00CD062B"/>
    <w:rsid w:val="00D07471"/>
    <w:rsid w:val="00D326E0"/>
    <w:rsid w:val="00DE7BEA"/>
    <w:rsid w:val="00E623F5"/>
    <w:rsid w:val="00E66AEE"/>
    <w:rsid w:val="00ED0373"/>
    <w:rsid w:val="00F548E7"/>
    <w:rsid w:val="00FD76DC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E9E8"/>
  <w15:chartTrackingRefBased/>
  <w15:docId w15:val="{EB29D6AA-2F42-4F85-96D8-0B52345B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0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F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qFormat/>
    <w:rsid w:val="00CC152A"/>
    <w:rPr>
      <w:rFonts w:ascii="Arial" w:hAnsi="Arial"/>
      <w:color w:val="0000FF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F4D88-69B2-431A-86E7-7B1C336A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Coulahan-Davy, Aidan</dc:creator>
  <cp:keywords/>
  <dc:description/>
  <cp:lastModifiedBy>Karunaratne, Mineka</cp:lastModifiedBy>
  <cp:revision>2</cp:revision>
  <dcterms:created xsi:type="dcterms:W3CDTF">2018-04-30T22:51:00Z</dcterms:created>
  <dcterms:modified xsi:type="dcterms:W3CDTF">2018-04-30T22:51:00Z</dcterms:modified>
</cp:coreProperties>
</file>