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45" w:rsidRDefault="003718AD">
      <w:pPr>
        <w:spacing w:line="240" w:lineRule="auto"/>
      </w:pPr>
      <w:bookmarkStart w:id="0" w:name="_GoBack"/>
      <w:bookmarkEnd w:id="0"/>
      <w:r>
        <w:rPr>
          <w:rFonts w:ascii="Times New Roman" w:hAnsi="Times New Roman"/>
          <w:noProof/>
        </w:rPr>
        <w:drawing>
          <wp:anchor distT="0" distB="0" distL="114300" distR="114300" simplePos="0" relativeHeight="251650560" behindDoc="0" locked="0" layoutInCell="1" allowOverlap="1" wp14:anchorId="13E2FA54" wp14:editId="05AA35B2">
            <wp:simplePos x="0" y="0"/>
            <wp:positionH relativeFrom="column">
              <wp:posOffset>2411730</wp:posOffset>
            </wp:positionH>
            <wp:positionV relativeFrom="paragraph">
              <wp:posOffset>-690880</wp:posOffset>
            </wp:positionV>
            <wp:extent cx="3981450" cy="2028190"/>
            <wp:effectExtent l="25400" t="0" r="6350" b="0"/>
            <wp:wrapNone/>
            <wp:docPr id="2" name="Picture 2"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srcRect/>
                    <a:stretch>
                      <a:fillRect/>
                    </a:stretch>
                  </pic:blipFill>
                  <pic:spPr bwMode="auto">
                    <a:xfrm>
                      <a:off x="0" y="0"/>
                      <a:ext cx="3981450" cy="2028190"/>
                    </a:xfrm>
                    <a:prstGeom prst="rect">
                      <a:avLst/>
                    </a:prstGeom>
                    <a:solidFill>
                      <a:srgbClr val="FFFFFF"/>
                    </a:solidFill>
                  </pic:spPr>
                </pic:pic>
              </a:graphicData>
            </a:graphic>
          </wp:anchor>
        </w:drawing>
      </w:r>
    </w:p>
    <w:p w:rsidR="00153845" w:rsidRDefault="00153845" w:rsidP="00153845">
      <w:pPr>
        <w:pStyle w:val="AERbodytext"/>
        <w:rPr>
          <w:lang w:eastAsia="en-AU"/>
        </w:rPr>
      </w:pPr>
    </w:p>
    <w:p w:rsidR="00153845" w:rsidRPr="002E6FAF" w:rsidRDefault="00153845" w:rsidP="00153845">
      <w:pPr>
        <w:pStyle w:val="AERbodytext"/>
        <w:rPr>
          <w:lang w:eastAsia="en-AU"/>
        </w:rPr>
      </w:pPr>
    </w:p>
    <w:p w:rsidR="00956926" w:rsidRPr="002E6FAF" w:rsidRDefault="003718AD" w:rsidP="00956926">
      <w:pPr>
        <w:spacing w:line="240" w:lineRule="auto"/>
        <w:rPr>
          <w:rFonts w:ascii="Times New Roman" w:hAnsi="Times New Roman"/>
          <w:sz w:val="20"/>
          <w:szCs w:val="20"/>
        </w:rPr>
      </w:pPr>
      <w:r w:rsidRPr="002E6FAF">
        <w:rPr>
          <w:rFonts w:ascii="Times New Roman" w:hAnsi="Times New Roman"/>
          <w:sz w:val="20"/>
          <w:szCs w:val="20"/>
        </w:rPr>
        <w:t>Our Ref:</w:t>
      </w:r>
      <w:r w:rsidRPr="002E6FAF">
        <w:rPr>
          <w:rFonts w:ascii="Times New Roman" w:hAnsi="Times New Roman"/>
          <w:sz w:val="20"/>
          <w:szCs w:val="20"/>
        </w:rPr>
        <w:tab/>
      </w:r>
      <w:r w:rsidRPr="002E6FAF">
        <w:rPr>
          <w:rFonts w:ascii="Times New Roman" w:hAnsi="Times New Roman"/>
          <w:sz w:val="20"/>
          <w:szCs w:val="20"/>
        </w:rPr>
        <w:tab/>
      </w:r>
      <w:bookmarkStart w:id="1" w:name="OurRef"/>
      <w:bookmarkEnd w:id="1"/>
      <w:r w:rsidR="00F05818">
        <w:rPr>
          <w:rFonts w:ascii="Times New Roman" w:hAnsi="Times New Roman"/>
          <w:sz w:val="20"/>
          <w:szCs w:val="20"/>
        </w:rPr>
        <w:t>54408</w:t>
      </w:r>
      <w:r w:rsidR="000C1CC1">
        <w:rPr>
          <w:rFonts w:ascii="Times New Roman" w:hAnsi="Times New Roman"/>
          <w:sz w:val="20"/>
          <w:szCs w:val="20"/>
        </w:rPr>
        <w:t>-D14/</w:t>
      </w:r>
      <w:r w:rsidR="00E62921">
        <w:rPr>
          <w:rFonts w:ascii="Times New Roman" w:hAnsi="Times New Roman"/>
          <w:sz w:val="20"/>
          <w:szCs w:val="20"/>
        </w:rPr>
        <w:t>160164</w:t>
      </w:r>
    </w:p>
    <w:p w:rsidR="00956926" w:rsidRPr="002E6FAF" w:rsidRDefault="00956926" w:rsidP="00956926">
      <w:pPr>
        <w:spacing w:after="480" w:line="240" w:lineRule="auto"/>
        <w:rPr>
          <w:rFonts w:ascii="Times New Roman" w:hAnsi="Times New Roman"/>
          <w:sz w:val="20"/>
          <w:szCs w:val="20"/>
        </w:rPr>
      </w:pPr>
      <w:bookmarkStart w:id="2" w:name="YourRef"/>
      <w:bookmarkEnd w:id="2"/>
    </w:p>
    <w:p w:rsidR="00956926" w:rsidRPr="005303AC" w:rsidRDefault="00E62921" w:rsidP="00956926">
      <w:pPr>
        <w:spacing w:after="480" w:line="240" w:lineRule="auto"/>
        <w:rPr>
          <w:rFonts w:ascii="Times New Roman" w:hAnsi="Times New Roman"/>
        </w:rPr>
      </w:pPr>
      <w:bookmarkStart w:id="3" w:name="Date"/>
      <w:bookmarkEnd w:id="3"/>
      <w:r>
        <w:rPr>
          <w:rFonts w:ascii="Times New Roman" w:hAnsi="Times New Roman"/>
        </w:rPr>
        <w:t xml:space="preserve">24 </w:t>
      </w:r>
      <w:r w:rsidR="00F05818">
        <w:rPr>
          <w:rFonts w:ascii="Times New Roman" w:hAnsi="Times New Roman"/>
        </w:rPr>
        <w:t>November</w:t>
      </w:r>
      <w:r w:rsidR="003718AD" w:rsidRPr="00B31024">
        <w:rPr>
          <w:rFonts w:ascii="Times New Roman" w:hAnsi="Times New Roman"/>
        </w:rPr>
        <w:t xml:space="preserve"> </w:t>
      </w:r>
      <w:r w:rsidR="005567DD">
        <w:rPr>
          <w:rFonts w:ascii="Times New Roman" w:hAnsi="Times New Roman"/>
        </w:rPr>
        <w:t>20</w:t>
      </w:r>
      <w:r w:rsidR="003718AD" w:rsidRPr="005303AC">
        <w:rPr>
          <w:rFonts w:ascii="Times New Roman" w:hAnsi="Times New Roman"/>
        </w:rPr>
        <w:t>1</w:t>
      </w:r>
      <w:r w:rsidR="00F05818">
        <w:rPr>
          <w:rFonts w:ascii="Times New Roman" w:hAnsi="Times New Roman"/>
        </w:rPr>
        <w:t>4</w:t>
      </w:r>
    </w:p>
    <w:p w:rsidR="00F05818" w:rsidRPr="00787066" w:rsidRDefault="00F05818" w:rsidP="00F05818">
      <w:pPr>
        <w:spacing w:line="240" w:lineRule="auto"/>
        <w:rPr>
          <w:rFonts w:ascii="Times New Roman" w:hAnsi="Times New Roman"/>
        </w:rPr>
      </w:pPr>
      <w:bookmarkStart w:id="4" w:name="Recipient"/>
      <w:bookmarkEnd w:id="4"/>
      <w:r w:rsidRPr="00787066">
        <w:rPr>
          <w:rFonts w:ascii="Times New Roman" w:hAnsi="Times New Roman"/>
        </w:rPr>
        <w:t>Professor Ian Harper</w:t>
      </w:r>
    </w:p>
    <w:p w:rsidR="00F05818" w:rsidRPr="00787066" w:rsidRDefault="00F05818" w:rsidP="00F05818">
      <w:pPr>
        <w:spacing w:line="240" w:lineRule="auto"/>
        <w:jc w:val="left"/>
        <w:rPr>
          <w:rFonts w:ascii="Times New Roman" w:hAnsi="Times New Roman"/>
        </w:rPr>
      </w:pPr>
      <w:r w:rsidRPr="00787066">
        <w:rPr>
          <w:rFonts w:ascii="Times New Roman" w:hAnsi="Times New Roman"/>
        </w:rPr>
        <w:t>Chair of the Review Panel</w:t>
      </w:r>
    </w:p>
    <w:p w:rsidR="00F05818" w:rsidRPr="00787066" w:rsidRDefault="00F05818" w:rsidP="00F05818">
      <w:pPr>
        <w:spacing w:line="240" w:lineRule="auto"/>
        <w:rPr>
          <w:rFonts w:ascii="Times New Roman" w:hAnsi="Times New Roman"/>
        </w:rPr>
      </w:pPr>
      <w:r w:rsidRPr="00787066">
        <w:rPr>
          <w:rFonts w:ascii="Times New Roman" w:hAnsi="Times New Roman"/>
        </w:rPr>
        <w:t>Competition Policy Review</w:t>
      </w:r>
    </w:p>
    <w:p w:rsidR="00F05818" w:rsidRPr="00787066" w:rsidRDefault="00F05818" w:rsidP="00F05818">
      <w:pPr>
        <w:pStyle w:val="AERbodytext"/>
        <w:spacing w:line="240" w:lineRule="auto"/>
        <w:jc w:val="left"/>
        <w:rPr>
          <w:rFonts w:ascii="Times New Roman" w:hAnsi="Times New Roman"/>
          <w:lang w:eastAsia="en-AU"/>
        </w:rPr>
      </w:pPr>
      <w:r w:rsidRPr="00787066">
        <w:rPr>
          <w:rFonts w:ascii="Times New Roman" w:hAnsi="Times New Roman"/>
          <w:lang w:eastAsia="en-AU"/>
        </w:rPr>
        <w:t>The Treasury</w:t>
      </w:r>
      <w:r w:rsidRPr="00787066">
        <w:rPr>
          <w:rFonts w:ascii="Times New Roman" w:eastAsia="Times New Roman" w:hAnsi="Times New Roman"/>
          <w:lang w:val="en"/>
        </w:rPr>
        <w:br/>
        <w:t>Langton Crescent</w:t>
      </w:r>
      <w:r w:rsidRPr="00787066">
        <w:rPr>
          <w:rFonts w:ascii="Times New Roman" w:eastAsia="Times New Roman" w:hAnsi="Times New Roman"/>
          <w:lang w:val="en"/>
        </w:rPr>
        <w:br/>
        <w:t>PARKES ACT 2600</w:t>
      </w:r>
    </w:p>
    <w:p w:rsidR="00F05818" w:rsidRDefault="00F05818" w:rsidP="00F05818">
      <w:pPr>
        <w:spacing w:after="240" w:line="240" w:lineRule="auto"/>
        <w:rPr>
          <w:rFonts w:ascii="Times New Roman" w:hAnsi="Times New Roman"/>
        </w:rPr>
      </w:pPr>
    </w:p>
    <w:p w:rsidR="00956926" w:rsidRDefault="003718AD" w:rsidP="00F05818">
      <w:pPr>
        <w:spacing w:after="240" w:line="240" w:lineRule="auto"/>
        <w:rPr>
          <w:rFonts w:ascii="Times New Roman" w:hAnsi="Times New Roman"/>
        </w:rPr>
      </w:pPr>
      <w:r w:rsidRPr="005303AC">
        <w:rPr>
          <w:rFonts w:ascii="Times New Roman" w:hAnsi="Times New Roman"/>
        </w:rPr>
        <w:t xml:space="preserve">Dear </w:t>
      </w:r>
      <w:r w:rsidR="00F05818">
        <w:rPr>
          <w:rFonts w:ascii="Times New Roman" w:hAnsi="Times New Roman"/>
        </w:rPr>
        <w:t>Professor Harper</w:t>
      </w:r>
    </w:p>
    <w:p w:rsidR="00956926" w:rsidRPr="002B369E" w:rsidRDefault="00CF348C" w:rsidP="00701EF6">
      <w:pPr>
        <w:pStyle w:val="AERbodytext"/>
        <w:spacing w:line="240" w:lineRule="auto"/>
        <w:jc w:val="center"/>
        <w:rPr>
          <w:rFonts w:ascii="Times New Roman" w:hAnsi="Times New Roman"/>
          <w:b/>
          <w:lang w:eastAsia="en-AU"/>
        </w:rPr>
      </w:pPr>
      <w:r>
        <w:rPr>
          <w:rFonts w:ascii="Times New Roman" w:hAnsi="Times New Roman"/>
          <w:b/>
          <w:lang w:eastAsia="en-AU"/>
        </w:rPr>
        <w:t>AER s</w:t>
      </w:r>
      <w:r w:rsidR="00F05818">
        <w:rPr>
          <w:rFonts w:ascii="Times New Roman" w:hAnsi="Times New Roman"/>
          <w:b/>
          <w:lang w:eastAsia="en-AU"/>
        </w:rPr>
        <w:t>ubmission on Competition Policy Review Draft Report</w:t>
      </w:r>
    </w:p>
    <w:p w:rsidR="00361C64" w:rsidRDefault="003718AD" w:rsidP="00701EF6">
      <w:pPr>
        <w:pStyle w:val="AERbodytext"/>
        <w:spacing w:line="240" w:lineRule="auto"/>
        <w:jc w:val="left"/>
        <w:rPr>
          <w:rFonts w:ascii="Times New Roman" w:hAnsi="Times New Roman"/>
        </w:rPr>
      </w:pPr>
      <w:bookmarkStart w:id="5" w:name="Subject"/>
      <w:bookmarkEnd w:id="5"/>
      <w:r w:rsidRPr="005303AC">
        <w:rPr>
          <w:rFonts w:ascii="Times New Roman" w:hAnsi="Times New Roman"/>
        </w:rPr>
        <w:t xml:space="preserve">The </w:t>
      </w:r>
      <w:r w:rsidR="00361C64">
        <w:rPr>
          <w:rFonts w:ascii="Times New Roman" w:hAnsi="Times New Roman"/>
        </w:rPr>
        <w:t>Australian Energy Regulator (AER)</w:t>
      </w:r>
      <w:r w:rsidRPr="005303AC">
        <w:rPr>
          <w:rFonts w:ascii="Times New Roman" w:hAnsi="Times New Roman"/>
        </w:rPr>
        <w:t xml:space="preserve"> welcomes the opportunity to </w:t>
      </w:r>
      <w:r w:rsidR="00361C64">
        <w:rPr>
          <w:rFonts w:ascii="Times New Roman" w:hAnsi="Times New Roman"/>
        </w:rPr>
        <w:t xml:space="preserve">provide </w:t>
      </w:r>
      <w:r w:rsidR="00FA4F3F">
        <w:rPr>
          <w:rFonts w:ascii="Times New Roman" w:hAnsi="Times New Roman"/>
        </w:rPr>
        <w:t xml:space="preserve">this </w:t>
      </w:r>
      <w:r w:rsidR="00361C64">
        <w:rPr>
          <w:rFonts w:ascii="Times New Roman" w:hAnsi="Times New Roman"/>
        </w:rPr>
        <w:t xml:space="preserve">submission </w:t>
      </w:r>
      <w:r w:rsidR="00F05818">
        <w:rPr>
          <w:rFonts w:ascii="Times New Roman" w:hAnsi="Times New Roman"/>
        </w:rPr>
        <w:t xml:space="preserve">on the Competition Policy Review </w:t>
      </w:r>
      <w:r w:rsidR="0011617D">
        <w:rPr>
          <w:rFonts w:ascii="Times New Roman" w:hAnsi="Times New Roman"/>
        </w:rPr>
        <w:t>d</w:t>
      </w:r>
      <w:r w:rsidR="00F05818">
        <w:rPr>
          <w:rFonts w:ascii="Times New Roman" w:hAnsi="Times New Roman"/>
        </w:rPr>
        <w:t xml:space="preserve">raft </w:t>
      </w:r>
      <w:r w:rsidR="0011617D">
        <w:rPr>
          <w:rFonts w:ascii="Times New Roman" w:hAnsi="Times New Roman"/>
        </w:rPr>
        <w:t>r</w:t>
      </w:r>
      <w:r w:rsidR="00F05818">
        <w:rPr>
          <w:rFonts w:ascii="Times New Roman" w:hAnsi="Times New Roman"/>
        </w:rPr>
        <w:t>eport</w:t>
      </w:r>
      <w:r w:rsidR="00361C64">
        <w:rPr>
          <w:rFonts w:ascii="Times New Roman" w:hAnsi="Times New Roman"/>
        </w:rPr>
        <w:t>.</w:t>
      </w:r>
    </w:p>
    <w:p w:rsidR="00D71EC8" w:rsidRPr="005303AC" w:rsidRDefault="00D71EC8" w:rsidP="00D71EC8">
      <w:pPr>
        <w:pStyle w:val="AERbodytext"/>
        <w:spacing w:line="240" w:lineRule="auto"/>
        <w:jc w:val="left"/>
        <w:rPr>
          <w:rFonts w:ascii="Times New Roman" w:hAnsi="Times New Roman"/>
        </w:rPr>
      </w:pPr>
      <w:r>
        <w:rPr>
          <w:rFonts w:ascii="Times New Roman" w:hAnsi="Times New Roman"/>
        </w:rPr>
        <w:t xml:space="preserve">Our submission highlights </w:t>
      </w:r>
      <w:r w:rsidR="00846223">
        <w:rPr>
          <w:rFonts w:ascii="Times New Roman" w:hAnsi="Times New Roman"/>
        </w:rPr>
        <w:t xml:space="preserve">a range of </w:t>
      </w:r>
      <w:r w:rsidR="00571368">
        <w:rPr>
          <w:rFonts w:ascii="Times New Roman" w:hAnsi="Times New Roman"/>
        </w:rPr>
        <w:t xml:space="preserve">implications to </w:t>
      </w:r>
      <w:r w:rsidR="00846223">
        <w:rPr>
          <w:rFonts w:ascii="Times New Roman" w:hAnsi="Times New Roman"/>
        </w:rPr>
        <w:t>the recommendation to create a national access and pricing regulator – a proposal that would have the effect of splitting the current functions of the AER between this access regulator and the Australian Competition and Consumer Commission (ACCC). Our submission also comments on energy market reform recommendations and the proposal to amend the process for Australian Competition Tribunal review of regulatory decisions.</w:t>
      </w:r>
      <w:r>
        <w:rPr>
          <w:rFonts w:ascii="Times New Roman" w:hAnsi="Times New Roman"/>
        </w:rPr>
        <w:t xml:space="preserve"> </w:t>
      </w:r>
    </w:p>
    <w:p w:rsidR="00D71EC8" w:rsidRPr="005303AC" w:rsidRDefault="00D71EC8" w:rsidP="00D71EC8">
      <w:pPr>
        <w:pStyle w:val="AERbodytext"/>
        <w:spacing w:after="480" w:line="240" w:lineRule="auto"/>
        <w:jc w:val="left"/>
        <w:rPr>
          <w:rFonts w:ascii="Times New Roman" w:hAnsi="Times New Roman"/>
        </w:rPr>
      </w:pPr>
      <w:r w:rsidRPr="005303AC">
        <w:rPr>
          <w:rFonts w:ascii="Times New Roman" w:hAnsi="Times New Roman"/>
        </w:rPr>
        <w:t xml:space="preserve">Should you have any questions, please feel free to contact </w:t>
      </w:r>
      <w:r>
        <w:rPr>
          <w:rFonts w:ascii="Times New Roman" w:hAnsi="Times New Roman"/>
        </w:rPr>
        <w:t xml:space="preserve">the AER’s Chief Executive Officer, Michelle Groves, </w:t>
      </w:r>
      <w:r w:rsidRPr="005303AC">
        <w:rPr>
          <w:rFonts w:ascii="Times New Roman" w:hAnsi="Times New Roman"/>
        </w:rPr>
        <w:t>on (03)</w:t>
      </w:r>
      <w:r>
        <w:rPr>
          <w:rFonts w:ascii="Times New Roman" w:hAnsi="Times New Roman"/>
        </w:rPr>
        <w:t> </w:t>
      </w:r>
      <w:r w:rsidRPr="005303AC">
        <w:rPr>
          <w:rFonts w:ascii="Times New Roman" w:hAnsi="Times New Roman"/>
        </w:rPr>
        <w:t>9290 1423</w:t>
      </w:r>
      <w:r>
        <w:rPr>
          <w:rFonts w:ascii="Times New Roman" w:hAnsi="Times New Roman"/>
        </w:rPr>
        <w:t xml:space="preserve"> or me on </w:t>
      </w:r>
      <w:r w:rsidRPr="002B2A7B">
        <w:rPr>
          <w:rFonts w:ascii="Times New Roman" w:hAnsi="Times New Roman"/>
        </w:rPr>
        <w:t>(03) 9290 1419</w:t>
      </w:r>
      <w:r>
        <w:rPr>
          <w:rFonts w:ascii="Times New Roman" w:hAnsi="Times New Roman"/>
        </w:rPr>
        <w:t>.</w:t>
      </w:r>
    </w:p>
    <w:p w:rsidR="00D71EC8" w:rsidRDefault="00D71EC8" w:rsidP="00D71EC8">
      <w:pPr>
        <w:pStyle w:val="AERbodytext"/>
        <w:spacing w:after="0"/>
        <w:rPr>
          <w:lang w:eastAsia="en-AU"/>
        </w:rPr>
      </w:pPr>
      <w:r w:rsidRPr="005303AC">
        <w:rPr>
          <w:rFonts w:ascii="Times New Roman" w:hAnsi="Times New Roman"/>
        </w:rPr>
        <w:t>Yours sincerely</w:t>
      </w:r>
    </w:p>
    <w:p w:rsidR="00D71EC8" w:rsidRDefault="00D71EC8" w:rsidP="00D71EC8">
      <w:pPr>
        <w:pStyle w:val="AERbodytext"/>
        <w:spacing w:after="0"/>
        <w:rPr>
          <w:noProof/>
          <w:lang w:eastAsia="en-AU"/>
        </w:rPr>
      </w:pPr>
    </w:p>
    <w:p w:rsidR="00D71EC8" w:rsidRDefault="00D71EC8" w:rsidP="00D71EC8">
      <w:pPr>
        <w:pStyle w:val="AERbodytext"/>
        <w:spacing w:after="0"/>
        <w:rPr>
          <w:lang w:eastAsia="en-AU"/>
        </w:rPr>
      </w:pPr>
    </w:p>
    <w:p w:rsidR="00D71EC8" w:rsidRDefault="00D71EC8" w:rsidP="00D71EC8">
      <w:pPr>
        <w:pStyle w:val="AERbodytext"/>
        <w:spacing w:after="0"/>
        <w:rPr>
          <w:lang w:eastAsia="en-AU"/>
        </w:rPr>
      </w:pPr>
    </w:p>
    <w:p w:rsidR="00D71EC8" w:rsidRDefault="00D71EC8" w:rsidP="00D71EC8">
      <w:pPr>
        <w:spacing w:line="240" w:lineRule="auto"/>
        <w:rPr>
          <w:rFonts w:ascii="Times New Roman" w:hAnsi="Times New Roman"/>
        </w:rPr>
      </w:pPr>
      <w:r>
        <w:rPr>
          <w:rFonts w:ascii="Times New Roman" w:hAnsi="Times New Roman"/>
        </w:rPr>
        <w:t xml:space="preserve">Paula </w:t>
      </w:r>
      <w:proofErr w:type="spellStart"/>
      <w:r>
        <w:rPr>
          <w:rFonts w:ascii="Times New Roman" w:hAnsi="Times New Roman"/>
        </w:rPr>
        <w:t>Conboy</w:t>
      </w:r>
      <w:proofErr w:type="spellEnd"/>
    </w:p>
    <w:p w:rsidR="00D71EC8" w:rsidRPr="00C62111" w:rsidRDefault="00D71EC8" w:rsidP="00D71EC8">
      <w:pPr>
        <w:pStyle w:val="AERbodytext"/>
        <w:rPr>
          <w:rFonts w:ascii="Times New Roman" w:hAnsi="Times New Roman"/>
          <w:lang w:eastAsia="en-AU"/>
        </w:rPr>
      </w:pPr>
      <w:r w:rsidRPr="00C62111">
        <w:rPr>
          <w:rFonts w:ascii="Times New Roman" w:hAnsi="Times New Roman"/>
          <w:lang w:eastAsia="en-AU"/>
        </w:rPr>
        <w:t>Chair</w:t>
      </w:r>
    </w:p>
    <w:p w:rsidR="006B4363" w:rsidRPr="00D76397" w:rsidRDefault="00D71EC8" w:rsidP="006B4363">
      <w:pPr>
        <w:tabs>
          <w:tab w:val="left" w:pos="272"/>
          <w:tab w:val="center" w:pos="4156"/>
        </w:tabs>
        <w:spacing w:before="3600" w:after="600"/>
        <w:outlineLvl w:val="1"/>
        <w:rPr>
          <w:rFonts w:eastAsia="Times New Roman"/>
          <w:sz w:val="32"/>
          <w:szCs w:val="20"/>
        </w:rPr>
      </w:pPr>
      <w:r>
        <w:rPr>
          <w:rFonts w:ascii="Times New Roman" w:hAnsi="Times New Roman"/>
        </w:rPr>
        <w:br w:type="column"/>
      </w:r>
    </w:p>
    <w:p w:rsidR="006B4363" w:rsidRPr="00D76397" w:rsidRDefault="006B4363" w:rsidP="006B4363">
      <w:pPr>
        <w:spacing w:before="2400" w:after="1920"/>
        <w:jc w:val="center"/>
        <w:rPr>
          <w:rFonts w:eastAsia="Times New Roman" w:cs="Arial"/>
          <w:b/>
          <w:bCs/>
          <w:kern w:val="28"/>
          <w:sz w:val="36"/>
          <w:szCs w:val="32"/>
        </w:rPr>
      </w:pPr>
      <w:r>
        <w:rPr>
          <w:noProof/>
        </w:rPr>
        <w:drawing>
          <wp:anchor distT="0" distB="0" distL="114300" distR="114300" simplePos="0" relativeHeight="251659264" behindDoc="1" locked="0" layoutInCell="1" allowOverlap="1" wp14:anchorId="051E7D10" wp14:editId="7DB08F06">
            <wp:simplePos x="0" y="0"/>
            <wp:positionH relativeFrom="column">
              <wp:posOffset>-1242695</wp:posOffset>
            </wp:positionH>
            <wp:positionV relativeFrom="paragraph">
              <wp:posOffset>-3709670</wp:posOffset>
            </wp:positionV>
            <wp:extent cx="7803515" cy="10897235"/>
            <wp:effectExtent l="0" t="0" r="0"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final-orange"/>
                    <pic:cNvPicPr>
                      <a:picLocks noChangeAspect="1" noChangeArrowheads="1"/>
                    </pic:cNvPicPr>
                  </pic:nvPicPr>
                  <pic:blipFill>
                    <a:blip r:embed="rId10" cstate="print"/>
                    <a:srcRect/>
                    <a:stretch>
                      <a:fillRect/>
                    </a:stretch>
                  </pic:blipFill>
                  <pic:spPr bwMode="auto">
                    <a:xfrm>
                      <a:off x="0" y="0"/>
                      <a:ext cx="7803515" cy="10897235"/>
                    </a:xfrm>
                    <a:prstGeom prst="rect">
                      <a:avLst/>
                    </a:prstGeom>
                    <a:noFill/>
                  </pic:spPr>
                </pic:pic>
              </a:graphicData>
            </a:graphic>
            <wp14:sizeRelV relativeFrom="margin">
              <wp14:pctHeight>0</wp14:pctHeight>
            </wp14:sizeRelV>
          </wp:anchor>
        </w:drawing>
      </w:r>
      <w:r>
        <w:rPr>
          <w:rFonts w:eastAsia="Times New Roman" w:cs="Arial"/>
          <w:b/>
          <w:bCs/>
          <w:kern w:val="28"/>
          <w:sz w:val="36"/>
          <w:szCs w:val="32"/>
        </w:rPr>
        <w:t>AER Submission</w:t>
      </w:r>
      <w:r w:rsidRPr="00D76397">
        <w:rPr>
          <w:rFonts w:eastAsia="Times New Roman" w:cs="Arial"/>
          <w:b/>
          <w:bCs/>
          <w:kern w:val="28"/>
          <w:sz w:val="36"/>
          <w:szCs w:val="32"/>
        </w:rPr>
        <w:br w:type="textWrapping" w:clear="all"/>
      </w:r>
      <w:r w:rsidRPr="00D76397">
        <w:rPr>
          <w:rFonts w:eastAsia="Times New Roman" w:cs="Arial"/>
          <w:b/>
          <w:bCs/>
          <w:kern w:val="28"/>
          <w:sz w:val="36"/>
          <w:szCs w:val="32"/>
        </w:rPr>
        <w:br w:type="textWrapping" w:clear="all"/>
      </w:r>
      <w:r>
        <w:rPr>
          <w:rFonts w:eastAsia="Times New Roman" w:cs="Arial"/>
          <w:b/>
          <w:bCs/>
          <w:kern w:val="28"/>
          <w:sz w:val="36"/>
          <w:szCs w:val="32"/>
        </w:rPr>
        <w:t>Competition Policy Review Draft Report</w:t>
      </w:r>
    </w:p>
    <w:p w:rsidR="006B4363" w:rsidRPr="00D76397" w:rsidRDefault="006B4363" w:rsidP="006B4363">
      <w:pPr>
        <w:spacing w:after="60"/>
        <w:jc w:val="center"/>
        <w:outlineLvl w:val="1"/>
        <w:rPr>
          <w:rFonts w:eastAsia="Times New Roman" w:cs="Arial"/>
          <w:sz w:val="28"/>
        </w:rPr>
      </w:pPr>
      <w:r>
        <w:rPr>
          <w:rFonts w:eastAsia="Times New Roman" w:cs="Arial"/>
          <w:sz w:val="28"/>
        </w:rPr>
        <w:t>November 2014</w:t>
      </w:r>
    </w:p>
    <w:p w:rsidR="006B4363" w:rsidRPr="00D76397" w:rsidRDefault="006B4363" w:rsidP="006B4363">
      <w:pPr>
        <w:spacing w:after="60"/>
        <w:jc w:val="center"/>
        <w:outlineLvl w:val="1"/>
        <w:rPr>
          <w:rFonts w:eastAsia="Times New Roman" w:cs="Arial"/>
          <w:sz w:val="28"/>
          <w:szCs w:val="28"/>
        </w:rPr>
      </w:pPr>
    </w:p>
    <w:p w:rsidR="006B4363" w:rsidRPr="00D76397" w:rsidRDefault="006B4363" w:rsidP="006B4363">
      <w:pPr>
        <w:spacing w:after="240"/>
        <w:rPr>
          <w:rFonts w:ascii="Times New Roman" w:eastAsia="Times New Roman" w:hAnsi="Times New Roman"/>
        </w:rPr>
      </w:pPr>
    </w:p>
    <w:p w:rsidR="006B4363" w:rsidRPr="00D76397" w:rsidRDefault="006B4363" w:rsidP="006B4363">
      <w:pPr>
        <w:spacing w:after="240"/>
        <w:rPr>
          <w:rFonts w:ascii="Times New Roman" w:eastAsia="Times New Roman" w:hAnsi="Times New Roman"/>
        </w:rPr>
        <w:sectPr w:rsidR="006B4363" w:rsidRPr="00D76397" w:rsidSect="00132900">
          <w:footerReference w:type="even" r:id="rId11"/>
          <w:footerReference w:type="default" r:id="rId12"/>
          <w:pgSz w:w="11906" w:h="16838"/>
          <w:pgMar w:top="1440" w:right="1800" w:bottom="1440" w:left="1800" w:header="708" w:footer="708" w:gutter="0"/>
          <w:cols w:space="708"/>
          <w:titlePg/>
          <w:docGrid w:linePitch="360"/>
        </w:sectPr>
      </w:pPr>
    </w:p>
    <w:p w:rsidR="006B4363" w:rsidRPr="002C246C" w:rsidRDefault="006B4363" w:rsidP="006B4363">
      <w:pPr>
        <w:pStyle w:val="AERheading1"/>
        <w:pageBreakBefore w:val="0"/>
        <w:numPr>
          <w:ilvl w:val="0"/>
          <w:numId w:val="17"/>
        </w:numPr>
        <w:tabs>
          <w:tab w:val="clear" w:pos="0"/>
        </w:tabs>
        <w:rPr>
          <w:shd w:val="clear" w:color="auto" w:fill="C0C0C1"/>
        </w:rPr>
      </w:pPr>
      <w:r>
        <w:lastRenderedPageBreak/>
        <w:t>Introduction</w:t>
      </w:r>
    </w:p>
    <w:p w:rsidR="0093663A" w:rsidRPr="006B4363" w:rsidRDefault="00877179" w:rsidP="006B4363">
      <w:pPr>
        <w:pStyle w:val="AERbodytext"/>
        <w:spacing w:line="276" w:lineRule="auto"/>
        <w:jc w:val="left"/>
        <w:rPr>
          <w:rFonts w:cs="Gautami"/>
          <w:sz w:val="20"/>
          <w:szCs w:val="20"/>
        </w:rPr>
      </w:pPr>
      <w:r w:rsidRPr="006B4363">
        <w:rPr>
          <w:rFonts w:cs="Gautami"/>
          <w:sz w:val="20"/>
          <w:szCs w:val="20"/>
        </w:rPr>
        <w:t>The AER is Australia’s national energy regulator</w:t>
      </w:r>
      <w:r w:rsidR="0093663A" w:rsidRPr="006B4363">
        <w:rPr>
          <w:rFonts w:cs="Gautami"/>
          <w:sz w:val="20"/>
          <w:szCs w:val="20"/>
        </w:rPr>
        <w:t xml:space="preserve"> </w:t>
      </w:r>
      <w:r w:rsidRPr="006B4363">
        <w:rPr>
          <w:rFonts w:cs="Gautami"/>
          <w:sz w:val="20"/>
          <w:szCs w:val="20"/>
        </w:rPr>
        <w:t>and an independent decision-making authority. Our responsibilities are set out in national energy l</w:t>
      </w:r>
      <w:r w:rsidR="00801F15" w:rsidRPr="006B4363">
        <w:rPr>
          <w:rFonts w:cs="Gautami"/>
          <w:sz w:val="20"/>
          <w:szCs w:val="20"/>
        </w:rPr>
        <w:t>egislation and rules, and</w:t>
      </w:r>
      <w:r w:rsidRPr="006B4363">
        <w:rPr>
          <w:rFonts w:cs="Gautami"/>
          <w:sz w:val="20"/>
          <w:szCs w:val="20"/>
        </w:rPr>
        <w:t xml:space="preserve"> </w:t>
      </w:r>
      <w:r w:rsidR="00801F15" w:rsidRPr="006B4363">
        <w:rPr>
          <w:rFonts w:cs="Gautami"/>
          <w:sz w:val="20"/>
          <w:szCs w:val="20"/>
        </w:rPr>
        <w:t xml:space="preserve">largely </w:t>
      </w:r>
      <w:r w:rsidRPr="006B4363">
        <w:rPr>
          <w:rFonts w:cs="Gautami"/>
          <w:sz w:val="20"/>
          <w:szCs w:val="20"/>
        </w:rPr>
        <w:t xml:space="preserve">relate to </w:t>
      </w:r>
      <w:r w:rsidR="00801F15" w:rsidRPr="006B4363">
        <w:rPr>
          <w:rFonts w:cs="Gautami"/>
          <w:sz w:val="20"/>
          <w:szCs w:val="20"/>
        </w:rPr>
        <w:t xml:space="preserve">energy networks, </w:t>
      </w:r>
      <w:r w:rsidR="00582ECA" w:rsidRPr="006B4363">
        <w:rPr>
          <w:rFonts w:cs="Gautami"/>
          <w:sz w:val="20"/>
          <w:szCs w:val="20"/>
        </w:rPr>
        <w:t xml:space="preserve">competitive </w:t>
      </w:r>
      <w:r w:rsidR="00801F15" w:rsidRPr="006B4363">
        <w:rPr>
          <w:rFonts w:cs="Gautami"/>
          <w:sz w:val="20"/>
          <w:szCs w:val="20"/>
        </w:rPr>
        <w:t xml:space="preserve">wholesale </w:t>
      </w:r>
      <w:r w:rsidR="00582ECA" w:rsidRPr="006B4363">
        <w:rPr>
          <w:rFonts w:cs="Gautami"/>
          <w:sz w:val="20"/>
          <w:szCs w:val="20"/>
        </w:rPr>
        <w:t xml:space="preserve">energy </w:t>
      </w:r>
      <w:r w:rsidR="00801F15" w:rsidRPr="006B4363">
        <w:rPr>
          <w:rFonts w:cs="Gautami"/>
          <w:sz w:val="20"/>
          <w:szCs w:val="20"/>
        </w:rPr>
        <w:t>markets and energy retail markets</w:t>
      </w:r>
      <w:r w:rsidRPr="006B4363">
        <w:rPr>
          <w:rFonts w:cs="Gautami"/>
          <w:sz w:val="20"/>
          <w:szCs w:val="20"/>
        </w:rPr>
        <w:t xml:space="preserve"> in eastern and southern Australia. </w:t>
      </w:r>
    </w:p>
    <w:p w:rsidR="00860BB8" w:rsidRPr="006B4363" w:rsidRDefault="00860BB8" w:rsidP="006B4363">
      <w:pPr>
        <w:pStyle w:val="AERbodytext"/>
        <w:spacing w:line="276" w:lineRule="auto"/>
        <w:jc w:val="left"/>
        <w:rPr>
          <w:rFonts w:cs="Gautami"/>
          <w:sz w:val="20"/>
          <w:szCs w:val="20"/>
        </w:rPr>
      </w:pPr>
      <w:r w:rsidRPr="006B4363">
        <w:rPr>
          <w:rFonts w:cs="Gautami"/>
          <w:sz w:val="20"/>
          <w:szCs w:val="20"/>
        </w:rPr>
        <w:t xml:space="preserve">Our submission focuses on the draft </w:t>
      </w:r>
      <w:r w:rsidR="0011617D" w:rsidRPr="006B4363">
        <w:rPr>
          <w:rFonts w:cs="Gautami"/>
          <w:sz w:val="20"/>
          <w:szCs w:val="20"/>
        </w:rPr>
        <w:t xml:space="preserve">report </w:t>
      </w:r>
      <w:r w:rsidRPr="006B4363">
        <w:rPr>
          <w:rFonts w:cs="Gautami"/>
          <w:sz w:val="20"/>
          <w:szCs w:val="20"/>
        </w:rPr>
        <w:t>recommendations directly related to these responsibilities.</w:t>
      </w:r>
    </w:p>
    <w:p w:rsidR="00801F15" w:rsidRPr="006B4363" w:rsidRDefault="00801F15" w:rsidP="006B4363">
      <w:pPr>
        <w:pStyle w:val="AERbodytext"/>
        <w:spacing w:line="276" w:lineRule="auto"/>
        <w:jc w:val="left"/>
        <w:rPr>
          <w:rFonts w:cs="Gautami"/>
          <w:sz w:val="20"/>
          <w:szCs w:val="20"/>
        </w:rPr>
      </w:pPr>
      <w:r w:rsidRPr="006B4363">
        <w:rPr>
          <w:rFonts w:cs="Gautami"/>
          <w:sz w:val="20"/>
          <w:szCs w:val="20"/>
        </w:rPr>
        <w:t>The main focus of our submission is on the recommendation to create a national access and pricing regulator</w:t>
      </w:r>
      <w:r w:rsidR="006078B7" w:rsidRPr="006B4363">
        <w:rPr>
          <w:rFonts w:cs="Gautami"/>
          <w:sz w:val="20"/>
          <w:szCs w:val="20"/>
        </w:rPr>
        <w:t xml:space="preserve"> – a recommendation that wo</w:t>
      </w:r>
      <w:r w:rsidRPr="006B4363">
        <w:rPr>
          <w:rFonts w:cs="Gautami"/>
          <w:sz w:val="20"/>
          <w:szCs w:val="20"/>
        </w:rPr>
        <w:t xml:space="preserve">uld have the effect of splitting the functions of the AER between </w:t>
      </w:r>
      <w:r w:rsidR="000C2407" w:rsidRPr="006B4363">
        <w:rPr>
          <w:rFonts w:cs="Gautami"/>
          <w:sz w:val="20"/>
          <w:szCs w:val="20"/>
        </w:rPr>
        <w:t xml:space="preserve">a </w:t>
      </w:r>
      <w:r w:rsidRPr="006B4363">
        <w:rPr>
          <w:rFonts w:cs="Gautami"/>
          <w:sz w:val="20"/>
          <w:szCs w:val="20"/>
        </w:rPr>
        <w:t xml:space="preserve">national access and pricing regulator and the </w:t>
      </w:r>
      <w:r w:rsidR="006B4363">
        <w:rPr>
          <w:rFonts w:cs="Gautami"/>
          <w:sz w:val="20"/>
          <w:szCs w:val="20"/>
        </w:rPr>
        <w:t>A</w:t>
      </w:r>
      <w:r w:rsidRPr="006B4363">
        <w:rPr>
          <w:rFonts w:cs="Gautami"/>
          <w:sz w:val="20"/>
          <w:szCs w:val="20"/>
        </w:rPr>
        <w:t>CCC</w:t>
      </w:r>
      <w:r w:rsidR="006B4363">
        <w:rPr>
          <w:rFonts w:cs="Gautami"/>
          <w:sz w:val="20"/>
          <w:szCs w:val="20"/>
        </w:rPr>
        <w:t xml:space="preserve">. We </w:t>
      </w:r>
      <w:r w:rsidR="00C17F97">
        <w:rPr>
          <w:rFonts w:cs="Gautami"/>
          <w:sz w:val="20"/>
          <w:szCs w:val="20"/>
        </w:rPr>
        <w:t>consider that</w:t>
      </w:r>
      <w:r w:rsidR="006B4363">
        <w:rPr>
          <w:rFonts w:cs="Gautami"/>
          <w:sz w:val="20"/>
          <w:szCs w:val="20"/>
        </w:rPr>
        <w:t xml:space="preserve"> the proposal </w:t>
      </w:r>
      <w:r w:rsidR="00390DC7">
        <w:rPr>
          <w:rFonts w:cs="Gautami"/>
          <w:sz w:val="20"/>
          <w:szCs w:val="20"/>
        </w:rPr>
        <w:t xml:space="preserve">to divide the AER’s functions between two regulators </w:t>
      </w:r>
      <w:r w:rsidR="006B4363">
        <w:rPr>
          <w:rFonts w:cs="Gautami"/>
          <w:sz w:val="20"/>
          <w:szCs w:val="20"/>
        </w:rPr>
        <w:t xml:space="preserve">fails to recognise the integrated </w:t>
      </w:r>
      <w:r w:rsidR="00DA13BE">
        <w:rPr>
          <w:rFonts w:cs="Gautami"/>
          <w:sz w:val="20"/>
          <w:szCs w:val="20"/>
        </w:rPr>
        <w:t xml:space="preserve">and changing </w:t>
      </w:r>
      <w:r w:rsidR="006B4363">
        <w:rPr>
          <w:rFonts w:cs="Gautami"/>
          <w:sz w:val="20"/>
          <w:szCs w:val="20"/>
        </w:rPr>
        <w:t xml:space="preserve">nature </w:t>
      </w:r>
      <w:r w:rsidR="003A2630" w:rsidRPr="006B4363">
        <w:rPr>
          <w:rFonts w:cs="Gautami"/>
          <w:sz w:val="20"/>
          <w:szCs w:val="20"/>
        </w:rPr>
        <w:t xml:space="preserve">of energy markets. </w:t>
      </w:r>
      <w:r w:rsidR="006B4363">
        <w:rPr>
          <w:rFonts w:cs="Gautami"/>
          <w:sz w:val="20"/>
          <w:szCs w:val="20"/>
        </w:rPr>
        <w:t xml:space="preserve">The recommendation to transfer the AER’s retail roles to the ACCC also mischaracterises our </w:t>
      </w:r>
      <w:r w:rsidR="00324B8D">
        <w:rPr>
          <w:rFonts w:cs="Gautami"/>
          <w:sz w:val="20"/>
          <w:szCs w:val="20"/>
        </w:rPr>
        <w:t xml:space="preserve">current </w:t>
      </w:r>
      <w:r w:rsidR="006B4363">
        <w:rPr>
          <w:rFonts w:cs="Gautami"/>
          <w:sz w:val="20"/>
          <w:szCs w:val="20"/>
        </w:rPr>
        <w:t xml:space="preserve">roles under the National Energy Retail Law </w:t>
      </w:r>
      <w:r w:rsidR="00390DC7">
        <w:rPr>
          <w:rFonts w:cs="Gautami"/>
          <w:sz w:val="20"/>
          <w:szCs w:val="20"/>
        </w:rPr>
        <w:t xml:space="preserve">and Rules. </w:t>
      </w:r>
      <w:r w:rsidR="00D20993">
        <w:rPr>
          <w:rFonts w:cs="Gautami"/>
          <w:sz w:val="20"/>
          <w:szCs w:val="20"/>
        </w:rPr>
        <w:t>Further, t</w:t>
      </w:r>
      <w:r w:rsidR="00324B8D">
        <w:rPr>
          <w:rFonts w:cs="Gautami"/>
          <w:sz w:val="20"/>
          <w:szCs w:val="20"/>
        </w:rPr>
        <w:t xml:space="preserve">here </w:t>
      </w:r>
      <w:proofErr w:type="gramStart"/>
      <w:r w:rsidR="00324B8D">
        <w:rPr>
          <w:rFonts w:cs="Gautami"/>
          <w:sz w:val="20"/>
          <w:szCs w:val="20"/>
        </w:rPr>
        <w:t>are</w:t>
      </w:r>
      <w:proofErr w:type="gramEnd"/>
      <w:r w:rsidR="00324B8D">
        <w:rPr>
          <w:rFonts w:cs="Gautami"/>
          <w:sz w:val="20"/>
          <w:szCs w:val="20"/>
        </w:rPr>
        <w:t xml:space="preserve"> significant practical implementation issues </w:t>
      </w:r>
      <w:r w:rsidR="00FB3ACB">
        <w:rPr>
          <w:rFonts w:cs="Gautami"/>
          <w:sz w:val="20"/>
          <w:szCs w:val="20"/>
        </w:rPr>
        <w:t>a</w:t>
      </w:r>
      <w:r w:rsidR="00324B8D">
        <w:rPr>
          <w:rFonts w:cs="Gautami"/>
          <w:sz w:val="20"/>
          <w:szCs w:val="20"/>
        </w:rPr>
        <w:t>ssociated with this proposal</w:t>
      </w:r>
      <w:r w:rsidR="00A61198">
        <w:rPr>
          <w:rFonts w:cs="Gautami"/>
          <w:sz w:val="20"/>
          <w:szCs w:val="20"/>
        </w:rPr>
        <w:t xml:space="preserve"> that would need to be addressed.</w:t>
      </w:r>
      <w:r w:rsidR="00FB3ACB">
        <w:rPr>
          <w:rFonts w:cs="Gautami"/>
          <w:sz w:val="20"/>
          <w:szCs w:val="20"/>
        </w:rPr>
        <w:t xml:space="preserve"> </w:t>
      </w:r>
    </w:p>
    <w:p w:rsidR="00992523" w:rsidRPr="006B4363" w:rsidRDefault="00590338" w:rsidP="006B4363">
      <w:pPr>
        <w:pStyle w:val="AERbodytext"/>
        <w:spacing w:line="276" w:lineRule="auto"/>
        <w:jc w:val="left"/>
        <w:rPr>
          <w:rFonts w:cs="Gautami"/>
          <w:sz w:val="20"/>
          <w:szCs w:val="20"/>
        </w:rPr>
      </w:pPr>
      <w:r w:rsidRPr="006B4363">
        <w:rPr>
          <w:rFonts w:cs="Gautami"/>
          <w:sz w:val="20"/>
          <w:szCs w:val="20"/>
        </w:rPr>
        <w:t>The submission also comments</w:t>
      </w:r>
      <w:r w:rsidR="00860BB8" w:rsidRPr="006B4363">
        <w:rPr>
          <w:rFonts w:cs="Gautami"/>
          <w:sz w:val="20"/>
          <w:szCs w:val="20"/>
        </w:rPr>
        <w:t xml:space="preserve"> on the energy market reform</w:t>
      </w:r>
      <w:r w:rsidR="00F50503" w:rsidRPr="006B4363">
        <w:rPr>
          <w:rFonts w:cs="Gautami"/>
          <w:sz w:val="20"/>
          <w:szCs w:val="20"/>
        </w:rPr>
        <w:t xml:space="preserve"> recommendations</w:t>
      </w:r>
      <w:r w:rsidR="00860BB8" w:rsidRPr="006B4363">
        <w:rPr>
          <w:rFonts w:cs="Gautami"/>
          <w:sz w:val="20"/>
          <w:szCs w:val="20"/>
        </w:rPr>
        <w:t xml:space="preserve"> proposed in the report. We are fully supportive of the reforms </w:t>
      </w:r>
      <w:r w:rsidR="00670859" w:rsidRPr="006B4363">
        <w:rPr>
          <w:rFonts w:cs="Gautami"/>
          <w:sz w:val="20"/>
          <w:szCs w:val="20"/>
        </w:rPr>
        <w:t xml:space="preserve">outlined </w:t>
      </w:r>
      <w:r w:rsidR="00992523" w:rsidRPr="006B4363">
        <w:rPr>
          <w:rFonts w:cs="Gautami"/>
          <w:sz w:val="20"/>
          <w:szCs w:val="20"/>
        </w:rPr>
        <w:t xml:space="preserve">to </w:t>
      </w:r>
      <w:r w:rsidR="00670859" w:rsidRPr="006B4363">
        <w:rPr>
          <w:rFonts w:cs="Gautami"/>
          <w:sz w:val="20"/>
          <w:szCs w:val="20"/>
        </w:rPr>
        <w:t xml:space="preserve">finalise </w:t>
      </w:r>
      <w:r w:rsidR="00992523" w:rsidRPr="006B4363">
        <w:rPr>
          <w:rFonts w:cs="Gautami"/>
          <w:sz w:val="20"/>
          <w:szCs w:val="20"/>
        </w:rPr>
        <w:t>the energy reform agenda</w:t>
      </w:r>
      <w:r w:rsidR="00B061E9" w:rsidRPr="006B4363">
        <w:rPr>
          <w:rFonts w:cs="Gautami"/>
          <w:sz w:val="20"/>
          <w:szCs w:val="20"/>
        </w:rPr>
        <w:t>, including proposed retail market and reliability standards reforms.</w:t>
      </w:r>
    </w:p>
    <w:p w:rsidR="00197D6F" w:rsidRPr="006B4363" w:rsidRDefault="00992523" w:rsidP="006B4363">
      <w:pPr>
        <w:pStyle w:val="AERbodytext"/>
        <w:spacing w:line="276" w:lineRule="auto"/>
        <w:jc w:val="left"/>
        <w:rPr>
          <w:rFonts w:cs="Gautami"/>
          <w:sz w:val="20"/>
          <w:szCs w:val="20"/>
        </w:rPr>
      </w:pPr>
      <w:r w:rsidRPr="006B4363">
        <w:rPr>
          <w:rFonts w:cs="Gautami"/>
          <w:sz w:val="20"/>
          <w:szCs w:val="20"/>
        </w:rPr>
        <w:t xml:space="preserve">Finally, </w:t>
      </w:r>
      <w:r w:rsidR="00F50503" w:rsidRPr="006B4363">
        <w:rPr>
          <w:rFonts w:cs="Gautami"/>
          <w:sz w:val="20"/>
          <w:szCs w:val="20"/>
        </w:rPr>
        <w:t xml:space="preserve">we </w:t>
      </w:r>
      <w:r w:rsidR="00197D6F" w:rsidRPr="006B4363">
        <w:rPr>
          <w:rFonts w:cs="Gautami"/>
          <w:sz w:val="20"/>
          <w:szCs w:val="20"/>
        </w:rPr>
        <w:t xml:space="preserve">comment on the proposal to broaden the information that the Australian Competition Tribunal should be able to consider in its reviews. </w:t>
      </w:r>
      <w:r w:rsidR="0087691F" w:rsidRPr="006B4363">
        <w:rPr>
          <w:rFonts w:cs="Gautami"/>
          <w:sz w:val="20"/>
          <w:szCs w:val="20"/>
        </w:rPr>
        <w:t xml:space="preserve">In energy, this issue </w:t>
      </w:r>
      <w:r w:rsidR="00197D6F" w:rsidRPr="006B4363">
        <w:rPr>
          <w:rFonts w:cs="Gautami"/>
          <w:sz w:val="20"/>
          <w:szCs w:val="20"/>
        </w:rPr>
        <w:t xml:space="preserve">has recently been considered at length and </w:t>
      </w:r>
      <w:r w:rsidR="00787066" w:rsidRPr="006B4363">
        <w:rPr>
          <w:rFonts w:cs="Gautami"/>
          <w:sz w:val="20"/>
          <w:szCs w:val="20"/>
        </w:rPr>
        <w:t>amendments</w:t>
      </w:r>
      <w:r w:rsidR="00197D6F" w:rsidRPr="006B4363">
        <w:rPr>
          <w:rFonts w:cs="Gautami"/>
          <w:sz w:val="20"/>
          <w:szCs w:val="20"/>
        </w:rPr>
        <w:t xml:space="preserve"> to the merits review arrangements finalised. </w:t>
      </w:r>
      <w:r w:rsidR="0087691F" w:rsidRPr="006B4363">
        <w:rPr>
          <w:rFonts w:cs="Gautami"/>
          <w:sz w:val="20"/>
          <w:szCs w:val="20"/>
        </w:rPr>
        <w:t xml:space="preserve">We </w:t>
      </w:r>
      <w:r w:rsidR="00C17F97">
        <w:rPr>
          <w:rFonts w:eastAsia="Calibri" w:cs="Gautami"/>
          <w:sz w:val="20"/>
          <w:szCs w:val="20"/>
        </w:rPr>
        <w:t>consider</w:t>
      </w:r>
      <w:r w:rsidR="00787066" w:rsidRPr="006B4363">
        <w:rPr>
          <w:rFonts w:eastAsia="Calibri" w:cs="Gautami"/>
          <w:sz w:val="20"/>
          <w:szCs w:val="20"/>
        </w:rPr>
        <w:t xml:space="preserve"> that it would be premature to amend </w:t>
      </w:r>
      <w:r w:rsidR="0087691F" w:rsidRPr="006B4363">
        <w:rPr>
          <w:rFonts w:eastAsia="Calibri" w:cs="Gautami"/>
          <w:sz w:val="20"/>
          <w:szCs w:val="20"/>
        </w:rPr>
        <w:t>these new arrangements, particularly as they have not yet been tested</w:t>
      </w:r>
      <w:r w:rsidR="00787066" w:rsidRPr="006B4363">
        <w:rPr>
          <w:rFonts w:eastAsia="Calibri" w:cs="Gautami"/>
          <w:sz w:val="20"/>
          <w:szCs w:val="20"/>
        </w:rPr>
        <w:t>.</w:t>
      </w:r>
    </w:p>
    <w:p w:rsidR="006B4363" w:rsidRPr="002C246C" w:rsidRDefault="006B4363" w:rsidP="006B4363">
      <w:pPr>
        <w:pStyle w:val="AERheading1"/>
        <w:pageBreakBefore w:val="0"/>
        <w:numPr>
          <w:ilvl w:val="0"/>
          <w:numId w:val="17"/>
        </w:numPr>
        <w:tabs>
          <w:tab w:val="clear" w:pos="0"/>
        </w:tabs>
        <w:rPr>
          <w:shd w:val="clear" w:color="auto" w:fill="C0C0C1"/>
        </w:rPr>
      </w:pPr>
      <w:r>
        <w:t>Market governance</w:t>
      </w:r>
    </w:p>
    <w:p w:rsidR="006263E1" w:rsidRPr="006B4363" w:rsidRDefault="006263E1" w:rsidP="006B4363">
      <w:pPr>
        <w:pStyle w:val="AERbodytext"/>
        <w:spacing w:line="276" w:lineRule="auto"/>
        <w:jc w:val="left"/>
        <w:rPr>
          <w:rFonts w:cs="Gautami"/>
          <w:sz w:val="20"/>
          <w:szCs w:val="20"/>
        </w:rPr>
      </w:pPr>
      <w:r w:rsidRPr="006B4363">
        <w:rPr>
          <w:rFonts w:cs="Gautami"/>
          <w:sz w:val="20"/>
          <w:szCs w:val="20"/>
        </w:rPr>
        <w:t>Draft Recommendation 46 outlines key governance recommendations covering a range of sectors, including energy. It states that:</w:t>
      </w:r>
    </w:p>
    <w:p w:rsidR="006263E1" w:rsidRPr="006B4363" w:rsidRDefault="006263E1" w:rsidP="006B4363">
      <w:pPr>
        <w:pStyle w:val="AERbodytext"/>
        <w:spacing w:line="276" w:lineRule="auto"/>
        <w:ind w:left="360"/>
        <w:jc w:val="left"/>
        <w:rPr>
          <w:rFonts w:cs="Gautami"/>
          <w:i/>
          <w:iCs/>
          <w:sz w:val="20"/>
          <w:szCs w:val="20"/>
        </w:rPr>
      </w:pPr>
      <w:r w:rsidRPr="006B4363">
        <w:rPr>
          <w:rFonts w:cs="Gautami"/>
          <w:i/>
          <w:iCs/>
          <w:sz w:val="20"/>
          <w:szCs w:val="20"/>
        </w:rPr>
        <w:t>The following regulatory functions should be transferred from the ACCC and the NCC and be undertaken within a single national access and pricing regulator:</w:t>
      </w:r>
    </w:p>
    <w:p w:rsidR="006263E1" w:rsidRPr="006B4363" w:rsidRDefault="006263E1" w:rsidP="006B4363">
      <w:pPr>
        <w:pStyle w:val="AERbodytext"/>
        <w:numPr>
          <w:ilvl w:val="0"/>
          <w:numId w:val="4"/>
        </w:numPr>
        <w:spacing w:line="276" w:lineRule="auto"/>
        <w:ind w:left="1080"/>
        <w:jc w:val="left"/>
        <w:rPr>
          <w:rFonts w:cs="Gautami"/>
          <w:i/>
          <w:iCs/>
          <w:sz w:val="20"/>
          <w:szCs w:val="20"/>
        </w:rPr>
      </w:pPr>
      <w:r w:rsidRPr="006B4363">
        <w:rPr>
          <w:rFonts w:cs="Gautami"/>
          <w:i/>
          <w:iCs/>
          <w:sz w:val="20"/>
          <w:szCs w:val="20"/>
        </w:rPr>
        <w:t>the powers given to the NCC and the ACCC under the National Access Regime;</w:t>
      </w:r>
    </w:p>
    <w:p w:rsidR="006263E1" w:rsidRPr="006B4363" w:rsidRDefault="006263E1" w:rsidP="006B4363">
      <w:pPr>
        <w:pStyle w:val="AERbodytext"/>
        <w:numPr>
          <w:ilvl w:val="0"/>
          <w:numId w:val="4"/>
        </w:numPr>
        <w:spacing w:line="276" w:lineRule="auto"/>
        <w:ind w:left="1080"/>
        <w:jc w:val="left"/>
        <w:rPr>
          <w:rFonts w:cs="Gautami"/>
          <w:i/>
          <w:iCs/>
          <w:sz w:val="20"/>
          <w:szCs w:val="20"/>
        </w:rPr>
      </w:pPr>
      <w:r w:rsidRPr="006B4363">
        <w:rPr>
          <w:rFonts w:cs="Gautami"/>
          <w:i/>
          <w:iCs/>
          <w:sz w:val="20"/>
          <w:szCs w:val="20"/>
        </w:rPr>
        <w:t>the powers given to the NCC under the National Gas Law;</w:t>
      </w:r>
    </w:p>
    <w:p w:rsidR="006263E1" w:rsidRPr="006B4363" w:rsidRDefault="006263E1" w:rsidP="006B4363">
      <w:pPr>
        <w:pStyle w:val="AERbodytext"/>
        <w:numPr>
          <w:ilvl w:val="0"/>
          <w:numId w:val="4"/>
        </w:numPr>
        <w:spacing w:line="276" w:lineRule="auto"/>
        <w:ind w:left="1080"/>
        <w:jc w:val="left"/>
        <w:rPr>
          <w:rFonts w:cs="Gautami"/>
          <w:i/>
          <w:iCs/>
          <w:sz w:val="20"/>
          <w:szCs w:val="20"/>
        </w:rPr>
      </w:pPr>
      <w:r w:rsidRPr="006B4363">
        <w:rPr>
          <w:rFonts w:cs="Gautami"/>
          <w:i/>
          <w:iCs/>
          <w:sz w:val="20"/>
          <w:szCs w:val="20"/>
        </w:rPr>
        <w:t>the functions undertaken by the Australian Energy Regulator under the National Electricity Law and the National Gas Law;</w:t>
      </w:r>
    </w:p>
    <w:p w:rsidR="006263E1" w:rsidRPr="006B4363" w:rsidRDefault="006263E1" w:rsidP="006B4363">
      <w:pPr>
        <w:pStyle w:val="AERbodytext"/>
        <w:numPr>
          <w:ilvl w:val="0"/>
          <w:numId w:val="4"/>
        </w:numPr>
        <w:spacing w:line="276" w:lineRule="auto"/>
        <w:ind w:left="1080"/>
        <w:jc w:val="left"/>
        <w:rPr>
          <w:rFonts w:cs="Gautami"/>
          <w:i/>
          <w:iCs/>
          <w:sz w:val="20"/>
          <w:szCs w:val="20"/>
        </w:rPr>
      </w:pPr>
      <w:r w:rsidRPr="006B4363">
        <w:rPr>
          <w:rFonts w:cs="Gautami"/>
          <w:i/>
          <w:iCs/>
          <w:sz w:val="20"/>
          <w:szCs w:val="20"/>
        </w:rPr>
        <w:t>the telecommunications access and pricing functions of the ACCC;</w:t>
      </w:r>
    </w:p>
    <w:p w:rsidR="006263E1" w:rsidRPr="006B4363" w:rsidRDefault="006263E1" w:rsidP="006B4363">
      <w:pPr>
        <w:pStyle w:val="AERbodytext"/>
        <w:numPr>
          <w:ilvl w:val="0"/>
          <w:numId w:val="4"/>
        </w:numPr>
        <w:spacing w:line="276" w:lineRule="auto"/>
        <w:ind w:left="1080"/>
        <w:jc w:val="left"/>
        <w:rPr>
          <w:rFonts w:cs="Gautami"/>
          <w:i/>
          <w:iCs/>
          <w:sz w:val="20"/>
          <w:szCs w:val="20"/>
        </w:rPr>
      </w:pPr>
      <w:proofErr w:type="gramStart"/>
      <w:r w:rsidRPr="006B4363">
        <w:rPr>
          <w:rFonts w:cs="Gautami"/>
          <w:i/>
          <w:iCs/>
          <w:sz w:val="20"/>
          <w:szCs w:val="20"/>
        </w:rPr>
        <w:t>price</w:t>
      </w:r>
      <w:proofErr w:type="gramEnd"/>
      <w:r w:rsidRPr="006B4363">
        <w:rPr>
          <w:rFonts w:cs="Gautami"/>
          <w:i/>
          <w:iCs/>
          <w:sz w:val="20"/>
          <w:szCs w:val="20"/>
        </w:rPr>
        <w:t xml:space="preserve"> regulation and related advisory roles under the Water Act 2007 (</w:t>
      </w:r>
      <w:proofErr w:type="spellStart"/>
      <w:r w:rsidRPr="006B4363">
        <w:rPr>
          <w:rFonts w:cs="Gautami"/>
          <w:i/>
          <w:iCs/>
          <w:sz w:val="20"/>
          <w:szCs w:val="20"/>
        </w:rPr>
        <w:t>Cth</w:t>
      </w:r>
      <w:proofErr w:type="spellEnd"/>
      <w:r w:rsidRPr="006B4363">
        <w:rPr>
          <w:rFonts w:cs="Gautami"/>
          <w:i/>
          <w:iCs/>
          <w:sz w:val="20"/>
          <w:szCs w:val="20"/>
        </w:rPr>
        <w:t>).</w:t>
      </w:r>
    </w:p>
    <w:p w:rsidR="006263E1" w:rsidRPr="006B4363" w:rsidRDefault="006263E1" w:rsidP="006B4363">
      <w:pPr>
        <w:pStyle w:val="AERbodytext"/>
        <w:spacing w:line="276" w:lineRule="auto"/>
        <w:ind w:left="360"/>
        <w:jc w:val="left"/>
        <w:rPr>
          <w:rFonts w:cs="Gautami"/>
          <w:i/>
          <w:iCs/>
          <w:sz w:val="20"/>
          <w:szCs w:val="20"/>
        </w:rPr>
      </w:pPr>
      <w:r w:rsidRPr="006B4363">
        <w:rPr>
          <w:rFonts w:cs="Gautami"/>
          <w:i/>
          <w:iCs/>
          <w:sz w:val="20"/>
          <w:szCs w:val="20"/>
        </w:rPr>
        <w:t>Consumer protection and competition functions should remain with the ACCC.</w:t>
      </w:r>
    </w:p>
    <w:p w:rsidR="00BE0C07" w:rsidRPr="006B4363" w:rsidRDefault="00412873" w:rsidP="006B4363">
      <w:pPr>
        <w:pStyle w:val="AERbodytext"/>
        <w:spacing w:line="276" w:lineRule="auto"/>
        <w:jc w:val="left"/>
        <w:rPr>
          <w:rFonts w:cs="Gautami"/>
          <w:sz w:val="20"/>
          <w:szCs w:val="20"/>
        </w:rPr>
      </w:pPr>
      <w:r w:rsidRPr="006B4363">
        <w:rPr>
          <w:rFonts w:cs="Gautami"/>
          <w:sz w:val="20"/>
          <w:szCs w:val="20"/>
        </w:rPr>
        <w:t xml:space="preserve">The proposal would involve splitting the AER’s responsibilities between </w:t>
      </w:r>
      <w:r w:rsidR="00582ECA" w:rsidRPr="006B4363">
        <w:rPr>
          <w:rFonts w:cs="Gautami"/>
          <w:sz w:val="20"/>
          <w:szCs w:val="20"/>
        </w:rPr>
        <w:t xml:space="preserve">a </w:t>
      </w:r>
      <w:r w:rsidRPr="006B4363">
        <w:rPr>
          <w:rFonts w:cs="Gautami"/>
          <w:sz w:val="20"/>
          <w:szCs w:val="20"/>
        </w:rPr>
        <w:t>new access and pricing regulator and the ACCC.</w:t>
      </w:r>
      <w:r w:rsidR="00590338" w:rsidRPr="006B4363">
        <w:rPr>
          <w:rFonts w:cs="Gautami"/>
          <w:sz w:val="20"/>
          <w:szCs w:val="20"/>
        </w:rPr>
        <w:t xml:space="preserve"> </w:t>
      </w:r>
    </w:p>
    <w:p w:rsidR="00BE0C07" w:rsidRPr="006B4363" w:rsidRDefault="00670859" w:rsidP="006B4363">
      <w:pPr>
        <w:pStyle w:val="AERbodytext"/>
        <w:spacing w:line="276" w:lineRule="auto"/>
        <w:jc w:val="left"/>
        <w:rPr>
          <w:rFonts w:cs="Gautami"/>
          <w:sz w:val="20"/>
          <w:szCs w:val="20"/>
        </w:rPr>
      </w:pPr>
      <w:r w:rsidRPr="006B4363">
        <w:rPr>
          <w:rFonts w:cs="Gautami"/>
          <w:sz w:val="20"/>
          <w:szCs w:val="20"/>
        </w:rPr>
        <w:lastRenderedPageBreak/>
        <w:t xml:space="preserve">Energy sector governance arrangements </w:t>
      </w:r>
      <w:r w:rsidR="00BE0C07" w:rsidRPr="006B4363">
        <w:rPr>
          <w:rFonts w:cs="Gautami"/>
          <w:sz w:val="20"/>
          <w:szCs w:val="20"/>
        </w:rPr>
        <w:t>have been raised in a number of reviews over the past two decades.</w:t>
      </w:r>
    </w:p>
    <w:p w:rsidR="00897F5D" w:rsidRPr="006B4363" w:rsidRDefault="006D667A" w:rsidP="006B4363">
      <w:pPr>
        <w:pStyle w:val="AERbodytext"/>
        <w:spacing w:line="276" w:lineRule="auto"/>
        <w:jc w:val="left"/>
        <w:rPr>
          <w:rFonts w:cs="Gautami"/>
          <w:sz w:val="20"/>
          <w:szCs w:val="20"/>
        </w:rPr>
      </w:pPr>
      <w:r w:rsidRPr="006B4363">
        <w:rPr>
          <w:rFonts w:cs="Gautami"/>
          <w:sz w:val="20"/>
          <w:szCs w:val="20"/>
        </w:rPr>
        <w:t xml:space="preserve">As you would be aware, the </w:t>
      </w:r>
      <w:proofErr w:type="spellStart"/>
      <w:r w:rsidRPr="006B4363">
        <w:rPr>
          <w:rFonts w:cs="Gautami"/>
          <w:sz w:val="20"/>
          <w:szCs w:val="20"/>
        </w:rPr>
        <w:t>Hilmer</w:t>
      </w:r>
      <w:proofErr w:type="spellEnd"/>
      <w:r w:rsidRPr="006B4363">
        <w:rPr>
          <w:rFonts w:cs="Gautami"/>
          <w:sz w:val="20"/>
          <w:szCs w:val="20"/>
        </w:rPr>
        <w:t xml:space="preserve"> review envisaged a multi-sector regulator. Consistent with these findings, the ACCC became responsible for regulating electricity transmission networks and gas pipelines and for authorising the </w:t>
      </w:r>
      <w:r w:rsidR="00D20993">
        <w:rPr>
          <w:rFonts w:cs="Gautami"/>
          <w:sz w:val="20"/>
          <w:szCs w:val="20"/>
        </w:rPr>
        <w:t>National Electricity Market (</w:t>
      </w:r>
      <w:r w:rsidRPr="006B4363">
        <w:rPr>
          <w:rFonts w:cs="Gautami"/>
          <w:sz w:val="20"/>
          <w:szCs w:val="20"/>
        </w:rPr>
        <w:t>NEM</w:t>
      </w:r>
      <w:r w:rsidR="00D20993">
        <w:rPr>
          <w:rFonts w:cs="Gautami"/>
          <w:sz w:val="20"/>
          <w:szCs w:val="20"/>
        </w:rPr>
        <w:t>)</w:t>
      </w:r>
      <w:r w:rsidRPr="006B4363">
        <w:rPr>
          <w:rFonts w:cs="Gautami"/>
          <w:sz w:val="20"/>
          <w:szCs w:val="20"/>
        </w:rPr>
        <w:t xml:space="preserve"> Code of Conduct, with the States retaining distribution and retail responsibilities.</w:t>
      </w:r>
    </w:p>
    <w:p w:rsidR="00897F5D" w:rsidRPr="006B4363" w:rsidRDefault="006D667A" w:rsidP="006B4363">
      <w:pPr>
        <w:pStyle w:val="AERbodytext"/>
        <w:spacing w:line="276" w:lineRule="auto"/>
        <w:jc w:val="left"/>
        <w:rPr>
          <w:rFonts w:cs="Gautami"/>
          <w:sz w:val="20"/>
          <w:szCs w:val="20"/>
        </w:rPr>
      </w:pPr>
      <w:proofErr w:type="gramStart"/>
      <w:r w:rsidRPr="006B4363">
        <w:rPr>
          <w:rFonts w:cs="Gautami"/>
          <w:sz w:val="20"/>
          <w:szCs w:val="20"/>
        </w:rPr>
        <w:t xml:space="preserve">In 2002, a review chaired by the late Warwick </w:t>
      </w:r>
      <w:proofErr w:type="spellStart"/>
      <w:r w:rsidRPr="006B4363">
        <w:rPr>
          <w:rFonts w:cs="Gautami"/>
          <w:sz w:val="20"/>
          <w:szCs w:val="20"/>
        </w:rPr>
        <w:t>Parer</w:t>
      </w:r>
      <w:proofErr w:type="spellEnd"/>
      <w:r w:rsidRPr="006B4363">
        <w:rPr>
          <w:rFonts w:cs="Gautami"/>
          <w:sz w:val="20"/>
          <w:szCs w:val="20"/>
        </w:rPr>
        <w:t xml:space="preserve"> highlighted ‘widespread unease’ </w:t>
      </w:r>
      <w:r w:rsidR="002F6230" w:rsidRPr="006B4363">
        <w:rPr>
          <w:rFonts w:cs="Gautami"/>
          <w:sz w:val="20"/>
          <w:szCs w:val="20"/>
        </w:rPr>
        <w:t xml:space="preserve">with </w:t>
      </w:r>
      <w:r w:rsidR="00D018AD">
        <w:rPr>
          <w:rFonts w:cs="Gautami"/>
          <w:sz w:val="20"/>
          <w:szCs w:val="20"/>
        </w:rPr>
        <w:t xml:space="preserve">these </w:t>
      </w:r>
      <w:r w:rsidR="00E54FDC">
        <w:rPr>
          <w:rFonts w:cs="Gautami"/>
          <w:sz w:val="20"/>
          <w:szCs w:val="20"/>
        </w:rPr>
        <w:t xml:space="preserve">regulatory </w:t>
      </w:r>
      <w:r w:rsidRPr="006B4363">
        <w:rPr>
          <w:rFonts w:cs="Gautami"/>
          <w:sz w:val="20"/>
          <w:szCs w:val="20"/>
        </w:rPr>
        <w:t>arrangements.</w:t>
      </w:r>
      <w:proofErr w:type="gramEnd"/>
      <w:r w:rsidRPr="006B4363">
        <w:rPr>
          <w:rStyle w:val="FootnoteReference"/>
          <w:rFonts w:cs="Gautami"/>
          <w:sz w:val="20"/>
          <w:szCs w:val="20"/>
        </w:rPr>
        <w:footnoteReference w:id="1"/>
      </w:r>
      <w:r w:rsidRPr="006B4363">
        <w:rPr>
          <w:rFonts w:cs="Gautami"/>
          <w:sz w:val="20"/>
          <w:szCs w:val="20"/>
        </w:rPr>
        <w:t xml:space="preserve"> In part, the review</w:t>
      </w:r>
      <w:r w:rsidR="00F61FA2" w:rsidRPr="006B4363">
        <w:rPr>
          <w:rFonts w:cs="Gautami"/>
          <w:sz w:val="20"/>
          <w:szCs w:val="20"/>
        </w:rPr>
        <w:t xml:space="preserve"> highlighted that</w:t>
      </w:r>
      <w:r w:rsidR="00897F5D" w:rsidRPr="006B4363">
        <w:rPr>
          <w:rFonts w:cs="Gautami"/>
          <w:sz w:val="20"/>
          <w:szCs w:val="20"/>
        </w:rPr>
        <w:t>:</w:t>
      </w:r>
    </w:p>
    <w:p w:rsidR="0010199C" w:rsidRPr="006B4363" w:rsidRDefault="00F61FA2" w:rsidP="006B4363">
      <w:pPr>
        <w:pStyle w:val="AERbodytext"/>
        <w:numPr>
          <w:ilvl w:val="0"/>
          <w:numId w:val="9"/>
        </w:numPr>
        <w:spacing w:line="276" w:lineRule="auto"/>
        <w:jc w:val="left"/>
        <w:rPr>
          <w:rFonts w:cs="Gautami"/>
          <w:sz w:val="20"/>
          <w:szCs w:val="20"/>
        </w:rPr>
      </w:pPr>
      <w:r w:rsidRPr="006B4363">
        <w:rPr>
          <w:rFonts w:cs="Gautami"/>
          <w:sz w:val="20"/>
          <w:szCs w:val="20"/>
        </w:rPr>
        <w:t>there were too many regulators, which created barriers to entry and increased compliance costs</w:t>
      </w:r>
      <w:r w:rsidR="00D018AD">
        <w:rPr>
          <w:rFonts w:cs="Gautami"/>
          <w:sz w:val="20"/>
          <w:szCs w:val="20"/>
        </w:rPr>
        <w:t>, and</w:t>
      </w:r>
    </w:p>
    <w:p w:rsidR="00F61FA2" w:rsidRPr="006B4363" w:rsidRDefault="00F61FA2" w:rsidP="006B4363">
      <w:pPr>
        <w:pStyle w:val="AERbodytext"/>
        <w:numPr>
          <w:ilvl w:val="0"/>
          <w:numId w:val="9"/>
        </w:numPr>
        <w:spacing w:line="276" w:lineRule="auto"/>
        <w:jc w:val="left"/>
        <w:rPr>
          <w:rFonts w:cs="Gautami"/>
          <w:sz w:val="20"/>
          <w:szCs w:val="20"/>
        </w:rPr>
      </w:pPr>
      <w:proofErr w:type="gramStart"/>
      <w:r w:rsidRPr="006B4363">
        <w:rPr>
          <w:rFonts w:cs="Gautami"/>
          <w:sz w:val="20"/>
          <w:szCs w:val="20"/>
        </w:rPr>
        <w:t>key</w:t>
      </w:r>
      <w:proofErr w:type="gramEnd"/>
      <w:r w:rsidRPr="006B4363">
        <w:rPr>
          <w:rFonts w:cs="Gautami"/>
          <w:sz w:val="20"/>
          <w:szCs w:val="20"/>
        </w:rPr>
        <w:t xml:space="preserve"> electricity governing bodies had overlapping responsibilities</w:t>
      </w:r>
      <w:r w:rsidR="00D018AD">
        <w:rPr>
          <w:rFonts w:cs="Gautami"/>
          <w:sz w:val="20"/>
          <w:szCs w:val="20"/>
        </w:rPr>
        <w:t>.</w:t>
      </w:r>
      <w:r w:rsidRPr="006B4363">
        <w:rPr>
          <w:rFonts w:cs="Gautami"/>
          <w:sz w:val="20"/>
          <w:szCs w:val="20"/>
        </w:rPr>
        <w:t xml:space="preserve"> </w:t>
      </w:r>
    </w:p>
    <w:p w:rsidR="00897F5D" w:rsidRPr="006B4363" w:rsidRDefault="00897F5D" w:rsidP="006B4363">
      <w:pPr>
        <w:pStyle w:val="AERbodytext"/>
        <w:spacing w:line="276" w:lineRule="auto"/>
        <w:jc w:val="left"/>
        <w:rPr>
          <w:rFonts w:cs="Gautami"/>
          <w:sz w:val="20"/>
          <w:szCs w:val="20"/>
        </w:rPr>
      </w:pPr>
      <w:proofErr w:type="spellStart"/>
      <w:r w:rsidRPr="006B4363">
        <w:rPr>
          <w:rFonts w:cs="Gautami"/>
          <w:sz w:val="20"/>
          <w:szCs w:val="20"/>
        </w:rPr>
        <w:t>Parer</w:t>
      </w:r>
      <w:proofErr w:type="spellEnd"/>
      <w:r w:rsidRPr="006B4363">
        <w:rPr>
          <w:rFonts w:cs="Gautami"/>
          <w:sz w:val="20"/>
          <w:szCs w:val="20"/>
        </w:rPr>
        <w:t xml:space="preserve"> recommended the creation of a national energy regulator to address these problems.</w:t>
      </w:r>
      <w:r w:rsidR="00D018AD">
        <w:rPr>
          <w:rFonts w:cs="Gautami"/>
          <w:sz w:val="20"/>
          <w:szCs w:val="20"/>
        </w:rPr>
        <w:t xml:space="preserve"> While </w:t>
      </w:r>
      <w:proofErr w:type="spellStart"/>
      <w:r w:rsidR="00D018AD">
        <w:rPr>
          <w:rFonts w:cs="Gautami"/>
          <w:sz w:val="20"/>
          <w:szCs w:val="20"/>
        </w:rPr>
        <w:t>Pa</w:t>
      </w:r>
      <w:r w:rsidR="00C17F97">
        <w:rPr>
          <w:rFonts w:cs="Gautami"/>
          <w:sz w:val="20"/>
          <w:szCs w:val="20"/>
        </w:rPr>
        <w:t>r</w:t>
      </w:r>
      <w:r w:rsidR="00D018AD">
        <w:rPr>
          <w:rFonts w:cs="Gautami"/>
          <w:sz w:val="20"/>
          <w:szCs w:val="20"/>
        </w:rPr>
        <w:t>er</w:t>
      </w:r>
      <w:proofErr w:type="spellEnd"/>
      <w:r w:rsidR="00D018AD">
        <w:rPr>
          <w:rFonts w:cs="Gautami"/>
          <w:sz w:val="20"/>
          <w:szCs w:val="20"/>
        </w:rPr>
        <w:t xml:space="preserve"> </w:t>
      </w:r>
      <w:r w:rsidR="00C17F97">
        <w:rPr>
          <w:rFonts w:cs="Gautami"/>
          <w:sz w:val="20"/>
          <w:szCs w:val="20"/>
        </w:rPr>
        <w:t xml:space="preserve">argued that </w:t>
      </w:r>
      <w:r w:rsidR="00D018AD">
        <w:rPr>
          <w:rFonts w:cs="Gautami"/>
          <w:sz w:val="20"/>
          <w:szCs w:val="20"/>
        </w:rPr>
        <w:t>the most appropriate approach was for a separate energy sector-specific agency</w:t>
      </w:r>
      <w:r w:rsidR="00DE7AD5">
        <w:rPr>
          <w:rFonts w:cs="Gautami"/>
          <w:sz w:val="20"/>
          <w:szCs w:val="20"/>
        </w:rPr>
        <w:t xml:space="preserve">, he noted that the location of the regulator was not the key issue. The key issue was that there be </w:t>
      </w:r>
      <w:r w:rsidR="00D018AD" w:rsidRPr="006B4363">
        <w:rPr>
          <w:rFonts w:cs="Gautami"/>
          <w:sz w:val="20"/>
          <w:szCs w:val="20"/>
        </w:rPr>
        <w:t xml:space="preserve">a single electricity and gas regulator with a ‘charter that extends to distribution and </w:t>
      </w:r>
      <w:r w:rsidR="00DE7AD5">
        <w:rPr>
          <w:rFonts w:cs="Gautami"/>
          <w:sz w:val="20"/>
          <w:szCs w:val="20"/>
        </w:rPr>
        <w:t xml:space="preserve">retail functions.’ Subsequently, the AER was formed as a specialist energy regulator with </w:t>
      </w:r>
      <w:r w:rsidR="00324B8D">
        <w:rPr>
          <w:rFonts w:cs="Gautami"/>
          <w:sz w:val="20"/>
          <w:szCs w:val="20"/>
        </w:rPr>
        <w:t xml:space="preserve">its resources provided </w:t>
      </w:r>
      <w:r w:rsidR="009927CF">
        <w:rPr>
          <w:rFonts w:cs="Gautami"/>
          <w:sz w:val="20"/>
          <w:szCs w:val="20"/>
        </w:rPr>
        <w:t>through</w:t>
      </w:r>
      <w:r w:rsidR="00DE7AD5">
        <w:rPr>
          <w:rFonts w:cs="Gautami"/>
          <w:sz w:val="20"/>
          <w:szCs w:val="20"/>
        </w:rPr>
        <w:t xml:space="preserve"> the ACCC.</w:t>
      </w:r>
    </w:p>
    <w:p w:rsidR="007332D8" w:rsidRPr="006B4363" w:rsidRDefault="006B4363" w:rsidP="006B4363">
      <w:pPr>
        <w:pStyle w:val="AERheading2"/>
        <w:numPr>
          <w:ilvl w:val="0"/>
          <w:numId w:val="0"/>
        </w:numPr>
        <w:spacing w:before="360" w:after="240"/>
        <w:ind w:hanging="709"/>
        <w:rPr>
          <w:rFonts w:cs="Gautami"/>
          <w:b w:val="0"/>
          <w:sz w:val="20"/>
          <w:szCs w:val="20"/>
        </w:rPr>
      </w:pPr>
      <w:r>
        <w:t>2.1</w:t>
      </w:r>
      <w:r>
        <w:tab/>
        <w:t>AER functions</w:t>
      </w:r>
    </w:p>
    <w:p w:rsidR="00897F5D" w:rsidRPr="006B4363" w:rsidRDefault="00897F5D" w:rsidP="006B4363">
      <w:pPr>
        <w:pStyle w:val="AERbodytext"/>
        <w:spacing w:line="276" w:lineRule="auto"/>
        <w:jc w:val="left"/>
        <w:rPr>
          <w:rFonts w:cs="Gautami"/>
          <w:sz w:val="20"/>
          <w:szCs w:val="20"/>
        </w:rPr>
      </w:pPr>
      <w:r w:rsidRPr="006B4363">
        <w:rPr>
          <w:rFonts w:cs="Gautami"/>
          <w:sz w:val="20"/>
          <w:szCs w:val="20"/>
        </w:rPr>
        <w:t xml:space="preserve">Over the past decade, the AER has progressively assumed greater regulatory responsibility. When the AER commenced operation in 2005, it was responsible for electricity transmission and wholesale market oversight. From </w:t>
      </w:r>
      <w:r w:rsidRPr="00596A3B">
        <w:rPr>
          <w:rFonts w:cs="Gautami"/>
          <w:sz w:val="20"/>
          <w:szCs w:val="20"/>
        </w:rPr>
        <w:t>2007</w:t>
      </w:r>
      <w:r w:rsidRPr="006B4363">
        <w:rPr>
          <w:rFonts w:cs="Gautami"/>
          <w:sz w:val="20"/>
          <w:szCs w:val="20"/>
        </w:rPr>
        <w:t xml:space="preserve">, it assumed responsibility for </w:t>
      </w:r>
      <w:r w:rsidR="007B6420">
        <w:rPr>
          <w:rFonts w:cs="Gautami"/>
          <w:sz w:val="20"/>
          <w:szCs w:val="20"/>
        </w:rPr>
        <w:t xml:space="preserve">electricity </w:t>
      </w:r>
      <w:r w:rsidRPr="006B4363">
        <w:rPr>
          <w:rFonts w:cs="Gautami"/>
          <w:sz w:val="20"/>
          <w:szCs w:val="20"/>
        </w:rPr>
        <w:t xml:space="preserve">distribution regulation. </w:t>
      </w:r>
      <w:r w:rsidR="007B6420">
        <w:rPr>
          <w:rFonts w:cs="Gautami"/>
          <w:sz w:val="20"/>
          <w:szCs w:val="20"/>
        </w:rPr>
        <w:t xml:space="preserve">In gas, the AER assumed responsibility for gas market oversight and network regulation progressively from 2008. More recently, retail regulation roles have come across to the AER. </w:t>
      </w:r>
      <w:r w:rsidRPr="006B4363">
        <w:rPr>
          <w:rFonts w:cs="Gautami"/>
          <w:sz w:val="20"/>
          <w:szCs w:val="20"/>
        </w:rPr>
        <w:t>From 2012</w:t>
      </w:r>
      <w:r w:rsidR="007B6420">
        <w:rPr>
          <w:rFonts w:cs="Gautami"/>
          <w:sz w:val="20"/>
          <w:szCs w:val="20"/>
        </w:rPr>
        <w:t>, the AER</w:t>
      </w:r>
      <w:r w:rsidRPr="006B4363">
        <w:rPr>
          <w:rFonts w:cs="Gautami"/>
          <w:sz w:val="20"/>
          <w:szCs w:val="20"/>
        </w:rPr>
        <w:t xml:space="preserve"> has progressively assumed responsibility for retail market </w:t>
      </w:r>
      <w:r w:rsidR="00DE7AD5">
        <w:rPr>
          <w:rFonts w:cs="Gautami"/>
          <w:sz w:val="20"/>
          <w:szCs w:val="20"/>
        </w:rPr>
        <w:t xml:space="preserve">regulation </w:t>
      </w:r>
      <w:r w:rsidRPr="006B4363">
        <w:rPr>
          <w:rFonts w:cs="Gautami"/>
          <w:sz w:val="20"/>
          <w:szCs w:val="20"/>
        </w:rPr>
        <w:t xml:space="preserve">in the ACT, Tasmania, South Australia and New South Wales. This </w:t>
      </w:r>
      <w:r w:rsidR="0057648F" w:rsidRPr="006B4363">
        <w:rPr>
          <w:rFonts w:cs="Gautami"/>
          <w:sz w:val="20"/>
          <w:szCs w:val="20"/>
        </w:rPr>
        <w:t xml:space="preserve">retail </w:t>
      </w:r>
      <w:r w:rsidRPr="006B4363">
        <w:rPr>
          <w:rFonts w:cs="Gautami"/>
          <w:sz w:val="20"/>
          <w:szCs w:val="20"/>
        </w:rPr>
        <w:t xml:space="preserve">regulatory role is expected to include Queensland and Victoria from 2015. </w:t>
      </w:r>
    </w:p>
    <w:p w:rsidR="007332D8" w:rsidRPr="006B4363" w:rsidRDefault="0057648F" w:rsidP="006B4363">
      <w:pPr>
        <w:pStyle w:val="AERbodytext"/>
        <w:spacing w:line="276" w:lineRule="auto"/>
        <w:jc w:val="left"/>
        <w:rPr>
          <w:rFonts w:cs="Gautami"/>
          <w:sz w:val="20"/>
          <w:szCs w:val="20"/>
        </w:rPr>
      </w:pPr>
      <w:r w:rsidRPr="006B4363">
        <w:rPr>
          <w:rFonts w:cs="Gautami"/>
          <w:sz w:val="20"/>
          <w:szCs w:val="20"/>
        </w:rPr>
        <w:t xml:space="preserve">As a result, the </w:t>
      </w:r>
      <w:r w:rsidR="005D1593" w:rsidRPr="006B4363">
        <w:rPr>
          <w:rFonts w:cs="Gautami"/>
          <w:sz w:val="20"/>
          <w:szCs w:val="20"/>
        </w:rPr>
        <w:t xml:space="preserve">AER </w:t>
      </w:r>
      <w:r w:rsidRPr="006B4363">
        <w:rPr>
          <w:rFonts w:cs="Gautami"/>
          <w:sz w:val="20"/>
          <w:szCs w:val="20"/>
        </w:rPr>
        <w:t xml:space="preserve">now </w:t>
      </w:r>
      <w:r w:rsidR="005D1593" w:rsidRPr="006B4363">
        <w:rPr>
          <w:rFonts w:cs="Gautami"/>
          <w:sz w:val="20"/>
          <w:szCs w:val="20"/>
        </w:rPr>
        <w:t xml:space="preserve">has </w:t>
      </w:r>
      <w:r w:rsidRPr="006B4363">
        <w:rPr>
          <w:rFonts w:cs="Gautami"/>
          <w:sz w:val="20"/>
          <w:szCs w:val="20"/>
        </w:rPr>
        <w:t xml:space="preserve">broad </w:t>
      </w:r>
      <w:r w:rsidR="005D1593" w:rsidRPr="006B4363">
        <w:rPr>
          <w:rFonts w:cs="Gautami"/>
          <w:sz w:val="20"/>
          <w:szCs w:val="20"/>
        </w:rPr>
        <w:t>responsibilities covering energy networks, wholesale energy markets and retail energy markets.</w:t>
      </w:r>
    </w:p>
    <w:p w:rsidR="00412873" w:rsidRPr="006B4363" w:rsidRDefault="005D1593" w:rsidP="006B4363">
      <w:pPr>
        <w:pStyle w:val="AERbodytext"/>
        <w:spacing w:line="276" w:lineRule="auto"/>
        <w:jc w:val="left"/>
        <w:rPr>
          <w:rFonts w:cs="Gautami"/>
          <w:i/>
          <w:sz w:val="20"/>
          <w:szCs w:val="20"/>
        </w:rPr>
      </w:pPr>
      <w:r w:rsidRPr="006B4363">
        <w:rPr>
          <w:rFonts w:cs="Gautami"/>
          <w:i/>
          <w:sz w:val="20"/>
          <w:szCs w:val="20"/>
        </w:rPr>
        <w:t>Energy networks</w:t>
      </w:r>
    </w:p>
    <w:p w:rsidR="005D1593" w:rsidRPr="006B4363" w:rsidRDefault="005D1593" w:rsidP="006B4363">
      <w:pPr>
        <w:pStyle w:val="AERbodytext"/>
        <w:spacing w:line="276" w:lineRule="auto"/>
        <w:jc w:val="left"/>
        <w:rPr>
          <w:rFonts w:cs="Gautami"/>
          <w:sz w:val="20"/>
          <w:szCs w:val="20"/>
        </w:rPr>
      </w:pPr>
      <w:r w:rsidRPr="006B4363">
        <w:rPr>
          <w:rFonts w:cs="Gautami"/>
          <w:sz w:val="20"/>
          <w:szCs w:val="20"/>
        </w:rPr>
        <w:t>The AER has two broad roles in relation to energy networks</w:t>
      </w:r>
      <w:r w:rsidR="002253F7" w:rsidRPr="006B4363">
        <w:rPr>
          <w:rFonts w:cs="Gautami"/>
          <w:sz w:val="20"/>
          <w:szCs w:val="20"/>
        </w:rPr>
        <w:t>, both related to its role as economic regulator</w:t>
      </w:r>
      <w:r w:rsidRPr="006B4363">
        <w:rPr>
          <w:rFonts w:cs="Gautami"/>
          <w:sz w:val="20"/>
          <w:szCs w:val="20"/>
        </w:rPr>
        <w:t>.</w:t>
      </w:r>
    </w:p>
    <w:p w:rsidR="001B7699" w:rsidRPr="006B4363" w:rsidRDefault="005D1593" w:rsidP="006B4363">
      <w:pPr>
        <w:pStyle w:val="AERbodytext"/>
        <w:spacing w:line="276" w:lineRule="auto"/>
        <w:jc w:val="left"/>
        <w:rPr>
          <w:rFonts w:cs="Gautami"/>
          <w:sz w:val="20"/>
          <w:szCs w:val="20"/>
          <w:lang w:val="en-GB"/>
        </w:rPr>
      </w:pPr>
      <w:r w:rsidRPr="006B4363">
        <w:rPr>
          <w:rFonts w:cs="Gautami"/>
          <w:sz w:val="20"/>
          <w:szCs w:val="20"/>
        </w:rPr>
        <w:t xml:space="preserve">First, the AER </w:t>
      </w:r>
      <w:r w:rsidR="003516F1" w:rsidRPr="006B4363">
        <w:rPr>
          <w:rFonts w:cs="Gautami"/>
          <w:sz w:val="20"/>
          <w:szCs w:val="20"/>
        </w:rPr>
        <w:t xml:space="preserve">regulates </w:t>
      </w:r>
      <w:r w:rsidRPr="006B4363">
        <w:rPr>
          <w:rFonts w:cs="Gautami"/>
          <w:sz w:val="20"/>
          <w:szCs w:val="20"/>
        </w:rPr>
        <w:t xml:space="preserve">the amount of revenue that </w:t>
      </w:r>
      <w:r w:rsidR="0079566C" w:rsidRPr="006B4363">
        <w:rPr>
          <w:rFonts w:cs="Gautami"/>
          <w:sz w:val="20"/>
          <w:szCs w:val="20"/>
        </w:rPr>
        <w:t>network businesses can recover</w:t>
      </w:r>
      <w:r w:rsidR="003516F1" w:rsidRPr="006B4363">
        <w:rPr>
          <w:rFonts w:cs="Gautami"/>
          <w:sz w:val="20"/>
          <w:szCs w:val="20"/>
        </w:rPr>
        <w:t xml:space="preserve"> from their customers in the form of network charges</w:t>
      </w:r>
      <w:r w:rsidR="0079566C" w:rsidRPr="006B4363">
        <w:rPr>
          <w:rFonts w:cs="Gautami"/>
          <w:sz w:val="20"/>
          <w:szCs w:val="20"/>
        </w:rPr>
        <w:t>.</w:t>
      </w:r>
      <w:r w:rsidR="001B7699" w:rsidRPr="006B4363">
        <w:rPr>
          <w:rFonts w:cs="Gautami"/>
          <w:sz w:val="20"/>
          <w:szCs w:val="20"/>
        </w:rPr>
        <w:t xml:space="preserve"> </w:t>
      </w:r>
      <w:r w:rsidR="001B7699" w:rsidRPr="006B4363">
        <w:rPr>
          <w:rFonts w:cs="Gautami"/>
          <w:sz w:val="20"/>
          <w:szCs w:val="20"/>
          <w:lang w:val="en-GB"/>
        </w:rPr>
        <w:t xml:space="preserve">Network businesses must periodically (typically every five years) submit regulatory proposals (electricity) and proposed access arrangements (gas) to us for approval. We assess the proposals and justify our pricing decisions against the relevant legislative criteria. </w:t>
      </w:r>
    </w:p>
    <w:p w:rsidR="005D1593" w:rsidRPr="006B4363" w:rsidRDefault="001B7699" w:rsidP="006B4363">
      <w:pPr>
        <w:pStyle w:val="AERbodytext"/>
        <w:spacing w:line="276" w:lineRule="auto"/>
        <w:jc w:val="left"/>
        <w:rPr>
          <w:rFonts w:cs="Gautami"/>
          <w:sz w:val="20"/>
          <w:szCs w:val="20"/>
        </w:rPr>
      </w:pPr>
      <w:r w:rsidRPr="006B4363">
        <w:rPr>
          <w:rFonts w:cs="Gautami"/>
          <w:sz w:val="20"/>
          <w:szCs w:val="20"/>
        </w:rPr>
        <w:t>Second, the AER has a networks oversight role</w:t>
      </w:r>
      <w:r w:rsidR="003516F1" w:rsidRPr="006B4363">
        <w:rPr>
          <w:rFonts w:cs="Gautami"/>
          <w:sz w:val="20"/>
          <w:szCs w:val="20"/>
        </w:rPr>
        <w:t xml:space="preserve"> which complements its revenue regulation role</w:t>
      </w:r>
      <w:r w:rsidRPr="006B4363">
        <w:rPr>
          <w:rFonts w:cs="Gautami"/>
          <w:sz w:val="20"/>
          <w:szCs w:val="20"/>
        </w:rPr>
        <w:t>. This role includes:</w:t>
      </w:r>
    </w:p>
    <w:p w:rsidR="001B7699" w:rsidRPr="006B4363" w:rsidRDefault="001B7699" w:rsidP="006B4363">
      <w:pPr>
        <w:pStyle w:val="AERbodytext"/>
        <w:numPr>
          <w:ilvl w:val="0"/>
          <w:numId w:val="5"/>
        </w:numPr>
        <w:spacing w:line="276" w:lineRule="auto"/>
        <w:jc w:val="left"/>
        <w:rPr>
          <w:rFonts w:cs="Gautami"/>
          <w:sz w:val="20"/>
          <w:szCs w:val="20"/>
        </w:rPr>
      </w:pPr>
      <w:r w:rsidRPr="006B4363">
        <w:rPr>
          <w:rFonts w:cs="Gautami"/>
          <w:sz w:val="20"/>
          <w:szCs w:val="20"/>
        </w:rPr>
        <w:lastRenderedPageBreak/>
        <w:t>tariff assessment—We review network tariffs for electricity distribution businesses, and for gas transmission and distribution businesses, annually</w:t>
      </w:r>
      <w:r w:rsidR="003516F1" w:rsidRPr="006B4363">
        <w:rPr>
          <w:rFonts w:cs="Gautami"/>
          <w:sz w:val="20"/>
          <w:szCs w:val="20"/>
        </w:rPr>
        <w:t xml:space="preserve"> to ensure they are consistent with the revenue controls that have been set in our pricing decisions and meet other pricing principles related to efficiency and other considerations</w:t>
      </w:r>
    </w:p>
    <w:p w:rsidR="001B7699" w:rsidRPr="006B4363" w:rsidRDefault="001B7699" w:rsidP="006B4363">
      <w:pPr>
        <w:pStyle w:val="AERbodytext"/>
        <w:numPr>
          <w:ilvl w:val="0"/>
          <w:numId w:val="5"/>
        </w:numPr>
        <w:spacing w:line="276" w:lineRule="auto"/>
        <w:jc w:val="left"/>
        <w:rPr>
          <w:rFonts w:cs="Gautami"/>
          <w:sz w:val="20"/>
          <w:szCs w:val="20"/>
        </w:rPr>
      </w:pPr>
      <w:proofErr w:type="gramStart"/>
      <w:r w:rsidRPr="006B4363">
        <w:rPr>
          <w:rFonts w:cs="Gautami"/>
          <w:sz w:val="20"/>
          <w:szCs w:val="20"/>
        </w:rPr>
        <w:t>cost</w:t>
      </w:r>
      <w:proofErr w:type="gramEnd"/>
      <w:r w:rsidRPr="006B4363">
        <w:rPr>
          <w:rFonts w:cs="Gautami"/>
          <w:sz w:val="20"/>
          <w:szCs w:val="20"/>
        </w:rPr>
        <w:t xml:space="preserve"> pass throughs—A network business can apply to pass through to customers costs arising from events outside its control and not anticipated when its price determination was made. We assess these pass through requests</w:t>
      </w:r>
    </w:p>
    <w:p w:rsidR="001B7699" w:rsidRPr="006B4363" w:rsidRDefault="001B7699" w:rsidP="006B4363">
      <w:pPr>
        <w:pStyle w:val="AERbodytext"/>
        <w:numPr>
          <w:ilvl w:val="0"/>
          <w:numId w:val="5"/>
        </w:numPr>
        <w:spacing w:line="276" w:lineRule="auto"/>
        <w:jc w:val="left"/>
        <w:rPr>
          <w:rFonts w:cs="Gautami"/>
          <w:sz w:val="20"/>
          <w:szCs w:val="20"/>
        </w:rPr>
      </w:pPr>
      <w:proofErr w:type="gramStart"/>
      <w:r w:rsidRPr="006B4363">
        <w:rPr>
          <w:rFonts w:cs="Gautami"/>
          <w:sz w:val="20"/>
          <w:szCs w:val="20"/>
        </w:rPr>
        <w:t>guideline</w:t>
      </w:r>
      <w:proofErr w:type="gramEnd"/>
      <w:r w:rsidRPr="006B4363">
        <w:rPr>
          <w:rFonts w:cs="Gautami"/>
          <w:sz w:val="20"/>
          <w:szCs w:val="20"/>
        </w:rPr>
        <w:t xml:space="preserve"> development—Our approach to </w:t>
      </w:r>
      <w:r w:rsidR="003516F1" w:rsidRPr="006B4363">
        <w:rPr>
          <w:rFonts w:cs="Gautami"/>
          <w:sz w:val="20"/>
          <w:szCs w:val="20"/>
        </w:rPr>
        <w:t xml:space="preserve">economic </w:t>
      </w:r>
      <w:r w:rsidRPr="006B4363">
        <w:rPr>
          <w:rFonts w:cs="Gautami"/>
          <w:sz w:val="20"/>
          <w:szCs w:val="20"/>
        </w:rPr>
        <w:t>regulation is outlined in a range of regulatory guidelines</w:t>
      </w:r>
      <w:r w:rsidR="00DE7AD5">
        <w:rPr>
          <w:rFonts w:cs="Gautami"/>
          <w:sz w:val="20"/>
          <w:szCs w:val="20"/>
        </w:rPr>
        <w:t>, covering issues such as our approach to setting the rate of return, how we assess expenditure proposals, and how we create incentives to encourage efficient network business decision making</w:t>
      </w:r>
      <w:r w:rsidR="007B3EE0" w:rsidRPr="006B4363">
        <w:rPr>
          <w:rFonts w:cs="Gautami"/>
          <w:sz w:val="20"/>
          <w:szCs w:val="20"/>
        </w:rPr>
        <w:t xml:space="preserve">. </w:t>
      </w:r>
      <w:r w:rsidRPr="006B4363">
        <w:rPr>
          <w:rFonts w:cs="Gautami"/>
          <w:sz w:val="20"/>
          <w:szCs w:val="20"/>
        </w:rPr>
        <w:t xml:space="preserve">We develop and amend </w:t>
      </w:r>
      <w:r w:rsidR="007B3EE0" w:rsidRPr="006B4363">
        <w:rPr>
          <w:rFonts w:cs="Gautami"/>
          <w:sz w:val="20"/>
          <w:szCs w:val="20"/>
        </w:rPr>
        <w:t xml:space="preserve">these </w:t>
      </w:r>
      <w:r w:rsidRPr="006B4363">
        <w:rPr>
          <w:rFonts w:cs="Gautami"/>
          <w:sz w:val="20"/>
          <w:szCs w:val="20"/>
        </w:rPr>
        <w:t xml:space="preserve">guidelines as required </w:t>
      </w:r>
    </w:p>
    <w:p w:rsidR="001B7699" w:rsidRPr="006B4363" w:rsidRDefault="001B7699" w:rsidP="006B4363">
      <w:pPr>
        <w:pStyle w:val="AERbodytext"/>
        <w:numPr>
          <w:ilvl w:val="0"/>
          <w:numId w:val="5"/>
        </w:numPr>
        <w:spacing w:line="276" w:lineRule="auto"/>
        <w:jc w:val="left"/>
        <w:rPr>
          <w:rFonts w:cs="Gautami"/>
          <w:sz w:val="20"/>
          <w:szCs w:val="20"/>
        </w:rPr>
      </w:pPr>
      <w:r w:rsidRPr="006B4363">
        <w:rPr>
          <w:rFonts w:cs="Gautami"/>
          <w:sz w:val="20"/>
          <w:szCs w:val="20"/>
        </w:rPr>
        <w:t>regulatory investment test for electricity—We monitor and enforce compliance of the network businesses applying the regulatory investment test for transmission (RIT-T) and distribution (RIT-D)</w:t>
      </w:r>
    </w:p>
    <w:p w:rsidR="007B3EE0" w:rsidRPr="006B4363" w:rsidRDefault="007B3EE0" w:rsidP="006B4363">
      <w:pPr>
        <w:pStyle w:val="AERbodytext"/>
        <w:numPr>
          <w:ilvl w:val="0"/>
          <w:numId w:val="5"/>
        </w:numPr>
        <w:spacing w:line="276" w:lineRule="auto"/>
        <w:jc w:val="left"/>
        <w:rPr>
          <w:rFonts w:cs="Gautami"/>
          <w:sz w:val="20"/>
          <w:szCs w:val="20"/>
        </w:rPr>
      </w:pPr>
      <w:r w:rsidRPr="006B4363">
        <w:rPr>
          <w:rFonts w:cs="Gautami"/>
          <w:sz w:val="20"/>
          <w:szCs w:val="20"/>
        </w:rPr>
        <w:t>access (connection) disputes—We resolve customers’ disputes with distribution businesses on the cost and the terms and conditions of connection offers</w:t>
      </w:r>
    </w:p>
    <w:p w:rsidR="007B3EE0" w:rsidRPr="006B4363" w:rsidRDefault="007B3EE0" w:rsidP="006B4363">
      <w:pPr>
        <w:pStyle w:val="AERbodytext"/>
        <w:numPr>
          <w:ilvl w:val="0"/>
          <w:numId w:val="5"/>
        </w:numPr>
        <w:spacing w:line="276" w:lineRule="auto"/>
        <w:jc w:val="left"/>
        <w:rPr>
          <w:rFonts w:cs="Gautami"/>
          <w:sz w:val="20"/>
          <w:szCs w:val="20"/>
        </w:rPr>
      </w:pPr>
      <w:proofErr w:type="gramStart"/>
      <w:r w:rsidRPr="006B4363">
        <w:rPr>
          <w:rFonts w:cs="Gautami"/>
          <w:sz w:val="20"/>
          <w:szCs w:val="20"/>
        </w:rPr>
        <w:t>compliance</w:t>
      </w:r>
      <w:proofErr w:type="gramEnd"/>
      <w:r w:rsidRPr="006B4363">
        <w:rPr>
          <w:rFonts w:cs="Gautami"/>
          <w:sz w:val="20"/>
          <w:szCs w:val="20"/>
        </w:rPr>
        <w:t xml:space="preserve"> with regulatory obligations—We have a role of assessing network businesses’ compliance with requirements under the Electricity and Gas Rules</w:t>
      </w:r>
      <w:r w:rsidR="00701A45" w:rsidRPr="006B4363">
        <w:rPr>
          <w:rFonts w:cs="Gautami"/>
          <w:sz w:val="20"/>
          <w:szCs w:val="20"/>
        </w:rPr>
        <w:t>.</w:t>
      </w:r>
      <w:r w:rsidRPr="006B4363">
        <w:rPr>
          <w:rFonts w:cs="Gautami"/>
          <w:sz w:val="20"/>
          <w:szCs w:val="20"/>
        </w:rPr>
        <w:t xml:space="preserve"> If we find a breach of the business’s regulatory obligations, we may take enforcement action</w:t>
      </w:r>
    </w:p>
    <w:p w:rsidR="001B7699" w:rsidRPr="006B4363" w:rsidRDefault="001B7699" w:rsidP="006B4363">
      <w:pPr>
        <w:pStyle w:val="AERbodytext"/>
        <w:numPr>
          <w:ilvl w:val="0"/>
          <w:numId w:val="5"/>
        </w:numPr>
        <w:spacing w:line="276" w:lineRule="auto"/>
        <w:jc w:val="left"/>
        <w:rPr>
          <w:rFonts w:cs="Gautami"/>
          <w:sz w:val="20"/>
          <w:szCs w:val="20"/>
        </w:rPr>
      </w:pPr>
      <w:r w:rsidRPr="006B4363">
        <w:rPr>
          <w:rFonts w:cs="Gautami"/>
          <w:sz w:val="20"/>
          <w:szCs w:val="20"/>
        </w:rPr>
        <w:t xml:space="preserve">incentives for improved performance—We develop incentive schemes for network businesses to improve their performance, administer the schemes and ensure compliance </w:t>
      </w:r>
    </w:p>
    <w:p w:rsidR="00B71D55" w:rsidRPr="006B4363" w:rsidRDefault="001B7699" w:rsidP="006B4363">
      <w:pPr>
        <w:pStyle w:val="AERbodytext"/>
        <w:numPr>
          <w:ilvl w:val="0"/>
          <w:numId w:val="5"/>
        </w:numPr>
        <w:spacing w:line="276" w:lineRule="auto"/>
        <w:jc w:val="left"/>
        <w:rPr>
          <w:rFonts w:cs="Gautami"/>
          <w:sz w:val="20"/>
          <w:szCs w:val="20"/>
        </w:rPr>
      </w:pPr>
      <w:proofErr w:type="gramStart"/>
      <w:r w:rsidRPr="006B4363">
        <w:rPr>
          <w:rFonts w:cs="Gautami"/>
          <w:sz w:val="20"/>
          <w:szCs w:val="20"/>
        </w:rPr>
        <w:t>regulatory</w:t>
      </w:r>
      <w:proofErr w:type="gramEnd"/>
      <w:r w:rsidRPr="006B4363">
        <w:rPr>
          <w:rFonts w:cs="Gautami"/>
          <w:sz w:val="20"/>
          <w:szCs w:val="20"/>
        </w:rPr>
        <w:t xml:space="preserve"> decision reviews—Network businesses can seek a merits review of our decisions by the Australian Competition Tribunal. If the Tribunal reviews a network pricing decision, we are a party to the review </w:t>
      </w:r>
    </w:p>
    <w:p w:rsidR="001B7699" w:rsidRPr="006B4363" w:rsidRDefault="001B7699" w:rsidP="006B4363">
      <w:pPr>
        <w:pStyle w:val="AERbodytext"/>
        <w:numPr>
          <w:ilvl w:val="0"/>
          <w:numId w:val="5"/>
        </w:numPr>
        <w:spacing w:line="276" w:lineRule="auto"/>
        <w:jc w:val="left"/>
        <w:rPr>
          <w:rFonts w:cs="Gautami"/>
          <w:sz w:val="20"/>
          <w:szCs w:val="20"/>
        </w:rPr>
      </w:pPr>
      <w:proofErr w:type="gramStart"/>
      <w:r w:rsidRPr="006B4363">
        <w:rPr>
          <w:rFonts w:cs="Gautami"/>
          <w:sz w:val="20"/>
          <w:szCs w:val="20"/>
        </w:rPr>
        <w:t>performance</w:t>
      </w:r>
      <w:proofErr w:type="gramEnd"/>
      <w:r w:rsidRPr="006B4363">
        <w:rPr>
          <w:rFonts w:cs="Gautami"/>
          <w:sz w:val="20"/>
          <w:szCs w:val="20"/>
        </w:rPr>
        <w:t xml:space="preserve"> reporting—We publish information on network businesses’ revenues, prices, expenditures, operations and service delivery. We also report on network reliability and customer service, and businesses’ performance against targets. From 2014, we will </w:t>
      </w:r>
      <w:r w:rsidR="003516F1" w:rsidRPr="006B4363">
        <w:rPr>
          <w:rFonts w:cs="Gautami"/>
          <w:sz w:val="20"/>
          <w:szCs w:val="20"/>
        </w:rPr>
        <w:t xml:space="preserve">also </w:t>
      </w:r>
      <w:r w:rsidRPr="006B4363">
        <w:rPr>
          <w:rFonts w:cs="Gautami"/>
          <w:sz w:val="20"/>
          <w:szCs w:val="20"/>
        </w:rPr>
        <w:t>publish benchmarking reports for network businesses</w:t>
      </w:r>
      <w:r w:rsidR="00C77366">
        <w:rPr>
          <w:rFonts w:cs="Gautami"/>
          <w:sz w:val="20"/>
          <w:szCs w:val="20"/>
        </w:rPr>
        <w:t>, and</w:t>
      </w:r>
    </w:p>
    <w:p w:rsidR="00412873" w:rsidRPr="006B4363" w:rsidRDefault="00793AB8" w:rsidP="006B4363">
      <w:pPr>
        <w:pStyle w:val="AERbodytext"/>
        <w:numPr>
          <w:ilvl w:val="0"/>
          <w:numId w:val="5"/>
        </w:numPr>
        <w:spacing w:line="276" w:lineRule="auto"/>
        <w:jc w:val="left"/>
        <w:rPr>
          <w:rFonts w:cs="Gautami"/>
          <w:sz w:val="20"/>
          <w:szCs w:val="20"/>
        </w:rPr>
      </w:pPr>
      <w:proofErr w:type="gramStart"/>
      <w:r w:rsidRPr="006B4363">
        <w:rPr>
          <w:rFonts w:cs="Gautami"/>
          <w:sz w:val="20"/>
          <w:szCs w:val="20"/>
        </w:rPr>
        <w:t>r</w:t>
      </w:r>
      <w:r w:rsidR="003C0DB6" w:rsidRPr="006B4363">
        <w:rPr>
          <w:rFonts w:cs="Gautami"/>
          <w:sz w:val="20"/>
          <w:szCs w:val="20"/>
        </w:rPr>
        <w:t>ule</w:t>
      </w:r>
      <w:proofErr w:type="gramEnd"/>
      <w:r w:rsidR="003C0DB6" w:rsidRPr="006B4363">
        <w:rPr>
          <w:rFonts w:cs="Gautami"/>
          <w:sz w:val="20"/>
          <w:szCs w:val="20"/>
        </w:rPr>
        <w:t xml:space="preserve"> changes</w:t>
      </w:r>
      <w:r w:rsidR="003516F1" w:rsidRPr="006B4363">
        <w:rPr>
          <w:rFonts w:cs="Gautami"/>
          <w:sz w:val="20"/>
          <w:szCs w:val="20"/>
        </w:rPr>
        <w:t xml:space="preserve"> and policy development</w:t>
      </w:r>
      <w:r w:rsidR="003C0DB6" w:rsidRPr="006B4363">
        <w:rPr>
          <w:rFonts w:cs="Gautami"/>
          <w:sz w:val="20"/>
          <w:szCs w:val="20"/>
        </w:rPr>
        <w:t>—Where we highlight concerns with the operation of the rules, we may lodge applications to amend the rules to the rule making body, the Australian Energy Market Commission. Notably, in 2011, we lodged an application to amend the network regulation rules. From time to time, we also lodge submissions on rule changes proposed by other parties.</w:t>
      </w:r>
      <w:r w:rsidR="003516F1" w:rsidRPr="006B4363">
        <w:rPr>
          <w:rFonts w:cs="Gautami"/>
          <w:sz w:val="20"/>
          <w:szCs w:val="20"/>
        </w:rPr>
        <w:t xml:space="preserve"> We also actively participate in energy reform initiatives and make submissions to the COAG Energy Council as well as specific Commonwealth or </w:t>
      </w:r>
      <w:r w:rsidR="00C77366">
        <w:rPr>
          <w:rFonts w:cs="Gautami"/>
          <w:sz w:val="20"/>
          <w:szCs w:val="20"/>
        </w:rPr>
        <w:t>S</w:t>
      </w:r>
      <w:r w:rsidR="00C77366" w:rsidRPr="006B4363">
        <w:rPr>
          <w:rFonts w:cs="Gautami"/>
          <w:sz w:val="20"/>
          <w:szCs w:val="20"/>
        </w:rPr>
        <w:t>tate</w:t>
      </w:r>
      <w:r w:rsidR="00C77366">
        <w:rPr>
          <w:rFonts w:cs="Gautami"/>
          <w:sz w:val="20"/>
          <w:szCs w:val="20"/>
        </w:rPr>
        <w:t xml:space="preserve"> </w:t>
      </w:r>
      <w:r w:rsidR="003516F1" w:rsidRPr="006B4363">
        <w:rPr>
          <w:rFonts w:cs="Gautami"/>
          <w:sz w:val="20"/>
          <w:szCs w:val="20"/>
        </w:rPr>
        <w:t xml:space="preserve">government processes. </w:t>
      </w:r>
    </w:p>
    <w:p w:rsidR="00C154E8" w:rsidRPr="006B4363" w:rsidRDefault="00C154E8" w:rsidP="006B4363">
      <w:pPr>
        <w:pStyle w:val="AERbodytext"/>
        <w:spacing w:line="276" w:lineRule="auto"/>
        <w:jc w:val="left"/>
        <w:rPr>
          <w:rFonts w:cs="Gautami"/>
          <w:sz w:val="20"/>
          <w:szCs w:val="20"/>
        </w:rPr>
      </w:pPr>
      <w:r w:rsidRPr="006B4363">
        <w:rPr>
          <w:rFonts w:cs="Gautami"/>
          <w:sz w:val="20"/>
          <w:szCs w:val="20"/>
        </w:rPr>
        <w:t xml:space="preserve">It is </w:t>
      </w:r>
      <w:r w:rsidR="00DE7AD5">
        <w:rPr>
          <w:rFonts w:cs="Gautami"/>
          <w:sz w:val="20"/>
          <w:szCs w:val="20"/>
        </w:rPr>
        <w:t>clear</w:t>
      </w:r>
      <w:r w:rsidRPr="006B4363">
        <w:rPr>
          <w:rFonts w:cs="Gautami"/>
          <w:sz w:val="20"/>
          <w:szCs w:val="20"/>
        </w:rPr>
        <w:t xml:space="preserve"> that the role of economic regulation encompass both price setting related functions and compliance and enforcement functions with respect to regulated energy networks. </w:t>
      </w:r>
      <w:r w:rsidR="00582ECA" w:rsidRPr="006B4363">
        <w:rPr>
          <w:rFonts w:cs="Gautami"/>
          <w:sz w:val="20"/>
          <w:szCs w:val="20"/>
        </w:rPr>
        <w:t xml:space="preserve">The arrangements are </w:t>
      </w:r>
      <w:r w:rsidR="00B13CA0" w:rsidRPr="006B4363">
        <w:rPr>
          <w:rFonts w:cs="Gautami"/>
          <w:sz w:val="20"/>
          <w:szCs w:val="20"/>
        </w:rPr>
        <w:t xml:space="preserve">an </w:t>
      </w:r>
      <w:r w:rsidR="00582ECA" w:rsidRPr="006B4363">
        <w:rPr>
          <w:rFonts w:cs="Gautami"/>
          <w:sz w:val="20"/>
          <w:szCs w:val="20"/>
        </w:rPr>
        <w:t xml:space="preserve">integral </w:t>
      </w:r>
      <w:r w:rsidR="00B13CA0" w:rsidRPr="006B4363">
        <w:rPr>
          <w:rFonts w:cs="Gautami"/>
          <w:sz w:val="20"/>
          <w:szCs w:val="20"/>
        </w:rPr>
        <w:t xml:space="preserve">part of the design and </w:t>
      </w:r>
      <w:r w:rsidR="00582ECA" w:rsidRPr="006B4363">
        <w:rPr>
          <w:rFonts w:cs="Gautami"/>
          <w:sz w:val="20"/>
          <w:szCs w:val="20"/>
        </w:rPr>
        <w:t>facilitate effective competition in both the wholesale and retail energy markets</w:t>
      </w:r>
      <w:r w:rsidR="00B13CA0" w:rsidRPr="006B4363">
        <w:rPr>
          <w:rFonts w:cs="Gautami"/>
          <w:sz w:val="20"/>
          <w:szCs w:val="20"/>
        </w:rPr>
        <w:t>.</w:t>
      </w:r>
      <w:r w:rsidR="00582ECA" w:rsidRPr="006B4363">
        <w:rPr>
          <w:rFonts w:cs="Gautami"/>
          <w:sz w:val="20"/>
          <w:szCs w:val="20"/>
        </w:rPr>
        <w:t xml:space="preserve"> </w:t>
      </w:r>
      <w:r w:rsidRPr="006B4363">
        <w:rPr>
          <w:rFonts w:cs="Gautami"/>
          <w:sz w:val="20"/>
          <w:szCs w:val="20"/>
        </w:rPr>
        <w:t>This is significant under any proposal to separate out functions along these lines.</w:t>
      </w:r>
    </w:p>
    <w:p w:rsidR="007332D8" w:rsidRPr="006B4363" w:rsidRDefault="00C77366" w:rsidP="006B4363">
      <w:pPr>
        <w:pStyle w:val="AERbodytext"/>
        <w:spacing w:line="276" w:lineRule="auto"/>
        <w:jc w:val="left"/>
        <w:rPr>
          <w:rFonts w:cs="Gautami"/>
          <w:i/>
          <w:sz w:val="20"/>
          <w:szCs w:val="20"/>
        </w:rPr>
      </w:pPr>
      <w:r>
        <w:rPr>
          <w:rFonts w:cs="Gautami"/>
          <w:i/>
          <w:sz w:val="20"/>
          <w:szCs w:val="20"/>
        </w:rPr>
        <w:br w:type="column"/>
      </w:r>
      <w:r w:rsidR="007332D8" w:rsidRPr="006B4363">
        <w:rPr>
          <w:rFonts w:cs="Gautami"/>
          <w:i/>
          <w:sz w:val="20"/>
          <w:szCs w:val="20"/>
        </w:rPr>
        <w:lastRenderedPageBreak/>
        <w:t>Wholesale</w:t>
      </w:r>
    </w:p>
    <w:p w:rsidR="007332D8" w:rsidRPr="006B4363" w:rsidRDefault="007332D8" w:rsidP="006B4363">
      <w:pPr>
        <w:pStyle w:val="AERbodytext"/>
        <w:spacing w:line="276" w:lineRule="auto"/>
        <w:jc w:val="left"/>
        <w:rPr>
          <w:rFonts w:cs="Gautami"/>
          <w:sz w:val="20"/>
          <w:szCs w:val="20"/>
        </w:rPr>
      </w:pPr>
      <w:r w:rsidRPr="006B4363">
        <w:rPr>
          <w:rFonts w:cs="Gautami"/>
          <w:sz w:val="20"/>
          <w:szCs w:val="20"/>
        </w:rPr>
        <w:t>The AER has a range of responsibilities in relation to the NEM and gas spot markets.</w:t>
      </w:r>
      <w:r w:rsidRPr="006B4363">
        <w:rPr>
          <w:rStyle w:val="FootnoteReference"/>
          <w:rFonts w:cs="Gautami"/>
          <w:sz w:val="20"/>
          <w:szCs w:val="20"/>
        </w:rPr>
        <w:footnoteReference w:id="2"/>
      </w:r>
      <w:r w:rsidRPr="006B4363">
        <w:rPr>
          <w:rFonts w:cs="Gautami"/>
          <w:sz w:val="20"/>
          <w:szCs w:val="20"/>
        </w:rPr>
        <w:t xml:space="preserve"> We: </w:t>
      </w:r>
    </w:p>
    <w:p w:rsidR="007332D8" w:rsidRPr="006B4363" w:rsidRDefault="007332D8" w:rsidP="006B4363">
      <w:pPr>
        <w:pStyle w:val="AERbodytext"/>
        <w:numPr>
          <w:ilvl w:val="0"/>
          <w:numId w:val="7"/>
        </w:numPr>
        <w:spacing w:line="276" w:lineRule="auto"/>
        <w:jc w:val="left"/>
        <w:rPr>
          <w:rFonts w:cs="Gautami"/>
          <w:sz w:val="20"/>
          <w:szCs w:val="20"/>
        </w:rPr>
      </w:pPr>
      <w:proofErr w:type="gramStart"/>
      <w:r w:rsidRPr="006B4363">
        <w:rPr>
          <w:rFonts w:cs="Gautami"/>
          <w:sz w:val="20"/>
          <w:szCs w:val="20"/>
        </w:rPr>
        <w:t>monitor</w:t>
      </w:r>
      <w:proofErr w:type="gramEnd"/>
      <w:r w:rsidRPr="006B4363">
        <w:rPr>
          <w:rFonts w:cs="Gautami"/>
          <w:sz w:val="20"/>
          <w:szCs w:val="20"/>
        </w:rPr>
        <w:t xml:space="preserve"> and enforce the obligations in the legislation and rules. In the electricity wholesale market, there are obligations on </w:t>
      </w:r>
      <w:r w:rsidR="00B13CA0" w:rsidRPr="006B4363">
        <w:rPr>
          <w:rFonts w:cs="Gautami"/>
          <w:sz w:val="20"/>
          <w:szCs w:val="20"/>
        </w:rPr>
        <w:t xml:space="preserve">a variety of entities including; </w:t>
      </w:r>
      <w:r w:rsidRPr="006B4363">
        <w:rPr>
          <w:rFonts w:cs="Gautami"/>
          <w:sz w:val="20"/>
          <w:szCs w:val="20"/>
        </w:rPr>
        <w:t xml:space="preserve">generators, network service providers, market customers (retailers), </w:t>
      </w:r>
      <w:r w:rsidR="00B13CA0" w:rsidRPr="006B4363">
        <w:rPr>
          <w:rFonts w:cs="Gautami"/>
          <w:sz w:val="20"/>
          <w:szCs w:val="20"/>
        </w:rPr>
        <w:t xml:space="preserve">metering </w:t>
      </w:r>
      <w:r w:rsidRPr="006B4363">
        <w:rPr>
          <w:rFonts w:cs="Gautami"/>
          <w:sz w:val="20"/>
          <w:szCs w:val="20"/>
        </w:rPr>
        <w:t xml:space="preserve">service providers and the </w:t>
      </w:r>
      <w:r w:rsidR="00C77366">
        <w:rPr>
          <w:rFonts w:cs="Gautami"/>
          <w:sz w:val="20"/>
          <w:szCs w:val="20"/>
        </w:rPr>
        <w:t>Australian Energy Market Operator (</w:t>
      </w:r>
      <w:r w:rsidRPr="006B4363">
        <w:rPr>
          <w:rFonts w:cs="Gautami"/>
          <w:sz w:val="20"/>
          <w:szCs w:val="20"/>
        </w:rPr>
        <w:t>AEMO</w:t>
      </w:r>
      <w:r w:rsidR="00C77366">
        <w:rPr>
          <w:rFonts w:cs="Gautami"/>
          <w:sz w:val="20"/>
          <w:szCs w:val="20"/>
        </w:rPr>
        <w:t>)</w:t>
      </w:r>
      <w:r w:rsidRPr="006B4363">
        <w:rPr>
          <w:rFonts w:cs="Gautami"/>
          <w:sz w:val="20"/>
          <w:szCs w:val="20"/>
        </w:rPr>
        <w:t>.</w:t>
      </w:r>
      <w:r w:rsidRPr="006B4363">
        <w:rPr>
          <w:rStyle w:val="FootnoteReference"/>
          <w:rFonts w:cs="Gautami"/>
          <w:sz w:val="20"/>
          <w:szCs w:val="20"/>
        </w:rPr>
        <w:footnoteReference w:id="3"/>
      </w:r>
      <w:r w:rsidRPr="006B4363">
        <w:rPr>
          <w:rFonts w:cs="Gautami"/>
          <w:sz w:val="20"/>
          <w:szCs w:val="20"/>
        </w:rPr>
        <w:t xml:space="preserve"> In gas, there are obligations on </w:t>
      </w:r>
      <w:r w:rsidR="00BC5CD1" w:rsidRPr="006B4363">
        <w:rPr>
          <w:rFonts w:cs="Gautami"/>
          <w:sz w:val="20"/>
          <w:szCs w:val="20"/>
        </w:rPr>
        <w:t xml:space="preserve">players such as </w:t>
      </w:r>
      <w:r w:rsidRPr="006B4363">
        <w:rPr>
          <w:rFonts w:cs="Gautami"/>
          <w:sz w:val="20"/>
          <w:szCs w:val="20"/>
        </w:rPr>
        <w:t>shippers, bulletin board operators, distributors, market participants</w:t>
      </w:r>
      <w:r w:rsidR="00BC5CD1" w:rsidRPr="006B4363">
        <w:rPr>
          <w:rFonts w:cs="Gautami"/>
          <w:sz w:val="20"/>
          <w:szCs w:val="20"/>
        </w:rPr>
        <w:t xml:space="preserve"> (retailers)</w:t>
      </w:r>
      <w:r w:rsidRPr="006B4363">
        <w:rPr>
          <w:rFonts w:cs="Gautami"/>
          <w:sz w:val="20"/>
          <w:szCs w:val="20"/>
        </w:rPr>
        <w:t>, pipeline operators and facility operators</w:t>
      </w:r>
    </w:p>
    <w:p w:rsidR="007332D8" w:rsidRPr="006B4363" w:rsidRDefault="007332D8" w:rsidP="006B4363">
      <w:pPr>
        <w:pStyle w:val="AERbodytext"/>
        <w:numPr>
          <w:ilvl w:val="0"/>
          <w:numId w:val="7"/>
        </w:numPr>
        <w:spacing w:line="276" w:lineRule="auto"/>
        <w:jc w:val="left"/>
        <w:rPr>
          <w:rFonts w:cs="Gautami"/>
          <w:sz w:val="20"/>
          <w:szCs w:val="20"/>
        </w:rPr>
      </w:pPr>
      <w:r w:rsidRPr="006B4363">
        <w:rPr>
          <w:rFonts w:cs="Gautami"/>
          <w:sz w:val="20"/>
          <w:szCs w:val="20"/>
        </w:rPr>
        <w:t>report on the performance of the markets, such as through weekly electricity and gas market reports and reports into high priced events</w:t>
      </w:r>
      <w:r w:rsidR="00C77366">
        <w:rPr>
          <w:rFonts w:cs="Gautami"/>
          <w:sz w:val="20"/>
          <w:szCs w:val="20"/>
        </w:rPr>
        <w:t>, and</w:t>
      </w:r>
    </w:p>
    <w:p w:rsidR="007332D8" w:rsidRPr="006B4363" w:rsidRDefault="007332D8" w:rsidP="006B4363">
      <w:pPr>
        <w:pStyle w:val="AERbodytext"/>
        <w:numPr>
          <w:ilvl w:val="0"/>
          <w:numId w:val="7"/>
        </w:numPr>
        <w:spacing w:line="276" w:lineRule="auto"/>
        <w:jc w:val="left"/>
        <w:rPr>
          <w:rFonts w:cs="Gautami"/>
          <w:sz w:val="20"/>
          <w:szCs w:val="20"/>
        </w:rPr>
      </w:pPr>
      <w:proofErr w:type="gramStart"/>
      <w:r w:rsidRPr="006B4363">
        <w:rPr>
          <w:rFonts w:cs="Gautami"/>
          <w:sz w:val="20"/>
          <w:szCs w:val="20"/>
        </w:rPr>
        <w:t>report</w:t>
      </w:r>
      <w:proofErr w:type="gramEnd"/>
      <w:r w:rsidRPr="006B4363">
        <w:rPr>
          <w:rFonts w:cs="Gautami"/>
          <w:sz w:val="20"/>
          <w:szCs w:val="20"/>
        </w:rPr>
        <w:t xml:space="preserve"> on compliance issues in these markets, such as through Quarterly Compliance Reports</w:t>
      </w:r>
      <w:r w:rsidR="00C77366">
        <w:rPr>
          <w:rFonts w:cs="Gautami"/>
          <w:sz w:val="20"/>
          <w:szCs w:val="20"/>
        </w:rPr>
        <w:t>.</w:t>
      </w:r>
    </w:p>
    <w:p w:rsidR="00793AB8" w:rsidRPr="006B4363" w:rsidRDefault="00793AB8" w:rsidP="006B4363">
      <w:pPr>
        <w:pStyle w:val="AERbodytext"/>
        <w:spacing w:line="276" w:lineRule="auto"/>
        <w:jc w:val="left"/>
        <w:rPr>
          <w:rFonts w:cs="Gautami"/>
          <w:i/>
          <w:sz w:val="20"/>
          <w:szCs w:val="20"/>
        </w:rPr>
      </w:pPr>
      <w:r w:rsidRPr="006B4363">
        <w:rPr>
          <w:rFonts w:cs="Gautami"/>
          <w:i/>
          <w:sz w:val="20"/>
          <w:szCs w:val="20"/>
        </w:rPr>
        <w:t>Retail</w:t>
      </w:r>
    </w:p>
    <w:p w:rsidR="00793AB8" w:rsidRPr="006B4363" w:rsidRDefault="00793AB8" w:rsidP="006B4363">
      <w:pPr>
        <w:pStyle w:val="AERbodytext"/>
        <w:spacing w:line="276" w:lineRule="auto"/>
        <w:jc w:val="left"/>
        <w:rPr>
          <w:rFonts w:cs="Gautami"/>
          <w:sz w:val="20"/>
          <w:szCs w:val="20"/>
        </w:rPr>
      </w:pPr>
      <w:r w:rsidRPr="006B4363">
        <w:rPr>
          <w:rFonts w:cs="Gautami"/>
          <w:sz w:val="20"/>
          <w:szCs w:val="20"/>
        </w:rPr>
        <w:t xml:space="preserve">The AER is responsible under the National Energy Retail Law for regulating retail energy markets in New South Wales, South Australia, the ACT and Tasmania (electricity only). </w:t>
      </w:r>
      <w:r w:rsidR="00AE154B">
        <w:rPr>
          <w:rFonts w:cs="Gautami"/>
          <w:sz w:val="20"/>
          <w:szCs w:val="20"/>
        </w:rPr>
        <w:t xml:space="preserve">It is expected these responsibilities will expand to Queensland and Victoria in 2015. </w:t>
      </w:r>
      <w:r w:rsidRPr="006B4363">
        <w:rPr>
          <w:rFonts w:cs="Gautami"/>
          <w:sz w:val="20"/>
          <w:szCs w:val="20"/>
        </w:rPr>
        <w:t>We:</w:t>
      </w:r>
    </w:p>
    <w:p w:rsidR="00793AB8" w:rsidRPr="006B4363" w:rsidRDefault="00793AB8" w:rsidP="006B4363">
      <w:pPr>
        <w:pStyle w:val="AERbodytext"/>
        <w:numPr>
          <w:ilvl w:val="0"/>
          <w:numId w:val="6"/>
        </w:numPr>
        <w:spacing w:line="276" w:lineRule="auto"/>
        <w:jc w:val="left"/>
        <w:rPr>
          <w:rFonts w:cs="Gautami"/>
          <w:sz w:val="20"/>
          <w:szCs w:val="20"/>
        </w:rPr>
      </w:pPr>
      <w:r w:rsidRPr="006B4363">
        <w:rPr>
          <w:rFonts w:cs="Gautami"/>
          <w:sz w:val="20"/>
          <w:szCs w:val="20"/>
        </w:rPr>
        <w:t>oversee retail market entry and exit by assessing applications from businesses looking to become energy retailers, granting exemptions from the requirement to hold a retailer authorisation and administering a national retailer of last resort scheme to protect consumers and the market if a retailer fails</w:t>
      </w:r>
    </w:p>
    <w:p w:rsidR="00793AB8" w:rsidRPr="006B4363" w:rsidRDefault="00793AB8" w:rsidP="006B4363">
      <w:pPr>
        <w:pStyle w:val="AERbodytext"/>
        <w:numPr>
          <w:ilvl w:val="0"/>
          <w:numId w:val="6"/>
        </w:numPr>
        <w:spacing w:line="276" w:lineRule="auto"/>
        <w:jc w:val="left"/>
        <w:rPr>
          <w:rFonts w:cs="Gautami"/>
          <w:sz w:val="20"/>
          <w:szCs w:val="20"/>
        </w:rPr>
      </w:pPr>
      <w:r w:rsidRPr="006B4363">
        <w:rPr>
          <w:rFonts w:cs="Gautami"/>
          <w:sz w:val="20"/>
          <w:szCs w:val="20"/>
        </w:rPr>
        <w:t xml:space="preserve">monitor and enforce compliance (by retailers and distributors) with obligations in the Retail Law, Rules and Regulations </w:t>
      </w:r>
    </w:p>
    <w:p w:rsidR="00793AB8" w:rsidRPr="006B4363" w:rsidRDefault="00793AB8" w:rsidP="006B4363">
      <w:pPr>
        <w:pStyle w:val="AERbodytext"/>
        <w:numPr>
          <w:ilvl w:val="0"/>
          <w:numId w:val="6"/>
        </w:numPr>
        <w:spacing w:line="276" w:lineRule="auto"/>
        <w:jc w:val="left"/>
        <w:rPr>
          <w:rFonts w:cs="Gautami"/>
          <w:sz w:val="20"/>
          <w:szCs w:val="20"/>
        </w:rPr>
      </w:pPr>
      <w:r w:rsidRPr="006B4363">
        <w:rPr>
          <w:rFonts w:cs="Gautami"/>
          <w:sz w:val="20"/>
          <w:szCs w:val="20"/>
        </w:rPr>
        <w:t>report on the performance of the market and energy businesses (including information on energy affordability)</w:t>
      </w:r>
    </w:p>
    <w:p w:rsidR="00793AB8" w:rsidRPr="006B4363" w:rsidRDefault="00793AB8" w:rsidP="006B4363">
      <w:pPr>
        <w:pStyle w:val="AERbodytext"/>
        <w:numPr>
          <w:ilvl w:val="0"/>
          <w:numId w:val="6"/>
        </w:numPr>
        <w:spacing w:line="276" w:lineRule="auto"/>
        <w:jc w:val="left"/>
        <w:rPr>
          <w:rFonts w:cs="Gautami"/>
          <w:sz w:val="20"/>
          <w:szCs w:val="20"/>
        </w:rPr>
      </w:pPr>
      <w:r w:rsidRPr="006B4363">
        <w:rPr>
          <w:rFonts w:cs="Gautami"/>
          <w:sz w:val="20"/>
          <w:szCs w:val="20"/>
        </w:rPr>
        <w:t>approve customer hardship policies that energy retailers must implement for customers facing financial hardship and looking for help to manage their bills</w:t>
      </w:r>
    </w:p>
    <w:p w:rsidR="00793AB8" w:rsidRPr="006B4363" w:rsidRDefault="00793AB8" w:rsidP="006B4363">
      <w:pPr>
        <w:pStyle w:val="AERbodytext"/>
        <w:numPr>
          <w:ilvl w:val="0"/>
          <w:numId w:val="6"/>
        </w:numPr>
        <w:spacing w:line="276" w:lineRule="auto"/>
        <w:jc w:val="left"/>
        <w:rPr>
          <w:rFonts w:cs="Gautami"/>
          <w:sz w:val="20"/>
          <w:szCs w:val="20"/>
        </w:rPr>
      </w:pPr>
      <w:proofErr w:type="gramStart"/>
      <w:r w:rsidRPr="006B4363">
        <w:rPr>
          <w:rFonts w:cs="Gautami"/>
          <w:sz w:val="20"/>
          <w:szCs w:val="20"/>
        </w:rPr>
        <w:t>maintain</w:t>
      </w:r>
      <w:proofErr w:type="gramEnd"/>
      <w:r w:rsidRPr="006B4363">
        <w:rPr>
          <w:rFonts w:cs="Gautami"/>
          <w:sz w:val="20"/>
          <w:szCs w:val="20"/>
        </w:rPr>
        <w:t xml:space="preserve"> an energy price comparator website (</w:t>
      </w:r>
      <w:hyperlink r:id="rId13" w:history="1">
        <w:r w:rsidRPr="006B4363">
          <w:rPr>
            <w:rStyle w:val="Hyperlink"/>
            <w:rFonts w:cs="Gautami"/>
            <w:sz w:val="20"/>
            <w:szCs w:val="20"/>
          </w:rPr>
          <w:t>www.energymadeeasy.gov.au</w:t>
        </w:r>
      </w:hyperlink>
      <w:r w:rsidRPr="006B4363">
        <w:rPr>
          <w:rFonts w:cs="Gautami"/>
          <w:sz w:val="20"/>
          <w:szCs w:val="20"/>
        </w:rPr>
        <w:t>).</w:t>
      </w:r>
    </w:p>
    <w:p w:rsidR="00BC5CD1" w:rsidRPr="006B4363" w:rsidRDefault="007372A2" w:rsidP="006B4363">
      <w:pPr>
        <w:pStyle w:val="AERbodytext"/>
        <w:spacing w:line="276" w:lineRule="auto"/>
        <w:jc w:val="left"/>
        <w:rPr>
          <w:rFonts w:cs="Gautami"/>
          <w:sz w:val="20"/>
          <w:szCs w:val="20"/>
        </w:rPr>
      </w:pPr>
      <w:r w:rsidRPr="006B4363">
        <w:rPr>
          <w:rFonts w:cs="Gautami"/>
          <w:sz w:val="20"/>
          <w:szCs w:val="20"/>
        </w:rPr>
        <w:t xml:space="preserve">In summary, the AER has regulatory, compliance and enforcement and performance monitoring functions across the entire energy supply chain and has put in place a skill set and expertise designed to accommodate this.  </w:t>
      </w:r>
    </w:p>
    <w:p w:rsidR="00D12C90" w:rsidRPr="006B4363" w:rsidRDefault="006B4363" w:rsidP="006B4363">
      <w:pPr>
        <w:pStyle w:val="AERheading2"/>
        <w:numPr>
          <w:ilvl w:val="0"/>
          <w:numId w:val="0"/>
        </w:numPr>
        <w:spacing w:before="360" w:after="240"/>
        <w:ind w:hanging="709"/>
        <w:rPr>
          <w:rFonts w:cs="Gautami"/>
          <w:b w:val="0"/>
          <w:sz w:val="20"/>
          <w:szCs w:val="20"/>
        </w:rPr>
      </w:pPr>
      <w:r>
        <w:t>2.</w:t>
      </w:r>
      <w:r w:rsidR="00E4767B">
        <w:t>2</w:t>
      </w:r>
      <w:r>
        <w:tab/>
      </w:r>
      <w:r w:rsidR="00324B8D">
        <w:t>AER concerns</w:t>
      </w:r>
      <w:r>
        <w:t xml:space="preserve"> with the draft report recommendation</w:t>
      </w:r>
    </w:p>
    <w:p w:rsidR="00FD7129" w:rsidRPr="00FD7129" w:rsidRDefault="00C91D3A" w:rsidP="00E62921">
      <w:pPr>
        <w:pStyle w:val="AERbodytext"/>
        <w:spacing w:line="276" w:lineRule="auto"/>
        <w:jc w:val="left"/>
        <w:rPr>
          <w:rFonts w:cs="Gautami"/>
          <w:sz w:val="20"/>
          <w:szCs w:val="20"/>
        </w:rPr>
      </w:pPr>
      <w:r w:rsidRPr="006B4363">
        <w:rPr>
          <w:rFonts w:cs="Gautami"/>
          <w:sz w:val="20"/>
          <w:szCs w:val="20"/>
        </w:rPr>
        <w:t>The recommendation in the</w:t>
      </w:r>
      <w:r w:rsidR="00400ECE" w:rsidRPr="006B4363">
        <w:rPr>
          <w:rFonts w:cs="Gautami"/>
          <w:sz w:val="20"/>
          <w:szCs w:val="20"/>
        </w:rPr>
        <w:t xml:space="preserve"> </w:t>
      </w:r>
      <w:r w:rsidR="00F50503" w:rsidRPr="006B4363">
        <w:rPr>
          <w:rFonts w:cs="Gautami"/>
          <w:sz w:val="20"/>
          <w:szCs w:val="20"/>
        </w:rPr>
        <w:t>d</w:t>
      </w:r>
      <w:r w:rsidR="00400ECE" w:rsidRPr="006B4363">
        <w:rPr>
          <w:rFonts w:cs="Gautami"/>
          <w:sz w:val="20"/>
          <w:szCs w:val="20"/>
        </w:rPr>
        <w:t xml:space="preserve">raft </w:t>
      </w:r>
      <w:r w:rsidR="00F50503" w:rsidRPr="006B4363">
        <w:rPr>
          <w:rFonts w:cs="Gautami"/>
          <w:sz w:val="20"/>
          <w:szCs w:val="20"/>
        </w:rPr>
        <w:t>r</w:t>
      </w:r>
      <w:r w:rsidR="00400ECE" w:rsidRPr="006B4363">
        <w:rPr>
          <w:rFonts w:cs="Gautami"/>
          <w:sz w:val="20"/>
          <w:szCs w:val="20"/>
        </w:rPr>
        <w:t xml:space="preserve">eport would involve the AER’s network regulation functions being transferred to </w:t>
      </w:r>
      <w:r w:rsidR="00C947B0" w:rsidRPr="006B4363">
        <w:rPr>
          <w:rFonts w:cs="Gautami"/>
          <w:sz w:val="20"/>
          <w:szCs w:val="20"/>
        </w:rPr>
        <w:t xml:space="preserve">a </w:t>
      </w:r>
      <w:r w:rsidR="00400ECE" w:rsidRPr="006B4363">
        <w:rPr>
          <w:rFonts w:cs="Gautami"/>
          <w:sz w:val="20"/>
          <w:szCs w:val="20"/>
        </w:rPr>
        <w:t xml:space="preserve">new access and pricing regulator, with consumer protection and competition functions being undertaken by the ACCC. While not clear from the </w:t>
      </w:r>
      <w:r w:rsidR="00F50503" w:rsidRPr="006B4363">
        <w:rPr>
          <w:rFonts w:cs="Gautami"/>
          <w:sz w:val="20"/>
          <w:szCs w:val="20"/>
        </w:rPr>
        <w:t>d</w:t>
      </w:r>
      <w:r w:rsidR="00400ECE" w:rsidRPr="006B4363">
        <w:rPr>
          <w:rFonts w:cs="Gautami"/>
          <w:sz w:val="20"/>
          <w:szCs w:val="20"/>
        </w:rPr>
        <w:t xml:space="preserve">raft </w:t>
      </w:r>
      <w:r w:rsidR="00F50503" w:rsidRPr="006B4363">
        <w:rPr>
          <w:rFonts w:cs="Gautami"/>
          <w:sz w:val="20"/>
          <w:szCs w:val="20"/>
        </w:rPr>
        <w:t>r</w:t>
      </w:r>
      <w:r w:rsidR="00400ECE" w:rsidRPr="006B4363">
        <w:rPr>
          <w:rFonts w:cs="Gautami"/>
          <w:sz w:val="20"/>
          <w:szCs w:val="20"/>
        </w:rPr>
        <w:t xml:space="preserve">eport, further discussion with the Harper Review secretariat suggest </w:t>
      </w:r>
      <w:r w:rsidR="00590338" w:rsidRPr="006B4363">
        <w:rPr>
          <w:rFonts w:cs="Gautami"/>
          <w:sz w:val="20"/>
          <w:szCs w:val="20"/>
        </w:rPr>
        <w:t>that the proposal would involve</w:t>
      </w:r>
      <w:r w:rsidR="00400ECE" w:rsidRPr="006B4363">
        <w:rPr>
          <w:rFonts w:cs="Gautami"/>
          <w:sz w:val="20"/>
          <w:szCs w:val="20"/>
        </w:rPr>
        <w:t xml:space="preserve"> the AER’s network and wholesale </w:t>
      </w:r>
      <w:r w:rsidR="00400ECE" w:rsidRPr="006B4363">
        <w:rPr>
          <w:rFonts w:cs="Gautami"/>
          <w:sz w:val="20"/>
          <w:szCs w:val="20"/>
        </w:rPr>
        <w:lastRenderedPageBreak/>
        <w:t xml:space="preserve">functions </w:t>
      </w:r>
      <w:r w:rsidR="00F50503" w:rsidRPr="006B4363">
        <w:rPr>
          <w:rFonts w:cs="Gautami"/>
          <w:sz w:val="20"/>
          <w:szCs w:val="20"/>
        </w:rPr>
        <w:t>being</w:t>
      </w:r>
      <w:r w:rsidR="00400ECE" w:rsidRPr="006B4363">
        <w:rPr>
          <w:rFonts w:cs="Gautami"/>
          <w:sz w:val="20"/>
          <w:szCs w:val="20"/>
        </w:rPr>
        <w:t xml:space="preserve"> transferred to </w:t>
      </w:r>
      <w:r w:rsidR="000C2407" w:rsidRPr="006B4363">
        <w:rPr>
          <w:rFonts w:cs="Gautami"/>
          <w:sz w:val="20"/>
          <w:szCs w:val="20"/>
        </w:rPr>
        <w:t xml:space="preserve">an </w:t>
      </w:r>
      <w:r w:rsidR="00400ECE" w:rsidRPr="006B4363">
        <w:rPr>
          <w:rFonts w:cs="Gautami"/>
          <w:sz w:val="20"/>
          <w:szCs w:val="20"/>
        </w:rPr>
        <w:t>access and pricing regulator with the AER’s retail functions being undertaken by the ACCC.</w:t>
      </w:r>
      <w:r w:rsidR="00BA1E74" w:rsidRPr="006B4363">
        <w:rPr>
          <w:rStyle w:val="FootnoteReference"/>
          <w:rFonts w:cs="Gautami"/>
          <w:sz w:val="20"/>
          <w:szCs w:val="20"/>
        </w:rPr>
        <w:footnoteReference w:id="4"/>
      </w:r>
    </w:p>
    <w:p w:rsidR="00FD7129" w:rsidRPr="00FD7129" w:rsidRDefault="00FD7129" w:rsidP="00C77366">
      <w:pPr>
        <w:pStyle w:val="AERbodytext"/>
        <w:spacing w:line="276" w:lineRule="auto"/>
        <w:jc w:val="left"/>
        <w:rPr>
          <w:rFonts w:cs="Gautami"/>
          <w:sz w:val="20"/>
          <w:szCs w:val="20"/>
        </w:rPr>
      </w:pPr>
      <w:r w:rsidRPr="00FD7129">
        <w:rPr>
          <w:rFonts w:cs="Gautami"/>
          <w:sz w:val="20"/>
          <w:szCs w:val="20"/>
        </w:rPr>
        <w:t xml:space="preserve">It is possible to </w:t>
      </w:r>
      <w:r w:rsidR="00867EE5">
        <w:rPr>
          <w:rFonts w:cs="Gautami"/>
          <w:sz w:val="20"/>
          <w:szCs w:val="20"/>
        </w:rPr>
        <w:t>consider</w:t>
      </w:r>
      <w:r w:rsidR="00C77366" w:rsidRPr="00FD7129">
        <w:rPr>
          <w:rFonts w:cs="Gautami"/>
          <w:sz w:val="20"/>
          <w:szCs w:val="20"/>
        </w:rPr>
        <w:t xml:space="preserve"> </w:t>
      </w:r>
      <w:r w:rsidRPr="00FD7129">
        <w:rPr>
          <w:rFonts w:cs="Gautami"/>
          <w:sz w:val="20"/>
          <w:szCs w:val="20"/>
        </w:rPr>
        <w:t xml:space="preserve">a different governance structure that </w:t>
      </w:r>
      <w:r w:rsidR="00C77366">
        <w:rPr>
          <w:rFonts w:cs="Gautami"/>
          <w:sz w:val="20"/>
          <w:szCs w:val="20"/>
        </w:rPr>
        <w:t xml:space="preserve">would </w:t>
      </w:r>
      <w:r w:rsidRPr="00FD7129">
        <w:rPr>
          <w:rFonts w:cs="Gautami"/>
          <w:sz w:val="20"/>
          <w:szCs w:val="20"/>
        </w:rPr>
        <w:t xml:space="preserve">facilitate good regulatory decision making. Such a model would </w:t>
      </w:r>
      <w:r w:rsidR="00867EE5">
        <w:rPr>
          <w:rFonts w:cs="Gautami"/>
          <w:sz w:val="20"/>
          <w:szCs w:val="20"/>
        </w:rPr>
        <w:t xml:space="preserve">deliver the benefits that result from </w:t>
      </w:r>
      <w:r w:rsidRPr="00FD7129">
        <w:rPr>
          <w:rFonts w:cs="Gautami"/>
          <w:sz w:val="20"/>
          <w:szCs w:val="20"/>
        </w:rPr>
        <w:t xml:space="preserve">applying regulatory tools and methods commonly across </w:t>
      </w:r>
      <w:r w:rsidR="00867EE5">
        <w:rPr>
          <w:rFonts w:cs="Gautami"/>
          <w:sz w:val="20"/>
          <w:szCs w:val="20"/>
        </w:rPr>
        <w:t>a range of</w:t>
      </w:r>
      <w:r w:rsidR="00867EE5" w:rsidRPr="00FD7129">
        <w:rPr>
          <w:rFonts w:cs="Gautami"/>
          <w:sz w:val="20"/>
          <w:szCs w:val="20"/>
        </w:rPr>
        <w:t xml:space="preserve"> </w:t>
      </w:r>
      <w:r w:rsidRPr="00FD7129">
        <w:rPr>
          <w:rFonts w:cs="Gautami"/>
          <w:sz w:val="20"/>
          <w:szCs w:val="20"/>
        </w:rPr>
        <w:t xml:space="preserve">regulated industries, </w:t>
      </w:r>
      <w:r w:rsidR="00867EE5">
        <w:rPr>
          <w:rFonts w:cs="Gautami"/>
          <w:sz w:val="20"/>
          <w:szCs w:val="20"/>
        </w:rPr>
        <w:t>while also recognising</w:t>
      </w:r>
      <w:r w:rsidRPr="00FD7129">
        <w:rPr>
          <w:rFonts w:cs="Gautami"/>
          <w:sz w:val="20"/>
          <w:szCs w:val="20"/>
        </w:rPr>
        <w:t xml:space="preserve"> the features of these industries and their regulatory frameworks that that are different. </w:t>
      </w:r>
    </w:p>
    <w:p w:rsidR="002E1A8F" w:rsidRPr="006B4363" w:rsidRDefault="00FD7129" w:rsidP="00FD7129">
      <w:pPr>
        <w:pStyle w:val="AERbodytext"/>
        <w:spacing w:line="276" w:lineRule="auto"/>
        <w:jc w:val="left"/>
        <w:rPr>
          <w:rFonts w:cs="Gautami"/>
          <w:color w:val="1F497D"/>
          <w:sz w:val="20"/>
          <w:szCs w:val="20"/>
        </w:rPr>
      </w:pPr>
      <w:r w:rsidRPr="00FD7129">
        <w:rPr>
          <w:rFonts w:cs="Gautami"/>
          <w:sz w:val="20"/>
          <w:szCs w:val="20"/>
        </w:rPr>
        <w:t xml:space="preserve">We consider that that the proposed governance arrangements have not appropriately </w:t>
      </w:r>
      <w:r w:rsidR="00867EE5" w:rsidRPr="00FD7129">
        <w:rPr>
          <w:rFonts w:cs="Gautami"/>
          <w:sz w:val="20"/>
          <w:szCs w:val="20"/>
        </w:rPr>
        <w:t>reflected</w:t>
      </w:r>
      <w:r w:rsidRPr="00FD7129">
        <w:rPr>
          <w:rFonts w:cs="Gautami"/>
          <w:sz w:val="20"/>
          <w:szCs w:val="20"/>
        </w:rPr>
        <w:t xml:space="preserve"> these features of the energy sector and its legislative frameworks. As a result, </w:t>
      </w:r>
      <w:r>
        <w:rPr>
          <w:rFonts w:cs="Gautami"/>
          <w:sz w:val="20"/>
          <w:szCs w:val="20"/>
        </w:rPr>
        <w:t>t</w:t>
      </w:r>
      <w:r w:rsidRPr="006B4363">
        <w:rPr>
          <w:rFonts w:cs="Gautami"/>
          <w:sz w:val="20"/>
          <w:szCs w:val="20"/>
        </w:rPr>
        <w:t xml:space="preserve">here </w:t>
      </w:r>
      <w:r w:rsidR="00EF4050" w:rsidRPr="006B4363">
        <w:rPr>
          <w:rFonts w:cs="Gautami"/>
          <w:sz w:val="20"/>
          <w:szCs w:val="20"/>
        </w:rPr>
        <w:t xml:space="preserve">are </w:t>
      </w:r>
      <w:r w:rsidR="00324B8D">
        <w:rPr>
          <w:rFonts w:cs="Gautami"/>
          <w:sz w:val="20"/>
          <w:szCs w:val="20"/>
        </w:rPr>
        <w:t>significant concerns</w:t>
      </w:r>
      <w:r w:rsidR="00EF4050" w:rsidRPr="006B4363">
        <w:rPr>
          <w:rFonts w:cs="Gautami"/>
          <w:sz w:val="20"/>
          <w:szCs w:val="20"/>
        </w:rPr>
        <w:t xml:space="preserve"> with this proposal. First, </w:t>
      </w:r>
      <w:r w:rsidR="00455D82" w:rsidRPr="006B4363">
        <w:rPr>
          <w:rFonts w:cs="Gautami"/>
          <w:sz w:val="20"/>
          <w:szCs w:val="20"/>
        </w:rPr>
        <w:t xml:space="preserve">the proposal to create separate regulators </w:t>
      </w:r>
      <w:r w:rsidR="00C17F97">
        <w:rPr>
          <w:rFonts w:cs="Gautami"/>
          <w:sz w:val="20"/>
          <w:szCs w:val="20"/>
        </w:rPr>
        <w:t>does not reflect</w:t>
      </w:r>
      <w:r w:rsidR="00EF4050" w:rsidRPr="006B4363">
        <w:rPr>
          <w:rFonts w:cs="Gautami"/>
          <w:sz w:val="20"/>
          <w:szCs w:val="20"/>
        </w:rPr>
        <w:t xml:space="preserve"> the integrated </w:t>
      </w:r>
      <w:r w:rsidR="00DA13BE">
        <w:rPr>
          <w:rFonts w:cs="Gautami"/>
          <w:sz w:val="20"/>
          <w:szCs w:val="20"/>
        </w:rPr>
        <w:t xml:space="preserve">and changing </w:t>
      </w:r>
      <w:r w:rsidR="00EF4050" w:rsidRPr="006B4363">
        <w:rPr>
          <w:rFonts w:cs="Gautami"/>
          <w:sz w:val="20"/>
          <w:szCs w:val="20"/>
        </w:rPr>
        <w:t>nature of energy markets</w:t>
      </w:r>
      <w:r w:rsidR="00455D82" w:rsidRPr="006B4363">
        <w:rPr>
          <w:rFonts w:cs="Gautami"/>
          <w:sz w:val="20"/>
          <w:szCs w:val="20"/>
        </w:rPr>
        <w:t xml:space="preserve">. </w:t>
      </w:r>
      <w:r w:rsidR="00EF4050" w:rsidRPr="006B4363">
        <w:rPr>
          <w:rFonts w:cs="Gautami"/>
          <w:sz w:val="20"/>
          <w:szCs w:val="20"/>
        </w:rPr>
        <w:t xml:space="preserve"> Second, </w:t>
      </w:r>
      <w:r w:rsidR="00455D82" w:rsidRPr="006B4363">
        <w:rPr>
          <w:rFonts w:cs="Gautami"/>
          <w:sz w:val="20"/>
          <w:szCs w:val="20"/>
        </w:rPr>
        <w:t>the proposal that the ACCC assume the AER’s retail functions</w:t>
      </w:r>
      <w:r w:rsidR="00EF4050" w:rsidRPr="006B4363">
        <w:rPr>
          <w:rFonts w:cs="Gautami"/>
          <w:sz w:val="20"/>
          <w:szCs w:val="20"/>
        </w:rPr>
        <w:t xml:space="preserve"> mischaracterises </w:t>
      </w:r>
      <w:r w:rsidR="00455D82" w:rsidRPr="006B4363">
        <w:rPr>
          <w:rFonts w:cs="Gautami"/>
          <w:sz w:val="20"/>
          <w:szCs w:val="20"/>
        </w:rPr>
        <w:t xml:space="preserve">the </w:t>
      </w:r>
      <w:r w:rsidR="00EF4050" w:rsidRPr="006B4363">
        <w:rPr>
          <w:rFonts w:cs="Gautami"/>
          <w:sz w:val="20"/>
          <w:szCs w:val="20"/>
        </w:rPr>
        <w:t xml:space="preserve">Retail Law and the AER’s obligations under it. </w:t>
      </w:r>
    </w:p>
    <w:p w:rsidR="002E1A8F" w:rsidRPr="006B4363" w:rsidRDefault="00177724" w:rsidP="006B4363">
      <w:pPr>
        <w:pStyle w:val="AERbodytext"/>
        <w:spacing w:line="276" w:lineRule="auto"/>
        <w:jc w:val="left"/>
        <w:rPr>
          <w:rFonts w:cs="Gautami"/>
          <w:i/>
          <w:sz w:val="20"/>
          <w:szCs w:val="20"/>
        </w:rPr>
      </w:pPr>
      <w:r>
        <w:rPr>
          <w:rFonts w:cs="Gautami"/>
          <w:i/>
          <w:sz w:val="20"/>
          <w:szCs w:val="20"/>
        </w:rPr>
        <w:t>The proposal does not recognise the i</w:t>
      </w:r>
      <w:r w:rsidR="002E1A8F" w:rsidRPr="006B4363">
        <w:rPr>
          <w:rFonts w:cs="Gautami"/>
          <w:i/>
          <w:sz w:val="20"/>
          <w:szCs w:val="20"/>
        </w:rPr>
        <w:t xml:space="preserve">ntegrated </w:t>
      </w:r>
      <w:r w:rsidR="00DA13BE">
        <w:rPr>
          <w:rFonts w:cs="Gautami"/>
          <w:i/>
          <w:sz w:val="20"/>
          <w:szCs w:val="20"/>
        </w:rPr>
        <w:t xml:space="preserve">and changing </w:t>
      </w:r>
      <w:r w:rsidR="002E1A8F" w:rsidRPr="006B4363">
        <w:rPr>
          <w:rFonts w:cs="Gautami"/>
          <w:i/>
          <w:sz w:val="20"/>
          <w:szCs w:val="20"/>
        </w:rPr>
        <w:t xml:space="preserve">nature of </w:t>
      </w:r>
      <w:r w:rsidR="006831AB" w:rsidRPr="006B4363">
        <w:rPr>
          <w:rFonts w:cs="Gautami"/>
          <w:i/>
          <w:sz w:val="20"/>
          <w:szCs w:val="20"/>
        </w:rPr>
        <w:t>e</w:t>
      </w:r>
      <w:r w:rsidR="002E1A8F" w:rsidRPr="006B4363">
        <w:rPr>
          <w:rFonts w:cs="Gautami"/>
          <w:i/>
          <w:sz w:val="20"/>
          <w:szCs w:val="20"/>
        </w:rPr>
        <w:t xml:space="preserve">nergy </w:t>
      </w:r>
      <w:r w:rsidR="006831AB" w:rsidRPr="006B4363">
        <w:rPr>
          <w:rFonts w:cs="Gautami"/>
          <w:i/>
          <w:sz w:val="20"/>
          <w:szCs w:val="20"/>
        </w:rPr>
        <w:t>m</w:t>
      </w:r>
      <w:r w:rsidR="002E1A8F" w:rsidRPr="006B4363">
        <w:rPr>
          <w:rFonts w:cs="Gautami"/>
          <w:i/>
          <w:sz w:val="20"/>
          <w:szCs w:val="20"/>
        </w:rPr>
        <w:t>arkets</w:t>
      </w:r>
    </w:p>
    <w:p w:rsidR="002E1A8F" w:rsidRPr="006B4363" w:rsidRDefault="00A61198" w:rsidP="006B4363">
      <w:pPr>
        <w:pStyle w:val="AERbodytext"/>
        <w:spacing w:line="276" w:lineRule="auto"/>
        <w:jc w:val="left"/>
        <w:rPr>
          <w:rFonts w:cs="Gautami"/>
          <w:sz w:val="20"/>
          <w:szCs w:val="20"/>
        </w:rPr>
      </w:pPr>
      <w:r>
        <w:rPr>
          <w:rFonts w:cs="Gautami"/>
          <w:sz w:val="20"/>
          <w:szCs w:val="20"/>
        </w:rPr>
        <w:t xml:space="preserve">A </w:t>
      </w:r>
      <w:r w:rsidR="00177724">
        <w:rPr>
          <w:rFonts w:cs="Gautami"/>
          <w:sz w:val="20"/>
          <w:szCs w:val="20"/>
        </w:rPr>
        <w:t>key</w:t>
      </w:r>
      <w:r w:rsidR="002E1A8F" w:rsidRPr="006B4363">
        <w:rPr>
          <w:rFonts w:cs="Gautami"/>
          <w:sz w:val="20"/>
          <w:szCs w:val="20"/>
        </w:rPr>
        <w:t xml:space="preserve"> </w:t>
      </w:r>
      <w:r w:rsidR="00F9616E">
        <w:rPr>
          <w:rFonts w:cs="Gautami"/>
          <w:sz w:val="20"/>
          <w:szCs w:val="20"/>
        </w:rPr>
        <w:t>concern</w:t>
      </w:r>
      <w:r w:rsidR="00F9616E" w:rsidRPr="006B4363">
        <w:rPr>
          <w:rFonts w:cs="Gautami"/>
          <w:sz w:val="20"/>
          <w:szCs w:val="20"/>
        </w:rPr>
        <w:t xml:space="preserve"> </w:t>
      </w:r>
      <w:r w:rsidR="002E1A8F" w:rsidRPr="006B4363">
        <w:rPr>
          <w:rFonts w:cs="Gautami"/>
          <w:sz w:val="20"/>
          <w:szCs w:val="20"/>
        </w:rPr>
        <w:t>with the proposal to split the AER’s functions between an access and pricing regulator and the ACCC is that it does not reflect the integrated nature of energy markets.</w:t>
      </w:r>
    </w:p>
    <w:p w:rsidR="006831AB" w:rsidRPr="006B4363" w:rsidRDefault="002E1A8F" w:rsidP="006B4363">
      <w:pPr>
        <w:pStyle w:val="AERbodytext"/>
        <w:spacing w:line="276" w:lineRule="auto"/>
        <w:jc w:val="left"/>
        <w:rPr>
          <w:rFonts w:cs="Gautami"/>
          <w:sz w:val="20"/>
          <w:szCs w:val="20"/>
        </w:rPr>
      </w:pPr>
      <w:r w:rsidRPr="006B4363">
        <w:rPr>
          <w:rFonts w:cs="Gautami"/>
          <w:sz w:val="20"/>
          <w:szCs w:val="20"/>
        </w:rPr>
        <w:t xml:space="preserve">While </w:t>
      </w:r>
      <w:r w:rsidR="000C5A2F" w:rsidRPr="006B4363">
        <w:rPr>
          <w:rFonts w:cs="Gautami"/>
          <w:sz w:val="20"/>
          <w:szCs w:val="20"/>
        </w:rPr>
        <w:t xml:space="preserve">the AER has </w:t>
      </w:r>
      <w:r w:rsidRPr="006B4363">
        <w:rPr>
          <w:rFonts w:cs="Gautami"/>
          <w:sz w:val="20"/>
          <w:szCs w:val="20"/>
        </w:rPr>
        <w:t>wholesale</w:t>
      </w:r>
      <w:r w:rsidR="00154893">
        <w:rPr>
          <w:rFonts w:cs="Gautami"/>
          <w:sz w:val="20"/>
          <w:szCs w:val="20"/>
        </w:rPr>
        <w:t xml:space="preserve"> market</w:t>
      </w:r>
      <w:r w:rsidRPr="006B4363">
        <w:rPr>
          <w:rFonts w:cs="Gautami"/>
          <w:sz w:val="20"/>
          <w:szCs w:val="20"/>
        </w:rPr>
        <w:t xml:space="preserve">, networks and retail </w:t>
      </w:r>
      <w:r w:rsidR="00154893">
        <w:rPr>
          <w:rFonts w:cs="Gautami"/>
          <w:sz w:val="20"/>
          <w:szCs w:val="20"/>
        </w:rPr>
        <w:t xml:space="preserve">market </w:t>
      </w:r>
      <w:r w:rsidR="000C5A2F" w:rsidRPr="006B4363">
        <w:rPr>
          <w:rFonts w:cs="Gautami"/>
          <w:sz w:val="20"/>
          <w:szCs w:val="20"/>
        </w:rPr>
        <w:t>role</w:t>
      </w:r>
      <w:r w:rsidRPr="006B4363">
        <w:rPr>
          <w:rFonts w:cs="Gautami"/>
          <w:sz w:val="20"/>
          <w:szCs w:val="20"/>
        </w:rPr>
        <w:t xml:space="preserve">s, it is not possible to consider one element of the supply chain in isolation. Outcomes in </w:t>
      </w:r>
      <w:r w:rsidR="000C5A2F" w:rsidRPr="006B4363">
        <w:rPr>
          <w:rFonts w:cs="Gautami"/>
          <w:sz w:val="20"/>
          <w:szCs w:val="20"/>
        </w:rPr>
        <w:t>the network sector critically influence decisions in upstream and downstream markets</w:t>
      </w:r>
      <w:r w:rsidR="00BC5733" w:rsidRPr="006B4363">
        <w:rPr>
          <w:rFonts w:cs="Gautami"/>
          <w:sz w:val="20"/>
          <w:szCs w:val="20"/>
        </w:rPr>
        <w:t>.</w:t>
      </w:r>
      <w:r w:rsidR="000C5A2F" w:rsidRPr="006B4363">
        <w:rPr>
          <w:rFonts w:cs="Gautami"/>
          <w:sz w:val="20"/>
          <w:szCs w:val="20"/>
        </w:rPr>
        <w:t xml:space="preserve"> As an example, network constraints critically affect the efficiency of generation dispatch and outcomes in wholesale markets. In turn, these wholesale market outcomes affect the compe</w:t>
      </w:r>
      <w:r w:rsidR="00BC5733" w:rsidRPr="006B4363">
        <w:rPr>
          <w:rFonts w:cs="Gautami"/>
          <w:sz w:val="20"/>
          <w:szCs w:val="20"/>
        </w:rPr>
        <w:t>ti</w:t>
      </w:r>
      <w:r w:rsidR="000C5A2F" w:rsidRPr="006B4363">
        <w:rPr>
          <w:rFonts w:cs="Gautami"/>
          <w:sz w:val="20"/>
          <w:szCs w:val="20"/>
        </w:rPr>
        <w:t>ti</w:t>
      </w:r>
      <w:r w:rsidR="00BC5733" w:rsidRPr="006B4363">
        <w:rPr>
          <w:rFonts w:cs="Gautami"/>
          <w:sz w:val="20"/>
          <w:szCs w:val="20"/>
        </w:rPr>
        <w:t xml:space="preserve">ve position of </w:t>
      </w:r>
      <w:r w:rsidR="000C5A2F" w:rsidRPr="006B4363">
        <w:rPr>
          <w:rFonts w:cs="Gautami"/>
          <w:sz w:val="20"/>
          <w:szCs w:val="20"/>
        </w:rPr>
        <w:t>retail market</w:t>
      </w:r>
      <w:r w:rsidR="00BC5733" w:rsidRPr="006B4363">
        <w:rPr>
          <w:rFonts w:cs="Gautami"/>
          <w:sz w:val="20"/>
          <w:szCs w:val="20"/>
        </w:rPr>
        <w:t xml:space="preserve"> participant</w:t>
      </w:r>
      <w:r w:rsidR="000C5A2F" w:rsidRPr="006B4363">
        <w:rPr>
          <w:rFonts w:cs="Gautami"/>
          <w:sz w:val="20"/>
          <w:szCs w:val="20"/>
        </w:rPr>
        <w:t>s.</w:t>
      </w:r>
      <w:r w:rsidR="004C7420" w:rsidRPr="006B4363">
        <w:rPr>
          <w:rFonts w:cs="Gautami"/>
          <w:sz w:val="20"/>
          <w:szCs w:val="20"/>
        </w:rPr>
        <w:t xml:space="preserve"> </w:t>
      </w:r>
    </w:p>
    <w:p w:rsidR="00D0568C" w:rsidRDefault="00D0568C" w:rsidP="006B4363">
      <w:pPr>
        <w:pStyle w:val="AERbodytext"/>
        <w:spacing w:line="276" w:lineRule="auto"/>
        <w:jc w:val="left"/>
        <w:rPr>
          <w:rFonts w:cs="Gautami"/>
          <w:sz w:val="20"/>
          <w:szCs w:val="20"/>
        </w:rPr>
      </w:pPr>
      <w:r w:rsidRPr="006B4363">
        <w:rPr>
          <w:rFonts w:cs="Gautami"/>
          <w:sz w:val="20"/>
          <w:szCs w:val="20"/>
        </w:rPr>
        <w:t xml:space="preserve">Further, there can be ‘competition’ between these elements of the supply chain. For example, a supply reliability issue may be addressed through a network augmentation, by building local generation or implementing a demand side option. A regulatory approach that prevents </w:t>
      </w:r>
      <w:r w:rsidR="0089199B" w:rsidRPr="006B4363">
        <w:rPr>
          <w:rFonts w:cs="Gautami"/>
          <w:sz w:val="20"/>
          <w:szCs w:val="20"/>
        </w:rPr>
        <w:t xml:space="preserve">looking at this </w:t>
      </w:r>
      <w:r w:rsidRPr="006B4363">
        <w:rPr>
          <w:rFonts w:cs="Gautami"/>
          <w:sz w:val="20"/>
          <w:szCs w:val="20"/>
        </w:rPr>
        <w:t>issue holistically</w:t>
      </w:r>
      <w:r w:rsidR="0089199B" w:rsidRPr="006B4363">
        <w:rPr>
          <w:rFonts w:cs="Gautami"/>
          <w:sz w:val="20"/>
          <w:szCs w:val="20"/>
        </w:rPr>
        <w:t xml:space="preserve"> may not isolate the best option and may introduce inefficiencies.  </w:t>
      </w:r>
    </w:p>
    <w:p w:rsidR="00DA13BE" w:rsidRPr="006B4363" w:rsidRDefault="00DA13BE" w:rsidP="006B4363">
      <w:pPr>
        <w:pStyle w:val="AERbodytext"/>
        <w:spacing w:line="276" w:lineRule="auto"/>
        <w:jc w:val="left"/>
        <w:rPr>
          <w:rFonts w:cs="Gautami"/>
          <w:sz w:val="20"/>
          <w:szCs w:val="20"/>
        </w:rPr>
      </w:pPr>
      <w:r w:rsidRPr="006B4363">
        <w:rPr>
          <w:rFonts w:cs="Gautami"/>
          <w:sz w:val="20"/>
          <w:szCs w:val="20"/>
        </w:rPr>
        <w:t xml:space="preserve">Industry market structure is also increasingly integrated. Notably, there has been a major industry trend towards vertical integration of generation and retail over the past decade. </w:t>
      </w:r>
      <w:r w:rsidRPr="008A230D">
        <w:rPr>
          <w:rFonts w:cs="Gautami"/>
          <w:sz w:val="20"/>
          <w:szCs w:val="20"/>
        </w:rPr>
        <w:t>Vertical integration provides a means for retailers</w:t>
      </w:r>
      <w:r>
        <w:rPr>
          <w:rFonts w:cs="Gautami"/>
          <w:sz w:val="20"/>
          <w:szCs w:val="20"/>
        </w:rPr>
        <w:t xml:space="preserve"> </w:t>
      </w:r>
      <w:r w:rsidRPr="008A230D">
        <w:rPr>
          <w:rFonts w:cs="Gautami"/>
          <w:sz w:val="20"/>
          <w:szCs w:val="20"/>
        </w:rPr>
        <w:t>and generators to internally manage the risk of price</w:t>
      </w:r>
      <w:r>
        <w:rPr>
          <w:rFonts w:cs="Gautami"/>
          <w:sz w:val="20"/>
          <w:szCs w:val="20"/>
        </w:rPr>
        <w:t xml:space="preserve"> </w:t>
      </w:r>
      <w:r w:rsidRPr="008A230D">
        <w:rPr>
          <w:rFonts w:cs="Gautami"/>
          <w:sz w:val="20"/>
          <w:szCs w:val="20"/>
        </w:rPr>
        <w:t>volatility in the electricity spot market, reducing their need</w:t>
      </w:r>
      <w:r>
        <w:rPr>
          <w:rFonts w:cs="Gautami"/>
          <w:sz w:val="20"/>
          <w:szCs w:val="20"/>
        </w:rPr>
        <w:t xml:space="preserve"> </w:t>
      </w:r>
      <w:r w:rsidRPr="008A230D">
        <w:rPr>
          <w:rFonts w:cs="Gautami"/>
          <w:sz w:val="20"/>
          <w:szCs w:val="20"/>
        </w:rPr>
        <w:t>to participate in hedge (contract) markets.</w:t>
      </w:r>
      <w:r>
        <w:rPr>
          <w:rFonts w:cs="Gautami"/>
          <w:sz w:val="20"/>
          <w:szCs w:val="20"/>
        </w:rPr>
        <w:t xml:space="preserve"> </w:t>
      </w:r>
      <w:r w:rsidRPr="006B4363">
        <w:rPr>
          <w:rFonts w:cs="Gautami"/>
          <w:sz w:val="20"/>
          <w:szCs w:val="20"/>
        </w:rPr>
        <w:t>Th</w:t>
      </w:r>
      <w:r>
        <w:rPr>
          <w:rFonts w:cs="Gautami"/>
          <w:sz w:val="20"/>
          <w:szCs w:val="20"/>
        </w:rPr>
        <w:t>ree major businesses – AGL</w:t>
      </w:r>
      <w:r w:rsidRPr="006B4363">
        <w:rPr>
          <w:rFonts w:cs="Gautami"/>
          <w:sz w:val="20"/>
          <w:szCs w:val="20"/>
        </w:rPr>
        <w:t>, Energy Australia a</w:t>
      </w:r>
      <w:r>
        <w:rPr>
          <w:rFonts w:cs="Gautami"/>
          <w:sz w:val="20"/>
          <w:szCs w:val="20"/>
        </w:rPr>
        <w:t xml:space="preserve">nd Origin – have </w:t>
      </w:r>
      <w:r w:rsidRPr="006B4363">
        <w:rPr>
          <w:rFonts w:cs="Gautami"/>
          <w:sz w:val="20"/>
          <w:szCs w:val="20"/>
        </w:rPr>
        <w:t xml:space="preserve">significant </w:t>
      </w:r>
      <w:r>
        <w:rPr>
          <w:rFonts w:cs="Gautami"/>
          <w:sz w:val="20"/>
          <w:szCs w:val="20"/>
        </w:rPr>
        <w:t>market share in both retail and generation markets</w:t>
      </w:r>
      <w:r w:rsidRPr="006B4363">
        <w:rPr>
          <w:rFonts w:cs="Gautami"/>
          <w:sz w:val="20"/>
          <w:szCs w:val="20"/>
        </w:rPr>
        <w:t>.</w:t>
      </w:r>
      <w:r>
        <w:rPr>
          <w:rFonts w:cs="Gautami"/>
          <w:sz w:val="20"/>
          <w:szCs w:val="20"/>
        </w:rPr>
        <w:t xml:space="preserve"> These businesses also </w:t>
      </w:r>
      <w:r w:rsidRPr="008A230D">
        <w:rPr>
          <w:rFonts w:cs="Gautami"/>
          <w:sz w:val="20"/>
          <w:szCs w:val="20"/>
        </w:rPr>
        <w:t>have interests in gas production</w:t>
      </w:r>
      <w:r>
        <w:rPr>
          <w:rFonts w:cs="Gautami"/>
          <w:sz w:val="20"/>
          <w:szCs w:val="20"/>
        </w:rPr>
        <w:t xml:space="preserve"> </w:t>
      </w:r>
      <w:r w:rsidRPr="008A230D">
        <w:rPr>
          <w:rFonts w:cs="Gautami"/>
          <w:sz w:val="20"/>
          <w:szCs w:val="20"/>
        </w:rPr>
        <w:t>and/or gas storage</w:t>
      </w:r>
      <w:r>
        <w:rPr>
          <w:rFonts w:cs="Gautami"/>
          <w:sz w:val="20"/>
          <w:szCs w:val="20"/>
        </w:rPr>
        <w:t xml:space="preserve">. </w:t>
      </w:r>
      <w:r w:rsidRPr="008A230D">
        <w:rPr>
          <w:rFonts w:cs="Gautami"/>
          <w:sz w:val="20"/>
          <w:szCs w:val="20"/>
        </w:rPr>
        <w:t>Vertical integration is common among other market</w:t>
      </w:r>
      <w:r>
        <w:rPr>
          <w:rFonts w:cs="Gautami"/>
          <w:sz w:val="20"/>
          <w:szCs w:val="20"/>
        </w:rPr>
        <w:t xml:space="preserve"> </w:t>
      </w:r>
      <w:r w:rsidRPr="008A230D">
        <w:rPr>
          <w:rFonts w:cs="Gautami"/>
          <w:sz w:val="20"/>
          <w:szCs w:val="20"/>
        </w:rPr>
        <w:t>participants too. Former stand-alone generators</w:t>
      </w:r>
      <w:r>
        <w:rPr>
          <w:rFonts w:cs="Gautami"/>
          <w:sz w:val="20"/>
          <w:szCs w:val="20"/>
        </w:rPr>
        <w:t xml:space="preserve"> </w:t>
      </w:r>
      <w:r w:rsidRPr="008A230D">
        <w:rPr>
          <w:rFonts w:cs="Gautami"/>
          <w:sz w:val="20"/>
          <w:szCs w:val="20"/>
        </w:rPr>
        <w:t xml:space="preserve">International Power, </w:t>
      </w:r>
      <w:proofErr w:type="spellStart"/>
      <w:r w:rsidRPr="008A230D">
        <w:rPr>
          <w:rFonts w:cs="Gautami"/>
          <w:sz w:val="20"/>
          <w:szCs w:val="20"/>
        </w:rPr>
        <w:t>Infratil</w:t>
      </w:r>
      <w:proofErr w:type="spellEnd"/>
      <w:r>
        <w:rPr>
          <w:rFonts w:cs="Gautami"/>
          <w:sz w:val="20"/>
          <w:szCs w:val="20"/>
        </w:rPr>
        <w:t xml:space="preserve">, </w:t>
      </w:r>
      <w:proofErr w:type="spellStart"/>
      <w:r w:rsidRPr="008A230D">
        <w:rPr>
          <w:rFonts w:cs="Gautami"/>
          <w:sz w:val="20"/>
          <w:szCs w:val="20"/>
        </w:rPr>
        <w:t>Alinta</w:t>
      </w:r>
      <w:proofErr w:type="spellEnd"/>
      <w:r>
        <w:rPr>
          <w:rFonts w:cs="Gautami"/>
          <w:sz w:val="20"/>
          <w:szCs w:val="20"/>
        </w:rPr>
        <w:t xml:space="preserve">, Snowy Hydro and Hydro Tasmania all now have a </w:t>
      </w:r>
      <w:r w:rsidRPr="008A230D">
        <w:rPr>
          <w:rFonts w:cs="Gautami"/>
          <w:sz w:val="20"/>
          <w:szCs w:val="20"/>
        </w:rPr>
        <w:t xml:space="preserve">retail </w:t>
      </w:r>
      <w:r>
        <w:rPr>
          <w:rFonts w:cs="Gautami"/>
          <w:sz w:val="20"/>
          <w:szCs w:val="20"/>
        </w:rPr>
        <w:t xml:space="preserve">presence. </w:t>
      </w:r>
      <w:r w:rsidRPr="008A230D">
        <w:rPr>
          <w:rFonts w:cs="Gautami"/>
          <w:sz w:val="20"/>
          <w:szCs w:val="20"/>
        </w:rPr>
        <w:t>In addition, the</w:t>
      </w:r>
      <w:r>
        <w:rPr>
          <w:rFonts w:cs="Gautami"/>
          <w:sz w:val="20"/>
          <w:szCs w:val="20"/>
        </w:rPr>
        <w:t>re are</w:t>
      </w:r>
      <w:r w:rsidRPr="008A230D">
        <w:rPr>
          <w:rFonts w:cs="Gautami"/>
          <w:sz w:val="20"/>
          <w:szCs w:val="20"/>
        </w:rPr>
        <w:t xml:space="preserve"> distribution−retail businesses</w:t>
      </w:r>
      <w:r>
        <w:rPr>
          <w:rFonts w:cs="Gautami"/>
          <w:sz w:val="20"/>
          <w:szCs w:val="20"/>
        </w:rPr>
        <w:t xml:space="preserve"> in Queensland, Tasmania and the </w:t>
      </w:r>
      <w:r w:rsidRPr="008A230D">
        <w:rPr>
          <w:rFonts w:cs="Gautami"/>
          <w:sz w:val="20"/>
          <w:szCs w:val="20"/>
        </w:rPr>
        <w:t>ACT</w:t>
      </w:r>
      <w:r>
        <w:rPr>
          <w:rFonts w:cs="Gautami"/>
          <w:sz w:val="20"/>
          <w:szCs w:val="20"/>
        </w:rPr>
        <w:t xml:space="preserve">. </w:t>
      </w:r>
    </w:p>
    <w:p w:rsidR="004B10E4" w:rsidRDefault="0089199B" w:rsidP="006B4363">
      <w:pPr>
        <w:pStyle w:val="AERbodytext"/>
        <w:spacing w:line="276" w:lineRule="auto"/>
        <w:jc w:val="left"/>
        <w:rPr>
          <w:rFonts w:cs="Gautami"/>
          <w:sz w:val="20"/>
          <w:szCs w:val="20"/>
        </w:rPr>
      </w:pPr>
      <w:r w:rsidRPr="006B4363">
        <w:rPr>
          <w:rFonts w:cs="Gautami"/>
          <w:sz w:val="20"/>
          <w:szCs w:val="20"/>
        </w:rPr>
        <w:t xml:space="preserve">Another </w:t>
      </w:r>
      <w:r w:rsidR="00DB6023">
        <w:rPr>
          <w:rFonts w:cs="Gautami"/>
          <w:sz w:val="20"/>
          <w:szCs w:val="20"/>
        </w:rPr>
        <w:t>implication to</w:t>
      </w:r>
      <w:r w:rsidRPr="006B4363">
        <w:rPr>
          <w:rFonts w:cs="Gautami"/>
          <w:sz w:val="20"/>
          <w:szCs w:val="20"/>
        </w:rPr>
        <w:t xml:space="preserve"> dealing with elements of the sector in isolation is that </w:t>
      </w:r>
      <w:r w:rsidR="00A61198">
        <w:rPr>
          <w:rFonts w:cs="Gautami"/>
          <w:sz w:val="20"/>
          <w:szCs w:val="20"/>
        </w:rPr>
        <w:t xml:space="preserve">energy </w:t>
      </w:r>
      <w:r w:rsidRPr="006B4363">
        <w:rPr>
          <w:rFonts w:cs="Gautami"/>
          <w:sz w:val="20"/>
          <w:szCs w:val="20"/>
        </w:rPr>
        <w:t>markets are</w:t>
      </w:r>
      <w:r w:rsidR="00A61198">
        <w:rPr>
          <w:rFonts w:cs="Gautami"/>
          <w:sz w:val="20"/>
          <w:szCs w:val="20"/>
        </w:rPr>
        <w:t xml:space="preserve"> dynamic and the roles of generators, networks, retailers and customers are</w:t>
      </w:r>
      <w:r w:rsidRPr="006B4363">
        <w:rPr>
          <w:rFonts w:cs="Gautami"/>
          <w:sz w:val="20"/>
          <w:szCs w:val="20"/>
        </w:rPr>
        <w:t xml:space="preserve"> rapidly evolving</w:t>
      </w:r>
      <w:r w:rsidR="00A61198">
        <w:rPr>
          <w:rFonts w:cs="Gautami"/>
          <w:sz w:val="20"/>
          <w:szCs w:val="20"/>
        </w:rPr>
        <w:t xml:space="preserve">. </w:t>
      </w:r>
      <w:r w:rsidR="004B3D04">
        <w:rPr>
          <w:rFonts w:cs="Gautami"/>
          <w:sz w:val="20"/>
          <w:szCs w:val="20"/>
        </w:rPr>
        <w:t xml:space="preserve">With the significant uptake of household solar – over a million households nationally have installed solar </w:t>
      </w:r>
      <w:r w:rsidR="004B3D04" w:rsidRPr="004B3D04">
        <w:rPr>
          <w:rFonts w:cs="Gautami"/>
          <w:sz w:val="20"/>
          <w:szCs w:val="20"/>
        </w:rPr>
        <w:t>photovoltaic (PV) panels</w:t>
      </w:r>
      <w:r w:rsidR="004B3D04">
        <w:rPr>
          <w:rFonts w:cs="Gautami"/>
          <w:sz w:val="20"/>
          <w:szCs w:val="20"/>
        </w:rPr>
        <w:t xml:space="preserve"> – and recent developments in energy storage, customers are becoming much more than passive players at the end of the energy supply chain. These developments mean that customers will potentially be consumers one day and generators the next. Customers </w:t>
      </w:r>
      <w:r w:rsidR="000C1CC1">
        <w:rPr>
          <w:rFonts w:cs="Gautami"/>
          <w:sz w:val="20"/>
          <w:szCs w:val="20"/>
        </w:rPr>
        <w:t>could</w:t>
      </w:r>
      <w:r w:rsidR="004B3D04">
        <w:rPr>
          <w:rFonts w:cs="Gautami"/>
          <w:sz w:val="20"/>
          <w:szCs w:val="20"/>
        </w:rPr>
        <w:t xml:space="preserve"> increasingly provide services to distribution businesses (</w:t>
      </w:r>
      <w:r w:rsidR="000C1CC1">
        <w:rPr>
          <w:rFonts w:cs="Gautami"/>
          <w:sz w:val="20"/>
          <w:szCs w:val="20"/>
        </w:rPr>
        <w:t>to manage network issues</w:t>
      </w:r>
      <w:r w:rsidR="004B3D04">
        <w:rPr>
          <w:rFonts w:cs="Gautami"/>
          <w:sz w:val="20"/>
          <w:szCs w:val="20"/>
        </w:rPr>
        <w:t>) and to retailers (</w:t>
      </w:r>
      <w:r w:rsidR="000C1CC1">
        <w:rPr>
          <w:rFonts w:cs="Gautami"/>
          <w:sz w:val="20"/>
          <w:szCs w:val="20"/>
        </w:rPr>
        <w:t>to manage wholesale market issues</w:t>
      </w:r>
      <w:r w:rsidR="004B3D04">
        <w:rPr>
          <w:rFonts w:cs="Gautami"/>
          <w:sz w:val="20"/>
          <w:szCs w:val="20"/>
        </w:rPr>
        <w:t>).</w:t>
      </w:r>
      <w:r w:rsidR="004B10E4">
        <w:rPr>
          <w:rFonts w:cs="Gautami"/>
          <w:sz w:val="20"/>
          <w:szCs w:val="20"/>
        </w:rPr>
        <w:t xml:space="preserve"> These changes are profound and have impacts across the whole sector. </w:t>
      </w:r>
      <w:r w:rsidR="004B10E4" w:rsidRPr="006B4363">
        <w:rPr>
          <w:rFonts w:cs="Gautami"/>
          <w:sz w:val="20"/>
          <w:szCs w:val="20"/>
        </w:rPr>
        <w:t xml:space="preserve">It is unclear whether a framework that tries to split regulatory roles will be </w:t>
      </w:r>
      <w:r w:rsidR="004B10E4">
        <w:rPr>
          <w:rFonts w:cs="Gautami"/>
          <w:sz w:val="20"/>
          <w:szCs w:val="20"/>
        </w:rPr>
        <w:t xml:space="preserve">able to </w:t>
      </w:r>
      <w:r w:rsidR="00DB6023">
        <w:rPr>
          <w:rFonts w:cs="Gautami"/>
          <w:sz w:val="20"/>
          <w:szCs w:val="20"/>
        </w:rPr>
        <w:t>approach regulation with</w:t>
      </w:r>
      <w:r w:rsidR="004B10E4">
        <w:rPr>
          <w:rFonts w:cs="Gautami"/>
          <w:sz w:val="20"/>
          <w:szCs w:val="20"/>
        </w:rPr>
        <w:t xml:space="preserve"> a holistic view on these developments.</w:t>
      </w:r>
    </w:p>
    <w:p w:rsidR="0089199B" w:rsidRDefault="004B10E4" w:rsidP="004B10E4">
      <w:pPr>
        <w:pStyle w:val="AERbodytext"/>
        <w:spacing w:line="276" w:lineRule="auto"/>
        <w:jc w:val="left"/>
        <w:rPr>
          <w:rFonts w:cs="Gautami"/>
          <w:sz w:val="20"/>
          <w:szCs w:val="20"/>
        </w:rPr>
      </w:pPr>
      <w:r>
        <w:rPr>
          <w:rFonts w:cs="Gautami"/>
          <w:sz w:val="20"/>
          <w:szCs w:val="20"/>
        </w:rPr>
        <w:lastRenderedPageBreak/>
        <w:t xml:space="preserve">The role that some services play within this integrated market is also changing. </w:t>
      </w:r>
      <w:r w:rsidR="0089199B" w:rsidRPr="006B4363">
        <w:rPr>
          <w:rFonts w:cs="Gautami"/>
          <w:sz w:val="20"/>
          <w:szCs w:val="20"/>
        </w:rPr>
        <w:t xml:space="preserve">As an example, metering has traditionally </w:t>
      </w:r>
      <w:r w:rsidR="009927CF">
        <w:rPr>
          <w:rFonts w:cs="Gautami"/>
          <w:sz w:val="20"/>
          <w:szCs w:val="20"/>
        </w:rPr>
        <w:t xml:space="preserve">been </w:t>
      </w:r>
      <w:r w:rsidR="0089199B" w:rsidRPr="006B4363">
        <w:rPr>
          <w:rFonts w:cs="Gautami"/>
          <w:sz w:val="20"/>
          <w:szCs w:val="20"/>
        </w:rPr>
        <w:t xml:space="preserve">a regulated service provided by network businesses, but is now increasingly being opened up to competition. </w:t>
      </w:r>
      <w:r>
        <w:rPr>
          <w:rFonts w:cs="Gautami"/>
          <w:sz w:val="20"/>
          <w:szCs w:val="20"/>
        </w:rPr>
        <w:t>A</w:t>
      </w:r>
      <w:r w:rsidR="0089199B" w:rsidRPr="006B4363">
        <w:rPr>
          <w:rFonts w:cs="Gautami"/>
          <w:sz w:val="20"/>
          <w:szCs w:val="20"/>
        </w:rPr>
        <w:t xml:space="preserve"> framework that tries to </w:t>
      </w:r>
      <w:r>
        <w:rPr>
          <w:rFonts w:cs="Gautami"/>
          <w:sz w:val="20"/>
          <w:szCs w:val="20"/>
        </w:rPr>
        <w:t>divide</w:t>
      </w:r>
      <w:r w:rsidRPr="006B4363">
        <w:rPr>
          <w:rFonts w:cs="Gautami"/>
          <w:sz w:val="20"/>
          <w:szCs w:val="20"/>
        </w:rPr>
        <w:t xml:space="preserve"> </w:t>
      </w:r>
      <w:r w:rsidR="0089199B" w:rsidRPr="006B4363">
        <w:rPr>
          <w:rFonts w:cs="Gautami"/>
          <w:sz w:val="20"/>
          <w:szCs w:val="20"/>
        </w:rPr>
        <w:t xml:space="preserve">regulatory roles </w:t>
      </w:r>
      <w:r>
        <w:rPr>
          <w:rFonts w:cs="Gautami"/>
          <w:sz w:val="20"/>
          <w:szCs w:val="20"/>
        </w:rPr>
        <w:t>may not</w:t>
      </w:r>
      <w:r w:rsidR="0089199B" w:rsidRPr="006B4363">
        <w:rPr>
          <w:rFonts w:cs="Gautami"/>
          <w:sz w:val="20"/>
          <w:szCs w:val="20"/>
        </w:rPr>
        <w:t xml:space="preserve"> be sufficiently flexible to adapt to the</w:t>
      </w:r>
      <w:r>
        <w:rPr>
          <w:rFonts w:cs="Gautami"/>
          <w:sz w:val="20"/>
          <w:szCs w:val="20"/>
        </w:rPr>
        <w:t>se</w:t>
      </w:r>
      <w:r w:rsidR="0089199B" w:rsidRPr="006B4363">
        <w:rPr>
          <w:rFonts w:cs="Gautami"/>
          <w:sz w:val="20"/>
          <w:szCs w:val="20"/>
        </w:rPr>
        <w:t xml:space="preserve"> changes that are taking place in energy markets.</w:t>
      </w:r>
    </w:p>
    <w:p w:rsidR="00DA13BE" w:rsidRPr="006B4363" w:rsidRDefault="00DA13BE" w:rsidP="004B10E4">
      <w:pPr>
        <w:pStyle w:val="AERbodytext"/>
        <w:spacing w:line="276" w:lineRule="auto"/>
        <w:jc w:val="left"/>
        <w:rPr>
          <w:rFonts w:cs="Gautami"/>
          <w:sz w:val="20"/>
          <w:szCs w:val="20"/>
        </w:rPr>
      </w:pPr>
      <w:r w:rsidRPr="00DA13BE">
        <w:rPr>
          <w:rFonts w:cs="Gautami"/>
          <w:sz w:val="20"/>
          <w:szCs w:val="20"/>
        </w:rPr>
        <w:t>Competition policy and economic regulation are both policies aimed at achieving the single objective of improving the welfare of consumers. They need to work together to achieve this goal. Moreover, the best mix of policies is likely to vary through time. The necessary degree of coordination may be harder to achieve when responsibilities in energy markets are split between an access and pricing regulator and the ACCC</w:t>
      </w:r>
      <w:r>
        <w:rPr>
          <w:rFonts w:cs="Gautami"/>
          <w:sz w:val="20"/>
          <w:szCs w:val="20"/>
        </w:rPr>
        <w:t>.</w:t>
      </w:r>
    </w:p>
    <w:p w:rsidR="00141418" w:rsidRPr="006B4363" w:rsidRDefault="00857A32" w:rsidP="006B4363">
      <w:pPr>
        <w:pStyle w:val="AERbodytext"/>
        <w:spacing w:line="276" w:lineRule="auto"/>
        <w:jc w:val="left"/>
        <w:rPr>
          <w:rFonts w:cs="Gautami"/>
          <w:i/>
          <w:sz w:val="20"/>
          <w:szCs w:val="20"/>
        </w:rPr>
      </w:pPr>
      <w:r>
        <w:rPr>
          <w:rFonts w:cs="Gautami"/>
          <w:i/>
          <w:sz w:val="20"/>
          <w:szCs w:val="20"/>
        </w:rPr>
        <w:t xml:space="preserve">The proposal mischaracterises the </w:t>
      </w:r>
      <w:r w:rsidR="000A79A0" w:rsidRPr="006B4363">
        <w:rPr>
          <w:rFonts w:cs="Gautami"/>
          <w:i/>
          <w:sz w:val="20"/>
          <w:szCs w:val="20"/>
        </w:rPr>
        <w:t xml:space="preserve">Retail Law </w:t>
      </w:r>
      <w:r>
        <w:rPr>
          <w:rFonts w:cs="Gautami"/>
          <w:i/>
          <w:sz w:val="20"/>
          <w:szCs w:val="20"/>
        </w:rPr>
        <w:t>and the AER’s retail responsibilities</w:t>
      </w:r>
    </w:p>
    <w:p w:rsidR="00857A32" w:rsidRDefault="000A79A0" w:rsidP="006B4363">
      <w:pPr>
        <w:pStyle w:val="AERbodytext"/>
        <w:spacing w:line="276" w:lineRule="auto"/>
        <w:jc w:val="left"/>
        <w:rPr>
          <w:rFonts w:cs="Gautami"/>
          <w:sz w:val="20"/>
          <w:szCs w:val="20"/>
        </w:rPr>
      </w:pPr>
      <w:r w:rsidRPr="006B4363">
        <w:rPr>
          <w:rFonts w:cs="Gautami"/>
          <w:sz w:val="20"/>
          <w:szCs w:val="20"/>
        </w:rPr>
        <w:t xml:space="preserve">A second major </w:t>
      </w:r>
      <w:r w:rsidR="00DB6023">
        <w:rPr>
          <w:rFonts w:cs="Gautami"/>
          <w:sz w:val="20"/>
          <w:szCs w:val="20"/>
        </w:rPr>
        <w:t>implication</w:t>
      </w:r>
      <w:r w:rsidRPr="006B4363">
        <w:rPr>
          <w:rFonts w:cs="Gautami"/>
          <w:sz w:val="20"/>
          <w:szCs w:val="20"/>
        </w:rPr>
        <w:t xml:space="preserve"> </w:t>
      </w:r>
      <w:r w:rsidR="00B7453F">
        <w:rPr>
          <w:rFonts w:cs="Gautami"/>
          <w:sz w:val="20"/>
          <w:szCs w:val="20"/>
        </w:rPr>
        <w:t>concerns the</w:t>
      </w:r>
      <w:r w:rsidRPr="006B4363">
        <w:rPr>
          <w:rFonts w:cs="Gautami"/>
          <w:sz w:val="20"/>
          <w:szCs w:val="20"/>
        </w:rPr>
        <w:t xml:space="preserve"> proposal </w:t>
      </w:r>
      <w:r w:rsidR="00B7453F">
        <w:rPr>
          <w:rFonts w:cs="Gautami"/>
          <w:sz w:val="20"/>
          <w:szCs w:val="20"/>
        </w:rPr>
        <w:t xml:space="preserve">that the ACCC assume the AER’s retail responsibilities. It appears that the rationale for this recommendation is that </w:t>
      </w:r>
      <w:r w:rsidR="00857A32">
        <w:rPr>
          <w:rFonts w:cs="Gautami"/>
          <w:sz w:val="20"/>
          <w:szCs w:val="20"/>
        </w:rPr>
        <w:t>the</w:t>
      </w:r>
      <w:r w:rsidR="00B7453F">
        <w:rPr>
          <w:rFonts w:cs="Gautami"/>
          <w:sz w:val="20"/>
          <w:szCs w:val="20"/>
        </w:rPr>
        <w:t xml:space="preserve"> AER’s retail responsibilities </w:t>
      </w:r>
      <w:r w:rsidR="000C1CC1">
        <w:rPr>
          <w:rFonts w:cs="Gautami"/>
          <w:sz w:val="20"/>
          <w:szCs w:val="20"/>
        </w:rPr>
        <w:t xml:space="preserve">limited to </w:t>
      </w:r>
      <w:r w:rsidR="00B7453F">
        <w:rPr>
          <w:rFonts w:cs="Gautami"/>
          <w:sz w:val="20"/>
          <w:szCs w:val="20"/>
        </w:rPr>
        <w:t>consumer protection and competition functions that would sit well</w:t>
      </w:r>
      <w:r w:rsidR="00857A32">
        <w:rPr>
          <w:rFonts w:cs="Gautami"/>
          <w:sz w:val="20"/>
          <w:szCs w:val="20"/>
        </w:rPr>
        <w:t xml:space="preserve"> with the ACCC. This, however, </w:t>
      </w:r>
      <w:r w:rsidRPr="006B4363">
        <w:rPr>
          <w:rFonts w:cs="Gautami"/>
          <w:sz w:val="20"/>
          <w:szCs w:val="20"/>
        </w:rPr>
        <w:t xml:space="preserve">mischaracterises the </w:t>
      </w:r>
      <w:r w:rsidR="00DC0B4F" w:rsidRPr="006B4363">
        <w:rPr>
          <w:rFonts w:cs="Gautami"/>
          <w:sz w:val="20"/>
          <w:szCs w:val="20"/>
        </w:rPr>
        <w:t xml:space="preserve">Retail Law and the AER’s obligations under it. </w:t>
      </w:r>
    </w:p>
    <w:p w:rsidR="00154893" w:rsidRDefault="00FD2332" w:rsidP="00CE4421">
      <w:pPr>
        <w:autoSpaceDE w:val="0"/>
        <w:autoSpaceDN w:val="0"/>
        <w:adjustRightInd w:val="0"/>
        <w:spacing w:line="276" w:lineRule="auto"/>
        <w:jc w:val="left"/>
        <w:rPr>
          <w:rFonts w:cs="Gautami"/>
          <w:sz w:val="20"/>
          <w:szCs w:val="20"/>
        </w:rPr>
      </w:pPr>
      <w:r>
        <w:rPr>
          <w:rFonts w:cs="Gautami"/>
          <w:sz w:val="20"/>
          <w:szCs w:val="20"/>
        </w:rPr>
        <w:t>The Retail Law provides an overall framework for the regulation of retail energy supply</w:t>
      </w:r>
      <w:r w:rsidR="00AB157D">
        <w:rPr>
          <w:rFonts w:cs="Gautami"/>
          <w:sz w:val="20"/>
          <w:szCs w:val="20"/>
        </w:rPr>
        <w:t xml:space="preserve">. </w:t>
      </w:r>
      <w:r w:rsidR="00591DB6">
        <w:rPr>
          <w:rFonts w:cs="Gautami"/>
          <w:sz w:val="20"/>
          <w:szCs w:val="20"/>
        </w:rPr>
        <w:t>The Retail Law includes provisions covering:</w:t>
      </w:r>
    </w:p>
    <w:p w:rsidR="00CE4421" w:rsidRPr="00CE4421" w:rsidRDefault="00CE4421" w:rsidP="00CE4421">
      <w:pPr>
        <w:pStyle w:val="AERbodytext"/>
        <w:spacing w:after="0"/>
        <w:rPr>
          <w:lang w:eastAsia="en-AU"/>
        </w:rPr>
      </w:pPr>
    </w:p>
    <w:p w:rsidR="00591DB6" w:rsidRPr="007C4B24" w:rsidRDefault="00CE4421" w:rsidP="00591DB6">
      <w:pPr>
        <w:pStyle w:val="AERbodytext"/>
        <w:numPr>
          <w:ilvl w:val="0"/>
          <w:numId w:val="19"/>
        </w:numPr>
        <w:spacing w:line="276" w:lineRule="auto"/>
        <w:jc w:val="left"/>
        <w:rPr>
          <w:rFonts w:cs="Gautami"/>
          <w:sz w:val="20"/>
          <w:szCs w:val="20"/>
        </w:rPr>
      </w:pPr>
      <w:r>
        <w:rPr>
          <w:rFonts w:cs="Gautami"/>
          <w:sz w:val="20"/>
          <w:szCs w:val="20"/>
        </w:rPr>
        <w:t>t</w:t>
      </w:r>
      <w:r w:rsidR="00591DB6">
        <w:rPr>
          <w:rFonts w:cs="Gautami"/>
          <w:sz w:val="20"/>
          <w:szCs w:val="20"/>
        </w:rPr>
        <w:t>he r</w:t>
      </w:r>
      <w:r w:rsidR="00591DB6" w:rsidRPr="007C4B24">
        <w:rPr>
          <w:rFonts w:cs="Gautami"/>
          <w:sz w:val="20"/>
          <w:szCs w:val="20"/>
        </w:rPr>
        <w:t xml:space="preserve">elationship between retailers and small customers – including in relation to customer hardship, payment plans, energy marketing and prepayment meters </w:t>
      </w:r>
    </w:p>
    <w:p w:rsidR="00591DB6" w:rsidRPr="007C4B24" w:rsidRDefault="00CE4421" w:rsidP="00591DB6">
      <w:pPr>
        <w:pStyle w:val="AERbodytext"/>
        <w:numPr>
          <w:ilvl w:val="0"/>
          <w:numId w:val="19"/>
        </w:numPr>
        <w:spacing w:line="276" w:lineRule="auto"/>
        <w:jc w:val="left"/>
        <w:rPr>
          <w:rFonts w:cs="Gautami"/>
          <w:sz w:val="20"/>
          <w:szCs w:val="20"/>
        </w:rPr>
      </w:pPr>
      <w:r>
        <w:rPr>
          <w:rFonts w:cs="Gautami"/>
          <w:sz w:val="20"/>
          <w:szCs w:val="20"/>
        </w:rPr>
        <w:t>t</w:t>
      </w:r>
      <w:r w:rsidR="00591DB6">
        <w:rPr>
          <w:rFonts w:cs="Gautami"/>
          <w:sz w:val="20"/>
          <w:szCs w:val="20"/>
        </w:rPr>
        <w:t>he r</w:t>
      </w:r>
      <w:r w:rsidR="00591DB6" w:rsidRPr="007C4B24">
        <w:rPr>
          <w:rFonts w:cs="Gautami"/>
          <w:sz w:val="20"/>
          <w:szCs w:val="20"/>
        </w:rPr>
        <w:t>elationship between distributors and customers</w:t>
      </w:r>
      <w:r w:rsidR="00FD2332">
        <w:rPr>
          <w:rFonts w:cs="Gautami"/>
          <w:sz w:val="20"/>
          <w:szCs w:val="20"/>
        </w:rPr>
        <w:t xml:space="preserve"> – including </w:t>
      </w:r>
      <w:r w:rsidR="00591DB6" w:rsidRPr="007C4B24">
        <w:rPr>
          <w:rFonts w:cs="Gautami"/>
          <w:sz w:val="20"/>
          <w:szCs w:val="20"/>
        </w:rPr>
        <w:t>in relation to connection services and connection contracts</w:t>
      </w:r>
    </w:p>
    <w:p w:rsidR="00591DB6" w:rsidRPr="007C4B24" w:rsidRDefault="00CE4421" w:rsidP="00591DB6">
      <w:pPr>
        <w:pStyle w:val="AERbodytext"/>
        <w:numPr>
          <w:ilvl w:val="0"/>
          <w:numId w:val="19"/>
        </w:numPr>
        <w:spacing w:line="276" w:lineRule="auto"/>
        <w:jc w:val="left"/>
        <w:rPr>
          <w:rFonts w:cs="Gautami"/>
          <w:sz w:val="20"/>
          <w:szCs w:val="20"/>
        </w:rPr>
      </w:pPr>
      <w:r>
        <w:rPr>
          <w:rFonts w:cs="Gautami"/>
          <w:sz w:val="20"/>
          <w:szCs w:val="20"/>
        </w:rPr>
        <w:t>s</w:t>
      </w:r>
      <w:r w:rsidR="00591DB6" w:rsidRPr="007C4B24">
        <w:rPr>
          <w:rFonts w:cs="Gautami"/>
          <w:sz w:val="20"/>
          <w:szCs w:val="20"/>
        </w:rPr>
        <w:t>mall customer complaints and dispute resolution</w:t>
      </w:r>
    </w:p>
    <w:p w:rsidR="00591DB6" w:rsidRPr="007C4B24" w:rsidRDefault="00CE4421" w:rsidP="00591DB6">
      <w:pPr>
        <w:pStyle w:val="AERbodytext"/>
        <w:numPr>
          <w:ilvl w:val="0"/>
          <w:numId w:val="19"/>
        </w:numPr>
        <w:spacing w:line="276" w:lineRule="auto"/>
        <w:jc w:val="left"/>
        <w:rPr>
          <w:rFonts w:cs="Gautami"/>
          <w:sz w:val="20"/>
          <w:szCs w:val="20"/>
        </w:rPr>
      </w:pPr>
      <w:r>
        <w:rPr>
          <w:rFonts w:cs="Gautami"/>
          <w:sz w:val="20"/>
          <w:szCs w:val="20"/>
        </w:rPr>
        <w:t>t</w:t>
      </w:r>
      <w:r w:rsidR="00591DB6">
        <w:rPr>
          <w:rFonts w:cs="Gautami"/>
          <w:sz w:val="20"/>
          <w:szCs w:val="20"/>
        </w:rPr>
        <w:t>he a</w:t>
      </w:r>
      <w:r w:rsidR="00591DB6" w:rsidRPr="007C4B24">
        <w:rPr>
          <w:rFonts w:cs="Gautami"/>
          <w:sz w:val="20"/>
          <w:szCs w:val="20"/>
        </w:rPr>
        <w:t xml:space="preserve">uthorisation of retailers and </w:t>
      </w:r>
      <w:r w:rsidR="00591DB6">
        <w:rPr>
          <w:rFonts w:cs="Gautami"/>
          <w:sz w:val="20"/>
          <w:szCs w:val="20"/>
        </w:rPr>
        <w:t xml:space="preserve">the </w:t>
      </w:r>
      <w:r w:rsidR="00591DB6" w:rsidRPr="007C4B24">
        <w:rPr>
          <w:rFonts w:cs="Gautami"/>
          <w:sz w:val="20"/>
          <w:szCs w:val="20"/>
        </w:rPr>
        <w:t>exempt seller regime – including authorising energy retailers, and granting exemptions from the requirement to hold a retailer authorisation</w:t>
      </w:r>
    </w:p>
    <w:p w:rsidR="00591DB6" w:rsidRDefault="00CE4421" w:rsidP="00591DB6">
      <w:pPr>
        <w:pStyle w:val="AERbodytext"/>
        <w:numPr>
          <w:ilvl w:val="0"/>
          <w:numId w:val="18"/>
        </w:numPr>
        <w:spacing w:line="276" w:lineRule="auto"/>
        <w:jc w:val="left"/>
        <w:rPr>
          <w:rFonts w:cs="Gautami"/>
          <w:sz w:val="20"/>
          <w:szCs w:val="20"/>
        </w:rPr>
      </w:pPr>
      <w:r>
        <w:rPr>
          <w:rFonts w:cs="Gautami"/>
          <w:sz w:val="20"/>
          <w:szCs w:val="20"/>
        </w:rPr>
        <w:t>the r</w:t>
      </w:r>
      <w:r w:rsidR="00591DB6" w:rsidRPr="007C4B24">
        <w:rPr>
          <w:rFonts w:cs="Gautami"/>
          <w:sz w:val="20"/>
          <w:szCs w:val="20"/>
        </w:rPr>
        <w:t xml:space="preserve">etailer of last resort </w:t>
      </w:r>
      <w:r w:rsidR="007B19BA">
        <w:rPr>
          <w:rFonts w:cs="Gautami"/>
          <w:sz w:val="20"/>
          <w:szCs w:val="20"/>
        </w:rPr>
        <w:t xml:space="preserve">(RoLR) </w:t>
      </w:r>
      <w:r w:rsidR="00591DB6" w:rsidRPr="007C4B24">
        <w:rPr>
          <w:rFonts w:cs="Gautami"/>
          <w:sz w:val="20"/>
          <w:szCs w:val="20"/>
        </w:rPr>
        <w:t>scheme – including registering and a</w:t>
      </w:r>
      <w:r w:rsidR="00591DB6">
        <w:rPr>
          <w:rFonts w:cs="Gautami"/>
          <w:sz w:val="20"/>
          <w:szCs w:val="20"/>
        </w:rPr>
        <w:t xml:space="preserve">ppointing </w:t>
      </w:r>
      <w:proofErr w:type="spellStart"/>
      <w:r w:rsidR="00591DB6">
        <w:rPr>
          <w:rFonts w:cs="Gautami"/>
          <w:sz w:val="20"/>
          <w:szCs w:val="20"/>
        </w:rPr>
        <w:t>RoLRs</w:t>
      </w:r>
      <w:proofErr w:type="spellEnd"/>
      <w:r w:rsidR="00591DB6">
        <w:rPr>
          <w:rFonts w:cs="Gautami"/>
          <w:sz w:val="20"/>
          <w:szCs w:val="20"/>
        </w:rPr>
        <w:t xml:space="preserve">, </w:t>
      </w:r>
      <w:r w:rsidR="00591DB6" w:rsidRPr="007C4B24">
        <w:rPr>
          <w:rFonts w:cs="Gautami"/>
          <w:sz w:val="20"/>
          <w:szCs w:val="20"/>
        </w:rPr>
        <w:t>declaring a RoLR event</w:t>
      </w:r>
      <w:r w:rsidR="00591DB6">
        <w:rPr>
          <w:rFonts w:cs="Gautami"/>
          <w:sz w:val="20"/>
          <w:szCs w:val="20"/>
        </w:rPr>
        <w:t>,</w:t>
      </w:r>
      <w:r w:rsidR="00591DB6" w:rsidRPr="006B4363">
        <w:rPr>
          <w:rFonts w:cs="Gautami"/>
          <w:sz w:val="20"/>
          <w:szCs w:val="20"/>
        </w:rPr>
        <w:t xml:space="preserve"> and </w:t>
      </w:r>
      <w:r w:rsidR="00591DB6">
        <w:rPr>
          <w:rFonts w:cs="Gautami"/>
          <w:sz w:val="20"/>
          <w:szCs w:val="20"/>
        </w:rPr>
        <w:t>transferring customers</w:t>
      </w:r>
      <w:r w:rsidR="00FD2332">
        <w:rPr>
          <w:rFonts w:cs="Gautami"/>
          <w:sz w:val="20"/>
          <w:szCs w:val="20"/>
        </w:rPr>
        <w:t xml:space="preserve">, and </w:t>
      </w:r>
    </w:p>
    <w:p w:rsidR="00FD2332" w:rsidRPr="00FD2332" w:rsidRDefault="00CE4421" w:rsidP="00FD2332">
      <w:pPr>
        <w:pStyle w:val="AERbodytext"/>
        <w:numPr>
          <w:ilvl w:val="0"/>
          <w:numId w:val="18"/>
        </w:numPr>
        <w:spacing w:line="276" w:lineRule="auto"/>
        <w:jc w:val="left"/>
        <w:rPr>
          <w:rFonts w:cs="Gautami"/>
          <w:sz w:val="20"/>
          <w:szCs w:val="20"/>
        </w:rPr>
      </w:pPr>
      <w:proofErr w:type="gramStart"/>
      <w:r>
        <w:rPr>
          <w:rFonts w:eastAsia="Calibri" w:cs="Gautami"/>
          <w:sz w:val="20"/>
          <w:szCs w:val="20"/>
        </w:rPr>
        <w:t>a</w:t>
      </w:r>
      <w:proofErr w:type="gramEnd"/>
      <w:r w:rsidR="00FD2332">
        <w:rPr>
          <w:rFonts w:eastAsia="Calibri" w:cs="Gautami"/>
          <w:sz w:val="20"/>
          <w:szCs w:val="20"/>
        </w:rPr>
        <w:t xml:space="preserve"> s</w:t>
      </w:r>
      <w:r w:rsidR="00FD2332" w:rsidRPr="007C4B24">
        <w:rPr>
          <w:rFonts w:eastAsia="Calibri" w:cs="Gautami"/>
          <w:sz w:val="20"/>
          <w:szCs w:val="20"/>
        </w:rPr>
        <w:t>mall compensation claims regime</w:t>
      </w:r>
      <w:r>
        <w:rPr>
          <w:rFonts w:eastAsia="Calibri" w:cs="Gautami"/>
          <w:sz w:val="20"/>
          <w:szCs w:val="20"/>
        </w:rPr>
        <w:t>.</w:t>
      </w:r>
    </w:p>
    <w:p w:rsidR="00096F5D" w:rsidRDefault="00096F5D" w:rsidP="00F9616E">
      <w:pPr>
        <w:pStyle w:val="AERbodytext"/>
        <w:spacing w:line="276" w:lineRule="auto"/>
        <w:jc w:val="left"/>
        <w:rPr>
          <w:rFonts w:cs="Gautami"/>
          <w:sz w:val="20"/>
          <w:szCs w:val="20"/>
        </w:rPr>
      </w:pPr>
      <w:r>
        <w:rPr>
          <w:rFonts w:cs="Gautami"/>
          <w:sz w:val="20"/>
          <w:szCs w:val="20"/>
        </w:rPr>
        <w:t xml:space="preserve">The Retail Law therefore governs </w:t>
      </w:r>
      <w:r w:rsidRPr="006B4363">
        <w:rPr>
          <w:rFonts w:cs="Gautami"/>
          <w:sz w:val="20"/>
          <w:szCs w:val="20"/>
        </w:rPr>
        <w:t>the relationship between energy retaile</w:t>
      </w:r>
      <w:r>
        <w:rPr>
          <w:rFonts w:cs="Gautami"/>
          <w:sz w:val="20"/>
          <w:szCs w:val="20"/>
        </w:rPr>
        <w:t>rs, distributors and retail customers – it affects a range of market participants including retailers, distributors, metering providers, ancillary service providers and the market operator. These players have interrelated obligations</w:t>
      </w:r>
      <w:r w:rsidRPr="006B4363">
        <w:rPr>
          <w:rFonts w:cs="Gautami"/>
          <w:sz w:val="20"/>
          <w:szCs w:val="20"/>
        </w:rPr>
        <w:t xml:space="preserve"> </w:t>
      </w:r>
      <w:r>
        <w:rPr>
          <w:rFonts w:cs="Gautami"/>
          <w:sz w:val="20"/>
          <w:szCs w:val="20"/>
        </w:rPr>
        <w:t>in other legislation, such as the National Electricity Law and Gas Law.</w:t>
      </w:r>
    </w:p>
    <w:p w:rsidR="001A5D88" w:rsidRDefault="007C4B24" w:rsidP="00174423">
      <w:pPr>
        <w:pStyle w:val="AERbodytext"/>
        <w:spacing w:line="276" w:lineRule="auto"/>
        <w:jc w:val="left"/>
        <w:rPr>
          <w:sz w:val="20"/>
          <w:szCs w:val="20"/>
        </w:rPr>
      </w:pPr>
      <w:r w:rsidRPr="006B4363">
        <w:rPr>
          <w:rFonts w:cs="Gautami"/>
          <w:sz w:val="20"/>
          <w:szCs w:val="20"/>
        </w:rPr>
        <w:t>While the</w:t>
      </w:r>
      <w:r w:rsidR="00A26CF4">
        <w:rPr>
          <w:rFonts w:cs="Gautami"/>
          <w:sz w:val="20"/>
          <w:szCs w:val="20"/>
        </w:rPr>
        <w:t>re are strong elements of consumer protection in a number of the</w:t>
      </w:r>
      <w:r w:rsidR="00FD2332">
        <w:rPr>
          <w:rFonts w:cs="Gautami"/>
          <w:sz w:val="20"/>
          <w:szCs w:val="20"/>
        </w:rPr>
        <w:t xml:space="preserve">se </w:t>
      </w:r>
      <w:r w:rsidR="00096F5D">
        <w:rPr>
          <w:rFonts w:cs="Gautami"/>
          <w:sz w:val="20"/>
          <w:szCs w:val="20"/>
        </w:rPr>
        <w:t xml:space="preserve">Retail Law </w:t>
      </w:r>
      <w:r w:rsidR="00FD2332">
        <w:rPr>
          <w:rFonts w:cs="Gautami"/>
          <w:sz w:val="20"/>
          <w:szCs w:val="20"/>
        </w:rPr>
        <w:t xml:space="preserve">provisions, </w:t>
      </w:r>
      <w:r w:rsidR="00F9616E">
        <w:rPr>
          <w:rFonts w:cs="Gautami"/>
          <w:sz w:val="20"/>
          <w:szCs w:val="20"/>
        </w:rPr>
        <w:t xml:space="preserve">a range of these functions are </w:t>
      </w:r>
      <w:r w:rsidR="00174423">
        <w:rPr>
          <w:rFonts w:cs="Gautami"/>
          <w:sz w:val="20"/>
          <w:szCs w:val="20"/>
        </w:rPr>
        <w:t>essentially regulatory roles</w:t>
      </w:r>
      <w:r w:rsidR="00096F5D">
        <w:rPr>
          <w:rFonts w:cs="Gautami"/>
          <w:sz w:val="20"/>
          <w:szCs w:val="20"/>
        </w:rPr>
        <w:t>. The role of authorising retailers and granting exemptions is a regulatory role requiring detailed energy sector knowledge. Retail authorisation models are evolving to include generation (embedded and renewables), energy storage capability and se</w:t>
      </w:r>
      <w:r w:rsidR="00174423">
        <w:rPr>
          <w:rFonts w:cs="Gautami"/>
          <w:sz w:val="20"/>
          <w:szCs w:val="20"/>
        </w:rPr>
        <w:t>r</w:t>
      </w:r>
      <w:r w:rsidR="00096F5D">
        <w:rPr>
          <w:rFonts w:cs="Gautami"/>
          <w:sz w:val="20"/>
          <w:szCs w:val="20"/>
        </w:rPr>
        <w:t>vice provision.</w:t>
      </w:r>
      <w:r w:rsidR="004B10E4">
        <w:rPr>
          <w:rStyle w:val="FootnoteReference"/>
          <w:sz w:val="20"/>
          <w:szCs w:val="20"/>
        </w:rPr>
        <w:footnoteReference w:id="5"/>
      </w:r>
      <w:r w:rsidR="00096F5D">
        <w:rPr>
          <w:rFonts w:cs="Gautami"/>
          <w:sz w:val="20"/>
          <w:szCs w:val="20"/>
        </w:rPr>
        <w:t xml:space="preserve"> </w:t>
      </w:r>
      <w:r w:rsidR="00174423">
        <w:rPr>
          <w:rFonts w:cs="Gautami"/>
          <w:sz w:val="20"/>
          <w:szCs w:val="20"/>
        </w:rPr>
        <w:t xml:space="preserve">This authorisation role requires a detailed understanding of developments across the </w:t>
      </w:r>
      <w:r w:rsidR="00DB6023">
        <w:rPr>
          <w:rFonts w:cs="Gautami"/>
          <w:sz w:val="20"/>
          <w:szCs w:val="20"/>
        </w:rPr>
        <w:t xml:space="preserve">entire </w:t>
      </w:r>
      <w:r w:rsidR="00174423">
        <w:rPr>
          <w:rFonts w:cs="Gautami"/>
          <w:sz w:val="20"/>
          <w:szCs w:val="20"/>
        </w:rPr>
        <w:t xml:space="preserve">supply chain. Similarly, the metering and retailer load allocation inherent in a RoLR process will continue to require a detailed </w:t>
      </w:r>
      <w:r w:rsidR="00FD2332" w:rsidRPr="006B4363">
        <w:rPr>
          <w:rFonts w:cs="Gautami"/>
          <w:sz w:val="20"/>
          <w:szCs w:val="20"/>
        </w:rPr>
        <w:t xml:space="preserve">understanding of wholesale market arrangements, market </w:t>
      </w:r>
      <w:r w:rsidR="00FD2332" w:rsidRPr="006B4363">
        <w:rPr>
          <w:rFonts w:cs="Gautami"/>
          <w:sz w:val="20"/>
          <w:szCs w:val="20"/>
        </w:rPr>
        <w:lastRenderedPageBreak/>
        <w:t>settlements and the market operator’s IT systems.</w:t>
      </w:r>
      <w:r w:rsidR="009E1D89">
        <w:rPr>
          <w:rFonts w:cs="Gautami"/>
          <w:sz w:val="20"/>
          <w:szCs w:val="20"/>
        </w:rPr>
        <w:t xml:space="preserve"> These are not roles that neatly complement the ACCC’s traditional consumer protection and competition responsibilitie</w:t>
      </w:r>
      <w:r w:rsidR="009E1D89" w:rsidRPr="001A5D88">
        <w:rPr>
          <w:rFonts w:cs="Gautami"/>
          <w:sz w:val="20"/>
          <w:szCs w:val="20"/>
        </w:rPr>
        <w:t>s.</w:t>
      </w:r>
      <w:r w:rsidR="001A5D88" w:rsidRPr="00665C95">
        <w:rPr>
          <w:sz w:val="20"/>
          <w:szCs w:val="20"/>
        </w:rPr>
        <w:t xml:space="preserve"> </w:t>
      </w:r>
    </w:p>
    <w:p w:rsidR="00FD2332" w:rsidRPr="006B4363" w:rsidRDefault="001A5D88" w:rsidP="00174423">
      <w:pPr>
        <w:pStyle w:val="AERbodytext"/>
        <w:spacing w:line="276" w:lineRule="auto"/>
        <w:jc w:val="left"/>
        <w:rPr>
          <w:rFonts w:cs="Gautami"/>
          <w:sz w:val="20"/>
          <w:szCs w:val="20"/>
        </w:rPr>
      </w:pPr>
      <w:r>
        <w:rPr>
          <w:sz w:val="20"/>
          <w:szCs w:val="20"/>
        </w:rPr>
        <w:t>Energy</w:t>
      </w:r>
      <w:r w:rsidRPr="00665C95">
        <w:rPr>
          <w:sz w:val="20"/>
          <w:szCs w:val="20"/>
        </w:rPr>
        <w:t xml:space="preserve"> policy makers are </w:t>
      </w:r>
      <w:r>
        <w:rPr>
          <w:sz w:val="20"/>
          <w:szCs w:val="20"/>
        </w:rPr>
        <w:t xml:space="preserve">also </w:t>
      </w:r>
      <w:r w:rsidRPr="00665C95">
        <w:rPr>
          <w:sz w:val="20"/>
          <w:szCs w:val="20"/>
        </w:rPr>
        <w:t xml:space="preserve">reflecting on how this regulatory framework can keep pace with innovation and technology changes occurring in the energy sector. </w:t>
      </w:r>
      <w:r>
        <w:rPr>
          <w:sz w:val="20"/>
          <w:szCs w:val="20"/>
        </w:rPr>
        <w:t xml:space="preserve">These developments may make the retail regulatory framework </w:t>
      </w:r>
      <w:r w:rsidRPr="00665C95">
        <w:rPr>
          <w:sz w:val="20"/>
          <w:szCs w:val="20"/>
        </w:rPr>
        <w:t>even more distinct from the ACCC’s existing responsibilities</w:t>
      </w:r>
      <w:r w:rsidR="00665C95">
        <w:rPr>
          <w:sz w:val="20"/>
          <w:szCs w:val="20"/>
        </w:rPr>
        <w:t>.</w:t>
      </w:r>
    </w:p>
    <w:p w:rsidR="009E1D89" w:rsidRPr="0035755B" w:rsidRDefault="00324B8D" w:rsidP="00665C95">
      <w:pPr>
        <w:pStyle w:val="AERheading2"/>
        <w:numPr>
          <w:ilvl w:val="0"/>
          <w:numId w:val="0"/>
        </w:numPr>
        <w:spacing w:before="360" w:after="240"/>
        <w:ind w:hanging="709"/>
        <w:rPr>
          <w:rFonts w:cs="Gautami"/>
          <w:i/>
          <w:color w:val="auto"/>
          <w:sz w:val="20"/>
          <w:szCs w:val="20"/>
        </w:rPr>
      </w:pPr>
      <w:r>
        <w:t>2.</w:t>
      </w:r>
      <w:r w:rsidR="009927CF">
        <w:t>3</w:t>
      </w:r>
      <w:r>
        <w:tab/>
        <w:t>Implementation issues with the draft report recommendation</w:t>
      </w:r>
    </w:p>
    <w:p w:rsidR="00AF694C" w:rsidRPr="006B4363" w:rsidRDefault="00007351" w:rsidP="006B4363">
      <w:pPr>
        <w:pStyle w:val="AERbodytext"/>
        <w:spacing w:line="276" w:lineRule="auto"/>
        <w:jc w:val="left"/>
        <w:rPr>
          <w:rFonts w:cs="Gautami"/>
          <w:color w:val="1F497D"/>
          <w:sz w:val="20"/>
          <w:szCs w:val="20"/>
        </w:rPr>
      </w:pPr>
      <w:r>
        <w:rPr>
          <w:rFonts w:cs="Gautami"/>
          <w:sz w:val="20"/>
          <w:szCs w:val="20"/>
        </w:rPr>
        <w:t>In addition to the implications we have outlined in section 2.2</w:t>
      </w:r>
      <w:r w:rsidRPr="00007351">
        <w:rPr>
          <w:rFonts w:cs="Gautami"/>
          <w:sz w:val="20"/>
          <w:szCs w:val="20"/>
        </w:rPr>
        <w:t xml:space="preserve">, we consider there are implementation issues that present significant practical obstacles to the proposed model. </w:t>
      </w:r>
      <w:r>
        <w:rPr>
          <w:rFonts w:cs="Gautami"/>
          <w:sz w:val="20"/>
          <w:szCs w:val="20"/>
        </w:rPr>
        <w:t>These practical issues would be difficult to address and create significant costs.</w:t>
      </w:r>
      <w:r w:rsidR="00AF694C" w:rsidRPr="006B4363">
        <w:rPr>
          <w:rFonts w:cs="Gautami"/>
          <w:color w:val="1F497D"/>
          <w:sz w:val="20"/>
          <w:szCs w:val="20"/>
        </w:rPr>
        <w:t xml:space="preserve"> </w:t>
      </w:r>
    </w:p>
    <w:p w:rsidR="00B633F7" w:rsidRDefault="00DA2E42" w:rsidP="00DA2E42">
      <w:pPr>
        <w:pStyle w:val="AERbodytext"/>
        <w:spacing w:line="276" w:lineRule="auto"/>
        <w:jc w:val="left"/>
        <w:rPr>
          <w:rFonts w:cs="Gautami"/>
          <w:sz w:val="20"/>
          <w:szCs w:val="20"/>
        </w:rPr>
      </w:pPr>
      <w:r>
        <w:rPr>
          <w:rFonts w:cs="Gautami"/>
          <w:sz w:val="20"/>
          <w:szCs w:val="20"/>
        </w:rPr>
        <w:t xml:space="preserve">There are a range of implementation issues </w:t>
      </w:r>
      <w:r w:rsidR="00174423">
        <w:rPr>
          <w:rFonts w:cs="Gautami"/>
          <w:sz w:val="20"/>
          <w:szCs w:val="20"/>
        </w:rPr>
        <w:t xml:space="preserve">that need to </w:t>
      </w:r>
      <w:proofErr w:type="gramStart"/>
      <w:r w:rsidR="00174423">
        <w:rPr>
          <w:rFonts w:cs="Gautami"/>
          <w:sz w:val="20"/>
          <w:szCs w:val="20"/>
        </w:rPr>
        <w:t>address</w:t>
      </w:r>
      <w:r>
        <w:rPr>
          <w:rFonts w:cs="Gautami"/>
          <w:sz w:val="20"/>
          <w:szCs w:val="20"/>
        </w:rPr>
        <w:t>ed</w:t>
      </w:r>
      <w:proofErr w:type="gramEnd"/>
      <w:r>
        <w:rPr>
          <w:rFonts w:cs="Gautami"/>
          <w:sz w:val="20"/>
          <w:szCs w:val="20"/>
        </w:rPr>
        <w:t xml:space="preserve"> around the </w:t>
      </w:r>
      <w:r w:rsidR="008219AA">
        <w:rPr>
          <w:rFonts w:cs="Gautami"/>
          <w:sz w:val="20"/>
          <w:szCs w:val="20"/>
        </w:rPr>
        <w:t xml:space="preserve">governance arrangements for the access and pricing regulator. </w:t>
      </w:r>
      <w:r w:rsidR="00B633F7">
        <w:rPr>
          <w:rFonts w:cs="Gautami"/>
          <w:sz w:val="20"/>
          <w:szCs w:val="20"/>
        </w:rPr>
        <w:t>First and foremost, i</w:t>
      </w:r>
      <w:r w:rsidR="008219AA">
        <w:rPr>
          <w:rFonts w:cs="Gautami"/>
          <w:sz w:val="20"/>
          <w:szCs w:val="20"/>
        </w:rPr>
        <w:t>t needs to be determined whether the access and pricing regulator is a Commonwealth or a national regulator. This issue is far from straightforward given that a range of the proposed functions for the access and pricing regulator</w:t>
      </w:r>
      <w:r w:rsidR="00B633F7">
        <w:rPr>
          <w:rFonts w:cs="Gautami"/>
          <w:sz w:val="20"/>
          <w:szCs w:val="20"/>
        </w:rPr>
        <w:t xml:space="preserve"> (such as </w:t>
      </w:r>
      <w:r w:rsidR="00F40373">
        <w:rPr>
          <w:rFonts w:cs="Gautami"/>
          <w:sz w:val="20"/>
          <w:szCs w:val="20"/>
        </w:rPr>
        <w:t>communications</w:t>
      </w:r>
      <w:r w:rsidR="00B633F7">
        <w:rPr>
          <w:rFonts w:cs="Gautami"/>
          <w:sz w:val="20"/>
          <w:szCs w:val="20"/>
        </w:rPr>
        <w:t>)</w:t>
      </w:r>
      <w:r w:rsidR="008219AA">
        <w:rPr>
          <w:rFonts w:cs="Gautami"/>
          <w:sz w:val="20"/>
          <w:szCs w:val="20"/>
        </w:rPr>
        <w:t xml:space="preserve"> are currently under Commonwealth jurisdiction, while </w:t>
      </w:r>
      <w:r w:rsidR="00B633F7">
        <w:rPr>
          <w:rFonts w:cs="Gautami"/>
          <w:sz w:val="20"/>
          <w:szCs w:val="20"/>
        </w:rPr>
        <w:t xml:space="preserve">the basis for the energy functions is set out in </w:t>
      </w:r>
      <w:r w:rsidR="00007351">
        <w:rPr>
          <w:rFonts w:cs="Gautami"/>
          <w:sz w:val="20"/>
          <w:szCs w:val="20"/>
        </w:rPr>
        <w:t>S</w:t>
      </w:r>
      <w:r w:rsidR="00B633F7">
        <w:rPr>
          <w:rFonts w:cs="Gautami"/>
          <w:sz w:val="20"/>
          <w:szCs w:val="20"/>
        </w:rPr>
        <w:t xml:space="preserve">tate law. </w:t>
      </w:r>
    </w:p>
    <w:p w:rsidR="00B80248" w:rsidRDefault="00B633F7" w:rsidP="00DA2E42">
      <w:pPr>
        <w:pStyle w:val="AERbodytext"/>
        <w:spacing w:line="276" w:lineRule="auto"/>
        <w:jc w:val="left"/>
        <w:rPr>
          <w:rFonts w:cs="Gautami"/>
          <w:sz w:val="20"/>
          <w:szCs w:val="20"/>
        </w:rPr>
      </w:pPr>
      <w:r>
        <w:rPr>
          <w:rFonts w:cs="Gautami"/>
          <w:sz w:val="20"/>
          <w:szCs w:val="20"/>
        </w:rPr>
        <w:t xml:space="preserve">The access and pricing regulator’s proposed responsibility for a mix of Commonwealth and State regulatory roles highlights </w:t>
      </w:r>
      <w:r w:rsidR="00B80248">
        <w:rPr>
          <w:rFonts w:cs="Gautami"/>
          <w:sz w:val="20"/>
          <w:szCs w:val="20"/>
        </w:rPr>
        <w:t>a number of practical</w:t>
      </w:r>
      <w:r>
        <w:rPr>
          <w:rFonts w:cs="Gautami"/>
          <w:sz w:val="20"/>
          <w:szCs w:val="20"/>
        </w:rPr>
        <w:t xml:space="preserve"> governance </w:t>
      </w:r>
      <w:r w:rsidR="00B80248">
        <w:rPr>
          <w:rFonts w:cs="Gautami"/>
          <w:sz w:val="20"/>
          <w:szCs w:val="20"/>
        </w:rPr>
        <w:t>implementation is</w:t>
      </w:r>
      <w:r>
        <w:rPr>
          <w:rFonts w:cs="Gautami"/>
          <w:sz w:val="20"/>
          <w:szCs w:val="20"/>
        </w:rPr>
        <w:t>s</w:t>
      </w:r>
      <w:r w:rsidR="00B80248">
        <w:rPr>
          <w:rFonts w:cs="Gautami"/>
          <w:sz w:val="20"/>
          <w:szCs w:val="20"/>
        </w:rPr>
        <w:t>ues. Funding arrangements would need to be determined, in particular whether the access and pricing regulator would be funded by the Commonwealth or States. This issue is particularly important given the Panel’s view that over time the access and pricing regulator would be expected to take on more roles</w:t>
      </w:r>
      <w:r>
        <w:rPr>
          <w:rFonts w:cs="Gautami"/>
          <w:sz w:val="20"/>
          <w:szCs w:val="20"/>
        </w:rPr>
        <w:t xml:space="preserve"> </w:t>
      </w:r>
      <w:r w:rsidR="00B80248">
        <w:rPr>
          <w:rFonts w:cs="Gautami"/>
          <w:sz w:val="20"/>
          <w:szCs w:val="20"/>
        </w:rPr>
        <w:t>currently undertaken by the States.</w:t>
      </w:r>
    </w:p>
    <w:p w:rsidR="0045554F" w:rsidRDefault="00B80248" w:rsidP="00DA2E42">
      <w:pPr>
        <w:pStyle w:val="AERbodytext"/>
        <w:spacing w:line="276" w:lineRule="auto"/>
        <w:jc w:val="left"/>
        <w:rPr>
          <w:rFonts w:cs="Gautami"/>
          <w:sz w:val="20"/>
          <w:szCs w:val="20"/>
        </w:rPr>
      </w:pPr>
      <w:r>
        <w:rPr>
          <w:rFonts w:cs="Gautami"/>
          <w:sz w:val="20"/>
          <w:szCs w:val="20"/>
        </w:rPr>
        <w:t xml:space="preserve">The process for Board appointments would also need to be </w:t>
      </w:r>
      <w:r w:rsidR="00974F32">
        <w:rPr>
          <w:rFonts w:cs="Gautami"/>
          <w:sz w:val="20"/>
          <w:szCs w:val="20"/>
        </w:rPr>
        <w:t>address</w:t>
      </w:r>
      <w:r>
        <w:rPr>
          <w:rFonts w:cs="Gautami"/>
          <w:sz w:val="20"/>
          <w:szCs w:val="20"/>
        </w:rPr>
        <w:t>ed. As highlighted in our initial submission to this review, the AER has an independent Board comprised of two State members and a Commonwealth member. The two State members are recommended for appointment by the agreement of at least five States and Territories.</w:t>
      </w:r>
      <w:r w:rsidR="008F567D">
        <w:rPr>
          <w:rFonts w:cs="Gautami"/>
          <w:sz w:val="20"/>
          <w:szCs w:val="20"/>
        </w:rPr>
        <w:t xml:space="preserve"> </w:t>
      </w:r>
      <w:r w:rsidR="0045554F">
        <w:rPr>
          <w:rFonts w:cs="Gautami"/>
          <w:sz w:val="20"/>
          <w:szCs w:val="20"/>
        </w:rPr>
        <w:t>It needs to be determined whether this ‘national but jurisdiction – sensitive’ Board appointment process would be preserved under the access and pricing regulator model or whether some other arrangement would be introduced.</w:t>
      </w:r>
    </w:p>
    <w:p w:rsidR="0045554F" w:rsidRDefault="0045554F" w:rsidP="00DA2E42">
      <w:pPr>
        <w:pStyle w:val="AERbodytext"/>
        <w:spacing w:line="276" w:lineRule="auto"/>
        <w:jc w:val="left"/>
        <w:rPr>
          <w:rFonts w:cs="Gautami"/>
          <w:sz w:val="20"/>
          <w:szCs w:val="20"/>
        </w:rPr>
      </w:pPr>
      <w:r>
        <w:rPr>
          <w:rFonts w:cs="Gautami"/>
          <w:sz w:val="20"/>
          <w:szCs w:val="20"/>
        </w:rPr>
        <w:t xml:space="preserve">The legislative requirements to implement the proposal would also need to be </w:t>
      </w:r>
      <w:r w:rsidR="00974F32">
        <w:rPr>
          <w:rFonts w:cs="Gautami"/>
          <w:sz w:val="20"/>
          <w:szCs w:val="20"/>
        </w:rPr>
        <w:t>address</w:t>
      </w:r>
      <w:r>
        <w:rPr>
          <w:rFonts w:cs="Gautami"/>
          <w:sz w:val="20"/>
          <w:szCs w:val="20"/>
        </w:rPr>
        <w:t xml:space="preserve">ed. In energy, </w:t>
      </w:r>
      <w:r w:rsidRPr="00DA2E42">
        <w:rPr>
          <w:rFonts w:cs="Gautami"/>
          <w:sz w:val="20"/>
          <w:szCs w:val="20"/>
        </w:rPr>
        <w:t>South Australia is the lead legislator with respect to the National Electricity Law</w:t>
      </w:r>
      <w:r>
        <w:rPr>
          <w:rFonts w:cs="Gautami"/>
          <w:sz w:val="20"/>
          <w:szCs w:val="20"/>
        </w:rPr>
        <w:t xml:space="preserve">, </w:t>
      </w:r>
      <w:r w:rsidRPr="00DA2E42">
        <w:rPr>
          <w:rFonts w:cs="Gautami"/>
          <w:sz w:val="20"/>
          <w:szCs w:val="20"/>
        </w:rPr>
        <w:t>National Gas Law</w:t>
      </w:r>
      <w:r>
        <w:rPr>
          <w:rFonts w:cs="Gautami"/>
          <w:sz w:val="20"/>
          <w:szCs w:val="20"/>
        </w:rPr>
        <w:t xml:space="preserve"> and the National Energy Retail Law</w:t>
      </w:r>
      <w:r w:rsidRPr="00DA2E42">
        <w:rPr>
          <w:rFonts w:cs="Gautami"/>
          <w:sz w:val="20"/>
          <w:szCs w:val="20"/>
        </w:rPr>
        <w:t xml:space="preserve">, </w:t>
      </w:r>
      <w:r>
        <w:rPr>
          <w:rFonts w:cs="Gautami"/>
          <w:sz w:val="20"/>
          <w:szCs w:val="20"/>
        </w:rPr>
        <w:t>with other states introducing</w:t>
      </w:r>
      <w:r w:rsidRPr="00DA2E42">
        <w:rPr>
          <w:rFonts w:cs="Gautami"/>
          <w:sz w:val="20"/>
          <w:szCs w:val="20"/>
        </w:rPr>
        <w:t xml:space="preserve"> application legislation to give effect to the South Australian legislation.</w:t>
      </w:r>
      <w:r>
        <w:rPr>
          <w:rFonts w:cs="Gautami"/>
          <w:sz w:val="20"/>
          <w:szCs w:val="20"/>
        </w:rPr>
        <w:t xml:space="preserve"> Changes to these laws would be required to </w:t>
      </w:r>
      <w:r w:rsidRPr="006B4363">
        <w:rPr>
          <w:rFonts w:cs="Gautami"/>
          <w:sz w:val="20"/>
          <w:szCs w:val="20"/>
        </w:rPr>
        <w:t xml:space="preserve">split the work of the AER between an access and pricing regulator </w:t>
      </w:r>
      <w:r>
        <w:rPr>
          <w:rFonts w:cs="Gautami"/>
          <w:sz w:val="20"/>
          <w:szCs w:val="20"/>
        </w:rPr>
        <w:t xml:space="preserve">and the ACCC. A range of other changes would </w:t>
      </w:r>
      <w:r w:rsidR="00286386">
        <w:rPr>
          <w:rFonts w:cs="Gautami"/>
          <w:sz w:val="20"/>
          <w:szCs w:val="20"/>
        </w:rPr>
        <w:t xml:space="preserve">appear to be </w:t>
      </w:r>
      <w:r>
        <w:rPr>
          <w:rFonts w:cs="Gautami"/>
          <w:sz w:val="20"/>
          <w:szCs w:val="20"/>
        </w:rPr>
        <w:t xml:space="preserve">required, including to the Australian Energy Market Agreement, </w:t>
      </w:r>
      <w:r w:rsidR="00286386">
        <w:rPr>
          <w:rFonts w:cs="Gautami"/>
          <w:sz w:val="20"/>
          <w:szCs w:val="20"/>
        </w:rPr>
        <w:t xml:space="preserve">the Competition and Consumer Act, </w:t>
      </w:r>
      <w:r>
        <w:rPr>
          <w:rFonts w:cs="Gautami"/>
          <w:sz w:val="20"/>
          <w:szCs w:val="20"/>
        </w:rPr>
        <w:t>National Electricity Rules, National Gas Rules</w:t>
      </w:r>
      <w:r w:rsidR="009927CF">
        <w:rPr>
          <w:rFonts w:cs="Gautami"/>
          <w:sz w:val="20"/>
          <w:szCs w:val="20"/>
        </w:rPr>
        <w:t xml:space="preserve"> and the</w:t>
      </w:r>
      <w:r>
        <w:rPr>
          <w:rFonts w:cs="Gautami"/>
          <w:sz w:val="20"/>
          <w:szCs w:val="20"/>
        </w:rPr>
        <w:t xml:space="preserve"> National Energy Retail Rules</w:t>
      </w:r>
      <w:r w:rsidR="00286386">
        <w:rPr>
          <w:rFonts w:cs="Gautami"/>
          <w:sz w:val="20"/>
          <w:szCs w:val="20"/>
        </w:rPr>
        <w:t>.</w:t>
      </w:r>
      <w:r>
        <w:rPr>
          <w:rFonts w:cs="Gautami"/>
          <w:sz w:val="20"/>
          <w:szCs w:val="20"/>
        </w:rPr>
        <w:t xml:space="preserve"> </w:t>
      </w:r>
    </w:p>
    <w:p w:rsidR="00974F32" w:rsidRDefault="00286386" w:rsidP="00DA2E42">
      <w:pPr>
        <w:pStyle w:val="AERbodytext"/>
        <w:spacing w:line="276" w:lineRule="auto"/>
        <w:jc w:val="left"/>
        <w:rPr>
          <w:rFonts w:cs="Gautami"/>
          <w:sz w:val="20"/>
          <w:szCs w:val="20"/>
        </w:rPr>
      </w:pPr>
      <w:r>
        <w:rPr>
          <w:rFonts w:cs="Gautami"/>
          <w:sz w:val="20"/>
          <w:szCs w:val="20"/>
        </w:rPr>
        <w:t>There would also be important implications of the proposal for market participants</w:t>
      </w:r>
      <w:r w:rsidR="00974F32">
        <w:rPr>
          <w:rFonts w:cs="Gautami"/>
          <w:sz w:val="20"/>
          <w:szCs w:val="20"/>
        </w:rPr>
        <w:t xml:space="preserve"> that the Panel may wish to consider. Under the proposal, virtually all energy market participants would be regulated by both the access and pricing regulator and the ACCC</w:t>
      </w:r>
      <w:r w:rsidR="00665C95">
        <w:rPr>
          <w:rFonts w:cs="Gautami"/>
          <w:sz w:val="20"/>
          <w:szCs w:val="20"/>
        </w:rPr>
        <w:t xml:space="preserve"> under </w:t>
      </w:r>
      <w:r w:rsidR="006D4611">
        <w:rPr>
          <w:rFonts w:cs="Gautami"/>
          <w:sz w:val="20"/>
          <w:szCs w:val="20"/>
        </w:rPr>
        <w:t xml:space="preserve">effectively </w:t>
      </w:r>
      <w:r w:rsidR="00665C95">
        <w:rPr>
          <w:rFonts w:cs="Gautami"/>
          <w:sz w:val="20"/>
          <w:szCs w:val="20"/>
        </w:rPr>
        <w:t>the same legislation</w:t>
      </w:r>
      <w:r w:rsidR="00974F32">
        <w:rPr>
          <w:rFonts w:cs="Gautami"/>
          <w:sz w:val="20"/>
          <w:szCs w:val="20"/>
        </w:rPr>
        <w:t>.</w:t>
      </w:r>
      <w:r>
        <w:rPr>
          <w:rFonts w:cs="Gautami"/>
          <w:sz w:val="20"/>
          <w:szCs w:val="20"/>
        </w:rPr>
        <w:t xml:space="preserve"> </w:t>
      </w:r>
    </w:p>
    <w:p w:rsidR="00AF694C" w:rsidRPr="006B4363" w:rsidRDefault="00B92C5F" w:rsidP="00DA2E42">
      <w:pPr>
        <w:pStyle w:val="AERbodytext"/>
        <w:spacing w:line="276" w:lineRule="auto"/>
        <w:jc w:val="left"/>
        <w:rPr>
          <w:rFonts w:cs="Gautami"/>
          <w:sz w:val="20"/>
          <w:szCs w:val="20"/>
        </w:rPr>
      </w:pPr>
      <w:r>
        <w:rPr>
          <w:rFonts w:cs="Gautami"/>
          <w:sz w:val="20"/>
          <w:szCs w:val="20"/>
        </w:rPr>
        <w:t>As highlighted above, i</w:t>
      </w:r>
      <w:r w:rsidRPr="006B4363">
        <w:rPr>
          <w:rFonts w:cs="Gautami"/>
          <w:sz w:val="20"/>
          <w:szCs w:val="20"/>
        </w:rPr>
        <w:t xml:space="preserve">ndustry market structure is </w:t>
      </w:r>
      <w:r>
        <w:rPr>
          <w:rFonts w:cs="Gautami"/>
          <w:sz w:val="20"/>
          <w:szCs w:val="20"/>
        </w:rPr>
        <w:t xml:space="preserve">becoming increasingly vertically integrated. </w:t>
      </w:r>
      <w:r w:rsidR="00573162">
        <w:rPr>
          <w:rFonts w:cs="Gautami"/>
          <w:sz w:val="20"/>
          <w:szCs w:val="20"/>
        </w:rPr>
        <w:t xml:space="preserve">The </w:t>
      </w:r>
      <w:r>
        <w:rPr>
          <w:rFonts w:cs="Gautami"/>
          <w:sz w:val="20"/>
          <w:szCs w:val="20"/>
        </w:rPr>
        <w:t xml:space="preserve">draft report </w:t>
      </w:r>
      <w:r w:rsidR="00573162">
        <w:rPr>
          <w:rFonts w:cs="Gautami"/>
          <w:sz w:val="20"/>
          <w:szCs w:val="20"/>
        </w:rPr>
        <w:t xml:space="preserve">proposal would require </w:t>
      </w:r>
      <w:r w:rsidR="0035755B">
        <w:rPr>
          <w:rFonts w:cs="Gautami"/>
          <w:sz w:val="20"/>
          <w:szCs w:val="20"/>
        </w:rPr>
        <w:t xml:space="preserve">a </w:t>
      </w:r>
      <w:r w:rsidR="00573162">
        <w:rPr>
          <w:rFonts w:cs="Gautami"/>
          <w:sz w:val="20"/>
          <w:szCs w:val="20"/>
        </w:rPr>
        <w:t>v</w:t>
      </w:r>
      <w:r w:rsidR="00AF694C" w:rsidRPr="006B4363">
        <w:rPr>
          <w:rFonts w:cs="Gautami"/>
          <w:sz w:val="20"/>
          <w:szCs w:val="20"/>
        </w:rPr>
        <w:t xml:space="preserve">ertically integrated generator – retailer to deal with the access and pricing regulator for their wholesale market activities and with the ACCC for a range of their retail activities. This increases </w:t>
      </w:r>
      <w:r w:rsidR="0035755B">
        <w:rPr>
          <w:rFonts w:cs="Gautami"/>
          <w:sz w:val="20"/>
          <w:szCs w:val="20"/>
        </w:rPr>
        <w:t xml:space="preserve">the </w:t>
      </w:r>
      <w:r w:rsidR="00AF694C" w:rsidRPr="006B4363">
        <w:rPr>
          <w:rFonts w:cs="Gautami"/>
          <w:sz w:val="20"/>
          <w:szCs w:val="20"/>
        </w:rPr>
        <w:t>cost and complexity of regulation</w:t>
      </w:r>
      <w:r>
        <w:rPr>
          <w:rFonts w:cs="Gautami"/>
          <w:sz w:val="20"/>
          <w:szCs w:val="20"/>
        </w:rPr>
        <w:t xml:space="preserve"> for these market participants</w:t>
      </w:r>
      <w:r w:rsidR="00C5232E">
        <w:rPr>
          <w:rFonts w:cs="Gautami"/>
          <w:sz w:val="20"/>
          <w:szCs w:val="20"/>
        </w:rPr>
        <w:t xml:space="preserve"> which would be passed on to consumers.</w:t>
      </w:r>
      <w:r w:rsidR="00AF694C" w:rsidRPr="006B4363">
        <w:rPr>
          <w:rFonts w:cs="Gautami"/>
          <w:sz w:val="20"/>
          <w:szCs w:val="20"/>
        </w:rPr>
        <w:t xml:space="preserve"> </w:t>
      </w:r>
    </w:p>
    <w:p w:rsidR="00C5232E" w:rsidRDefault="006D2903" w:rsidP="006B4363">
      <w:pPr>
        <w:pStyle w:val="AERbodytext"/>
        <w:spacing w:line="276" w:lineRule="auto"/>
        <w:jc w:val="left"/>
        <w:rPr>
          <w:rFonts w:cs="Gautami"/>
          <w:sz w:val="20"/>
          <w:szCs w:val="20"/>
        </w:rPr>
      </w:pPr>
      <w:r w:rsidRPr="006B4363">
        <w:rPr>
          <w:rFonts w:cs="Gautami"/>
          <w:sz w:val="20"/>
          <w:szCs w:val="20"/>
        </w:rPr>
        <w:lastRenderedPageBreak/>
        <w:t xml:space="preserve">Similarly retailers and distributors would have to report to </w:t>
      </w:r>
      <w:r w:rsidR="00974F32">
        <w:rPr>
          <w:rFonts w:cs="Gautami"/>
          <w:sz w:val="20"/>
          <w:szCs w:val="20"/>
        </w:rPr>
        <w:t>both</w:t>
      </w:r>
      <w:r w:rsidR="00974F32" w:rsidRPr="006B4363">
        <w:rPr>
          <w:rFonts w:cs="Gautami"/>
          <w:sz w:val="20"/>
          <w:szCs w:val="20"/>
        </w:rPr>
        <w:t xml:space="preserve"> </w:t>
      </w:r>
      <w:r w:rsidRPr="006B4363">
        <w:rPr>
          <w:rFonts w:cs="Gautami"/>
          <w:sz w:val="20"/>
          <w:szCs w:val="20"/>
        </w:rPr>
        <w:t xml:space="preserve">regulators. </w:t>
      </w:r>
      <w:r w:rsidR="00573162">
        <w:rPr>
          <w:rFonts w:cs="Gautami"/>
          <w:sz w:val="20"/>
          <w:szCs w:val="20"/>
        </w:rPr>
        <w:t>Re</w:t>
      </w:r>
      <w:r w:rsidR="00AF694C" w:rsidRPr="006B4363">
        <w:rPr>
          <w:rFonts w:cs="Gautami"/>
          <w:sz w:val="20"/>
          <w:szCs w:val="20"/>
        </w:rPr>
        <w:t xml:space="preserve">tailers and </w:t>
      </w:r>
      <w:r w:rsidR="00864C8A" w:rsidRPr="006B4363">
        <w:rPr>
          <w:rFonts w:cs="Gautami"/>
          <w:sz w:val="20"/>
          <w:szCs w:val="20"/>
        </w:rPr>
        <w:t>d</w:t>
      </w:r>
      <w:r w:rsidR="00AF694C" w:rsidRPr="006B4363">
        <w:rPr>
          <w:rFonts w:cs="Gautami"/>
          <w:sz w:val="20"/>
          <w:szCs w:val="20"/>
        </w:rPr>
        <w:t xml:space="preserve">istributors have a range of obligations under the Retail Law, in addition to obligations under the </w:t>
      </w:r>
      <w:r w:rsidR="00573162">
        <w:rPr>
          <w:rFonts w:cs="Gautami"/>
          <w:sz w:val="20"/>
          <w:szCs w:val="20"/>
        </w:rPr>
        <w:t xml:space="preserve">National </w:t>
      </w:r>
      <w:r w:rsidR="00AF694C" w:rsidRPr="006B4363">
        <w:rPr>
          <w:rFonts w:cs="Gautami"/>
          <w:sz w:val="20"/>
          <w:szCs w:val="20"/>
        </w:rPr>
        <w:t xml:space="preserve">Electricity </w:t>
      </w:r>
      <w:r w:rsidR="0095564E">
        <w:rPr>
          <w:rFonts w:cs="Gautami"/>
          <w:sz w:val="20"/>
          <w:szCs w:val="20"/>
        </w:rPr>
        <w:t xml:space="preserve">and Gas </w:t>
      </w:r>
      <w:r w:rsidR="00AF694C" w:rsidRPr="006B4363">
        <w:rPr>
          <w:rFonts w:cs="Gautami"/>
          <w:sz w:val="20"/>
          <w:szCs w:val="20"/>
        </w:rPr>
        <w:t>Law and Rules.</w:t>
      </w:r>
      <w:r w:rsidRPr="006B4363">
        <w:rPr>
          <w:rFonts w:cs="Gautami"/>
          <w:sz w:val="20"/>
          <w:szCs w:val="20"/>
        </w:rPr>
        <w:t xml:space="preserve"> </w:t>
      </w:r>
      <w:r w:rsidR="005A124B" w:rsidRPr="006B4363">
        <w:rPr>
          <w:rFonts w:cs="Gautami"/>
          <w:sz w:val="20"/>
          <w:szCs w:val="20"/>
        </w:rPr>
        <w:t xml:space="preserve">Under the proposal, the ACCC would enforce the distribution business’s compliance with these obligations under the Retail Law, while the access and pricing regulator would enforce the distribution business’s compliance with </w:t>
      </w:r>
      <w:r w:rsidR="00340E43" w:rsidRPr="006B4363">
        <w:rPr>
          <w:rFonts w:cs="Gautami"/>
          <w:sz w:val="20"/>
          <w:szCs w:val="20"/>
        </w:rPr>
        <w:t>other</w:t>
      </w:r>
      <w:r w:rsidR="005A124B" w:rsidRPr="006B4363">
        <w:rPr>
          <w:rFonts w:cs="Gautami"/>
          <w:sz w:val="20"/>
          <w:szCs w:val="20"/>
        </w:rPr>
        <w:t xml:space="preserve"> obligations, such as the</w:t>
      </w:r>
      <w:r w:rsidR="00340E43" w:rsidRPr="006B4363">
        <w:rPr>
          <w:rFonts w:cs="Gautami"/>
          <w:sz w:val="20"/>
          <w:szCs w:val="20"/>
        </w:rPr>
        <w:t>ir obligations under the</w:t>
      </w:r>
      <w:r w:rsidR="005A124B" w:rsidRPr="006B4363">
        <w:rPr>
          <w:rFonts w:cs="Gautami"/>
          <w:sz w:val="20"/>
          <w:szCs w:val="20"/>
        </w:rPr>
        <w:t xml:space="preserve"> Electricity </w:t>
      </w:r>
      <w:r w:rsidR="0095564E">
        <w:rPr>
          <w:rFonts w:cs="Gautami"/>
          <w:sz w:val="20"/>
          <w:szCs w:val="20"/>
        </w:rPr>
        <w:t xml:space="preserve">or Gas </w:t>
      </w:r>
      <w:r w:rsidR="005A124B" w:rsidRPr="006B4363">
        <w:rPr>
          <w:rFonts w:cs="Gautami"/>
          <w:sz w:val="20"/>
          <w:szCs w:val="20"/>
        </w:rPr>
        <w:t>Rules. Making these distribution businesses deal with separate compliance regulators</w:t>
      </w:r>
      <w:r w:rsidR="00F50503" w:rsidRPr="006B4363">
        <w:rPr>
          <w:rFonts w:cs="Gautami"/>
          <w:sz w:val="20"/>
          <w:szCs w:val="20"/>
        </w:rPr>
        <w:t>,</w:t>
      </w:r>
      <w:r w:rsidR="005A124B" w:rsidRPr="006B4363">
        <w:rPr>
          <w:rFonts w:cs="Gautami"/>
          <w:sz w:val="20"/>
          <w:szCs w:val="20"/>
        </w:rPr>
        <w:t xml:space="preserve"> depending on which legislation was involved</w:t>
      </w:r>
      <w:r w:rsidR="00F50503" w:rsidRPr="006B4363">
        <w:rPr>
          <w:rFonts w:cs="Gautami"/>
          <w:sz w:val="20"/>
          <w:szCs w:val="20"/>
        </w:rPr>
        <w:t xml:space="preserve">, </w:t>
      </w:r>
      <w:r w:rsidR="005A124B" w:rsidRPr="006B4363">
        <w:rPr>
          <w:rFonts w:cs="Gautami"/>
          <w:sz w:val="20"/>
          <w:szCs w:val="20"/>
        </w:rPr>
        <w:t xml:space="preserve">increases compliance costs for these businesses. </w:t>
      </w:r>
      <w:r w:rsidR="00C5232E">
        <w:rPr>
          <w:rFonts w:cs="Gautami"/>
          <w:sz w:val="20"/>
          <w:szCs w:val="20"/>
        </w:rPr>
        <w:t>Again these increased costs would be passed on to consumers.</w:t>
      </w:r>
    </w:p>
    <w:p w:rsidR="007A4DA7" w:rsidRDefault="00C5232E" w:rsidP="006B4363">
      <w:pPr>
        <w:pStyle w:val="AERbodytext"/>
        <w:spacing w:line="276" w:lineRule="auto"/>
        <w:jc w:val="left"/>
        <w:rPr>
          <w:rFonts w:cs="Gautami"/>
          <w:sz w:val="20"/>
          <w:szCs w:val="20"/>
        </w:rPr>
      </w:pPr>
      <w:r w:rsidRPr="00C5232E">
        <w:rPr>
          <w:rFonts w:cs="Gautami"/>
          <w:sz w:val="20"/>
          <w:szCs w:val="20"/>
        </w:rPr>
        <w:t xml:space="preserve">We also note that the </w:t>
      </w:r>
      <w:r w:rsidR="008F7233">
        <w:rPr>
          <w:rFonts w:cs="Gautami"/>
          <w:sz w:val="20"/>
          <w:szCs w:val="20"/>
        </w:rPr>
        <w:t xml:space="preserve">proposal has significant </w:t>
      </w:r>
      <w:r w:rsidRPr="00C5232E">
        <w:rPr>
          <w:rFonts w:cs="Gautami"/>
          <w:sz w:val="20"/>
          <w:szCs w:val="20"/>
        </w:rPr>
        <w:t xml:space="preserve">implications </w:t>
      </w:r>
      <w:r w:rsidR="008F7233">
        <w:rPr>
          <w:rFonts w:cs="Gautami"/>
          <w:sz w:val="20"/>
          <w:szCs w:val="20"/>
        </w:rPr>
        <w:t>for the regulator</w:t>
      </w:r>
      <w:r w:rsidR="00974F32">
        <w:rPr>
          <w:rFonts w:cs="Gautami"/>
          <w:sz w:val="20"/>
          <w:szCs w:val="20"/>
        </w:rPr>
        <w:t>s that would need to be addressed</w:t>
      </w:r>
      <w:r w:rsidR="008F7233">
        <w:rPr>
          <w:rFonts w:cs="Gautami"/>
          <w:sz w:val="20"/>
          <w:szCs w:val="20"/>
        </w:rPr>
        <w:t xml:space="preserve">. Given the integrated nature of </w:t>
      </w:r>
      <w:r w:rsidR="00974F32">
        <w:rPr>
          <w:rFonts w:cs="Gautami"/>
          <w:sz w:val="20"/>
          <w:szCs w:val="20"/>
        </w:rPr>
        <w:t xml:space="preserve">issues in </w:t>
      </w:r>
      <w:r w:rsidR="008F7233">
        <w:rPr>
          <w:rFonts w:cs="Gautami"/>
          <w:sz w:val="20"/>
          <w:szCs w:val="20"/>
        </w:rPr>
        <w:t>the energy sector, both an</w:t>
      </w:r>
      <w:r w:rsidR="008F7233" w:rsidRPr="006B4363">
        <w:rPr>
          <w:rFonts w:cs="Gautami"/>
          <w:sz w:val="20"/>
          <w:szCs w:val="20"/>
        </w:rPr>
        <w:t xml:space="preserve"> access and pricing regulator </w:t>
      </w:r>
      <w:r w:rsidR="008F7233">
        <w:rPr>
          <w:rFonts w:cs="Gautami"/>
          <w:sz w:val="20"/>
          <w:szCs w:val="20"/>
        </w:rPr>
        <w:t>and the ACCC</w:t>
      </w:r>
      <w:r w:rsidRPr="00C5232E">
        <w:rPr>
          <w:rFonts w:cs="Gautami"/>
          <w:sz w:val="20"/>
          <w:szCs w:val="20"/>
        </w:rPr>
        <w:t xml:space="preserve"> </w:t>
      </w:r>
      <w:r w:rsidR="00F70948">
        <w:rPr>
          <w:rFonts w:cs="Gautami"/>
          <w:sz w:val="20"/>
          <w:szCs w:val="20"/>
        </w:rPr>
        <w:t xml:space="preserve">will need to </w:t>
      </w:r>
      <w:r w:rsidR="00974F32">
        <w:rPr>
          <w:rFonts w:cs="Gautami"/>
          <w:sz w:val="20"/>
          <w:szCs w:val="20"/>
        </w:rPr>
        <w:t xml:space="preserve">establish and maintain strong technical knowledge across networks, generation, </w:t>
      </w:r>
      <w:proofErr w:type="gramStart"/>
      <w:r w:rsidR="00974F32">
        <w:rPr>
          <w:rFonts w:cs="Gautami"/>
          <w:sz w:val="20"/>
          <w:szCs w:val="20"/>
        </w:rPr>
        <w:t>retail</w:t>
      </w:r>
      <w:proofErr w:type="gramEnd"/>
      <w:r w:rsidR="00974F32">
        <w:rPr>
          <w:rFonts w:cs="Gautami"/>
          <w:sz w:val="20"/>
          <w:szCs w:val="20"/>
        </w:rPr>
        <w:t xml:space="preserve"> and market operation to undertake their proposed roles.</w:t>
      </w:r>
      <w:r w:rsidR="007A4DA7">
        <w:rPr>
          <w:rFonts w:cs="Gautami"/>
          <w:sz w:val="20"/>
          <w:szCs w:val="20"/>
        </w:rPr>
        <w:t xml:space="preserve"> This will involve duplication of technical skills which will increase regulatory costs. These costs will eventually fall on consumers.</w:t>
      </w:r>
    </w:p>
    <w:p w:rsidR="00346386" w:rsidRPr="006B4363" w:rsidRDefault="007A4DA7" w:rsidP="006B4363">
      <w:pPr>
        <w:pStyle w:val="AERbodytext"/>
        <w:spacing w:line="276" w:lineRule="auto"/>
        <w:jc w:val="left"/>
        <w:rPr>
          <w:rFonts w:cs="Gautami"/>
          <w:sz w:val="20"/>
          <w:szCs w:val="20"/>
        </w:rPr>
      </w:pPr>
      <w:r>
        <w:rPr>
          <w:rFonts w:cs="Gautami"/>
          <w:sz w:val="20"/>
          <w:szCs w:val="20"/>
        </w:rPr>
        <w:t xml:space="preserve">Further, as </w:t>
      </w:r>
      <w:r w:rsidR="00F70948">
        <w:rPr>
          <w:rFonts w:cs="Gautami"/>
          <w:sz w:val="20"/>
          <w:szCs w:val="20"/>
        </w:rPr>
        <w:t xml:space="preserve">highlighted above, </w:t>
      </w:r>
      <w:r w:rsidR="00F70948" w:rsidRPr="006B4363">
        <w:rPr>
          <w:rFonts w:cs="Gautami"/>
          <w:sz w:val="20"/>
          <w:szCs w:val="20"/>
        </w:rPr>
        <w:t xml:space="preserve">an access and pricing regulator </w:t>
      </w:r>
      <w:r w:rsidR="00F70948">
        <w:rPr>
          <w:rFonts w:cs="Gautami"/>
          <w:sz w:val="20"/>
          <w:szCs w:val="20"/>
        </w:rPr>
        <w:t xml:space="preserve">and the ACCC </w:t>
      </w:r>
      <w:r>
        <w:rPr>
          <w:rFonts w:cs="Gautami"/>
          <w:sz w:val="20"/>
          <w:szCs w:val="20"/>
        </w:rPr>
        <w:t xml:space="preserve">in some instances </w:t>
      </w:r>
      <w:r w:rsidR="00F70948">
        <w:rPr>
          <w:rFonts w:cs="Gautami"/>
          <w:sz w:val="20"/>
          <w:szCs w:val="20"/>
        </w:rPr>
        <w:t xml:space="preserve">will be undertaking the same role, such as rule enforcement, and will </w:t>
      </w:r>
      <w:r>
        <w:rPr>
          <w:rFonts w:cs="Gautami"/>
          <w:sz w:val="20"/>
          <w:szCs w:val="20"/>
        </w:rPr>
        <w:t xml:space="preserve">both </w:t>
      </w:r>
      <w:r w:rsidR="00F70948">
        <w:rPr>
          <w:rFonts w:cs="Gautami"/>
          <w:sz w:val="20"/>
          <w:szCs w:val="20"/>
        </w:rPr>
        <w:t xml:space="preserve">need </w:t>
      </w:r>
      <w:r>
        <w:rPr>
          <w:rFonts w:cs="Gautami"/>
          <w:sz w:val="20"/>
          <w:szCs w:val="20"/>
        </w:rPr>
        <w:t>the</w:t>
      </w:r>
      <w:r w:rsidR="00F70948">
        <w:rPr>
          <w:rFonts w:cs="Gautami"/>
          <w:sz w:val="20"/>
          <w:szCs w:val="20"/>
        </w:rPr>
        <w:t xml:space="preserve"> skill set to perform this role. This will involve duplication of </w:t>
      </w:r>
      <w:r w:rsidR="00AB179A">
        <w:rPr>
          <w:rFonts w:cs="Gautami"/>
          <w:sz w:val="20"/>
          <w:szCs w:val="20"/>
        </w:rPr>
        <w:t xml:space="preserve">expertise, systems and </w:t>
      </w:r>
      <w:r w:rsidR="00F70948">
        <w:rPr>
          <w:rFonts w:cs="Gautami"/>
          <w:sz w:val="20"/>
          <w:szCs w:val="20"/>
        </w:rPr>
        <w:t>resources,</w:t>
      </w:r>
      <w:r>
        <w:rPr>
          <w:rFonts w:cs="Gautami"/>
          <w:sz w:val="20"/>
          <w:szCs w:val="20"/>
        </w:rPr>
        <w:t xml:space="preserve"> which will increase regulatory costs.</w:t>
      </w:r>
      <w:r w:rsidR="00F70948">
        <w:rPr>
          <w:rFonts w:cs="Gautami"/>
          <w:sz w:val="20"/>
          <w:szCs w:val="20"/>
        </w:rPr>
        <w:t xml:space="preserve"> </w:t>
      </w:r>
      <w:r w:rsidR="00C5232E" w:rsidRPr="00C5232E">
        <w:rPr>
          <w:rFonts w:cs="Gautami"/>
          <w:sz w:val="20"/>
          <w:szCs w:val="20"/>
        </w:rPr>
        <w:t xml:space="preserve"> </w:t>
      </w:r>
      <w:r w:rsidR="00F70948">
        <w:rPr>
          <w:rFonts w:cs="Gautami"/>
          <w:sz w:val="20"/>
          <w:szCs w:val="20"/>
        </w:rPr>
        <w:t xml:space="preserve">There is </w:t>
      </w:r>
      <w:r w:rsidR="005A124B" w:rsidRPr="006B4363">
        <w:rPr>
          <w:rFonts w:cs="Gautami"/>
          <w:sz w:val="20"/>
          <w:szCs w:val="20"/>
        </w:rPr>
        <w:t xml:space="preserve">also potential for inconsistent regulatory approaches being adopted by the </w:t>
      </w:r>
      <w:r w:rsidR="00F70948">
        <w:rPr>
          <w:rFonts w:cs="Gautami"/>
          <w:sz w:val="20"/>
          <w:szCs w:val="20"/>
        </w:rPr>
        <w:t xml:space="preserve">separate </w:t>
      </w:r>
      <w:r w:rsidR="005A124B" w:rsidRPr="006B4363">
        <w:rPr>
          <w:rFonts w:cs="Gautami"/>
          <w:sz w:val="20"/>
          <w:szCs w:val="20"/>
        </w:rPr>
        <w:t>regulators.</w:t>
      </w:r>
    </w:p>
    <w:p w:rsidR="00080281" w:rsidRPr="006B4363" w:rsidRDefault="006B4363" w:rsidP="006B4363">
      <w:pPr>
        <w:pStyle w:val="AERheading2"/>
        <w:numPr>
          <w:ilvl w:val="0"/>
          <w:numId w:val="0"/>
        </w:numPr>
        <w:spacing w:before="360" w:after="240"/>
        <w:ind w:hanging="709"/>
        <w:rPr>
          <w:rFonts w:cs="Gautami"/>
          <w:i/>
          <w:sz w:val="20"/>
          <w:szCs w:val="20"/>
        </w:rPr>
      </w:pPr>
      <w:r>
        <w:t>2.</w:t>
      </w:r>
      <w:r w:rsidR="009927CF">
        <w:t>4</w:t>
      </w:r>
      <w:r>
        <w:tab/>
      </w:r>
      <w:r w:rsidR="00351843">
        <w:t>Stat</w:t>
      </w:r>
      <w:r>
        <w:t>ed benefits of the proposed arrangements</w:t>
      </w:r>
    </w:p>
    <w:p w:rsidR="00080281" w:rsidRPr="006B4363" w:rsidRDefault="00080281" w:rsidP="006B4363">
      <w:pPr>
        <w:pStyle w:val="AERbodytext"/>
        <w:spacing w:line="276" w:lineRule="auto"/>
        <w:jc w:val="left"/>
        <w:rPr>
          <w:rFonts w:cs="Gautami"/>
          <w:sz w:val="20"/>
          <w:szCs w:val="20"/>
        </w:rPr>
      </w:pPr>
      <w:r w:rsidRPr="006B4363">
        <w:rPr>
          <w:rFonts w:cs="Gautami"/>
          <w:sz w:val="20"/>
          <w:szCs w:val="20"/>
        </w:rPr>
        <w:t xml:space="preserve">The </w:t>
      </w:r>
      <w:r w:rsidR="0035755B">
        <w:rPr>
          <w:rFonts w:cs="Gautami"/>
          <w:sz w:val="20"/>
          <w:szCs w:val="20"/>
        </w:rPr>
        <w:t>d</w:t>
      </w:r>
      <w:r w:rsidR="0035755B" w:rsidRPr="006B4363">
        <w:rPr>
          <w:rFonts w:cs="Gautami"/>
          <w:sz w:val="20"/>
          <w:szCs w:val="20"/>
        </w:rPr>
        <w:t xml:space="preserve">raft </w:t>
      </w:r>
      <w:r w:rsidR="0035755B">
        <w:rPr>
          <w:rFonts w:cs="Gautami"/>
          <w:sz w:val="20"/>
          <w:szCs w:val="20"/>
        </w:rPr>
        <w:t>r</w:t>
      </w:r>
      <w:r w:rsidR="0035755B" w:rsidRPr="006B4363">
        <w:rPr>
          <w:rFonts w:cs="Gautami"/>
          <w:sz w:val="20"/>
          <w:szCs w:val="20"/>
        </w:rPr>
        <w:t xml:space="preserve">eport </w:t>
      </w:r>
      <w:r w:rsidRPr="006B4363">
        <w:rPr>
          <w:rFonts w:cs="Gautami"/>
          <w:sz w:val="20"/>
          <w:szCs w:val="20"/>
        </w:rPr>
        <w:t xml:space="preserve">outlines a number of arguments in favour of </w:t>
      </w:r>
      <w:r w:rsidR="009740F2" w:rsidRPr="006B4363">
        <w:rPr>
          <w:rFonts w:cs="Gautami"/>
          <w:sz w:val="20"/>
          <w:szCs w:val="20"/>
        </w:rPr>
        <w:t xml:space="preserve">a </w:t>
      </w:r>
      <w:r w:rsidRPr="006B4363">
        <w:rPr>
          <w:rFonts w:cs="Gautami"/>
          <w:sz w:val="20"/>
          <w:szCs w:val="20"/>
        </w:rPr>
        <w:t>single national access and pricing regulator model. These include that:</w:t>
      </w:r>
    </w:p>
    <w:p w:rsidR="00080281" w:rsidRPr="006B4363" w:rsidRDefault="00080281" w:rsidP="00482F45">
      <w:pPr>
        <w:pStyle w:val="AERbodytext"/>
        <w:numPr>
          <w:ilvl w:val="0"/>
          <w:numId w:val="8"/>
        </w:numPr>
        <w:spacing w:line="276" w:lineRule="auto"/>
        <w:jc w:val="left"/>
        <w:rPr>
          <w:rFonts w:cs="Gautami"/>
          <w:sz w:val="20"/>
          <w:szCs w:val="20"/>
        </w:rPr>
      </w:pPr>
      <w:r w:rsidRPr="006B4363">
        <w:rPr>
          <w:rFonts w:cs="Gautami"/>
          <w:sz w:val="20"/>
          <w:szCs w:val="20"/>
        </w:rPr>
        <w:t xml:space="preserve">amalgamating </w:t>
      </w:r>
      <w:r w:rsidR="002E0207" w:rsidRPr="006B4363">
        <w:rPr>
          <w:rFonts w:cs="Gautami"/>
          <w:sz w:val="20"/>
          <w:szCs w:val="20"/>
        </w:rPr>
        <w:t xml:space="preserve">all price regulatory functions </w:t>
      </w:r>
      <w:r w:rsidRPr="006B4363">
        <w:rPr>
          <w:rFonts w:cs="Gautami"/>
          <w:sz w:val="20"/>
          <w:szCs w:val="20"/>
        </w:rPr>
        <w:t>across a range of industries into a single agency will ‘sharpen focus and strengthen analytical capacity</w:t>
      </w:r>
      <w:r w:rsidR="002E0207" w:rsidRPr="006B4363">
        <w:rPr>
          <w:rFonts w:cs="Gautami"/>
          <w:sz w:val="20"/>
          <w:szCs w:val="20"/>
        </w:rPr>
        <w:t xml:space="preserve"> in this important area of regulation</w:t>
      </w:r>
      <w:r w:rsidRPr="006B4363">
        <w:rPr>
          <w:rFonts w:cs="Gautami"/>
          <w:sz w:val="20"/>
          <w:szCs w:val="20"/>
        </w:rPr>
        <w:t>’</w:t>
      </w:r>
    </w:p>
    <w:p w:rsidR="00080281" w:rsidRPr="006B4363" w:rsidRDefault="00080281" w:rsidP="00482F45">
      <w:pPr>
        <w:pStyle w:val="AERbodytext"/>
        <w:numPr>
          <w:ilvl w:val="0"/>
          <w:numId w:val="8"/>
        </w:numPr>
        <w:spacing w:line="276" w:lineRule="auto"/>
        <w:jc w:val="left"/>
        <w:rPr>
          <w:rFonts w:cs="Gautami"/>
          <w:sz w:val="20"/>
          <w:szCs w:val="20"/>
        </w:rPr>
      </w:pPr>
      <w:r w:rsidRPr="006B4363">
        <w:rPr>
          <w:rFonts w:cs="Gautami"/>
          <w:sz w:val="20"/>
          <w:szCs w:val="20"/>
        </w:rPr>
        <w:t>a single agency will have the scale of activities that enables it to acquire broad expertise and experience across a range of industries, and acquire and retain staff who have that expertise</w:t>
      </w:r>
    </w:p>
    <w:p w:rsidR="00080281" w:rsidRPr="006B4363" w:rsidRDefault="00080281" w:rsidP="00482F45">
      <w:pPr>
        <w:pStyle w:val="AERbodytext"/>
        <w:numPr>
          <w:ilvl w:val="0"/>
          <w:numId w:val="8"/>
        </w:numPr>
        <w:spacing w:line="276" w:lineRule="auto"/>
        <w:jc w:val="left"/>
        <w:rPr>
          <w:rFonts w:cs="Gautami"/>
          <w:sz w:val="20"/>
          <w:szCs w:val="20"/>
        </w:rPr>
      </w:pPr>
      <w:r w:rsidRPr="006B4363">
        <w:rPr>
          <w:rFonts w:cs="Gautami"/>
          <w:sz w:val="20"/>
          <w:szCs w:val="20"/>
        </w:rPr>
        <w:t>a single agency regulating a range of infrastructure industries reduces the risk of capture in each individual industry, and</w:t>
      </w:r>
    </w:p>
    <w:p w:rsidR="00080281" w:rsidRPr="006B4363" w:rsidRDefault="00080281" w:rsidP="00482F45">
      <w:pPr>
        <w:pStyle w:val="AERbodytext"/>
        <w:numPr>
          <w:ilvl w:val="0"/>
          <w:numId w:val="8"/>
        </w:numPr>
        <w:spacing w:line="276" w:lineRule="auto"/>
        <w:jc w:val="left"/>
        <w:rPr>
          <w:rFonts w:cs="Gautami"/>
          <w:sz w:val="20"/>
          <w:szCs w:val="20"/>
        </w:rPr>
      </w:pPr>
      <w:proofErr w:type="gramStart"/>
      <w:r w:rsidRPr="006B4363">
        <w:rPr>
          <w:rFonts w:cs="Gautami"/>
          <w:sz w:val="20"/>
          <w:szCs w:val="20"/>
        </w:rPr>
        <w:t>a</w:t>
      </w:r>
      <w:proofErr w:type="gramEnd"/>
      <w:r w:rsidRPr="006B4363">
        <w:rPr>
          <w:rFonts w:cs="Gautami"/>
          <w:sz w:val="20"/>
          <w:szCs w:val="20"/>
        </w:rPr>
        <w:t xml:space="preserve"> single agency will reduce the costs associated with multiple regulators and regulatory frameworks and promote consistency in regulatory approaches. </w:t>
      </w:r>
    </w:p>
    <w:p w:rsidR="00080281" w:rsidRPr="006B4363" w:rsidRDefault="00080281" w:rsidP="006B4363">
      <w:pPr>
        <w:pStyle w:val="AERbodytext"/>
        <w:spacing w:line="276" w:lineRule="auto"/>
        <w:jc w:val="left"/>
        <w:rPr>
          <w:rFonts w:cs="Gautami"/>
          <w:sz w:val="20"/>
          <w:szCs w:val="20"/>
        </w:rPr>
      </w:pPr>
      <w:r w:rsidRPr="006B4363">
        <w:rPr>
          <w:rFonts w:cs="Gautami"/>
          <w:sz w:val="20"/>
          <w:szCs w:val="20"/>
        </w:rPr>
        <w:t xml:space="preserve">While the </w:t>
      </w:r>
      <w:r w:rsidR="004E2827">
        <w:rPr>
          <w:rFonts w:cs="Gautami"/>
          <w:sz w:val="20"/>
          <w:szCs w:val="20"/>
        </w:rPr>
        <w:t xml:space="preserve">previous </w:t>
      </w:r>
      <w:r w:rsidRPr="006B4363">
        <w:rPr>
          <w:rFonts w:cs="Gautami"/>
          <w:sz w:val="20"/>
          <w:szCs w:val="20"/>
        </w:rPr>
        <w:t xml:space="preserve">discussion highlights the </w:t>
      </w:r>
      <w:r w:rsidR="00351843">
        <w:rPr>
          <w:rFonts w:cs="Gautami"/>
          <w:sz w:val="20"/>
          <w:szCs w:val="20"/>
        </w:rPr>
        <w:t>concerns</w:t>
      </w:r>
      <w:r w:rsidRPr="006B4363">
        <w:rPr>
          <w:rFonts w:cs="Gautami"/>
          <w:sz w:val="20"/>
          <w:szCs w:val="20"/>
        </w:rPr>
        <w:t xml:space="preserve"> </w:t>
      </w:r>
      <w:r w:rsidR="007A4DA7">
        <w:rPr>
          <w:rFonts w:cs="Gautami"/>
          <w:sz w:val="20"/>
          <w:szCs w:val="20"/>
        </w:rPr>
        <w:t xml:space="preserve">and implementation issues </w:t>
      </w:r>
      <w:r w:rsidRPr="006B4363">
        <w:rPr>
          <w:rFonts w:cs="Gautami"/>
          <w:sz w:val="20"/>
          <w:szCs w:val="20"/>
        </w:rPr>
        <w:t xml:space="preserve">with the </w:t>
      </w:r>
      <w:r w:rsidR="004E2827">
        <w:rPr>
          <w:rFonts w:cs="Gautami"/>
          <w:sz w:val="20"/>
          <w:szCs w:val="20"/>
        </w:rPr>
        <w:t>recommendation</w:t>
      </w:r>
      <w:r w:rsidRPr="006B4363">
        <w:rPr>
          <w:rFonts w:cs="Gautami"/>
          <w:sz w:val="20"/>
          <w:szCs w:val="20"/>
        </w:rPr>
        <w:t>, it also shows that a range of these benefits the Panel associates with the proposed structure could not materialise in practice.</w:t>
      </w:r>
    </w:p>
    <w:p w:rsidR="00045748" w:rsidRDefault="00DA20F8" w:rsidP="006B4363">
      <w:pPr>
        <w:pStyle w:val="AERbodytext"/>
        <w:spacing w:line="276" w:lineRule="auto"/>
        <w:jc w:val="left"/>
        <w:rPr>
          <w:rFonts w:cs="Gautami"/>
          <w:sz w:val="20"/>
          <w:szCs w:val="20"/>
        </w:rPr>
      </w:pPr>
      <w:r w:rsidRPr="006B4363">
        <w:rPr>
          <w:rFonts w:cs="Gautami"/>
          <w:sz w:val="20"/>
          <w:szCs w:val="20"/>
        </w:rPr>
        <w:t xml:space="preserve">The draft report </w:t>
      </w:r>
      <w:r w:rsidR="00351843">
        <w:rPr>
          <w:rFonts w:cs="Gautami"/>
          <w:sz w:val="20"/>
          <w:szCs w:val="20"/>
        </w:rPr>
        <w:t>argue</w:t>
      </w:r>
      <w:r w:rsidRPr="006B4363">
        <w:rPr>
          <w:rFonts w:cs="Gautami"/>
          <w:sz w:val="20"/>
          <w:szCs w:val="20"/>
        </w:rPr>
        <w:t xml:space="preserve">s that amalgamating all price regulatory functions will sharpen focus and strengthen analytical capacity in network regulation. We agree that this </w:t>
      </w:r>
      <w:r w:rsidR="00324558">
        <w:rPr>
          <w:rFonts w:cs="Gautami"/>
          <w:sz w:val="20"/>
          <w:szCs w:val="20"/>
        </w:rPr>
        <w:t>type of structure c</w:t>
      </w:r>
      <w:r w:rsidR="00324558" w:rsidRPr="006B4363">
        <w:rPr>
          <w:rFonts w:cs="Gautami"/>
          <w:sz w:val="20"/>
          <w:szCs w:val="20"/>
        </w:rPr>
        <w:t xml:space="preserve">ould </w:t>
      </w:r>
      <w:r w:rsidRPr="006B4363">
        <w:rPr>
          <w:rFonts w:cs="Gautami"/>
          <w:sz w:val="20"/>
          <w:szCs w:val="20"/>
        </w:rPr>
        <w:t xml:space="preserve">help build depth and experience </w:t>
      </w:r>
      <w:r w:rsidR="00457321">
        <w:rPr>
          <w:rFonts w:cs="Gautami"/>
          <w:sz w:val="20"/>
          <w:szCs w:val="20"/>
        </w:rPr>
        <w:t>in</w:t>
      </w:r>
      <w:r w:rsidR="00457321" w:rsidRPr="006B4363">
        <w:rPr>
          <w:rFonts w:cs="Gautami"/>
          <w:sz w:val="20"/>
          <w:szCs w:val="20"/>
        </w:rPr>
        <w:t xml:space="preserve"> </w:t>
      </w:r>
      <w:r w:rsidR="00091237">
        <w:rPr>
          <w:rFonts w:cs="Gautami"/>
          <w:sz w:val="20"/>
          <w:szCs w:val="20"/>
        </w:rPr>
        <w:t xml:space="preserve">a range of </w:t>
      </w:r>
      <w:r w:rsidRPr="006B4363">
        <w:rPr>
          <w:rFonts w:cs="Gautami"/>
          <w:sz w:val="20"/>
          <w:szCs w:val="20"/>
        </w:rPr>
        <w:t>network pricing issues</w:t>
      </w:r>
      <w:r w:rsidRPr="009E1D89">
        <w:rPr>
          <w:rFonts w:cs="Gautami"/>
          <w:sz w:val="20"/>
          <w:szCs w:val="20"/>
        </w:rPr>
        <w:t xml:space="preserve"> and promote consistency of the </w:t>
      </w:r>
      <w:r w:rsidR="00091237">
        <w:rPr>
          <w:rFonts w:cs="Gautami"/>
          <w:sz w:val="20"/>
          <w:szCs w:val="20"/>
        </w:rPr>
        <w:t xml:space="preserve">general </w:t>
      </w:r>
      <w:r w:rsidRPr="009E1D89">
        <w:rPr>
          <w:rFonts w:cs="Gautami"/>
          <w:sz w:val="20"/>
          <w:szCs w:val="20"/>
        </w:rPr>
        <w:t>approach to network regulation across a range of industries.</w:t>
      </w:r>
      <w:r w:rsidR="009E1D89" w:rsidRPr="009E1D89">
        <w:rPr>
          <w:rFonts w:cs="Gautami"/>
          <w:sz w:val="20"/>
          <w:szCs w:val="20"/>
        </w:rPr>
        <w:t xml:space="preserve"> </w:t>
      </w:r>
      <w:r w:rsidR="00045748">
        <w:rPr>
          <w:rFonts w:cs="Gautami"/>
          <w:sz w:val="20"/>
          <w:szCs w:val="20"/>
        </w:rPr>
        <w:t>I</w:t>
      </w:r>
      <w:r w:rsidR="009E1D89" w:rsidRPr="009E1D89">
        <w:rPr>
          <w:rFonts w:cs="Gautami"/>
          <w:sz w:val="20"/>
          <w:szCs w:val="20"/>
        </w:rPr>
        <w:t xml:space="preserve">n the case of energy, </w:t>
      </w:r>
      <w:r w:rsidR="00045748">
        <w:rPr>
          <w:rFonts w:cs="Gautami"/>
          <w:sz w:val="20"/>
          <w:szCs w:val="20"/>
        </w:rPr>
        <w:t xml:space="preserve">however, </w:t>
      </w:r>
      <w:r w:rsidR="009E1D89" w:rsidRPr="009E1D89">
        <w:rPr>
          <w:rFonts w:cs="Gautami"/>
          <w:sz w:val="20"/>
          <w:szCs w:val="20"/>
        </w:rPr>
        <w:t xml:space="preserve">these benefits are already largely captured through the ACCC and AER’s internal processes, including through </w:t>
      </w:r>
      <w:r w:rsidR="00324558">
        <w:rPr>
          <w:rFonts w:cs="Gautami"/>
          <w:sz w:val="20"/>
          <w:szCs w:val="20"/>
        </w:rPr>
        <w:t xml:space="preserve">a common Commissioner/Board member and shared technical expertise </w:t>
      </w:r>
      <w:r w:rsidR="00AB179A">
        <w:rPr>
          <w:rFonts w:cs="Gautami"/>
          <w:sz w:val="20"/>
          <w:szCs w:val="20"/>
        </w:rPr>
        <w:t xml:space="preserve">on issues common to all regulated industries </w:t>
      </w:r>
      <w:r w:rsidR="00324558">
        <w:rPr>
          <w:rFonts w:cs="Gautami"/>
          <w:sz w:val="20"/>
          <w:szCs w:val="20"/>
        </w:rPr>
        <w:t xml:space="preserve">through </w:t>
      </w:r>
      <w:r w:rsidR="009E1D89" w:rsidRPr="009E1D89">
        <w:rPr>
          <w:rFonts w:cs="Gautami"/>
          <w:sz w:val="20"/>
          <w:szCs w:val="20"/>
        </w:rPr>
        <w:t>the Regulatory Economics Unit and Regulatory Law Unit.</w:t>
      </w:r>
      <w:r w:rsidRPr="009E1D89">
        <w:rPr>
          <w:rFonts w:cs="Gautami"/>
          <w:sz w:val="20"/>
          <w:szCs w:val="20"/>
        </w:rPr>
        <w:t xml:space="preserve"> </w:t>
      </w:r>
    </w:p>
    <w:p w:rsidR="00CA1210" w:rsidRDefault="00560B81" w:rsidP="006B4363">
      <w:pPr>
        <w:pStyle w:val="AERbodytext"/>
        <w:spacing w:line="276" w:lineRule="auto"/>
        <w:jc w:val="left"/>
        <w:rPr>
          <w:rFonts w:cs="Gautami"/>
          <w:sz w:val="20"/>
          <w:szCs w:val="20"/>
        </w:rPr>
      </w:pPr>
      <w:r w:rsidRPr="006B4363">
        <w:rPr>
          <w:rFonts w:cs="Gautami"/>
          <w:sz w:val="20"/>
          <w:szCs w:val="20"/>
        </w:rPr>
        <w:lastRenderedPageBreak/>
        <w:t xml:space="preserve">The draft report </w:t>
      </w:r>
      <w:r w:rsidR="00351843">
        <w:rPr>
          <w:rFonts w:cs="Gautami"/>
          <w:sz w:val="20"/>
          <w:szCs w:val="20"/>
        </w:rPr>
        <w:t>argue</w:t>
      </w:r>
      <w:r w:rsidRPr="006B4363">
        <w:rPr>
          <w:rFonts w:cs="Gautami"/>
          <w:sz w:val="20"/>
          <w:szCs w:val="20"/>
        </w:rPr>
        <w:t xml:space="preserve">s that </w:t>
      </w:r>
      <w:r w:rsidR="005F36A1" w:rsidRPr="006B4363">
        <w:rPr>
          <w:rFonts w:cs="Gautami"/>
          <w:sz w:val="20"/>
          <w:szCs w:val="20"/>
        </w:rPr>
        <w:t xml:space="preserve">an </w:t>
      </w:r>
      <w:r w:rsidRPr="006B4363">
        <w:rPr>
          <w:rFonts w:cs="Gautami"/>
          <w:sz w:val="20"/>
          <w:szCs w:val="20"/>
        </w:rPr>
        <w:t xml:space="preserve">access and pricing regulator will have the scale of activities that enables it to acquire broad expertise and experience across a range of industries. </w:t>
      </w:r>
      <w:r w:rsidR="00A8675B" w:rsidRPr="006B4363">
        <w:rPr>
          <w:rFonts w:cs="Gautami"/>
          <w:sz w:val="20"/>
          <w:szCs w:val="20"/>
        </w:rPr>
        <w:t xml:space="preserve">However, </w:t>
      </w:r>
      <w:r w:rsidR="00972D99" w:rsidRPr="006B4363">
        <w:rPr>
          <w:rFonts w:cs="Gautami"/>
          <w:sz w:val="20"/>
          <w:szCs w:val="20"/>
        </w:rPr>
        <w:t xml:space="preserve">the access and pricing regulator will be responsible for regulating over </w:t>
      </w:r>
      <w:r w:rsidR="00972D99" w:rsidRPr="0035755B">
        <w:rPr>
          <w:rFonts w:cs="Gautami"/>
          <w:sz w:val="20"/>
          <w:szCs w:val="20"/>
        </w:rPr>
        <w:t>30</w:t>
      </w:r>
      <w:r w:rsidR="00972D99" w:rsidRPr="006B4363">
        <w:rPr>
          <w:rFonts w:cs="Gautami"/>
          <w:sz w:val="20"/>
          <w:szCs w:val="20"/>
        </w:rPr>
        <w:t xml:space="preserve"> separate electricity and gas networks. </w:t>
      </w:r>
      <w:r w:rsidR="009E1D89">
        <w:rPr>
          <w:rFonts w:cs="Gautami"/>
          <w:sz w:val="20"/>
          <w:szCs w:val="20"/>
        </w:rPr>
        <w:t xml:space="preserve">Further, </w:t>
      </w:r>
      <w:r w:rsidR="004E2827">
        <w:rPr>
          <w:rFonts w:cs="Gautami"/>
          <w:sz w:val="20"/>
          <w:szCs w:val="20"/>
        </w:rPr>
        <w:t>the</w:t>
      </w:r>
      <w:r w:rsidR="009E1D89" w:rsidRPr="006B4363">
        <w:rPr>
          <w:rFonts w:cs="Gautami"/>
          <w:sz w:val="20"/>
          <w:szCs w:val="20"/>
        </w:rPr>
        <w:t xml:space="preserve"> access and pricing regulator will be undertaking a range of </w:t>
      </w:r>
      <w:r w:rsidR="004E2827">
        <w:rPr>
          <w:rFonts w:cs="Gautami"/>
          <w:sz w:val="20"/>
          <w:szCs w:val="20"/>
        </w:rPr>
        <w:t>other detailed energy</w:t>
      </w:r>
      <w:r w:rsidR="009E1D89" w:rsidRPr="006B4363">
        <w:rPr>
          <w:rFonts w:cs="Gautami"/>
          <w:sz w:val="20"/>
          <w:szCs w:val="20"/>
        </w:rPr>
        <w:t xml:space="preserve"> sector roles. </w:t>
      </w:r>
      <w:r w:rsidR="0035755B">
        <w:rPr>
          <w:rFonts w:cs="Gautami"/>
          <w:sz w:val="20"/>
          <w:szCs w:val="20"/>
        </w:rPr>
        <w:t xml:space="preserve">It will need to build up specialist expertise </w:t>
      </w:r>
      <w:r w:rsidR="00CA1210">
        <w:rPr>
          <w:rFonts w:cs="Gautami"/>
          <w:sz w:val="20"/>
          <w:szCs w:val="20"/>
        </w:rPr>
        <w:t>and experience to undertake this role.</w:t>
      </w:r>
    </w:p>
    <w:p w:rsidR="00693594" w:rsidRPr="006B4363" w:rsidRDefault="00693594" w:rsidP="006B4363">
      <w:pPr>
        <w:pStyle w:val="AERbodytext"/>
        <w:spacing w:line="276" w:lineRule="auto"/>
        <w:jc w:val="left"/>
        <w:rPr>
          <w:rFonts w:cs="Gautami"/>
          <w:sz w:val="20"/>
          <w:szCs w:val="20"/>
        </w:rPr>
      </w:pPr>
      <w:r w:rsidRPr="006B4363">
        <w:rPr>
          <w:rFonts w:cs="Gautami"/>
          <w:sz w:val="20"/>
          <w:szCs w:val="20"/>
        </w:rPr>
        <w:t xml:space="preserve">The draft report also argues that the access and pricing regulator would reduce the risk of regulatory capture. However, the task of regulating energy networks and </w:t>
      </w:r>
      <w:r w:rsidR="007B4F02" w:rsidRPr="006B4363">
        <w:rPr>
          <w:rFonts w:cs="Gautami"/>
          <w:sz w:val="20"/>
          <w:szCs w:val="20"/>
        </w:rPr>
        <w:t xml:space="preserve">monitoring the operation of </w:t>
      </w:r>
      <w:r w:rsidRPr="006B4363">
        <w:rPr>
          <w:rFonts w:cs="Gautami"/>
          <w:sz w:val="20"/>
          <w:szCs w:val="20"/>
        </w:rPr>
        <w:t xml:space="preserve">wholesale </w:t>
      </w:r>
      <w:r w:rsidR="005F36A1" w:rsidRPr="006B4363">
        <w:rPr>
          <w:rFonts w:cs="Gautami"/>
          <w:sz w:val="20"/>
          <w:szCs w:val="20"/>
        </w:rPr>
        <w:t xml:space="preserve">and retail </w:t>
      </w:r>
      <w:r w:rsidRPr="006B4363">
        <w:rPr>
          <w:rFonts w:cs="Gautami"/>
          <w:sz w:val="20"/>
          <w:szCs w:val="20"/>
        </w:rPr>
        <w:t xml:space="preserve">energy markets is an inherently complex task that cannot be undertaken without specialist technical knowledge, and industry and engineering expertise. </w:t>
      </w:r>
      <w:r w:rsidR="007B4F02" w:rsidRPr="006B4363">
        <w:rPr>
          <w:rFonts w:cs="Gautami"/>
          <w:sz w:val="20"/>
          <w:szCs w:val="20"/>
        </w:rPr>
        <w:t xml:space="preserve">To the extent this build-up of specialist energy sector knowledge increases </w:t>
      </w:r>
      <w:r w:rsidR="006D4611">
        <w:rPr>
          <w:rFonts w:cs="Gautami"/>
          <w:sz w:val="20"/>
          <w:szCs w:val="20"/>
        </w:rPr>
        <w:t>any</w:t>
      </w:r>
      <w:r w:rsidR="007B4F02" w:rsidRPr="006B4363">
        <w:rPr>
          <w:rFonts w:cs="Gautami"/>
          <w:sz w:val="20"/>
          <w:szCs w:val="20"/>
        </w:rPr>
        <w:t xml:space="preserve"> risk of regulatory capture, mechanisms can be put in place to mitigate this risk. As highlighted in our initial submission to this review, the AER’s independence is underpinned by having </w:t>
      </w:r>
      <w:r w:rsidR="004E2827">
        <w:rPr>
          <w:rFonts w:cs="Gautami"/>
          <w:sz w:val="20"/>
          <w:szCs w:val="20"/>
        </w:rPr>
        <w:t>cl</w:t>
      </w:r>
      <w:r w:rsidR="007B4F02" w:rsidRPr="006B4363">
        <w:rPr>
          <w:rFonts w:cs="Gautami"/>
          <w:sz w:val="20"/>
          <w:szCs w:val="20"/>
        </w:rPr>
        <w:t>early defined roles and functions</w:t>
      </w:r>
      <w:r w:rsidR="004E2827">
        <w:rPr>
          <w:rFonts w:cs="Gautami"/>
          <w:sz w:val="20"/>
          <w:szCs w:val="20"/>
        </w:rPr>
        <w:t xml:space="preserve"> under legislation</w:t>
      </w:r>
      <w:r w:rsidR="007B4F02" w:rsidRPr="006B4363">
        <w:rPr>
          <w:rFonts w:cs="Gautami"/>
          <w:sz w:val="20"/>
          <w:szCs w:val="20"/>
        </w:rPr>
        <w:t xml:space="preserve">, a well-established governance and reporting framework, and a transparent decision making process. </w:t>
      </w:r>
      <w:r w:rsidR="00117DC1">
        <w:rPr>
          <w:rFonts w:cs="Gautami"/>
          <w:sz w:val="20"/>
          <w:szCs w:val="20"/>
        </w:rPr>
        <w:t xml:space="preserve">Further, the current relationship with the ACCC means that staff and decision makers are already exposed to a broader range of industries, </w:t>
      </w:r>
      <w:r w:rsidR="00D60BE2">
        <w:rPr>
          <w:rFonts w:cs="Gautami"/>
          <w:sz w:val="20"/>
          <w:szCs w:val="20"/>
        </w:rPr>
        <w:t>and have the benefit of the experienc</w:t>
      </w:r>
      <w:r w:rsidR="006D4611">
        <w:rPr>
          <w:rFonts w:cs="Gautami"/>
          <w:sz w:val="20"/>
          <w:szCs w:val="20"/>
        </w:rPr>
        <w:t xml:space="preserve">e of the ACCC regulation in </w:t>
      </w:r>
      <w:r w:rsidR="00D60BE2">
        <w:rPr>
          <w:rFonts w:cs="Gautami"/>
          <w:sz w:val="20"/>
          <w:szCs w:val="20"/>
        </w:rPr>
        <w:t>communications, rail, water, ports</w:t>
      </w:r>
      <w:r w:rsidR="00CA1210">
        <w:rPr>
          <w:rFonts w:cs="Gautami"/>
          <w:sz w:val="20"/>
          <w:szCs w:val="20"/>
        </w:rPr>
        <w:t xml:space="preserve"> and </w:t>
      </w:r>
      <w:r w:rsidR="00D60BE2">
        <w:rPr>
          <w:rFonts w:cs="Gautami"/>
          <w:sz w:val="20"/>
          <w:szCs w:val="20"/>
        </w:rPr>
        <w:t>airports.</w:t>
      </w:r>
    </w:p>
    <w:p w:rsidR="004F664E" w:rsidRPr="006B4363" w:rsidRDefault="006C1E83" w:rsidP="006B4363">
      <w:pPr>
        <w:pStyle w:val="AERbodytext"/>
        <w:spacing w:line="276" w:lineRule="auto"/>
        <w:jc w:val="left"/>
        <w:rPr>
          <w:rFonts w:cs="Gautami"/>
          <w:sz w:val="20"/>
          <w:szCs w:val="20"/>
        </w:rPr>
      </w:pPr>
      <w:r w:rsidRPr="006B4363">
        <w:rPr>
          <w:rFonts w:cs="Gautami"/>
          <w:sz w:val="20"/>
          <w:szCs w:val="20"/>
        </w:rPr>
        <w:t xml:space="preserve">Finally, </w:t>
      </w:r>
      <w:r w:rsidR="004F664E" w:rsidRPr="006B4363">
        <w:rPr>
          <w:rFonts w:cs="Gautami"/>
          <w:sz w:val="20"/>
          <w:szCs w:val="20"/>
        </w:rPr>
        <w:t xml:space="preserve">the </w:t>
      </w:r>
      <w:r w:rsidRPr="006B4363">
        <w:rPr>
          <w:rFonts w:cs="Gautami"/>
          <w:sz w:val="20"/>
          <w:szCs w:val="20"/>
        </w:rPr>
        <w:t xml:space="preserve">draft report argument that </w:t>
      </w:r>
      <w:r w:rsidR="005F36A1" w:rsidRPr="006B4363">
        <w:rPr>
          <w:rFonts w:cs="Gautami"/>
          <w:sz w:val="20"/>
          <w:szCs w:val="20"/>
        </w:rPr>
        <w:t xml:space="preserve">an </w:t>
      </w:r>
      <w:r w:rsidRPr="006B4363">
        <w:rPr>
          <w:rFonts w:cs="Gautami"/>
          <w:sz w:val="20"/>
          <w:szCs w:val="20"/>
        </w:rPr>
        <w:t>access and pricing regulator</w:t>
      </w:r>
      <w:r w:rsidR="004F664E" w:rsidRPr="006B4363">
        <w:rPr>
          <w:rFonts w:cs="Gautami"/>
          <w:sz w:val="20"/>
          <w:szCs w:val="20"/>
        </w:rPr>
        <w:t xml:space="preserve"> model will reduce the costs associated with multiple regulators and promote consistent regulatory approaches is not true</w:t>
      </w:r>
      <w:r w:rsidRPr="006B4363">
        <w:rPr>
          <w:rFonts w:cs="Gautami"/>
          <w:sz w:val="20"/>
          <w:szCs w:val="20"/>
        </w:rPr>
        <w:t xml:space="preserve">, at least in the case of </w:t>
      </w:r>
      <w:r w:rsidR="004F664E" w:rsidRPr="006B4363">
        <w:rPr>
          <w:rFonts w:cs="Gautami"/>
          <w:sz w:val="20"/>
          <w:szCs w:val="20"/>
        </w:rPr>
        <w:t xml:space="preserve">energy. It involves </w:t>
      </w:r>
      <w:r w:rsidR="006D4611">
        <w:rPr>
          <w:rFonts w:cs="Gautami"/>
          <w:sz w:val="20"/>
          <w:szCs w:val="20"/>
        </w:rPr>
        <w:t>an</w:t>
      </w:r>
      <w:r w:rsidRPr="006B4363">
        <w:rPr>
          <w:rFonts w:cs="Gautami"/>
          <w:sz w:val="20"/>
          <w:szCs w:val="20"/>
        </w:rPr>
        <w:t xml:space="preserve"> access and pricing regulator and the ACCC taking on the w</w:t>
      </w:r>
      <w:r w:rsidR="004F664E" w:rsidRPr="006B4363">
        <w:rPr>
          <w:rFonts w:cs="Gautami"/>
          <w:sz w:val="20"/>
          <w:szCs w:val="20"/>
        </w:rPr>
        <w:t xml:space="preserve">ork currently undertaken by the AER. </w:t>
      </w:r>
      <w:r w:rsidRPr="006B4363">
        <w:rPr>
          <w:rFonts w:cs="Gautami"/>
          <w:sz w:val="20"/>
          <w:szCs w:val="20"/>
        </w:rPr>
        <w:t xml:space="preserve">As highlighted above, </w:t>
      </w:r>
      <w:r w:rsidR="007A4DA7">
        <w:rPr>
          <w:rFonts w:cs="Gautami"/>
          <w:sz w:val="20"/>
          <w:szCs w:val="20"/>
        </w:rPr>
        <w:t>most market participants</w:t>
      </w:r>
      <w:r w:rsidRPr="006B4363">
        <w:rPr>
          <w:rFonts w:cs="Gautami"/>
          <w:sz w:val="20"/>
          <w:szCs w:val="20"/>
        </w:rPr>
        <w:t xml:space="preserve"> would need to deal with both regulators under the proposed framework. This increases compliance costs for the businesses involved and</w:t>
      </w:r>
      <w:r w:rsidR="004F664E" w:rsidRPr="006B4363">
        <w:rPr>
          <w:rFonts w:cs="Gautami"/>
          <w:sz w:val="20"/>
          <w:szCs w:val="20"/>
        </w:rPr>
        <w:t xml:space="preserve"> creates the potential for inconsistent regulatory approaches.</w:t>
      </w:r>
      <w:r w:rsidRPr="006B4363">
        <w:rPr>
          <w:rFonts w:cs="Gautami"/>
          <w:sz w:val="20"/>
          <w:szCs w:val="20"/>
        </w:rPr>
        <w:t xml:space="preserve"> The proposed framework also increases the costs of regulation. The proposal involves the ACCC and the access and pricing regulator performing a range of similar roles, such as in relation to compliance and enforcement</w:t>
      </w:r>
      <w:r w:rsidR="00AB179A">
        <w:rPr>
          <w:rFonts w:cs="Gautami"/>
          <w:sz w:val="20"/>
          <w:szCs w:val="20"/>
        </w:rPr>
        <w:t xml:space="preserve"> with respect to the same industry</w:t>
      </w:r>
      <w:r w:rsidRPr="006B4363">
        <w:rPr>
          <w:rFonts w:cs="Gautami"/>
          <w:sz w:val="20"/>
          <w:szCs w:val="20"/>
        </w:rPr>
        <w:t>. This can only add costs and reduce efficiencies compared to the current arrangement where all energy market compliance and enforcement work is undertaken by the AER.</w:t>
      </w:r>
    </w:p>
    <w:p w:rsidR="008F54E7" w:rsidRPr="006B4363" w:rsidRDefault="00BA1E74" w:rsidP="006B4363">
      <w:pPr>
        <w:pStyle w:val="AERbodytext"/>
        <w:spacing w:line="276" w:lineRule="auto"/>
        <w:jc w:val="left"/>
        <w:rPr>
          <w:rFonts w:cs="Gautami"/>
          <w:sz w:val="20"/>
          <w:szCs w:val="20"/>
        </w:rPr>
      </w:pPr>
      <w:r w:rsidRPr="006B4363">
        <w:rPr>
          <w:rFonts w:cs="Gautami"/>
          <w:sz w:val="20"/>
          <w:szCs w:val="20"/>
        </w:rPr>
        <w:t xml:space="preserve">The discussion in this section highlights that there are </w:t>
      </w:r>
      <w:r w:rsidR="004E2827">
        <w:rPr>
          <w:rFonts w:cs="Gautami"/>
          <w:sz w:val="20"/>
          <w:szCs w:val="20"/>
        </w:rPr>
        <w:t xml:space="preserve">fundamental </w:t>
      </w:r>
      <w:r w:rsidR="00DB6023">
        <w:rPr>
          <w:rFonts w:cs="Gautami"/>
          <w:sz w:val="20"/>
          <w:szCs w:val="20"/>
        </w:rPr>
        <w:t>implications to</w:t>
      </w:r>
      <w:r w:rsidRPr="006B4363">
        <w:rPr>
          <w:rFonts w:cs="Gautami"/>
          <w:sz w:val="20"/>
          <w:szCs w:val="20"/>
        </w:rPr>
        <w:t xml:space="preserve"> the proposal to divide the AER’s work between </w:t>
      </w:r>
      <w:r w:rsidR="005F36A1" w:rsidRPr="006B4363">
        <w:rPr>
          <w:rFonts w:cs="Gautami"/>
          <w:sz w:val="20"/>
          <w:szCs w:val="20"/>
        </w:rPr>
        <w:t xml:space="preserve">an </w:t>
      </w:r>
      <w:r w:rsidRPr="006B4363">
        <w:rPr>
          <w:rFonts w:cs="Gautami"/>
          <w:sz w:val="20"/>
          <w:szCs w:val="20"/>
        </w:rPr>
        <w:t>access and pricing regulator and the ACCC.</w:t>
      </w:r>
      <w:r w:rsidR="00A01966" w:rsidRPr="006B4363">
        <w:rPr>
          <w:rFonts w:cs="Gautami"/>
          <w:sz w:val="20"/>
          <w:szCs w:val="20"/>
        </w:rPr>
        <w:t xml:space="preserve"> </w:t>
      </w:r>
      <w:r w:rsidR="004E2827">
        <w:rPr>
          <w:rFonts w:cs="Gautami"/>
          <w:sz w:val="20"/>
          <w:szCs w:val="20"/>
        </w:rPr>
        <w:t>It does not reflect</w:t>
      </w:r>
      <w:r w:rsidRPr="006B4363">
        <w:rPr>
          <w:rFonts w:cs="Gautami"/>
          <w:sz w:val="20"/>
          <w:szCs w:val="20"/>
        </w:rPr>
        <w:t xml:space="preserve"> </w:t>
      </w:r>
      <w:r w:rsidR="004365F4">
        <w:rPr>
          <w:rFonts w:cs="Gautami"/>
          <w:sz w:val="20"/>
          <w:szCs w:val="20"/>
        </w:rPr>
        <w:t>the integrated nature of energy markets</w:t>
      </w:r>
      <w:r w:rsidR="009927CF">
        <w:rPr>
          <w:rFonts w:cs="Gautami"/>
          <w:sz w:val="20"/>
          <w:szCs w:val="20"/>
        </w:rPr>
        <w:t xml:space="preserve"> or</w:t>
      </w:r>
      <w:r w:rsidR="00AB179A">
        <w:rPr>
          <w:rFonts w:cs="Gautami"/>
          <w:sz w:val="20"/>
          <w:szCs w:val="20"/>
        </w:rPr>
        <w:t xml:space="preserve"> the existing industry institutional arrangements</w:t>
      </w:r>
      <w:r w:rsidR="004365F4">
        <w:rPr>
          <w:rFonts w:cs="Gautami"/>
          <w:sz w:val="20"/>
          <w:szCs w:val="20"/>
        </w:rPr>
        <w:t xml:space="preserve"> and it mischaracterises the Retail Law. If implemented, it would create unnecessary costs and deliver little benefit.</w:t>
      </w:r>
      <w:r w:rsidR="00451231">
        <w:rPr>
          <w:rFonts w:cs="Gautami"/>
          <w:sz w:val="20"/>
          <w:szCs w:val="20"/>
        </w:rPr>
        <w:t xml:space="preserve"> This </w:t>
      </w:r>
      <w:r w:rsidR="00CA1210">
        <w:rPr>
          <w:rFonts w:cs="Gautami"/>
          <w:sz w:val="20"/>
          <w:szCs w:val="20"/>
        </w:rPr>
        <w:t>highlights the importance</w:t>
      </w:r>
      <w:r w:rsidR="00451231">
        <w:rPr>
          <w:rFonts w:cs="Gautami"/>
          <w:sz w:val="20"/>
          <w:szCs w:val="20"/>
        </w:rPr>
        <w:t xml:space="preserve"> </w:t>
      </w:r>
      <w:r w:rsidR="00CA1210">
        <w:rPr>
          <w:rFonts w:cs="Gautami"/>
          <w:sz w:val="20"/>
          <w:szCs w:val="20"/>
        </w:rPr>
        <w:t>of</w:t>
      </w:r>
      <w:r w:rsidR="00451231">
        <w:rPr>
          <w:rFonts w:cs="Gautami"/>
          <w:sz w:val="20"/>
          <w:szCs w:val="20"/>
        </w:rPr>
        <w:t xml:space="preserve"> a single national energy market regulator. </w:t>
      </w:r>
    </w:p>
    <w:p w:rsidR="006B4363" w:rsidRPr="002C246C" w:rsidRDefault="006B4363" w:rsidP="006B4363">
      <w:pPr>
        <w:pStyle w:val="AERheading1"/>
        <w:pageBreakBefore w:val="0"/>
        <w:numPr>
          <w:ilvl w:val="0"/>
          <w:numId w:val="17"/>
        </w:numPr>
        <w:tabs>
          <w:tab w:val="clear" w:pos="0"/>
        </w:tabs>
        <w:rPr>
          <w:shd w:val="clear" w:color="auto" w:fill="C0C0C1"/>
        </w:rPr>
      </w:pPr>
      <w:r>
        <w:t>Energy market reform</w:t>
      </w:r>
    </w:p>
    <w:p w:rsidR="00590338" w:rsidRPr="006B4363" w:rsidRDefault="00590338" w:rsidP="006B4363">
      <w:pPr>
        <w:pStyle w:val="AERbodytext"/>
        <w:spacing w:line="276" w:lineRule="auto"/>
        <w:jc w:val="left"/>
        <w:rPr>
          <w:rFonts w:cs="Gautami"/>
          <w:sz w:val="20"/>
          <w:szCs w:val="20"/>
        </w:rPr>
      </w:pPr>
      <w:r w:rsidRPr="006B4363">
        <w:rPr>
          <w:rFonts w:cs="Gautami"/>
          <w:sz w:val="20"/>
          <w:szCs w:val="20"/>
        </w:rPr>
        <w:t>Draft Recommendation 16 covers a range of potential areas for energy market reform. It states:</w:t>
      </w:r>
    </w:p>
    <w:p w:rsidR="00590338" w:rsidRPr="006B4363" w:rsidRDefault="00590338" w:rsidP="006B4363">
      <w:pPr>
        <w:pStyle w:val="AERbodytext"/>
        <w:spacing w:line="276" w:lineRule="auto"/>
        <w:ind w:left="720"/>
        <w:jc w:val="left"/>
        <w:rPr>
          <w:rFonts w:cs="Gautami"/>
          <w:i/>
          <w:sz w:val="20"/>
          <w:szCs w:val="20"/>
        </w:rPr>
      </w:pPr>
      <w:r w:rsidRPr="006B4363">
        <w:rPr>
          <w:rFonts w:cs="Gautami"/>
          <w:i/>
          <w:sz w:val="20"/>
          <w:szCs w:val="20"/>
        </w:rPr>
        <w:t>State and territory governments should finalise the energy reform agenda, including through:</w:t>
      </w:r>
    </w:p>
    <w:p w:rsidR="00590338" w:rsidRPr="006B4363" w:rsidRDefault="00590338" w:rsidP="00482F45">
      <w:pPr>
        <w:pStyle w:val="AERbodytext"/>
        <w:numPr>
          <w:ilvl w:val="0"/>
          <w:numId w:val="3"/>
        </w:numPr>
        <w:spacing w:line="276" w:lineRule="auto"/>
        <w:jc w:val="left"/>
        <w:rPr>
          <w:rFonts w:cs="Gautami"/>
          <w:i/>
          <w:sz w:val="20"/>
          <w:szCs w:val="20"/>
        </w:rPr>
      </w:pPr>
      <w:r w:rsidRPr="006B4363">
        <w:rPr>
          <w:rFonts w:cs="Gautami"/>
          <w:i/>
          <w:sz w:val="20"/>
          <w:szCs w:val="20"/>
        </w:rPr>
        <w:t>application of the National Energy Retail Law with minimal derogation by all National Electricity Market jurisdictions;</w:t>
      </w:r>
    </w:p>
    <w:p w:rsidR="00590338" w:rsidRPr="006B4363" w:rsidRDefault="00590338" w:rsidP="00482F45">
      <w:pPr>
        <w:pStyle w:val="AERbodytext"/>
        <w:numPr>
          <w:ilvl w:val="0"/>
          <w:numId w:val="3"/>
        </w:numPr>
        <w:spacing w:line="276" w:lineRule="auto"/>
        <w:jc w:val="left"/>
        <w:rPr>
          <w:rFonts w:cs="Gautami"/>
          <w:i/>
          <w:sz w:val="20"/>
          <w:szCs w:val="20"/>
        </w:rPr>
      </w:pPr>
      <w:r w:rsidRPr="006B4363">
        <w:rPr>
          <w:rFonts w:cs="Gautami"/>
          <w:i/>
          <w:sz w:val="20"/>
          <w:szCs w:val="20"/>
        </w:rPr>
        <w:t>deregulation of both electricity and gas retail prices; and</w:t>
      </w:r>
    </w:p>
    <w:p w:rsidR="00590338" w:rsidRPr="006B4363" w:rsidRDefault="00590338" w:rsidP="00482F45">
      <w:pPr>
        <w:pStyle w:val="AERbodytext"/>
        <w:numPr>
          <w:ilvl w:val="0"/>
          <w:numId w:val="3"/>
        </w:numPr>
        <w:spacing w:line="276" w:lineRule="auto"/>
        <w:jc w:val="left"/>
        <w:rPr>
          <w:rFonts w:cs="Gautami"/>
          <w:i/>
          <w:sz w:val="20"/>
          <w:szCs w:val="20"/>
        </w:rPr>
      </w:pPr>
      <w:proofErr w:type="gramStart"/>
      <w:r w:rsidRPr="006B4363">
        <w:rPr>
          <w:rFonts w:cs="Gautami"/>
          <w:i/>
          <w:sz w:val="20"/>
          <w:szCs w:val="20"/>
        </w:rPr>
        <w:t>the</w:t>
      </w:r>
      <w:proofErr w:type="gramEnd"/>
      <w:r w:rsidRPr="006B4363">
        <w:rPr>
          <w:rFonts w:cs="Gautami"/>
          <w:i/>
          <w:sz w:val="20"/>
          <w:szCs w:val="20"/>
        </w:rPr>
        <w:t xml:space="preserve"> transfer of responsibility for reliability standards to a national framework.</w:t>
      </w:r>
    </w:p>
    <w:p w:rsidR="00590338" w:rsidRPr="006B4363" w:rsidRDefault="00590338" w:rsidP="006B4363">
      <w:pPr>
        <w:pStyle w:val="AERbodytext"/>
        <w:spacing w:line="276" w:lineRule="auto"/>
        <w:ind w:left="720"/>
        <w:jc w:val="left"/>
        <w:rPr>
          <w:rFonts w:cs="Gautami"/>
          <w:i/>
          <w:sz w:val="20"/>
          <w:szCs w:val="20"/>
        </w:rPr>
      </w:pPr>
      <w:r w:rsidRPr="006B4363">
        <w:rPr>
          <w:rFonts w:cs="Gautami"/>
          <w:i/>
          <w:sz w:val="20"/>
          <w:szCs w:val="20"/>
        </w:rPr>
        <w:t>The Panel supports moves to include Western Australia and the Northern Territory in the National Electricity Market, noting that this does not require physical integration.</w:t>
      </w:r>
    </w:p>
    <w:p w:rsidR="00590338" w:rsidRPr="006B4363" w:rsidRDefault="00E65800" w:rsidP="006B4363">
      <w:pPr>
        <w:pStyle w:val="AERbodytext"/>
        <w:spacing w:line="276" w:lineRule="auto"/>
        <w:jc w:val="left"/>
        <w:rPr>
          <w:rFonts w:cs="Gautami"/>
          <w:sz w:val="20"/>
          <w:szCs w:val="20"/>
        </w:rPr>
      </w:pPr>
      <w:r w:rsidRPr="006B4363">
        <w:rPr>
          <w:rFonts w:cs="Gautami"/>
          <w:sz w:val="20"/>
          <w:szCs w:val="20"/>
        </w:rPr>
        <w:lastRenderedPageBreak/>
        <w:t>T</w:t>
      </w:r>
      <w:r w:rsidR="00590338" w:rsidRPr="006B4363">
        <w:rPr>
          <w:rFonts w:cs="Gautami"/>
          <w:sz w:val="20"/>
          <w:szCs w:val="20"/>
        </w:rPr>
        <w:t>he AER supports all of these initiatives</w:t>
      </w:r>
      <w:r w:rsidRPr="006B4363">
        <w:rPr>
          <w:rFonts w:cs="Gautami"/>
          <w:sz w:val="20"/>
          <w:szCs w:val="20"/>
        </w:rPr>
        <w:t xml:space="preserve"> and we </w:t>
      </w:r>
      <w:r w:rsidR="009F2CE5">
        <w:rPr>
          <w:rFonts w:cs="Gautami"/>
          <w:sz w:val="20"/>
          <w:szCs w:val="20"/>
        </w:rPr>
        <w:t>consider that</w:t>
      </w:r>
      <w:r w:rsidR="00590338" w:rsidRPr="006B4363">
        <w:rPr>
          <w:rFonts w:cs="Gautami"/>
          <w:sz w:val="20"/>
          <w:szCs w:val="20"/>
        </w:rPr>
        <w:t xml:space="preserve"> this recommendation has identified a range of significant reforms that would further enhance the efficiency of Australia’s energy markets.</w:t>
      </w:r>
    </w:p>
    <w:p w:rsidR="00590338" w:rsidRPr="006B4363" w:rsidRDefault="00590338" w:rsidP="006B4363">
      <w:pPr>
        <w:pStyle w:val="AERbodytext"/>
        <w:spacing w:line="276" w:lineRule="auto"/>
        <w:jc w:val="left"/>
        <w:rPr>
          <w:rFonts w:cs="Gautami"/>
          <w:i/>
          <w:sz w:val="20"/>
          <w:szCs w:val="20"/>
        </w:rPr>
      </w:pPr>
      <w:r w:rsidRPr="006B4363">
        <w:rPr>
          <w:rFonts w:cs="Gautami"/>
          <w:i/>
          <w:sz w:val="20"/>
          <w:szCs w:val="20"/>
        </w:rPr>
        <w:t>Uniform application of the retail law</w:t>
      </w:r>
    </w:p>
    <w:p w:rsidR="00590338" w:rsidRPr="006B4363" w:rsidRDefault="00590338" w:rsidP="006B4363">
      <w:pPr>
        <w:pStyle w:val="AERbodytext"/>
        <w:spacing w:line="276" w:lineRule="auto"/>
        <w:jc w:val="left"/>
        <w:rPr>
          <w:rFonts w:cs="Gautami"/>
          <w:sz w:val="20"/>
          <w:szCs w:val="20"/>
        </w:rPr>
      </w:pPr>
      <w:r w:rsidRPr="006B4363">
        <w:rPr>
          <w:rFonts w:cs="Gautami"/>
          <w:sz w:val="20"/>
          <w:szCs w:val="20"/>
        </w:rPr>
        <w:t xml:space="preserve">At present, the Retail Law applies in New South Wales, South Australia, Tasmania and the ACT. Recent announcements by the Queensland and Victorian Governments to apply the Retail Law would extend coverage across all NEM jurisdictions. </w:t>
      </w:r>
    </w:p>
    <w:p w:rsidR="00590338" w:rsidRPr="006B4363" w:rsidRDefault="00590338" w:rsidP="006B4363">
      <w:pPr>
        <w:pStyle w:val="AERbodytext"/>
        <w:spacing w:line="276" w:lineRule="auto"/>
        <w:jc w:val="left"/>
        <w:rPr>
          <w:rFonts w:cs="Gautami"/>
          <w:sz w:val="20"/>
          <w:szCs w:val="20"/>
        </w:rPr>
      </w:pPr>
      <w:r w:rsidRPr="006B4363">
        <w:rPr>
          <w:rFonts w:cs="Gautami"/>
          <w:sz w:val="20"/>
          <w:szCs w:val="20"/>
        </w:rPr>
        <w:t xml:space="preserve">Application of the Retail Law by all jurisdictions has the potential to deliver significant benefits to energy consumers and energy businesses. Application of the Retail Law by all NEM jurisdictions will help provide consumers with the tools to more effectively compare retail offers and seek out the deal that best suits them. It will also provide consumers with a range of protections.  </w:t>
      </w:r>
    </w:p>
    <w:p w:rsidR="00590338" w:rsidRPr="006B4363" w:rsidRDefault="00590338" w:rsidP="006B4363">
      <w:pPr>
        <w:pStyle w:val="AERbodytext"/>
        <w:spacing w:line="276" w:lineRule="auto"/>
        <w:jc w:val="left"/>
        <w:rPr>
          <w:rFonts w:cs="Gautami"/>
          <w:sz w:val="20"/>
          <w:szCs w:val="20"/>
        </w:rPr>
      </w:pPr>
      <w:r w:rsidRPr="006B4363">
        <w:rPr>
          <w:rFonts w:cs="Gautami"/>
          <w:sz w:val="20"/>
          <w:szCs w:val="20"/>
        </w:rPr>
        <w:t xml:space="preserve">As highlighted in submissions by retailers to this review, application of the Retail Law across the NEM will lower barriers for energy retailers to enter into the market across participating states and territories. This can be expected </w:t>
      </w:r>
      <w:r w:rsidR="00CA1210">
        <w:rPr>
          <w:rFonts w:cs="Gautami"/>
          <w:sz w:val="20"/>
          <w:szCs w:val="20"/>
        </w:rPr>
        <w:t>to</w:t>
      </w:r>
      <w:r w:rsidR="00CA1210" w:rsidRPr="006B4363">
        <w:rPr>
          <w:rFonts w:cs="Gautami"/>
          <w:sz w:val="20"/>
          <w:szCs w:val="20"/>
        </w:rPr>
        <w:t xml:space="preserve"> </w:t>
      </w:r>
      <w:r w:rsidRPr="006B4363">
        <w:rPr>
          <w:rFonts w:cs="Gautami"/>
          <w:sz w:val="20"/>
          <w:szCs w:val="20"/>
        </w:rPr>
        <w:t xml:space="preserve">promote an increase in retail competition. </w:t>
      </w:r>
    </w:p>
    <w:p w:rsidR="00590338" w:rsidRPr="006B4363" w:rsidRDefault="00590338" w:rsidP="006B4363">
      <w:pPr>
        <w:pStyle w:val="AERbodytext"/>
        <w:spacing w:line="276" w:lineRule="auto"/>
        <w:jc w:val="left"/>
        <w:rPr>
          <w:rFonts w:cs="Gautami"/>
          <w:sz w:val="20"/>
          <w:szCs w:val="20"/>
        </w:rPr>
      </w:pPr>
      <w:r w:rsidRPr="006B4363">
        <w:rPr>
          <w:rFonts w:cs="Gautami"/>
          <w:sz w:val="20"/>
          <w:szCs w:val="20"/>
        </w:rPr>
        <w:t xml:space="preserve">However, as highlighted by the recommendation, the benefits of the Retail Law depend in part on the extent of any </w:t>
      </w:r>
      <w:proofErr w:type="gramStart"/>
      <w:r w:rsidRPr="006B4363">
        <w:rPr>
          <w:rFonts w:cs="Gautami"/>
          <w:sz w:val="20"/>
          <w:szCs w:val="20"/>
        </w:rPr>
        <w:t>derogations</w:t>
      </w:r>
      <w:proofErr w:type="gramEnd"/>
      <w:r w:rsidRPr="006B4363">
        <w:rPr>
          <w:rFonts w:cs="Gautami"/>
          <w:sz w:val="20"/>
          <w:szCs w:val="20"/>
        </w:rPr>
        <w:t xml:space="preserve">. </w:t>
      </w:r>
      <w:r w:rsidR="009F2CE5">
        <w:rPr>
          <w:rFonts w:cs="Gautami"/>
          <w:sz w:val="20"/>
          <w:szCs w:val="20"/>
        </w:rPr>
        <w:t>We</w:t>
      </w:r>
      <w:r w:rsidRPr="006B4363">
        <w:rPr>
          <w:rFonts w:cs="Gautami"/>
          <w:sz w:val="20"/>
          <w:szCs w:val="20"/>
        </w:rPr>
        <w:t xml:space="preserve"> support uniform application of the Retail Law across all jurisdictions.</w:t>
      </w:r>
    </w:p>
    <w:p w:rsidR="00590338" w:rsidRPr="006B4363" w:rsidRDefault="00590338" w:rsidP="006B4363">
      <w:pPr>
        <w:pStyle w:val="AERbodytext"/>
        <w:spacing w:line="276" w:lineRule="auto"/>
        <w:jc w:val="left"/>
        <w:rPr>
          <w:rFonts w:cs="Gautami"/>
          <w:i/>
          <w:sz w:val="20"/>
          <w:szCs w:val="20"/>
        </w:rPr>
      </w:pPr>
      <w:r w:rsidRPr="006B4363">
        <w:rPr>
          <w:rFonts w:cs="Gautami"/>
          <w:i/>
          <w:sz w:val="20"/>
          <w:szCs w:val="20"/>
        </w:rPr>
        <w:t>Retail price deregulation</w:t>
      </w:r>
    </w:p>
    <w:p w:rsidR="00590338" w:rsidRPr="006B4363" w:rsidRDefault="00590338" w:rsidP="006B4363">
      <w:pPr>
        <w:pStyle w:val="AERbodytext"/>
        <w:spacing w:line="276" w:lineRule="auto"/>
        <w:jc w:val="left"/>
        <w:rPr>
          <w:rFonts w:cs="Gautami"/>
          <w:sz w:val="20"/>
          <w:szCs w:val="20"/>
        </w:rPr>
      </w:pPr>
      <w:r w:rsidRPr="006B4363">
        <w:rPr>
          <w:rFonts w:cs="Gautami"/>
          <w:sz w:val="20"/>
          <w:szCs w:val="20"/>
        </w:rPr>
        <w:t xml:space="preserve">The AER supports the recommendation to deregulate electricity and gas retail prices. Retail price deregulation offers the greatest potential to deliver retail energy markets characterised by strong competition that offer innovative products and services to the benefit of consumers. </w:t>
      </w:r>
    </w:p>
    <w:p w:rsidR="00590338" w:rsidRPr="006B4363" w:rsidRDefault="00590338" w:rsidP="006B4363">
      <w:pPr>
        <w:pStyle w:val="AERbodytext"/>
        <w:spacing w:line="276" w:lineRule="auto"/>
        <w:jc w:val="left"/>
        <w:rPr>
          <w:rFonts w:cs="Gautami"/>
          <w:sz w:val="20"/>
          <w:szCs w:val="20"/>
        </w:rPr>
      </w:pPr>
      <w:r w:rsidRPr="006B4363">
        <w:rPr>
          <w:rFonts w:cs="Gautami"/>
          <w:sz w:val="20"/>
          <w:szCs w:val="20"/>
        </w:rPr>
        <w:t>We believe that by promoting informed customer choice, the Retail Law provisions will play an important role to play in supporting a deregulated retail market.</w:t>
      </w:r>
    </w:p>
    <w:p w:rsidR="00590338" w:rsidRPr="006B4363" w:rsidRDefault="00590338" w:rsidP="006B4363">
      <w:pPr>
        <w:pStyle w:val="AERbodytext"/>
        <w:spacing w:line="276" w:lineRule="auto"/>
        <w:jc w:val="left"/>
        <w:rPr>
          <w:rFonts w:cs="Gautami"/>
          <w:i/>
          <w:sz w:val="20"/>
          <w:szCs w:val="20"/>
        </w:rPr>
      </w:pPr>
      <w:r w:rsidRPr="006B4363">
        <w:rPr>
          <w:rFonts w:cs="Gautami"/>
          <w:i/>
          <w:sz w:val="20"/>
          <w:szCs w:val="20"/>
        </w:rPr>
        <w:t>National reliability standards framework</w:t>
      </w:r>
    </w:p>
    <w:p w:rsidR="00590338" w:rsidRDefault="00590338" w:rsidP="006B4363">
      <w:pPr>
        <w:pStyle w:val="AERbodytext"/>
        <w:spacing w:line="276" w:lineRule="auto"/>
        <w:jc w:val="left"/>
        <w:rPr>
          <w:rFonts w:cs="Gautami"/>
          <w:bCs/>
          <w:sz w:val="20"/>
          <w:szCs w:val="20"/>
        </w:rPr>
      </w:pPr>
      <w:r w:rsidRPr="006B4363">
        <w:rPr>
          <w:rFonts w:cs="Gautami"/>
          <w:sz w:val="20"/>
          <w:szCs w:val="20"/>
        </w:rPr>
        <w:t xml:space="preserve">The AER also supports the recommendation for a national reliability standards framework. </w:t>
      </w:r>
      <w:r w:rsidR="00CE38CB" w:rsidRPr="006B4363">
        <w:rPr>
          <w:rFonts w:cs="Gautami"/>
          <w:sz w:val="20"/>
          <w:szCs w:val="20"/>
        </w:rPr>
        <w:t xml:space="preserve">This has the potential to promote </w:t>
      </w:r>
      <w:r w:rsidR="00CE38CB" w:rsidRPr="006B4363">
        <w:rPr>
          <w:rFonts w:cs="Gautami"/>
          <w:bCs/>
          <w:sz w:val="20"/>
          <w:szCs w:val="20"/>
        </w:rPr>
        <w:t>greater efficiency, consistency and transparency in how reliability levels are set and provided across the NEM.</w:t>
      </w:r>
    </w:p>
    <w:p w:rsidR="00FD7129" w:rsidRPr="00E62921" w:rsidRDefault="00FD7129" w:rsidP="006B4363">
      <w:pPr>
        <w:pStyle w:val="AERbodytext"/>
        <w:spacing w:line="276" w:lineRule="auto"/>
        <w:jc w:val="left"/>
        <w:rPr>
          <w:rFonts w:cs="Gautami"/>
          <w:bCs/>
          <w:i/>
          <w:sz w:val="20"/>
          <w:szCs w:val="20"/>
        </w:rPr>
      </w:pPr>
      <w:r w:rsidRPr="00E62921">
        <w:rPr>
          <w:rFonts w:cs="Gautami"/>
          <w:bCs/>
          <w:i/>
          <w:sz w:val="20"/>
          <w:szCs w:val="20"/>
        </w:rPr>
        <w:t>Including Western Australia and the Northern Territory in the NEM</w:t>
      </w:r>
    </w:p>
    <w:p w:rsidR="00FD7129" w:rsidRPr="006B4363" w:rsidRDefault="00FD7129" w:rsidP="006D4611">
      <w:pPr>
        <w:pStyle w:val="AERbodytext"/>
        <w:spacing w:line="276" w:lineRule="auto"/>
        <w:jc w:val="left"/>
        <w:rPr>
          <w:rFonts w:cs="Gautami"/>
          <w:bCs/>
          <w:sz w:val="20"/>
          <w:szCs w:val="20"/>
        </w:rPr>
      </w:pPr>
      <w:r w:rsidRPr="00FD7129">
        <w:rPr>
          <w:rFonts w:cs="Gautami"/>
          <w:bCs/>
          <w:sz w:val="20"/>
          <w:szCs w:val="20"/>
        </w:rPr>
        <w:t>The AER would welcome any move from Western Australia and the Northern Territory to join the NEM. Indeed, we note that the NEM network regulation framework will be applied in the Northern Territory from 2015.  We consider that benefits could result through minimising regulatory costs for market participants. This value will be best realised through the adoption of the NEM frameworks as consistently as possible</w:t>
      </w:r>
      <w:r>
        <w:rPr>
          <w:rFonts w:cs="Gautami"/>
          <w:bCs/>
          <w:sz w:val="20"/>
          <w:szCs w:val="20"/>
        </w:rPr>
        <w:t>.</w:t>
      </w:r>
      <w:r w:rsidRPr="00FD7129">
        <w:rPr>
          <w:rFonts w:cs="Gautami"/>
          <w:bCs/>
          <w:sz w:val="20"/>
          <w:szCs w:val="20"/>
        </w:rPr>
        <w:t xml:space="preserve"> Adopting the NEM market institutions</w:t>
      </w:r>
      <w:r>
        <w:rPr>
          <w:rFonts w:cs="Gautami"/>
          <w:bCs/>
          <w:sz w:val="20"/>
          <w:szCs w:val="20"/>
        </w:rPr>
        <w:t xml:space="preserve"> – for example </w:t>
      </w:r>
      <w:r w:rsidRPr="00FD7129">
        <w:rPr>
          <w:rFonts w:cs="Gautami"/>
          <w:bCs/>
          <w:sz w:val="20"/>
          <w:szCs w:val="20"/>
        </w:rPr>
        <w:t>the AER for network regulatio</w:t>
      </w:r>
      <w:r>
        <w:rPr>
          <w:rFonts w:cs="Gautami"/>
          <w:bCs/>
          <w:sz w:val="20"/>
          <w:szCs w:val="20"/>
        </w:rPr>
        <w:t xml:space="preserve">n – but </w:t>
      </w:r>
      <w:r w:rsidRPr="00FD7129">
        <w:rPr>
          <w:rFonts w:cs="Gautami"/>
          <w:bCs/>
          <w:sz w:val="20"/>
          <w:szCs w:val="20"/>
        </w:rPr>
        <w:t>relying on jurisdiction specific frameworks, is unlikely to deliver the full benefits.</w:t>
      </w:r>
    </w:p>
    <w:p w:rsidR="006B4363" w:rsidRPr="002C246C" w:rsidRDefault="006B4363" w:rsidP="006B4363">
      <w:pPr>
        <w:pStyle w:val="AERheading1"/>
        <w:pageBreakBefore w:val="0"/>
        <w:numPr>
          <w:ilvl w:val="0"/>
          <w:numId w:val="17"/>
        </w:numPr>
        <w:tabs>
          <w:tab w:val="clear" w:pos="0"/>
        </w:tabs>
        <w:rPr>
          <w:shd w:val="clear" w:color="auto" w:fill="C0C0C1"/>
        </w:rPr>
      </w:pPr>
      <w:r>
        <w:t>Review of regulatory decisions</w:t>
      </w:r>
    </w:p>
    <w:p w:rsidR="00FA347E" w:rsidRPr="006B4363" w:rsidRDefault="00FA347E" w:rsidP="006B4363">
      <w:pPr>
        <w:pStyle w:val="AERbodytext"/>
        <w:spacing w:line="276" w:lineRule="auto"/>
        <w:jc w:val="left"/>
        <w:rPr>
          <w:rFonts w:eastAsia="Calibri" w:cs="Gautami"/>
          <w:sz w:val="20"/>
          <w:szCs w:val="20"/>
        </w:rPr>
      </w:pPr>
      <w:r w:rsidRPr="006B4363">
        <w:rPr>
          <w:rFonts w:eastAsia="Calibri" w:cs="Gautami"/>
          <w:sz w:val="20"/>
          <w:szCs w:val="20"/>
        </w:rPr>
        <w:t>In the Draft Report, the Panel states that, while it is important that review processes are conducted within restricted timeframes, the value of the review process would be greatly enhanced if the Australian Competition Tribunal was empowered to hear from relevant business representatives and economists responsible for reports relied upon by original decision makers.</w:t>
      </w:r>
    </w:p>
    <w:p w:rsidR="00FA347E" w:rsidRPr="006B4363" w:rsidRDefault="009F2CE5" w:rsidP="006B4363">
      <w:pPr>
        <w:pStyle w:val="AERbodytext"/>
        <w:spacing w:line="276" w:lineRule="auto"/>
        <w:jc w:val="left"/>
        <w:rPr>
          <w:rFonts w:eastAsia="Calibri" w:cs="Gautami"/>
          <w:sz w:val="20"/>
          <w:szCs w:val="20"/>
        </w:rPr>
      </w:pPr>
      <w:r>
        <w:rPr>
          <w:rFonts w:eastAsia="Calibri" w:cs="Gautami"/>
          <w:sz w:val="20"/>
          <w:szCs w:val="20"/>
        </w:rPr>
        <w:lastRenderedPageBreak/>
        <w:t>We note</w:t>
      </w:r>
      <w:r w:rsidR="00FA347E" w:rsidRPr="006B4363">
        <w:rPr>
          <w:rFonts w:eastAsia="Calibri" w:cs="Gautami"/>
          <w:sz w:val="20"/>
          <w:szCs w:val="20"/>
        </w:rPr>
        <w:t xml:space="preserve"> that an amended merits review regime for the AER’s electricity and gas regulatory decisions has recently been introduced, with the legislation coming into effect on 19 December 2013. This followed an Expert Panel review of the limited merits review regime and a public consultation process conducted by the COAG Standing Council on Energy and Resources.</w:t>
      </w:r>
      <w:r w:rsidR="00FA347E" w:rsidRPr="006B4363">
        <w:rPr>
          <w:rStyle w:val="FootnoteReference"/>
          <w:rFonts w:eastAsia="Calibri" w:cs="Gautami"/>
          <w:sz w:val="20"/>
          <w:szCs w:val="20"/>
        </w:rPr>
        <w:footnoteReference w:id="6"/>
      </w:r>
    </w:p>
    <w:p w:rsidR="00FA347E" w:rsidRPr="006B4363" w:rsidRDefault="00FA347E" w:rsidP="006B4363">
      <w:pPr>
        <w:pStyle w:val="AERbodytext"/>
        <w:spacing w:line="276" w:lineRule="auto"/>
        <w:jc w:val="left"/>
        <w:rPr>
          <w:rFonts w:eastAsia="Calibri" w:cs="Gautami"/>
          <w:sz w:val="20"/>
          <w:szCs w:val="20"/>
        </w:rPr>
      </w:pPr>
      <w:r w:rsidRPr="006B4363">
        <w:rPr>
          <w:rFonts w:eastAsia="Calibri" w:cs="Gautami"/>
          <w:sz w:val="20"/>
          <w:szCs w:val="20"/>
        </w:rPr>
        <w:t>Under the amended merits review regime, in deciding whether a ground of review is established, the Tribunal is limited to the documents before the AER. If a ground of review is established, the Tribunal may consider new information. As this new regime has not yet been tested, we believe that it should not be amended. We also note that a review will commence in 2016 to assess the effectiveness of this amended merits review regime.</w:t>
      </w:r>
    </w:p>
    <w:p w:rsidR="00FA347E" w:rsidRPr="006B4363" w:rsidRDefault="00FA347E" w:rsidP="006B4363">
      <w:pPr>
        <w:pStyle w:val="AERbodytext"/>
        <w:spacing w:after="0" w:line="276" w:lineRule="auto"/>
        <w:jc w:val="left"/>
        <w:rPr>
          <w:rFonts w:eastAsia="Calibri" w:cs="Gautami"/>
          <w:sz w:val="20"/>
          <w:szCs w:val="20"/>
        </w:rPr>
      </w:pPr>
    </w:p>
    <w:p w:rsidR="00701EF6" w:rsidRDefault="00701EF6" w:rsidP="00F05818">
      <w:pPr>
        <w:pStyle w:val="AERbodytext"/>
        <w:spacing w:line="240" w:lineRule="auto"/>
        <w:jc w:val="left"/>
        <w:rPr>
          <w:rFonts w:ascii="Times New Roman" w:hAnsi="Times New Roman"/>
        </w:rPr>
      </w:pPr>
    </w:p>
    <w:sectPr w:rsidR="00701EF6" w:rsidSect="00153845">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39" w:rsidRDefault="004B3239" w:rsidP="00956926">
      <w:pPr>
        <w:spacing w:line="240" w:lineRule="auto"/>
      </w:pPr>
      <w:r>
        <w:separator/>
      </w:r>
    </w:p>
  </w:endnote>
  <w:endnote w:type="continuationSeparator" w:id="0">
    <w:p w:rsidR="004B3239" w:rsidRDefault="004B3239" w:rsidP="00956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63" w:rsidRDefault="006B4363" w:rsidP="00132900">
    <w:pPr>
      <w:framePr w:wrap="around" w:vAnchor="text" w:hAnchor="margin" w:xAlign="center" w:y="1"/>
    </w:pPr>
    <w:r>
      <w:fldChar w:fldCharType="begin"/>
    </w:r>
    <w:r>
      <w:instrText xml:space="preserve">PAGE  </w:instrText>
    </w:r>
    <w:r>
      <w:fldChar w:fldCharType="end"/>
    </w:r>
  </w:p>
  <w:p w:rsidR="006B4363" w:rsidRDefault="006B4363" w:rsidP="0013290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63" w:rsidRDefault="006B4363" w:rsidP="00132900">
    <w:pPr>
      <w:framePr w:wrap="around" w:vAnchor="text" w:hAnchor="margin" w:xAlign="center" w:y="1"/>
    </w:pPr>
    <w:r>
      <w:fldChar w:fldCharType="begin"/>
    </w:r>
    <w:r>
      <w:instrText xml:space="preserve">PAGE  </w:instrText>
    </w:r>
    <w:r>
      <w:fldChar w:fldCharType="separate"/>
    </w:r>
    <w:r w:rsidR="00505BC6">
      <w:rPr>
        <w:noProof/>
      </w:rPr>
      <w:t>2</w:t>
    </w:r>
    <w:r>
      <w:fldChar w:fldCharType="end"/>
    </w:r>
  </w:p>
  <w:p w:rsidR="006B4363" w:rsidRDefault="006B4363" w:rsidP="00132900">
    <w:pPr>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85938"/>
      <w:docPartObj>
        <w:docPartGallery w:val="Page Numbers (Bottom of Page)"/>
        <w:docPartUnique/>
      </w:docPartObj>
    </w:sdtPr>
    <w:sdtEndPr/>
    <w:sdtContent>
      <w:p w:rsidR="004B3239" w:rsidRDefault="002B34ED">
        <w:pPr>
          <w:pStyle w:val="Footer"/>
          <w:jc w:val="right"/>
        </w:pPr>
        <w:r>
          <w:fldChar w:fldCharType="begin"/>
        </w:r>
        <w:r>
          <w:instrText xml:space="preserve"> PAGE   \* MERGEFORMAT </w:instrText>
        </w:r>
        <w:r>
          <w:fldChar w:fldCharType="separate"/>
        </w:r>
        <w:r w:rsidR="00505BC6">
          <w:rPr>
            <w:noProof/>
          </w:rPr>
          <w:t>11</w:t>
        </w:r>
        <w:r>
          <w:rPr>
            <w:noProof/>
          </w:rPr>
          <w:fldChar w:fldCharType="end"/>
        </w:r>
      </w:p>
    </w:sdtContent>
  </w:sdt>
  <w:p w:rsidR="004B3239" w:rsidRDefault="004B3239" w:rsidP="006442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39" w:rsidRDefault="004B3239" w:rsidP="00956926">
      <w:pPr>
        <w:spacing w:line="240" w:lineRule="auto"/>
      </w:pPr>
      <w:r>
        <w:separator/>
      </w:r>
    </w:p>
  </w:footnote>
  <w:footnote w:type="continuationSeparator" w:id="0">
    <w:p w:rsidR="004B3239" w:rsidRDefault="004B3239" w:rsidP="00956926">
      <w:pPr>
        <w:spacing w:line="240" w:lineRule="auto"/>
      </w:pPr>
      <w:r>
        <w:continuationSeparator/>
      </w:r>
    </w:p>
  </w:footnote>
  <w:footnote w:id="1">
    <w:p w:rsidR="006D667A" w:rsidRDefault="006D667A" w:rsidP="00C77366">
      <w:pPr>
        <w:pStyle w:val="FootnoteText"/>
        <w:jc w:val="left"/>
      </w:pPr>
      <w:r>
        <w:rPr>
          <w:rStyle w:val="FootnoteReference"/>
        </w:rPr>
        <w:footnoteRef/>
      </w:r>
      <w:r>
        <w:t xml:space="preserve"> </w:t>
      </w:r>
      <w:r w:rsidR="00596A3B">
        <w:tab/>
      </w:r>
      <w:proofErr w:type="spellStart"/>
      <w:r w:rsidR="00C77366">
        <w:t>Parer</w:t>
      </w:r>
      <w:proofErr w:type="spellEnd"/>
      <w:r w:rsidR="00C77366">
        <w:t xml:space="preserve">, W.; </w:t>
      </w:r>
      <w:proofErr w:type="spellStart"/>
      <w:r w:rsidR="00C77366">
        <w:t>Breslin</w:t>
      </w:r>
      <w:proofErr w:type="spellEnd"/>
      <w:r w:rsidR="00C77366">
        <w:t xml:space="preserve">, P., Sims, R.; and D. </w:t>
      </w:r>
      <w:proofErr w:type="spellStart"/>
      <w:r w:rsidR="00C77366">
        <w:t>Agostini</w:t>
      </w:r>
      <w:proofErr w:type="spellEnd"/>
      <w:r w:rsidR="00C77366">
        <w:t xml:space="preserve"> (2002) </w:t>
      </w:r>
      <w:r w:rsidR="00C77366" w:rsidRPr="00C77366">
        <w:rPr>
          <w:i/>
        </w:rPr>
        <w:t xml:space="preserve">Towards a truly national and efficient energy market, </w:t>
      </w:r>
      <w:r w:rsidRPr="00C77366">
        <w:rPr>
          <w:i/>
        </w:rPr>
        <w:t>C</w:t>
      </w:r>
      <w:r w:rsidR="00C77366" w:rsidRPr="00C77366">
        <w:rPr>
          <w:i/>
        </w:rPr>
        <w:t xml:space="preserve">ouncil </w:t>
      </w:r>
      <w:r w:rsidRPr="00C77366">
        <w:rPr>
          <w:i/>
        </w:rPr>
        <w:t>O</w:t>
      </w:r>
      <w:r w:rsidR="00C77366" w:rsidRPr="00C77366">
        <w:rPr>
          <w:i/>
        </w:rPr>
        <w:t xml:space="preserve">f </w:t>
      </w:r>
      <w:r w:rsidRPr="00C77366">
        <w:rPr>
          <w:i/>
        </w:rPr>
        <w:t>A</w:t>
      </w:r>
      <w:r w:rsidR="00C77366" w:rsidRPr="00C77366">
        <w:rPr>
          <w:i/>
        </w:rPr>
        <w:t xml:space="preserve">ustralian Governments </w:t>
      </w:r>
      <w:r w:rsidRPr="00C77366">
        <w:rPr>
          <w:i/>
        </w:rPr>
        <w:t>Energy Market Review Final Report</w:t>
      </w:r>
      <w:r w:rsidR="00C77366">
        <w:t>, December 2002</w:t>
      </w:r>
      <w:r>
        <w:t>, p.74</w:t>
      </w:r>
      <w:r w:rsidR="00C77366">
        <w:t>.</w:t>
      </w:r>
    </w:p>
  </w:footnote>
  <w:footnote w:id="2">
    <w:p w:rsidR="007332D8" w:rsidRDefault="007332D8" w:rsidP="00C77366">
      <w:pPr>
        <w:pStyle w:val="FootnoteText"/>
        <w:jc w:val="left"/>
      </w:pPr>
      <w:r>
        <w:rPr>
          <w:rStyle w:val="FootnoteReference"/>
        </w:rPr>
        <w:footnoteRef/>
      </w:r>
      <w:r>
        <w:t xml:space="preserve"> </w:t>
      </w:r>
      <w:r w:rsidR="00596A3B">
        <w:tab/>
      </w:r>
      <w:r>
        <w:t>Spot market hubs in Adelaide, Sydney, Brisbane, Victoria and Wallumbilla</w:t>
      </w:r>
    </w:p>
  </w:footnote>
  <w:footnote w:id="3">
    <w:p w:rsidR="007332D8" w:rsidRDefault="007332D8" w:rsidP="00C77366">
      <w:pPr>
        <w:pStyle w:val="FootnoteText"/>
        <w:jc w:val="left"/>
      </w:pPr>
      <w:r>
        <w:rPr>
          <w:rStyle w:val="FootnoteReference"/>
        </w:rPr>
        <w:footnoteRef/>
      </w:r>
      <w:r>
        <w:t xml:space="preserve"> </w:t>
      </w:r>
      <w:r w:rsidR="00596A3B">
        <w:tab/>
      </w:r>
      <w:r>
        <w:t>Indeed around 40% of the obligations in the wholesale market are on AEMO.</w:t>
      </w:r>
    </w:p>
  </w:footnote>
  <w:footnote w:id="4">
    <w:p w:rsidR="00BA1E74" w:rsidRDefault="00BA1E74" w:rsidP="0045039D">
      <w:pPr>
        <w:pStyle w:val="FootnoteText"/>
        <w:jc w:val="left"/>
      </w:pPr>
      <w:r>
        <w:rPr>
          <w:rStyle w:val="FootnoteReference"/>
        </w:rPr>
        <w:footnoteRef/>
      </w:r>
      <w:r>
        <w:t xml:space="preserve"> </w:t>
      </w:r>
      <w:r>
        <w:tab/>
      </w:r>
      <w:r w:rsidRPr="00BA1E74">
        <w:t xml:space="preserve">The comments in this section have been based on a split where the AER’s network and wholesale functions would be transferred to the access and pricing regulator and the AER’s retail functions would be undertaken by the ACCC. Any attempt to divide the work between the access and pricing regulator and the ACCC would face similar issues.  </w:t>
      </w:r>
    </w:p>
  </w:footnote>
  <w:footnote w:id="5">
    <w:p w:rsidR="004B10E4" w:rsidRDefault="004B10E4" w:rsidP="00CE4421">
      <w:pPr>
        <w:pStyle w:val="FootnoteText"/>
        <w:jc w:val="left"/>
      </w:pPr>
      <w:r>
        <w:rPr>
          <w:rStyle w:val="FootnoteReference"/>
        </w:rPr>
        <w:footnoteRef/>
      </w:r>
      <w:r>
        <w:t xml:space="preserve"> </w:t>
      </w:r>
      <w:r>
        <w:tab/>
      </w:r>
      <w:r w:rsidR="00E54FDC">
        <w:t xml:space="preserve">This was discussed </w:t>
      </w:r>
      <w:r w:rsidR="00CE4421">
        <w:t>recently in</w:t>
      </w:r>
      <w:r w:rsidR="00E54FDC">
        <w:t xml:space="preserve"> </w:t>
      </w:r>
      <w:r w:rsidR="00E54FDC" w:rsidRPr="00E54FDC">
        <w:t>AER</w:t>
      </w:r>
      <w:r w:rsidR="00E54FDC">
        <w:t xml:space="preserve"> (2014) </w:t>
      </w:r>
      <w:r w:rsidR="00E54FDC" w:rsidRPr="00E54FDC">
        <w:rPr>
          <w:i/>
        </w:rPr>
        <w:t>Regulating innovative energy selling business models under the National Energy Retail Law</w:t>
      </w:r>
      <w:r w:rsidR="00E54FDC">
        <w:rPr>
          <w:i/>
        </w:rPr>
        <w:t xml:space="preserve">, Issues Paper, </w:t>
      </w:r>
      <w:r w:rsidR="00E54FDC" w:rsidRPr="00E54FDC">
        <w:t>November 2014</w:t>
      </w:r>
      <w:r w:rsidR="00E54FDC" w:rsidRPr="00665C95">
        <w:t>,</w:t>
      </w:r>
      <w:r w:rsidR="00E54FDC">
        <w:rPr>
          <w:i/>
        </w:rPr>
        <w:t xml:space="preserve"> </w:t>
      </w:r>
      <w:r w:rsidR="00E54FDC" w:rsidRPr="00665C95">
        <w:t>available at</w:t>
      </w:r>
      <w:r w:rsidR="00E54FDC">
        <w:rPr>
          <w:i/>
        </w:rPr>
        <w:t xml:space="preserve"> </w:t>
      </w:r>
      <w:hyperlink r:id="rId1" w:history="1">
        <w:r w:rsidRPr="00305346">
          <w:rPr>
            <w:rStyle w:val="Hyperlink"/>
          </w:rPr>
          <w:t>http://www.aer.gov.au/node/28403</w:t>
        </w:r>
      </w:hyperlink>
    </w:p>
    <w:p w:rsidR="004B10E4" w:rsidRDefault="004B10E4">
      <w:pPr>
        <w:pStyle w:val="FootnoteText"/>
      </w:pPr>
    </w:p>
  </w:footnote>
  <w:footnote w:id="6">
    <w:p w:rsidR="00FA347E" w:rsidRDefault="00FA347E" w:rsidP="00FA347E">
      <w:pPr>
        <w:pStyle w:val="FootnoteText"/>
        <w:jc w:val="left"/>
      </w:pPr>
      <w:r>
        <w:rPr>
          <w:rStyle w:val="FootnoteReference"/>
        </w:rPr>
        <w:footnoteRef/>
      </w:r>
      <w:r>
        <w:t xml:space="preserve"> </w:t>
      </w:r>
      <w:r>
        <w:tab/>
        <w:t xml:space="preserve">Further details on the legislation may be found at The Statutes Amendment (National Electricity and Gas Laws - Limited Merits Review) Act (Commencement) Proclamation 2013 and the Statutes Amendment (National Electricity and Gas Laws - Limited Merits Review) Act 2013: </w:t>
      </w:r>
      <w:hyperlink r:id="rId2" w:history="1">
        <w:r w:rsidRPr="00492236">
          <w:rPr>
            <w:rStyle w:val="Hyperlink"/>
          </w:rPr>
          <w:t>www.legislation.sa.gov.au</w:t>
        </w:r>
      </w:hyperlink>
      <w:r>
        <w:t xml:space="preserve">.  SCER’s policy can be found at </w:t>
      </w:r>
      <w:hyperlink r:id="rId3" w:history="1">
        <w:r w:rsidRPr="00492236">
          <w:rPr>
            <w:rStyle w:val="Hyperlink"/>
          </w:rPr>
          <w:t>http://www.scer.gov.au/files/2013/09/LMR-Decision-RIS-June-2013.pdf</w:t>
        </w:r>
      </w:hyperlink>
      <w:r>
        <w:t xml:space="preserve"> and SCER’s Statement of Policy Intent is at </w:t>
      </w:r>
      <w:hyperlink r:id="rId4" w:history="1">
        <w:r w:rsidRPr="00492236">
          <w:rPr>
            <w:rStyle w:val="Hyperlink"/>
          </w:rPr>
          <w:t>https://scer.govspace.gov.au/files/2012/12/LMR-Statement-of-Policy-Intent-December-2012.pdf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3DC"/>
    <w:multiLevelType w:val="hybridMultilevel"/>
    <w:tmpl w:val="44280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3A6266"/>
    <w:multiLevelType w:val="multilevel"/>
    <w:tmpl w:val="54F82EAA"/>
    <w:lvl w:ilvl="0">
      <w:start w:val="1"/>
      <w:numFmt w:val="bullet"/>
      <w:pStyle w:val="AERbulletlistsecondstyle"/>
      <w:lvlText w:val=""/>
      <w:lvlJc w:val="left"/>
      <w:pPr>
        <w:tabs>
          <w:tab w:val="num" w:pos="1440"/>
        </w:tabs>
        <w:ind w:left="1440" w:hanging="357"/>
      </w:pPr>
      <w:rPr>
        <w:rFonts w:ascii="Wingdings" w:hAnsi="Wingdings" w:hint="default"/>
        <w:sz w:val="24"/>
      </w:rPr>
    </w:lvl>
    <w:lvl w:ilvl="1">
      <w:start w:val="1"/>
      <w:numFmt w:val="bullet"/>
      <w:lvlText w:val="­"/>
      <w:lvlJc w:val="left"/>
      <w:pPr>
        <w:tabs>
          <w:tab w:val="num" w:pos="1806"/>
        </w:tabs>
        <w:ind w:left="1806" w:hanging="360"/>
      </w:pPr>
      <w:rPr>
        <w:rFonts w:ascii="Courier New" w:hAnsi="Courier New" w:hint="default"/>
      </w:rPr>
    </w:lvl>
    <w:lvl w:ilvl="2">
      <w:start w:val="1"/>
      <w:numFmt w:val="bullet"/>
      <w:lvlText w:val=""/>
      <w:lvlJc w:val="left"/>
      <w:pPr>
        <w:tabs>
          <w:tab w:val="num" w:pos="2526"/>
        </w:tabs>
        <w:ind w:left="2526" w:hanging="360"/>
      </w:pPr>
      <w:rPr>
        <w:rFonts w:ascii="Wingdings" w:hAnsi="Wingdings" w:hint="default"/>
        <w:sz w:val="20"/>
      </w:rPr>
    </w:lvl>
    <w:lvl w:ilvl="3">
      <w:start w:val="1"/>
      <w:numFmt w:val="bullet"/>
      <w:lvlText w:val=""/>
      <w:lvlJc w:val="left"/>
      <w:pPr>
        <w:tabs>
          <w:tab w:val="num" w:pos="3246"/>
        </w:tabs>
        <w:ind w:left="3246" w:hanging="360"/>
      </w:pPr>
      <w:rPr>
        <w:rFonts w:ascii="Symbol" w:hAnsi="Symbol" w:hint="default"/>
      </w:rPr>
    </w:lvl>
    <w:lvl w:ilvl="4">
      <w:start w:val="1"/>
      <w:numFmt w:val="bullet"/>
      <w:lvlText w:val="o"/>
      <w:lvlJc w:val="left"/>
      <w:pPr>
        <w:tabs>
          <w:tab w:val="num" w:pos="3966"/>
        </w:tabs>
        <w:ind w:left="3966" w:hanging="360"/>
      </w:pPr>
      <w:rPr>
        <w:rFonts w:ascii="Courier New" w:hAnsi="Courier New" w:hint="default"/>
      </w:rPr>
    </w:lvl>
    <w:lvl w:ilvl="5">
      <w:start w:val="1"/>
      <w:numFmt w:val="bullet"/>
      <w:lvlText w:val=""/>
      <w:lvlJc w:val="left"/>
      <w:pPr>
        <w:tabs>
          <w:tab w:val="num" w:pos="4686"/>
        </w:tabs>
        <w:ind w:left="4686" w:hanging="360"/>
      </w:pPr>
      <w:rPr>
        <w:rFonts w:ascii="Wingdings" w:hAnsi="Wingdings" w:hint="default"/>
      </w:rPr>
    </w:lvl>
    <w:lvl w:ilvl="6">
      <w:start w:val="1"/>
      <w:numFmt w:val="bullet"/>
      <w:lvlText w:val=""/>
      <w:lvlJc w:val="left"/>
      <w:pPr>
        <w:tabs>
          <w:tab w:val="num" w:pos="5406"/>
        </w:tabs>
        <w:ind w:left="5406" w:hanging="360"/>
      </w:pPr>
      <w:rPr>
        <w:rFonts w:ascii="Symbol" w:hAnsi="Symbol" w:hint="default"/>
      </w:rPr>
    </w:lvl>
    <w:lvl w:ilvl="7">
      <w:start w:val="1"/>
      <w:numFmt w:val="bullet"/>
      <w:lvlText w:val="o"/>
      <w:lvlJc w:val="left"/>
      <w:pPr>
        <w:tabs>
          <w:tab w:val="num" w:pos="6126"/>
        </w:tabs>
        <w:ind w:left="6126" w:hanging="360"/>
      </w:pPr>
      <w:rPr>
        <w:rFonts w:ascii="Courier New" w:hAnsi="Courier New" w:hint="default"/>
      </w:rPr>
    </w:lvl>
    <w:lvl w:ilvl="8">
      <w:start w:val="1"/>
      <w:numFmt w:val="bullet"/>
      <w:lvlText w:val=""/>
      <w:lvlJc w:val="left"/>
      <w:pPr>
        <w:tabs>
          <w:tab w:val="num" w:pos="6846"/>
        </w:tabs>
        <w:ind w:left="6846" w:hanging="360"/>
      </w:pPr>
      <w:rPr>
        <w:rFonts w:ascii="Wingdings" w:hAnsi="Wingdings" w:hint="default"/>
      </w:rPr>
    </w:lvl>
  </w:abstractNum>
  <w:abstractNum w:abstractNumId="2">
    <w:nsid w:val="2B6C7D29"/>
    <w:multiLevelType w:val="hybridMultilevel"/>
    <w:tmpl w:val="CE5C4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BD7C4C"/>
    <w:multiLevelType w:val="hybridMultilevel"/>
    <w:tmpl w:val="A4A8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342819"/>
    <w:multiLevelType w:val="hybridMultilevel"/>
    <w:tmpl w:val="28967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8B7E79"/>
    <w:multiLevelType w:val="hybridMultilevel"/>
    <w:tmpl w:val="9CAA9A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7DC1966"/>
    <w:multiLevelType w:val="hybridMultilevel"/>
    <w:tmpl w:val="2E9ED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95758A"/>
    <w:multiLevelType w:val="multilevel"/>
    <w:tmpl w:val="1BCEF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AD53BD"/>
    <w:multiLevelType w:val="hybridMultilevel"/>
    <w:tmpl w:val="9C641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223A4F"/>
    <w:multiLevelType w:val="multilevel"/>
    <w:tmpl w:val="D63A153C"/>
    <w:lvl w:ilvl="0">
      <w:start w:val="1"/>
      <w:numFmt w:val="decimal"/>
      <w:lvlText w:val="%1"/>
      <w:lvlJc w:val="left"/>
      <w:pPr>
        <w:ind w:left="0" w:hanging="720"/>
      </w:pPr>
      <w:rPr>
        <w:rFonts w:hint="default"/>
      </w:rPr>
    </w:lvl>
    <w:lvl w:ilvl="1">
      <w:start w:val="1"/>
      <w:numFmt w:val="decimal"/>
      <w:isLgl/>
      <w:lvlText w:val="%1.%2"/>
      <w:lvlJc w:val="left"/>
      <w:pPr>
        <w:ind w:left="6" w:hanging="720"/>
      </w:pPr>
      <w:rPr>
        <w:rFonts w:hint="default"/>
        <w:sz w:val="28"/>
        <w:szCs w:val="28"/>
      </w:rPr>
    </w:lvl>
    <w:lvl w:ilvl="2">
      <w:start w:val="1"/>
      <w:numFmt w:val="decimal"/>
      <w:isLgl/>
      <w:lvlText w:val="%1.%2.%3"/>
      <w:lvlJc w:val="left"/>
      <w:pPr>
        <w:ind w:left="12" w:hanging="720"/>
      </w:pPr>
      <w:rPr>
        <w:rFonts w:hint="default"/>
      </w:rPr>
    </w:lvl>
    <w:lvl w:ilvl="3">
      <w:start w:val="1"/>
      <w:numFmt w:val="decimal"/>
      <w:isLgl/>
      <w:lvlText w:val="%1.%2.%3.%4"/>
      <w:lvlJc w:val="left"/>
      <w:pPr>
        <w:ind w:left="378" w:hanging="1080"/>
      </w:pPr>
      <w:rPr>
        <w:rFonts w:hint="default"/>
      </w:rPr>
    </w:lvl>
    <w:lvl w:ilvl="4">
      <w:start w:val="1"/>
      <w:numFmt w:val="decimal"/>
      <w:isLgl/>
      <w:lvlText w:val="%1.%2.%3.%4.%5"/>
      <w:lvlJc w:val="left"/>
      <w:pPr>
        <w:ind w:left="744" w:hanging="1440"/>
      </w:pPr>
      <w:rPr>
        <w:rFonts w:hint="default"/>
      </w:rPr>
    </w:lvl>
    <w:lvl w:ilvl="5">
      <w:start w:val="1"/>
      <w:numFmt w:val="decimal"/>
      <w:isLgl/>
      <w:lvlText w:val="%1.%2.%3.%4.%5.%6"/>
      <w:lvlJc w:val="left"/>
      <w:pPr>
        <w:ind w:left="750" w:hanging="1440"/>
      </w:pPr>
      <w:rPr>
        <w:rFonts w:hint="default"/>
      </w:rPr>
    </w:lvl>
    <w:lvl w:ilvl="6">
      <w:start w:val="1"/>
      <w:numFmt w:val="decimal"/>
      <w:isLgl/>
      <w:lvlText w:val="%1.%2.%3.%4.%5.%6.%7"/>
      <w:lvlJc w:val="left"/>
      <w:pPr>
        <w:ind w:left="1116" w:hanging="1800"/>
      </w:pPr>
      <w:rPr>
        <w:rFonts w:hint="default"/>
      </w:rPr>
    </w:lvl>
    <w:lvl w:ilvl="7">
      <w:start w:val="1"/>
      <w:numFmt w:val="decimal"/>
      <w:isLgl/>
      <w:lvlText w:val="%1.%2.%3.%4.%5.%6.%7.%8"/>
      <w:lvlJc w:val="left"/>
      <w:pPr>
        <w:ind w:left="1122" w:hanging="1800"/>
      </w:pPr>
      <w:rPr>
        <w:rFonts w:hint="default"/>
      </w:rPr>
    </w:lvl>
    <w:lvl w:ilvl="8">
      <w:start w:val="1"/>
      <w:numFmt w:val="decimal"/>
      <w:isLgl/>
      <w:lvlText w:val="%1.%2.%3.%4.%5.%6.%7.%8.%9"/>
      <w:lvlJc w:val="left"/>
      <w:pPr>
        <w:ind w:left="1488" w:hanging="2160"/>
      </w:pPr>
      <w:rPr>
        <w:rFonts w:hint="default"/>
      </w:rPr>
    </w:lvl>
  </w:abstractNum>
  <w:abstractNum w:abstractNumId="10">
    <w:nsid w:val="5F7269B3"/>
    <w:multiLevelType w:val="hybridMultilevel"/>
    <w:tmpl w:val="81041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ECA11D9"/>
    <w:multiLevelType w:val="hybridMultilevel"/>
    <w:tmpl w:val="EF48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6A149FE"/>
    <w:multiLevelType w:val="multilevel"/>
    <w:tmpl w:val="343435D0"/>
    <w:lvl w:ilvl="0">
      <w:start w:val="1"/>
      <w:numFmt w:val="decimal"/>
      <w:lvlText w:val="%1"/>
      <w:lvlJc w:val="left"/>
      <w:pPr>
        <w:tabs>
          <w:tab w:val="num" w:pos="-357"/>
        </w:tabs>
        <w:ind w:left="357" w:hanging="1071"/>
      </w:pPr>
      <w:rPr>
        <w:rFonts w:cs="Times New Roman" w:hint="default"/>
      </w:rPr>
    </w:lvl>
    <w:lvl w:ilvl="1">
      <w:start w:val="1"/>
      <w:numFmt w:val="decimal"/>
      <w:pStyle w:val="AERheading2"/>
      <w:lvlText w:val="%1.%2"/>
      <w:lvlJc w:val="left"/>
      <w:pPr>
        <w:tabs>
          <w:tab w:val="num" w:pos="357"/>
        </w:tabs>
        <w:ind w:left="357" w:hanging="357"/>
      </w:pPr>
      <w:rPr>
        <w:rFonts w:cs="Times New Roman" w:hint="default"/>
      </w:rPr>
    </w:lvl>
    <w:lvl w:ilvl="2">
      <w:start w:val="1"/>
      <w:numFmt w:val="decimal"/>
      <w:pStyle w:val="AERheading3"/>
      <w:lvlText w:val="%1.%2.%3"/>
      <w:lvlJc w:val="left"/>
      <w:pPr>
        <w:tabs>
          <w:tab w:val="num" w:pos="357"/>
        </w:tabs>
        <w:ind w:left="357" w:hanging="357"/>
      </w:pPr>
      <w:rPr>
        <w:rFonts w:cs="Times New Roman" w:hint="default"/>
      </w:rPr>
    </w:lvl>
    <w:lvl w:ilvl="3">
      <w:start w:val="1"/>
      <w:numFmt w:val="decimal"/>
      <w:lvlRestart w:val="0"/>
      <w:pStyle w:val="AERfigureheading"/>
      <w:lvlText w:val="Figure %1.%4"/>
      <w:lvlJc w:val="left"/>
      <w:pPr>
        <w:tabs>
          <w:tab w:val="num" w:pos="357"/>
        </w:tabs>
        <w:ind w:left="357" w:hanging="357"/>
      </w:pPr>
      <w:rPr>
        <w:rFonts w:cs="Times New Roman" w:hint="default"/>
      </w:rPr>
    </w:lvl>
    <w:lvl w:ilvl="4">
      <w:start w:val="1"/>
      <w:numFmt w:val="decimal"/>
      <w:lvlRestart w:val="0"/>
      <w:pStyle w:val="AERtabletitle"/>
      <w:lvlText w:val="Table %1.%5"/>
      <w:lvlJc w:val="left"/>
      <w:pPr>
        <w:tabs>
          <w:tab w:val="num" w:pos="357"/>
        </w:tabs>
        <w:ind w:left="357"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
  </w:num>
  <w:num w:numId="2">
    <w:abstractNumId w:val="12"/>
  </w:num>
  <w:num w:numId="3">
    <w:abstractNumId w:val="5"/>
  </w:num>
  <w:num w:numId="4">
    <w:abstractNumId w:val="3"/>
  </w:num>
  <w:num w:numId="5">
    <w:abstractNumId w:val="11"/>
  </w:num>
  <w:num w:numId="6">
    <w:abstractNumId w:val="8"/>
  </w:num>
  <w:num w:numId="7">
    <w:abstractNumId w:val="10"/>
  </w:num>
  <w:num w:numId="8">
    <w:abstractNumId w:val="2"/>
  </w:num>
  <w:num w:numId="9">
    <w:abstractNumId w:val="6"/>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doNotTrackMoves/>
  <w:defaultTabStop w:val="720"/>
  <w:drawingGridHorizontalSpacing w:val="120"/>
  <w:displayHorizont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kauret\Local Settings\Temporary Internet Files\Content.Outlook\DSR4YHLH\AER submission on Competition Policy Review Draft Report - Final.DOCX"/>
  </w:docVars>
  <w:rsids>
    <w:rsidRoot w:val="00956926"/>
    <w:rsid w:val="00001635"/>
    <w:rsid w:val="00003FC6"/>
    <w:rsid w:val="000066B2"/>
    <w:rsid w:val="00007351"/>
    <w:rsid w:val="0002416B"/>
    <w:rsid w:val="00026108"/>
    <w:rsid w:val="000323CD"/>
    <w:rsid w:val="00034880"/>
    <w:rsid w:val="00035D54"/>
    <w:rsid w:val="00045748"/>
    <w:rsid w:val="00051503"/>
    <w:rsid w:val="00053255"/>
    <w:rsid w:val="00060880"/>
    <w:rsid w:val="000609F7"/>
    <w:rsid w:val="0006584F"/>
    <w:rsid w:val="00066B6B"/>
    <w:rsid w:val="00080281"/>
    <w:rsid w:val="00091237"/>
    <w:rsid w:val="00093482"/>
    <w:rsid w:val="00096B98"/>
    <w:rsid w:val="00096F5D"/>
    <w:rsid w:val="000970E3"/>
    <w:rsid w:val="000A2B7F"/>
    <w:rsid w:val="000A5FB8"/>
    <w:rsid w:val="000A7979"/>
    <w:rsid w:val="000A79A0"/>
    <w:rsid w:val="000B5BC9"/>
    <w:rsid w:val="000C1CC1"/>
    <w:rsid w:val="000C2407"/>
    <w:rsid w:val="000C5A2F"/>
    <w:rsid w:val="000C603D"/>
    <w:rsid w:val="000D661F"/>
    <w:rsid w:val="000E0E59"/>
    <w:rsid w:val="000F6560"/>
    <w:rsid w:val="000F6C17"/>
    <w:rsid w:val="000F773E"/>
    <w:rsid w:val="0010199C"/>
    <w:rsid w:val="001026AF"/>
    <w:rsid w:val="00105231"/>
    <w:rsid w:val="00110697"/>
    <w:rsid w:val="001126C0"/>
    <w:rsid w:val="001145B4"/>
    <w:rsid w:val="0011617D"/>
    <w:rsid w:val="00117C88"/>
    <w:rsid w:val="00117DC1"/>
    <w:rsid w:val="00120364"/>
    <w:rsid w:val="001227D3"/>
    <w:rsid w:val="0013717A"/>
    <w:rsid w:val="0014097B"/>
    <w:rsid w:val="00141365"/>
    <w:rsid w:val="00141418"/>
    <w:rsid w:val="00142D28"/>
    <w:rsid w:val="00153845"/>
    <w:rsid w:val="00154893"/>
    <w:rsid w:val="0016118D"/>
    <w:rsid w:val="001645E5"/>
    <w:rsid w:val="00170DB8"/>
    <w:rsid w:val="00174423"/>
    <w:rsid w:val="001749BD"/>
    <w:rsid w:val="00177724"/>
    <w:rsid w:val="00187B41"/>
    <w:rsid w:val="0019268B"/>
    <w:rsid w:val="001977B7"/>
    <w:rsid w:val="00197D6F"/>
    <w:rsid w:val="001A3DF6"/>
    <w:rsid w:val="001A5D88"/>
    <w:rsid w:val="001A6A68"/>
    <w:rsid w:val="001A7388"/>
    <w:rsid w:val="001B7699"/>
    <w:rsid w:val="001B7734"/>
    <w:rsid w:val="001B7997"/>
    <w:rsid w:val="001D0B4E"/>
    <w:rsid w:val="001D6BBA"/>
    <w:rsid w:val="001F0B6A"/>
    <w:rsid w:val="001F1873"/>
    <w:rsid w:val="001F18A8"/>
    <w:rsid w:val="001F23D1"/>
    <w:rsid w:val="001F5CBB"/>
    <w:rsid w:val="00201319"/>
    <w:rsid w:val="00204D6C"/>
    <w:rsid w:val="0020705D"/>
    <w:rsid w:val="00214252"/>
    <w:rsid w:val="00214772"/>
    <w:rsid w:val="002253F7"/>
    <w:rsid w:val="00226925"/>
    <w:rsid w:val="002335B1"/>
    <w:rsid w:val="002379FF"/>
    <w:rsid w:val="002471F6"/>
    <w:rsid w:val="00247383"/>
    <w:rsid w:val="0025163A"/>
    <w:rsid w:val="00254EFD"/>
    <w:rsid w:val="002620FE"/>
    <w:rsid w:val="002677AC"/>
    <w:rsid w:val="00273192"/>
    <w:rsid w:val="00286386"/>
    <w:rsid w:val="0029507B"/>
    <w:rsid w:val="002B15C7"/>
    <w:rsid w:val="002B3032"/>
    <w:rsid w:val="002B34ED"/>
    <w:rsid w:val="002C028A"/>
    <w:rsid w:val="002D0000"/>
    <w:rsid w:val="002D333D"/>
    <w:rsid w:val="002D7EAC"/>
    <w:rsid w:val="002E0207"/>
    <w:rsid w:val="002E1A8F"/>
    <w:rsid w:val="002E65CD"/>
    <w:rsid w:val="002E6FFB"/>
    <w:rsid w:val="002F43D4"/>
    <w:rsid w:val="002F47C3"/>
    <w:rsid w:val="002F6230"/>
    <w:rsid w:val="002F6E90"/>
    <w:rsid w:val="00302AAC"/>
    <w:rsid w:val="003100DF"/>
    <w:rsid w:val="00311F4F"/>
    <w:rsid w:val="00321DE3"/>
    <w:rsid w:val="00323FE4"/>
    <w:rsid w:val="00324558"/>
    <w:rsid w:val="00324B8D"/>
    <w:rsid w:val="00331417"/>
    <w:rsid w:val="00340E43"/>
    <w:rsid w:val="00346386"/>
    <w:rsid w:val="003509C2"/>
    <w:rsid w:val="00350C65"/>
    <w:rsid w:val="003516F1"/>
    <w:rsid w:val="00351843"/>
    <w:rsid w:val="00354EDA"/>
    <w:rsid w:val="0035755B"/>
    <w:rsid w:val="003600BA"/>
    <w:rsid w:val="00360807"/>
    <w:rsid w:val="00361C64"/>
    <w:rsid w:val="003621C2"/>
    <w:rsid w:val="003718AD"/>
    <w:rsid w:val="003869EF"/>
    <w:rsid w:val="00387C73"/>
    <w:rsid w:val="00390DC7"/>
    <w:rsid w:val="00390EA7"/>
    <w:rsid w:val="003931F5"/>
    <w:rsid w:val="00397978"/>
    <w:rsid w:val="003A2630"/>
    <w:rsid w:val="003B74F0"/>
    <w:rsid w:val="003B7EBD"/>
    <w:rsid w:val="003C0DB6"/>
    <w:rsid w:val="003C67F6"/>
    <w:rsid w:val="003C6BD1"/>
    <w:rsid w:val="003C7B84"/>
    <w:rsid w:val="003D1671"/>
    <w:rsid w:val="003D481E"/>
    <w:rsid w:val="003D4E64"/>
    <w:rsid w:val="003E5DA9"/>
    <w:rsid w:val="00400ECE"/>
    <w:rsid w:val="00412873"/>
    <w:rsid w:val="00422863"/>
    <w:rsid w:val="00435210"/>
    <w:rsid w:val="004365F4"/>
    <w:rsid w:val="004369E9"/>
    <w:rsid w:val="0045039D"/>
    <w:rsid w:val="00451231"/>
    <w:rsid w:val="00452F41"/>
    <w:rsid w:val="0045554F"/>
    <w:rsid w:val="00455D82"/>
    <w:rsid w:val="00456AA2"/>
    <w:rsid w:val="00457321"/>
    <w:rsid w:val="00474689"/>
    <w:rsid w:val="00482F45"/>
    <w:rsid w:val="00483B98"/>
    <w:rsid w:val="00485309"/>
    <w:rsid w:val="004922BD"/>
    <w:rsid w:val="004A2699"/>
    <w:rsid w:val="004A2F85"/>
    <w:rsid w:val="004B10E4"/>
    <w:rsid w:val="004B3239"/>
    <w:rsid w:val="004B3D04"/>
    <w:rsid w:val="004B6487"/>
    <w:rsid w:val="004B7A1E"/>
    <w:rsid w:val="004C4E29"/>
    <w:rsid w:val="004C5D00"/>
    <w:rsid w:val="004C7420"/>
    <w:rsid w:val="004E0C4E"/>
    <w:rsid w:val="004E2827"/>
    <w:rsid w:val="004E7FE5"/>
    <w:rsid w:val="004F0986"/>
    <w:rsid w:val="004F1DA9"/>
    <w:rsid w:val="004F30A0"/>
    <w:rsid w:val="004F5D81"/>
    <w:rsid w:val="004F664E"/>
    <w:rsid w:val="004F7C2C"/>
    <w:rsid w:val="00501A6D"/>
    <w:rsid w:val="00505BC6"/>
    <w:rsid w:val="00505DF0"/>
    <w:rsid w:val="00507606"/>
    <w:rsid w:val="005143C5"/>
    <w:rsid w:val="00525D9B"/>
    <w:rsid w:val="0054598C"/>
    <w:rsid w:val="00555BD3"/>
    <w:rsid w:val="005567DD"/>
    <w:rsid w:val="00560B81"/>
    <w:rsid w:val="005662D9"/>
    <w:rsid w:val="005672A2"/>
    <w:rsid w:val="00570C38"/>
    <w:rsid w:val="00571368"/>
    <w:rsid w:val="00573162"/>
    <w:rsid w:val="0057648F"/>
    <w:rsid w:val="00582ECA"/>
    <w:rsid w:val="00583386"/>
    <w:rsid w:val="00590338"/>
    <w:rsid w:val="0059054F"/>
    <w:rsid w:val="00590E86"/>
    <w:rsid w:val="00591DB6"/>
    <w:rsid w:val="00594698"/>
    <w:rsid w:val="00594D49"/>
    <w:rsid w:val="00596A3B"/>
    <w:rsid w:val="005A124B"/>
    <w:rsid w:val="005A1A3C"/>
    <w:rsid w:val="005B0809"/>
    <w:rsid w:val="005B4DDE"/>
    <w:rsid w:val="005C606F"/>
    <w:rsid w:val="005D1593"/>
    <w:rsid w:val="005D2099"/>
    <w:rsid w:val="005D2EB4"/>
    <w:rsid w:val="005D6748"/>
    <w:rsid w:val="005E7BCB"/>
    <w:rsid w:val="005F36A1"/>
    <w:rsid w:val="00601DD7"/>
    <w:rsid w:val="00604D80"/>
    <w:rsid w:val="00606668"/>
    <w:rsid w:val="006078B7"/>
    <w:rsid w:val="00607A98"/>
    <w:rsid w:val="00610C5C"/>
    <w:rsid w:val="006263E1"/>
    <w:rsid w:val="006405C6"/>
    <w:rsid w:val="00644287"/>
    <w:rsid w:val="00646B61"/>
    <w:rsid w:val="006502FE"/>
    <w:rsid w:val="006540B3"/>
    <w:rsid w:val="00665C95"/>
    <w:rsid w:val="00666A03"/>
    <w:rsid w:val="00670859"/>
    <w:rsid w:val="00672C87"/>
    <w:rsid w:val="006737E9"/>
    <w:rsid w:val="006768D1"/>
    <w:rsid w:val="006831AB"/>
    <w:rsid w:val="00692523"/>
    <w:rsid w:val="00693594"/>
    <w:rsid w:val="006A1CBF"/>
    <w:rsid w:val="006A255B"/>
    <w:rsid w:val="006B3642"/>
    <w:rsid w:val="006B4363"/>
    <w:rsid w:val="006C1E83"/>
    <w:rsid w:val="006C4824"/>
    <w:rsid w:val="006C4A75"/>
    <w:rsid w:val="006C7E84"/>
    <w:rsid w:val="006D087F"/>
    <w:rsid w:val="006D0901"/>
    <w:rsid w:val="006D145B"/>
    <w:rsid w:val="006D2903"/>
    <w:rsid w:val="006D4611"/>
    <w:rsid w:val="006D4AEB"/>
    <w:rsid w:val="006D628B"/>
    <w:rsid w:val="006D667A"/>
    <w:rsid w:val="006E4072"/>
    <w:rsid w:val="006F28F9"/>
    <w:rsid w:val="006F6E48"/>
    <w:rsid w:val="00701A45"/>
    <w:rsid w:val="00701EF6"/>
    <w:rsid w:val="00723DF1"/>
    <w:rsid w:val="007332D8"/>
    <w:rsid w:val="007372A2"/>
    <w:rsid w:val="00740CD6"/>
    <w:rsid w:val="00746859"/>
    <w:rsid w:val="00756251"/>
    <w:rsid w:val="00757915"/>
    <w:rsid w:val="0076050C"/>
    <w:rsid w:val="00761C27"/>
    <w:rsid w:val="0076474A"/>
    <w:rsid w:val="00765DCA"/>
    <w:rsid w:val="00772B90"/>
    <w:rsid w:val="0077765B"/>
    <w:rsid w:val="007776ED"/>
    <w:rsid w:val="00777921"/>
    <w:rsid w:val="0078039F"/>
    <w:rsid w:val="0078148F"/>
    <w:rsid w:val="007836CF"/>
    <w:rsid w:val="00785C02"/>
    <w:rsid w:val="00787066"/>
    <w:rsid w:val="00793AB8"/>
    <w:rsid w:val="0079566C"/>
    <w:rsid w:val="00796059"/>
    <w:rsid w:val="007A4DA7"/>
    <w:rsid w:val="007A5557"/>
    <w:rsid w:val="007A5A12"/>
    <w:rsid w:val="007B19BA"/>
    <w:rsid w:val="007B3EE0"/>
    <w:rsid w:val="007B4F02"/>
    <w:rsid w:val="007B6420"/>
    <w:rsid w:val="007C44DD"/>
    <w:rsid w:val="007C4B24"/>
    <w:rsid w:val="007D1358"/>
    <w:rsid w:val="007D48D5"/>
    <w:rsid w:val="007E03F2"/>
    <w:rsid w:val="007E3599"/>
    <w:rsid w:val="00801797"/>
    <w:rsid w:val="00801F15"/>
    <w:rsid w:val="008104D5"/>
    <w:rsid w:val="008219AA"/>
    <w:rsid w:val="00825A70"/>
    <w:rsid w:val="008353A4"/>
    <w:rsid w:val="008371E8"/>
    <w:rsid w:val="00837CD7"/>
    <w:rsid w:val="00843EFD"/>
    <w:rsid w:val="00846223"/>
    <w:rsid w:val="00851DEF"/>
    <w:rsid w:val="00852BE9"/>
    <w:rsid w:val="0085320D"/>
    <w:rsid w:val="00855235"/>
    <w:rsid w:val="00857966"/>
    <w:rsid w:val="00857A32"/>
    <w:rsid w:val="00860BB8"/>
    <w:rsid w:val="0086453D"/>
    <w:rsid w:val="00864C8A"/>
    <w:rsid w:val="00867EE5"/>
    <w:rsid w:val="0087691F"/>
    <w:rsid w:val="00877179"/>
    <w:rsid w:val="0088096F"/>
    <w:rsid w:val="00884F29"/>
    <w:rsid w:val="0089199B"/>
    <w:rsid w:val="00897F5D"/>
    <w:rsid w:val="008A203E"/>
    <w:rsid w:val="008A230D"/>
    <w:rsid w:val="008A710C"/>
    <w:rsid w:val="008B2BC6"/>
    <w:rsid w:val="008D14CD"/>
    <w:rsid w:val="008D242F"/>
    <w:rsid w:val="008F3C4C"/>
    <w:rsid w:val="008F54E7"/>
    <w:rsid w:val="008F567D"/>
    <w:rsid w:val="008F5703"/>
    <w:rsid w:val="008F5FD4"/>
    <w:rsid w:val="008F7233"/>
    <w:rsid w:val="00911E19"/>
    <w:rsid w:val="00912F6E"/>
    <w:rsid w:val="00913DA1"/>
    <w:rsid w:val="00920BF6"/>
    <w:rsid w:val="009255BE"/>
    <w:rsid w:val="0093663A"/>
    <w:rsid w:val="0095564E"/>
    <w:rsid w:val="00956926"/>
    <w:rsid w:val="00966666"/>
    <w:rsid w:val="00972D99"/>
    <w:rsid w:val="009740F2"/>
    <w:rsid w:val="00974F32"/>
    <w:rsid w:val="00992523"/>
    <w:rsid w:val="009927CF"/>
    <w:rsid w:val="00994B92"/>
    <w:rsid w:val="009A0BB8"/>
    <w:rsid w:val="009B09FE"/>
    <w:rsid w:val="009B5692"/>
    <w:rsid w:val="009C40BC"/>
    <w:rsid w:val="009C5042"/>
    <w:rsid w:val="009D16DA"/>
    <w:rsid w:val="009E1D89"/>
    <w:rsid w:val="009E61B9"/>
    <w:rsid w:val="009F2CE5"/>
    <w:rsid w:val="00A01966"/>
    <w:rsid w:val="00A04B8D"/>
    <w:rsid w:val="00A07EEE"/>
    <w:rsid w:val="00A101DF"/>
    <w:rsid w:val="00A1726E"/>
    <w:rsid w:val="00A26CF4"/>
    <w:rsid w:val="00A31417"/>
    <w:rsid w:val="00A37E83"/>
    <w:rsid w:val="00A40FF1"/>
    <w:rsid w:val="00A444E7"/>
    <w:rsid w:val="00A47A33"/>
    <w:rsid w:val="00A50040"/>
    <w:rsid w:val="00A53C6B"/>
    <w:rsid w:val="00A5721E"/>
    <w:rsid w:val="00A61198"/>
    <w:rsid w:val="00A66173"/>
    <w:rsid w:val="00A8675B"/>
    <w:rsid w:val="00AB157D"/>
    <w:rsid w:val="00AB179A"/>
    <w:rsid w:val="00AB21F8"/>
    <w:rsid w:val="00AB6324"/>
    <w:rsid w:val="00AE154B"/>
    <w:rsid w:val="00AE383E"/>
    <w:rsid w:val="00AF09A2"/>
    <w:rsid w:val="00AF20C7"/>
    <w:rsid w:val="00AF2BF5"/>
    <w:rsid w:val="00AF694C"/>
    <w:rsid w:val="00B061E9"/>
    <w:rsid w:val="00B11F81"/>
    <w:rsid w:val="00B13CA0"/>
    <w:rsid w:val="00B20B7C"/>
    <w:rsid w:val="00B343AE"/>
    <w:rsid w:val="00B36D99"/>
    <w:rsid w:val="00B46BB1"/>
    <w:rsid w:val="00B55C43"/>
    <w:rsid w:val="00B57D80"/>
    <w:rsid w:val="00B633F7"/>
    <w:rsid w:val="00B6351F"/>
    <w:rsid w:val="00B64596"/>
    <w:rsid w:val="00B71D55"/>
    <w:rsid w:val="00B7453F"/>
    <w:rsid w:val="00B77A9F"/>
    <w:rsid w:val="00B80248"/>
    <w:rsid w:val="00B90C9D"/>
    <w:rsid w:val="00B92271"/>
    <w:rsid w:val="00B92C5F"/>
    <w:rsid w:val="00B96DFB"/>
    <w:rsid w:val="00BA1E74"/>
    <w:rsid w:val="00BA6EDC"/>
    <w:rsid w:val="00BB4147"/>
    <w:rsid w:val="00BB5182"/>
    <w:rsid w:val="00BC5733"/>
    <w:rsid w:val="00BC5CD1"/>
    <w:rsid w:val="00BC7178"/>
    <w:rsid w:val="00BD55FD"/>
    <w:rsid w:val="00BE0C07"/>
    <w:rsid w:val="00BE13B9"/>
    <w:rsid w:val="00BE457F"/>
    <w:rsid w:val="00BE4B61"/>
    <w:rsid w:val="00BF288A"/>
    <w:rsid w:val="00BF670C"/>
    <w:rsid w:val="00C069F2"/>
    <w:rsid w:val="00C154E8"/>
    <w:rsid w:val="00C16E31"/>
    <w:rsid w:val="00C17392"/>
    <w:rsid w:val="00C17F97"/>
    <w:rsid w:val="00C21DB4"/>
    <w:rsid w:val="00C224E2"/>
    <w:rsid w:val="00C26299"/>
    <w:rsid w:val="00C32BBA"/>
    <w:rsid w:val="00C33480"/>
    <w:rsid w:val="00C341BC"/>
    <w:rsid w:val="00C348D0"/>
    <w:rsid w:val="00C3706B"/>
    <w:rsid w:val="00C4338D"/>
    <w:rsid w:val="00C4561B"/>
    <w:rsid w:val="00C5232E"/>
    <w:rsid w:val="00C57580"/>
    <w:rsid w:val="00C65C73"/>
    <w:rsid w:val="00C72E4C"/>
    <w:rsid w:val="00C7376D"/>
    <w:rsid w:val="00C77366"/>
    <w:rsid w:val="00C777DB"/>
    <w:rsid w:val="00C8245B"/>
    <w:rsid w:val="00C82CC1"/>
    <w:rsid w:val="00C84D70"/>
    <w:rsid w:val="00C84FAA"/>
    <w:rsid w:val="00C85CD5"/>
    <w:rsid w:val="00C87616"/>
    <w:rsid w:val="00C91D3A"/>
    <w:rsid w:val="00C947B0"/>
    <w:rsid w:val="00CA1210"/>
    <w:rsid w:val="00CA446D"/>
    <w:rsid w:val="00CB1FDA"/>
    <w:rsid w:val="00CB34D0"/>
    <w:rsid w:val="00CB403E"/>
    <w:rsid w:val="00CB694C"/>
    <w:rsid w:val="00CC1FD6"/>
    <w:rsid w:val="00CD1F9B"/>
    <w:rsid w:val="00CE06C9"/>
    <w:rsid w:val="00CE38CB"/>
    <w:rsid w:val="00CE3A16"/>
    <w:rsid w:val="00CE4421"/>
    <w:rsid w:val="00CE6476"/>
    <w:rsid w:val="00CF348C"/>
    <w:rsid w:val="00D007B8"/>
    <w:rsid w:val="00D018AD"/>
    <w:rsid w:val="00D0448F"/>
    <w:rsid w:val="00D04F54"/>
    <w:rsid w:val="00D0568C"/>
    <w:rsid w:val="00D065CF"/>
    <w:rsid w:val="00D12C90"/>
    <w:rsid w:val="00D20993"/>
    <w:rsid w:val="00D2118D"/>
    <w:rsid w:val="00D4524E"/>
    <w:rsid w:val="00D50F2A"/>
    <w:rsid w:val="00D53FCA"/>
    <w:rsid w:val="00D60BE2"/>
    <w:rsid w:val="00D71EC8"/>
    <w:rsid w:val="00D74C97"/>
    <w:rsid w:val="00D8460F"/>
    <w:rsid w:val="00D91094"/>
    <w:rsid w:val="00D94E70"/>
    <w:rsid w:val="00D9524C"/>
    <w:rsid w:val="00D971F0"/>
    <w:rsid w:val="00DA13BE"/>
    <w:rsid w:val="00DA20F8"/>
    <w:rsid w:val="00DA2E42"/>
    <w:rsid w:val="00DA66F7"/>
    <w:rsid w:val="00DA6758"/>
    <w:rsid w:val="00DB15EB"/>
    <w:rsid w:val="00DB203E"/>
    <w:rsid w:val="00DB6023"/>
    <w:rsid w:val="00DC0B4F"/>
    <w:rsid w:val="00DC299B"/>
    <w:rsid w:val="00DC5E65"/>
    <w:rsid w:val="00DC5FD9"/>
    <w:rsid w:val="00DC7E03"/>
    <w:rsid w:val="00DD0C38"/>
    <w:rsid w:val="00DD7E82"/>
    <w:rsid w:val="00DE3E72"/>
    <w:rsid w:val="00DE3F4A"/>
    <w:rsid w:val="00DE7AD5"/>
    <w:rsid w:val="00DF6A92"/>
    <w:rsid w:val="00E00B73"/>
    <w:rsid w:val="00E15027"/>
    <w:rsid w:val="00E2126E"/>
    <w:rsid w:val="00E2290D"/>
    <w:rsid w:val="00E22BC6"/>
    <w:rsid w:val="00E245B8"/>
    <w:rsid w:val="00E2489B"/>
    <w:rsid w:val="00E30DB5"/>
    <w:rsid w:val="00E36A74"/>
    <w:rsid w:val="00E37C94"/>
    <w:rsid w:val="00E4767B"/>
    <w:rsid w:val="00E54FDC"/>
    <w:rsid w:val="00E62921"/>
    <w:rsid w:val="00E62C66"/>
    <w:rsid w:val="00E65800"/>
    <w:rsid w:val="00E712F7"/>
    <w:rsid w:val="00E727C0"/>
    <w:rsid w:val="00E74B6B"/>
    <w:rsid w:val="00E74D27"/>
    <w:rsid w:val="00E76A30"/>
    <w:rsid w:val="00E803F9"/>
    <w:rsid w:val="00E813DA"/>
    <w:rsid w:val="00E93EE4"/>
    <w:rsid w:val="00EA3CA4"/>
    <w:rsid w:val="00EB018B"/>
    <w:rsid w:val="00EB2BF2"/>
    <w:rsid w:val="00EB4ECF"/>
    <w:rsid w:val="00EB5859"/>
    <w:rsid w:val="00EB5E25"/>
    <w:rsid w:val="00EC10D7"/>
    <w:rsid w:val="00EC4792"/>
    <w:rsid w:val="00EC4BCE"/>
    <w:rsid w:val="00ED56AE"/>
    <w:rsid w:val="00EE31D8"/>
    <w:rsid w:val="00EE5674"/>
    <w:rsid w:val="00EF2992"/>
    <w:rsid w:val="00EF4050"/>
    <w:rsid w:val="00EF75A2"/>
    <w:rsid w:val="00F05818"/>
    <w:rsid w:val="00F13DD4"/>
    <w:rsid w:val="00F2203F"/>
    <w:rsid w:val="00F40373"/>
    <w:rsid w:val="00F50503"/>
    <w:rsid w:val="00F50C67"/>
    <w:rsid w:val="00F51B51"/>
    <w:rsid w:val="00F53C5F"/>
    <w:rsid w:val="00F606E8"/>
    <w:rsid w:val="00F61FA2"/>
    <w:rsid w:val="00F63B18"/>
    <w:rsid w:val="00F64E85"/>
    <w:rsid w:val="00F70948"/>
    <w:rsid w:val="00F74A7B"/>
    <w:rsid w:val="00F80E2F"/>
    <w:rsid w:val="00F87864"/>
    <w:rsid w:val="00F905A9"/>
    <w:rsid w:val="00F91E16"/>
    <w:rsid w:val="00F957B3"/>
    <w:rsid w:val="00F9616E"/>
    <w:rsid w:val="00F964E7"/>
    <w:rsid w:val="00FA2EF2"/>
    <w:rsid w:val="00FA347E"/>
    <w:rsid w:val="00FA4F3F"/>
    <w:rsid w:val="00FA61EA"/>
    <w:rsid w:val="00FA7B48"/>
    <w:rsid w:val="00FB10B4"/>
    <w:rsid w:val="00FB3ACB"/>
    <w:rsid w:val="00FB5B62"/>
    <w:rsid w:val="00FC0C28"/>
    <w:rsid w:val="00FD2332"/>
    <w:rsid w:val="00FD2A70"/>
    <w:rsid w:val="00FD578E"/>
    <w:rsid w:val="00FD7129"/>
    <w:rsid w:val="00FE39C3"/>
    <w:rsid w:val="00FF3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AU" w:eastAsia="en-AU" w:bidi="ar-SA"/>
      </w:rPr>
    </w:rPrDefault>
    <w:pPrDefault/>
  </w:docDefaults>
  <w:latentStyles w:defLockedState="0" w:defUIPriority="0" w:defSemiHidden="0" w:defUnhideWhenUsed="0" w:defQFormat="0" w:count="267">
    <w:lsdException w:name="footnote text" w:uiPriority="99" w:qFormat="1"/>
    <w:lsdException w:name="footer" w:uiPriority="99"/>
    <w:lsdException w:name="footnote reference" w:uiPriority="99"/>
    <w:lsdException w:name="Emphasis" w:uiPriority="20" w:qFormat="1"/>
    <w:lsdException w:name="Normal (Web)" w:uiPriority="99"/>
    <w:lsdException w:name="List Paragraph" w:uiPriority="34" w:qFormat="1"/>
  </w:latentStyles>
  <w:style w:type="paragraph" w:default="1" w:styleId="Normal">
    <w:name w:val="Normal"/>
    <w:next w:val="AERbodytext"/>
    <w:qFormat/>
    <w:rsid w:val="00956926"/>
    <w:pPr>
      <w:spacing w:line="288" w:lineRule="auto"/>
      <w:jc w:val="both"/>
    </w:pPr>
    <w:rPr>
      <w:rFonts w:ascii="Gautami" w:eastAsia="Cambria" w:hAnsi="Gautami"/>
    </w:rPr>
  </w:style>
  <w:style w:type="paragraph" w:styleId="Heading1">
    <w:name w:val="heading 1"/>
    <w:basedOn w:val="Normal"/>
    <w:next w:val="Normal"/>
    <w:link w:val="Heading1Char"/>
    <w:uiPriority w:val="9"/>
    <w:qFormat/>
    <w:rsid w:val="0095692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rsid w:val="00956926"/>
    <w:pPr>
      <w:spacing w:after="240" w:line="288" w:lineRule="auto"/>
      <w:jc w:val="both"/>
    </w:pPr>
    <w:rPr>
      <w:rFonts w:ascii="Gautami" w:eastAsia="Cambria" w:hAnsi="Gautami"/>
      <w:lang w:eastAsia="en-US"/>
    </w:rPr>
  </w:style>
  <w:style w:type="paragraph" w:customStyle="1" w:styleId="AERtabletitle">
    <w:name w:val="AER table title"/>
    <w:basedOn w:val="AERfigureheading"/>
    <w:next w:val="Normal"/>
    <w:rsid w:val="00956926"/>
    <w:pPr>
      <w:numPr>
        <w:ilvl w:val="4"/>
      </w:numPr>
    </w:pPr>
  </w:style>
  <w:style w:type="paragraph" w:customStyle="1" w:styleId="AERfigureheading">
    <w:name w:val="AER figure heading"/>
    <w:basedOn w:val="Normal"/>
    <w:next w:val="AERbodytext"/>
    <w:rsid w:val="00956926"/>
    <w:pPr>
      <w:keepNext/>
      <w:numPr>
        <w:ilvl w:val="3"/>
        <w:numId w:val="2"/>
      </w:numPr>
      <w:spacing w:before="240" w:after="120"/>
      <w:outlineLvl w:val="3"/>
    </w:pPr>
    <w:rPr>
      <w:b/>
      <w:lang w:eastAsia="en-US"/>
    </w:rPr>
  </w:style>
  <w:style w:type="paragraph" w:customStyle="1" w:styleId="AERbulletlistsecondstyle">
    <w:name w:val="AER bullet list (second style)"/>
    <w:basedOn w:val="AERbodytext"/>
    <w:rsid w:val="00956926"/>
    <w:pPr>
      <w:numPr>
        <w:numId w:val="1"/>
      </w:numPr>
      <w:tabs>
        <w:tab w:val="left" w:pos="720"/>
      </w:tabs>
      <w:spacing w:after="200"/>
    </w:pPr>
  </w:style>
  <w:style w:type="paragraph" w:customStyle="1" w:styleId="AERheading1">
    <w:name w:val="AER heading 1"/>
    <w:basedOn w:val="Heading1"/>
    <w:next w:val="AERbodytext"/>
    <w:rsid w:val="00956926"/>
    <w:pPr>
      <w:keepLines w:val="0"/>
      <w:pageBreakBefore/>
      <w:tabs>
        <w:tab w:val="left" w:pos="0"/>
      </w:tabs>
      <w:spacing w:before="240" w:after="240"/>
    </w:pPr>
    <w:rPr>
      <w:rFonts w:ascii="Gautami" w:eastAsia="Cambria" w:hAnsi="Gautami" w:cs="Arial"/>
      <w:color w:val="F2750E"/>
      <w:kern w:val="32"/>
      <w:sz w:val="36"/>
      <w:szCs w:val="32"/>
      <w:lang w:eastAsia="en-US"/>
    </w:rPr>
  </w:style>
  <w:style w:type="paragraph" w:customStyle="1" w:styleId="AERheading2">
    <w:name w:val="AER heading 2"/>
    <w:basedOn w:val="AERheading1"/>
    <w:next w:val="AERbodytext"/>
    <w:rsid w:val="00956926"/>
    <w:pPr>
      <w:pageBreakBefore w:val="0"/>
      <w:numPr>
        <w:ilvl w:val="1"/>
        <w:numId w:val="2"/>
      </w:numPr>
      <w:tabs>
        <w:tab w:val="clear" w:pos="0"/>
        <w:tab w:val="clear" w:pos="357"/>
        <w:tab w:val="num" w:pos="-357"/>
      </w:tabs>
      <w:spacing w:after="360"/>
      <w:ind w:left="-357"/>
    </w:pPr>
    <w:rPr>
      <w:sz w:val="28"/>
      <w:szCs w:val="30"/>
    </w:rPr>
  </w:style>
  <w:style w:type="paragraph" w:customStyle="1" w:styleId="AERheading3">
    <w:name w:val="AER heading 3"/>
    <w:basedOn w:val="AERheading2"/>
    <w:next w:val="AERbodytext"/>
    <w:rsid w:val="00956926"/>
    <w:pPr>
      <w:numPr>
        <w:ilvl w:val="2"/>
      </w:numPr>
      <w:spacing w:before="120" w:after="240"/>
    </w:pPr>
    <w:rPr>
      <w:color w:val="auto"/>
      <w:sz w:val="24"/>
      <w:szCs w:val="24"/>
    </w:rPr>
  </w:style>
  <w:style w:type="paragraph" w:customStyle="1" w:styleId="AERheading4">
    <w:name w:val="AER heading 4"/>
    <w:next w:val="AERbodytext"/>
    <w:rsid w:val="00956926"/>
    <w:pPr>
      <w:spacing w:after="240"/>
    </w:pPr>
    <w:rPr>
      <w:rFonts w:ascii="Gautami" w:eastAsia="Cambria" w:hAnsi="Gautami" w:cs="Arial"/>
      <w:b/>
      <w:bCs/>
      <w:kern w:val="32"/>
      <w:sz w:val="22"/>
      <w:lang w:eastAsia="en-US"/>
    </w:rPr>
  </w:style>
  <w:style w:type="paragraph" w:styleId="Footer">
    <w:name w:val="footer"/>
    <w:basedOn w:val="Normal"/>
    <w:link w:val="FooterChar"/>
    <w:uiPriority w:val="99"/>
    <w:rsid w:val="00956926"/>
    <w:pPr>
      <w:tabs>
        <w:tab w:val="center" w:pos="4153"/>
        <w:tab w:val="right" w:pos="8306"/>
      </w:tabs>
    </w:pPr>
  </w:style>
  <w:style w:type="character" w:customStyle="1" w:styleId="FooterChar">
    <w:name w:val="Footer Char"/>
    <w:basedOn w:val="DefaultParagraphFont"/>
    <w:link w:val="Footer"/>
    <w:uiPriority w:val="99"/>
    <w:rsid w:val="00956926"/>
    <w:rPr>
      <w:rFonts w:ascii="Gautami" w:eastAsia="Cambria" w:hAnsi="Gautami" w:cs="Times New Roman"/>
      <w:sz w:val="20"/>
      <w:szCs w:val="24"/>
      <w:lang w:eastAsia="en-AU"/>
    </w:rPr>
  </w:style>
  <w:style w:type="character" w:styleId="PageNumber">
    <w:name w:val="page number"/>
    <w:basedOn w:val="DefaultParagraphFont"/>
    <w:rsid w:val="00956926"/>
    <w:rPr>
      <w:rFonts w:ascii="Gautami" w:hAnsi="Gautami" w:cs="Times New Roman"/>
      <w:sz w:val="18"/>
    </w:rPr>
  </w:style>
  <w:style w:type="character" w:styleId="FootnoteReference">
    <w:name w:val="footnote reference"/>
    <w:basedOn w:val="DefaultParagraphFont"/>
    <w:uiPriority w:val="99"/>
    <w:rsid w:val="00956926"/>
    <w:rPr>
      <w:rFonts w:cs="Times New Roman"/>
      <w:vertAlign w:val="superscript"/>
    </w:rPr>
  </w:style>
  <w:style w:type="paragraph" w:styleId="FootnoteText">
    <w:name w:val="footnote text"/>
    <w:basedOn w:val="Normal"/>
    <w:link w:val="FootnoteTextChar"/>
    <w:uiPriority w:val="99"/>
    <w:qFormat/>
    <w:rsid w:val="00956926"/>
    <w:pPr>
      <w:tabs>
        <w:tab w:val="left" w:pos="454"/>
      </w:tabs>
      <w:ind w:left="454" w:hanging="454"/>
    </w:pPr>
    <w:rPr>
      <w:sz w:val="16"/>
      <w:szCs w:val="20"/>
    </w:rPr>
  </w:style>
  <w:style w:type="character" w:customStyle="1" w:styleId="FootnoteTextChar">
    <w:name w:val="Footnote Text Char"/>
    <w:basedOn w:val="DefaultParagraphFont"/>
    <w:link w:val="FootnoteText"/>
    <w:uiPriority w:val="99"/>
    <w:rsid w:val="00956926"/>
    <w:rPr>
      <w:rFonts w:ascii="Gautami" w:eastAsia="Cambria" w:hAnsi="Gautami" w:cs="Times New Roman"/>
      <w:sz w:val="16"/>
      <w:szCs w:val="20"/>
      <w:lang w:eastAsia="en-AU"/>
    </w:rPr>
  </w:style>
  <w:style w:type="character" w:customStyle="1" w:styleId="AERbodytextChar">
    <w:name w:val="AER body text Char"/>
    <w:basedOn w:val="DefaultParagraphFont"/>
    <w:link w:val="AERbodytext"/>
    <w:rsid w:val="00956926"/>
    <w:rPr>
      <w:rFonts w:ascii="Gautami" w:eastAsia="Cambria" w:hAnsi="Gautami"/>
      <w:szCs w:val="24"/>
      <w:lang w:val="en-AU" w:eastAsia="en-US" w:bidi="ar-SA"/>
    </w:rPr>
  </w:style>
  <w:style w:type="paragraph" w:customStyle="1" w:styleId="AERTitle1">
    <w:name w:val="AER Title 1"/>
    <w:basedOn w:val="AERheading4"/>
    <w:rsid w:val="00956926"/>
    <w:pPr>
      <w:keepNext/>
      <w:jc w:val="center"/>
    </w:pPr>
    <w:rPr>
      <w:rFonts w:eastAsia="Times New Roman"/>
      <w:sz w:val="40"/>
    </w:rPr>
  </w:style>
  <w:style w:type="character" w:customStyle="1" w:styleId="Heading1Char">
    <w:name w:val="Heading 1 Char"/>
    <w:basedOn w:val="DefaultParagraphFont"/>
    <w:link w:val="Heading1"/>
    <w:uiPriority w:val="9"/>
    <w:rsid w:val="00956926"/>
    <w:rPr>
      <w:rFonts w:ascii="Cambria" w:eastAsia="Times New Roman" w:hAnsi="Cambria" w:cs="Times New Roman"/>
      <w:b/>
      <w:bCs/>
      <w:color w:val="365F91"/>
      <w:sz w:val="28"/>
      <w:szCs w:val="28"/>
      <w:lang w:eastAsia="en-AU"/>
    </w:rPr>
  </w:style>
  <w:style w:type="character" w:styleId="CommentReference">
    <w:name w:val="annotation reference"/>
    <w:basedOn w:val="DefaultParagraphFont"/>
    <w:semiHidden/>
    <w:rsid w:val="00EE27DE"/>
    <w:rPr>
      <w:rFonts w:cs="Times New Roman"/>
      <w:sz w:val="16"/>
      <w:szCs w:val="16"/>
    </w:rPr>
  </w:style>
  <w:style w:type="character" w:customStyle="1" w:styleId="CommentTextChar">
    <w:name w:val="Comment Text Char"/>
    <w:basedOn w:val="DefaultParagraphFont"/>
    <w:link w:val="CommentText"/>
    <w:semiHidden/>
    <w:locked/>
    <w:rsid w:val="00EE27DE"/>
    <w:rPr>
      <w:rFonts w:ascii="Gautami" w:hAnsi="Gautami"/>
    </w:rPr>
  </w:style>
  <w:style w:type="paragraph" w:styleId="CommentText">
    <w:name w:val="annotation text"/>
    <w:basedOn w:val="Normal"/>
    <w:link w:val="CommentTextChar"/>
    <w:semiHidden/>
    <w:rsid w:val="00EE27DE"/>
    <w:rPr>
      <w:rFonts w:eastAsia="Calibri"/>
      <w:szCs w:val="20"/>
    </w:rPr>
  </w:style>
  <w:style w:type="character" w:customStyle="1" w:styleId="CommentTextChar1">
    <w:name w:val="Comment Text Char1"/>
    <w:basedOn w:val="DefaultParagraphFont"/>
    <w:uiPriority w:val="99"/>
    <w:semiHidden/>
    <w:rsid w:val="00EE27DE"/>
    <w:rPr>
      <w:rFonts w:ascii="Gautami" w:eastAsia="Cambria" w:hAnsi="Gautami"/>
    </w:rPr>
  </w:style>
  <w:style w:type="character" w:customStyle="1" w:styleId="AERtextitalic">
    <w:name w:val="AER text italic"/>
    <w:rsid w:val="00EE27DE"/>
    <w:rPr>
      <w:i/>
    </w:rPr>
  </w:style>
  <w:style w:type="character" w:styleId="Hyperlink">
    <w:name w:val="Hyperlink"/>
    <w:basedOn w:val="DefaultParagraphFont"/>
    <w:rsid w:val="00EE27DE"/>
    <w:rPr>
      <w:rFonts w:cs="Times New Roman"/>
      <w:color w:val="0000FF"/>
      <w:u w:val="single"/>
    </w:rPr>
  </w:style>
  <w:style w:type="paragraph" w:styleId="BalloonText">
    <w:name w:val="Balloon Text"/>
    <w:basedOn w:val="Normal"/>
    <w:link w:val="BalloonTextChar"/>
    <w:uiPriority w:val="99"/>
    <w:semiHidden/>
    <w:unhideWhenUsed/>
    <w:rsid w:val="00EE27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7DE"/>
    <w:rPr>
      <w:rFonts w:ascii="Tahoma" w:eastAsia="Cambria" w:hAnsi="Tahoma" w:cs="Tahoma"/>
      <w:sz w:val="16"/>
      <w:szCs w:val="16"/>
    </w:rPr>
  </w:style>
  <w:style w:type="paragraph" w:styleId="CommentSubject">
    <w:name w:val="annotation subject"/>
    <w:basedOn w:val="CommentText"/>
    <w:next w:val="CommentText"/>
    <w:link w:val="CommentSubjectChar"/>
    <w:uiPriority w:val="99"/>
    <w:semiHidden/>
    <w:unhideWhenUsed/>
    <w:rsid w:val="000A7DDA"/>
    <w:rPr>
      <w:rFonts w:eastAsia="Cambria"/>
      <w:b/>
      <w:bCs/>
    </w:rPr>
  </w:style>
  <w:style w:type="character" w:customStyle="1" w:styleId="CommentSubjectChar">
    <w:name w:val="Comment Subject Char"/>
    <w:basedOn w:val="CommentTextChar"/>
    <w:link w:val="CommentSubject"/>
    <w:uiPriority w:val="99"/>
    <w:semiHidden/>
    <w:rsid w:val="000A7DDA"/>
    <w:rPr>
      <w:rFonts w:ascii="Gautami" w:eastAsia="Cambria" w:hAnsi="Gautami"/>
      <w:b/>
      <w:bCs/>
    </w:rPr>
  </w:style>
  <w:style w:type="paragraph" w:customStyle="1" w:styleId="AERtabletext">
    <w:name w:val="AER table text"/>
    <w:basedOn w:val="Normal"/>
    <w:rsid w:val="005677F9"/>
    <w:pPr>
      <w:widowControl w:val="0"/>
      <w:spacing w:before="120" w:after="120"/>
      <w:jc w:val="left"/>
    </w:pPr>
    <w:rPr>
      <w:rFonts w:eastAsia="Times New Roman"/>
      <w:sz w:val="16"/>
      <w:lang w:eastAsia="en-US"/>
    </w:rPr>
  </w:style>
  <w:style w:type="paragraph" w:customStyle="1" w:styleId="AERtabletextheading">
    <w:name w:val="AER table text heading"/>
    <w:rsid w:val="005677F9"/>
    <w:pPr>
      <w:spacing w:before="120" w:after="120"/>
    </w:pPr>
    <w:rPr>
      <w:rFonts w:ascii="Gautami" w:eastAsia="Times New Roman" w:hAnsi="Gautami"/>
      <w:b/>
      <w:lang w:eastAsia="en-US"/>
    </w:rPr>
  </w:style>
  <w:style w:type="paragraph" w:styleId="Revision">
    <w:name w:val="Revision"/>
    <w:hidden/>
    <w:uiPriority w:val="99"/>
    <w:semiHidden/>
    <w:rsid w:val="00E3053F"/>
    <w:rPr>
      <w:rFonts w:ascii="Gautami" w:eastAsia="Cambria" w:hAnsi="Gautami"/>
    </w:rPr>
  </w:style>
  <w:style w:type="paragraph" w:styleId="Header">
    <w:name w:val="header"/>
    <w:basedOn w:val="Normal"/>
    <w:link w:val="HeaderChar"/>
    <w:uiPriority w:val="99"/>
    <w:semiHidden/>
    <w:unhideWhenUsed/>
    <w:rsid w:val="007632C6"/>
    <w:pPr>
      <w:tabs>
        <w:tab w:val="center" w:pos="4513"/>
        <w:tab w:val="right" w:pos="9026"/>
      </w:tabs>
    </w:pPr>
  </w:style>
  <w:style w:type="character" w:customStyle="1" w:styleId="HeaderChar">
    <w:name w:val="Header Char"/>
    <w:basedOn w:val="DefaultParagraphFont"/>
    <w:link w:val="Header"/>
    <w:uiPriority w:val="99"/>
    <w:semiHidden/>
    <w:rsid w:val="007632C6"/>
    <w:rPr>
      <w:rFonts w:ascii="Gautami" w:eastAsia="Cambria" w:hAnsi="Gautami"/>
      <w:szCs w:val="24"/>
    </w:rPr>
  </w:style>
  <w:style w:type="table" w:styleId="TableGrid">
    <w:name w:val="Table Grid"/>
    <w:basedOn w:val="TableNormal"/>
    <w:uiPriority w:val="59"/>
    <w:rsid w:val="00217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A14EE3"/>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A14EE3"/>
    <w:rPr>
      <w:rFonts w:ascii="Tahoma" w:eastAsia="Cambria" w:hAnsi="Tahoma" w:cs="Tahoma"/>
      <w:sz w:val="16"/>
      <w:szCs w:val="16"/>
    </w:rPr>
  </w:style>
  <w:style w:type="paragraph" w:styleId="ListParagraph">
    <w:name w:val="List Paragraph"/>
    <w:basedOn w:val="Normal"/>
    <w:uiPriority w:val="34"/>
    <w:qFormat/>
    <w:rsid w:val="00A212F0"/>
    <w:pPr>
      <w:ind w:left="720"/>
      <w:contextualSpacing/>
    </w:pPr>
  </w:style>
  <w:style w:type="paragraph" w:styleId="NormalWeb">
    <w:name w:val="Normal (Web)"/>
    <w:basedOn w:val="Normal"/>
    <w:uiPriority w:val="99"/>
    <w:unhideWhenUsed/>
    <w:rsid w:val="00EC4792"/>
    <w:pPr>
      <w:spacing w:after="240" w:line="240" w:lineRule="auto"/>
      <w:jc w:val="left"/>
    </w:pPr>
    <w:rPr>
      <w:rFonts w:ascii="Times New Roman" w:eastAsia="Times New Roman" w:hAnsi="Times New Roman"/>
    </w:rPr>
  </w:style>
  <w:style w:type="character" w:styleId="Emphasis">
    <w:name w:val="Emphasis"/>
    <w:basedOn w:val="DefaultParagraphFont"/>
    <w:uiPriority w:val="20"/>
    <w:qFormat/>
    <w:rsid w:val="00EC4792"/>
    <w:rPr>
      <w:i/>
      <w:iCs/>
    </w:rPr>
  </w:style>
  <w:style w:type="paragraph" w:customStyle="1" w:styleId="AERtablesources">
    <w:name w:val="AER table sources"/>
    <w:basedOn w:val="AERbodytext"/>
    <w:next w:val="AERbodytext"/>
    <w:rsid w:val="00772B90"/>
    <w:pPr>
      <w:spacing w:before="60" w:line="240" w:lineRule="auto"/>
      <w:jc w:val="left"/>
    </w:pPr>
    <w:rPr>
      <w:rFonts w:ascii="Times New Roman" w:eastAsia="Times New Roman" w:hAnsi="Times New Roman"/>
      <w:sz w:val="20"/>
      <w:szCs w:val="20"/>
      <w:lang w:eastAsia="en-AU"/>
    </w:rPr>
  </w:style>
  <w:style w:type="paragraph" w:customStyle="1" w:styleId="SOEMbodytext">
    <w:name w:val="SOEM body text"/>
    <w:basedOn w:val="Normal"/>
    <w:link w:val="SOEMbodytextCharChar"/>
    <w:rsid w:val="00772B90"/>
    <w:pPr>
      <w:spacing w:after="240" w:line="360" w:lineRule="auto"/>
      <w:jc w:val="left"/>
    </w:pPr>
    <w:rPr>
      <w:rFonts w:ascii="Times" w:eastAsia="Times New Roman" w:hAnsi="Times"/>
      <w:szCs w:val="20"/>
    </w:rPr>
  </w:style>
  <w:style w:type="character" w:customStyle="1" w:styleId="SOEMbodytextCharChar">
    <w:name w:val="SOEM body text Char Char"/>
    <w:link w:val="SOEMbodytext"/>
    <w:rsid w:val="00772B90"/>
    <w:rPr>
      <w:rFonts w:ascii="Times" w:eastAsia="Times New Roman" w:hAnsi="Times"/>
      <w:szCs w:val="20"/>
    </w:rPr>
  </w:style>
  <w:style w:type="paragraph" w:customStyle="1" w:styleId="SOEMTableFigureheading">
    <w:name w:val="SOEM Table &amp; Figure heading"/>
    <w:basedOn w:val="Normal"/>
    <w:rsid w:val="00772B90"/>
    <w:pPr>
      <w:keepNext/>
      <w:tabs>
        <w:tab w:val="left" w:pos="1560"/>
        <w:tab w:val="right" w:leader="dot" w:pos="8453"/>
      </w:tabs>
      <w:spacing w:before="120" w:after="120" w:line="240" w:lineRule="auto"/>
      <w:jc w:val="left"/>
    </w:pPr>
    <w:rPr>
      <w:rFonts w:ascii="Times New Roman" w:eastAsia="Times New Roman" w:hAnsi="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7101">
      <w:bodyDiv w:val="1"/>
      <w:marLeft w:val="0"/>
      <w:marRight w:val="0"/>
      <w:marTop w:val="0"/>
      <w:marBottom w:val="0"/>
      <w:divBdr>
        <w:top w:val="none" w:sz="0" w:space="0" w:color="auto"/>
        <w:left w:val="none" w:sz="0" w:space="0" w:color="auto"/>
        <w:bottom w:val="none" w:sz="0" w:space="0" w:color="auto"/>
        <w:right w:val="none" w:sz="0" w:space="0" w:color="auto"/>
      </w:divBdr>
    </w:div>
    <w:div w:id="242878549">
      <w:bodyDiv w:val="1"/>
      <w:marLeft w:val="0"/>
      <w:marRight w:val="0"/>
      <w:marTop w:val="0"/>
      <w:marBottom w:val="0"/>
      <w:divBdr>
        <w:top w:val="none" w:sz="0" w:space="0" w:color="auto"/>
        <w:left w:val="none" w:sz="0" w:space="0" w:color="auto"/>
        <w:bottom w:val="none" w:sz="0" w:space="0" w:color="auto"/>
        <w:right w:val="none" w:sz="0" w:space="0" w:color="auto"/>
      </w:divBdr>
      <w:divsChild>
        <w:div w:id="740105338">
          <w:marLeft w:val="0"/>
          <w:marRight w:val="0"/>
          <w:marTop w:val="0"/>
          <w:marBottom w:val="0"/>
          <w:divBdr>
            <w:top w:val="none" w:sz="0" w:space="0" w:color="auto"/>
            <w:left w:val="none" w:sz="0" w:space="0" w:color="auto"/>
            <w:bottom w:val="none" w:sz="0" w:space="0" w:color="auto"/>
            <w:right w:val="none" w:sz="0" w:space="0" w:color="auto"/>
          </w:divBdr>
          <w:divsChild>
            <w:div w:id="236063182">
              <w:marLeft w:val="375"/>
              <w:marRight w:val="375"/>
              <w:marTop w:val="0"/>
              <w:marBottom w:val="0"/>
              <w:divBdr>
                <w:top w:val="none" w:sz="0" w:space="0" w:color="auto"/>
                <w:left w:val="none" w:sz="0" w:space="0" w:color="auto"/>
                <w:bottom w:val="none" w:sz="0" w:space="0" w:color="auto"/>
                <w:right w:val="none" w:sz="0" w:space="0" w:color="auto"/>
              </w:divBdr>
              <w:divsChild>
                <w:div w:id="1761028556">
                  <w:marLeft w:val="0"/>
                  <w:marRight w:val="0"/>
                  <w:marTop w:val="0"/>
                  <w:marBottom w:val="0"/>
                  <w:divBdr>
                    <w:top w:val="none" w:sz="0" w:space="0" w:color="auto"/>
                    <w:left w:val="none" w:sz="0" w:space="0" w:color="auto"/>
                    <w:bottom w:val="none" w:sz="0" w:space="0" w:color="auto"/>
                    <w:right w:val="none" w:sz="0" w:space="0" w:color="auto"/>
                  </w:divBdr>
                  <w:divsChild>
                    <w:div w:id="4312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30502">
      <w:bodyDiv w:val="1"/>
      <w:marLeft w:val="0"/>
      <w:marRight w:val="0"/>
      <w:marTop w:val="0"/>
      <w:marBottom w:val="0"/>
      <w:divBdr>
        <w:top w:val="none" w:sz="0" w:space="0" w:color="auto"/>
        <w:left w:val="none" w:sz="0" w:space="0" w:color="auto"/>
        <w:bottom w:val="none" w:sz="0" w:space="0" w:color="auto"/>
        <w:right w:val="none" w:sz="0" w:space="0" w:color="auto"/>
      </w:divBdr>
    </w:div>
    <w:div w:id="374549992">
      <w:bodyDiv w:val="1"/>
      <w:marLeft w:val="0"/>
      <w:marRight w:val="0"/>
      <w:marTop w:val="0"/>
      <w:marBottom w:val="0"/>
      <w:divBdr>
        <w:top w:val="none" w:sz="0" w:space="0" w:color="auto"/>
        <w:left w:val="none" w:sz="0" w:space="0" w:color="auto"/>
        <w:bottom w:val="none" w:sz="0" w:space="0" w:color="auto"/>
        <w:right w:val="none" w:sz="0" w:space="0" w:color="auto"/>
      </w:divBdr>
    </w:div>
    <w:div w:id="465439641">
      <w:bodyDiv w:val="1"/>
      <w:marLeft w:val="0"/>
      <w:marRight w:val="0"/>
      <w:marTop w:val="0"/>
      <w:marBottom w:val="0"/>
      <w:divBdr>
        <w:top w:val="none" w:sz="0" w:space="0" w:color="auto"/>
        <w:left w:val="none" w:sz="0" w:space="0" w:color="auto"/>
        <w:bottom w:val="none" w:sz="0" w:space="0" w:color="auto"/>
        <w:right w:val="none" w:sz="0" w:space="0" w:color="auto"/>
      </w:divBdr>
    </w:div>
    <w:div w:id="494034070">
      <w:bodyDiv w:val="1"/>
      <w:marLeft w:val="0"/>
      <w:marRight w:val="0"/>
      <w:marTop w:val="0"/>
      <w:marBottom w:val="0"/>
      <w:divBdr>
        <w:top w:val="none" w:sz="0" w:space="0" w:color="auto"/>
        <w:left w:val="none" w:sz="0" w:space="0" w:color="auto"/>
        <w:bottom w:val="none" w:sz="0" w:space="0" w:color="auto"/>
        <w:right w:val="none" w:sz="0" w:space="0" w:color="auto"/>
      </w:divBdr>
    </w:div>
    <w:div w:id="514734806">
      <w:bodyDiv w:val="1"/>
      <w:marLeft w:val="0"/>
      <w:marRight w:val="0"/>
      <w:marTop w:val="0"/>
      <w:marBottom w:val="0"/>
      <w:divBdr>
        <w:top w:val="none" w:sz="0" w:space="0" w:color="auto"/>
        <w:left w:val="none" w:sz="0" w:space="0" w:color="auto"/>
        <w:bottom w:val="none" w:sz="0" w:space="0" w:color="auto"/>
        <w:right w:val="none" w:sz="0" w:space="0" w:color="auto"/>
      </w:divBdr>
    </w:div>
    <w:div w:id="751120576">
      <w:bodyDiv w:val="1"/>
      <w:marLeft w:val="0"/>
      <w:marRight w:val="0"/>
      <w:marTop w:val="0"/>
      <w:marBottom w:val="0"/>
      <w:divBdr>
        <w:top w:val="none" w:sz="0" w:space="0" w:color="auto"/>
        <w:left w:val="none" w:sz="0" w:space="0" w:color="auto"/>
        <w:bottom w:val="none" w:sz="0" w:space="0" w:color="auto"/>
        <w:right w:val="none" w:sz="0" w:space="0" w:color="auto"/>
      </w:divBdr>
    </w:div>
    <w:div w:id="802624480">
      <w:bodyDiv w:val="1"/>
      <w:marLeft w:val="0"/>
      <w:marRight w:val="0"/>
      <w:marTop w:val="0"/>
      <w:marBottom w:val="0"/>
      <w:divBdr>
        <w:top w:val="none" w:sz="0" w:space="0" w:color="auto"/>
        <w:left w:val="none" w:sz="0" w:space="0" w:color="auto"/>
        <w:bottom w:val="none" w:sz="0" w:space="0" w:color="auto"/>
        <w:right w:val="none" w:sz="0" w:space="0" w:color="auto"/>
      </w:divBdr>
      <w:divsChild>
        <w:div w:id="1349986985">
          <w:marLeft w:val="0"/>
          <w:marRight w:val="0"/>
          <w:marTop w:val="0"/>
          <w:marBottom w:val="0"/>
          <w:divBdr>
            <w:top w:val="none" w:sz="0" w:space="0" w:color="auto"/>
            <w:left w:val="none" w:sz="0" w:space="0" w:color="auto"/>
            <w:bottom w:val="none" w:sz="0" w:space="0" w:color="auto"/>
            <w:right w:val="none" w:sz="0" w:space="0" w:color="auto"/>
          </w:divBdr>
          <w:divsChild>
            <w:div w:id="1898465948">
              <w:marLeft w:val="0"/>
              <w:marRight w:val="0"/>
              <w:marTop w:val="0"/>
              <w:marBottom w:val="0"/>
              <w:divBdr>
                <w:top w:val="none" w:sz="0" w:space="0" w:color="auto"/>
                <w:left w:val="none" w:sz="0" w:space="0" w:color="auto"/>
                <w:bottom w:val="none" w:sz="0" w:space="0" w:color="auto"/>
                <w:right w:val="none" w:sz="0" w:space="0" w:color="auto"/>
              </w:divBdr>
              <w:divsChild>
                <w:div w:id="1743915272">
                  <w:marLeft w:val="0"/>
                  <w:marRight w:val="0"/>
                  <w:marTop w:val="0"/>
                  <w:marBottom w:val="0"/>
                  <w:divBdr>
                    <w:top w:val="none" w:sz="0" w:space="0" w:color="auto"/>
                    <w:left w:val="none" w:sz="0" w:space="0" w:color="auto"/>
                    <w:bottom w:val="none" w:sz="0" w:space="0" w:color="auto"/>
                    <w:right w:val="none" w:sz="0" w:space="0" w:color="auto"/>
                  </w:divBdr>
                  <w:divsChild>
                    <w:div w:id="806314437">
                      <w:marLeft w:val="0"/>
                      <w:marRight w:val="0"/>
                      <w:marTop w:val="0"/>
                      <w:marBottom w:val="0"/>
                      <w:divBdr>
                        <w:top w:val="none" w:sz="0" w:space="0" w:color="auto"/>
                        <w:left w:val="none" w:sz="0" w:space="0" w:color="auto"/>
                        <w:bottom w:val="none" w:sz="0" w:space="0" w:color="auto"/>
                        <w:right w:val="none" w:sz="0" w:space="0" w:color="auto"/>
                      </w:divBdr>
                      <w:divsChild>
                        <w:div w:id="1668702730">
                          <w:marLeft w:val="0"/>
                          <w:marRight w:val="0"/>
                          <w:marTop w:val="0"/>
                          <w:marBottom w:val="0"/>
                          <w:divBdr>
                            <w:top w:val="none" w:sz="0" w:space="0" w:color="auto"/>
                            <w:left w:val="none" w:sz="0" w:space="0" w:color="auto"/>
                            <w:bottom w:val="none" w:sz="0" w:space="0" w:color="auto"/>
                            <w:right w:val="none" w:sz="0" w:space="0" w:color="auto"/>
                          </w:divBdr>
                          <w:divsChild>
                            <w:div w:id="638876386">
                              <w:marLeft w:val="0"/>
                              <w:marRight w:val="0"/>
                              <w:marTop w:val="0"/>
                              <w:marBottom w:val="0"/>
                              <w:divBdr>
                                <w:top w:val="none" w:sz="0" w:space="0" w:color="auto"/>
                                <w:left w:val="none" w:sz="0" w:space="0" w:color="auto"/>
                                <w:bottom w:val="none" w:sz="0" w:space="0" w:color="auto"/>
                                <w:right w:val="none" w:sz="0" w:space="0" w:color="auto"/>
                              </w:divBdr>
                              <w:divsChild>
                                <w:div w:id="1124694262">
                                  <w:marLeft w:val="0"/>
                                  <w:marRight w:val="0"/>
                                  <w:marTop w:val="0"/>
                                  <w:marBottom w:val="0"/>
                                  <w:divBdr>
                                    <w:top w:val="none" w:sz="0" w:space="0" w:color="auto"/>
                                    <w:left w:val="none" w:sz="0" w:space="0" w:color="auto"/>
                                    <w:bottom w:val="none" w:sz="0" w:space="0" w:color="auto"/>
                                    <w:right w:val="none" w:sz="0" w:space="0" w:color="auto"/>
                                  </w:divBdr>
                                  <w:divsChild>
                                    <w:div w:id="2015834844">
                                      <w:marLeft w:val="240"/>
                                      <w:marRight w:val="240"/>
                                      <w:marTop w:val="240"/>
                                      <w:marBottom w:val="0"/>
                                      <w:divBdr>
                                        <w:top w:val="none" w:sz="0" w:space="0" w:color="auto"/>
                                        <w:left w:val="none" w:sz="0" w:space="0" w:color="auto"/>
                                        <w:bottom w:val="none" w:sz="0" w:space="0" w:color="auto"/>
                                        <w:right w:val="none" w:sz="0" w:space="0" w:color="auto"/>
                                      </w:divBdr>
                                      <w:divsChild>
                                        <w:div w:id="765424141">
                                          <w:marLeft w:val="0"/>
                                          <w:marRight w:val="0"/>
                                          <w:marTop w:val="0"/>
                                          <w:marBottom w:val="0"/>
                                          <w:divBdr>
                                            <w:top w:val="none" w:sz="0" w:space="0" w:color="auto"/>
                                            <w:left w:val="none" w:sz="0" w:space="0" w:color="auto"/>
                                            <w:bottom w:val="none" w:sz="0" w:space="0" w:color="auto"/>
                                            <w:right w:val="none" w:sz="0" w:space="0" w:color="auto"/>
                                          </w:divBdr>
                                          <w:divsChild>
                                            <w:div w:id="20018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632204">
      <w:bodyDiv w:val="1"/>
      <w:marLeft w:val="0"/>
      <w:marRight w:val="0"/>
      <w:marTop w:val="0"/>
      <w:marBottom w:val="0"/>
      <w:divBdr>
        <w:top w:val="none" w:sz="0" w:space="0" w:color="auto"/>
        <w:left w:val="none" w:sz="0" w:space="0" w:color="auto"/>
        <w:bottom w:val="none" w:sz="0" w:space="0" w:color="auto"/>
        <w:right w:val="none" w:sz="0" w:space="0" w:color="auto"/>
      </w:divBdr>
    </w:div>
    <w:div w:id="877664117">
      <w:bodyDiv w:val="1"/>
      <w:marLeft w:val="0"/>
      <w:marRight w:val="0"/>
      <w:marTop w:val="0"/>
      <w:marBottom w:val="0"/>
      <w:divBdr>
        <w:top w:val="none" w:sz="0" w:space="0" w:color="auto"/>
        <w:left w:val="none" w:sz="0" w:space="0" w:color="auto"/>
        <w:bottom w:val="none" w:sz="0" w:space="0" w:color="auto"/>
        <w:right w:val="none" w:sz="0" w:space="0" w:color="auto"/>
      </w:divBdr>
    </w:div>
    <w:div w:id="1080980737">
      <w:bodyDiv w:val="1"/>
      <w:marLeft w:val="0"/>
      <w:marRight w:val="0"/>
      <w:marTop w:val="0"/>
      <w:marBottom w:val="0"/>
      <w:divBdr>
        <w:top w:val="none" w:sz="0" w:space="0" w:color="auto"/>
        <w:left w:val="none" w:sz="0" w:space="0" w:color="auto"/>
        <w:bottom w:val="none" w:sz="0" w:space="0" w:color="auto"/>
        <w:right w:val="none" w:sz="0" w:space="0" w:color="auto"/>
      </w:divBdr>
    </w:div>
    <w:div w:id="1200360310">
      <w:bodyDiv w:val="1"/>
      <w:marLeft w:val="0"/>
      <w:marRight w:val="0"/>
      <w:marTop w:val="0"/>
      <w:marBottom w:val="0"/>
      <w:divBdr>
        <w:top w:val="none" w:sz="0" w:space="0" w:color="auto"/>
        <w:left w:val="none" w:sz="0" w:space="0" w:color="auto"/>
        <w:bottom w:val="none" w:sz="0" w:space="0" w:color="auto"/>
        <w:right w:val="none" w:sz="0" w:space="0" w:color="auto"/>
      </w:divBdr>
    </w:div>
    <w:div w:id="1257251822">
      <w:bodyDiv w:val="1"/>
      <w:marLeft w:val="0"/>
      <w:marRight w:val="0"/>
      <w:marTop w:val="0"/>
      <w:marBottom w:val="0"/>
      <w:divBdr>
        <w:top w:val="none" w:sz="0" w:space="0" w:color="auto"/>
        <w:left w:val="none" w:sz="0" w:space="0" w:color="auto"/>
        <w:bottom w:val="none" w:sz="0" w:space="0" w:color="auto"/>
        <w:right w:val="none" w:sz="0" w:space="0" w:color="auto"/>
      </w:divBdr>
    </w:div>
    <w:div w:id="1280644195">
      <w:bodyDiv w:val="1"/>
      <w:marLeft w:val="0"/>
      <w:marRight w:val="0"/>
      <w:marTop w:val="0"/>
      <w:marBottom w:val="0"/>
      <w:divBdr>
        <w:top w:val="none" w:sz="0" w:space="0" w:color="auto"/>
        <w:left w:val="none" w:sz="0" w:space="0" w:color="auto"/>
        <w:bottom w:val="none" w:sz="0" w:space="0" w:color="auto"/>
        <w:right w:val="none" w:sz="0" w:space="0" w:color="auto"/>
      </w:divBdr>
      <w:divsChild>
        <w:div w:id="91513324">
          <w:marLeft w:val="0"/>
          <w:marRight w:val="0"/>
          <w:marTop w:val="0"/>
          <w:marBottom w:val="0"/>
          <w:divBdr>
            <w:top w:val="none" w:sz="0" w:space="0" w:color="auto"/>
            <w:left w:val="none" w:sz="0" w:space="0" w:color="auto"/>
            <w:bottom w:val="none" w:sz="0" w:space="0" w:color="auto"/>
            <w:right w:val="none" w:sz="0" w:space="0" w:color="auto"/>
          </w:divBdr>
          <w:divsChild>
            <w:div w:id="1627197685">
              <w:marLeft w:val="0"/>
              <w:marRight w:val="0"/>
              <w:marTop w:val="0"/>
              <w:marBottom w:val="0"/>
              <w:divBdr>
                <w:top w:val="none" w:sz="0" w:space="0" w:color="auto"/>
                <w:left w:val="none" w:sz="0" w:space="0" w:color="auto"/>
                <w:bottom w:val="none" w:sz="0" w:space="0" w:color="auto"/>
                <w:right w:val="none" w:sz="0" w:space="0" w:color="auto"/>
              </w:divBdr>
              <w:divsChild>
                <w:div w:id="1674406411">
                  <w:marLeft w:val="0"/>
                  <w:marRight w:val="0"/>
                  <w:marTop w:val="0"/>
                  <w:marBottom w:val="0"/>
                  <w:divBdr>
                    <w:top w:val="none" w:sz="0" w:space="0" w:color="auto"/>
                    <w:left w:val="none" w:sz="0" w:space="0" w:color="auto"/>
                    <w:bottom w:val="none" w:sz="0" w:space="0" w:color="auto"/>
                    <w:right w:val="none" w:sz="0" w:space="0" w:color="auto"/>
                  </w:divBdr>
                  <w:divsChild>
                    <w:div w:id="836312996">
                      <w:marLeft w:val="0"/>
                      <w:marRight w:val="0"/>
                      <w:marTop w:val="0"/>
                      <w:marBottom w:val="0"/>
                      <w:divBdr>
                        <w:top w:val="none" w:sz="0" w:space="0" w:color="auto"/>
                        <w:left w:val="none" w:sz="0" w:space="0" w:color="auto"/>
                        <w:bottom w:val="none" w:sz="0" w:space="0" w:color="auto"/>
                        <w:right w:val="none" w:sz="0" w:space="0" w:color="auto"/>
                      </w:divBdr>
                      <w:divsChild>
                        <w:div w:id="2087190869">
                          <w:marLeft w:val="0"/>
                          <w:marRight w:val="0"/>
                          <w:marTop w:val="0"/>
                          <w:marBottom w:val="0"/>
                          <w:divBdr>
                            <w:top w:val="none" w:sz="0" w:space="0" w:color="auto"/>
                            <w:left w:val="none" w:sz="0" w:space="0" w:color="auto"/>
                            <w:bottom w:val="none" w:sz="0" w:space="0" w:color="auto"/>
                            <w:right w:val="none" w:sz="0" w:space="0" w:color="auto"/>
                          </w:divBdr>
                          <w:divsChild>
                            <w:div w:id="463157996">
                              <w:marLeft w:val="0"/>
                              <w:marRight w:val="0"/>
                              <w:marTop w:val="0"/>
                              <w:marBottom w:val="0"/>
                              <w:divBdr>
                                <w:top w:val="none" w:sz="0" w:space="0" w:color="auto"/>
                                <w:left w:val="none" w:sz="0" w:space="0" w:color="auto"/>
                                <w:bottom w:val="none" w:sz="0" w:space="0" w:color="auto"/>
                                <w:right w:val="none" w:sz="0" w:space="0" w:color="auto"/>
                              </w:divBdr>
                              <w:divsChild>
                                <w:div w:id="1433479345">
                                  <w:marLeft w:val="0"/>
                                  <w:marRight w:val="0"/>
                                  <w:marTop w:val="0"/>
                                  <w:marBottom w:val="0"/>
                                  <w:divBdr>
                                    <w:top w:val="none" w:sz="0" w:space="0" w:color="auto"/>
                                    <w:left w:val="none" w:sz="0" w:space="0" w:color="auto"/>
                                    <w:bottom w:val="none" w:sz="0" w:space="0" w:color="auto"/>
                                    <w:right w:val="none" w:sz="0" w:space="0" w:color="auto"/>
                                  </w:divBdr>
                                  <w:divsChild>
                                    <w:div w:id="307513141">
                                      <w:marLeft w:val="240"/>
                                      <w:marRight w:val="240"/>
                                      <w:marTop w:val="240"/>
                                      <w:marBottom w:val="0"/>
                                      <w:divBdr>
                                        <w:top w:val="none" w:sz="0" w:space="0" w:color="auto"/>
                                        <w:left w:val="none" w:sz="0" w:space="0" w:color="auto"/>
                                        <w:bottom w:val="none" w:sz="0" w:space="0" w:color="auto"/>
                                        <w:right w:val="none" w:sz="0" w:space="0" w:color="auto"/>
                                      </w:divBdr>
                                      <w:divsChild>
                                        <w:div w:id="397750493">
                                          <w:marLeft w:val="0"/>
                                          <w:marRight w:val="0"/>
                                          <w:marTop w:val="0"/>
                                          <w:marBottom w:val="0"/>
                                          <w:divBdr>
                                            <w:top w:val="none" w:sz="0" w:space="0" w:color="auto"/>
                                            <w:left w:val="none" w:sz="0" w:space="0" w:color="auto"/>
                                            <w:bottom w:val="none" w:sz="0" w:space="0" w:color="auto"/>
                                            <w:right w:val="none" w:sz="0" w:space="0" w:color="auto"/>
                                          </w:divBdr>
                                          <w:divsChild>
                                            <w:div w:id="1767268466">
                                              <w:marLeft w:val="0"/>
                                              <w:marRight w:val="0"/>
                                              <w:marTop w:val="0"/>
                                              <w:marBottom w:val="0"/>
                                              <w:divBdr>
                                                <w:top w:val="none" w:sz="0" w:space="0" w:color="auto"/>
                                                <w:left w:val="none" w:sz="0" w:space="0" w:color="auto"/>
                                                <w:bottom w:val="none" w:sz="0" w:space="0" w:color="auto"/>
                                                <w:right w:val="none" w:sz="0" w:space="0" w:color="auto"/>
                                              </w:divBdr>
                                              <w:divsChild>
                                                <w:div w:id="3520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411075">
      <w:bodyDiv w:val="1"/>
      <w:marLeft w:val="0"/>
      <w:marRight w:val="0"/>
      <w:marTop w:val="0"/>
      <w:marBottom w:val="0"/>
      <w:divBdr>
        <w:top w:val="none" w:sz="0" w:space="0" w:color="auto"/>
        <w:left w:val="none" w:sz="0" w:space="0" w:color="auto"/>
        <w:bottom w:val="none" w:sz="0" w:space="0" w:color="auto"/>
        <w:right w:val="none" w:sz="0" w:space="0" w:color="auto"/>
      </w:divBdr>
    </w:div>
    <w:div w:id="1323779025">
      <w:bodyDiv w:val="1"/>
      <w:marLeft w:val="0"/>
      <w:marRight w:val="0"/>
      <w:marTop w:val="0"/>
      <w:marBottom w:val="0"/>
      <w:divBdr>
        <w:top w:val="none" w:sz="0" w:space="0" w:color="auto"/>
        <w:left w:val="none" w:sz="0" w:space="0" w:color="auto"/>
        <w:bottom w:val="none" w:sz="0" w:space="0" w:color="auto"/>
        <w:right w:val="none" w:sz="0" w:space="0" w:color="auto"/>
      </w:divBdr>
    </w:div>
    <w:div w:id="1344743676">
      <w:bodyDiv w:val="1"/>
      <w:marLeft w:val="0"/>
      <w:marRight w:val="0"/>
      <w:marTop w:val="0"/>
      <w:marBottom w:val="0"/>
      <w:divBdr>
        <w:top w:val="none" w:sz="0" w:space="0" w:color="auto"/>
        <w:left w:val="none" w:sz="0" w:space="0" w:color="auto"/>
        <w:bottom w:val="none" w:sz="0" w:space="0" w:color="auto"/>
        <w:right w:val="none" w:sz="0" w:space="0" w:color="auto"/>
      </w:divBdr>
    </w:div>
    <w:div w:id="1357123904">
      <w:bodyDiv w:val="1"/>
      <w:marLeft w:val="0"/>
      <w:marRight w:val="0"/>
      <w:marTop w:val="0"/>
      <w:marBottom w:val="0"/>
      <w:divBdr>
        <w:top w:val="none" w:sz="0" w:space="0" w:color="auto"/>
        <w:left w:val="none" w:sz="0" w:space="0" w:color="auto"/>
        <w:bottom w:val="none" w:sz="0" w:space="0" w:color="auto"/>
        <w:right w:val="none" w:sz="0" w:space="0" w:color="auto"/>
      </w:divBdr>
    </w:div>
    <w:div w:id="1366758214">
      <w:bodyDiv w:val="1"/>
      <w:marLeft w:val="0"/>
      <w:marRight w:val="0"/>
      <w:marTop w:val="0"/>
      <w:marBottom w:val="0"/>
      <w:divBdr>
        <w:top w:val="none" w:sz="0" w:space="0" w:color="auto"/>
        <w:left w:val="none" w:sz="0" w:space="0" w:color="auto"/>
        <w:bottom w:val="none" w:sz="0" w:space="0" w:color="auto"/>
        <w:right w:val="none" w:sz="0" w:space="0" w:color="auto"/>
      </w:divBdr>
    </w:div>
    <w:div w:id="1426532057">
      <w:bodyDiv w:val="1"/>
      <w:marLeft w:val="0"/>
      <w:marRight w:val="0"/>
      <w:marTop w:val="0"/>
      <w:marBottom w:val="0"/>
      <w:divBdr>
        <w:top w:val="none" w:sz="0" w:space="0" w:color="auto"/>
        <w:left w:val="none" w:sz="0" w:space="0" w:color="auto"/>
        <w:bottom w:val="none" w:sz="0" w:space="0" w:color="auto"/>
        <w:right w:val="none" w:sz="0" w:space="0" w:color="auto"/>
      </w:divBdr>
    </w:div>
    <w:div w:id="1484808767">
      <w:bodyDiv w:val="1"/>
      <w:marLeft w:val="0"/>
      <w:marRight w:val="0"/>
      <w:marTop w:val="0"/>
      <w:marBottom w:val="0"/>
      <w:divBdr>
        <w:top w:val="none" w:sz="0" w:space="0" w:color="auto"/>
        <w:left w:val="none" w:sz="0" w:space="0" w:color="auto"/>
        <w:bottom w:val="none" w:sz="0" w:space="0" w:color="auto"/>
        <w:right w:val="none" w:sz="0" w:space="0" w:color="auto"/>
      </w:divBdr>
    </w:div>
    <w:div w:id="1643273786">
      <w:bodyDiv w:val="1"/>
      <w:marLeft w:val="0"/>
      <w:marRight w:val="0"/>
      <w:marTop w:val="0"/>
      <w:marBottom w:val="0"/>
      <w:divBdr>
        <w:top w:val="none" w:sz="0" w:space="0" w:color="auto"/>
        <w:left w:val="none" w:sz="0" w:space="0" w:color="auto"/>
        <w:bottom w:val="none" w:sz="0" w:space="0" w:color="auto"/>
        <w:right w:val="none" w:sz="0" w:space="0" w:color="auto"/>
      </w:divBdr>
      <w:divsChild>
        <w:div w:id="1053624880">
          <w:marLeft w:val="0"/>
          <w:marRight w:val="0"/>
          <w:marTop w:val="0"/>
          <w:marBottom w:val="0"/>
          <w:divBdr>
            <w:top w:val="none" w:sz="0" w:space="0" w:color="auto"/>
            <w:left w:val="none" w:sz="0" w:space="0" w:color="auto"/>
            <w:bottom w:val="none" w:sz="0" w:space="0" w:color="auto"/>
            <w:right w:val="none" w:sz="0" w:space="0" w:color="auto"/>
          </w:divBdr>
          <w:divsChild>
            <w:div w:id="1083643487">
              <w:marLeft w:val="0"/>
              <w:marRight w:val="0"/>
              <w:marTop w:val="0"/>
              <w:marBottom w:val="0"/>
              <w:divBdr>
                <w:top w:val="none" w:sz="0" w:space="0" w:color="auto"/>
                <w:left w:val="none" w:sz="0" w:space="0" w:color="auto"/>
                <w:bottom w:val="none" w:sz="0" w:space="0" w:color="auto"/>
                <w:right w:val="none" w:sz="0" w:space="0" w:color="auto"/>
              </w:divBdr>
              <w:divsChild>
                <w:div w:id="728265251">
                  <w:marLeft w:val="0"/>
                  <w:marRight w:val="0"/>
                  <w:marTop w:val="0"/>
                  <w:marBottom w:val="0"/>
                  <w:divBdr>
                    <w:top w:val="none" w:sz="0" w:space="0" w:color="auto"/>
                    <w:left w:val="none" w:sz="0" w:space="0" w:color="auto"/>
                    <w:bottom w:val="none" w:sz="0" w:space="0" w:color="auto"/>
                    <w:right w:val="none" w:sz="0" w:space="0" w:color="auto"/>
                  </w:divBdr>
                  <w:divsChild>
                    <w:div w:id="2024479840">
                      <w:marLeft w:val="0"/>
                      <w:marRight w:val="0"/>
                      <w:marTop w:val="0"/>
                      <w:marBottom w:val="0"/>
                      <w:divBdr>
                        <w:top w:val="none" w:sz="0" w:space="0" w:color="auto"/>
                        <w:left w:val="none" w:sz="0" w:space="0" w:color="auto"/>
                        <w:bottom w:val="none" w:sz="0" w:space="0" w:color="auto"/>
                        <w:right w:val="none" w:sz="0" w:space="0" w:color="auto"/>
                      </w:divBdr>
                      <w:divsChild>
                        <w:div w:id="1370836794">
                          <w:marLeft w:val="0"/>
                          <w:marRight w:val="0"/>
                          <w:marTop w:val="0"/>
                          <w:marBottom w:val="0"/>
                          <w:divBdr>
                            <w:top w:val="none" w:sz="0" w:space="0" w:color="auto"/>
                            <w:left w:val="none" w:sz="0" w:space="0" w:color="auto"/>
                            <w:bottom w:val="none" w:sz="0" w:space="0" w:color="auto"/>
                            <w:right w:val="none" w:sz="0" w:space="0" w:color="auto"/>
                          </w:divBdr>
                          <w:divsChild>
                            <w:div w:id="218563459">
                              <w:marLeft w:val="0"/>
                              <w:marRight w:val="0"/>
                              <w:marTop w:val="0"/>
                              <w:marBottom w:val="0"/>
                              <w:divBdr>
                                <w:top w:val="none" w:sz="0" w:space="0" w:color="auto"/>
                                <w:left w:val="none" w:sz="0" w:space="0" w:color="auto"/>
                                <w:bottom w:val="none" w:sz="0" w:space="0" w:color="auto"/>
                                <w:right w:val="none" w:sz="0" w:space="0" w:color="auto"/>
                              </w:divBdr>
                              <w:divsChild>
                                <w:div w:id="1821143899">
                                  <w:marLeft w:val="0"/>
                                  <w:marRight w:val="0"/>
                                  <w:marTop w:val="0"/>
                                  <w:marBottom w:val="0"/>
                                  <w:divBdr>
                                    <w:top w:val="none" w:sz="0" w:space="0" w:color="auto"/>
                                    <w:left w:val="none" w:sz="0" w:space="0" w:color="auto"/>
                                    <w:bottom w:val="none" w:sz="0" w:space="0" w:color="auto"/>
                                    <w:right w:val="none" w:sz="0" w:space="0" w:color="auto"/>
                                  </w:divBdr>
                                  <w:divsChild>
                                    <w:div w:id="162285719">
                                      <w:marLeft w:val="240"/>
                                      <w:marRight w:val="240"/>
                                      <w:marTop w:val="240"/>
                                      <w:marBottom w:val="0"/>
                                      <w:divBdr>
                                        <w:top w:val="none" w:sz="0" w:space="0" w:color="auto"/>
                                        <w:left w:val="none" w:sz="0" w:space="0" w:color="auto"/>
                                        <w:bottom w:val="none" w:sz="0" w:space="0" w:color="auto"/>
                                        <w:right w:val="none" w:sz="0" w:space="0" w:color="auto"/>
                                      </w:divBdr>
                                      <w:divsChild>
                                        <w:div w:id="1516529111">
                                          <w:marLeft w:val="0"/>
                                          <w:marRight w:val="0"/>
                                          <w:marTop w:val="0"/>
                                          <w:marBottom w:val="0"/>
                                          <w:divBdr>
                                            <w:top w:val="none" w:sz="0" w:space="0" w:color="auto"/>
                                            <w:left w:val="none" w:sz="0" w:space="0" w:color="auto"/>
                                            <w:bottom w:val="none" w:sz="0" w:space="0" w:color="auto"/>
                                            <w:right w:val="none" w:sz="0" w:space="0" w:color="auto"/>
                                          </w:divBdr>
                                          <w:divsChild>
                                            <w:div w:id="19315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129236">
      <w:bodyDiv w:val="1"/>
      <w:marLeft w:val="0"/>
      <w:marRight w:val="0"/>
      <w:marTop w:val="0"/>
      <w:marBottom w:val="0"/>
      <w:divBdr>
        <w:top w:val="none" w:sz="0" w:space="0" w:color="auto"/>
        <w:left w:val="none" w:sz="0" w:space="0" w:color="auto"/>
        <w:bottom w:val="none" w:sz="0" w:space="0" w:color="auto"/>
        <w:right w:val="none" w:sz="0" w:space="0" w:color="auto"/>
      </w:divBdr>
    </w:div>
    <w:div w:id="1800877324">
      <w:bodyDiv w:val="1"/>
      <w:marLeft w:val="0"/>
      <w:marRight w:val="0"/>
      <w:marTop w:val="0"/>
      <w:marBottom w:val="0"/>
      <w:divBdr>
        <w:top w:val="none" w:sz="0" w:space="0" w:color="auto"/>
        <w:left w:val="none" w:sz="0" w:space="0" w:color="auto"/>
        <w:bottom w:val="none" w:sz="0" w:space="0" w:color="auto"/>
        <w:right w:val="none" w:sz="0" w:space="0" w:color="auto"/>
      </w:divBdr>
    </w:div>
    <w:div w:id="1873378362">
      <w:bodyDiv w:val="1"/>
      <w:marLeft w:val="0"/>
      <w:marRight w:val="0"/>
      <w:marTop w:val="0"/>
      <w:marBottom w:val="0"/>
      <w:divBdr>
        <w:top w:val="none" w:sz="0" w:space="0" w:color="auto"/>
        <w:left w:val="none" w:sz="0" w:space="0" w:color="auto"/>
        <w:bottom w:val="none" w:sz="0" w:space="0" w:color="auto"/>
        <w:right w:val="none" w:sz="0" w:space="0" w:color="auto"/>
      </w:divBdr>
    </w:div>
    <w:div w:id="1888834639">
      <w:bodyDiv w:val="1"/>
      <w:marLeft w:val="0"/>
      <w:marRight w:val="0"/>
      <w:marTop w:val="0"/>
      <w:marBottom w:val="0"/>
      <w:divBdr>
        <w:top w:val="none" w:sz="0" w:space="0" w:color="auto"/>
        <w:left w:val="none" w:sz="0" w:space="0" w:color="auto"/>
        <w:bottom w:val="none" w:sz="0" w:space="0" w:color="auto"/>
        <w:right w:val="none" w:sz="0" w:space="0" w:color="auto"/>
      </w:divBdr>
      <w:divsChild>
        <w:div w:id="1926569238">
          <w:marLeft w:val="0"/>
          <w:marRight w:val="0"/>
          <w:marTop w:val="0"/>
          <w:marBottom w:val="0"/>
          <w:divBdr>
            <w:top w:val="none" w:sz="0" w:space="0" w:color="auto"/>
            <w:left w:val="none" w:sz="0" w:space="0" w:color="auto"/>
            <w:bottom w:val="none" w:sz="0" w:space="0" w:color="auto"/>
            <w:right w:val="none" w:sz="0" w:space="0" w:color="auto"/>
          </w:divBdr>
          <w:divsChild>
            <w:div w:id="109520855">
              <w:marLeft w:val="0"/>
              <w:marRight w:val="0"/>
              <w:marTop w:val="0"/>
              <w:marBottom w:val="0"/>
              <w:divBdr>
                <w:top w:val="none" w:sz="0" w:space="0" w:color="auto"/>
                <w:left w:val="none" w:sz="0" w:space="0" w:color="auto"/>
                <w:bottom w:val="none" w:sz="0" w:space="0" w:color="auto"/>
                <w:right w:val="none" w:sz="0" w:space="0" w:color="auto"/>
              </w:divBdr>
              <w:divsChild>
                <w:div w:id="395514144">
                  <w:marLeft w:val="0"/>
                  <w:marRight w:val="0"/>
                  <w:marTop w:val="0"/>
                  <w:marBottom w:val="0"/>
                  <w:divBdr>
                    <w:top w:val="none" w:sz="0" w:space="0" w:color="auto"/>
                    <w:left w:val="none" w:sz="0" w:space="0" w:color="auto"/>
                    <w:bottom w:val="none" w:sz="0" w:space="0" w:color="auto"/>
                    <w:right w:val="none" w:sz="0" w:space="0" w:color="auto"/>
                  </w:divBdr>
                  <w:divsChild>
                    <w:div w:id="936641163">
                      <w:marLeft w:val="0"/>
                      <w:marRight w:val="0"/>
                      <w:marTop w:val="0"/>
                      <w:marBottom w:val="0"/>
                      <w:divBdr>
                        <w:top w:val="none" w:sz="0" w:space="0" w:color="auto"/>
                        <w:left w:val="none" w:sz="0" w:space="0" w:color="auto"/>
                        <w:bottom w:val="none" w:sz="0" w:space="0" w:color="auto"/>
                        <w:right w:val="none" w:sz="0" w:space="0" w:color="auto"/>
                      </w:divBdr>
                      <w:divsChild>
                        <w:div w:id="15886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31753">
      <w:bodyDiv w:val="1"/>
      <w:marLeft w:val="0"/>
      <w:marRight w:val="0"/>
      <w:marTop w:val="0"/>
      <w:marBottom w:val="0"/>
      <w:divBdr>
        <w:top w:val="none" w:sz="0" w:space="0" w:color="auto"/>
        <w:left w:val="none" w:sz="0" w:space="0" w:color="auto"/>
        <w:bottom w:val="none" w:sz="0" w:space="0" w:color="auto"/>
        <w:right w:val="none" w:sz="0" w:space="0" w:color="auto"/>
      </w:divBdr>
    </w:div>
    <w:div w:id="2074962162">
      <w:bodyDiv w:val="1"/>
      <w:marLeft w:val="0"/>
      <w:marRight w:val="0"/>
      <w:marTop w:val="0"/>
      <w:marBottom w:val="0"/>
      <w:divBdr>
        <w:top w:val="none" w:sz="0" w:space="0" w:color="auto"/>
        <w:left w:val="none" w:sz="0" w:space="0" w:color="auto"/>
        <w:bottom w:val="none" w:sz="0" w:space="0" w:color="auto"/>
        <w:right w:val="none" w:sz="0" w:space="0" w:color="auto"/>
      </w:divBdr>
      <w:divsChild>
        <w:div w:id="1882746884">
          <w:marLeft w:val="0"/>
          <w:marRight w:val="0"/>
          <w:marTop w:val="0"/>
          <w:marBottom w:val="0"/>
          <w:divBdr>
            <w:top w:val="none" w:sz="0" w:space="0" w:color="auto"/>
            <w:left w:val="none" w:sz="0" w:space="0" w:color="auto"/>
            <w:bottom w:val="none" w:sz="0" w:space="0" w:color="auto"/>
            <w:right w:val="none" w:sz="0" w:space="0" w:color="auto"/>
          </w:divBdr>
          <w:divsChild>
            <w:div w:id="207423942">
              <w:marLeft w:val="0"/>
              <w:marRight w:val="0"/>
              <w:marTop w:val="0"/>
              <w:marBottom w:val="0"/>
              <w:divBdr>
                <w:top w:val="none" w:sz="0" w:space="0" w:color="auto"/>
                <w:left w:val="none" w:sz="0" w:space="0" w:color="auto"/>
                <w:bottom w:val="none" w:sz="0" w:space="0" w:color="auto"/>
                <w:right w:val="none" w:sz="0" w:space="0" w:color="auto"/>
              </w:divBdr>
              <w:divsChild>
                <w:div w:id="1952662723">
                  <w:marLeft w:val="0"/>
                  <w:marRight w:val="0"/>
                  <w:marTop w:val="0"/>
                  <w:marBottom w:val="0"/>
                  <w:divBdr>
                    <w:top w:val="none" w:sz="0" w:space="0" w:color="auto"/>
                    <w:left w:val="none" w:sz="0" w:space="0" w:color="auto"/>
                    <w:bottom w:val="none" w:sz="0" w:space="0" w:color="auto"/>
                    <w:right w:val="none" w:sz="0" w:space="0" w:color="auto"/>
                  </w:divBdr>
                  <w:divsChild>
                    <w:div w:id="330105285">
                      <w:marLeft w:val="0"/>
                      <w:marRight w:val="0"/>
                      <w:marTop w:val="0"/>
                      <w:marBottom w:val="0"/>
                      <w:divBdr>
                        <w:top w:val="none" w:sz="0" w:space="0" w:color="auto"/>
                        <w:left w:val="none" w:sz="0" w:space="0" w:color="auto"/>
                        <w:bottom w:val="none" w:sz="0" w:space="0" w:color="auto"/>
                        <w:right w:val="none" w:sz="0" w:space="0" w:color="auto"/>
                      </w:divBdr>
                      <w:divsChild>
                        <w:div w:id="742223213">
                          <w:marLeft w:val="0"/>
                          <w:marRight w:val="0"/>
                          <w:marTop w:val="0"/>
                          <w:marBottom w:val="0"/>
                          <w:divBdr>
                            <w:top w:val="none" w:sz="0" w:space="0" w:color="auto"/>
                            <w:left w:val="none" w:sz="0" w:space="0" w:color="auto"/>
                            <w:bottom w:val="none" w:sz="0" w:space="0" w:color="auto"/>
                            <w:right w:val="none" w:sz="0" w:space="0" w:color="auto"/>
                          </w:divBdr>
                          <w:divsChild>
                            <w:div w:id="2044818841">
                              <w:marLeft w:val="0"/>
                              <w:marRight w:val="0"/>
                              <w:marTop w:val="0"/>
                              <w:marBottom w:val="0"/>
                              <w:divBdr>
                                <w:top w:val="none" w:sz="0" w:space="0" w:color="auto"/>
                                <w:left w:val="none" w:sz="0" w:space="0" w:color="auto"/>
                                <w:bottom w:val="none" w:sz="0" w:space="0" w:color="auto"/>
                                <w:right w:val="none" w:sz="0" w:space="0" w:color="auto"/>
                              </w:divBdr>
                              <w:divsChild>
                                <w:div w:id="1531802312">
                                  <w:marLeft w:val="0"/>
                                  <w:marRight w:val="0"/>
                                  <w:marTop w:val="0"/>
                                  <w:marBottom w:val="0"/>
                                  <w:divBdr>
                                    <w:top w:val="none" w:sz="0" w:space="0" w:color="auto"/>
                                    <w:left w:val="none" w:sz="0" w:space="0" w:color="auto"/>
                                    <w:bottom w:val="none" w:sz="0" w:space="0" w:color="auto"/>
                                    <w:right w:val="none" w:sz="0" w:space="0" w:color="auto"/>
                                  </w:divBdr>
                                  <w:divsChild>
                                    <w:div w:id="901403112">
                                      <w:marLeft w:val="240"/>
                                      <w:marRight w:val="240"/>
                                      <w:marTop w:val="240"/>
                                      <w:marBottom w:val="0"/>
                                      <w:divBdr>
                                        <w:top w:val="none" w:sz="0" w:space="0" w:color="auto"/>
                                        <w:left w:val="none" w:sz="0" w:space="0" w:color="auto"/>
                                        <w:bottom w:val="none" w:sz="0" w:space="0" w:color="auto"/>
                                        <w:right w:val="none" w:sz="0" w:space="0" w:color="auto"/>
                                      </w:divBdr>
                                      <w:divsChild>
                                        <w:div w:id="86581829">
                                          <w:marLeft w:val="0"/>
                                          <w:marRight w:val="0"/>
                                          <w:marTop w:val="0"/>
                                          <w:marBottom w:val="0"/>
                                          <w:divBdr>
                                            <w:top w:val="none" w:sz="0" w:space="0" w:color="auto"/>
                                            <w:left w:val="none" w:sz="0" w:space="0" w:color="auto"/>
                                            <w:bottom w:val="none" w:sz="0" w:space="0" w:color="auto"/>
                                            <w:right w:val="none" w:sz="0" w:space="0" w:color="auto"/>
                                          </w:divBdr>
                                          <w:divsChild>
                                            <w:div w:id="469833770">
                                              <w:marLeft w:val="0"/>
                                              <w:marRight w:val="0"/>
                                              <w:marTop w:val="0"/>
                                              <w:marBottom w:val="0"/>
                                              <w:divBdr>
                                                <w:top w:val="none" w:sz="0" w:space="0" w:color="auto"/>
                                                <w:left w:val="none" w:sz="0" w:space="0" w:color="auto"/>
                                                <w:bottom w:val="none" w:sz="0" w:space="0" w:color="auto"/>
                                                <w:right w:val="none" w:sz="0" w:space="0" w:color="auto"/>
                                              </w:divBdr>
                                              <w:divsChild>
                                                <w:div w:id="1662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8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ymadeeasy.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scer.gov.au/files/2013/09/LMR-Decision-RIS-June-2013.pdf" TargetMode="External"/><Relationship Id="rId2" Type="http://schemas.openxmlformats.org/officeDocument/2006/relationships/hyperlink" Target="http://www.legislation.sa.gov.au" TargetMode="External"/><Relationship Id="rId1" Type="http://schemas.openxmlformats.org/officeDocument/2006/relationships/hyperlink" Target="http://www.aer.gov.au/node/28403" TargetMode="External"/><Relationship Id="rId4" Type="http://schemas.openxmlformats.org/officeDocument/2006/relationships/hyperlink" Target="https://scer.govspace.gov.au/files/2012/12/LMR-Statement-of-Policy-Intent-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09F49-AB63-4B0D-9641-9B30F497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A55DE1B6.dotm</Template>
  <TotalTime>0</TotalTime>
  <Pages>13</Pages>
  <Words>5111</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AER submission on Competition Policy Review draft report </vt:lpstr>
    </vt:vector>
  </TitlesOfParts>
  <Company/>
  <LinksUpToDate>false</LinksUpToDate>
  <CharactersWithSpaces>34176</CharactersWithSpaces>
  <SharedDoc>false</SharedDoc>
  <HLinks>
    <vt:vector size="24" baseType="variant">
      <vt:variant>
        <vt:i4>1376282</vt:i4>
      </vt:variant>
      <vt:variant>
        <vt:i4>9</vt:i4>
      </vt:variant>
      <vt:variant>
        <vt:i4>0</vt:i4>
      </vt:variant>
      <vt:variant>
        <vt:i4>5</vt:i4>
      </vt:variant>
      <vt:variant>
        <vt:lpwstr>http://www.austlii.edu.au/au/cases/cth/ACompT/2009/7.html</vt:lpwstr>
      </vt:variant>
      <vt:variant>
        <vt:lpwstr/>
      </vt:variant>
      <vt:variant>
        <vt:i4>1048602</vt:i4>
      </vt:variant>
      <vt:variant>
        <vt:i4>6</vt:i4>
      </vt:variant>
      <vt:variant>
        <vt:i4>0</vt:i4>
      </vt:variant>
      <vt:variant>
        <vt:i4>5</vt:i4>
      </vt:variant>
      <vt:variant>
        <vt:lpwstr>http://www.austlii.edu.au/au/cases/cth/ACompT/2008/3.html</vt:lpwstr>
      </vt:variant>
      <vt:variant>
        <vt:lpwstr/>
      </vt:variant>
      <vt:variant>
        <vt:i4>1376282</vt:i4>
      </vt:variant>
      <vt:variant>
        <vt:i4>3</vt:i4>
      </vt:variant>
      <vt:variant>
        <vt:i4>0</vt:i4>
      </vt:variant>
      <vt:variant>
        <vt:i4>5</vt:i4>
      </vt:variant>
      <vt:variant>
        <vt:lpwstr>http://www.austlii.edu.au/au/cases/cth/ACompT/2009/7.html</vt:lpwstr>
      </vt:variant>
      <vt:variant>
        <vt:lpwstr/>
      </vt:variant>
      <vt:variant>
        <vt:i4>1048602</vt:i4>
      </vt:variant>
      <vt:variant>
        <vt:i4>0</vt:i4>
      </vt:variant>
      <vt:variant>
        <vt:i4>0</vt:i4>
      </vt:variant>
      <vt:variant>
        <vt:i4>5</vt:i4>
      </vt:variant>
      <vt:variant>
        <vt:lpwstr>http://www.austlii.edu.au/au/cases/cth/ACompT/2008/3.html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submission on Competition Policy Review draft report </dc:title>
  <dc:subject/>
  <dc:creator/>
  <cp:keywords/>
  <dc:description/>
  <cp:lastModifiedBy/>
  <cp:revision>1</cp:revision>
  <dcterms:created xsi:type="dcterms:W3CDTF">2014-11-28T01:06:00Z</dcterms:created>
  <dcterms:modified xsi:type="dcterms:W3CDTF">2014-11-28T01:07:00Z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