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08" w:rsidRPr="00B04D1B" w:rsidRDefault="00826108" w:rsidP="00826108">
      <w:pPr>
        <w:pStyle w:val="BodyText"/>
        <w:ind w:left="2208"/>
        <w:rPr>
          <w:rFonts w:ascii="Times New Roman"/>
        </w:rPr>
      </w:pPr>
      <w:r>
        <w:rPr>
          <w:rFonts w:ascii="Times New Roman"/>
          <w:noProof/>
          <w:lang w:val="en-AU" w:eastAsia="en-AU"/>
        </w:rPr>
        <w:drawing>
          <wp:inline distT="0" distB="0" distL="0" distR="0" wp14:anchorId="5071E060" wp14:editId="3BB9AE19">
            <wp:extent cx="2315152" cy="7732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15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108" w:rsidRDefault="00826108" w:rsidP="00826108">
      <w:pPr>
        <w:pStyle w:val="Heading1"/>
        <w:tabs>
          <w:tab w:val="left" w:pos="7215"/>
        </w:tabs>
        <w:jc w:val="center"/>
        <w:rPr>
          <w:color w:val="231F20"/>
        </w:rPr>
      </w:pPr>
      <w:r>
        <w:rPr>
          <w:color w:val="231F20"/>
        </w:rPr>
        <w:t>AER REFERENCE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GROUP</w:t>
      </w:r>
    </w:p>
    <w:p w:rsidR="00826108" w:rsidRDefault="00826108" w:rsidP="00826108">
      <w:pPr>
        <w:spacing w:before="194"/>
        <w:ind w:right="64"/>
        <w:jc w:val="center"/>
        <w:rPr>
          <w:rFonts w:ascii="Cambria"/>
          <w:b/>
          <w:sz w:val="26"/>
        </w:rPr>
      </w:pPr>
      <w:r>
        <w:rPr>
          <w:rFonts w:ascii="Cambria"/>
          <w:b/>
          <w:color w:val="231F20"/>
          <w:w w:val="105"/>
          <w:sz w:val="26"/>
        </w:rPr>
        <w:t xml:space="preserve">Record of meeting </w:t>
      </w:r>
      <w:r>
        <w:rPr>
          <w:rFonts w:ascii="Cambria"/>
          <w:b/>
          <w:color w:val="231F20"/>
          <w:w w:val="120"/>
          <w:sz w:val="26"/>
        </w:rPr>
        <w:t>–</w:t>
      </w:r>
      <w:r>
        <w:rPr>
          <w:rFonts w:ascii="Cambria"/>
          <w:b/>
          <w:color w:val="231F20"/>
          <w:w w:val="120"/>
          <w:sz w:val="26"/>
        </w:rPr>
        <w:t xml:space="preserve"> </w:t>
      </w:r>
      <w:r w:rsidR="004F72B7">
        <w:rPr>
          <w:rFonts w:ascii="Cambria"/>
          <w:b/>
          <w:color w:val="231F20"/>
          <w:w w:val="105"/>
          <w:sz w:val="26"/>
        </w:rPr>
        <w:t>13 December</w:t>
      </w:r>
      <w:r>
        <w:rPr>
          <w:rFonts w:ascii="Cambria"/>
          <w:b/>
          <w:color w:val="231F20"/>
          <w:w w:val="105"/>
          <w:sz w:val="26"/>
        </w:rPr>
        <w:t xml:space="preserve"> 2017</w:t>
      </w:r>
    </w:p>
    <w:p w:rsidR="00826108" w:rsidRDefault="00826108" w:rsidP="00826108">
      <w:pPr>
        <w:pStyle w:val="BodyText"/>
        <w:rPr>
          <w:rFonts w:ascii="Cambria"/>
          <w:b/>
        </w:rPr>
      </w:pPr>
    </w:p>
    <w:p w:rsidR="00826108" w:rsidRDefault="00826108" w:rsidP="00ED7762">
      <w:pPr>
        <w:pStyle w:val="ListParagraph"/>
        <w:numPr>
          <w:ilvl w:val="0"/>
          <w:numId w:val="46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 w:rsidRPr="00ED7762">
        <w:rPr>
          <w:color w:val="231F20"/>
          <w:w w:val="105"/>
          <w:sz w:val="20"/>
        </w:rPr>
        <w:t>The</w:t>
      </w:r>
      <w:r w:rsidRPr="00ED7762">
        <w:rPr>
          <w:color w:val="231F20"/>
          <w:spacing w:val="-12"/>
          <w:w w:val="105"/>
          <w:sz w:val="20"/>
        </w:rPr>
        <w:t xml:space="preserve"> </w:t>
      </w:r>
      <w:r w:rsidRPr="00ED7762">
        <w:rPr>
          <w:color w:val="231F20"/>
          <w:w w:val="105"/>
          <w:sz w:val="20"/>
        </w:rPr>
        <w:t xml:space="preserve">AER’s consumer information reference group (ARG) met for the </w:t>
      </w:r>
      <w:r w:rsidR="004F72B7" w:rsidRPr="00ED7762">
        <w:rPr>
          <w:color w:val="231F20"/>
          <w:w w:val="105"/>
          <w:sz w:val="20"/>
        </w:rPr>
        <w:t>sixth</w:t>
      </w:r>
      <w:r w:rsidRPr="00ED7762">
        <w:rPr>
          <w:color w:val="231F20"/>
          <w:w w:val="105"/>
          <w:sz w:val="20"/>
        </w:rPr>
        <w:t xml:space="preserve"> time on </w:t>
      </w:r>
      <w:r w:rsidR="004F72B7" w:rsidRPr="00ED7762">
        <w:rPr>
          <w:color w:val="231F20"/>
          <w:w w:val="105"/>
          <w:sz w:val="20"/>
        </w:rPr>
        <w:t>13</w:t>
      </w:r>
      <w:r w:rsidRPr="00ED7762">
        <w:rPr>
          <w:color w:val="231F20"/>
          <w:w w:val="105"/>
          <w:sz w:val="20"/>
        </w:rPr>
        <w:t> </w:t>
      </w:r>
      <w:r w:rsidR="004F72B7" w:rsidRPr="00ED7762">
        <w:rPr>
          <w:color w:val="231F20"/>
          <w:w w:val="105"/>
          <w:sz w:val="20"/>
        </w:rPr>
        <w:t>December</w:t>
      </w:r>
      <w:r w:rsidRPr="00ED7762">
        <w:rPr>
          <w:color w:val="231F20"/>
          <w:w w:val="105"/>
          <w:sz w:val="20"/>
        </w:rPr>
        <w:t xml:space="preserve"> 2017 (see attendee list at </w:t>
      </w:r>
      <w:r w:rsidRPr="00ED7762">
        <w:rPr>
          <w:b/>
          <w:color w:val="231F20"/>
          <w:w w:val="105"/>
          <w:sz w:val="20"/>
        </w:rPr>
        <w:t>Attachment A</w:t>
      </w:r>
      <w:r w:rsidRPr="00ED7762">
        <w:rPr>
          <w:color w:val="231F20"/>
          <w:w w:val="105"/>
          <w:sz w:val="20"/>
        </w:rPr>
        <w:t>).</w:t>
      </w:r>
    </w:p>
    <w:p w:rsidR="00191A20" w:rsidRPr="00ED7762" w:rsidRDefault="00826108" w:rsidP="00ED7762">
      <w:pPr>
        <w:pStyle w:val="ListParagraph"/>
        <w:numPr>
          <w:ilvl w:val="0"/>
          <w:numId w:val="46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 w:rsidRPr="00ED7762">
        <w:rPr>
          <w:color w:val="231F20"/>
          <w:w w:val="105"/>
          <w:sz w:val="20"/>
        </w:rPr>
        <w:t xml:space="preserve">The AER’s Sarah </w:t>
      </w:r>
      <w:r w:rsidR="004F72B7" w:rsidRPr="00ED7762">
        <w:rPr>
          <w:color w:val="231F20"/>
          <w:w w:val="105"/>
          <w:sz w:val="20"/>
        </w:rPr>
        <w:t>Proudfoot (SP) greeted attendees</w:t>
      </w:r>
      <w:r w:rsidR="00FE4117" w:rsidRPr="00ED7762">
        <w:rPr>
          <w:color w:val="231F20"/>
          <w:w w:val="105"/>
          <w:sz w:val="20"/>
        </w:rPr>
        <w:t xml:space="preserve"> and </w:t>
      </w:r>
      <w:r w:rsidR="00191A20" w:rsidRPr="00ED7762">
        <w:rPr>
          <w:color w:val="231F20"/>
          <w:w w:val="105"/>
          <w:sz w:val="20"/>
        </w:rPr>
        <w:t>introduced the AER</w:t>
      </w:r>
      <w:r w:rsidR="0054050A" w:rsidRPr="00ED7762">
        <w:rPr>
          <w:color w:val="231F20"/>
          <w:w w:val="105"/>
          <w:sz w:val="20"/>
        </w:rPr>
        <w:t xml:space="preserve">’s </w:t>
      </w:r>
      <w:r w:rsidR="00191A20" w:rsidRPr="00ED7762">
        <w:rPr>
          <w:color w:val="231F20"/>
          <w:w w:val="105"/>
          <w:sz w:val="20"/>
        </w:rPr>
        <w:t xml:space="preserve">Pablo Albornoz (PA) who presented to the group on the </w:t>
      </w:r>
      <w:r w:rsidR="00FE4117" w:rsidRPr="00ED7762">
        <w:rPr>
          <w:color w:val="231F20"/>
          <w:w w:val="105"/>
          <w:sz w:val="20"/>
        </w:rPr>
        <w:t>consumer research findings about the fact sheet concepts</w:t>
      </w:r>
      <w:r w:rsidR="00191A20" w:rsidRPr="00ED7762">
        <w:rPr>
          <w:color w:val="231F20"/>
          <w:w w:val="105"/>
          <w:sz w:val="20"/>
        </w:rPr>
        <w:t>.</w:t>
      </w:r>
    </w:p>
    <w:p w:rsidR="00826108" w:rsidRPr="00ED7762" w:rsidRDefault="00191A20" w:rsidP="00ED7762">
      <w:pPr>
        <w:pStyle w:val="ListParagraph"/>
        <w:numPr>
          <w:ilvl w:val="0"/>
          <w:numId w:val="46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 w:rsidRPr="00ED7762">
        <w:rPr>
          <w:color w:val="231F20"/>
          <w:w w:val="105"/>
          <w:sz w:val="20"/>
        </w:rPr>
        <w:t>PA</w:t>
      </w:r>
      <w:r w:rsidR="0054050A" w:rsidRPr="00ED7762">
        <w:rPr>
          <w:color w:val="231F20"/>
          <w:w w:val="105"/>
          <w:sz w:val="20"/>
        </w:rPr>
        <w:t xml:space="preserve"> presented to the group </w:t>
      </w:r>
      <w:r w:rsidR="00645900" w:rsidRPr="00ED7762">
        <w:rPr>
          <w:color w:val="231F20"/>
          <w:w w:val="105"/>
          <w:sz w:val="20"/>
        </w:rPr>
        <w:t xml:space="preserve">a summary of this work, </w:t>
      </w:r>
      <w:r w:rsidR="00826108" w:rsidRPr="00ED7762">
        <w:rPr>
          <w:color w:val="231F20"/>
          <w:w w:val="105"/>
          <w:sz w:val="20"/>
        </w:rPr>
        <w:t>with particular focus on:</w:t>
      </w:r>
    </w:p>
    <w:p w:rsidR="006F492A" w:rsidRPr="00FE13EA" w:rsidRDefault="00887050" w:rsidP="00FE13EA">
      <w:pPr>
        <w:pStyle w:val="ListParagraph"/>
        <w:numPr>
          <w:ilvl w:val="0"/>
          <w:numId w:val="29"/>
        </w:numPr>
        <w:tabs>
          <w:tab w:val="left" w:pos="475"/>
        </w:tabs>
        <w:spacing w:after="240"/>
        <w:rPr>
          <w:color w:val="231F20"/>
          <w:w w:val="105"/>
          <w:sz w:val="20"/>
          <w:lang w:val="en-AU"/>
        </w:rPr>
      </w:pPr>
      <w:r>
        <w:rPr>
          <w:color w:val="231F20"/>
          <w:w w:val="105"/>
          <w:sz w:val="20"/>
        </w:rPr>
        <w:t>T</w:t>
      </w:r>
      <w:r w:rsidR="00FE13EA">
        <w:rPr>
          <w:color w:val="231F20"/>
          <w:w w:val="105"/>
          <w:sz w:val="20"/>
        </w:rPr>
        <w:t xml:space="preserve">he </w:t>
      </w:r>
      <w:r w:rsidR="00FE13EA" w:rsidRPr="00FE13EA">
        <w:rPr>
          <w:color w:val="231F20"/>
          <w:w w:val="105"/>
          <w:sz w:val="20"/>
        </w:rPr>
        <w:t>methodology and findings</w:t>
      </w:r>
      <w:r w:rsidR="00FE13EA">
        <w:rPr>
          <w:color w:val="231F20"/>
          <w:w w:val="105"/>
          <w:sz w:val="20"/>
        </w:rPr>
        <w:t xml:space="preserve"> from BETA’s draft report</w:t>
      </w:r>
    </w:p>
    <w:p w:rsidR="006F492A" w:rsidRPr="00FE13EA" w:rsidRDefault="00887050" w:rsidP="00FE13EA">
      <w:pPr>
        <w:pStyle w:val="ListParagraph"/>
        <w:numPr>
          <w:ilvl w:val="0"/>
          <w:numId w:val="29"/>
        </w:numPr>
        <w:tabs>
          <w:tab w:val="left" w:pos="475"/>
        </w:tabs>
        <w:spacing w:after="240"/>
        <w:rPr>
          <w:color w:val="231F20"/>
          <w:w w:val="105"/>
          <w:sz w:val="20"/>
          <w:lang w:val="en-AU"/>
        </w:rPr>
      </w:pPr>
      <w:r>
        <w:rPr>
          <w:color w:val="231F20"/>
          <w:w w:val="105"/>
          <w:sz w:val="20"/>
        </w:rPr>
        <w:t>I</w:t>
      </w:r>
      <w:r w:rsidR="00FE13EA" w:rsidRPr="00FE13EA">
        <w:rPr>
          <w:color w:val="231F20"/>
          <w:w w:val="105"/>
          <w:sz w:val="20"/>
        </w:rPr>
        <w:t xml:space="preserve">nsight into </w:t>
      </w:r>
      <w:r w:rsidR="00423BDF">
        <w:rPr>
          <w:color w:val="231F20"/>
          <w:w w:val="105"/>
          <w:sz w:val="20"/>
        </w:rPr>
        <w:t xml:space="preserve">consumer testing undertaken by </w:t>
      </w:r>
      <w:r w:rsidR="00FE4117">
        <w:rPr>
          <w:color w:val="231F20"/>
          <w:w w:val="105"/>
          <w:sz w:val="20"/>
        </w:rPr>
        <w:t>a retailer</w:t>
      </w:r>
    </w:p>
    <w:p w:rsidR="006F492A" w:rsidRPr="00FE13EA" w:rsidRDefault="00887050" w:rsidP="00FE13EA">
      <w:pPr>
        <w:pStyle w:val="ListParagraph"/>
        <w:numPr>
          <w:ilvl w:val="0"/>
          <w:numId w:val="29"/>
        </w:numPr>
        <w:tabs>
          <w:tab w:val="left" w:pos="475"/>
        </w:tabs>
        <w:spacing w:after="240"/>
        <w:rPr>
          <w:color w:val="231F20"/>
          <w:w w:val="105"/>
          <w:sz w:val="20"/>
          <w:lang w:val="en-AU"/>
        </w:rPr>
      </w:pPr>
      <w:r>
        <w:rPr>
          <w:color w:val="231F20"/>
          <w:w w:val="105"/>
          <w:sz w:val="20"/>
        </w:rPr>
        <w:t>D</w:t>
      </w:r>
      <w:r w:rsidR="00FE13EA" w:rsidRPr="00FE13EA">
        <w:rPr>
          <w:color w:val="231F20"/>
          <w:w w:val="105"/>
          <w:sz w:val="20"/>
        </w:rPr>
        <w:t>iscussion of the outstanding issues</w:t>
      </w:r>
      <w:r w:rsidR="00E11325">
        <w:rPr>
          <w:color w:val="231F20"/>
          <w:w w:val="105"/>
          <w:sz w:val="20"/>
        </w:rPr>
        <w:t xml:space="preserve"> (language and the inclusion of rates)</w:t>
      </w:r>
      <w:r w:rsidR="00FE13EA" w:rsidRPr="00FE13EA">
        <w:rPr>
          <w:color w:val="231F20"/>
          <w:w w:val="105"/>
          <w:sz w:val="20"/>
        </w:rPr>
        <w:t xml:space="preserve"> </w:t>
      </w:r>
    </w:p>
    <w:p w:rsidR="00826108" w:rsidRPr="00ED7762" w:rsidRDefault="00826108" w:rsidP="00ED7762">
      <w:pPr>
        <w:pStyle w:val="ListParagraph"/>
        <w:numPr>
          <w:ilvl w:val="0"/>
          <w:numId w:val="46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 w:rsidRPr="00ED7762">
        <w:rPr>
          <w:color w:val="231F20"/>
          <w:w w:val="105"/>
          <w:sz w:val="20"/>
        </w:rPr>
        <w:t>The group discussion following covered:</w:t>
      </w:r>
      <w:bookmarkStart w:id="0" w:name="_GoBack"/>
      <w:bookmarkEnd w:id="0"/>
    </w:p>
    <w:p w:rsidR="00E11325" w:rsidRDefault="00FE4117" w:rsidP="00826108">
      <w:pPr>
        <w:pStyle w:val="ListParagraph"/>
        <w:numPr>
          <w:ilvl w:val="0"/>
          <w:numId w:val="31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the </w:t>
      </w:r>
      <w:r w:rsidR="00BD3F46">
        <w:rPr>
          <w:color w:val="231F20"/>
          <w:w w:val="105"/>
          <w:sz w:val="20"/>
        </w:rPr>
        <w:t>different results generated from the customer focus groups versus those from framed field experiments</w:t>
      </w:r>
    </w:p>
    <w:p w:rsidR="00BD3F46" w:rsidRDefault="00FE4117" w:rsidP="00826108">
      <w:pPr>
        <w:pStyle w:val="ListParagraph"/>
        <w:numPr>
          <w:ilvl w:val="0"/>
          <w:numId w:val="31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how</w:t>
      </w:r>
      <w:r w:rsidR="00F96FF4">
        <w:rPr>
          <w:color w:val="231F20"/>
          <w:w w:val="105"/>
          <w:sz w:val="20"/>
        </w:rPr>
        <w:t xml:space="preserve"> best</w:t>
      </w:r>
      <w:r>
        <w:rPr>
          <w:color w:val="231F20"/>
          <w:w w:val="105"/>
          <w:sz w:val="20"/>
        </w:rPr>
        <w:t xml:space="preserve"> the fact sheets can account for </w:t>
      </w:r>
      <w:r w:rsidR="00BD3F46">
        <w:rPr>
          <w:color w:val="231F20"/>
          <w:w w:val="105"/>
          <w:sz w:val="20"/>
        </w:rPr>
        <w:t xml:space="preserve">the needs </w:t>
      </w:r>
      <w:r w:rsidR="00645900">
        <w:rPr>
          <w:color w:val="231F20"/>
          <w:w w:val="105"/>
          <w:sz w:val="20"/>
        </w:rPr>
        <w:t>of</w:t>
      </w:r>
      <w:r w:rsidR="00BD3F46">
        <w:rPr>
          <w:color w:val="231F20"/>
          <w:w w:val="105"/>
          <w:sz w:val="20"/>
        </w:rPr>
        <w:t xml:space="preserve"> small business customers</w:t>
      </w:r>
    </w:p>
    <w:p w:rsidR="00BD3F46" w:rsidRDefault="003512D9" w:rsidP="00826108">
      <w:pPr>
        <w:pStyle w:val="ListParagraph"/>
        <w:numPr>
          <w:ilvl w:val="0"/>
          <w:numId w:val="31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whether </w:t>
      </w:r>
      <w:r w:rsidR="00887050">
        <w:rPr>
          <w:color w:val="231F20"/>
          <w:w w:val="105"/>
          <w:sz w:val="20"/>
        </w:rPr>
        <w:t xml:space="preserve">the same proposed </w:t>
      </w:r>
      <w:r>
        <w:rPr>
          <w:color w:val="231F20"/>
          <w:w w:val="105"/>
          <w:sz w:val="20"/>
        </w:rPr>
        <w:t>Energy Price Fact Sheet (</w:t>
      </w:r>
      <w:r w:rsidR="00887050">
        <w:rPr>
          <w:color w:val="231F20"/>
          <w:w w:val="105"/>
          <w:sz w:val="20"/>
        </w:rPr>
        <w:t>EPFS</w:t>
      </w:r>
      <w:r>
        <w:rPr>
          <w:color w:val="231F20"/>
          <w:w w:val="105"/>
          <w:sz w:val="20"/>
        </w:rPr>
        <w:t>)</w:t>
      </w:r>
      <w:r w:rsidR="00887050">
        <w:rPr>
          <w:color w:val="231F20"/>
          <w:w w:val="105"/>
          <w:sz w:val="20"/>
        </w:rPr>
        <w:t xml:space="preserve"> </w:t>
      </w:r>
      <w:r w:rsidR="00645900">
        <w:rPr>
          <w:color w:val="231F20"/>
          <w:w w:val="105"/>
          <w:sz w:val="20"/>
        </w:rPr>
        <w:t xml:space="preserve">should be </w:t>
      </w:r>
      <w:r w:rsidR="00887050">
        <w:rPr>
          <w:color w:val="231F20"/>
          <w:w w:val="105"/>
          <w:sz w:val="20"/>
        </w:rPr>
        <w:t xml:space="preserve"> </w:t>
      </w:r>
      <w:r w:rsidR="00645900">
        <w:rPr>
          <w:color w:val="231F20"/>
          <w:w w:val="105"/>
          <w:sz w:val="20"/>
        </w:rPr>
        <w:t>used</w:t>
      </w:r>
      <w:r w:rsidR="00887050">
        <w:rPr>
          <w:color w:val="231F20"/>
          <w:w w:val="105"/>
          <w:sz w:val="20"/>
        </w:rPr>
        <w:t xml:space="preserve"> across all customer testing </w:t>
      </w:r>
      <w:r w:rsidR="00645900">
        <w:rPr>
          <w:color w:val="231F20"/>
          <w:w w:val="105"/>
          <w:sz w:val="20"/>
        </w:rPr>
        <w:t>platforms</w:t>
      </w:r>
    </w:p>
    <w:p w:rsidR="00887050" w:rsidRDefault="00F96FF4" w:rsidP="00826108">
      <w:pPr>
        <w:pStyle w:val="ListParagraph"/>
        <w:numPr>
          <w:ilvl w:val="0"/>
          <w:numId w:val="31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concerns the consumer testing undertaken to date </w:t>
      </w:r>
      <w:r w:rsidR="00423BDF">
        <w:rPr>
          <w:color w:val="231F20"/>
          <w:w w:val="105"/>
          <w:sz w:val="20"/>
        </w:rPr>
        <w:t>did not fully examine all issues</w:t>
      </w:r>
      <w:r>
        <w:rPr>
          <w:color w:val="231F20"/>
          <w:w w:val="105"/>
          <w:sz w:val="20"/>
        </w:rPr>
        <w:t xml:space="preserve"> and </w:t>
      </w:r>
      <w:r w:rsidR="00423BDF">
        <w:rPr>
          <w:color w:val="231F20"/>
          <w:w w:val="105"/>
          <w:sz w:val="20"/>
        </w:rPr>
        <w:t xml:space="preserve">what </w:t>
      </w:r>
      <w:r w:rsidR="00F67C82">
        <w:rPr>
          <w:color w:val="231F20"/>
          <w:w w:val="105"/>
          <w:sz w:val="20"/>
        </w:rPr>
        <w:t xml:space="preserve">scope </w:t>
      </w:r>
      <w:r w:rsidR="00423BDF">
        <w:rPr>
          <w:color w:val="231F20"/>
          <w:w w:val="105"/>
          <w:sz w:val="20"/>
        </w:rPr>
        <w:t xml:space="preserve">exists </w:t>
      </w:r>
      <w:r w:rsidR="00F67C82">
        <w:rPr>
          <w:color w:val="231F20"/>
          <w:w w:val="105"/>
          <w:sz w:val="20"/>
        </w:rPr>
        <w:t xml:space="preserve">for further </w:t>
      </w:r>
      <w:r w:rsidR="00FE4117">
        <w:rPr>
          <w:color w:val="231F20"/>
          <w:w w:val="105"/>
          <w:sz w:val="20"/>
        </w:rPr>
        <w:t xml:space="preserve">consumer </w:t>
      </w:r>
      <w:r w:rsidR="00F67C82">
        <w:rPr>
          <w:color w:val="231F20"/>
          <w:w w:val="105"/>
          <w:sz w:val="20"/>
        </w:rPr>
        <w:t>testing</w:t>
      </w:r>
      <w:r w:rsidR="00645900">
        <w:rPr>
          <w:color w:val="231F20"/>
          <w:w w:val="105"/>
          <w:sz w:val="20"/>
        </w:rPr>
        <w:t xml:space="preserve"> before finalising the EPFS</w:t>
      </w:r>
    </w:p>
    <w:p w:rsidR="00F67C82" w:rsidRDefault="00FE4117" w:rsidP="00826108">
      <w:pPr>
        <w:pStyle w:val="ListParagraph"/>
        <w:numPr>
          <w:ilvl w:val="0"/>
          <w:numId w:val="31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t</w:t>
      </w:r>
      <w:r w:rsidR="00F67C82">
        <w:rPr>
          <w:color w:val="231F20"/>
          <w:w w:val="105"/>
          <w:sz w:val="20"/>
        </w:rPr>
        <w:t xml:space="preserve">he drafting of the </w:t>
      </w:r>
      <w:r>
        <w:rPr>
          <w:color w:val="231F20"/>
          <w:w w:val="105"/>
          <w:sz w:val="20"/>
        </w:rPr>
        <w:t xml:space="preserve">revised </w:t>
      </w:r>
      <w:r w:rsidR="00F67C82">
        <w:rPr>
          <w:color w:val="231F20"/>
          <w:w w:val="105"/>
          <w:sz w:val="20"/>
        </w:rPr>
        <w:t xml:space="preserve">Retail Pricing Information Guidelines (RPIG) and the incorporation of proposed </w:t>
      </w:r>
      <w:r>
        <w:rPr>
          <w:color w:val="231F20"/>
          <w:w w:val="105"/>
          <w:sz w:val="20"/>
        </w:rPr>
        <w:t>fact sheets</w:t>
      </w:r>
    </w:p>
    <w:p w:rsidR="00F67C82" w:rsidRPr="00645900" w:rsidRDefault="00FE4117" w:rsidP="00645900">
      <w:pPr>
        <w:pStyle w:val="ListParagraph"/>
        <w:numPr>
          <w:ilvl w:val="0"/>
          <w:numId w:val="31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how </w:t>
      </w:r>
      <w:r w:rsidR="00F67C82">
        <w:rPr>
          <w:color w:val="231F20"/>
          <w:w w:val="105"/>
          <w:sz w:val="20"/>
        </w:rPr>
        <w:t xml:space="preserve">the upcoming development of the reference price by the AER through a consultant </w:t>
      </w:r>
      <w:r w:rsidR="00F96FF4">
        <w:rPr>
          <w:color w:val="231F20"/>
          <w:w w:val="105"/>
          <w:sz w:val="20"/>
        </w:rPr>
        <w:t xml:space="preserve">might </w:t>
      </w:r>
      <w:r w:rsidR="00F67C82">
        <w:rPr>
          <w:color w:val="231F20"/>
          <w:w w:val="105"/>
          <w:sz w:val="20"/>
        </w:rPr>
        <w:t xml:space="preserve">impact the design of the </w:t>
      </w:r>
      <w:r>
        <w:rPr>
          <w:color w:val="231F20"/>
          <w:w w:val="105"/>
          <w:sz w:val="20"/>
        </w:rPr>
        <w:t>fact sheets</w:t>
      </w:r>
    </w:p>
    <w:p w:rsidR="00D70309" w:rsidRPr="00ED7762" w:rsidRDefault="005869EF" w:rsidP="00ED7762">
      <w:pPr>
        <w:pStyle w:val="ListParagraph"/>
        <w:numPr>
          <w:ilvl w:val="0"/>
          <w:numId w:val="46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 w:rsidRPr="00ED7762">
        <w:rPr>
          <w:color w:val="231F20"/>
          <w:w w:val="105"/>
          <w:sz w:val="20"/>
        </w:rPr>
        <w:t xml:space="preserve">The AER’s Simon Kidd (SK) chaired a discussion </w:t>
      </w:r>
      <w:r w:rsidR="00FE4117" w:rsidRPr="00ED7762">
        <w:rPr>
          <w:color w:val="231F20"/>
          <w:w w:val="105"/>
          <w:sz w:val="20"/>
        </w:rPr>
        <w:t>about language and terminology on fact sheets and the</w:t>
      </w:r>
      <w:r w:rsidR="00D70309" w:rsidRPr="00ED7762">
        <w:rPr>
          <w:color w:val="231F20"/>
          <w:w w:val="105"/>
          <w:sz w:val="20"/>
        </w:rPr>
        <w:t xml:space="preserve"> group discussion following covered:</w:t>
      </w:r>
    </w:p>
    <w:p w:rsidR="00D70309" w:rsidRDefault="00FE4117" w:rsidP="00D70309">
      <w:pPr>
        <w:pStyle w:val="ListParagraph"/>
        <w:numPr>
          <w:ilvl w:val="0"/>
          <w:numId w:val="41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the possibility of </w:t>
      </w:r>
      <w:r w:rsidR="00645900">
        <w:rPr>
          <w:color w:val="231F20"/>
          <w:w w:val="105"/>
          <w:sz w:val="20"/>
        </w:rPr>
        <w:t xml:space="preserve">using a plain English consultant to assist </w:t>
      </w:r>
      <w:r w:rsidR="00034EB2">
        <w:rPr>
          <w:color w:val="231F20"/>
          <w:w w:val="105"/>
          <w:sz w:val="20"/>
        </w:rPr>
        <w:t xml:space="preserve">in synthesizing the variations of the terminology </w:t>
      </w:r>
    </w:p>
    <w:p w:rsidR="00034EB2" w:rsidRDefault="00FE4117" w:rsidP="00D70309">
      <w:pPr>
        <w:pStyle w:val="ListParagraph"/>
        <w:numPr>
          <w:ilvl w:val="0"/>
          <w:numId w:val="41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acknowledging </w:t>
      </w:r>
      <w:r w:rsidR="00034EB2">
        <w:rPr>
          <w:color w:val="231F20"/>
          <w:w w:val="105"/>
          <w:sz w:val="20"/>
        </w:rPr>
        <w:t xml:space="preserve">there are some </w:t>
      </w:r>
      <w:r w:rsidR="00224E8E">
        <w:rPr>
          <w:color w:val="231F20"/>
          <w:w w:val="105"/>
          <w:sz w:val="20"/>
        </w:rPr>
        <w:t xml:space="preserve">terms </w:t>
      </w:r>
      <w:r>
        <w:rPr>
          <w:color w:val="231F20"/>
          <w:w w:val="105"/>
          <w:sz w:val="20"/>
        </w:rPr>
        <w:t xml:space="preserve">used </w:t>
      </w:r>
      <w:r w:rsidR="00224E8E">
        <w:rPr>
          <w:color w:val="231F20"/>
          <w:w w:val="105"/>
          <w:sz w:val="20"/>
        </w:rPr>
        <w:t xml:space="preserve">in the energy industry </w:t>
      </w:r>
      <w:r>
        <w:rPr>
          <w:color w:val="231F20"/>
          <w:w w:val="105"/>
          <w:sz w:val="20"/>
        </w:rPr>
        <w:t xml:space="preserve">that can more easily be changed than </w:t>
      </w:r>
      <w:r w:rsidR="00224E8E">
        <w:rPr>
          <w:color w:val="231F20"/>
          <w:w w:val="105"/>
          <w:sz w:val="20"/>
        </w:rPr>
        <w:t>others</w:t>
      </w:r>
    </w:p>
    <w:p w:rsidR="00224E8E" w:rsidRDefault="00FE4117" w:rsidP="00D70309">
      <w:pPr>
        <w:pStyle w:val="ListParagraph"/>
        <w:numPr>
          <w:ilvl w:val="0"/>
          <w:numId w:val="41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understanding how some terms </w:t>
      </w:r>
      <w:r w:rsidR="00224E8E">
        <w:rPr>
          <w:color w:val="231F20"/>
          <w:w w:val="105"/>
          <w:sz w:val="20"/>
        </w:rPr>
        <w:t xml:space="preserve">are </w:t>
      </w:r>
      <w:r>
        <w:rPr>
          <w:color w:val="231F20"/>
          <w:w w:val="105"/>
          <w:sz w:val="20"/>
        </w:rPr>
        <w:t xml:space="preserve">a reflection of </w:t>
      </w:r>
      <w:r w:rsidR="00224E8E">
        <w:rPr>
          <w:color w:val="231F20"/>
          <w:w w:val="105"/>
          <w:sz w:val="20"/>
        </w:rPr>
        <w:t>distribution network</w:t>
      </w:r>
      <w:r>
        <w:rPr>
          <w:color w:val="231F20"/>
          <w:w w:val="105"/>
          <w:sz w:val="20"/>
        </w:rPr>
        <w:t xml:space="preserve"> practices</w:t>
      </w:r>
      <w:r w:rsidR="00224E8E">
        <w:rPr>
          <w:color w:val="231F20"/>
          <w:w w:val="105"/>
          <w:sz w:val="20"/>
        </w:rPr>
        <w:t xml:space="preserve"> and any changes will require the distribution networks to also adopt</w:t>
      </w:r>
      <w:r>
        <w:rPr>
          <w:color w:val="231F20"/>
          <w:w w:val="105"/>
          <w:sz w:val="20"/>
          <w:lang w:val="en-AU"/>
        </w:rPr>
        <w:t xml:space="preserve"> them</w:t>
      </w:r>
    </w:p>
    <w:p w:rsidR="00224E8E" w:rsidRDefault="00FE4117" w:rsidP="00D70309">
      <w:pPr>
        <w:pStyle w:val="ListParagraph"/>
        <w:numPr>
          <w:ilvl w:val="0"/>
          <w:numId w:val="41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recognition of the </w:t>
      </w:r>
      <w:r w:rsidR="00224E8E">
        <w:rPr>
          <w:color w:val="231F20"/>
          <w:w w:val="105"/>
          <w:sz w:val="20"/>
        </w:rPr>
        <w:t xml:space="preserve"> need </w:t>
      </w:r>
      <w:r>
        <w:rPr>
          <w:color w:val="231F20"/>
          <w:w w:val="105"/>
          <w:sz w:val="20"/>
        </w:rPr>
        <w:t xml:space="preserve">to be considered in making any language or term </w:t>
      </w:r>
      <w:r>
        <w:rPr>
          <w:color w:val="231F20"/>
          <w:w w:val="105"/>
          <w:sz w:val="20"/>
        </w:rPr>
        <w:lastRenderedPageBreak/>
        <w:t xml:space="preserve">changes as it could have potentially </w:t>
      </w:r>
      <w:r w:rsidR="00873BF3">
        <w:rPr>
          <w:color w:val="231F20"/>
          <w:w w:val="105"/>
          <w:sz w:val="20"/>
        </w:rPr>
        <w:t>confusi</w:t>
      </w:r>
      <w:r>
        <w:rPr>
          <w:color w:val="231F20"/>
          <w:w w:val="105"/>
          <w:sz w:val="20"/>
        </w:rPr>
        <w:t>ng consequences</w:t>
      </w:r>
      <w:r w:rsidR="00873BF3">
        <w:rPr>
          <w:color w:val="231F20"/>
          <w:w w:val="105"/>
          <w:sz w:val="20"/>
        </w:rPr>
        <w:t xml:space="preserve"> for customers</w:t>
      </w:r>
    </w:p>
    <w:p w:rsidR="00873BF3" w:rsidRDefault="00873BF3" w:rsidP="00ED7762">
      <w:pPr>
        <w:pStyle w:val="ListParagraph"/>
        <w:numPr>
          <w:ilvl w:val="0"/>
          <w:numId w:val="46"/>
        </w:numPr>
        <w:tabs>
          <w:tab w:val="left" w:pos="475"/>
        </w:tabs>
        <w:spacing w:after="240"/>
        <w:ind w:hanging="357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SK closed the meeting by:</w:t>
      </w:r>
    </w:p>
    <w:p w:rsidR="00873BF3" w:rsidRDefault="00873BF3" w:rsidP="00873BF3">
      <w:pPr>
        <w:pStyle w:val="ListParagraph"/>
        <w:numPr>
          <w:ilvl w:val="0"/>
          <w:numId w:val="43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flagging the next reference group meeting would be held in January 2018</w:t>
      </w:r>
    </w:p>
    <w:p w:rsidR="00873BF3" w:rsidRPr="00873BF3" w:rsidRDefault="00873BF3" w:rsidP="00873BF3">
      <w:pPr>
        <w:pStyle w:val="ListParagraph"/>
        <w:numPr>
          <w:ilvl w:val="0"/>
          <w:numId w:val="43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proofErr w:type="gramStart"/>
      <w:r>
        <w:rPr>
          <w:color w:val="231F20"/>
          <w:w w:val="105"/>
          <w:sz w:val="20"/>
        </w:rPr>
        <w:t>future</w:t>
      </w:r>
      <w:proofErr w:type="gramEnd"/>
      <w:r>
        <w:rPr>
          <w:color w:val="231F20"/>
          <w:w w:val="105"/>
          <w:sz w:val="20"/>
        </w:rPr>
        <w:t xml:space="preserve"> meetings will be held monthly</w:t>
      </w:r>
      <w:r w:rsidR="00152DFE">
        <w:rPr>
          <w:color w:val="231F20"/>
          <w:w w:val="105"/>
          <w:sz w:val="20"/>
        </w:rPr>
        <w:t>.</w:t>
      </w:r>
      <w:r>
        <w:rPr>
          <w:color w:val="231F20"/>
          <w:w w:val="105"/>
          <w:sz w:val="20"/>
        </w:rPr>
        <w:t xml:space="preserve"> </w:t>
      </w:r>
      <w:r w:rsidR="00152DFE">
        <w:rPr>
          <w:color w:val="231F20"/>
          <w:w w:val="105"/>
          <w:sz w:val="20"/>
        </w:rPr>
        <w:t xml:space="preserve">However </w:t>
      </w:r>
      <w:r>
        <w:rPr>
          <w:color w:val="231F20"/>
          <w:w w:val="105"/>
          <w:sz w:val="20"/>
        </w:rPr>
        <w:t xml:space="preserve">if there </w:t>
      </w:r>
      <w:r w:rsidR="00152DFE">
        <w:rPr>
          <w:color w:val="231F20"/>
          <w:w w:val="105"/>
          <w:sz w:val="20"/>
        </w:rPr>
        <w:t xml:space="preserve">are </w:t>
      </w:r>
      <w:r>
        <w:rPr>
          <w:color w:val="231F20"/>
          <w:w w:val="105"/>
          <w:sz w:val="20"/>
        </w:rPr>
        <w:t xml:space="preserve">matters that require input from members outside scheduled meetings, </w:t>
      </w:r>
      <w:r w:rsidR="00152DFE">
        <w:rPr>
          <w:color w:val="231F20"/>
          <w:w w:val="105"/>
          <w:sz w:val="20"/>
        </w:rPr>
        <w:t>we will arrange</w:t>
      </w:r>
      <w:r w:rsidR="003512D9">
        <w:rPr>
          <w:color w:val="231F20"/>
          <w:w w:val="105"/>
          <w:sz w:val="20"/>
        </w:rPr>
        <w:t xml:space="preserve"> </w:t>
      </w:r>
      <w:r w:rsidR="00152DFE">
        <w:rPr>
          <w:color w:val="231F20"/>
          <w:w w:val="105"/>
          <w:sz w:val="20"/>
        </w:rPr>
        <w:t xml:space="preserve">for </w:t>
      </w:r>
      <w:r>
        <w:rPr>
          <w:color w:val="231F20"/>
          <w:w w:val="105"/>
          <w:sz w:val="20"/>
        </w:rPr>
        <w:t>out-of-session meetings.</w:t>
      </w:r>
    </w:p>
    <w:p w:rsidR="00826108" w:rsidRDefault="00826108" w:rsidP="00ED7762">
      <w:pPr>
        <w:widowControl/>
        <w:spacing w:before="200"/>
        <w:ind w:firstLine="3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T</w:t>
      </w:r>
      <w:r w:rsidRPr="00C82B51">
        <w:rPr>
          <w:color w:val="231F20"/>
          <w:w w:val="105"/>
          <w:sz w:val="20"/>
        </w:rPr>
        <w:t xml:space="preserve">he </w:t>
      </w:r>
      <w:r>
        <w:rPr>
          <w:color w:val="231F20"/>
          <w:w w:val="105"/>
          <w:sz w:val="20"/>
        </w:rPr>
        <w:t>next steps:</w:t>
      </w:r>
    </w:p>
    <w:p w:rsidR="004F72B7" w:rsidRDefault="004F72B7" w:rsidP="00826108">
      <w:pPr>
        <w:pStyle w:val="ListParagraph"/>
        <w:numPr>
          <w:ilvl w:val="0"/>
          <w:numId w:val="31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AER to circulate:</w:t>
      </w:r>
    </w:p>
    <w:p w:rsidR="004F72B7" w:rsidRDefault="004F72B7" w:rsidP="004F72B7">
      <w:pPr>
        <w:pStyle w:val="ListParagraph"/>
        <w:numPr>
          <w:ilvl w:val="0"/>
          <w:numId w:val="35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 xml:space="preserve">a copy of letter from </w:t>
      </w:r>
      <w:r w:rsidRPr="00191A20">
        <w:rPr>
          <w:color w:val="231F20"/>
          <w:w w:val="105"/>
          <w:sz w:val="20"/>
        </w:rPr>
        <w:t>AER Chair Paula Conboy to the Prime Minister updating him on the various pieces of work being undertaken following the retailer roundtables</w:t>
      </w:r>
      <w:r w:rsidR="00C632B5">
        <w:rPr>
          <w:color w:val="231F20"/>
          <w:w w:val="105"/>
          <w:sz w:val="20"/>
        </w:rPr>
        <w:t xml:space="preserve"> (circulated on </w:t>
      </w:r>
      <w:r w:rsidR="00C632B5" w:rsidRPr="00C632B5">
        <w:rPr>
          <w:b/>
          <w:color w:val="231F20"/>
          <w:w w:val="105"/>
          <w:sz w:val="20"/>
        </w:rPr>
        <w:t>15 December 2017</w:t>
      </w:r>
      <w:r w:rsidR="00C632B5">
        <w:rPr>
          <w:color w:val="231F20"/>
          <w:w w:val="105"/>
          <w:sz w:val="20"/>
        </w:rPr>
        <w:t>)</w:t>
      </w:r>
    </w:p>
    <w:p w:rsidR="00826108" w:rsidRDefault="004F72B7" w:rsidP="004F72B7">
      <w:pPr>
        <w:pStyle w:val="ListParagraph"/>
        <w:numPr>
          <w:ilvl w:val="0"/>
          <w:numId w:val="35"/>
        </w:numPr>
        <w:tabs>
          <w:tab w:val="left" w:pos="475"/>
        </w:tabs>
        <w:spacing w:after="240"/>
        <w:rPr>
          <w:color w:val="231F20"/>
          <w:w w:val="105"/>
          <w:sz w:val="20"/>
        </w:rPr>
      </w:pPr>
      <w:r>
        <w:rPr>
          <w:color w:val="231F20"/>
          <w:w w:val="105"/>
          <w:sz w:val="20"/>
        </w:rPr>
        <w:t>a copy of BETA’s draft report when it becomes available</w:t>
      </w:r>
    </w:p>
    <w:p w:rsidR="00826108" w:rsidRDefault="00826108" w:rsidP="00826108">
      <w:pPr>
        <w:pStyle w:val="ListParagraph"/>
        <w:numPr>
          <w:ilvl w:val="0"/>
          <w:numId w:val="31"/>
        </w:numPr>
        <w:tabs>
          <w:tab w:val="left" w:pos="475"/>
        </w:tabs>
        <w:spacing w:after="240"/>
        <w:rPr>
          <w:b/>
          <w:w w:val="105"/>
        </w:rPr>
      </w:pPr>
      <w:r>
        <w:rPr>
          <w:b/>
          <w:w w:val="105"/>
        </w:rPr>
        <w:br w:type="page"/>
      </w:r>
    </w:p>
    <w:p w:rsidR="00826108" w:rsidRPr="004B094E" w:rsidRDefault="00826108" w:rsidP="00826108">
      <w:pPr>
        <w:widowControl/>
        <w:spacing w:before="200"/>
        <w:rPr>
          <w:b/>
          <w:color w:val="231F20"/>
          <w:w w:val="105"/>
        </w:rPr>
      </w:pPr>
      <w:r w:rsidRPr="004B094E">
        <w:rPr>
          <w:b/>
          <w:color w:val="231F20"/>
          <w:w w:val="105"/>
        </w:rPr>
        <w:lastRenderedPageBreak/>
        <w:t>Attachment A</w:t>
      </w:r>
    </w:p>
    <w:p w:rsidR="00826108" w:rsidRDefault="00826108" w:rsidP="00826108">
      <w:pPr>
        <w:pStyle w:val="BodyText"/>
        <w:ind w:left="2494"/>
        <w:rPr>
          <w:sz w:val="27"/>
        </w:rPr>
      </w:pPr>
      <w:r>
        <w:rPr>
          <w:noProof/>
          <w:lang w:val="en-AU" w:eastAsia="en-AU"/>
        </w:rPr>
        <w:drawing>
          <wp:inline distT="0" distB="0" distL="0" distR="0" wp14:anchorId="0F5710B8" wp14:editId="1A2929F4">
            <wp:extent cx="2315152" cy="773239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152" cy="77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108" w:rsidRDefault="003F59DE" w:rsidP="00826108">
      <w:pPr>
        <w:pStyle w:val="Heading2"/>
        <w:ind w:left="2501"/>
        <w:rPr>
          <w:color w:val="231F20"/>
          <w:w w:val="105"/>
        </w:rPr>
      </w:pPr>
      <w:r>
        <w:rPr>
          <w:color w:val="231F20"/>
          <w:w w:val="105"/>
        </w:rPr>
        <w:t>ARG</w:t>
      </w:r>
      <w:r w:rsidR="00826108">
        <w:rPr>
          <w:color w:val="231F20"/>
          <w:w w:val="105"/>
        </w:rPr>
        <w:t xml:space="preserve"> Attendees</w:t>
      </w:r>
    </w:p>
    <w:p w:rsidR="00826108" w:rsidRPr="00A7257E" w:rsidRDefault="00826108" w:rsidP="00826108"/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826108" w:rsidRPr="007B341F" w:rsidTr="003A3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26108" w:rsidRPr="007B341F" w:rsidRDefault="00826108" w:rsidP="003A3C99">
            <w:pPr>
              <w:spacing w:line="360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Organisation</w:t>
            </w:r>
          </w:p>
        </w:tc>
        <w:tc>
          <w:tcPr>
            <w:tcW w:w="6015" w:type="dxa"/>
          </w:tcPr>
          <w:p w:rsidR="00826108" w:rsidRPr="007B341F" w:rsidRDefault="00826108" w:rsidP="003A3C9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</w:t>
            </w:r>
          </w:p>
        </w:tc>
      </w:tr>
      <w:tr w:rsidR="00826108" w:rsidRPr="007B341F" w:rsidTr="003A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26108" w:rsidRPr="007B341F" w:rsidRDefault="00826108" w:rsidP="003A3C99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Australian Energy Regulator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vAlign w:val="center"/>
          </w:tcPr>
          <w:p w:rsidR="00826108" w:rsidRPr="007B341F" w:rsidRDefault="00826108" w:rsidP="003A3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Sarah Proudfoot - General Manager, Retail Markets (Chair)</w:t>
            </w:r>
          </w:p>
        </w:tc>
      </w:tr>
      <w:tr w:rsidR="00826108" w:rsidRPr="007B341F" w:rsidTr="003A3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26108" w:rsidRPr="007B341F" w:rsidRDefault="00826108" w:rsidP="003A3C99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ActewAGL Retail</w:t>
            </w:r>
          </w:p>
        </w:tc>
        <w:tc>
          <w:tcPr>
            <w:tcW w:w="6015" w:type="dxa"/>
            <w:vAlign w:val="center"/>
          </w:tcPr>
          <w:p w:rsidR="00826108" w:rsidRPr="007B341F" w:rsidRDefault="00826108" w:rsidP="003A3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Kate Goatley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B341F">
              <w:rPr>
                <w:bCs/>
                <w:sz w:val="20"/>
                <w:szCs w:val="20"/>
              </w:rPr>
              <w:t>- Manager, Business Projects</w:t>
            </w:r>
          </w:p>
        </w:tc>
      </w:tr>
      <w:tr w:rsidR="00826108" w:rsidRPr="007B341F" w:rsidTr="003A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26108" w:rsidRPr="007B341F" w:rsidRDefault="00826108" w:rsidP="003A3C99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Australian Energy Council</w:t>
            </w:r>
          </w:p>
        </w:tc>
        <w:tc>
          <w:tcPr>
            <w:tcW w:w="6015" w:type="dxa"/>
            <w:vAlign w:val="center"/>
          </w:tcPr>
          <w:p w:rsidR="00826108" w:rsidRDefault="00826108" w:rsidP="003A3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Tess Fitzgerald - Retail Policy Manager</w:t>
            </w:r>
          </w:p>
          <w:p w:rsidR="004F72B7" w:rsidRPr="007B341F" w:rsidRDefault="005869EF" w:rsidP="003A3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Fiona Simon – General Manager, </w:t>
            </w:r>
            <w:r w:rsidR="004F72B7">
              <w:rPr>
                <w:bCs/>
                <w:sz w:val="20"/>
                <w:szCs w:val="20"/>
              </w:rPr>
              <w:t xml:space="preserve">Strategy </w:t>
            </w:r>
          </w:p>
        </w:tc>
      </w:tr>
      <w:tr w:rsidR="004F72B7" w:rsidRPr="007B341F" w:rsidTr="00936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4F72B7" w:rsidRPr="007B341F" w:rsidRDefault="004F72B7" w:rsidP="00936534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Brotherhood of St Laurence</w:t>
            </w:r>
          </w:p>
        </w:tc>
        <w:tc>
          <w:tcPr>
            <w:tcW w:w="6015" w:type="dxa"/>
            <w:vAlign w:val="center"/>
          </w:tcPr>
          <w:p w:rsidR="004F72B7" w:rsidRPr="007B341F" w:rsidRDefault="004F72B7" w:rsidP="004F72B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David Bryant</w:t>
            </w:r>
            <w:r w:rsidRPr="007B341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</w:t>
            </w:r>
            <w:r w:rsidRPr="007B341F">
              <w:rPr>
                <w:bCs/>
                <w:sz w:val="20"/>
                <w:szCs w:val="20"/>
              </w:rPr>
              <w:t xml:space="preserve"> Research </w:t>
            </w:r>
            <w:r>
              <w:rPr>
                <w:bCs/>
                <w:sz w:val="20"/>
                <w:szCs w:val="20"/>
              </w:rPr>
              <w:t xml:space="preserve">Officer </w:t>
            </w:r>
          </w:p>
        </w:tc>
      </w:tr>
      <w:tr w:rsidR="00826108" w:rsidRPr="007B341F" w:rsidTr="003A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26108" w:rsidRPr="007B341F" w:rsidRDefault="00826108" w:rsidP="003A3C99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Consumer Action Law Centre</w:t>
            </w:r>
          </w:p>
        </w:tc>
        <w:tc>
          <w:tcPr>
            <w:tcW w:w="6015" w:type="dxa"/>
            <w:vAlign w:val="center"/>
          </w:tcPr>
          <w:p w:rsidR="00826108" w:rsidRPr="007B341F" w:rsidRDefault="00826108" w:rsidP="003A3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Zac Gillam - Senior Policy Officer</w:t>
            </w:r>
          </w:p>
        </w:tc>
      </w:tr>
      <w:tr w:rsidR="00826108" w:rsidRPr="007B341F" w:rsidTr="003A3C9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26108" w:rsidRPr="007B341F" w:rsidRDefault="00826108" w:rsidP="003A3C9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Consumer Policy Research Centre</w:t>
            </w:r>
          </w:p>
        </w:tc>
        <w:tc>
          <w:tcPr>
            <w:tcW w:w="6015" w:type="dxa"/>
            <w:vAlign w:val="center"/>
          </w:tcPr>
          <w:p w:rsidR="00826108" w:rsidRPr="007B341F" w:rsidRDefault="00826108" w:rsidP="003A3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 xml:space="preserve">Lauren Solomon </w:t>
            </w:r>
            <w:r w:rsidRPr="00073AD7">
              <w:rPr>
                <w:sz w:val="20"/>
                <w:szCs w:val="20"/>
              </w:rPr>
              <w:t>–</w:t>
            </w:r>
            <w:r w:rsidRPr="007B341F">
              <w:rPr>
                <w:bCs/>
                <w:sz w:val="20"/>
                <w:szCs w:val="20"/>
              </w:rPr>
              <w:t xml:space="preserve"> CEO</w:t>
            </w:r>
          </w:p>
        </w:tc>
      </w:tr>
      <w:tr w:rsidR="00826108" w:rsidRPr="007B341F" w:rsidTr="003A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26108" w:rsidRPr="007B341F" w:rsidRDefault="00826108" w:rsidP="003A3C99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bCs w:val="0"/>
                <w:sz w:val="20"/>
                <w:szCs w:val="20"/>
              </w:rPr>
              <w:t>EnergyAustralia</w:t>
            </w:r>
          </w:p>
        </w:tc>
        <w:tc>
          <w:tcPr>
            <w:tcW w:w="6015" w:type="dxa"/>
            <w:vAlign w:val="center"/>
          </w:tcPr>
          <w:p w:rsidR="00826108" w:rsidRPr="007B341F" w:rsidRDefault="004F72B7" w:rsidP="004F72B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Samantha Nunan</w:t>
            </w:r>
            <w:r w:rsidR="00826108">
              <w:rPr>
                <w:bCs/>
                <w:sz w:val="20"/>
                <w:szCs w:val="20"/>
              </w:rPr>
              <w:t xml:space="preserve"> - </w:t>
            </w:r>
            <w:r w:rsidR="00826108" w:rsidRPr="007B341F">
              <w:rPr>
                <w:bCs/>
                <w:sz w:val="20"/>
                <w:szCs w:val="20"/>
              </w:rPr>
              <w:t>Industry Regulat</w:t>
            </w:r>
            <w:r>
              <w:rPr>
                <w:bCs/>
                <w:sz w:val="20"/>
                <w:szCs w:val="20"/>
              </w:rPr>
              <w:t>ory</w:t>
            </w:r>
            <w:r w:rsidR="00826108" w:rsidRPr="007B341F">
              <w:rPr>
                <w:bCs/>
                <w:sz w:val="20"/>
                <w:szCs w:val="20"/>
              </w:rPr>
              <w:t xml:space="preserve"> Lead, Corporate</w:t>
            </w:r>
          </w:p>
        </w:tc>
      </w:tr>
      <w:tr w:rsidR="00826108" w:rsidRPr="007B341F" w:rsidTr="003A3C9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26108" w:rsidRPr="007B341F" w:rsidRDefault="00826108" w:rsidP="003A3C99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073AD7">
              <w:rPr>
                <w:bCs w:val="0"/>
                <w:sz w:val="20"/>
                <w:szCs w:val="20"/>
              </w:rPr>
              <w:t>Energy Consumers Australia</w:t>
            </w:r>
          </w:p>
        </w:tc>
        <w:tc>
          <w:tcPr>
            <w:tcW w:w="6015" w:type="dxa"/>
            <w:vAlign w:val="center"/>
          </w:tcPr>
          <w:p w:rsidR="00826108" w:rsidRPr="00073AD7" w:rsidRDefault="00826108" w:rsidP="003A3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73AD7">
              <w:rPr>
                <w:bCs/>
                <w:sz w:val="20"/>
                <w:szCs w:val="20"/>
              </w:rPr>
              <w:t xml:space="preserve">Sabiene Heindl - Director, </w:t>
            </w:r>
            <w:r>
              <w:rPr>
                <w:bCs/>
                <w:sz w:val="20"/>
                <w:szCs w:val="20"/>
              </w:rPr>
              <w:t>Strategic Engagement</w:t>
            </w:r>
          </w:p>
        </w:tc>
      </w:tr>
      <w:tr w:rsidR="00826108" w:rsidRPr="007B341F" w:rsidTr="003A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26108" w:rsidRPr="007B341F" w:rsidRDefault="00826108" w:rsidP="003A3C99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Origin</w:t>
            </w:r>
            <w:r w:rsidRPr="007B341F">
              <w:rPr>
                <w:bCs w:val="0"/>
                <w:sz w:val="20"/>
                <w:szCs w:val="20"/>
              </w:rPr>
              <w:t xml:space="preserve"> Energy</w:t>
            </w:r>
          </w:p>
        </w:tc>
        <w:tc>
          <w:tcPr>
            <w:tcW w:w="6015" w:type="dxa"/>
            <w:vAlign w:val="center"/>
          </w:tcPr>
          <w:p w:rsidR="00826108" w:rsidRPr="007B341F" w:rsidRDefault="00826108" w:rsidP="003A3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Timothy Wilson - Manager, Regulatory Policy</w:t>
            </w:r>
          </w:p>
        </w:tc>
      </w:tr>
      <w:tr w:rsidR="00826108" w:rsidRPr="007B341F" w:rsidTr="003A3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26108" w:rsidRPr="007B341F" w:rsidRDefault="00826108" w:rsidP="003A3C99">
            <w:pPr>
              <w:spacing w:line="360" w:lineRule="auto"/>
              <w:rPr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Powershop</w:t>
            </w:r>
          </w:p>
        </w:tc>
        <w:tc>
          <w:tcPr>
            <w:tcW w:w="6015" w:type="dxa"/>
            <w:vAlign w:val="center"/>
          </w:tcPr>
          <w:p w:rsidR="00826108" w:rsidRPr="007B341F" w:rsidRDefault="00826108" w:rsidP="003A3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7B341F">
              <w:rPr>
                <w:bCs/>
                <w:sz w:val="20"/>
                <w:szCs w:val="20"/>
              </w:rPr>
              <w:t>Michael Benveniste - Head of Commercial &amp; Strategy</w:t>
            </w:r>
          </w:p>
        </w:tc>
      </w:tr>
      <w:tr w:rsidR="00826108" w:rsidRPr="007B341F" w:rsidTr="003A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26108" w:rsidRPr="007B341F" w:rsidRDefault="00826108" w:rsidP="003A3C99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Red Energy</w:t>
            </w:r>
          </w:p>
        </w:tc>
        <w:tc>
          <w:tcPr>
            <w:tcW w:w="6015" w:type="dxa"/>
            <w:vAlign w:val="center"/>
          </w:tcPr>
          <w:p w:rsidR="00826108" w:rsidRPr="007B341F" w:rsidRDefault="00826108" w:rsidP="003A3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Ben Barnes</w:t>
            </w:r>
            <w:r w:rsidRPr="00073AD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–</w:t>
            </w:r>
            <w:r w:rsidRPr="007B341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Regulatory Manager </w:t>
            </w:r>
          </w:p>
        </w:tc>
      </w:tr>
      <w:tr w:rsidR="00826108" w:rsidRPr="007B341F" w:rsidTr="003A3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26108" w:rsidRPr="007B341F" w:rsidRDefault="00826108" w:rsidP="003A3C99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 xml:space="preserve">Uniting </w:t>
            </w:r>
            <w:r w:rsidRPr="007B341F">
              <w:rPr>
                <w:bCs w:val="0"/>
                <w:sz w:val="20"/>
                <w:szCs w:val="20"/>
              </w:rPr>
              <w:t xml:space="preserve">Communities/Uniting </w:t>
            </w:r>
            <w:r w:rsidRPr="007B341F">
              <w:rPr>
                <w:sz w:val="20"/>
                <w:szCs w:val="20"/>
              </w:rPr>
              <w:t>Care</w:t>
            </w:r>
          </w:p>
        </w:tc>
        <w:tc>
          <w:tcPr>
            <w:tcW w:w="6015" w:type="dxa"/>
            <w:vAlign w:val="center"/>
          </w:tcPr>
          <w:p w:rsidR="00826108" w:rsidRPr="00490ABB" w:rsidRDefault="00826108" w:rsidP="003A3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Mark Henley</w:t>
            </w:r>
            <w:r w:rsidRPr="00490ABB">
              <w:rPr>
                <w:bCs/>
                <w:sz w:val="20"/>
                <w:szCs w:val="20"/>
              </w:rPr>
              <w:t>‎</w:t>
            </w:r>
            <w:r>
              <w:rPr>
                <w:bCs/>
                <w:sz w:val="20"/>
                <w:szCs w:val="20"/>
              </w:rPr>
              <w:t xml:space="preserve"> - </w:t>
            </w:r>
            <w:r w:rsidRPr="00490ABB">
              <w:rPr>
                <w:bCs/>
                <w:sz w:val="20"/>
                <w:szCs w:val="20"/>
              </w:rPr>
              <w:t>Manager Advocacy, Uniting Communities and Energy Advocate, Uniting Care</w:t>
            </w:r>
          </w:p>
        </w:tc>
      </w:tr>
    </w:tbl>
    <w:p w:rsidR="00826108" w:rsidRDefault="00826108" w:rsidP="00826108"/>
    <w:p w:rsidR="00826108" w:rsidRDefault="00826108" w:rsidP="00826108">
      <w:pPr>
        <w:rPr>
          <w:b/>
        </w:rPr>
      </w:pPr>
      <w:r>
        <w:rPr>
          <w:b/>
        </w:rPr>
        <w:t>Apologies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826108" w:rsidRPr="007B341F" w:rsidTr="003A3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26108" w:rsidRPr="007B341F" w:rsidRDefault="00826108" w:rsidP="003A3C99">
            <w:pPr>
              <w:spacing w:line="360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Organisation</w:t>
            </w:r>
          </w:p>
        </w:tc>
        <w:tc>
          <w:tcPr>
            <w:tcW w:w="6015" w:type="dxa"/>
          </w:tcPr>
          <w:p w:rsidR="00826108" w:rsidRPr="007B341F" w:rsidRDefault="00826108" w:rsidP="003A3C9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</w:t>
            </w:r>
          </w:p>
        </w:tc>
      </w:tr>
      <w:tr w:rsidR="00826108" w:rsidRPr="007B341F" w:rsidTr="003A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26108" w:rsidRPr="007B341F" w:rsidRDefault="00826108" w:rsidP="003A3C99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sz w:val="20"/>
                <w:szCs w:val="20"/>
              </w:rPr>
              <w:t>Brotherhood of St Laurence</w:t>
            </w:r>
          </w:p>
        </w:tc>
        <w:tc>
          <w:tcPr>
            <w:tcW w:w="6015" w:type="dxa"/>
            <w:vAlign w:val="center"/>
          </w:tcPr>
          <w:p w:rsidR="00826108" w:rsidRPr="007B341F" w:rsidRDefault="00826108" w:rsidP="003A3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Damia</w:t>
            </w:r>
            <w:r w:rsidRPr="007B341F">
              <w:rPr>
                <w:bCs/>
                <w:sz w:val="20"/>
                <w:szCs w:val="20"/>
              </w:rPr>
              <w:t xml:space="preserve">n Sullivan </w:t>
            </w:r>
            <w:r>
              <w:rPr>
                <w:bCs/>
                <w:sz w:val="20"/>
                <w:szCs w:val="20"/>
              </w:rPr>
              <w:t>-</w:t>
            </w:r>
            <w:r w:rsidRPr="007B341F">
              <w:rPr>
                <w:bCs/>
                <w:sz w:val="20"/>
                <w:szCs w:val="20"/>
              </w:rPr>
              <w:t xml:space="preserve"> Research and Policy Senior Manager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F72B7" w:rsidRPr="007B341F" w:rsidTr="003A3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4F72B7" w:rsidRPr="007B341F" w:rsidRDefault="004F72B7" w:rsidP="00936534">
            <w:pPr>
              <w:spacing w:line="360" w:lineRule="auto"/>
              <w:rPr>
                <w:bCs w:val="0"/>
                <w:sz w:val="20"/>
                <w:szCs w:val="20"/>
              </w:rPr>
            </w:pPr>
            <w:r w:rsidRPr="007B341F">
              <w:rPr>
                <w:bCs w:val="0"/>
                <w:sz w:val="20"/>
                <w:szCs w:val="20"/>
              </w:rPr>
              <w:t>COTA Australia</w:t>
            </w:r>
          </w:p>
        </w:tc>
        <w:tc>
          <w:tcPr>
            <w:tcW w:w="6015" w:type="dxa"/>
            <w:vAlign w:val="center"/>
          </w:tcPr>
          <w:p w:rsidR="003D002F" w:rsidRDefault="003D002F" w:rsidP="009365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Robyn Robinson - Director</w:t>
            </w:r>
          </w:p>
          <w:p w:rsidR="004F72B7" w:rsidRPr="007B341F" w:rsidRDefault="004F72B7" w:rsidP="0093653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Sue McGrath - </w:t>
            </w:r>
            <w:r w:rsidRPr="004F72B7">
              <w:rPr>
                <w:bCs/>
                <w:sz w:val="20"/>
                <w:szCs w:val="20"/>
              </w:rPr>
              <w:t>National Policy Manager</w:t>
            </w:r>
          </w:p>
        </w:tc>
      </w:tr>
    </w:tbl>
    <w:p w:rsidR="00826108" w:rsidRDefault="00826108" w:rsidP="00826108">
      <w:pPr>
        <w:rPr>
          <w:b/>
        </w:rPr>
      </w:pPr>
    </w:p>
    <w:p w:rsidR="00826108" w:rsidRDefault="00826108" w:rsidP="00826108">
      <w:pPr>
        <w:rPr>
          <w:b/>
        </w:rPr>
      </w:pPr>
      <w:r>
        <w:rPr>
          <w:b/>
        </w:rPr>
        <w:t>Non-member attendees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826108" w:rsidRPr="007B341F" w:rsidTr="003A3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26108" w:rsidRPr="007B341F" w:rsidRDefault="00826108" w:rsidP="003A3C99">
            <w:pPr>
              <w:spacing w:line="360" w:lineRule="auto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Organisation</w:t>
            </w:r>
          </w:p>
        </w:tc>
        <w:tc>
          <w:tcPr>
            <w:tcW w:w="6015" w:type="dxa"/>
          </w:tcPr>
          <w:p w:rsidR="00826108" w:rsidRPr="007B341F" w:rsidRDefault="00826108" w:rsidP="003A3C9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Name</w:t>
            </w:r>
          </w:p>
        </w:tc>
      </w:tr>
      <w:tr w:rsidR="00826108" w:rsidRPr="007B341F" w:rsidTr="003A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:rsidR="00826108" w:rsidRPr="009059C9" w:rsidRDefault="00826108" w:rsidP="003A3C9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</w:t>
            </w:r>
          </w:p>
        </w:tc>
        <w:tc>
          <w:tcPr>
            <w:tcW w:w="6015" w:type="dxa"/>
            <w:vAlign w:val="center"/>
          </w:tcPr>
          <w:p w:rsidR="00826108" w:rsidRPr="007B341F" w:rsidRDefault="00826108" w:rsidP="003A3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Rebecca Holland</w:t>
            </w:r>
            <w:r w:rsidRPr="007B341F">
              <w:rPr>
                <w:bCs/>
                <w:sz w:val="20"/>
                <w:szCs w:val="20"/>
              </w:rPr>
              <w:t xml:space="preserve"> - </w:t>
            </w:r>
            <w:r>
              <w:rPr>
                <w:bCs/>
                <w:sz w:val="20"/>
                <w:szCs w:val="20"/>
              </w:rPr>
              <w:t>Director</w:t>
            </w:r>
            <w:r w:rsidRPr="007B341F">
              <w:rPr>
                <w:bCs/>
                <w:sz w:val="20"/>
                <w:szCs w:val="20"/>
              </w:rPr>
              <w:t xml:space="preserve">, Retail </w:t>
            </w:r>
            <w:r>
              <w:rPr>
                <w:bCs/>
                <w:sz w:val="20"/>
                <w:szCs w:val="20"/>
              </w:rPr>
              <w:t>Electricity Pricing Inquiry (Melbourne)</w:t>
            </w:r>
          </w:p>
        </w:tc>
      </w:tr>
      <w:tr w:rsidR="00826108" w:rsidRPr="007B341F" w:rsidTr="003A3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26108" w:rsidRPr="009059C9" w:rsidRDefault="00826108" w:rsidP="003A3C9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the Environment and Energy (Cth)</w:t>
            </w:r>
            <w:r w:rsidRPr="009059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15" w:type="dxa"/>
            <w:vAlign w:val="center"/>
          </w:tcPr>
          <w:p w:rsidR="00826108" w:rsidRPr="007B341F" w:rsidRDefault="00826108" w:rsidP="003A3C9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Clare Valence (Canberra)</w:t>
            </w:r>
          </w:p>
        </w:tc>
      </w:tr>
      <w:tr w:rsidR="00826108" w:rsidRPr="007B341F" w:rsidTr="003A3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26108" w:rsidRPr="009059C9" w:rsidRDefault="00826108" w:rsidP="003A3C9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Services Commission of Victoria  </w:t>
            </w:r>
          </w:p>
        </w:tc>
        <w:tc>
          <w:tcPr>
            <w:tcW w:w="6015" w:type="dxa"/>
            <w:vAlign w:val="center"/>
          </w:tcPr>
          <w:p w:rsidR="00826108" w:rsidRPr="007B341F" w:rsidRDefault="004F72B7" w:rsidP="003A3C9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Jodie McQueen</w:t>
            </w:r>
            <w:r w:rsidR="00826108">
              <w:rPr>
                <w:bCs/>
                <w:sz w:val="20"/>
                <w:szCs w:val="20"/>
              </w:rPr>
              <w:t xml:space="preserve"> (Melbourne)</w:t>
            </w:r>
          </w:p>
        </w:tc>
      </w:tr>
    </w:tbl>
    <w:p w:rsidR="00826108" w:rsidRDefault="00826108" w:rsidP="00826108"/>
    <w:p w:rsidR="00826108" w:rsidRDefault="00826108" w:rsidP="00826108"/>
    <w:p w:rsidR="00AC3E35" w:rsidRDefault="00AC3E35"/>
    <w:sectPr w:rsidR="00AC3E35" w:rsidSect="00B62438">
      <w:footerReference w:type="first" r:id="rId11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08" w:rsidRDefault="00826108" w:rsidP="004B4412">
      <w:r>
        <w:separator/>
      </w:r>
    </w:p>
  </w:endnote>
  <w:endnote w:type="continuationSeparator" w:id="0">
    <w:p w:rsidR="00826108" w:rsidRDefault="00826108" w:rsidP="004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16" w:rsidRDefault="00691616">
    <w:pPr>
      <w:pStyle w:val="Footer"/>
    </w:pPr>
  </w:p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08" w:rsidRDefault="00826108" w:rsidP="004B4412">
      <w:r>
        <w:separator/>
      </w:r>
    </w:p>
  </w:footnote>
  <w:footnote w:type="continuationSeparator" w:id="0">
    <w:p w:rsidR="00826108" w:rsidRDefault="00826108" w:rsidP="004B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07376B05"/>
    <w:multiLevelType w:val="hybridMultilevel"/>
    <w:tmpl w:val="BE626896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>
    <w:nsid w:val="2AA7732A"/>
    <w:multiLevelType w:val="hybridMultilevel"/>
    <w:tmpl w:val="E02219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40311"/>
    <w:multiLevelType w:val="hybridMultilevel"/>
    <w:tmpl w:val="3E4A31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CF28E6"/>
    <w:multiLevelType w:val="hybridMultilevel"/>
    <w:tmpl w:val="6DD4DBB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3F0DC5"/>
    <w:multiLevelType w:val="hybridMultilevel"/>
    <w:tmpl w:val="E12604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13B70"/>
    <w:multiLevelType w:val="hybridMultilevel"/>
    <w:tmpl w:val="095A443E"/>
    <w:lvl w:ilvl="0" w:tplc="0C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2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3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1501E"/>
    <w:multiLevelType w:val="hybridMultilevel"/>
    <w:tmpl w:val="B23AE824"/>
    <w:lvl w:ilvl="0" w:tplc="0C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4DCD0019"/>
    <w:multiLevelType w:val="hybridMultilevel"/>
    <w:tmpl w:val="C14AB6FA"/>
    <w:lvl w:ilvl="0" w:tplc="2C7AA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28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8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8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8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2F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6E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47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2F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F442FA1"/>
    <w:multiLevelType w:val="multilevel"/>
    <w:tmpl w:val="FCF0306E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720"/>
      </w:p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720"/>
      </w:p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72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720"/>
      </w:pPr>
    </w:lvl>
    <w:lvl w:ilvl="4">
      <w:start w:val="1"/>
      <w:numFmt w:val="decimal"/>
      <w:lvlText w:val="%5."/>
      <w:lvlJc w:val="left"/>
      <w:pPr>
        <w:tabs>
          <w:tab w:val="num" w:pos="3940"/>
        </w:tabs>
        <w:ind w:left="3940" w:hanging="720"/>
      </w:pPr>
    </w:lvl>
    <w:lvl w:ilvl="5">
      <w:start w:val="1"/>
      <w:numFmt w:val="decimal"/>
      <w:lvlText w:val="%6."/>
      <w:lvlJc w:val="left"/>
      <w:pPr>
        <w:tabs>
          <w:tab w:val="num" w:pos="4660"/>
        </w:tabs>
        <w:ind w:left="4660" w:hanging="72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720"/>
      </w:pPr>
    </w:lvl>
    <w:lvl w:ilvl="7">
      <w:start w:val="1"/>
      <w:numFmt w:val="decimal"/>
      <w:lvlText w:val="%8."/>
      <w:lvlJc w:val="left"/>
      <w:pPr>
        <w:tabs>
          <w:tab w:val="num" w:pos="6100"/>
        </w:tabs>
        <w:ind w:left="6100" w:hanging="720"/>
      </w:pPr>
    </w:lvl>
    <w:lvl w:ilvl="8">
      <w:start w:val="1"/>
      <w:numFmt w:val="decimal"/>
      <w:lvlText w:val="%9."/>
      <w:lvlJc w:val="left"/>
      <w:pPr>
        <w:tabs>
          <w:tab w:val="num" w:pos="6820"/>
        </w:tabs>
        <w:ind w:left="6820" w:hanging="720"/>
      </w:pPr>
    </w:lvl>
  </w:abstractNum>
  <w:abstractNum w:abstractNumId="27">
    <w:nsid w:val="51F01FC4"/>
    <w:multiLevelType w:val="hybridMultilevel"/>
    <w:tmpl w:val="C83C3BE4"/>
    <w:lvl w:ilvl="0" w:tplc="0C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>
    <w:nsid w:val="57E0024B"/>
    <w:multiLevelType w:val="hybridMultilevel"/>
    <w:tmpl w:val="05E46564"/>
    <w:lvl w:ilvl="0" w:tplc="0C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3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394FED"/>
    <w:multiLevelType w:val="hybridMultilevel"/>
    <w:tmpl w:val="EBF6EA5E"/>
    <w:lvl w:ilvl="0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642075DF"/>
    <w:multiLevelType w:val="hybridMultilevel"/>
    <w:tmpl w:val="6768835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>
    <w:nsid w:val="6AEC3B1B"/>
    <w:multiLevelType w:val="hybridMultilevel"/>
    <w:tmpl w:val="8126F12E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7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8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9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F233707"/>
    <w:multiLevelType w:val="hybridMultilevel"/>
    <w:tmpl w:val="AD981CD2"/>
    <w:lvl w:ilvl="0" w:tplc="0C09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4"/>
  </w:num>
  <w:num w:numId="10">
    <w:abstractNumId w:val="20"/>
  </w:num>
  <w:num w:numId="11">
    <w:abstractNumId w:val="10"/>
  </w:num>
  <w:num w:numId="12">
    <w:abstractNumId w:val="13"/>
  </w:num>
  <w:num w:numId="13">
    <w:abstractNumId w:val="19"/>
  </w:num>
  <w:num w:numId="14">
    <w:abstractNumId w:val="2"/>
  </w:num>
  <w:num w:numId="15">
    <w:abstractNumId w:val="36"/>
  </w:num>
  <w:num w:numId="16">
    <w:abstractNumId w:val="39"/>
  </w:num>
  <w:num w:numId="17">
    <w:abstractNumId w:val="38"/>
  </w:num>
  <w:num w:numId="18">
    <w:abstractNumId w:val="29"/>
  </w:num>
  <w:num w:numId="19">
    <w:abstractNumId w:val="18"/>
  </w:num>
  <w:num w:numId="20">
    <w:abstractNumId w:val="22"/>
  </w:num>
  <w:num w:numId="21">
    <w:abstractNumId w:val="37"/>
  </w:num>
  <w:num w:numId="22">
    <w:abstractNumId w:val="30"/>
  </w:num>
  <w:num w:numId="23">
    <w:abstractNumId w:val="8"/>
  </w:num>
  <w:num w:numId="24">
    <w:abstractNumId w:val="3"/>
  </w:num>
  <w:num w:numId="25">
    <w:abstractNumId w:val="23"/>
  </w:num>
  <w:num w:numId="26">
    <w:abstractNumId w:val="12"/>
  </w:num>
  <w:num w:numId="27">
    <w:abstractNumId w:val="33"/>
  </w:num>
  <w:num w:numId="28">
    <w:abstractNumId w:val="26"/>
  </w:num>
  <w:num w:numId="29">
    <w:abstractNumId w:val="9"/>
  </w:num>
  <w:num w:numId="30">
    <w:abstractNumId w:val="28"/>
  </w:num>
  <w:num w:numId="31">
    <w:abstractNumId w:val="15"/>
  </w:num>
  <w:num w:numId="32">
    <w:abstractNumId w:val="27"/>
  </w:num>
  <w:num w:numId="33">
    <w:abstractNumId w:val="41"/>
  </w:num>
  <w:num w:numId="34">
    <w:abstractNumId w:val="21"/>
  </w:num>
  <w:num w:numId="35">
    <w:abstractNumId w:val="35"/>
  </w:num>
  <w:num w:numId="36">
    <w:abstractNumId w:val="10"/>
  </w:num>
  <w:num w:numId="37">
    <w:abstractNumId w:val="32"/>
  </w:num>
  <w:num w:numId="38">
    <w:abstractNumId w:val="25"/>
  </w:num>
  <w:num w:numId="39">
    <w:abstractNumId w:val="10"/>
  </w:num>
  <w:num w:numId="40">
    <w:abstractNumId w:val="24"/>
  </w:num>
  <w:num w:numId="41">
    <w:abstractNumId w:val="16"/>
  </w:num>
  <w:num w:numId="42">
    <w:abstractNumId w:val="10"/>
  </w:num>
  <w:num w:numId="43">
    <w:abstractNumId w:val="31"/>
  </w:num>
  <w:num w:numId="44">
    <w:abstractNumId w:val="14"/>
  </w:num>
  <w:num w:numId="45">
    <w:abstractNumId w:val="10"/>
  </w:num>
  <w:num w:numId="4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homesharecl\HomeDrives\dsmit\Desktop\Normal.dotm"/>
  </w:docVars>
  <w:rsids>
    <w:rsidRoot w:val="00826108"/>
    <w:rsid w:val="0002115F"/>
    <w:rsid w:val="00021202"/>
    <w:rsid w:val="000225C4"/>
    <w:rsid w:val="00034EB2"/>
    <w:rsid w:val="0003578C"/>
    <w:rsid w:val="00063247"/>
    <w:rsid w:val="00070F9F"/>
    <w:rsid w:val="0007137B"/>
    <w:rsid w:val="00085663"/>
    <w:rsid w:val="00085EBF"/>
    <w:rsid w:val="000A74C2"/>
    <w:rsid w:val="000D122C"/>
    <w:rsid w:val="000E1819"/>
    <w:rsid w:val="000E6C72"/>
    <w:rsid w:val="000F2368"/>
    <w:rsid w:val="00116EB2"/>
    <w:rsid w:val="00124609"/>
    <w:rsid w:val="00152DFE"/>
    <w:rsid w:val="001573E4"/>
    <w:rsid w:val="00160756"/>
    <w:rsid w:val="0017232E"/>
    <w:rsid w:val="00174102"/>
    <w:rsid w:val="00180157"/>
    <w:rsid w:val="00181223"/>
    <w:rsid w:val="00186F77"/>
    <w:rsid w:val="00191A20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24E8E"/>
    <w:rsid w:val="00251745"/>
    <w:rsid w:val="00263AC0"/>
    <w:rsid w:val="0026772D"/>
    <w:rsid w:val="00286874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2D9"/>
    <w:rsid w:val="003518B3"/>
    <w:rsid w:val="00371641"/>
    <w:rsid w:val="003846F1"/>
    <w:rsid w:val="00385547"/>
    <w:rsid w:val="003A673F"/>
    <w:rsid w:val="003B5A70"/>
    <w:rsid w:val="003D002F"/>
    <w:rsid w:val="003F59DE"/>
    <w:rsid w:val="00423BDF"/>
    <w:rsid w:val="00475DDE"/>
    <w:rsid w:val="00480B4B"/>
    <w:rsid w:val="00485DC4"/>
    <w:rsid w:val="004B4412"/>
    <w:rsid w:val="004C348C"/>
    <w:rsid w:val="004D1733"/>
    <w:rsid w:val="004D55BA"/>
    <w:rsid w:val="004F72B7"/>
    <w:rsid w:val="005038DB"/>
    <w:rsid w:val="0052379B"/>
    <w:rsid w:val="00530128"/>
    <w:rsid w:val="00532467"/>
    <w:rsid w:val="0054050A"/>
    <w:rsid w:val="00547BA2"/>
    <w:rsid w:val="00547CCF"/>
    <w:rsid w:val="00564A4D"/>
    <w:rsid w:val="00571B35"/>
    <w:rsid w:val="00571C9F"/>
    <w:rsid w:val="00577A09"/>
    <w:rsid w:val="00580B78"/>
    <w:rsid w:val="00584D8F"/>
    <w:rsid w:val="005869E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5900"/>
    <w:rsid w:val="00646025"/>
    <w:rsid w:val="00663DAD"/>
    <w:rsid w:val="00676679"/>
    <w:rsid w:val="00691616"/>
    <w:rsid w:val="006B4CF9"/>
    <w:rsid w:val="006B7AC8"/>
    <w:rsid w:val="006D550F"/>
    <w:rsid w:val="006D77F3"/>
    <w:rsid w:val="006F492A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5671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26108"/>
    <w:rsid w:val="008344F6"/>
    <w:rsid w:val="0083510F"/>
    <w:rsid w:val="00851209"/>
    <w:rsid w:val="00873BF3"/>
    <w:rsid w:val="0088007E"/>
    <w:rsid w:val="008837AC"/>
    <w:rsid w:val="00887050"/>
    <w:rsid w:val="008945B4"/>
    <w:rsid w:val="008A587D"/>
    <w:rsid w:val="008C5486"/>
    <w:rsid w:val="008E7031"/>
    <w:rsid w:val="00922C95"/>
    <w:rsid w:val="009233EE"/>
    <w:rsid w:val="0093685A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0248C"/>
    <w:rsid w:val="00A1665B"/>
    <w:rsid w:val="00A323D9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4832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D3F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632B5"/>
    <w:rsid w:val="00C755AD"/>
    <w:rsid w:val="00C86679"/>
    <w:rsid w:val="00CB666B"/>
    <w:rsid w:val="00CF799E"/>
    <w:rsid w:val="00D01CF0"/>
    <w:rsid w:val="00D0442A"/>
    <w:rsid w:val="00D203E1"/>
    <w:rsid w:val="00D257CC"/>
    <w:rsid w:val="00D521D5"/>
    <w:rsid w:val="00D544B8"/>
    <w:rsid w:val="00D61388"/>
    <w:rsid w:val="00D61A54"/>
    <w:rsid w:val="00D64DEA"/>
    <w:rsid w:val="00D70309"/>
    <w:rsid w:val="00D80893"/>
    <w:rsid w:val="00D92CF1"/>
    <w:rsid w:val="00D92D38"/>
    <w:rsid w:val="00D950F5"/>
    <w:rsid w:val="00DA7C24"/>
    <w:rsid w:val="00DB0F93"/>
    <w:rsid w:val="00DC542F"/>
    <w:rsid w:val="00DC7981"/>
    <w:rsid w:val="00DE4EFA"/>
    <w:rsid w:val="00DE5520"/>
    <w:rsid w:val="00E04818"/>
    <w:rsid w:val="00E06442"/>
    <w:rsid w:val="00E11325"/>
    <w:rsid w:val="00E23993"/>
    <w:rsid w:val="00E25B8C"/>
    <w:rsid w:val="00E27642"/>
    <w:rsid w:val="00E4674F"/>
    <w:rsid w:val="00E65C85"/>
    <w:rsid w:val="00E66199"/>
    <w:rsid w:val="00E755EC"/>
    <w:rsid w:val="00E7624D"/>
    <w:rsid w:val="00EA3D42"/>
    <w:rsid w:val="00EA6B1B"/>
    <w:rsid w:val="00ED7762"/>
    <w:rsid w:val="00EE28F3"/>
    <w:rsid w:val="00EE5FE8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67C82"/>
    <w:rsid w:val="00F75A26"/>
    <w:rsid w:val="00F83FAD"/>
    <w:rsid w:val="00F91DC6"/>
    <w:rsid w:val="00F952A0"/>
    <w:rsid w:val="00F96FF4"/>
    <w:rsid w:val="00FA3C7F"/>
    <w:rsid w:val="00FA4E09"/>
    <w:rsid w:val="00FB52D7"/>
    <w:rsid w:val="00FB74E2"/>
    <w:rsid w:val="00FD5614"/>
    <w:rsid w:val="00FE0BE1"/>
    <w:rsid w:val="00FE13EA"/>
    <w:rsid w:val="00FE1DE9"/>
    <w:rsid w:val="00FE39C2"/>
    <w:rsid w:val="00FE4117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iPriority="1" w:unhideWhenUsed="0"/>
    <w:lsdException w:name="footnote text" w:uiPriority="2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6108"/>
    <w:pPr>
      <w:widowControl w:val="0"/>
      <w:spacing w:before="0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uiPriority w:val="1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aliases w:val="List Paragraph11,Recommendation,List Paragraph1,1 heading,Dot point 1.5 line spacing,L,List Paragraph - bullets,NFP GP Bulleted List,bullet point list,Bulleted Para,CV text,Dot pt,F5 List Paragraph,FooterText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 w:cs="Times New Roman"/>
      <w:szCs w:val="20"/>
      <w:lang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styleId="BodyText">
    <w:name w:val="Body Text"/>
    <w:basedOn w:val="Normal"/>
    <w:link w:val="BodyTextChar"/>
    <w:uiPriority w:val="1"/>
    <w:qFormat/>
    <w:rsid w:val="0082610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26108"/>
    <w:rPr>
      <w:rFonts w:ascii="Arial" w:eastAsia="Arial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List Paragraph11 Char,Recommendation Char,List Paragraph1 Char,1 heading Char,Dot point 1.5 line spacing Char,L Char,List Paragraph - bullets Char,NFP GP Bulleted List Char,bullet point list Char,Bulleted Para Char,CV text Char"/>
    <w:basedOn w:val="DefaultParagraphFont"/>
    <w:link w:val="ListParagraph"/>
    <w:uiPriority w:val="34"/>
    <w:locked/>
    <w:rsid w:val="00826108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5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547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547"/>
    <w:rPr>
      <w:rFonts w:ascii="Arial" w:eastAsia="Arial" w:hAnsi="Arial" w:cs="Arial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2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semiHidden="0" w:uiPriority="1" w:unhideWhenUsed="0"/>
    <w:lsdException w:name="footnote text" w:uiPriority="2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6108"/>
    <w:pPr>
      <w:widowControl w:val="0"/>
      <w:spacing w:before="0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uiPriority w:val="1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aliases w:val="List Paragraph11,Recommendation,List Paragraph1,1 heading,Dot point 1.5 line spacing,L,List Paragraph - bullets,NFP GP Bulleted List,bullet point list,Bulleted Para,CV text,Dot pt,F5 List Paragraph,FooterText"/>
    <w:basedOn w:val="Normal"/>
    <w:link w:val="ListParagraphChar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after="200"/>
      <w:jc w:val="right"/>
    </w:pPr>
    <w:rPr>
      <w:rFonts w:asciiTheme="minorHAnsi" w:hAnsiTheme="minorHAnsi" w:cs="Times New Roman"/>
      <w:szCs w:val="20"/>
      <w:lang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styleId="BodyText">
    <w:name w:val="Body Text"/>
    <w:basedOn w:val="Normal"/>
    <w:link w:val="BodyTextChar"/>
    <w:uiPriority w:val="1"/>
    <w:qFormat/>
    <w:rsid w:val="0082610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26108"/>
    <w:rPr>
      <w:rFonts w:ascii="Arial" w:eastAsia="Arial" w:hAnsi="Arial" w:cs="Arial"/>
      <w:sz w:val="20"/>
      <w:szCs w:val="20"/>
      <w:lang w:val="en-US"/>
    </w:rPr>
  </w:style>
  <w:style w:type="character" w:customStyle="1" w:styleId="ListParagraphChar">
    <w:name w:val="List Paragraph Char"/>
    <w:aliases w:val="List Paragraph11 Char,Recommendation Char,List Paragraph1 Char,1 heading Char,Dot point 1.5 line spacing Char,L Char,List Paragraph - bullets Char,NFP GP Bulleted List Char,bullet point list Char,Bulleted Para Char,CV text Char"/>
    <w:basedOn w:val="DefaultParagraphFont"/>
    <w:link w:val="ListParagraph"/>
    <w:uiPriority w:val="34"/>
    <w:locked/>
    <w:rsid w:val="00826108"/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5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547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547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B2550A-ED67-476E-96AD-9F7AE407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8403615B</Template>
  <TotalTime>1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Albornoz, Pablo</dc:creator>
  <cp:lastModifiedBy>Albornoz, Pablo</cp:lastModifiedBy>
  <cp:revision>4</cp:revision>
  <dcterms:created xsi:type="dcterms:W3CDTF">2018-01-18T02:03:00Z</dcterms:created>
  <dcterms:modified xsi:type="dcterms:W3CDTF">2018-01-18T02:05:00Z</dcterms:modified>
</cp:coreProperties>
</file>