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4EF8" w:rsidRPr="00C4712A" w:rsidRDefault="002A4EF8" w:rsidP="002A4EF8">
      <w:pPr>
        <w:pStyle w:val="Heading1"/>
        <w:spacing w:before="120"/>
        <w:ind w:left="142"/>
        <w:rPr>
          <w:rFonts w:asciiTheme="minorHAnsi" w:hAnsiTheme="minorHAnsi" w:cstheme="minorHAnsi"/>
          <w:b/>
          <w:sz w:val="36"/>
          <w:szCs w:val="36"/>
        </w:rPr>
      </w:pPr>
      <w:bookmarkStart w:id="0" w:name="_Toc305751931"/>
      <w:bookmarkStart w:id="1" w:name="_Toc308601044"/>
      <w:bookmarkStart w:id="2" w:name="_Toc316978870"/>
      <w:bookmarkStart w:id="3" w:name="_Toc317520246"/>
      <w:bookmarkStart w:id="4" w:name="OLE_LINK72"/>
      <w:bookmarkStart w:id="5" w:name="OLE_LINK73"/>
      <w:bookmarkStart w:id="6" w:name="_GoBack"/>
      <w:bookmarkEnd w:id="6"/>
      <w:r w:rsidRPr="00C4712A">
        <w:rPr>
          <w:rFonts w:asciiTheme="minorHAnsi" w:hAnsiTheme="minorHAnsi" w:cstheme="minorHAnsi"/>
          <w:b/>
          <w:noProof/>
          <w:color w:val="FFFFFF" w:themeColor="background1"/>
          <w:sz w:val="36"/>
          <w:szCs w:val="36"/>
          <w:lang w:eastAsia="en-AU"/>
        </w:rPr>
        <w:drawing>
          <wp:anchor distT="0" distB="0" distL="114300" distR="114300" simplePos="0" relativeHeight="251666432" behindDoc="1" locked="0" layoutInCell="1" allowOverlap="1" wp14:anchorId="0BE068F8" wp14:editId="3B27A352">
            <wp:simplePos x="0" y="0"/>
            <wp:positionH relativeFrom="column">
              <wp:posOffset>0</wp:posOffset>
            </wp:positionH>
            <wp:positionV relativeFrom="paragraph">
              <wp:posOffset>7800</wp:posOffset>
            </wp:positionV>
            <wp:extent cx="5693434" cy="923502"/>
            <wp:effectExtent l="0" t="0" r="2540" b="0"/>
            <wp:wrapNone/>
            <wp:docPr id="1" name="Picture 1" descr="Australian Energy Regulat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stralian Energy Regulator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94619" cy="923694"/>
                    </a:xfrm>
                    <a:prstGeom prst="rect">
                      <a:avLst/>
                    </a:prstGeom>
                    <a:noFill/>
                  </pic:spPr>
                </pic:pic>
              </a:graphicData>
            </a:graphic>
            <wp14:sizeRelH relativeFrom="page">
              <wp14:pctWidth>0</wp14:pctWidth>
            </wp14:sizeRelH>
            <wp14:sizeRelV relativeFrom="page">
              <wp14:pctHeight>0</wp14:pctHeight>
            </wp14:sizeRelV>
          </wp:anchor>
        </w:drawing>
      </w:r>
      <w:r w:rsidR="0015496E">
        <w:rPr>
          <w:rFonts w:asciiTheme="minorHAnsi" w:hAnsiTheme="minorHAnsi" w:cstheme="minorHAnsi"/>
          <w:b/>
          <w:color w:val="FFFFFF" w:themeColor="background1"/>
          <w:sz w:val="36"/>
          <w:szCs w:val="36"/>
        </w:rPr>
        <w:t xml:space="preserve"> </w:t>
      </w:r>
      <w:r w:rsidR="003171C6">
        <w:rPr>
          <w:rFonts w:asciiTheme="minorHAnsi" w:hAnsiTheme="minorHAnsi" w:cstheme="minorHAnsi"/>
          <w:b/>
          <w:color w:val="FFFFFF" w:themeColor="background1"/>
          <w:sz w:val="36"/>
          <w:szCs w:val="36"/>
        </w:rPr>
        <w:t>Gas Market</w:t>
      </w:r>
      <w:r w:rsidRPr="00C4712A">
        <w:rPr>
          <w:rFonts w:asciiTheme="minorHAnsi" w:hAnsiTheme="minorHAnsi" w:cstheme="minorHAnsi"/>
          <w:b/>
          <w:color w:val="FFFFFF" w:themeColor="background1"/>
          <w:sz w:val="36"/>
          <w:szCs w:val="36"/>
        </w:rPr>
        <w:t xml:space="preserve"> Report</w:t>
      </w:r>
    </w:p>
    <w:p w:rsidR="002A4EF8" w:rsidRPr="00C4712A" w:rsidRDefault="002A4EF8" w:rsidP="002A4EF8"/>
    <w:p w:rsidR="002A4EF8" w:rsidRDefault="002A4EF8" w:rsidP="002A4EF8"/>
    <w:p w:rsidR="00286866" w:rsidRPr="00AC3047" w:rsidRDefault="003260D8" w:rsidP="00286866">
      <w:pPr>
        <w:pStyle w:val="Heading2"/>
        <w:rPr>
          <w:i/>
        </w:rPr>
      </w:pPr>
      <w:r>
        <w:rPr>
          <w:sz w:val="36"/>
          <w:szCs w:val="36"/>
        </w:rPr>
        <w:t>7 – 13 May 2017</w:t>
      </w:r>
    </w:p>
    <w:p w:rsidR="000835F4" w:rsidRPr="000835F4" w:rsidRDefault="000835F4" w:rsidP="000835F4">
      <w:pPr>
        <w:pStyle w:val="Heading2"/>
        <w:rPr>
          <w:rFonts w:eastAsia="Times New Roman" w:cs="Times New Roman"/>
          <w:color w:val="2272A3" w:themeColor="accent4" w:themeShade="80"/>
          <w:sz w:val="32"/>
          <w:szCs w:val="20"/>
        </w:rPr>
      </w:pPr>
      <w:r w:rsidRPr="000835F4">
        <w:rPr>
          <w:rFonts w:eastAsia="Times New Roman" w:cs="Times New Roman"/>
          <w:color w:val="2272A3" w:themeColor="accent4" w:themeShade="80"/>
          <w:sz w:val="32"/>
          <w:szCs w:val="20"/>
        </w:rPr>
        <w:t>Weekly Summary</w:t>
      </w:r>
    </w:p>
    <w:p w:rsidR="003260D8" w:rsidRPr="001570F4" w:rsidRDefault="003260D8" w:rsidP="003260D8">
      <w:pPr>
        <w:jc w:val="both"/>
      </w:pPr>
      <w:r w:rsidRPr="001570F4">
        <w:t>Price and demand trends were flat across the Sydney, Adelaide and Brisbane Short Term Trading Markets from the previous week</w:t>
      </w:r>
      <w:r>
        <w:t xml:space="preserve">. In contrast, there </w:t>
      </w:r>
      <w:r w:rsidRPr="001570F4">
        <w:t>were moderate price and demand increases in the Victorian gas market for the third successive week</w:t>
      </w:r>
      <w:r>
        <w:t xml:space="preserve">. </w:t>
      </w:r>
      <w:proofErr w:type="gramStart"/>
      <w:r>
        <w:t>t</w:t>
      </w:r>
      <w:r w:rsidRPr="001570F4">
        <w:t>he</w:t>
      </w:r>
      <w:proofErr w:type="gramEnd"/>
      <w:r w:rsidRPr="001570F4">
        <w:t xml:space="preserve"> gas held at Victoria’s Iona Underground Storage facility declined by 240 TJ.</w:t>
      </w:r>
    </w:p>
    <w:p w:rsidR="003260D8" w:rsidRDefault="003260D8" w:rsidP="003260D8">
      <w:pPr>
        <w:jc w:val="both"/>
      </w:pPr>
      <w:r w:rsidRPr="001570F4">
        <w:t>There w</w:t>
      </w:r>
      <w:r>
        <w:t xml:space="preserve">as </w:t>
      </w:r>
      <w:r w:rsidR="002A32F1">
        <w:t xml:space="preserve">75 </w:t>
      </w:r>
      <w:r>
        <w:t>TJ traded on the Wallumbilla Gas Supply Hub exchange platform</w:t>
      </w:r>
      <w:r w:rsidR="002A32F1">
        <w:t xml:space="preserve"> (excluding off-market trades)</w:t>
      </w:r>
      <w:r>
        <w:t xml:space="preserve"> this week compared to 17 TJ the week before. </w:t>
      </w:r>
    </w:p>
    <w:p w:rsidR="003260D8" w:rsidRPr="001570F4" w:rsidRDefault="003260D8" w:rsidP="003260D8">
      <w:pPr>
        <w:jc w:val="both"/>
      </w:pPr>
      <w:r w:rsidRPr="001570F4">
        <w:t>Flows on APLNG’s export pipeline continued at record levels from the previous week.</w:t>
      </w:r>
    </w:p>
    <w:p w:rsidR="003260D8" w:rsidRPr="000835F4" w:rsidRDefault="003260D8" w:rsidP="003260D8">
      <w:pPr>
        <w:jc w:val="both"/>
      </w:pPr>
      <w:r w:rsidRPr="001570F4">
        <w:t>There were large increases in ancillary service payments in Sydney</w:t>
      </w:r>
      <w:r>
        <w:t>, with payments averaging almost $100,000 a day. Since 1 May demand at the Sydney hub has been over forecast every day.</w:t>
      </w:r>
      <w:r w:rsidR="00453C22">
        <w:t xml:space="preserve"> In addition, the costs for decrease services on the MSP (which provides the majority of decrease MOS services in the Sydney hub) have risen for the month of May, contributing to higher payments.</w:t>
      </w:r>
    </w:p>
    <w:p w:rsidR="000835F4" w:rsidRPr="000835F4" w:rsidRDefault="000835F4" w:rsidP="001521CB">
      <w:pPr>
        <w:pStyle w:val="Heading3"/>
        <w:rPr>
          <w:rFonts w:eastAsia="Times New Roman" w:cs="Times New Roman"/>
          <w:color w:val="2272A3" w:themeColor="accent4" w:themeShade="80"/>
          <w:sz w:val="32"/>
          <w:szCs w:val="20"/>
        </w:rPr>
      </w:pPr>
      <w:r w:rsidRPr="000835F4">
        <w:rPr>
          <w:rFonts w:eastAsia="Times New Roman" w:cs="Times New Roman"/>
          <w:color w:val="2272A3" w:themeColor="accent4" w:themeShade="80"/>
          <w:sz w:val="32"/>
          <w:szCs w:val="20"/>
        </w:rPr>
        <w:t>Long term statistics and explanatory material</w:t>
      </w:r>
    </w:p>
    <w:p w:rsidR="000835F4" w:rsidRPr="00AF2164" w:rsidRDefault="000835F4" w:rsidP="000835F4">
      <w:pPr>
        <w:jc w:val="both"/>
      </w:pPr>
      <w:r>
        <w:t xml:space="preserve">The AER has published an </w:t>
      </w:r>
      <w:hyperlink r:id="rId10" w:history="1">
        <w:r>
          <w:rPr>
            <w:rStyle w:val="Hyperlink"/>
          </w:rPr>
          <w:t>explanatory note</w:t>
        </w:r>
      </w:hyperlink>
      <w:r>
        <w:t xml:space="preserve"> to assist with interpreting the data presented in its weekly gas market reports. The AER also publish a range of </w:t>
      </w:r>
      <w:hyperlink r:id="rId11" w:history="1">
        <w:r>
          <w:rPr>
            <w:rStyle w:val="Hyperlink"/>
          </w:rPr>
          <w:t>longer term statistics</w:t>
        </w:r>
      </w:hyperlink>
      <w:r>
        <w:t xml:space="preserve"> on the performance of the gas sector including gas prices, production, pipeline flows and consumer demand.</w:t>
      </w:r>
    </w:p>
    <w:p w:rsidR="000835F4" w:rsidRPr="000835F4" w:rsidRDefault="000835F4" w:rsidP="001521CB">
      <w:pPr>
        <w:pStyle w:val="Heading3"/>
        <w:rPr>
          <w:rFonts w:eastAsia="Times New Roman" w:cs="Times New Roman"/>
          <w:color w:val="2272A3" w:themeColor="accent4" w:themeShade="80"/>
          <w:sz w:val="32"/>
          <w:szCs w:val="20"/>
        </w:rPr>
      </w:pPr>
      <w:r w:rsidRPr="000835F4">
        <w:rPr>
          <w:rFonts w:eastAsia="Times New Roman" w:cs="Times New Roman"/>
          <w:color w:val="2272A3" w:themeColor="accent4" w:themeShade="80"/>
          <w:sz w:val="32"/>
          <w:szCs w:val="20"/>
        </w:rPr>
        <w:t>Market overview</w:t>
      </w:r>
    </w:p>
    <w:p w:rsidR="000835F4" w:rsidRDefault="000835F4" w:rsidP="000835F4">
      <w:pPr>
        <w:jc w:val="both"/>
      </w:pPr>
      <w:r w:rsidRPr="00EC137F">
        <w:t>Figure 1 sets out the average daily prices ($/GJ) for the current week</w:t>
      </w:r>
      <w:r w:rsidR="003106BC" w:rsidRPr="00EC137F">
        <w:t>, and demand levels,</w:t>
      </w:r>
      <w:r w:rsidRPr="00EC137F">
        <w:t xml:space="preserve"> compared to historical averages. </w:t>
      </w:r>
      <w:r w:rsidR="003106BC" w:rsidRPr="00EC137F">
        <w:t>Regions shown include</w:t>
      </w:r>
      <w:r w:rsidRPr="00EC137F">
        <w:t xml:space="preserve"> the Victorian Declared Wholesale Market </w:t>
      </w:r>
      <w:r w:rsidRPr="00EC137F">
        <w:rPr>
          <w:b/>
        </w:rPr>
        <w:t>(VGM or Victorian gas market)</w:t>
      </w:r>
      <w:r w:rsidRPr="00EC137F">
        <w:t xml:space="preserve"> and for the Sydney </w:t>
      </w:r>
      <w:r w:rsidRPr="00EC137F">
        <w:rPr>
          <w:b/>
        </w:rPr>
        <w:t>(SYD)</w:t>
      </w:r>
      <w:r w:rsidRPr="00EC137F">
        <w:t xml:space="preserve">, Adelaide </w:t>
      </w:r>
      <w:r w:rsidRPr="00EC137F">
        <w:rPr>
          <w:b/>
        </w:rPr>
        <w:t xml:space="preserve">(ADL) </w:t>
      </w:r>
      <w:r w:rsidRPr="00EC137F">
        <w:t xml:space="preserve">and Brisbane </w:t>
      </w:r>
      <w:r w:rsidRPr="00EC137F">
        <w:rPr>
          <w:b/>
        </w:rPr>
        <w:t xml:space="preserve">(BRI) </w:t>
      </w:r>
      <w:r w:rsidRPr="00EC137F">
        <w:t xml:space="preserve">Short Term Trading Market hubs </w:t>
      </w:r>
      <w:r w:rsidRPr="00EC137F">
        <w:rPr>
          <w:b/>
        </w:rPr>
        <w:t>(STTM)</w:t>
      </w:r>
      <w:r w:rsidRPr="00EC137F">
        <w:t xml:space="preserve">. </w:t>
      </w:r>
    </w:p>
    <w:p w:rsidR="00953A7A" w:rsidRDefault="00953A7A">
      <w:pPr>
        <w:spacing w:line="240" w:lineRule="auto"/>
        <w:rPr>
          <w:b/>
          <w:bCs/>
          <w:color w:val="2272A3" w:themeColor="accent4" w:themeShade="80"/>
          <w:sz w:val="24"/>
          <w:szCs w:val="18"/>
        </w:rPr>
      </w:pPr>
      <w:r>
        <w:br w:type="page"/>
      </w:r>
    </w:p>
    <w:p w:rsidR="000835F4" w:rsidRDefault="000835F4" w:rsidP="000835F4">
      <w:pPr>
        <w:pStyle w:val="Caption"/>
        <w:rPr>
          <w:color w:val="2272A3"/>
          <w:szCs w:val="24"/>
        </w:rPr>
      </w:pPr>
      <w:r w:rsidRPr="00BE2075">
        <w:lastRenderedPageBreak/>
        <w:t xml:space="preserve">Figure </w:t>
      </w:r>
      <w:fldSimple w:instr=" SEQ Figure \* ARABIC ">
        <w:r w:rsidR="001521CB">
          <w:rPr>
            <w:noProof/>
          </w:rPr>
          <w:t>1</w:t>
        </w:r>
      </w:fldSimple>
      <w:r w:rsidRPr="00BE2075">
        <w:t xml:space="preserve">: </w:t>
      </w:r>
      <w:r w:rsidRPr="006E7E57">
        <w:rPr>
          <w:color w:val="2272A3"/>
          <w:szCs w:val="24"/>
        </w:rPr>
        <w:t>Average daily prices</w:t>
      </w:r>
      <w:r w:rsidR="003106BC">
        <w:rPr>
          <w:color w:val="2272A3"/>
          <w:szCs w:val="24"/>
        </w:rPr>
        <w:t xml:space="preserve"> and demand</w:t>
      </w:r>
      <w:r w:rsidRPr="006E7E57">
        <w:rPr>
          <w:color w:val="2272A3"/>
          <w:szCs w:val="24"/>
        </w:rPr>
        <w:t xml:space="preserve"> – all markets ($/GJ</w:t>
      </w:r>
      <w:r w:rsidR="003106BC" w:rsidRPr="00EC137F">
        <w:rPr>
          <w:color w:val="2272A3"/>
          <w:szCs w:val="24"/>
        </w:rPr>
        <w:t>, TJ</w:t>
      </w:r>
      <w:r w:rsidRPr="00EC137F">
        <w:rPr>
          <w:color w:val="2272A3"/>
          <w:szCs w:val="24"/>
        </w:rPr>
        <w:t>)</w:t>
      </w:r>
      <w:r w:rsidRPr="00EC137F">
        <w:rPr>
          <w:color w:val="2272A3"/>
          <w:szCs w:val="24"/>
          <w:vertAlign w:val="superscript"/>
        </w:rPr>
        <w:footnoteReference w:id="1"/>
      </w:r>
    </w:p>
    <w:tbl>
      <w:tblPr>
        <w:tblStyle w:val="AERTable-Text"/>
        <w:tblW w:w="4909" w:type="pct"/>
        <w:tblLayout w:type="fixed"/>
        <w:tblLook w:val="04A0" w:firstRow="1" w:lastRow="0" w:firstColumn="1" w:lastColumn="0" w:noHBand="0" w:noVBand="1"/>
      </w:tblPr>
      <w:tblGrid>
        <w:gridCol w:w="1924"/>
        <w:gridCol w:w="1009"/>
        <w:gridCol w:w="849"/>
        <w:gridCol w:w="864"/>
        <w:gridCol w:w="851"/>
        <w:gridCol w:w="907"/>
        <w:gridCol w:w="849"/>
        <w:gridCol w:w="846"/>
        <w:gridCol w:w="975"/>
      </w:tblGrid>
      <w:tr w:rsidR="00DD5D65" w:rsidRPr="002861A9" w:rsidTr="003260D8">
        <w:trPr>
          <w:cnfStyle w:val="100000000000" w:firstRow="1" w:lastRow="0" w:firstColumn="0" w:lastColumn="0" w:oddVBand="0" w:evenVBand="0" w:oddHBand="0" w:evenHBand="0" w:firstRowFirstColumn="0" w:firstRowLastColumn="0" w:lastRowFirstColumn="0" w:lastRowLastColumn="0"/>
          <w:trHeight w:val="404"/>
          <w:tblHeader/>
        </w:trPr>
        <w:tc>
          <w:tcPr>
            <w:tcW w:w="1060" w:type="pct"/>
            <w:tcBorders>
              <w:bottom w:val="nil"/>
            </w:tcBorders>
            <w:vAlign w:val="center"/>
          </w:tcPr>
          <w:p w:rsidR="00674600" w:rsidRPr="00E16EDC" w:rsidRDefault="00674600" w:rsidP="00674600">
            <w:pPr>
              <w:pStyle w:val="TableHeading"/>
              <w:spacing w:before="120" w:after="0" w:line="240" w:lineRule="auto"/>
              <w:jc w:val="center"/>
              <w:rPr>
                <w:rFonts w:cs="Arial"/>
                <w:sz w:val="20"/>
                <w:szCs w:val="20"/>
              </w:rPr>
            </w:pPr>
          </w:p>
        </w:tc>
        <w:tc>
          <w:tcPr>
            <w:tcW w:w="1024" w:type="pct"/>
            <w:gridSpan w:val="2"/>
            <w:tcBorders>
              <w:bottom w:val="nil"/>
            </w:tcBorders>
            <w:vAlign w:val="center"/>
          </w:tcPr>
          <w:p w:rsidR="00674600" w:rsidRPr="00E95390" w:rsidRDefault="00674600" w:rsidP="00674600">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Victoria</w:t>
            </w:r>
          </w:p>
        </w:tc>
        <w:tc>
          <w:tcPr>
            <w:tcW w:w="945" w:type="pct"/>
            <w:gridSpan w:val="2"/>
            <w:tcBorders>
              <w:bottom w:val="nil"/>
            </w:tcBorders>
            <w:vAlign w:val="center"/>
          </w:tcPr>
          <w:p w:rsidR="00674600" w:rsidRPr="00E95390" w:rsidRDefault="00674600" w:rsidP="00674600">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Sydney</w:t>
            </w:r>
          </w:p>
        </w:tc>
        <w:tc>
          <w:tcPr>
            <w:tcW w:w="968" w:type="pct"/>
            <w:gridSpan w:val="2"/>
            <w:tcBorders>
              <w:bottom w:val="nil"/>
            </w:tcBorders>
            <w:vAlign w:val="center"/>
          </w:tcPr>
          <w:p w:rsidR="00674600" w:rsidRPr="00E95390" w:rsidRDefault="00674600" w:rsidP="00674600">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Adelaide</w:t>
            </w:r>
          </w:p>
        </w:tc>
        <w:tc>
          <w:tcPr>
            <w:tcW w:w="1004" w:type="pct"/>
            <w:gridSpan w:val="2"/>
            <w:tcBorders>
              <w:bottom w:val="nil"/>
            </w:tcBorders>
            <w:vAlign w:val="center"/>
          </w:tcPr>
          <w:p w:rsidR="00674600" w:rsidRPr="00E95390" w:rsidRDefault="00674600" w:rsidP="00674600">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Brisbane</w:t>
            </w:r>
          </w:p>
        </w:tc>
      </w:tr>
      <w:tr w:rsidR="00DD5D65" w:rsidRPr="002861A9" w:rsidTr="003260D8">
        <w:trPr>
          <w:cnfStyle w:val="100000000000" w:firstRow="1" w:lastRow="0" w:firstColumn="0" w:lastColumn="0" w:oddVBand="0" w:evenVBand="0" w:oddHBand="0" w:evenHBand="0" w:firstRowFirstColumn="0" w:firstRowLastColumn="0" w:lastRowFirstColumn="0" w:lastRowLastColumn="0"/>
          <w:tblHeader/>
        </w:trPr>
        <w:tc>
          <w:tcPr>
            <w:tcW w:w="1060" w:type="pct"/>
            <w:tcBorders>
              <w:bottom w:val="nil"/>
            </w:tcBorders>
            <w:vAlign w:val="center"/>
            <w:hideMark/>
          </w:tcPr>
          <w:p w:rsidR="00674600" w:rsidRPr="00A226E9" w:rsidRDefault="00674600" w:rsidP="00674600">
            <w:pPr>
              <w:spacing w:before="0" w:line="240" w:lineRule="auto"/>
              <w:rPr>
                <w:rFonts w:cs="Arial"/>
                <w:sz w:val="20"/>
                <w:szCs w:val="20"/>
                <w:highlight w:val="yellow"/>
              </w:rPr>
            </w:pPr>
          </w:p>
        </w:tc>
        <w:tc>
          <w:tcPr>
            <w:tcW w:w="556" w:type="pct"/>
            <w:tcBorders>
              <w:bottom w:val="nil"/>
            </w:tcBorders>
            <w:vAlign w:val="center"/>
            <w:hideMark/>
          </w:tcPr>
          <w:p w:rsidR="00674600" w:rsidRPr="00E16EDC" w:rsidRDefault="00674600" w:rsidP="00674600">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468" w:type="pct"/>
            <w:tcBorders>
              <w:bottom w:val="nil"/>
            </w:tcBorders>
            <w:vAlign w:val="center"/>
            <w:hideMark/>
          </w:tcPr>
          <w:p w:rsidR="00674600" w:rsidRPr="00E16EDC" w:rsidRDefault="00674600" w:rsidP="00674600">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476" w:type="pct"/>
            <w:tcBorders>
              <w:bottom w:val="nil"/>
            </w:tcBorders>
            <w:vAlign w:val="center"/>
            <w:hideMark/>
          </w:tcPr>
          <w:p w:rsidR="00674600" w:rsidRPr="00E16EDC" w:rsidRDefault="00674600" w:rsidP="00674600">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469" w:type="pct"/>
            <w:tcBorders>
              <w:bottom w:val="nil"/>
            </w:tcBorders>
            <w:vAlign w:val="center"/>
          </w:tcPr>
          <w:p w:rsidR="00674600" w:rsidRPr="00E16EDC" w:rsidRDefault="00674600" w:rsidP="00674600">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500" w:type="pct"/>
            <w:tcBorders>
              <w:bottom w:val="nil"/>
            </w:tcBorders>
            <w:vAlign w:val="center"/>
          </w:tcPr>
          <w:p w:rsidR="00674600" w:rsidRPr="00E16EDC" w:rsidRDefault="00674600" w:rsidP="00674600">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468" w:type="pct"/>
            <w:tcBorders>
              <w:bottom w:val="nil"/>
            </w:tcBorders>
            <w:vAlign w:val="center"/>
          </w:tcPr>
          <w:p w:rsidR="00674600" w:rsidRPr="00E16EDC" w:rsidRDefault="00674600" w:rsidP="00674600">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466" w:type="pct"/>
            <w:tcBorders>
              <w:bottom w:val="nil"/>
            </w:tcBorders>
            <w:vAlign w:val="center"/>
          </w:tcPr>
          <w:p w:rsidR="00674600" w:rsidRPr="00E16EDC" w:rsidRDefault="00674600" w:rsidP="00674600">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538" w:type="pct"/>
            <w:tcBorders>
              <w:bottom w:val="nil"/>
            </w:tcBorders>
            <w:vAlign w:val="center"/>
          </w:tcPr>
          <w:p w:rsidR="00674600" w:rsidRPr="00E16EDC" w:rsidRDefault="00674600" w:rsidP="00674600">
            <w:pPr>
              <w:spacing w:before="120" w:line="240" w:lineRule="auto"/>
              <w:ind w:left="-113" w:right="-113"/>
              <w:jc w:val="center"/>
              <w:rPr>
                <w:rFonts w:cs="Arial"/>
                <w:bCs/>
                <w:color w:val="FFFFFF"/>
                <w:sz w:val="14"/>
                <w:szCs w:val="20"/>
              </w:rPr>
            </w:pPr>
            <w:r>
              <w:rPr>
                <w:rFonts w:cs="Arial"/>
                <w:bCs/>
                <w:color w:val="FFFFFF"/>
                <w:sz w:val="14"/>
                <w:szCs w:val="20"/>
              </w:rPr>
              <w:t>Demand</w:t>
            </w:r>
          </w:p>
        </w:tc>
      </w:tr>
      <w:tr w:rsidR="003260D8" w:rsidRPr="006A7228" w:rsidTr="003260D8">
        <w:trPr>
          <w:trHeight w:val="510"/>
        </w:trPr>
        <w:tc>
          <w:tcPr>
            <w:tcW w:w="1060" w:type="pct"/>
            <w:tcBorders>
              <w:top w:val="nil"/>
              <w:bottom w:val="nil"/>
            </w:tcBorders>
            <w:vAlign w:val="center"/>
          </w:tcPr>
          <w:p w:rsidR="003260D8" w:rsidRDefault="003260D8">
            <w:pPr>
              <w:rPr>
                <w:rFonts w:cs="Arial"/>
                <w:sz w:val="16"/>
                <w:szCs w:val="16"/>
              </w:rPr>
            </w:pPr>
            <w:r>
              <w:rPr>
                <w:rFonts w:cs="Arial"/>
                <w:sz w:val="16"/>
                <w:szCs w:val="16"/>
              </w:rPr>
              <w:t>07 May - 13 May 2017</w:t>
            </w:r>
          </w:p>
        </w:tc>
        <w:tc>
          <w:tcPr>
            <w:tcW w:w="556" w:type="pct"/>
            <w:tcBorders>
              <w:top w:val="nil"/>
              <w:bottom w:val="nil"/>
            </w:tcBorders>
            <w:vAlign w:val="center"/>
          </w:tcPr>
          <w:p w:rsidR="003260D8" w:rsidRDefault="003260D8">
            <w:pPr>
              <w:jc w:val="center"/>
              <w:rPr>
                <w:rFonts w:cs="Arial"/>
                <w:sz w:val="20"/>
                <w:szCs w:val="20"/>
              </w:rPr>
            </w:pPr>
            <w:r>
              <w:rPr>
                <w:rFonts w:cs="Arial"/>
                <w:sz w:val="20"/>
                <w:szCs w:val="20"/>
              </w:rPr>
              <w:t>11.56</w:t>
            </w:r>
          </w:p>
        </w:tc>
        <w:tc>
          <w:tcPr>
            <w:tcW w:w="468" w:type="pct"/>
            <w:tcBorders>
              <w:top w:val="nil"/>
              <w:bottom w:val="nil"/>
            </w:tcBorders>
            <w:vAlign w:val="center"/>
          </w:tcPr>
          <w:p w:rsidR="003260D8" w:rsidRDefault="003260D8">
            <w:pPr>
              <w:jc w:val="center"/>
              <w:rPr>
                <w:rFonts w:cs="Arial"/>
                <w:sz w:val="20"/>
                <w:szCs w:val="20"/>
              </w:rPr>
            </w:pPr>
            <w:r>
              <w:rPr>
                <w:rFonts w:cs="Arial"/>
                <w:sz w:val="20"/>
                <w:szCs w:val="20"/>
              </w:rPr>
              <w:t>748</w:t>
            </w:r>
          </w:p>
        </w:tc>
        <w:tc>
          <w:tcPr>
            <w:tcW w:w="476" w:type="pct"/>
            <w:tcBorders>
              <w:top w:val="nil"/>
              <w:bottom w:val="nil"/>
            </w:tcBorders>
            <w:vAlign w:val="center"/>
          </w:tcPr>
          <w:p w:rsidR="003260D8" w:rsidRDefault="003260D8">
            <w:pPr>
              <w:jc w:val="center"/>
              <w:rPr>
                <w:rFonts w:cs="Arial"/>
                <w:sz w:val="20"/>
                <w:szCs w:val="20"/>
              </w:rPr>
            </w:pPr>
            <w:r>
              <w:rPr>
                <w:rFonts w:cs="Arial"/>
                <w:sz w:val="20"/>
                <w:szCs w:val="20"/>
              </w:rPr>
              <w:t>10.81</w:t>
            </w:r>
          </w:p>
        </w:tc>
        <w:tc>
          <w:tcPr>
            <w:tcW w:w="469" w:type="pct"/>
            <w:tcBorders>
              <w:top w:val="nil"/>
              <w:bottom w:val="nil"/>
            </w:tcBorders>
            <w:vAlign w:val="center"/>
          </w:tcPr>
          <w:p w:rsidR="003260D8" w:rsidRDefault="003260D8">
            <w:pPr>
              <w:jc w:val="center"/>
              <w:rPr>
                <w:rFonts w:cs="Arial"/>
                <w:sz w:val="20"/>
                <w:szCs w:val="20"/>
              </w:rPr>
            </w:pPr>
            <w:r>
              <w:rPr>
                <w:rFonts w:cs="Arial"/>
                <w:sz w:val="20"/>
                <w:szCs w:val="20"/>
              </w:rPr>
              <w:t>268</w:t>
            </w:r>
          </w:p>
        </w:tc>
        <w:tc>
          <w:tcPr>
            <w:tcW w:w="500" w:type="pct"/>
            <w:tcBorders>
              <w:top w:val="nil"/>
              <w:bottom w:val="nil"/>
            </w:tcBorders>
            <w:vAlign w:val="center"/>
          </w:tcPr>
          <w:p w:rsidR="003260D8" w:rsidRDefault="003260D8">
            <w:pPr>
              <w:jc w:val="center"/>
              <w:rPr>
                <w:rFonts w:cs="Arial"/>
                <w:sz w:val="20"/>
                <w:szCs w:val="20"/>
              </w:rPr>
            </w:pPr>
            <w:r>
              <w:rPr>
                <w:rFonts w:cs="Arial"/>
                <w:sz w:val="20"/>
                <w:szCs w:val="20"/>
              </w:rPr>
              <w:t>8.85</w:t>
            </w:r>
          </w:p>
        </w:tc>
        <w:tc>
          <w:tcPr>
            <w:tcW w:w="468" w:type="pct"/>
            <w:tcBorders>
              <w:top w:val="nil"/>
              <w:bottom w:val="nil"/>
            </w:tcBorders>
            <w:vAlign w:val="center"/>
          </w:tcPr>
          <w:p w:rsidR="003260D8" w:rsidRDefault="003260D8">
            <w:pPr>
              <w:jc w:val="center"/>
              <w:rPr>
                <w:rFonts w:cs="Arial"/>
                <w:sz w:val="20"/>
                <w:szCs w:val="20"/>
              </w:rPr>
            </w:pPr>
            <w:r>
              <w:rPr>
                <w:rFonts w:cs="Arial"/>
                <w:sz w:val="20"/>
                <w:szCs w:val="20"/>
              </w:rPr>
              <w:t>71</w:t>
            </w:r>
          </w:p>
        </w:tc>
        <w:tc>
          <w:tcPr>
            <w:tcW w:w="466" w:type="pct"/>
            <w:tcBorders>
              <w:top w:val="nil"/>
              <w:bottom w:val="nil"/>
            </w:tcBorders>
            <w:vAlign w:val="center"/>
          </w:tcPr>
          <w:p w:rsidR="003260D8" w:rsidRDefault="003260D8">
            <w:pPr>
              <w:jc w:val="center"/>
              <w:rPr>
                <w:rFonts w:cs="Arial"/>
                <w:sz w:val="20"/>
                <w:szCs w:val="20"/>
              </w:rPr>
            </w:pPr>
            <w:r>
              <w:rPr>
                <w:rFonts w:cs="Arial"/>
                <w:sz w:val="20"/>
                <w:szCs w:val="20"/>
              </w:rPr>
              <w:t>8.78</w:t>
            </w:r>
          </w:p>
        </w:tc>
        <w:tc>
          <w:tcPr>
            <w:tcW w:w="538" w:type="pct"/>
            <w:tcBorders>
              <w:top w:val="nil"/>
              <w:bottom w:val="nil"/>
            </w:tcBorders>
            <w:vAlign w:val="center"/>
          </w:tcPr>
          <w:p w:rsidR="003260D8" w:rsidRDefault="003260D8">
            <w:pPr>
              <w:jc w:val="center"/>
              <w:rPr>
                <w:rFonts w:cs="Arial"/>
                <w:sz w:val="20"/>
                <w:szCs w:val="20"/>
              </w:rPr>
            </w:pPr>
            <w:r>
              <w:rPr>
                <w:rFonts w:cs="Arial"/>
                <w:sz w:val="20"/>
                <w:szCs w:val="20"/>
              </w:rPr>
              <w:t>79</w:t>
            </w:r>
          </w:p>
        </w:tc>
      </w:tr>
      <w:tr w:rsidR="003260D8" w:rsidRPr="006A7228" w:rsidTr="003260D8">
        <w:trPr>
          <w:cnfStyle w:val="000000010000" w:firstRow="0" w:lastRow="0" w:firstColumn="0" w:lastColumn="0" w:oddVBand="0" w:evenVBand="0" w:oddHBand="0" w:evenHBand="1" w:firstRowFirstColumn="0" w:firstRowLastColumn="0" w:lastRowFirstColumn="0" w:lastRowLastColumn="0"/>
          <w:trHeight w:val="510"/>
        </w:trPr>
        <w:tc>
          <w:tcPr>
            <w:tcW w:w="1060" w:type="pct"/>
            <w:tcBorders>
              <w:top w:val="nil"/>
              <w:bottom w:val="nil"/>
            </w:tcBorders>
            <w:vAlign w:val="center"/>
          </w:tcPr>
          <w:p w:rsidR="003260D8" w:rsidRDefault="003260D8">
            <w:pPr>
              <w:rPr>
                <w:rFonts w:cs="Arial"/>
                <w:sz w:val="16"/>
                <w:szCs w:val="16"/>
              </w:rPr>
            </w:pPr>
            <w:r>
              <w:rPr>
                <w:rFonts w:cs="Arial"/>
                <w:sz w:val="16"/>
                <w:szCs w:val="16"/>
              </w:rPr>
              <w:t>% change from previous week</w:t>
            </w:r>
          </w:p>
        </w:tc>
        <w:tc>
          <w:tcPr>
            <w:tcW w:w="556" w:type="pct"/>
            <w:tcBorders>
              <w:top w:val="nil"/>
              <w:bottom w:val="nil"/>
            </w:tcBorders>
            <w:vAlign w:val="center"/>
          </w:tcPr>
          <w:p w:rsidR="003260D8" w:rsidRDefault="003260D8">
            <w:pPr>
              <w:jc w:val="center"/>
              <w:rPr>
                <w:rFonts w:cs="Arial"/>
                <w:szCs w:val="20"/>
              </w:rPr>
            </w:pPr>
            <w:r>
              <w:rPr>
                <w:rFonts w:cs="Arial"/>
                <w:szCs w:val="20"/>
              </w:rPr>
              <w:t>15</w:t>
            </w:r>
          </w:p>
        </w:tc>
        <w:tc>
          <w:tcPr>
            <w:tcW w:w="468" w:type="pct"/>
            <w:tcBorders>
              <w:top w:val="nil"/>
              <w:bottom w:val="nil"/>
            </w:tcBorders>
            <w:vAlign w:val="center"/>
          </w:tcPr>
          <w:p w:rsidR="003260D8" w:rsidRDefault="003260D8">
            <w:pPr>
              <w:jc w:val="center"/>
              <w:rPr>
                <w:rFonts w:cs="Arial"/>
                <w:szCs w:val="20"/>
              </w:rPr>
            </w:pPr>
            <w:r>
              <w:rPr>
                <w:rFonts w:cs="Arial"/>
                <w:szCs w:val="20"/>
              </w:rPr>
              <w:t>16</w:t>
            </w:r>
          </w:p>
        </w:tc>
        <w:tc>
          <w:tcPr>
            <w:tcW w:w="476" w:type="pct"/>
            <w:tcBorders>
              <w:top w:val="nil"/>
              <w:bottom w:val="nil"/>
            </w:tcBorders>
            <w:vAlign w:val="center"/>
          </w:tcPr>
          <w:p w:rsidR="003260D8" w:rsidRDefault="003260D8">
            <w:pPr>
              <w:jc w:val="center"/>
              <w:rPr>
                <w:rFonts w:cs="Arial"/>
                <w:szCs w:val="20"/>
              </w:rPr>
            </w:pPr>
            <w:r>
              <w:rPr>
                <w:rFonts w:cs="Arial"/>
                <w:szCs w:val="20"/>
              </w:rPr>
              <w:t>4</w:t>
            </w:r>
          </w:p>
        </w:tc>
        <w:tc>
          <w:tcPr>
            <w:tcW w:w="469" w:type="pct"/>
            <w:tcBorders>
              <w:top w:val="nil"/>
              <w:bottom w:val="nil"/>
            </w:tcBorders>
            <w:vAlign w:val="center"/>
          </w:tcPr>
          <w:p w:rsidR="003260D8" w:rsidRDefault="003260D8">
            <w:pPr>
              <w:jc w:val="center"/>
              <w:rPr>
                <w:rFonts w:cs="Arial"/>
                <w:szCs w:val="20"/>
              </w:rPr>
            </w:pPr>
            <w:r>
              <w:rPr>
                <w:rFonts w:cs="Arial"/>
                <w:szCs w:val="20"/>
              </w:rPr>
              <w:t>6</w:t>
            </w:r>
          </w:p>
        </w:tc>
        <w:tc>
          <w:tcPr>
            <w:tcW w:w="500" w:type="pct"/>
            <w:tcBorders>
              <w:top w:val="nil"/>
              <w:bottom w:val="nil"/>
            </w:tcBorders>
            <w:vAlign w:val="center"/>
          </w:tcPr>
          <w:p w:rsidR="003260D8" w:rsidRDefault="003260D8">
            <w:pPr>
              <w:jc w:val="center"/>
              <w:rPr>
                <w:rFonts w:cs="Arial"/>
                <w:szCs w:val="20"/>
              </w:rPr>
            </w:pPr>
            <w:r>
              <w:rPr>
                <w:rFonts w:cs="Arial"/>
                <w:szCs w:val="20"/>
              </w:rPr>
              <w:t>-6</w:t>
            </w:r>
          </w:p>
        </w:tc>
        <w:tc>
          <w:tcPr>
            <w:tcW w:w="468" w:type="pct"/>
            <w:tcBorders>
              <w:top w:val="nil"/>
              <w:bottom w:val="nil"/>
            </w:tcBorders>
            <w:vAlign w:val="center"/>
          </w:tcPr>
          <w:p w:rsidR="003260D8" w:rsidRDefault="003260D8">
            <w:pPr>
              <w:jc w:val="center"/>
              <w:rPr>
                <w:rFonts w:cs="Arial"/>
                <w:szCs w:val="20"/>
              </w:rPr>
            </w:pPr>
            <w:r>
              <w:rPr>
                <w:rFonts w:cs="Arial"/>
                <w:szCs w:val="20"/>
              </w:rPr>
              <w:t>5</w:t>
            </w:r>
          </w:p>
        </w:tc>
        <w:tc>
          <w:tcPr>
            <w:tcW w:w="466" w:type="pct"/>
            <w:tcBorders>
              <w:top w:val="nil"/>
              <w:bottom w:val="nil"/>
            </w:tcBorders>
            <w:vAlign w:val="center"/>
          </w:tcPr>
          <w:p w:rsidR="003260D8" w:rsidRDefault="003260D8">
            <w:pPr>
              <w:jc w:val="center"/>
              <w:rPr>
                <w:rFonts w:cs="Arial"/>
                <w:szCs w:val="20"/>
              </w:rPr>
            </w:pPr>
            <w:r>
              <w:rPr>
                <w:rFonts w:cs="Arial"/>
                <w:szCs w:val="20"/>
              </w:rPr>
              <w:t>4</w:t>
            </w:r>
          </w:p>
        </w:tc>
        <w:tc>
          <w:tcPr>
            <w:tcW w:w="538" w:type="pct"/>
            <w:tcBorders>
              <w:top w:val="nil"/>
              <w:bottom w:val="nil"/>
            </w:tcBorders>
            <w:vAlign w:val="center"/>
          </w:tcPr>
          <w:p w:rsidR="003260D8" w:rsidRDefault="003260D8">
            <w:pPr>
              <w:jc w:val="center"/>
              <w:rPr>
                <w:rFonts w:cs="Arial"/>
                <w:szCs w:val="20"/>
              </w:rPr>
            </w:pPr>
            <w:r>
              <w:rPr>
                <w:rFonts w:cs="Arial"/>
                <w:szCs w:val="20"/>
              </w:rPr>
              <w:t>-8</w:t>
            </w:r>
          </w:p>
        </w:tc>
      </w:tr>
      <w:tr w:rsidR="003260D8" w:rsidRPr="006A7228" w:rsidTr="003260D8">
        <w:trPr>
          <w:trHeight w:val="510"/>
        </w:trPr>
        <w:tc>
          <w:tcPr>
            <w:tcW w:w="1060" w:type="pct"/>
            <w:tcBorders>
              <w:top w:val="nil"/>
              <w:bottom w:val="nil"/>
            </w:tcBorders>
            <w:vAlign w:val="center"/>
          </w:tcPr>
          <w:p w:rsidR="003260D8" w:rsidRDefault="003260D8">
            <w:pPr>
              <w:rPr>
                <w:rFonts w:cs="Arial"/>
                <w:sz w:val="16"/>
                <w:szCs w:val="16"/>
              </w:rPr>
            </w:pPr>
            <w:r>
              <w:rPr>
                <w:rFonts w:cs="Arial"/>
                <w:sz w:val="16"/>
                <w:szCs w:val="16"/>
              </w:rPr>
              <w:t>16-17 financial YTD</w:t>
            </w:r>
          </w:p>
        </w:tc>
        <w:tc>
          <w:tcPr>
            <w:tcW w:w="556" w:type="pct"/>
            <w:tcBorders>
              <w:top w:val="nil"/>
              <w:bottom w:val="nil"/>
            </w:tcBorders>
            <w:vAlign w:val="center"/>
          </w:tcPr>
          <w:p w:rsidR="003260D8" w:rsidRDefault="003260D8">
            <w:pPr>
              <w:jc w:val="center"/>
              <w:rPr>
                <w:rFonts w:cs="Arial"/>
                <w:sz w:val="20"/>
                <w:szCs w:val="20"/>
              </w:rPr>
            </w:pPr>
            <w:r>
              <w:rPr>
                <w:rFonts w:cs="Arial"/>
                <w:sz w:val="20"/>
                <w:szCs w:val="20"/>
              </w:rPr>
              <w:t>8.42</w:t>
            </w:r>
          </w:p>
        </w:tc>
        <w:tc>
          <w:tcPr>
            <w:tcW w:w="468" w:type="pct"/>
            <w:tcBorders>
              <w:top w:val="nil"/>
              <w:bottom w:val="nil"/>
            </w:tcBorders>
            <w:vAlign w:val="center"/>
          </w:tcPr>
          <w:p w:rsidR="003260D8" w:rsidRDefault="003260D8">
            <w:pPr>
              <w:jc w:val="center"/>
              <w:rPr>
                <w:rFonts w:cs="Arial"/>
                <w:sz w:val="20"/>
                <w:szCs w:val="20"/>
              </w:rPr>
            </w:pPr>
            <w:r>
              <w:rPr>
                <w:rFonts w:cs="Arial"/>
                <w:sz w:val="20"/>
                <w:szCs w:val="20"/>
              </w:rPr>
              <w:t>523</w:t>
            </w:r>
          </w:p>
        </w:tc>
        <w:tc>
          <w:tcPr>
            <w:tcW w:w="476" w:type="pct"/>
            <w:tcBorders>
              <w:top w:val="nil"/>
              <w:bottom w:val="nil"/>
            </w:tcBorders>
            <w:vAlign w:val="center"/>
          </w:tcPr>
          <w:p w:rsidR="003260D8" w:rsidRDefault="003260D8">
            <w:pPr>
              <w:jc w:val="center"/>
              <w:rPr>
                <w:rFonts w:cs="Arial"/>
                <w:sz w:val="20"/>
                <w:szCs w:val="20"/>
              </w:rPr>
            </w:pPr>
            <w:r>
              <w:rPr>
                <w:rFonts w:cs="Arial"/>
                <w:sz w:val="20"/>
                <w:szCs w:val="20"/>
              </w:rPr>
              <w:t>8.53</w:t>
            </w:r>
          </w:p>
        </w:tc>
        <w:tc>
          <w:tcPr>
            <w:tcW w:w="469" w:type="pct"/>
            <w:tcBorders>
              <w:top w:val="nil"/>
              <w:bottom w:val="nil"/>
            </w:tcBorders>
            <w:vAlign w:val="center"/>
          </w:tcPr>
          <w:p w:rsidR="003260D8" w:rsidRDefault="003260D8">
            <w:pPr>
              <w:jc w:val="center"/>
              <w:rPr>
                <w:rFonts w:cs="Arial"/>
                <w:sz w:val="20"/>
                <w:szCs w:val="20"/>
              </w:rPr>
            </w:pPr>
            <w:r>
              <w:rPr>
                <w:rFonts w:cs="Arial"/>
                <w:sz w:val="20"/>
                <w:szCs w:val="20"/>
              </w:rPr>
              <w:t>238</w:t>
            </w:r>
          </w:p>
        </w:tc>
        <w:tc>
          <w:tcPr>
            <w:tcW w:w="500" w:type="pct"/>
            <w:tcBorders>
              <w:top w:val="nil"/>
              <w:bottom w:val="nil"/>
            </w:tcBorders>
            <w:vAlign w:val="center"/>
          </w:tcPr>
          <w:p w:rsidR="003260D8" w:rsidRDefault="003260D8">
            <w:pPr>
              <w:jc w:val="center"/>
              <w:rPr>
                <w:rFonts w:cs="Arial"/>
                <w:sz w:val="20"/>
                <w:szCs w:val="20"/>
              </w:rPr>
            </w:pPr>
            <w:r>
              <w:rPr>
                <w:rFonts w:cs="Arial"/>
                <w:sz w:val="20"/>
                <w:szCs w:val="20"/>
              </w:rPr>
              <w:t>8.77</w:t>
            </w:r>
          </w:p>
        </w:tc>
        <w:tc>
          <w:tcPr>
            <w:tcW w:w="468" w:type="pct"/>
            <w:tcBorders>
              <w:top w:val="nil"/>
              <w:bottom w:val="nil"/>
            </w:tcBorders>
            <w:vAlign w:val="center"/>
          </w:tcPr>
          <w:p w:rsidR="003260D8" w:rsidRDefault="003260D8">
            <w:pPr>
              <w:jc w:val="center"/>
              <w:rPr>
                <w:rFonts w:cs="Arial"/>
                <w:sz w:val="20"/>
                <w:szCs w:val="20"/>
              </w:rPr>
            </w:pPr>
            <w:r>
              <w:rPr>
                <w:rFonts w:cs="Arial"/>
                <w:sz w:val="20"/>
                <w:szCs w:val="20"/>
              </w:rPr>
              <w:t>60</w:t>
            </w:r>
          </w:p>
        </w:tc>
        <w:tc>
          <w:tcPr>
            <w:tcW w:w="466" w:type="pct"/>
            <w:tcBorders>
              <w:top w:val="nil"/>
              <w:bottom w:val="nil"/>
            </w:tcBorders>
            <w:vAlign w:val="center"/>
          </w:tcPr>
          <w:p w:rsidR="003260D8" w:rsidRDefault="003260D8">
            <w:pPr>
              <w:jc w:val="center"/>
              <w:rPr>
                <w:rFonts w:cs="Arial"/>
                <w:sz w:val="20"/>
                <w:szCs w:val="20"/>
              </w:rPr>
            </w:pPr>
            <w:r>
              <w:rPr>
                <w:rFonts w:cs="Arial"/>
                <w:sz w:val="20"/>
                <w:szCs w:val="20"/>
              </w:rPr>
              <w:t>8.31</w:t>
            </w:r>
          </w:p>
        </w:tc>
        <w:tc>
          <w:tcPr>
            <w:tcW w:w="538" w:type="pct"/>
            <w:tcBorders>
              <w:top w:val="nil"/>
              <w:bottom w:val="nil"/>
            </w:tcBorders>
            <w:vAlign w:val="center"/>
          </w:tcPr>
          <w:p w:rsidR="003260D8" w:rsidRDefault="003260D8">
            <w:pPr>
              <w:jc w:val="center"/>
              <w:rPr>
                <w:rFonts w:cs="Arial"/>
                <w:sz w:val="20"/>
                <w:szCs w:val="20"/>
              </w:rPr>
            </w:pPr>
            <w:r>
              <w:rPr>
                <w:rFonts w:cs="Arial"/>
                <w:sz w:val="20"/>
                <w:szCs w:val="20"/>
              </w:rPr>
              <w:t>84</w:t>
            </w:r>
          </w:p>
        </w:tc>
      </w:tr>
      <w:tr w:rsidR="003260D8" w:rsidRPr="006A7228" w:rsidTr="003260D8">
        <w:trPr>
          <w:cnfStyle w:val="000000010000" w:firstRow="0" w:lastRow="0" w:firstColumn="0" w:lastColumn="0" w:oddVBand="0" w:evenVBand="0" w:oddHBand="0" w:evenHBand="1" w:firstRowFirstColumn="0" w:firstRowLastColumn="0" w:lastRowFirstColumn="0" w:lastRowLastColumn="0"/>
          <w:trHeight w:val="510"/>
        </w:trPr>
        <w:tc>
          <w:tcPr>
            <w:tcW w:w="1060" w:type="pct"/>
            <w:tcBorders>
              <w:top w:val="nil"/>
              <w:bottom w:val="single" w:sz="4" w:space="0" w:color="auto"/>
            </w:tcBorders>
            <w:vAlign w:val="center"/>
          </w:tcPr>
          <w:p w:rsidR="003260D8" w:rsidRDefault="003260D8">
            <w:pPr>
              <w:rPr>
                <w:rFonts w:cs="Arial"/>
                <w:sz w:val="16"/>
                <w:szCs w:val="16"/>
              </w:rPr>
            </w:pPr>
            <w:r>
              <w:rPr>
                <w:rFonts w:cs="Arial"/>
                <w:sz w:val="16"/>
                <w:szCs w:val="16"/>
              </w:rPr>
              <w:t>% change from previous financial YTD</w:t>
            </w:r>
          </w:p>
        </w:tc>
        <w:tc>
          <w:tcPr>
            <w:tcW w:w="556" w:type="pct"/>
            <w:tcBorders>
              <w:top w:val="nil"/>
              <w:bottom w:val="single" w:sz="4" w:space="0" w:color="auto"/>
            </w:tcBorders>
            <w:vAlign w:val="center"/>
          </w:tcPr>
          <w:p w:rsidR="003260D8" w:rsidRDefault="003260D8">
            <w:pPr>
              <w:jc w:val="center"/>
              <w:rPr>
                <w:rFonts w:cs="Arial"/>
                <w:szCs w:val="20"/>
              </w:rPr>
            </w:pPr>
            <w:r>
              <w:rPr>
                <w:rFonts w:cs="Arial"/>
                <w:szCs w:val="20"/>
              </w:rPr>
              <w:t>87</w:t>
            </w:r>
          </w:p>
        </w:tc>
        <w:tc>
          <w:tcPr>
            <w:tcW w:w="468" w:type="pct"/>
            <w:tcBorders>
              <w:top w:val="nil"/>
              <w:bottom w:val="single" w:sz="4" w:space="0" w:color="auto"/>
            </w:tcBorders>
            <w:vAlign w:val="center"/>
          </w:tcPr>
          <w:p w:rsidR="003260D8" w:rsidRDefault="003260D8">
            <w:pPr>
              <w:jc w:val="center"/>
              <w:rPr>
                <w:rFonts w:cs="Arial"/>
                <w:szCs w:val="20"/>
              </w:rPr>
            </w:pPr>
            <w:r>
              <w:rPr>
                <w:rFonts w:cs="Arial"/>
                <w:szCs w:val="20"/>
              </w:rPr>
              <w:t>1</w:t>
            </w:r>
          </w:p>
        </w:tc>
        <w:tc>
          <w:tcPr>
            <w:tcW w:w="476" w:type="pct"/>
            <w:tcBorders>
              <w:top w:val="nil"/>
              <w:bottom w:val="single" w:sz="4" w:space="0" w:color="auto"/>
            </w:tcBorders>
            <w:vAlign w:val="center"/>
          </w:tcPr>
          <w:p w:rsidR="003260D8" w:rsidRDefault="003260D8">
            <w:pPr>
              <w:jc w:val="center"/>
              <w:rPr>
                <w:rFonts w:cs="Arial"/>
                <w:szCs w:val="20"/>
              </w:rPr>
            </w:pPr>
            <w:r>
              <w:rPr>
                <w:rFonts w:cs="Arial"/>
                <w:szCs w:val="20"/>
              </w:rPr>
              <w:t>85</w:t>
            </w:r>
          </w:p>
        </w:tc>
        <w:tc>
          <w:tcPr>
            <w:tcW w:w="469" w:type="pct"/>
            <w:tcBorders>
              <w:top w:val="nil"/>
              <w:bottom w:val="single" w:sz="4" w:space="0" w:color="auto"/>
            </w:tcBorders>
            <w:vAlign w:val="center"/>
          </w:tcPr>
          <w:p w:rsidR="003260D8" w:rsidRDefault="003260D8">
            <w:pPr>
              <w:jc w:val="center"/>
              <w:rPr>
                <w:rFonts w:cs="Arial"/>
                <w:szCs w:val="20"/>
              </w:rPr>
            </w:pPr>
            <w:r>
              <w:rPr>
                <w:rFonts w:cs="Arial"/>
                <w:szCs w:val="20"/>
              </w:rPr>
              <w:t>2</w:t>
            </w:r>
          </w:p>
        </w:tc>
        <w:tc>
          <w:tcPr>
            <w:tcW w:w="500" w:type="pct"/>
            <w:tcBorders>
              <w:top w:val="nil"/>
              <w:bottom w:val="single" w:sz="4" w:space="0" w:color="auto"/>
            </w:tcBorders>
            <w:vAlign w:val="center"/>
          </w:tcPr>
          <w:p w:rsidR="003260D8" w:rsidRDefault="003260D8">
            <w:pPr>
              <w:jc w:val="center"/>
              <w:rPr>
                <w:rFonts w:cs="Arial"/>
                <w:szCs w:val="20"/>
              </w:rPr>
            </w:pPr>
            <w:r>
              <w:rPr>
                <w:rFonts w:cs="Arial"/>
                <w:szCs w:val="20"/>
              </w:rPr>
              <w:t>65</w:t>
            </w:r>
          </w:p>
        </w:tc>
        <w:tc>
          <w:tcPr>
            <w:tcW w:w="468" w:type="pct"/>
            <w:tcBorders>
              <w:top w:val="nil"/>
              <w:bottom w:val="single" w:sz="4" w:space="0" w:color="auto"/>
            </w:tcBorders>
            <w:vAlign w:val="center"/>
          </w:tcPr>
          <w:p w:rsidR="003260D8" w:rsidRDefault="003260D8">
            <w:pPr>
              <w:jc w:val="center"/>
              <w:rPr>
                <w:rFonts w:cs="Arial"/>
                <w:szCs w:val="20"/>
              </w:rPr>
            </w:pPr>
            <w:r>
              <w:rPr>
                <w:rFonts w:cs="Arial"/>
                <w:szCs w:val="20"/>
              </w:rPr>
              <w:t>3</w:t>
            </w:r>
          </w:p>
        </w:tc>
        <w:tc>
          <w:tcPr>
            <w:tcW w:w="466" w:type="pct"/>
            <w:tcBorders>
              <w:top w:val="nil"/>
              <w:bottom w:val="single" w:sz="4" w:space="0" w:color="auto"/>
            </w:tcBorders>
            <w:vAlign w:val="center"/>
          </w:tcPr>
          <w:p w:rsidR="003260D8" w:rsidRDefault="003260D8">
            <w:pPr>
              <w:jc w:val="center"/>
              <w:rPr>
                <w:rFonts w:cs="Arial"/>
                <w:szCs w:val="20"/>
              </w:rPr>
            </w:pPr>
            <w:r>
              <w:rPr>
                <w:rFonts w:cs="Arial"/>
                <w:szCs w:val="20"/>
              </w:rPr>
              <w:t>94</w:t>
            </w:r>
          </w:p>
        </w:tc>
        <w:tc>
          <w:tcPr>
            <w:tcW w:w="538" w:type="pct"/>
            <w:tcBorders>
              <w:top w:val="nil"/>
              <w:bottom w:val="single" w:sz="4" w:space="0" w:color="auto"/>
            </w:tcBorders>
            <w:vAlign w:val="center"/>
          </w:tcPr>
          <w:p w:rsidR="003260D8" w:rsidRDefault="003260D8">
            <w:pPr>
              <w:jc w:val="center"/>
              <w:rPr>
                <w:rFonts w:cs="Arial"/>
                <w:szCs w:val="20"/>
              </w:rPr>
            </w:pPr>
            <w:r>
              <w:rPr>
                <w:rFonts w:cs="Arial"/>
                <w:szCs w:val="20"/>
              </w:rPr>
              <w:t>1</w:t>
            </w:r>
          </w:p>
        </w:tc>
      </w:tr>
    </w:tbl>
    <w:p w:rsidR="00674600" w:rsidRDefault="00674600" w:rsidP="00674600">
      <w:pPr>
        <w:jc w:val="both"/>
      </w:pPr>
      <w:r>
        <w:t>Figure 2 sets out p</w:t>
      </w:r>
      <w:r w:rsidRPr="00EC137F">
        <w:t xml:space="preserve">rice and demand information is also shown for the voluntary Wallumbilla and Moomba Gas Supply Hubs </w:t>
      </w:r>
      <w:r w:rsidRPr="00EC137F">
        <w:rPr>
          <w:b/>
        </w:rPr>
        <w:t>(GSH)</w:t>
      </w:r>
      <w:r w:rsidRPr="00EC137F">
        <w:t>.</w:t>
      </w:r>
    </w:p>
    <w:p w:rsidR="00674600" w:rsidRDefault="00674600" w:rsidP="00674600">
      <w:pPr>
        <w:pStyle w:val="Caption"/>
        <w:rPr>
          <w:color w:val="2272A3"/>
          <w:szCs w:val="24"/>
        </w:rPr>
      </w:pPr>
      <w:r w:rsidRPr="00BE2075">
        <w:t xml:space="preserve">Figure </w:t>
      </w:r>
      <w:fldSimple w:instr=" SEQ Figure \* ARABIC ">
        <w:r>
          <w:rPr>
            <w:noProof/>
          </w:rPr>
          <w:t>2</w:t>
        </w:r>
      </w:fldSimple>
      <w:r w:rsidRPr="00BE2075">
        <w:t xml:space="preserve">: </w:t>
      </w:r>
      <w:r w:rsidRPr="006E7E57">
        <w:rPr>
          <w:color w:val="2272A3"/>
          <w:szCs w:val="24"/>
        </w:rPr>
        <w:t>Average prices</w:t>
      </w:r>
      <w:r>
        <w:rPr>
          <w:color w:val="2272A3"/>
          <w:szCs w:val="24"/>
        </w:rPr>
        <w:t xml:space="preserve"> and </w:t>
      </w:r>
      <w:r w:rsidR="0060313E">
        <w:rPr>
          <w:color w:val="2272A3"/>
          <w:szCs w:val="24"/>
        </w:rPr>
        <w:t xml:space="preserve">total </w:t>
      </w:r>
      <w:r w:rsidR="009904FF">
        <w:rPr>
          <w:color w:val="2272A3"/>
          <w:szCs w:val="24"/>
        </w:rPr>
        <w:t>quantity</w:t>
      </w:r>
      <w:r w:rsidRPr="006E7E57">
        <w:rPr>
          <w:color w:val="2272A3"/>
          <w:szCs w:val="24"/>
        </w:rPr>
        <w:t xml:space="preserve"> – </w:t>
      </w:r>
      <w:r w:rsidR="008D7D94">
        <w:rPr>
          <w:color w:val="2272A3"/>
          <w:szCs w:val="24"/>
        </w:rPr>
        <w:t>Gas supply hub</w:t>
      </w:r>
      <w:r w:rsidRPr="006E7E57">
        <w:rPr>
          <w:color w:val="2272A3"/>
          <w:szCs w:val="24"/>
        </w:rPr>
        <w:t xml:space="preserve"> ($/GJ</w:t>
      </w:r>
      <w:r w:rsidRPr="00EC137F">
        <w:rPr>
          <w:color w:val="2272A3"/>
          <w:szCs w:val="24"/>
        </w:rPr>
        <w:t>, TJ)</w:t>
      </w:r>
      <w:r w:rsidRPr="00EC137F">
        <w:rPr>
          <w:color w:val="2272A3"/>
          <w:szCs w:val="24"/>
          <w:vertAlign w:val="superscript"/>
        </w:rPr>
        <w:footnoteReference w:id="2"/>
      </w:r>
    </w:p>
    <w:tbl>
      <w:tblPr>
        <w:tblStyle w:val="AERTable-Text"/>
        <w:tblW w:w="5000" w:type="pct"/>
        <w:tblLayout w:type="fixed"/>
        <w:tblLook w:val="04A0" w:firstRow="1" w:lastRow="0" w:firstColumn="1" w:lastColumn="0" w:noHBand="0" w:noVBand="1"/>
      </w:tblPr>
      <w:tblGrid>
        <w:gridCol w:w="1891"/>
        <w:gridCol w:w="1336"/>
        <w:gridCol w:w="1174"/>
        <w:gridCol w:w="1237"/>
        <w:gridCol w:w="1253"/>
        <w:gridCol w:w="1155"/>
        <w:gridCol w:w="1196"/>
      </w:tblGrid>
      <w:tr w:rsidR="008D7D94" w:rsidRPr="002861A9" w:rsidTr="006D64BA">
        <w:trPr>
          <w:cnfStyle w:val="100000000000" w:firstRow="1" w:lastRow="0" w:firstColumn="0" w:lastColumn="0" w:oddVBand="0" w:evenVBand="0" w:oddHBand="0" w:evenHBand="0" w:firstRowFirstColumn="0" w:firstRowLastColumn="0" w:lastRowFirstColumn="0" w:lastRowLastColumn="0"/>
          <w:trHeight w:val="404"/>
          <w:tblHeader/>
        </w:trPr>
        <w:tc>
          <w:tcPr>
            <w:tcW w:w="1023" w:type="pct"/>
            <w:tcBorders>
              <w:top w:val="nil"/>
              <w:left w:val="nil"/>
              <w:bottom w:val="nil"/>
              <w:right w:val="nil"/>
            </w:tcBorders>
            <w:vAlign w:val="center"/>
          </w:tcPr>
          <w:p w:rsidR="008D7D94" w:rsidRPr="00E16EDC" w:rsidRDefault="008D7D94" w:rsidP="006D64BA">
            <w:pPr>
              <w:pStyle w:val="TableHeading"/>
              <w:spacing w:before="120" w:after="0" w:line="240" w:lineRule="auto"/>
              <w:jc w:val="center"/>
              <w:rPr>
                <w:rFonts w:cs="Arial"/>
                <w:sz w:val="20"/>
                <w:szCs w:val="20"/>
              </w:rPr>
            </w:pPr>
          </w:p>
        </w:tc>
        <w:tc>
          <w:tcPr>
            <w:tcW w:w="1358" w:type="pct"/>
            <w:gridSpan w:val="2"/>
            <w:tcBorders>
              <w:top w:val="nil"/>
              <w:left w:val="nil"/>
              <w:bottom w:val="nil"/>
              <w:right w:val="nil"/>
            </w:tcBorders>
            <w:vAlign w:val="center"/>
          </w:tcPr>
          <w:p w:rsidR="008D7D94" w:rsidRPr="00E95390" w:rsidRDefault="008D7D94" w:rsidP="006D64BA">
            <w:pPr>
              <w:spacing w:before="120" w:line="240" w:lineRule="auto"/>
              <w:jc w:val="center"/>
              <w:rPr>
                <w:rFonts w:eastAsia="Times New Roman" w:cs="Arial"/>
                <w:b w:val="0"/>
                <w:bCs/>
                <w:color w:val="FFFFFF"/>
                <w:sz w:val="20"/>
                <w:szCs w:val="20"/>
                <w:lang w:eastAsia="en-AU"/>
              </w:rPr>
            </w:pPr>
            <w:r>
              <w:rPr>
                <w:rFonts w:eastAsia="Times New Roman" w:cs="Arial"/>
                <w:bCs/>
                <w:color w:val="FFFFFF"/>
                <w:sz w:val="20"/>
                <w:szCs w:val="20"/>
                <w:lang w:eastAsia="en-AU"/>
              </w:rPr>
              <w:t>Moomba</w:t>
            </w:r>
          </w:p>
        </w:tc>
        <w:tc>
          <w:tcPr>
            <w:tcW w:w="1347" w:type="pct"/>
            <w:gridSpan w:val="2"/>
            <w:tcBorders>
              <w:top w:val="nil"/>
              <w:left w:val="nil"/>
              <w:bottom w:val="nil"/>
              <w:right w:val="nil"/>
            </w:tcBorders>
            <w:vAlign w:val="center"/>
          </w:tcPr>
          <w:p w:rsidR="008D7D94" w:rsidRPr="00E95390" w:rsidRDefault="008D7D94" w:rsidP="006D64BA">
            <w:pPr>
              <w:spacing w:before="120" w:line="240" w:lineRule="auto"/>
              <w:jc w:val="center"/>
              <w:rPr>
                <w:rFonts w:eastAsia="Times New Roman" w:cs="Arial"/>
                <w:b w:val="0"/>
                <w:bCs/>
                <w:color w:val="FFFFFF"/>
                <w:sz w:val="20"/>
                <w:szCs w:val="20"/>
                <w:lang w:eastAsia="en-AU"/>
              </w:rPr>
            </w:pPr>
            <w:r>
              <w:rPr>
                <w:rFonts w:eastAsia="Times New Roman" w:cs="Arial"/>
                <w:bCs/>
                <w:color w:val="FFFFFF"/>
                <w:sz w:val="20"/>
                <w:szCs w:val="20"/>
                <w:lang w:eastAsia="en-AU"/>
              </w:rPr>
              <w:t>South East Queensland</w:t>
            </w:r>
          </w:p>
        </w:tc>
        <w:tc>
          <w:tcPr>
            <w:tcW w:w="1272" w:type="pct"/>
            <w:gridSpan w:val="2"/>
            <w:tcBorders>
              <w:top w:val="nil"/>
              <w:left w:val="nil"/>
              <w:bottom w:val="nil"/>
              <w:right w:val="nil"/>
            </w:tcBorders>
            <w:vAlign w:val="center"/>
          </w:tcPr>
          <w:p w:rsidR="008D7D94" w:rsidRPr="00E95390" w:rsidRDefault="008D7D94" w:rsidP="006D64BA">
            <w:pPr>
              <w:spacing w:before="120" w:line="240" w:lineRule="auto"/>
              <w:jc w:val="center"/>
              <w:rPr>
                <w:rFonts w:eastAsia="Times New Roman" w:cs="Arial"/>
                <w:b w:val="0"/>
                <w:bCs/>
                <w:color w:val="FFFFFF"/>
                <w:sz w:val="20"/>
                <w:szCs w:val="20"/>
                <w:lang w:eastAsia="en-AU"/>
              </w:rPr>
            </w:pPr>
            <w:r>
              <w:rPr>
                <w:rFonts w:eastAsia="Times New Roman" w:cs="Arial"/>
                <w:bCs/>
                <w:color w:val="FFFFFF"/>
                <w:sz w:val="20"/>
                <w:szCs w:val="20"/>
                <w:lang w:eastAsia="en-AU"/>
              </w:rPr>
              <w:t>Wallumbilla</w:t>
            </w:r>
          </w:p>
        </w:tc>
      </w:tr>
      <w:tr w:rsidR="008D7D94" w:rsidRPr="002861A9" w:rsidTr="006D64BA">
        <w:trPr>
          <w:cnfStyle w:val="100000000000" w:firstRow="1" w:lastRow="0" w:firstColumn="0" w:lastColumn="0" w:oddVBand="0" w:evenVBand="0" w:oddHBand="0" w:evenHBand="0" w:firstRowFirstColumn="0" w:firstRowLastColumn="0" w:lastRowFirstColumn="0" w:lastRowLastColumn="0"/>
          <w:tblHeader/>
        </w:trPr>
        <w:tc>
          <w:tcPr>
            <w:tcW w:w="1023" w:type="pct"/>
            <w:tcBorders>
              <w:top w:val="nil"/>
              <w:left w:val="nil"/>
              <w:bottom w:val="nil"/>
              <w:right w:val="nil"/>
            </w:tcBorders>
            <w:vAlign w:val="center"/>
            <w:hideMark/>
          </w:tcPr>
          <w:p w:rsidR="008D7D94" w:rsidRPr="00A226E9" w:rsidRDefault="008D7D94" w:rsidP="006D64BA">
            <w:pPr>
              <w:spacing w:before="0" w:line="240" w:lineRule="auto"/>
              <w:rPr>
                <w:rFonts w:cs="Arial"/>
                <w:sz w:val="20"/>
                <w:szCs w:val="20"/>
                <w:highlight w:val="yellow"/>
              </w:rPr>
            </w:pPr>
          </w:p>
        </w:tc>
        <w:tc>
          <w:tcPr>
            <w:tcW w:w="723" w:type="pct"/>
            <w:tcBorders>
              <w:top w:val="nil"/>
              <w:left w:val="nil"/>
              <w:bottom w:val="nil"/>
              <w:right w:val="nil"/>
            </w:tcBorders>
            <w:vAlign w:val="center"/>
            <w:hideMark/>
          </w:tcPr>
          <w:p w:rsidR="008D7D94" w:rsidRPr="00E16EDC" w:rsidRDefault="008D7D94" w:rsidP="006D64BA">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635" w:type="pct"/>
            <w:tcBorders>
              <w:top w:val="nil"/>
              <w:left w:val="nil"/>
              <w:bottom w:val="nil"/>
              <w:right w:val="nil"/>
            </w:tcBorders>
            <w:vAlign w:val="center"/>
            <w:hideMark/>
          </w:tcPr>
          <w:p w:rsidR="008D7D94" w:rsidRPr="00E16EDC" w:rsidRDefault="009904FF" w:rsidP="006D64BA">
            <w:pPr>
              <w:spacing w:before="120" w:line="240" w:lineRule="auto"/>
              <w:ind w:left="-113" w:right="-113"/>
              <w:jc w:val="center"/>
              <w:rPr>
                <w:rFonts w:cs="Arial"/>
                <w:bCs/>
                <w:color w:val="FFFFFF"/>
                <w:sz w:val="14"/>
                <w:szCs w:val="20"/>
              </w:rPr>
            </w:pPr>
            <w:r>
              <w:rPr>
                <w:rFonts w:cs="Arial"/>
                <w:bCs/>
                <w:color w:val="FFFFFF"/>
                <w:sz w:val="14"/>
                <w:szCs w:val="20"/>
              </w:rPr>
              <w:t>Quantity</w:t>
            </w:r>
          </w:p>
        </w:tc>
        <w:tc>
          <w:tcPr>
            <w:tcW w:w="669" w:type="pct"/>
            <w:tcBorders>
              <w:top w:val="nil"/>
              <w:left w:val="nil"/>
              <w:bottom w:val="nil"/>
              <w:right w:val="nil"/>
            </w:tcBorders>
            <w:vAlign w:val="center"/>
            <w:hideMark/>
          </w:tcPr>
          <w:p w:rsidR="008D7D94" w:rsidRPr="00E16EDC" w:rsidRDefault="008D7D94" w:rsidP="006D64BA">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678" w:type="pct"/>
            <w:tcBorders>
              <w:top w:val="nil"/>
              <w:left w:val="nil"/>
              <w:bottom w:val="nil"/>
              <w:right w:val="nil"/>
            </w:tcBorders>
            <w:vAlign w:val="center"/>
          </w:tcPr>
          <w:p w:rsidR="008D7D94" w:rsidRPr="00E16EDC" w:rsidRDefault="009904FF" w:rsidP="006D64BA">
            <w:pPr>
              <w:spacing w:before="120" w:line="240" w:lineRule="auto"/>
              <w:ind w:left="-113" w:right="-113"/>
              <w:jc w:val="center"/>
              <w:rPr>
                <w:rFonts w:cs="Arial"/>
                <w:bCs/>
                <w:color w:val="FFFFFF"/>
                <w:sz w:val="14"/>
                <w:szCs w:val="20"/>
              </w:rPr>
            </w:pPr>
            <w:r>
              <w:rPr>
                <w:rFonts w:cs="Arial"/>
                <w:bCs/>
                <w:color w:val="FFFFFF"/>
                <w:sz w:val="14"/>
                <w:szCs w:val="20"/>
              </w:rPr>
              <w:t>Quantity</w:t>
            </w:r>
          </w:p>
        </w:tc>
        <w:tc>
          <w:tcPr>
            <w:tcW w:w="625" w:type="pct"/>
            <w:tcBorders>
              <w:top w:val="nil"/>
              <w:left w:val="nil"/>
              <w:bottom w:val="nil"/>
              <w:right w:val="nil"/>
            </w:tcBorders>
            <w:vAlign w:val="center"/>
          </w:tcPr>
          <w:p w:rsidR="008D7D94" w:rsidRPr="00E16EDC" w:rsidRDefault="008D7D94" w:rsidP="006D64BA">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647" w:type="pct"/>
            <w:tcBorders>
              <w:top w:val="nil"/>
              <w:left w:val="nil"/>
              <w:bottom w:val="nil"/>
              <w:right w:val="nil"/>
            </w:tcBorders>
            <w:vAlign w:val="center"/>
          </w:tcPr>
          <w:p w:rsidR="008D7D94" w:rsidRPr="00E16EDC" w:rsidRDefault="009904FF" w:rsidP="006D64BA">
            <w:pPr>
              <w:spacing w:before="120" w:line="240" w:lineRule="auto"/>
              <w:ind w:left="-113" w:right="-113"/>
              <w:jc w:val="center"/>
              <w:rPr>
                <w:rFonts w:cs="Arial"/>
                <w:bCs/>
                <w:color w:val="FFFFFF"/>
                <w:sz w:val="14"/>
                <w:szCs w:val="20"/>
              </w:rPr>
            </w:pPr>
            <w:r>
              <w:rPr>
                <w:rFonts w:cs="Arial"/>
                <w:bCs/>
                <w:color w:val="FFFFFF"/>
                <w:sz w:val="14"/>
                <w:szCs w:val="20"/>
              </w:rPr>
              <w:t>Quantity</w:t>
            </w:r>
          </w:p>
        </w:tc>
      </w:tr>
      <w:tr w:rsidR="003260D8" w:rsidRPr="006A7228" w:rsidTr="006D64BA">
        <w:trPr>
          <w:trHeight w:val="510"/>
        </w:trPr>
        <w:tc>
          <w:tcPr>
            <w:tcW w:w="1023" w:type="pct"/>
            <w:tcBorders>
              <w:top w:val="nil"/>
              <w:bottom w:val="nil"/>
            </w:tcBorders>
            <w:vAlign w:val="center"/>
          </w:tcPr>
          <w:p w:rsidR="003260D8" w:rsidRDefault="003260D8">
            <w:pPr>
              <w:rPr>
                <w:rFonts w:cs="Arial"/>
                <w:sz w:val="16"/>
                <w:szCs w:val="16"/>
              </w:rPr>
            </w:pPr>
            <w:r>
              <w:rPr>
                <w:rFonts w:cs="Arial"/>
                <w:sz w:val="16"/>
                <w:szCs w:val="16"/>
              </w:rPr>
              <w:t>07 May - 13 May 2017</w:t>
            </w:r>
          </w:p>
        </w:tc>
        <w:tc>
          <w:tcPr>
            <w:tcW w:w="723" w:type="pct"/>
            <w:tcBorders>
              <w:top w:val="nil"/>
              <w:bottom w:val="nil"/>
            </w:tcBorders>
            <w:vAlign w:val="center"/>
          </w:tcPr>
          <w:p w:rsidR="003260D8" w:rsidRDefault="003260D8">
            <w:pPr>
              <w:jc w:val="center"/>
              <w:rPr>
                <w:rFonts w:cs="Arial"/>
                <w:sz w:val="20"/>
                <w:szCs w:val="20"/>
              </w:rPr>
            </w:pPr>
            <w:r>
              <w:rPr>
                <w:rFonts w:cs="Arial"/>
                <w:sz w:val="20"/>
                <w:szCs w:val="20"/>
              </w:rPr>
              <w:t>-</w:t>
            </w:r>
          </w:p>
        </w:tc>
        <w:tc>
          <w:tcPr>
            <w:tcW w:w="635" w:type="pct"/>
            <w:tcBorders>
              <w:top w:val="nil"/>
              <w:bottom w:val="nil"/>
            </w:tcBorders>
            <w:vAlign w:val="center"/>
          </w:tcPr>
          <w:p w:rsidR="003260D8" w:rsidRDefault="003260D8">
            <w:pPr>
              <w:jc w:val="center"/>
              <w:rPr>
                <w:rFonts w:cs="Arial"/>
                <w:sz w:val="20"/>
                <w:szCs w:val="20"/>
              </w:rPr>
            </w:pPr>
            <w:r>
              <w:rPr>
                <w:rFonts w:cs="Arial"/>
                <w:sz w:val="20"/>
                <w:szCs w:val="20"/>
              </w:rPr>
              <w:t>-</w:t>
            </w:r>
          </w:p>
        </w:tc>
        <w:tc>
          <w:tcPr>
            <w:tcW w:w="669" w:type="pct"/>
            <w:tcBorders>
              <w:top w:val="nil"/>
              <w:bottom w:val="nil"/>
            </w:tcBorders>
            <w:vAlign w:val="center"/>
          </w:tcPr>
          <w:p w:rsidR="003260D8" w:rsidRDefault="003260D8">
            <w:pPr>
              <w:jc w:val="center"/>
              <w:rPr>
                <w:rFonts w:cs="Arial"/>
                <w:sz w:val="20"/>
                <w:szCs w:val="20"/>
              </w:rPr>
            </w:pPr>
            <w:r>
              <w:rPr>
                <w:rFonts w:cs="Arial"/>
                <w:sz w:val="20"/>
                <w:szCs w:val="20"/>
              </w:rPr>
              <w:t>8.20</w:t>
            </w:r>
          </w:p>
        </w:tc>
        <w:tc>
          <w:tcPr>
            <w:tcW w:w="678" w:type="pct"/>
            <w:tcBorders>
              <w:top w:val="nil"/>
              <w:bottom w:val="nil"/>
            </w:tcBorders>
            <w:vAlign w:val="center"/>
          </w:tcPr>
          <w:p w:rsidR="003260D8" w:rsidRDefault="003260D8">
            <w:pPr>
              <w:jc w:val="center"/>
              <w:rPr>
                <w:rFonts w:cs="Arial"/>
                <w:sz w:val="20"/>
                <w:szCs w:val="20"/>
              </w:rPr>
            </w:pPr>
            <w:r>
              <w:rPr>
                <w:rFonts w:cs="Arial"/>
                <w:sz w:val="20"/>
                <w:szCs w:val="20"/>
              </w:rPr>
              <w:t>65</w:t>
            </w:r>
          </w:p>
        </w:tc>
        <w:tc>
          <w:tcPr>
            <w:tcW w:w="625" w:type="pct"/>
            <w:tcBorders>
              <w:top w:val="nil"/>
              <w:bottom w:val="nil"/>
            </w:tcBorders>
            <w:vAlign w:val="center"/>
          </w:tcPr>
          <w:p w:rsidR="003260D8" w:rsidRDefault="003260D8">
            <w:pPr>
              <w:jc w:val="center"/>
              <w:rPr>
                <w:rFonts w:cs="Arial"/>
                <w:sz w:val="20"/>
                <w:szCs w:val="20"/>
              </w:rPr>
            </w:pPr>
            <w:r>
              <w:rPr>
                <w:rFonts w:cs="Arial"/>
                <w:sz w:val="20"/>
                <w:szCs w:val="20"/>
              </w:rPr>
              <w:t>9.19</w:t>
            </w:r>
          </w:p>
        </w:tc>
        <w:tc>
          <w:tcPr>
            <w:tcW w:w="647" w:type="pct"/>
            <w:tcBorders>
              <w:top w:val="nil"/>
              <w:bottom w:val="nil"/>
            </w:tcBorders>
            <w:vAlign w:val="center"/>
          </w:tcPr>
          <w:p w:rsidR="003260D8" w:rsidRDefault="003260D8">
            <w:pPr>
              <w:jc w:val="center"/>
              <w:rPr>
                <w:rFonts w:cs="Arial"/>
                <w:sz w:val="20"/>
                <w:szCs w:val="20"/>
              </w:rPr>
            </w:pPr>
            <w:r>
              <w:rPr>
                <w:rFonts w:cs="Arial"/>
                <w:sz w:val="20"/>
                <w:szCs w:val="20"/>
              </w:rPr>
              <w:t>55</w:t>
            </w:r>
          </w:p>
        </w:tc>
      </w:tr>
      <w:tr w:rsidR="003260D8" w:rsidRPr="006A7228" w:rsidTr="006D64BA">
        <w:trPr>
          <w:cnfStyle w:val="000000010000" w:firstRow="0" w:lastRow="0" w:firstColumn="0" w:lastColumn="0" w:oddVBand="0" w:evenVBand="0" w:oddHBand="0" w:evenHBand="1" w:firstRowFirstColumn="0" w:firstRowLastColumn="0" w:lastRowFirstColumn="0" w:lastRowLastColumn="0"/>
          <w:trHeight w:val="510"/>
        </w:trPr>
        <w:tc>
          <w:tcPr>
            <w:tcW w:w="1023" w:type="pct"/>
            <w:tcBorders>
              <w:top w:val="nil"/>
              <w:bottom w:val="nil"/>
            </w:tcBorders>
            <w:vAlign w:val="center"/>
          </w:tcPr>
          <w:p w:rsidR="003260D8" w:rsidRDefault="003260D8">
            <w:pPr>
              <w:rPr>
                <w:rFonts w:cs="Arial"/>
                <w:sz w:val="16"/>
                <w:szCs w:val="16"/>
              </w:rPr>
            </w:pPr>
            <w:r>
              <w:rPr>
                <w:rFonts w:cs="Arial"/>
                <w:sz w:val="16"/>
                <w:szCs w:val="16"/>
              </w:rPr>
              <w:t>% change from previous week</w:t>
            </w:r>
          </w:p>
        </w:tc>
        <w:tc>
          <w:tcPr>
            <w:tcW w:w="723" w:type="pct"/>
            <w:tcBorders>
              <w:top w:val="nil"/>
              <w:bottom w:val="nil"/>
            </w:tcBorders>
            <w:vAlign w:val="center"/>
          </w:tcPr>
          <w:p w:rsidR="003260D8" w:rsidRDefault="003260D8">
            <w:pPr>
              <w:jc w:val="center"/>
              <w:rPr>
                <w:rFonts w:cs="Arial"/>
                <w:szCs w:val="20"/>
              </w:rPr>
            </w:pPr>
            <w:r>
              <w:rPr>
                <w:rFonts w:cs="Arial"/>
                <w:szCs w:val="20"/>
              </w:rPr>
              <w:t>-</w:t>
            </w:r>
          </w:p>
        </w:tc>
        <w:tc>
          <w:tcPr>
            <w:tcW w:w="635" w:type="pct"/>
            <w:tcBorders>
              <w:top w:val="nil"/>
              <w:bottom w:val="nil"/>
            </w:tcBorders>
            <w:vAlign w:val="center"/>
          </w:tcPr>
          <w:p w:rsidR="003260D8" w:rsidRDefault="003260D8">
            <w:pPr>
              <w:jc w:val="center"/>
              <w:rPr>
                <w:rFonts w:cs="Arial"/>
                <w:szCs w:val="20"/>
              </w:rPr>
            </w:pPr>
            <w:r>
              <w:rPr>
                <w:rFonts w:cs="Arial"/>
                <w:szCs w:val="20"/>
              </w:rPr>
              <w:t>-</w:t>
            </w:r>
          </w:p>
        </w:tc>
        <w:tc>
          <w:tcPr>
            <w:tcW w:w="669" w:type="pct"/>
            <w:tcBorders>
              <w:top w:val="nil"/>
              <w:bottom w:val="nil"/>
            </w:tcBorders>
            <w:vAlign w:val="center"/>
          </w:tcPr>
          <w:p w:rsidR="003260D8" w:rsidRDefault="003260D8">
            <w:pPr>
              <w:jc w:val="center"/>
              <w:rPr>
                <w:rFonts w:cs="Arial"/>
                <w:szCs w:val="20"/>
              </w:rPr>
            </w:pPr>
            <w:r>
              <w:rPr>
                <w:rFonts w:cs="Arial"/>
                <w:szCs w:val="20"/>
              </w:rPr>
              <w:t>5</w:t>
            </w:r>
          </w:p>
        </w:tc>
        <w:tc>
          <w:tcPr>
            <w:tcW w:w="678" w:type="pct"/>
            <w:tcBorders>
              <w:top w:val="nil"/>
              <w:bottom w:val="nil"/>
            </w:tcBorders>
            <w:vAlign w:val="center"/>
          </w:tcPr>
          <w:p w:rsidR="003260D8" w:rsidRDefault="003260D8">
            <w:pPr>
              <w:jc w:val="center"/>
              <w:rPr>
                <w:rFonts w:cs="Arial"/>
                <w:szCs w:val="20"/>
              </w:rPr>
            </w:pPr>
            <w:r>
              <w:rPr>
                <w:rFonts w:cs="Arial"/>
                <w:szCs w:val="20"/>
              </w:rPr>
              <w:t>55</w:t>
            </w:r>
          </w:p>
        </w:tc>
        <w:tc>
          <w:tcPr>
            <w:tcW w:w="625" w:type="pct"/>
            <w:tcBorders>
              <w:top w:val="nil"/>
              <w:bottom w:val="nil"/>
            </w:tcBorders>
            <w:vAlign w:val="center"/>
          </w:tcPr>
          <w:p w:rsidR="003260D8" w:rsidRDefault="003260D8">
            <w:pPr>
              <w:jc w:val="center"/>
              <w:rPr>
                <w:rFonts w:cs="Arial"/>
                <w:szCs w:val="20"/>
              </w:rPr>
            </w:pPr>
            <w:r>
              <w:rPr>
                <w:rFonts w:cs="Arial"/>
                <w:szCs w:val="20"/>
              </w:rPr>
              <w:t>11</w:t>
            </w:r>
          </w:p>
        </w:tc>
        <w:tc>
          <w:tcPr>
            <w:tcW w:w="647" w:type="pct"/>
            <w:tcBorders>
              <w:top w:val="nil"/>
              <w:bottom w:val="nil"/>
            </w:tcBorders>
            <w:vAlign w:val="center"/>
          </w:tcPr>
          <w:p w:rsidR="003260D8" w:rsidRDefault="003260D8">
            <w:pPr>
              <w:jc w:val="center"/>
              <w:rPr>
                <w:rFonts w:cs="Arial"/>
                <w:szCs w:val="20"/>
              </w:rPr>
            </w:pPr>
            <w:r>
              <w:rPr>
                <w:rFonts w:cs="Arial"/>
                <w:szCs w:val="20"/>
              </w:rPr>
              <w:t>38</w:t>
            </w:r>
          </w:p>
        </w:tc>
      </w:tr>
      <w:tr w:rsidR="003260D8" w:rsidRPr="006A7228" w:rsidTr="006D64BA">
        <w:trPr>
          <w:trHeight w:val="510"/>
        </w:trPr>
        <w:tc>
          <w:tcPr>
            <w:tcW w:w="1023" w:type="pct"/>
            <w:tcBorders>
              <w:top w:val="nil"/>
              <w:bottom w:val="nil"/>
            </w:tcBorders>
            <w:vAlign w:val="center"/>
          </w:tcPr>
          <w:p w:rsidR="003260D8" w:rsidRDefault="003260D8">
            <w:pPr>
              <w:rPr>
                <w:rFonts w:cs="Arial"/>
                <w:sz w:val="16"/>
                <w:szCs w:val="16"/>
              </w:rPr>
            </w:pPr>
            <w:r>
              <w:rPr>
                <w:rFonts w:cs="Arial"/>
                <w:sz w:val="16"/>
                <w:szCs w:val="16"/>
              </w:rPr>
              <w:t>16-17 financial YTD</w:t>
            </w:r>
          </w:p>
        </w:tc>
        <w:tc>
          <w:tcPr>
            <w:tcW w:w="723" w:type="pct"/>
            <w:tcBorders>
              <w:top w:val="nil"/>
              <w:bottom w:val="nil"/>
            </w:tcBorders>
            <w:vAlign w:val="center"/>
          </w:tcPr>
          <w:p w:rsidR="003260D8" w:rsidRDefault="003260D8">
            <w:pPr>
              <w:jc w:val="center"/>
              <w:rPr>
                <w:rFonts w:cs="Arial"/>
                <w:sz w:val="20"/>
                <w:szCs w:val="20"/>
              </w:rPr>
            </w:pPr>
            <w:r>
              <w:rPr>
                <w:rFonts w:cs="Arial"/>
                <w:sz w:val="20"/>
                <w:szCs w:val="20"/>
              </w:rPr>
              <w:t>-</w:t>
            </w:r>
          </w:p>
        </w:tc>
        <w:tc>
          <w:tcPr>
            <w:tcW w:w="635" w:type="pct"/>
            <w:tcBorders>
              <w:top w:val="nil"/>
              <w:bottom w:val="nil"/>
            </w:tcBorders>
            <w:vAlign w:val="center"/>
          </w:tcPr>
          <w:p w:rsidR="003260D8" w:rsidRDefault="003260D8">
            <w:pPr>
              <w:jc w:val="center"/>
              <w:rPr>
                <w:rFonts w:cs="Arial"/>
                <w:sz w:val="20"/>
                <w:szCs w:val="20"/>
              </w:rPr>
            </w:pPr>
            <w:r>
              <w:rPr>
                <w:rFonts w:cs="Arial"/>
                <w:sz w:val="20"/>
                <w:szCs w:val="20"/>
              </w:rPr>
              <w:t>-</w:t>
            </w:r>
          </w:p>
        </w:tc>
        <w:tc>
          <w:tcPr>
            <w:tcW w:w="669" w:type="pct"/>
            <w:tcBorders>
              <w:top w:val="nil"/>
              <w:bottom w:val="nil"/>
            </w:tcBorders>
            <w:vAlign w:val="center"/>
          </w:tcPr>
          <w:p w:rsidR="003260D8" w:rsidRDefault="003260D8">
            <w:pPr>
              <w:jc w:val="center"/>
              <w:rPr>
                <w:rFonts w:cs="Arial"/>
                <w:sz w:val="20"/>
                <w:szCs w:val="20"/>
              </w:rPr>
            </w:pPr>
            <w:r>
              <w:rPr>
                <w:rFonts w:cs="Arial"/>
                <w:sz w:val="20"/>
                <w:szCs w:val="20"/>
              </w:rPr>
              <w:t>7.20</w:t>
            </w:r>
          </w:p>
        </w:tc>
        <w:tc>
          <w:tcPr>
            <w:tcW w:w="678" w:type="pct"/>
            <w:tcBorders>
              <w:top w:val="nil"/>
              <w:bottom w:val="nil"/>
            </w:tcBorders>
            <w:vAlign w:val="center"/>
          </w:tcPr>
          <w:p w:rsidR="003260D8" w:rsidRDefault="003260D8">
            <w:pPr>
              <w:jc w:val="center"/>
              <w:rPr>
                <w:rFonts w:cs="Arial"/>
                <w:sz w:val="20"/>
                <w:szCs w:val="20"/>
              </w:rPr>
            </w:pPr>
            <w:r>
              <w:rPr>
                <w:rFonts w:cs="Arial"/>
                <w:sz w:val="20"/>
                <w:szCs w:val="20"/>
              </w:rPr>
              <w:t>329</w:t>
            </w:r>
          </w:p>
        </w:tc>
        <w:tc>
          <w:tcPr>
            <w:tcW w:w="625" w:type="pct"/>
            <w:tcBorders>
              <w:top w:val="nil"/>
              <w:bottom w:val="nil"/>
            </w:tcBorders>
            <w:vAlign w:val="center"/>
          </w:tcPr>
          <w:p w:rsidR="003260D8" w:rsidRDefault="003260D8">
            <w:pPr>
              <w:jc w:val="center"/>
              <w:rPr>
                <w:rFonts w:cs="Arial"/>
                <w:sz w:val="20"/>
                <w:szCs w:val="20"/>
              </w:rPr>
            </w:pPr>
            <w:r>
              <w:rPr>
                <w:rFonts w:cs="Arial"/>
                <w:sz w:val="20"/>
                <w:szCs w:val="20"/>
              </w:rPr>
              <w:t>8.36</w:t>
            </w:r>
          </w:p>
        </w:tc>
        <w:tc>
          <w:tcPr>
            <w:tcW w:w="647" w:type="pct"/>
            <w:tcBorders>
              <w:top w:val="nil"/>
              <w:bottom w:val="nil"/>
            </w:tcBorders>
            <w:vAlign w:val="center"/>
          </w:tcPr>
          <w:p w:rsidR="003260D8" w:rsidRDefault="003260D8">
            <w:pPr>
              <w:jc w:val="center"/>
              <w:rPr>
                <w:rFonts w:cs="Arial"/>
                <w:sz w:val="20"/>
                <w:szCs w:val="20"/>
              </w:rPr>
            </w:pPr>
            <w:r>
              <w:rPr>
                <w:rFonts w:cs="Arial"/>
                <w:sz w:val="20"/>
                <w:szCs w:val="20"/>
              </w:rPr>
              <w:t>6912</w:t>
            </w:r>
          </w:p>
        </w:tc>
      </w:tr>
      <w:tr w:rsidR="003260D8" w:rsidRPr="006A7228" w:rsidTr="006D64BA">
        <w:trPr>
          <w:cnfStyle w:val="000000010000" w:firstRow="0" w:lastRow="0" w:firstColumn="0" w:lastColumn="0" w:oddVBand="0" w:evenVBand="0" w:oddHBand="0" w:evenHBand="1" w:firstRowFirstColumn="0" w:firstRowLastColumn="0" w:lastRowFirstColumn="0" w:lastRowLastColumn="0"/>
          <w:trHeight w:val="510"/>
        </w:trPr>
        <w:tc>
          <w:tcPr>
            <w:tcW w:w="1023" w:type="pct"/>
            <w:tcBorders>
              <w:top w:val="nil"/>
              <w:bottom w:val="single" w:sz="4" w:space="0" w:color="auto"/>
            </w:tcBorders>
            <w:vAlign w:val="center"/>
          </w:tcPr>
          <w:p w:rsidR="003260D8" w:rsidRDefault="003260D8">
            <w:pPr>
              <w:rPr>
                <w:rFonts w:cs="Arial"/>
                <w:sz w:val="16"/>
                <w:szCs w:val="16"/>
              </w:rPr>
            </w:pPr>
            <w:r>
              <w:rPr>
                <w:rFonts w:cs="Arial"/>
                <w:sz w:val="16"/>
                <w:szCs w:val="16"/>
              </w:rPr>
              <w:t>% change from previous financial YTD</w:t>
            </w:r>
          </w:p>
        </w:tc>
        <w:tc>
          <w:tcPr>
            <w:tcW w:w="723" w:type="pct"/>
            <w:tcBorders>
              <w:top w:val="nil"/>
              <w:bottom w:val="single" w:sz="4" w:space="0" w:color="auto"/>
            </w:tcBorders>
            <w:vAlign w:val="center"/>
          </w:tcPr>
          <w:p w:rsidR="003260D8" w:rsidRDefault="003260D8">
            <w:pPr>
              <w:jc w:val="center"/>
              <w:rPr>
                <w:rFonts w:cs="Arial"/>
                <w:szCs w:val="20"/>
              </w:rPr>
            </w:pPr>
            <w:r>
              <w:rPr>
                <w:rFonts w:cs="Arial"/>
                <w:szCs w:val="20"/>
              </w:rPr>
              <w:t>-</w:t>
            </w:r>
          </w:p>
        </w:tc>
        <w:tc>
          <w:tcPr>
            <w:tcW w:w="635" w:type="pct"/>
            <w:tcBorders>
              <w:top w:val="nil"/>
              <w:bottom w:val="single" w:sz="4" w:space="0" w:color="auto"/>
            </w:tcBorders>
            <w:vAlign w:val="center"/>
          </w:tcPr>
          <w:p w:rsidR="003260D8" w:rsidRDefault="003260D8">
            <w:pPr>
              <w:jc w:val="center"/>
              <w:rPr>
                <w:rFonts w:cs="Arial"/>
                <w:szCs w:val="20"/>
              </w:rPr>
            </w:pPr>
            <w:r>
              <w:rPr>
                <w:rFonts w:cs="Arial"/>
                <w:szCs w:val="20"/>
              </w:rPr>
              <w:t>-</w:t>
            </w:r>
          </w:p>
        </w:tc>
        <w:tc>
          <w:tcPr>
            <w:tcW w:w="669" w:type="pct"/>
            <w:tcBorders>
              <w:top w:val="nil"/>
              <w:bottom w:val="single" w:sz="4" w:space="0" w:color="auto"/>
            </w:tcBorders>
            <w:vAlign w:val="center"/>
          </w:tcPr>
          <w:p w:rsidR="003260D8" w:rsidRDefault="003260D8">
            <w:pPr>
              <w:jc w:val="center"/>
              <w:rPr>
                <w:rFonts w:cs="Arial"/>
                <w:szCs w:val="20"/>
              </w:rPr>
            </w:pPr>
            <w:r>
              <w:rPr>
                <w:rFonts w:cs="Arial"/>
                <w:szCs w:val="20"/>
              </w:rPr>
              <w:t>-</w:t>
            </w:r>
          </w:p>
        </w:tc>
        <w:tc>
          <w:tcPr>
            <w:tcW w:w="678" w:type="pct"/>
            <w:tcBorders>
              <w:top w:val="nil"/>
              <w:bottom w:val="single" w:sz="4" w:space="0" w:color="auto"/>
            </w:tcBorders>
            <w:vAlign w:val="center"/>
          </w:tcPr>
          <w:p w:rsidR="003260D8" w:rsidRDefault="003260D8">
            <w:pPr>
              <w:jc w:val="center"/>
              <w:rPr>
                <w:rFonts w:cs="Arial"/>
                <w:szCs w:val="20"/>
              </w:rPr>
            </w:pPr>
            <w:r>
              <w:rPr>
                <w:rFonts w:cs="Arial"/>
                <w:szCs w:val="20"/>
              </w:rPr>
              <w:t>-</w:t>
            </w:r>
          </w:p>
        </w:tc>
        <w:tc>
          <w:tcPr>
            <w:tcW w:w="625" w:type="pct"/>
            <w:tcBorders>
              <w:top w:val="nil"/>
              <w:bottom w:val="single" w:sz="4" w:space="0" w:color="auto"/>
            </w:tcBorders>
            <w:vAlign w:val="center"/>
          </w:tcPr>
          <w:p w:rsidR="003260D8" w:rsidRDefault="003260D8">
            <w:pPr>
              <w:jc w:val="center"/>
              <w:rPr>
                <w:rFonts w:cs="Arial"/>
                <w:szCs w:val="20"/>
              </w:rPr>
            </w:pPr>
            <w:r>
              <w:rPr>
                <w:rFonts w:cs="Arial"/>
                <w:szCs w:val="20"/>
              </w:rPr>
              <w:t>111</w:t>
            </w:r>
          </w:p>
        </w:tc>
        <w:tc>
          <w:tcPr>
            <w:tcW w:w="647" w:type="pct"/>
            <w:tcBorders>
              <w:top w:val="nil"/>
              <w:bottom w:val="single" w:sz="4" w:space="0" w:color="auto"/>
            </w:tcBorders>
            <w:vAlign w:val="center"/>
          </w:tcPr>
          <w:p w:rsidR="003260D8" w:rsidRDefault="003260D8">
            <w:pPr>
              <w:jc w:val="center"/>
              <w:rPr>
                <w:rFonts w:cs="Arial"/>
                <w:szCs w:val="20"/>
              </w:rPr>
            </w:pPr>
            <w:r>
              <w:rPr>
                <w:rFonts w:cs="Arial"/>
                <w:szCs w:val="20"/>
              </w:rPr>
              <w:t>2</w:t>
            </w:r>
          </w:p>
        </w:tc>
      </w:tr>
    </w:tbl>
    <w:p w:rsidR="001521CB" w:rsidRPr="008D4DAB" w:rsidRDefault="00674600" w:rsidP="00D352AB">
      <w:pPr>
        <w:pStyle w:val="AERbodytext"/>
        <w:keepNext/>
        <w:spacing w:before="200"/>
      </w:pPr>
      <w:r w:rsidRPr="00EC137F">
        <w:t>Figure</w:t>
      </w:r>
      <w:r>
        <w:t> 3</w:t>
      </w:r>
      <w:r w:rsidRPr="00EC137F">
        <w:t xml:space="preserve"> </w:t>
      </w:r>
      <w:r w:rsidR="001521CB" w:rsidRPr="00EC137F">
        <w:t>illustrates the daily prices in each gas market</w:t>
      </w:r>
      <w:r w:rsidR="00580E72" w:rsidRPr="00EC137F">
        <w:t>, as defined in figure</w:t>
      </w:r>
      <w:r>
        <w:t>s</w:t>
      </w:r>
      <w:r w:rsidR="00580E72" w:rsidRPr="00EC137F">
        <w:t> 1</w:t>
      </w:r>
      <w:r>
        <w:t xml:space="preserve"> and 2</w:t>
      </w:r>
      <w:r w:rsidR="001521CB" w:rsidRPr="00EC137F">
        <w:t>.</w:t>
      </w:r>
    </w:p>
    <w:p w:rsidR="001521CB" w:rsidRPr="001521CB" w:rsidRDefault="001521CB" w:rsidP="001521CB">
      <w:pPr>
        <w:pStyle w:val="Caption"/>
      </w:pPr>
      <w:r w:rsidRPr="001521CB">
        <w:t xml:space="preserve">Figure </w:t>
      </w:r>
      <w:fldSimple w:instr=" SEQ Figure \* ARABIC ">
        <w:r w:rsidR="00674600">
          <w:rPr>
            <w:noProof/>
          </w:rPr>
          <w:t>3</w:t>
        </w:r>
      </w:fldSimple>
      <w:r w:rsidRPr="001521CB">
        <w:t xml:space="preserve">: </w:t>
      </w:r>
      <w:r w:rsidRPr="001521CB">
        <w:rPr>
          <w:color w:val="2272A3"/>
          <w:szCs w:val="24"/>
        </w:rPr>
        <w:t>Daily gas market prices</w:t>
      </w:r>
      <w:r w:rsidR="00A84149">
        <w:rPr>
          <w:color w:val="2272A3"/>
          <w:szCs w:val="24"/>
        </w:rPr>
        <w:t xml:space="preserve"> ($/GJ)</w:t>
      </w:r>
    </w:p>
    <w:p w:rsidR="001521CB" w:rsidRDefault="003260D8" w:rsidP="001521CB">
      <w:r w:rsidRPr="001570F4">
        <w:rPr>
          <w:noProof/>
          <w:lang w:eastAsia="en-AU"/>
        </w:rPr>
        <w:drawing>
          <wp:inline distT="0" distB="0" distL="0" distR="0" wp14:anchorId="391C4AB1" wp14:editId="0D6A352E">
            <wp:extent cx="5731510" cy="2106930"/>
            <wp:effectExtent l="0" t="0" r="2540" b="7620"/>
            <wp:docPr id="2" name="Picture 2" descr="Figure 3 shows the daily price of gas in the mandatory gas markets and voluntary gas supply hubs (GSH). The weighted average daily imbalance price applies for Victoria. The prices shown for the GSH in Wallumbilla and Moomba are volume weighted average prices for all commodity products traded on each day for each hub. The price shown for South East Queensland is the volume weighted average price for all commodity products traded on each day for that specific product location." title="Daily gas market 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106930"/>
                    </a:xfrm>
                    <a:prstGeom prst="rect">
                      <a:avLst/>
                    </a:prstGeom>
                    <a:noFill/>
                    <a:ln>
                      <a:noFill/>
                    </a:ln>
                  </pic:spPr>
                </pic:pic>
              </a:graphicData>
            </a:graphic>
          </wp:inline>
        </w:drawing>
      </w:r>
    </w:p>
    <w:p w:rsidR="001521CB" w:rsidRPr="008D4DAB" w:rsidRDefault="00674600" w:rsidP="00F26128">
      <w:pPr>
        <w:pStyle w:val="AERbodytext"/>
      </w:pPr>
      <w:r>
        <w:lastRenderedPageBreak/>
        <w:t>Figure 4</w:t>
      </w:r>
      <w:r w:rsidR="001521CB" w:rsidRPr="00EC137F">
        <w:t xml:space="preserve"> compares average ancillary market payments </w:t>
      </w:r>
      <w:r w:rsidR="006621AB" w:rsidRPr="00EC137F">
        <w:t xml:space="preserve">(VGM) </w:t>
      </w:r>
      <w:r w:rsidR="001521CB" w:rsidRPr="00EC137F">
        <w:t xml:space="preserve">and </w:t>
      </w:r>
      <w:r w:rsidR="006621AB" w:rsidRPr="00EC137F">
        <w:t xml:space="preserve">balancing gas service payments (STTM) </w:t>
      </w:r>
      <w:r w:rsidR="001521CB" w:rsidRPr="00EC137F">
        <w:t>against historical averages.</w:t>
      </w:r>
    </w:p>
    <w:p w:rsidR="001521CB" w:rsidRPr="001521CB" w:rsidRDefault="001521CB" w:rsidP="001521CB">
      <w:pPr>
        <w:pStyle w:val="Caption"/>
      </w:pPr>
      <w:r w:rsidRPr="001521CB">
        <w:t xml:space="preserve">Figure </w:t>
      </w:r>
      <w:fldSimple w:instr=" SEQ Figure \* ARABIC ">
        <w:r w:rsidR="00674600">
          <w:rPr>
            <w:noProof/>
          </w:rPr>
          <w:t>4</w:t>
        </w:r>
      </w:fldSimple>
      <w:r w:rsidRPr="001521CB">
        <w:t xml:space="preserve">: </w:t>
      </w:r>
      <w:r w:rsidR="00E95390">
        <w:rPr>
          <w:color w:val="2272A3"/>
          <w:szCs w:val="24"/>
        </w:rPr>
        <w:t xml:space="preserve">Average ancillary </w:t>
      </w:r>
      <w:r w:rsidR="00E7180D">
        <w:rPr>
          <w:color w:val="2272A3"/>
          <w:szCs w:val="24"/>
        </w:rPr>
        <w:t>payments</w:t>
      </w:r>
      <w:r w:rsidR="0092084D">
        <w:rPr>
          <w:color w:val="2272A3"/>
          <w:szCs w:val="24"/>
        </w:rPr>
        <w:t xml:space="preserve"> ($000)</w:t>
      </w:r>
    </w:p>
    <w:tbl>
      <w:tblPr>
        <w:tblStyle w:val="AERTable-Text"/>
        <w:tblW w:w="5000" w:type="pct"/>
        <w:tblLook w:val="04A0" w:firstRow="1" w:lastRow="0" w:firstColumn="1" w:lastColumn="0" w:noHBand="0" w:noVBand="1"/>
      </w:tblPr>
      <w:tblGrid>
        <w:gridCol w:w="2930"/>
        <w:gridCol w:w="1835"/>
        <w:gridCol w:w="1401"/>
        <w:gridCol w:w="1536"/>
        <w:gridCol w:w="1540"/>
      </w:tblGrid>
      <w:tr w:rsidR="00534DD9" w:rsidRPr="00405CDE" w:rsidTr="00534DD9">
        <w:trPr>
          <w:cnfStyle w:val="100000000000" w:firstRow="1" w:lastRow="0" w:firstColumn="0" w:lastColumn="0" w:oddVBand="0" w:evenVBand="0" w:oddHBand="0" w:evenHBand="0" w:firstRowFirstColumn="0" w:firstRowLastColumn="0" w:lastRowFirstColumn="0" w:lastRowLastColumn="0"/>
          <w:tblHeader/>
        </w:trPr>
        <w:tc>
          <w:tcPr>
            <w:tcW w:w="1585" w:type="pct"/>
            <w:tcBorders>
              <w:bottom w:val="nil"/>
            </w:tcBorders>
            <w:vAlign w:val="center"/>
            <w:hideMark/>
          </w:tcPr>
          <w:p w:rsidR="00534DD9" w:rsidRPr="00DC24BF" w:rsidRDefault="001521CB" w:rsidP="00534DD9">
            <w:pPr>
              <w:pStyle w:val="TableHeading"/>
              <w:spacing w:before="120" w:after="120" w:line="240" w:lineRule="auto"/>
              <w:jc w:val="center"/>
              <w:rPr>
                <w:rFonts w:cs="Arial"/>
                <w:sz w:val="20"/>
                <w:szCs w:val="20"/>
              </w:rPr>
            </w:pPr>
            <w:r w:rsidRPr="00D329E0">
              <w:t xml:space="preserve"> </w:t>
            </w:r>
          </w:p>
        </w:tc>
        <w:tc>
          <w:tcPr>
            <w:tcW w:w="993" w:type="pct"/>
            <w:tcBorders>
              <w:bottom w:val="nil"/>
            </w:tcBorders>
            <w:vAlign w:val="center"/>
            <w:hideMark/>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Victoria                                   </w:t>
            </w:r>
            <w:r w:rsidRPr="00534DD9">
              <w:rPr>
                <w:rFonts w:eastAsia="Times New Roman" w:cs="Arial"/>
                <w:b w:val="0"/>
                <w:color w:val="FFFFFF"/>
                <w:sz w:val="16"/>
                <w:szCs w:val="16"/>
                <w:lang w:eastAsia="en-AU"/>
              </w:rPr>
              <w:t>Ancillary Payments</w:t>
            </w:r>
            <w:r>
              <w:rPr>
                <w:rFonts w:eastAsia="Times New Roman" w:cs="Arial"/>
                <w:b w:val="0"/>
                <w:color w:val="FFFFFF"/>
                <w:sz w:val="16"/>
                <w:szCs w:val="16"/>
                <w:lang w:eastAsia="en-AU"/>
              </w:rPr>
              <w:t>*</w:t>
            </w:r>
          </w:p>
        </w:tc>
        <w:tc>
          <w:tcPr>
            <w:tcW w:w="758" w:type="pct"/>
            <w:tcBorders>
              <w:bottom w:val="nil"/>
            </w:tcBorders>
            <w:vAlign w:val="center"/>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Sydney                                    </w:t>
            </w:r>
            <w:r w:rsidRPr="00534DD9">
              <w:rPr>
                <w:rFonts w:eastAsia="Times New Roman" w:cs="Arial"/>
                <w:b w:val="0"/>
                <w:color w:val="FFFFFF"/>
                <w:sz w:val="16"/>
                <w:szCs w:val="16"/>
                <w:lang w:eastAsia="en-AU"/>
              </w:rPr>
              <w:t>MOS</w:t>
            </w:r>
          </w:p>
        </w:tc>
        <w:tc>
          <w:tcPr>
            <w:tcW w:w="831" w:type="pct"/>
            <w:tcBorders>
              <w:bottom w:val="nil"/>
            </w:tcBorders>
            <w:vAlign w:val="center"/>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Adelaide                                    </w:t>
            </w:r>
            <w:r w:rsidRPr="00534DD9">
              <w:rPr>
                <w:rFonts w:eastAsia="Times New Roman" w:cs="Arial"/>
                <w:b w:val="0"/>
                <w:color w:val="FFFFFF"/>
                <w:sz w:val="16"/>
                <w:szCs w:val="16"/>
                <w:lang w:eastAsia="en-AU"/>
              </w:rPr>
              <w:t>MOS</w:t>
            </w:r>
          </w:p>
        </w:tc>
        <w:tc>
          <w:tcPr>
            <w:tcW w:w="833" w:type="pct"/>
            <w:tcBorders>
              <w:bottom w:val="nil"/>
            </w:tcBorders>
            <w:vAlign w:val="center"/>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Brisbane                                    </w:t>
            </w:r>
            <w:r w:rsidRPr="00534DD9">
              <w:rPr>
                <w:rFonts w:eastAsia="Times New Roman" w:cs="Arial"/>
                <w:b w:val="0"/>
                <w:color w:val="FFFFFF"/>
                <w:sz w:val="16"/>
                <w:szCs w:val="16"/>
                <w:lang w:eastAsia="en-AU"/>
              </w:rPr>
              <w:t>MOS</w:t>
            </w:r>
          </w:p>
        </w:tc>
      </w:tr>
      <w:tr w:rsidR="003260D8" w:rsidRPr="00405CDE" w:rsidTr="00534DD9">
        <w:trPr>
          <w:trHeight w:val="510"/>
        </w:trPr>
        <w:tc>
          <w:tcPr>
            <w:tcW w:w="1585" w:type="pct"/>
            <w:tcBorders>
              <w:top w:val="nil"/>
              <w:bottom w:val="nil"/>
            </w:tcBorders>
            <w:vAlign w:val="center"/>
          </w:tcPr>
          <w:p w:rsidR="003260D8" w:rsidRDefault="003260D8">
            <w:pPr>
              <w:rPr>
                <w:rFonts w:cs="Arial"/>
                <w:sz w:val="16"/>
                <w:szCs w:val="16"/>
              </w:rPr>
            </w:pPr>
            <w:r>
              <w:rPr>
                <w:rFonts w:cs="Arial"/>
                <w:sz w:val="16"/>
                <w:szCs w:val="16"/>
              </w:rPr>
              <w:t>07 May - 13 May 2017</w:t>
            </w:r>
          </w:p>
        </w:tc>
        <w:tc>
          <w:tcPr>
            <w:tcW w:w="993" w:type="pct"/>
            <w:tcBorders>
              <w:top w:val="nil"/>
              <w:bottom w:val="nil"/>
            </w:tcBorders>
            <w:vAlign w:val="center"/>
          </w:tcPr>
          <w:p w:rsidR="003260D8" w:rsidRDefault="003260D8">
            <w:pPr>
              <w:jc w:val="center"/>
              <w:rPr>
                <w:rFonts w:cs="Arial"/>
                <w:sz w:val="20"/>
                <w:szCs w:val="20"/>
              </w:rPr>
            </w:pPr>
            <w:r>
              <w:rPr>
                <w:rFonts w:cs="Arial"/>
                <w:sz w:val="20"/>
                <w:szCs w:val="20"/>
              </w:rPr>
              <w:t>-</w:t>
            </w:r>
          </w:p>
        </w:tc>
        <w:tc>
          <w:tcPr>
            <w:tcW w:w="758" w:type="pct"/>
            <w:tcBorders>
              <w:top w:val="nil"/>
              <w:bottom w:val="nil"/>
            </w:tcBorders>
            <w:vAlign w:val="center"/>
          </w:tcPr>
          <w:p w:rsidR="003260D8" w:rsidRDefault="003260D8">
            <w:pPr>
              <w:jc w:val="center"/>
              <w:rPr>
                <w:rFonts w:cs="Arial"/>
                <w:sz w:val="20"/>
                <w:szCs w:val="20"/>
              </w:rPr>
            </w:pPr>
            <w:r>
              <w:rPr>
                <w:rFonts w:cs="Arial"/>
                <w:sz w:val="20"/>
                <w:szCs w:val="20"/>
              </w:rPr>
              <w:t>92.44</w:t>
            </w:r>
          </w:p>
        </w:tc>
        <w:tc>
          <w:tcPr>
            <w:tcW w:w="831" w:type="pct"/>
            <w:tcBorders>
              <w:top w:val="nil"/>
              <w:bottom w:val="nil"/>
            </w:tcBorders>
            <w:vAlign w:val="center"/>
          </w:tcPr>
          <w:p w:rsidR="003260D8" w:rsidRDefault="003260D8">
            <w:pPr>
              <w:jc w:val="center"/>
              <w:rPr>
                <w:rFonts w:cs="Arial"/>
                <w:sz w:val="20"/>
                <w:szCs w:val="20"/>
              </w:rPr>
            </w:pPr>
            <w:r>
              <w:rPr>
                <w:rFonts w:cs="Arial"/>
                <w:sz w:val="20"/>
                <w:szCs w:val="20"/>
              </w:rPr>
              <w:t>6.35</w:t>
            </w:r>
          </w:p>
        </w:tc>
        <w:tc>
          <w:tcPr>
            <w:tcW w:w="833" w:type="pct"/>
            <w:tcBorders>
              <w:top w:val="nil"/>
              <w:bottom w:val="nil"/>
            </w:tcBorders>
            <w:vAlign w:val="center"/>
          </w:tcPr>
          <w:p w:rsidR="003260D8" w:rsidRDefault="003260D8">
            <w:pPr>
              <w:jc w:val="center"/>
              <w:rPr>
                <w:rFonts w:cs="Arial"/>
                <w:sz w:val="20"/>
                <w:szCs w:val="20"/>
              </w:rPr>
            </w:pPr>
            <w:r>
              <w:rPr>
                <w:rFonts w:cs="Arial"/>
                <w:sz w:val="20"/>
                <w:szCs w:val="20"/>
              </w:rPr>
              <w:t>1.28</w:t>
            </w:r>
          </w:p>
        </w:tc>
      </w:tr>
      <w:tr w:rsidR="003260D8" w:rsidRPr="00405CDE" w:rsidTr="00534DD9">
        <w:trPr>
          <w:cnfStyle w:val="000000010000" w:firstRow="0" w:lastRow="0" w:firstColumn="0" w:lastColumn="0" w:oddVBand="0" w:evenVBand="0" w:oddHBand="0" w:evenHBand="1" w:firstRowFirstColumn="0" w:firstRowLastColumn="0" w:lastRowFirstColumn="0" w:lastRowLastColumn="0"/>
          <w:trHeight w:val="510"/>
        </w:trPr>
        <w:tc>
          <w:tcPr>
            <w:tcW w:w="1585" w:type="pct"/>
            <w:tcBorders>
              <w:top w:val="nil"/>
              <w:bottom w:val="nil"/>
            </w:tcBorders>
            <w:vAlign w:val="center"/>
          </w:tcPr>
          <w:p w:rsidR="003260D8" w:rsidRDefault="003260D8">
            <w:pPr>
              <w:rPr>
                <w:rFonts w:cs="Arial"/>
                <w:sz w:val="16"/>
                <w:szCs w:val="16"/>
              </w:rPr>
            </w:pPr>
            <w:r>
              <w:rPr>
                <w:rFonts w:cs="Arial"/>
                <w:sz w:val="16"/>
                <w:szCs w:val="16"/>
              </w:rPr>
              <w:t>% change from previous week</w:t>
            </w:r>
          </w:p>
        </w:tc>
        <w:tc>
          <w:tcPr>
            <w:tcW w:w="993" w:type="pct"/>
            <w:tcBorders>
              <w:top w:val="nil"/>
              <w:bottom w:val="nil"/>
            </w:tcBorders>
            <w:vAlign w:val="center"/>
          </w:tcPr>
          <w:p w:rsidR="003260D8" w:rsidRDefault="003260D8">
            <w:pPr>
              <w:jc w:val="center"/>
              <w:rPr>
                <w:rFonts w:cs="Arial"/>
                <w:szCs w:val="20"/>
              </w:rPr>
            </w:pPr>
            <w:r>
              <w:rPr>
                <w:rFonts w:cs="Arial"/>
                <w:szCs w:val="20"/>
              </w:rPr>
              <w:t>-</w:t>
            </w:r>
          </w:p>
        </w:tc>
        <w:tc>
          <w:tcPr>
            <w:tcW w:w="758" w:type="pct"/>
            <w:tcBorders>
              <w:top w:val="nil"/>
              <w:bottom w:val="nil"/>
            </w:tcBorders>
            <w:vAlign w:val="center"/>
          </w:tcPr>
          <w:p w:rsidR="003260D8" w:rsidRDefault="003260D8">
            <w:pPr>
              <w:jc w:val="center"/>
              <w:rPr>
                <w:rFonts w:cs="Arial"/>
                <w:szCs w:val="20"/>
              </w:rPr>
            </w:pPr>
            <w:r>
              <w:rPr>
                <w:rFonts w:cs="Arial"/>
                <w:szCs w:val="20"/>
              </w:rPr>
              <w:t>65</w:t>
            </w:r>
          </w:p>
        </w:tc>
        <w:tc>
          <w:tcPr>
            <w:tcW w:w="831" w:type="pct"/>
            <w:tcBorders>
              <w:top w:val="nil"/>
              <w:bottom w:val="nil"/>
            </w:tcBorders>
            <w:vAlign w:val="center"/>
          </w:tcPr>
          <w:p w:rsidR="003260D8" w:rsidRDefault="003260D8">
            <w:pPr>
              <w:jc w:val="center"/>
              <w:rPr>
                <w:rFonts w:cs="Arial"/>
                <w:szCs w:val="20"/>
              </w:rPr>
            </w:pPr>
            <w:r>
              <w:rPr>
                <w:rFonts w:cs="Arial"/>
                <w:szCs w:val="20"/>
              </w:rPr>
              <w:t>69</w:t>
            </w:r>
          </w:p>
        </w:tc>
        <w:tc>
          <w:tcPr>
            <w:tcW w:w="833" w:type="pct"/>
            <w:tcBorders>
              <w:top w:val="nil"/>
              <w:bottom w:val="nil"/>
            </w:tcBorders>
            <w:vAlign w:val="center"/>
          </w:tcPr>
          <w:p w:rsidR="003260D8" w:rsidRDefault="003260D8">
            <w:pPr>
              <w:jc w:val="center"/>
              <w:rPr>
                <w:rFonts w:cs="Arial"/>
                <w:szCs w:val="20"/>
              </w:rPr>
            </w:pPr>
            <w:r>
              <w:rPr>
                <w:rFonts w:cs="Arial"/>
                <w:szCs w:val="20"/>
              </w:rPr>
              <w:t>-30</w:t>
            </w:r>
          </w:p>
        </w:tc>
      </w:tr>
      <w:tr w:rsidR="003260D8" w:rsidRPr="00405CDE" w:rsidTr="00534DD9">
        <w:trPr>
          <w:trHeight w:val="510"/>
        </w:trPr>
        <w:tc>
          <w:tcPr>
            <w:tcW w:w="1585" w:type="pct"/>
            <w:tcBorders>
              <w:top w:val="nil"/>
              <w:bottom w:val="nil"/>
            </w:tcBorders>
            <w:vAlign w:val="center"/>
          </w:tcPr>
          <w:p w:rsidR="003260D8" w:rsidRDefault="003260D8">
            <w:pPr>
              <w:rPr>
                <w:rFonts w:cs="Arial"/>
                <w:sz w:val="16"/>
                <w:szCs w:val="16"/>
              </w:rPr>
            </w:pPr>
            <w:r>
              <w:rPr>
                <w:rFonts w:cs="Arial"/>
                <w:sz w:val="16"/>
                <w:szCs w:val="16"/>
              </w:rPr>
              <w:t>16-17 financial YTD</w:t>
            </w:r>
          </w:p>
        </w:tc>
        <w:tc>
          <w:tcPr>
            <w:tcW w:w="993" w:type="pct"/>
            <w:tcBorders>
              <w:top w:val="nil"/>
              <w:bottom w:val="nil"/>
            </w:tcBorders>
            <w:vAlign w:val="center"/>
          </w:tcPr>
          <w:p w:rsidR="003260D8" w:rsidRDefault="003260D8">
            <w:pPr>
              <w:jc w:val="center"/>
              <w:rPr>
                <w:rFonts w:cs="Arial"/>
                <w:sz w:val="20"/>
                <w:szCs w:val="20"/>
              </w:rPr>
            </w:pPr>
            <w:r>
              <w:rPr>
                <w:rFonts w:cs="Arial"/>
                <w:sz w:val="20"/>
                <w:szCs w:val="20"/>
              </w:rPr>
              <w:t> </w:t>
            </w:r>
          </w:p>
        </w:tc>
        <w:tc>
          <w:tcPr>
            <w:tcW w:w="758" w:type="pct"/>
            <w:tcBorders>
              <w:top w:val="nil"/>
              <w:bottom w:val="nil"/>
            </w:tcBorders>
            <w:vAlign w:val="center"/>
          </w:tcPr>
          <w:p w:rsidR="003260D8" w:rsidRDefault="003260D8">
            <w:pPr>
              <w:jc w:val="center"/>
              <w:rPr>
                <w:rFonts w:cs="Arial"/>
                <w:sz w:val="20"/>
                <w:szCs w:val="20"/>
              </w:rPr>
            </w:pPr>
            <w:r>
              <w:rPr>
                <w:rFonts w:cs="Arial"/>
                <w:sz w:val="20"/>
                <w:szCs w:val="20"/>
              </w:rPr>
              <w:t>49.81</w:t>
            </w:r>
          </w:p>
        </w:tc>
        <w:tc>
          <w:tcPr>
            <w:tcW w:w="831" w:type="pct"/>
            <w:tcBorders>
              <w:top w:val="nil"/>
              <w:bottom w:val="nil"/>
            </w:tcBorders>
            <w:vAlign w:val="center"/>
          </w:tcPr>
          <w:p w:rsidR="003260D8" w:rsidRDefault="003260D8">
            <w:pPr>
              <w:jc w:val="center"/>
              <w:rPr>
                <w:rFonts w:cs="Arial"/>
                <w:sz w:val="20"/>
                <w:szCs w:val="20"/>
              </w:rPr>
            </w:pPr>
            <w:r>
              <w:rPr>
                <w:rFonts w:cs="Arial"/>
                <w:sz w:val="20"/>
                <w:szCs w:val="20"/>
              </w:rPr>
              <w:t>18.98</w:t>
            </w:r>
          </w:p>
        </w:tc>
        <w:tc>
          <w:tcPr>
            <w:tcW w:w="833" w:type="pct"/>
            <w:tcBorders>
              <w:top w:val="nil"/>
              <w:bottom w:val="nil"/>
            </w:tcBorders>
            <w:vAlign w:val="center"/>
          </w:tcPr>
          <w:p w:rsidR="003260D8" w:rsidRDefault="003260D8">
            <w:pPr>
              <w:jc w:val="center"/>
              <w:rPr>
                <w:rFonts w:cs="Arial"/>
                <w:sz w:val="20"/>
                <w:szCs w:val="20"/>
              </w:rPr>
            </w:pPr>
            <w:r>
              <w:rPr>
                <w:rFonts w:cs="Arial"/>
                <w:sz w:val="20"/>
                <w:szCs w:val="20"/>
              </w:rPr>
              <w:t>1.69</w:t>
            </w:r>
          </w:p>
        </w:tc>
      </w:tr>
      <w:tr w:rsidR="003260D8" w:rsidRPr="00405CDE" w:rsidTr="00534DD9">
        <w:trPr>
          <w:cnfStyle w:val="000000010000" w:firstRow="0" w:lastRow="0" w:firstColumn="0" w:lastColumn="0" w:oddVBand="0" w:evenVBand="0" w:oddHBand="0" w:evenHBand="1" w:firstRowFirstColumn="0" w:firstRowLastColumn="0" w:lastRowFirstColumn="0" w:lastRowLastColumn="0"/>
          <w:trHeight w:val="510"/>
        </w:trPr>
        <w:tc>
          <w:tcPr>
            <w:tcW w:w="1585" w:type="pct"/>
            <w:tcBorders>
              <w:top w:val="nil"/>
              <w:bottom w:val="single" w:sz="4" w:space="0" w:color="auto"/>
            </w:tcBorders>
            <w:vAlign w:val="center"/>
          </w:tcPr>
          <w:p w:rsidR="003260D8" w:rsidRDefault="003260D8">
            <w:pPr>
              <w:rPr>
                <w:rFonts w:cs="Arial"/>
                <w:sz w:val="16"/>
                <w:szCs w:val="16"/>
              </w:rPr>
            </w:pPr>
            <w:r>
              <w:rPr>
                <w:rFonts w:cs="Arial"/>
                <w:sz w:val="16"/>
                <w:szCs w:val="16"/>
              </w:rPr>
              <w:t xml:space="preserve">% change from previous financial YTD </w:t>
            </w:r>
          </w:p>
        </w:tc>
        <w:tc>
          <w:tcPr>
            <w:tcW w:w="993" w:type="pct"/>
            <w:tcBorders>
              <w:top w:val="nil"/>
              <w:bottom w:val="single" w:sz="4" w:space="0" w:color="auto"/>
            </w:tcBorders>
            <w:vAlign w:val="center"/>
          </w:tcPr>
          <w:p w:rsidR="003260D8" w:rsidRDefault="003260D8">
            <w:pPr>
              <w:jc w:val="center"/>
              <w:rPr>
                <w:rFonts w:cs="Arial"/>
                <w:szCs w:val="20"/>
              </w:rPr>
            </w:pPr>
            <w:r>
              <w:rPr>
                <w:rFonts w:cs="Arial"/>
                <w:szCs w:val="20"/>
              </w:rPr>
              <w:t> </w:t>
            </w:r>
          </w:p>
        </w:tc>
        <w:tc>
          <w:tcPr>
            <w:tcW w:w="758" w:type="pct"/>
            <w:tcBorders>
              <w:top w:val="nil"/>
              <w:bottom w:val="single" w:sz="4" w:space="0" w:color="auto"/>
            </w:tcBorders>
            <w:vAlign w:val="center"/>
          </w:tcPr>
          <w:p w:rsidR="003260D8" w:rsidRDefault="003260D8">
            <w:pPr>
              <w:jc w:val="center"/>
              <w:rPr>
                <w:rFonts w:cs="Arial"/>
                <w:szCs w:val="20"/>
              </w:rPr>
            </w:pPr>
            <w:r>
              <w:rPr>
                <w:rFonts w:cs="Arial"/>
                <w:szCs w:val="20"/>
              </w:rPr>
              <w:t>80</w:t>
            </w:r>
          </w:p>
        </w:tc>
        <w:tc>
          <w:tcPr>
            <w:tcW w:w="831" w:type="pct"/>
            <w:tcBorders>
              <w:top w:val="nil"/>
              <w:bottom w:val="single" w:sz="4" w:space="0" w:color="auto"/>
            </w:tcBorders>
            <w:vAlign w:val="center"/>
          </w:tcPr>
          <w:p w:rsidR="003260D8" w:rsidRDefault="003260D8">
            <w:pPr>
              <w:jc w:val="center"/>
              <w:rPr>
                <w:rFonts w:cs="Arial"/>
                <w:szCs w:val="20"/>
              </w:rPr>
            </w:pPr>
            <w:r>
              <w:rPr>
                <w:rFonts w:cs="Arial"/>
                <w:szCs w:val="20"/>
              </w:rPr>
              <w:t>123</w:t>
            </w:r>
          </w:p>
        </w:tc>
        <w:tc>
          <w:tcPr>
            <w:tcW w:w="833" w:type="pct"/>
            <w:tcBorders>
              <w:top w:val="nil"/>
              <w:bottom w:val="single" w:sz="4" w:space="0" w:color="auto"/>
            </w:tcBorders>
            <w:vAlign w:val="center"/>
          </w:tcPr>
          <w:p w:rsidR="003260D8" w:rsidRDefault="003260D8">
            <w:pPr>
              <w:jc w:val="center"/>
              <w:rPr>
                <w:rFonts w:cs="Arial"/>
                <w:szCs w:val="20"/>
              </w:rPr>
            </w:pPr>
            <w:r>
              <w:rPr>
                <w:rFonts w:cs="Arial"/>
                <w:szCs w:val="20"/>
              </w:rPr>
              <w:t>8</w:t>
            </w:r>
          </w:p>
        </w:tc>
      </w:tr>
    </w:tbl>
    <w:p w:rsidR="00534DD9" w:rsidRPr="001521CB" w:rsidRDefault="00534DD9" w:rsidP="00534DD9">
      <w:pPr>
        <w:pStyle w:val="AERbodytext"/>
        <w:rPr>
          <w:sz w:val="16"/>
        </w:rPr>
      </w:pPr>
      <w:r w:rsidRPr="00EC137F">
        <w:rPr>
          <w:sz w:val="16"/>
        </w:rPr>
        <w:t xml:space="preserve">* </w:t>
      </w:r>
      <w:r w:rsidR="00A16975" w:rsidRPr="00EC137F">
        <w:rPr>
          <w:sz w:val="16"/>
        </w:rPr>
        <w:t xml:space="preserve">Ancillary payments reflect </w:t>
      </w:r>
      <w:r w:rsidR="00963914" w:rsidRPr="00EC137F">
        <w:rPr>
          <w:sz w:val="16"/>
        </w:rPr>
        <w:t xml:space="preserve">the compensation costs for any </w:t>
      </w:r>
      <w:r w:rsidR="00A16975" w:rsidRPr="00EC137F">
        <w:rPr>
          <w:sz w:val="16"/>
        </w:rPr>
        <w:t>additional injections offered at a price higher than the market price.</w:t>
      </w:r>
      <w:r w:rsidR="00963914">
        <w:rPr>
          <w:sz w:val="16"/>
        </w:rPr>
        <w:t xml:space="preserve"> </w:t>
      </w:r>
      <w:r w:rsidRPr="001521CB">
        <w:rPr>
          <w:sz w:val="16"/>
        </w:rPr>
        <w:t>Note: only positive ancillary payments, reflecting system constraints will be shown here.</w:t>
      </w:r>
    </w:p>
    <w:p w:rsidR="00F26128" w:rsidRDefault="00534DD9" w:rsidP="00534DD9">
      <w:pPr>
        <w:pStyle w:val="AERbodytext"/>
      </w:pPr>
      <w:r>
        <w:t>More</w:t>
      </w:r>
      <w:r w:rsidRPr="00D329E0">
        <w:t xml:space="preserve"> </w:t>
      </w:r>
      <w:r>
        <w:t xml:space="preserve">detailed </w:t>
      </w:r>
      <w:r w:rsidRPr="00D329E0">
        <w:t xml:space="preserve">analysis on the </w:t>
      </w:r>
      <w:r>
        <w:t>VGM is provided in section 1</w:t>
      </w:r>
      <w:r w:rsidRPr="00D329E0">
        <w:t>.</w:t>
      </w:r>
    </w:p>
    <w:p w:rsidR="004C571B" w:rsidRPr="00552F68" w:rsidRDefault="00674600" w:rsidP="008D7D94">
      <w:pPr>
        <w:keepNext/>
        <w:jc w:val="both"/>
      </w:pPr>
      <w:r>
        <w:t>Figure 5</w:t>
      </w:r>
      <w:r w:rsidR="004C571B" w:rsidRPr="00552F68">
        <w:t xml:space="preserve"> shows</w:t>
      </w:r>
      <w:r w:rsidR="001934E9" w:rsidRPr="00552F68">
        <w:t xml:space="preserve"> the quantity and v</w:t>
      </w:r>
      <w:r w:rsidR="00A226E9" w:rsidRPr="00552F68">
        <w:t>o</w:t>
      </w:r>
      <w:r w:rsidR="001934E9" w:rsidRPr="00552F68">
        <w:t>lume weighted pr</w:t>
      </w:r>
      <w:r w:rsidR="00A226E9" w:rsidRPr="00552F68">
        <w:t>ices of products traded in the Gas Supply Hub locations at Moomba</w:t>
      </w:r>
      <w:r w:rsidR="00C370D1">
        <w:t>, South East Queensland and Wallumbilla</w:t>
      </w:r>
      <w:r w:rsidR="00A226E9" w:rsidRPr="00552F68">
        <w:t>.</w:t>
      </w:r>
    </w:p>
    <w:p w:rsidR="001521CB" w:rsidRDefault="001521CB" w:rsidP="001521CB">
      <w:pPr>
        <w:pStyle w:val="Caption"/>
        <w:rPr>
          <w:color w:val="2272A3"/>
          <w:szCs w:val="24"/>
        </w:rPr>
      </w:pPr>
      <w:r w:rsidRPr="00552F68">
        <w:t xml:space="preserve">Figure </w:t>
      </w:r>
      <w:fldSimple w:instr=" SEQ Figure \* ARABIC ">
        <w:r w:rsidR="00C370D1">
          <w:rPr>
            <w:noProof/>
          </w:rPr>
          <w:t>5</w:t>
        </w:r>
      </w:fldSimple>
      <w:r w:rsidRPr="00552F68">
        <w:t xml:space="preserve">: </w:t>
      </w:r>
      <w:r w:rsidR="004C571B" w:rsidRPr="00552F68">
        <w:rPr>
          <w:color w:val="2272A3"/>
          <w:szCs w:val="24"/>
        </w:rPr>
        <w:t>Gas supply hub products traded</w:t>
      </w:r>
      <w:r w:rsidR="00C5766F" w:rsidRPr="00552F68">
        <w:rPr>
          <w:color w:val="2272A3"/>
          <w:szCs w:val="24"/>
        </w:rPr>
        <w:t xml:space="preserve"> for the current week</w:t>
      </w:r>
      <w:r w:rsidR="004C690D" w:rsidRPr="00552F68">
        <w:rPr>
          <w:color w:val="2272A3"/>
          <w:szCs w:val="24"/>
        </w:rPr>
        <w:t xml:space="preserve"> </w:t>
      </w:r>
      <w:r w:rsidR="00B302BF" w:rsidRPr="00552F68">
        <w:rPr>
          <w:color w:val="2272A3"/>
          <w:szCs w:val="24"/>
        </w:rPr>
        <w:t>(</w:t>
      </w:r>
      <w:r w:rsidR="004C690D" w:rsidRPr="00552F68">
        <w:rPr>
          <w:color w:val="2272A3"/>
          <w:szCs w:val="24"/>
        </w:rPr>
        <w:t>$/GJ</w:t>
      </w:r>
      <w:r w:rsidR="00B302BF" w:rsidRPr="00552F68">
        <w:rPr>
          <w:color w:val="2272A3"/>
          <w:szCs w:val="24"/>
        </w:rPr>
        <w:t>, TJ</w:t>
      </w:r>
      <w:r w:rsidR="004C690D" w:rsidRPr="00552F68">
        <w:rPr>
          <w:color w:val="2272A3"/>
          <w:szCs w:val="24"/>
        </w:rPr>
        <w:t>)</w:t>
      </w:r>
    </w:p>
    <w:tbl>
      <w:tblPr>
        <w:tblStyle w:val="AERTable-Text"/>
        <w:tblW w:w="4890" w:type="pct"/>
        <w:tblLayout w:type="fixed"/>
        <w:tblLook w:val="04A0" w:firstRow="1" w:lastRow="0" w:firstColumn="1" w:lastColumn="0" w:noHBand="0" w:noVBand="1"/>
      </w:tblPr>
      <w:tblGrid>
        <w:gridCol w:w="1655"/>
        <w:gridCol w:w="1265"/>
        <w:gridCol w:w="1159"/>
        <w:gridCol w:w="1314"/>
        <w:gridCol w:w="1264"/>
        <w:gridCol w:w="1124"/>
        <w:gridCol w:w="1258"/>
      </w:tblGrid>
      <w:tr w:rsidR="00FA5B9C" w:rsidRPr="002861A9" w:rsidTr="00EA6F25">
        <w:trPr>
          <w:cnfStyle w:val="100000000000" w:firstRow="1" w:lastRow="0" w:firstColumn="0" w:lastColumn="0" w:oddVBand="0" w:evenVBand="0" w:oddHBand="0" w:evenHBand="0" w:firstRowFirstColumn="0" w:firstRowLastColumn="0" w:lastRowFirstColumn="0" w:lastRowLastColumn="0"/>
          <w:trHeight w:val="404"/>
          <w:tblHeader/>
        </w:trPr>
        <w:tc>
          <w:tcPr>
            <w:tcW w:w="915" w:type="pct"/>
            <w:tcBorders>
              <w:bottom w:val="nil"/>
            </w:tcBorders>
            <w:vAlign w:val="center"/>
          </w:tcPr>
          <w:p w:rsidR="008D7D94" w:rsidRPr="00E16EDC" w:rsidRDefault="008D7D94" w:rsidP="006D64BA">
            <w:pPr>
              <w:pStyle w:val="TableHeading"/>
              <w:spacing w:before="120" w:after="0" w:line="240" w:lineRule="auto"/>
              <w:jc w:val="center"/>
              <w:rPr>
                <w:rFonts w:cs="Arial"/>
                <w:sz w:val="20"/>
                <w:szCs w:val="20"/>
              </w:rPr>
            </w:pPr>
          </w:p>
        </w:tc>
        <w:tc>
          <w:tcPr>
            <w:tcW w:w="1341" w:type="pct"/>
            <w:gridSpan w:val="2"/>
            <w:tcBorders>
              <w:bottom w:val="nil"/>
            </w:tcBorders>
            <w:vAlign w:val="center"/>
          </w:tcPr>
          <w:p w:rsidR="008D7D94" w:rsidRPr="00E16EDC" w:rsidRDefault="008D7D94" w:rsidP="006D64BA">
            <w:pPr>
              <w:spacing w:before="120" w:after="0" w:line="240" w:lineRule="auto"/>
              <w:jc w:val="center"/>
              <w:rPr>
                <w:rFonts w:cs="Arial"/>
                <w:bCs/>
                <w:color w:val="FFFFFF"/>
                <w:sz w:val="20"/>
                <w:szCs w:val="20"/>
              </w:rPr>
            </w:pPr>
            <w:r>
              <w:rPr>
                <w:rFonts w:cs="Arial"/>
                <w:bCs/>
                <w:color w:val="FFFFFF"/>
                <w:sz w:val="20"/>
                <w:szCs w:val="20"/>
              </w:rPr>
              <w:t>Moomba</w:t>
            </w:r>
          </w:p>
        </w:tc>
        <w:tc>
          <w:tcPr>
            <w:tcW w:w="1426" w:type="pct"/>
            <w:gridSpan w:val="2"/>
            <w:tcBorders>
              <w:bottom w:val="nil"/>
            </w:tcBorders>
            <w:vAlign w:val="center"/>
          </w:tcPr>
          <w:p w:rsidR="008D7D94" w:rsidRPr="00E16EDC" w:rsidRDefault="008D7D94" w:rsidP="006D64BA">
            <w:pPr>
              <w:spacing w:before="120" w:after="0" w:line="240" w:lineRule="auto"/>
              <w:jc w:val="center"/>
              <w:rPr>
                <w:rFonts w:cs="Arial"/>
                <w:bCs/>
                <w:color w:val="FFFFFF"/>
                <w:sz w:val="20"/>
                <w:szCs w:val="20"/>
              </w:rPr>
            </w:pPr>
            <w:r>
              <w:rPr>
                <w:rFonts w:cs="Arial"/>
                <w:bCs/>
                <w:color w:val="FFFFFF"/>
                <w:sz w:val="20"/>
                <w:szCs w:val="20"/>
              </w:rPr>
              <w:t>South East Queensland</w:t>
            </w:r>
          </w:p>
        </w:tc>
        <w:tc>
          <w:tcPr>
            <w:tcW w:w="1318" w:type="pct"/>
            <w:gridSpan w:val="2"/>
            <w:tcBorders>
              <w:bottom w:val="nil"/>
            </w:tcBorders>
            <w:vAlign w:val="center"/>
          </w:tcPr>
          <w:p w:rsidR="008D7D94" w:rsidRPr="00E16EDC" w:rsidRDefault="008D7D94" w:rsidP="006D64BA">
            <w:pPr>
              <w:spacing w:before="120" w:after="0" w:line="240" w:lineRule="auto"/>
              <w:jc w:val="center"/>
              <w:rPr>
                <w:rFonts w:cs="Arial"/>
                <w:bCs/>
                <w:color w:val="FFFFFF"/>
                <w:sz w:val="20"/>
                <w:szCs w:val="20"/>
              </w:rPr>
            </w:pPr>
            <w:r>
              <w:rPr>
                <w:rFonts w:cs="Arial"/>
                <w:bCs/>
                <w:color w:val="FFFFFF"/>
                <w:sz w:val="20"/>
                <w:szCs w:val="20"/>
              </w:rPr>
              <w:t>Wallumbilla</w:t>
            </w:r>
            <w:r w:rsidR="00C370D1">
              <w:rPr>
                <w:rFonts w:cs="Arial"/>
                <w:bCs/>
                <w:color w:val="FFFFFF"/>
                <w:sz w:val="20"/>
                <w:szCs w:val="20"/>
              </w:rPr>
              <w:t>*</w:t>
            </w:r>
          </w:p>
        </w:tc>
      </w:tr>
      <w:tr w:rsidR="008D7D94" w:rsidRPr="002861A9" w:rsidTr="00EA6F25">
        <w:trPr>
          <w:cnfStyle w:val="100000000000" w:firstRow="1" w:lastRow="0" w:firstColumn="0" w:lastColumn="0" w:oddVBand="0" w:evenVBand="0" w:oddHBand="0" w:evenHBand="0" w:firstRowFirstColumn="0" w:firstRowLastColumn="0" w:lastRowFirstColumn="0" w:lastRowLastColumn="0"/>
          <w:tblHeader/>
        </w:trPr>
        <w:tc>
          <w:tcPr>
            <w:tcW w:w="915" w:type="pct"/>
            <w:tcBorders>
              <w:bottom w:val="nil"/>
            </w:tcBorders>
            <w:vAlign w:val="center"/>
          </w:tcPr>
          <w:p w:rsidR="008D7D94" w:rsidRPr="00587CFB" w:rsidRDefault="008D7D94" w:rsidP="006D64BA">
            <w:pPr>
              <w:pStyle w:val="TableHeading"/>
              <w:jc w:val="center"/>
              <w:rPr>
                <w:rFonts w:cs="Arial"/>
                <w:sz w:val="20"/>
                <w:szCs w:val="20"/>
              </w:rPr>
            </w:pPr>
          </w:p>
        </w:tc>
        <w:tc>
          <w:tcPr>
            <w:tcW w:w="700" w:type="pct"/>
            <w:tcBorders>
              <w:bottom w:val="nil"/>
            </w:tcBorders>
            <w:vAlign w:val="center"/>
            <w:hideMark/>
          </w:tcPr>
          <w:p w:rsidR="008D7D94" w:rsidRPr="00587CFB" w:rsidRDefault="008D7D94" w:rsidP="006D64BA">
            <w:pPr>
              <w:jc w:val="center"/>
              <w:rPr>
                <w:rFonts w:cs="Arial"/>
                <w:bCs/>
                <w:color w:val="FFFFFF"/>
                <w:sz w:val="14"/>
                <w:szCs w:val="20"/>
                <w:highlight w:val="cyan"/>
              </w:rPr>
            </w:pPr>
            <w:r w:rsidRPr="00587CFB">
              <w:rPr>
                <w:rFonts w:cs="Arial"/>
                <w:bCs/>
                <w:color w:val="FFFFFF"/>
                <w:sz w:val="14"/>
                <w:szCs w:val="20"/>
              </w:rPr>
              <w:t>VWA price</w:t>
            </w:r>
          </w:p>
        </w:tc>
        <w:tc>
          <w:tcPr>
            <w:tcW w:w="641" w:type="pct"/>
            <w:tcBorders>
              <w:bottom w:val="nil"/>
            </w:tcBorders>
            <w:vAlign w:val="center"/>
            <w:hideMark/>
          </w:tcPr>
          <w:p w:rsidR="008D7D94" w:rsidRPr="00587CFB" w:rsidRDefault="008D7D94" w:rsidP="006D64BA">
            <w:pPr>
              <w:jc w:val="center"/>
              <w:rPr>
                <w:rFonts w:cs="Arial"/>
                <w:bCs/>
                <w:color w:val="FFFFFF"/>
                <w:sz w:val="14"/>
                <w:szCs w:val="20"/>
                <w:highlight w:val="cyan"/>
              </w:rPr>
            </w:pPr>
            <w:r>
              <w:rPr>
                <w:rFonts w:cs="Arial"/>
                <w:bCs/>
                <w:color w:val="FFFFFF"/>
                <w:sz w:val="14"/>
                <w:szCs w:val="20"/>
              </w:rPr>
              <w:t>Quantity</w:t>
            </w:r>
          </w:p>
        </w:tc>
        <w:tc>
          <w:tcPr>
            <w:tcW w:w="727" w:type="pct"/>
            <w:tcBorders>
              <w:bottom w:val="nil"/>
            </w:tcBorders>
            <w:vAlign w:val="center"/>
            <w:hideMark/>
          </w:tcPr>
          <w:p w:rsidR="008D7D94" w:rsidRPr="00587CFB" w:rsidRDefault="008D7D94" w:rsidP="006D64BA">
            <w:pPr>
              <w:jc w:val="center"/>
              <w:rPr>
                <w:rFonts w:cs="Arial"/>
                <w:bCs/>
                <w:color w:val="FFFFFF"/>
                <w:sz w:val="14"/>
                <w:szCs w:val="20"/>
                <w:highlight w:val="cyan"/>
              </w:rPr>
            </w:pPr>
            <w:r w:rsidRPr="00587CFB">
              <w:rPr>
                <w:rFonts w:cs="Arial"/>
                <w:bCs/>
                <w:color w:val="FFFFFF"/>
                <w:sz w:val="14"/>
                <w:szCs w:val="20"/>
              </w:rPr>
              <w:t>VWA price</w:t>
            </w:r>
          </w:p>
        </w:tc>
        <w:tc>
          <w:tcPr>
            <w:tcW w:w="699" w:type="pct"/>
            <w:tcBorders>
              <w:bottom w:val="nil"/>
            </w:tcBorders>
            <w:vAlign w:val="center"/>
          </w:tcPr>
          <w:p w:rsidR="008D7D94" w:rsidRPr="00587CFB" w:rsidRDefault="008D7D94" w:rsidP="006D64BA">
            <w:pPr>
              <w:jc w:val="center"/>
              <w:rPr>
                <w:rFonts w:cs="Arial"/>
                <w:bCs/>
                <w:color w:val="FFFFFF"/>
                <w:sz w:val="14"/>
                <w:szCs w:val="20"/>
                <w:highlight w:val="cyan"/>
              </w:rPr>
            </w:pPr>
            <w:r>
              <w:rPr>
                <w:rFonts w:cs="Arial"/>
                <w:bCs/>
                <w:color w:val="FFFFFF"/>
                <w:sz w:val="14"/>
                <w:szCs w:val="20"/>
              </w:rPr>
              <w:t>Quantity</w:t>
            </w:r>
          </w:p>
        </w:tc>
        <w:tc>
          <w:tcPr>
            <w:tcW w:w="622" w:type="pct"/>
            <w:tcBorders>
              <w:bottom w:val="nil"/>
            </w:tcBorders>
            <w:vAlign w:val="center"/>
          </w:tcPr>
          <w:p w:rsidR="008D7D94" w:rsidRPr="00587CFB" w:rsidRDefault="008D7D94" w:rsidP="006D64BA">
            <w:pPr>
              <w:jc w:val="center"/>
              <w:rPr>
                <w:rFonts w:cs="Arial"/>
                <w:bCs/>
                <w:color w:val="FFFFFF"/>
                <w:sz w:val="14"/>
                <w:szCs w:val="20"/>
                <w:highlight w:val="cyan"/>
              </w:rPr>
            </w:pPr>
            <w:r w:rsidRPr="00587CFB">
              <w:rPr>
                <w:rFonts w:cs="Arial"/>
                <w:bCs/>
                <w:color w:val="FFFFFF"/>
                <w:sz w:val="14"/>
                <w:szCs w:val="20"/>
              </w:rPr>
              <w:t>VWA price</w:t>
            </w:r>
          </w:p>
        </w:tc>
        <w:tc>
          <w:tcPr>
            <w:tcW w:w="696" w:type="pct"/>
            <w:tcBorders>
              <w:bottom w:val="nil"/>
            </w:tcBorders>
            <w:vAlign w:val="center"/>
          </w:tcPr>
          <w:p w:rsidR="008D7D94" w:rsidRPr="00587CFB" w:rsidRDefault="008D7D94" w:rsidP="006D64BA">
            <w:pPr>
              <w:jc w:val="center"/>
              <w:rPr>
                <w:rFonts w:cs="Arial"/>
                <w:bCs/>
                <w:color w:val="FFFFFF"/>
                <w:sz w:val="14"/>
                <w:szCs w:val="20"/>
                <w:highlight w:val="cyan"/>
              </w:rPr>
            </w:pPr>
            <w:r>
              <w:rPr>
                <w:rFonts w:cs="Arial"/>
                <w:bCs/>
                <w:color w:val="FFFFFF"/>
                <w:sz w:val="14"/>
                <w:szCs w:val="20"/>
              </w:rPr>
              <w:t>Quantity</w:t>
            </w:r>
          </w:p>
        </w:tc>
      </w:tr>
      <w:tr w:rsidR="003260D8" w:rsidRPr="006A7228" w:rsidTr="00EA6F25">
        <w:trPr>
          <w:trHeight w:val="510"/>
        </w:trPr>
        <w:tc>
          <w:tcPr>
            <w:tcW w:w="915" w:type="pct"/>
            <w:tcBorders>
              <w:top w:val="nil"/>
              <w:bottom w:val="nil"/>
            </w:tcBorders>
            <w:vAlign w:val="center"/>
          </w:tcPr>
          <w:p w:rsidR="003260D8" w:rsidRDefault="003260D8">
            <w:pPr>
              <w:rPr>
                <w:rFonts w:cs="Arial"/>
                <w:b/>
                <w:bCs/>
                <w:sz w:val="20"/>
                <w:szCs w:val="20"/>
              </w:rPr>
            </w:pPr>
            <w:r>
              <w:rPr>
                <w:rFonts w:cs="Arial"/>
                <w:b/>
                <w:bCs/>
                <w:sz w:val="20"/>
                <w:szCs w:val="20"/>
              </w:rPr>
              <w:t>Balance of day</w:t>
            </w:r>
          </w:p>
        </w:tc>
        <w:tc>
          <w:tcPr>
            <w:tcW w:w="700" w:type="pct"/>
            <w:tcBorders>
              <w:top w:val="nil"/>
              <w:bottom w:val="nil"/>
            </w:tcBorders>
            <w:vAlign w:val="center"/>
          </w:tcPr>
          <w:p w:rsidR="003260D8" w:rsidRDefault="003260D8">
            <w:pPr>
              <w:jc w:val="center"/>
              <w:rPr>
                <w:rFonts w:cs="Arial"/>
                <w:sz w:val="20"/>
                <w:szCs w:val="20"/>
              </w:rPr>
            </w:pPr>
            <w:r>
              <w:rPr>
                <w:rFonts w:cs="Arial"/>
                <w:sz w:val="20"/>
                <w:szCs w:val="20"/>
              </w:rPr>
              <w:t>-</w:t>
            </w:r>
          </w:p>
        </w:tc>
        <w:tc>
          <w:tcPr>
            <w:tcW w:w="641" w:type="pct"/>
            <w:tcBorders>
              <w:top w:val="nil"/>
              <w:bottom w:val="nil"/>
            </w:tcBorders>
            <w:vAlign w:val="center"/>
          </w:tcPr>
          <w:p w:rsidR="003260D8" w:rsidRDefault="003260D8">
            <w:pPr>
              <w:jc w:val="center"/>
              <w:rPr>
                <w:rFonts w:cs="Arial"/>
                <w:sz w:val="20"/>
                <w:szCs w:val="20"/>
              </w:rPr>
            </w:pPr>
            <w:r>
              <w:rPr>
                <w:rFonts w:cs="Arial"/>
                <w:sz w:val="20"/>
                <w:szCs w:val="20"/>
              </w:rPr>
              <w:t>-</w:t>
            </w:r>
          </w:p>
        </w:tc>
        <w:tc>
          <w:tcPr>
            <w:tcW w:w="727" w:type="pct"/>
            <w:tcBorders>
              <w:top w:val="nil"/>
              <w:bottom w:val="nil"/>
            </w:tcBorders>
            <w:vAlign w:val="center"/>
          </w:tcPr>
          <w:p w:rsidR="003260D8" w:rsidRDefault="003260D8">
            <w:pPr>
              <w:jc w:val="center"/>
              <w:rPr>
                <w:rFonts w:cs="Arial"/>
                <w:sz w:val="20"/>
                <w:szCs w:val="20"/>
              </w:rPr>
            </w:pPr>
            <w:r>
              <w:rPr>
                <w:rFonts w:cs="Arial"/>
                <w:sz w:val="20"/>
                <w:szCs w:val="20"/>
              </w:rPr>
              <w:t>8.33</w:t>
            </w:r>
          </w:p>
        </w:tc>
        <w:tc>
          <w:tcPr>
            <w:tcW w:w="699" w:type="pct"/>
            <w:tcBorders>
              <w:top w:val="nil"/>
              <w:bottom w:val="nil"/>
            </w:tcBorders>
            <w:vAlign w:val="center"/>
          </w:tcPr>
          <w:p w:rsidR="003260D8" w:rsidRDefault="003260D8">
            <w:pPr>
              <w:jc w:val="center"/>
              <w:rPr>
                <w:rFonts w:cs="Arial"/>
                <w:sz w:val="20"/>
                <w:szCs w:val="20"/>
              </w:rPr>
            </w:pPr>
            <w:r>
              <w:rPr>
                <w:rFonts w:cs="Arial"/>
                <w:sz w:val="20"/>
                <w:szCs w:val="20"/>
              </w:rPr>
              <w:t>10.0</w:t>
            </w:r>
          </w:p>
        </w:tc>
        <w:tc>
          <w:tcPr>
            <w:tcW w:w="622" w:type="pct"/>
            <w:tcBorders>
              <w:top w:val="nil"/>
              <w:bottom w:val="nil"/>
            </w:tcBorders>
            <w:vAlign w:val="center"/>
          </w:tcPr>
          <w:p w:rsidR="003260D8" w:rsidRDefault="003260D8">
            <w:pPr>
              <w:jc w:val="center"/>
              <w:rPr>
                <w:rFonts w:cs="Arial"/>
                <w:sz w:val="20"/>
                <w:szCs w:val="20"/>
              </w:rPr>
            </w:pPr>
            <w:r>
              <w:rPr>
                <w:rFonts w:cs="Arial"/>
                <w:sz w:val="20"/>
                <w:szCs w:val="20"/>
              </w:rPr>
              <w:t>9.52</w:t>
            </w:r>
          </w:p>
        </w:tc>
        <w:tc>
          <w:tcPr>
            <w:tcW w:w="696" w:type="pct"/>
            <w:tcBorders>
              <w:top w:val="nil"/>
              <w:bottom w:val="nil"/>
            </w:tcBorders>
            <w:vAlign w:val="center"/>
          </w:tcPr>
          <w:p w:rsidR="003260D8" w:rsidRDefault="003260D8">
            <w:pPr>
              <w:jc w:val="center"/>
              <w:rPr>
                <w:rFonts w:cs="Arial"/>
                <w:sz w:val="20"/>
                <w:szCs w:val="20"/>
              </w:rPr>
            </w:pPr>
            <w:r>
              <w:rPr>
                <w:rFonts w:cs="Arial"/>
                <w:sz w:val="20"/>
                <w:szCs w:val="20"/>
              </w:rPr>
              <w:t>39.0</w:t>
            </w:r>
          </w:p>
        </w:tc>
      </w:tr>
      <w:tr w:rsidR="003260D8" w:rsidRPr="006A7228" w:rsidTr="00EA6F25">
        <w:trPr>
          <w:cnfStyle w:val="000000010000" w:firstRow="0" w:lastRow="0" w:firstColumn="0" w:lastColumn="0" w:oddVBand="0" w:evenVBand="0" w:oddHBand="0" w:evenHBand="1" w:firstRowFirstColumn="0" w:firstRowLastColumn="0" w:lastRowFirstColumn="0" w:lastRowLastColumn="0"/>
          <w:trHeight w:val="510"/>
        </w:trPr>
        <w:tc>
          <w:tcPr>
            <w:tcW w:w="915" w:type="pct"/>
            <w:tcBorders>
              <w:top w:val="nil"/>
              <w:bottom w:val="nil"/>
            </w:tcBorders>
            <w:vAlign w:val="center"/>
          </w:tcPr>
          <w:p w:rsidR="003260D8" w:rsidRDefault="003260D8">
            <w:pPr>
              <w:rPr>
                <w:rFonts w:cs="Arial"/>
                <w:b/>
                <w:bCs/>
                <w:szCs w:val="20"/>
              </w:rPr>
            </w:pPr>
            <w:r>
              <w:rPr>
                <w:rFonts w:cs="Arial"/>
                <w:b/>
                <w:bCs/>
                <w:szCs w:val="20"/>
              </w:rPr>
              <w:t>Daily</w:t>
            </w:r>
          </w:p>
        </w:tc>
        <w:tc>
          <w:tcPr>
            <w:tcW w:w="700" w:type="pct"/>
            <w:tcBorders>
              <w:top w:val="nil"/>
              <w:bottom w:val="nil"/>
            </w:tcBorders>
            <w:vAlign w:val="center"/>
          </w:tcPr>
          <w:p w:rsidR="003260D8" w:rsidRDefault="003260D8">
            <w:pPr>
              <w:jc w:val="center"/>
              <w:rPr>
                <w:rFonts w:cs="Arial"/>
                <w:szCs w:val="20"/>
              </w:rPr>
            </w:pPr>
            <w:r>
              <w:rPr>
                <w:rFonts w:cs="Arial"/>
                <w:szCs w:val="20"/>
              </w:rPr>
              <w:t>-</w:t>
            </w:r>
          </w:p>
        </w:tc>
        <w:tc>
          <w:tcPr>
            <w:tcW w:w="641" w:type="pct"/>
            <w:tcBorders>
              <w:top w:val="nil"/>
              <w:bottom w:val="nil"/>
            </w:tcBorders>
            <w:vAlign w:val="center"/>
          </w:tcPr>
          <w:p w:rsidR="003260D8" w:rsidRDefault="003260D8">
            <w:pPr>
              <w:jc w:val="center"/>
              <w:rPr>
                <w:rFonts w:cs="Arial"/>
                <w:szCs w:val="20"/>
              </w:rPr>
            </w:pPr>
            <w:r>
              <w:rPr>
                <w:rFonts w:cs="Arial"/>
                <w:szCs w:val="20"/>
              </w:rPr>
              <w:t>-</w:t>
            </w:r>
          </w:p>
        </w:tc>
        <w:tc>
          <w:tcPr>
            <w:tcW w:w="727" w:type="pct"/>
            <w:tcBorders>
              <w:top w:val="nil"/>
              <w:bottom w:val="nil"/>
            </w:tcBorders>
            <w:vAlign w:val="center"/>
          </w:tcPr>
          <w:p w:rsidR="003260D8" w:rsidRDefault="003260D8">
            <w:pPr>
              <w:jc w:val="center"/>
              <w:rPr>
                <w:rFonts w:cs="Arial"/>
                <w:szCs w:val="20"/>
              </w:rPr>
            </w:pPr>
            <w:r>
              <w:rPr>
                <w:rFonts w:cs="Arial"/>
                <w:szCs w:val="20"/>
              </w:rPr>
              <w:t>7.95</w:t>
            </w:r>
          </w:p>
        </w:tc>
        <w:tc>
          <w:tcPr>
            <w:tcW w:w="699" w:type="pct"/>
            <w:tcBorders>
              <w:top w:val="nil"/>
              <w:bottom w:val="nil"/>
            </w:tcBorders>
            <w:vAlign w:val="center"/>
          </w:tcPr>
          <w:p w:rsidR="003260D8" w:rsidRDefault="003260D8">
            <w:pPr>
              <w:jc w:val="center"/>
              <w:rPr>
                <w:rFonts w:cs="Arial"/>
                <w:szCs w:val="20"/>
              </w:rPr>
            </w:pPr>
            <w:r>
              <w:rPr>
                <w:rFonts w:cs="Arial"/>
                <w:szCs w:val="20"/>
              </w:rPr>
              <w:t>28.0</w:t>
            </w:r>
          </w:p>
        </w:tc>
        <w:tc>
          <w:tcPr>
            <w:tcW w:w="622" w:type="pct"/>
            <w:tcBorders>
              <w:top w:val="nil"/>
              <w:bottom w:val="nil"/>
            </w:tcBorders>
            <w:vAlign w:val="center"/>
          </w:tcPr>
          <w:p w:rsidR="003260D8" w:rsidRDefault="003260D8">
            <w:pPr>
              <w:jc w:val="center"/>
              <w:rPr>
                <w:rFonts w:cs="Arial"/>
                <w:szCs w:val="20"/>
              </w:rPr>
            </w:pPr>
            <w:r>
              <w:rPr>
                <w:rFonts w:cs="Arial"/>
                <w:szCs w:val="20"/>
              </w:rPr>
              <w:t>8.20</w:t>
            </w:r>
          </w:p>
        </w:tc>
        <w:tc>
          <w:tcPr>
            <w:tcW w:w="696" w:type="pct"/>
            <w:tcBorders>
              <w:top w:val="nil"/>
              <w:bottom w:val="nil"/>
            </w:tcBorders>
            <w:vAlign w:val="center"/>
          </w:tcPr>
          <w:p w:rsidR="003260D8" w:rsidRDefault="003260D8">
            <w:pPr>
              <w:jc w:val="center"/>
              <w:rPr>
                <w:rFonts w:cs="Arial"/>
                <w:szCs w:val="20"/>
              </w:rPr>
            </w:pPr>
            <w:r>
              <w:rPr>
                <w:rFonts w:cs="Arial"/>
                <w:szCs w:val="20"/>
              </w:rPr>
              <w:t>4.0</w:t>
            </w:r>
          </w:p>
        </w:tc>
      </w:tr>
      <w:tr w:rsidR="003260D8" w:rsidRPr="006A7228" w:rsidTr="00EA6F25">
        <w:trPr>
          <w:trHeight w:val="510"/>
        </w:trPr>
        <w:tc>
          <w:tcPr>
            <w:tcW w:w="915" w:type="pct"/>
            <w:tcBorders>
              <w:top w:val="nil"/>
              <w:bottom w:val="nil"/>
            </w:tcBorders>
            <w:vAlign w:val="center"/>
          </w:tcPr>
          <w:p w:rsidR="003260D8" w:rsidRDefault="003260D8">
            <w:pPr>
              <w:rPr>
                <w:rFonts w:cs="Arial"/>
                <w:b/>
                <w:bCs/>
                <w:sz w:val="20"/>
                <w:szCs w:val="20"/>
              </w:rPr>
            </w:pPr>
            <w:r>
              <w:rPr>
                <w:rFonts w:cs="Arial"/>
                <w:b/>
                <w:bCs/>
                <w:sz w:val="20"/>
                <w:szCs w:val="20"/>
              </w:rPr>
              <w:t>Day ahead</w:t>
            </w:r>
          </w:p>
        </w:tc>
        <w:tc>
          <w:tcPr>
            <w:tcW w:w="700" w:type="pct"/>
            <w:tcBorders>
              <w:top w:val="nil"/>
              <w:bottom w:val="nil"/>
            </w:tcBorders>
            <w:vAlign w:val="center"/>
          </w:tcPr>
          <w:p w:rsidR="003260D8" w:rsidRDefault="003260D8">
            <w:pPr>
              <w:jc w:val="center"/>
              <w:rPr>
                <w:rFonts w:cs="Arial"/>
                <w:sz w:val="20"/>
                <w:szCs w:val="20"/>
              </w:rPr>
            </w:pPr>
            <w:r>
              <w:rPr>
                <w:rFonts w:cs="Arial"/>
                <w:sz w:val="20"/>
                <w:szCs w:val="20"/>
              </w:rPr>
              <w:t>-</w:t>
            </w:r>
          </w:p>
        </w:tc>
        <w:tc>
          <w:tcPr>
            <w:tcW w:w="641" w:type="pct"/>
            <w:tcBorders>
              <w:top w:val="nil"/>
              <w:bottom w:val="nil"/>
            </w:tcBorders>
            <w:vAlign w:val="center"/>
          </w:tcPr>
          <w:p w:rsidR="003260D8" w:rsidRDefault="003260D8">
            <w:pPr>
              <w:jc w:val="center"/>
              <w:rPr>
                <w:rFonts w:cs="Arial"/>
                <w:sz w:val="20"/>
                <w:szCs w:val="20"/>
              </w:rPr>
            </w:pPr>
            <w:r>
              <w:rPr>
                <w:rFonts w:cs="Arial"/>
                <w:sz w:val="20"/>
                <w:szCs w:val="20"/>
              </w:rPr>
              <w:t>-</w:t>
            </w:r>
          </w:p>
        </w:tc>
        <w:tc>
          <w:tcPr>
            <w:tcW w:w="727" w:type="pct"/>
            <w:tcBorders>
              <w:top w:val="nil"/>
              <w:bottom w:val="nil"/>
            </w:tcBorders>
            <w:vAlign w:val="center"/>
          </w:tcPr>
          <w:p w:rsidR="003260D8" w:rsidRDefault="003260D8">
            <w:pPr>
              <w:jc w:val="center"/>
              <w:rPr>
                <w:rFonts w:cs="Arial"/>
                <w:sz w:val="20"/>
                <w:szCs w:val="20"/>
              </w:rPr>
            </w:pPr>
            <w:r>
              <w:rPr>
                <w:rFonts w:cs="Arial"/>
                <w:sz w:val="20"/>
                <w:szCs w:val="20"/>
              </w:rPr>
              <w:t>8.42</w:t>
            </w:r>
          </w:p>
        </w:tc>
        <w:tc>
          <w:tcPr>
            <w:tcW w:w="699" w:type="pct"/>
            <w:tcBorders>
              <w:top w:val="nil"/>
              <w:bottom w:val="nil"/>
            </w:tcBorders>
            <w:vAlign w:val="center"/>
          </w:tcPr>
          <w:p w:rsidR="003260D8" w:rsidRDefault="003260D8">
            <w:pPr>
              <w:jc w:val="center"/>
              <w:rPr>
                <w:rFonts w:cs="Arial"/>
                <w:sz w:val="20"/>
                <w:szCs w:val="20"/>
              </w:rPr>
            </w:pPr>
            <w:r>
              <w:rPr>
                <w:rFonts w:cs="Arial"/>
                <w:sz w:val="20"/>
                <w:szCs w:val="20"/>
              </w:rPr>
              <w:t>27.0</w:t>
            </w:r>
          </w:p>
        </w:tc>
        <w:tc>
          <w:tcPr>
            <w:tcW w:w="622" w:type="pct"/>
            <w:tcBorders>
              <w:top w:val="nil"/>
              <w:bottom w:val="nil"/>
            </w:tcBorders>
            <w:vAlign w:val="center"/>
          </w:tcPr>
          <w:p w:rsidR="003260D8" w:rsidRDefault="003260D8">
            <w:pPr>
              <w:jc w:val="center"/>
              <w:rPr>
                <w:rFonts w:cs="Arial"/>
                <w:sz w:val="20"/>
                <w:szCs w:val="20"/>
              </w:rPr>
            </w:pPr>
            <w:r>
              <w:rPr>
                <w:rFonts w:cs="Arial"/>
                <w:sz w:val="20"/>
                <w:szCs w:val="20"/>
              </w:rPr>
              <w:t>8.47</w:t>
            </w:r>
          </w:p>
        </w:tc>
        <w:tc>
          <w:tcPr>
            <w:tcW w:w="696" w:type="pct"/>
            <w:tcBorders>
              <w:top w:val="nil"/>
              <w:bottom w:val="nil"/>
            </w:tcBorders>
            <w:vAlign w:val="center"/>
          </w:tcPr>
          <w:p w:rsidR="003260D8" w:rsidRDefault="003260D8">
            <w:pPr>
              <w:jc w:val="center"/>
              <w:rPr>
                <w:rFonts w:cs="Arial"/>
                <w:sz w:val="20"/>
                <w:szCs w:val="20"/>
              </w:rPr>
            </w:pPr>
            <w:r>
              <w:rPr>
                <w:rFonts w:cs="Arial"/>
                <w:sz w:val="20"/>
                <w:szCs w:val="20"/>
              </w:rPr>
              <w:t>12.0</w:t>
            </w:r>
          </w:p>
        </w:tc>
      </w:tr>
      <w:tr w:rsidR="003260D8" w:rsidRPr="006A7228" w:rsidTr="00EA6F25">
        <w:trPr>
          <w:cnfStyle w:val="000000010000" w:firstRow="0" w:lastRow="0" w:firstColumn="0" w:lastColumn="0" w:oddVBand="0" w:evenVBand="0" w:oddHBand="0" w:evenHBand="1" w:firstRowFirstColumn="0" w:firstRowLastColumn="0" w:lastRowFirstColumn="0" w:lastRowLastColumn="0"/>
          <w:trHeight w:val="510"/>
        </w:trPr>
        <w:tc>
          <w:tcPr>
            <w:tcW w:w="915" w:type="pct"/>
            <w:tcBorders>
              <w:top w:val="nil"/>
              <w:bottom w:val="nil"/>
            </w:tcBorders>
            <w:vAlign w:val="center"/>
          </w:tcPr>
          <w:p w:rsidR="003260D8" w:rsidRDefault="003260D8">
            <w:pPr>
              <w:rPr>
                <w:rFonts w:cs="Arial"/>
                <w:b/>
                <w:bCs/>
                <w:szCs w:val="20"/>
              </w:rPr>
            </w:pPr>
            <w:r>
              <w:rPr>
                <w:rFonts w:cs="Arial"/>
                <w:b/>
                <w:bCs/>
                <w:szCs w:val="20"/>
              </w:rPr>
              <w:t>Weekly</w:t>
            </w:r>
          </w:p>
        </w:tc>
        <w:tc>
          <w:tcPr>
            <w:tcW w:w="700" w:type="pct"/>
            <w:tcBorders>
              <w:top w:val="nil"/>
              <w:bottom w:val="nil"/>
            </w:tcBorders>
            <w:vAlign w:val="center"/>
          </w:tcPr>
          <w:p w:rsidR="003260D8" w:rsidRDefault="003260D8">
            <w:pPr>
              <w:jc w:val="center"/>
              <w:rPr>
                <w:rFonts w:cs="Arial"/>
                <w:szCs w:val="20"/>
              </w:rPr>
            </w:pPr>
            <w:r>
              <w:rPr>
                <w:rFonts w:cs="Arial"/>
                <w:szCs w:val="20"/>
              </w:rPr>
              <w:t>-</w:t>
            </w:r>
          </w:p>
        </w:tc>
        <w:tc>
          <w:tcPr>
            <w:tcW w:w="641" w:type="pct"/>
            <w:tcBorders>
              <w:top w:val="nil"/>
              <w:bottom w:val="nil"/>
            </w:tcBorders>
            <w:vAlign w:val="center"/>
          </w:tcPr>
          <w:p w:rsidR="003260D8" w:rsidRDefault="003260D8">
            <w:pPr>
              <w:jc w:val="center"/>
              <w:rPr>
                <w:rFonts w:cs="Arial"/>
                <w:szCs w:val="20"/>
              </w:rPr>
            </w:pPr>
            <w:r>
              <w:rPr>
                <w:rFonts w:cs="Arial"/>
                <w:szCs w:val="20"/>
              </w:rPr>
              <w:t>-</w:t>
            </w:r>
          </w:p>
        </w:tc>
        <w:tc>
          <w:tcPr>
            <w:tcW w:w="727" w:type="pct"/>
            <w:tcBorders>
              <w:top w:val="nil"/>
              <w:bottom w:val="nil"/>
            </w:tcBorders>
            <w:vAlign w:val="center"/>
          </w:tcPr>
          <w:p w:rsidR="003260D8" w:rsidRDefault="003260D8">
            <w:pPr>
              <w:jc w:val="center"/>
              <w:rPr>
                <w:rFonts w:cs="Arial"/>
                <w:szCs w:val="20"/>
              </w:rPr>
            </w:pPr>
            <w:r>
              <w:rPr>
                <w:rFonts w:cs="Arial"/>
                <w:szCs w:val="20"/>
              </w:rPr>
              <w:t>-</w:t>
            </w:r>
          </w:p>
        </w:tc>
        <w:tc>
          <w:tcPr>
            <w:tcW w:w="699" w:type="pct"/>
            <w:tcBorders>
              <w:top w:val="nil"/>
              <w:bottom w:val="nil"/>
            </w:tcBorders>
            <w:vAlign w:val="center"/>
          </w:tcPr>
          <w:p w:rsidR="003260D8" w:rsidRDefault="003260D8">
            <w:pPr>
              <w:jc w:val="center"/>
              <w:rPr>
                <w:rFonts w:cs="Arial"/>
                <w:szCs w:val="20"/>
              </w:rPr>
            </w:pPr>
            <w:r>
              <w:rPr>
                <w:rFonts w:cs="Arial"/>
                <w:szCs w:val="20"/>
              </w:rPr>
              <w:t>-</w:t>
            </w:r>
          </w:p>
        </w:tc>
        <w:tc>
          <w:tcPr>
            <w:tcW w:w="622" w:type="pct"/>
            <w:tcBorders>
              <w:top w:val="nil"/>
              <w:bottom w:val="nil"/>
            </w:tcBorders>
            <w:vAlign w:val="center"/>
          </w:tcPr>
          <w:p w:rsidR="003260D8" w:rsidRDefault="003260D8">
            <w:pPr>
              <w:jc w:val="center"/>
              <w:rPr>
                <w:rFonts w:cs="Arial"/>
                <w:szCs w:val="20"/>
              </w:rPr>
            </w:pPr>
            <w:r>
              <w:rPr>
                <w:rFonts w:cs="Arial"/>
                <w:szCs w:val="20"/>
              </w:rPr>
              <w:t>-</w:t>
            </w:r>
          </w:p>
        </w:tc>
        <w:tc>
          <w:tcPr>
            <w:tcW w:w="696" w:type="pct"/>
            <w:tcBorders>
              <w:top w:val="nil"/>
              <w:bottom w:val="nil"/>
            </w:tcBorders>
            <w:vAlign w:val="center"/>
          </w:tcPr>
          <w:p w:rsidR="003260D8" w:rsidRDefault="003260D8">
            <w:pPr>
              <w:jc w:val="center"/>
              <w:rPr>
                <w:rFonts w:cs="Arial"/>
                <w:szCs w:val="20"/>
              </w:rPr>
            </w:pPr>
            <w:r>
              <w:rPr>
                <w:rFonts w:cs="Arial"/>
                <w:szCs w:val="20"/>
              </w:rPr>
              <w:t>-</w:t>
            </w:r>
          </w:p>
        </w:tc>
      </w:tr>
      <w:tr w:rsidR="003260D8" w:rsidRPr="006A7228" w:rsidTr="00EA6F25">
        <w:trPr>
          <w:trHeight w:val="510"/>
        </w:trPr>
        <w:tc>
          <w:tcPr>
            <w:tcW w:w="915" w:type="pct"/>
            <w:tcBorders>
              <w:top w:val="nil"/>
              <w:bottom w:val="nil"/>
            </w:tcBorders>
            <w:vAlign w:val="center"/>
          </w:tcPr>
          <w:p w:rsidR="003260D8" w:rsidRDefault="003260D8">
            <w:pPr>
              <w:rPr>
                <w:rFonts w:cs="Arial"/>
                <w:b/>
                <w:bCs/>
                <w:sz w:val="20"/>
                <w:szCs w:val="20"/>
              </w:rPr>
            </w:pPr>
            <w:r>
              <w:rPr>
                <w:rFonts w:cs="Arial"/>
                <w:b/>
                <w:bCs/>
                <w:sz w:val="20"/>
                <w:szCs w:val="20"/>
              </w:rPr>
              <w:t>Monthly</w:t>
            </w:r>
          </w:p>
        </w:tc>
        <w:tc>
          <w:tcPr>
            <w:tcW w:w="700" w:type="pct"/>
            <w:tcBorders>
              <w:top w:val="nil"/>
              <w:bottom w:val="nil"/>
            </w:tcBorders>
            <w:vAlign w:val="center"/>
          </w:tcPr>
          <w:p w:rsidR="003260D8" w:rsidRDefault="003260D8">
            <w:pPr>
              <w:jc w:val="center"/>
              <w:rPr>
                <w:rFonts w:cs="Arial"/>
                <w:sz w:val="20"/>
                <w:szCs w:val="20"/>
              </w:rPr>
            </w:pPr>
            <w:r>
              <w:rPr>
                <w:rFonts w:cs="Arial"/>
                <w:sz w:val="20"/>
                <w:szCs w:val="20"/>
              </w:rPr>
              <w:t>-</w:t>
            </w:r>
          </w:p>
        </w:tc>
        <w:tc>
          <w:tcPr>
            <w:tcW w:w="641" w:type="pct"/>
            <w:tcBorders>
              <w:top w:val="nil"/>
              <w:bottom w:val="nil"/>
            </w:tcBorders>
            <w:vAlign w:val="center"/>
          </w:tcPr>
          <w:p w:rsidR="003260D8" w:rsidRDefault="003260D8">
            <w:pPr>
              <w:jc w:val="center"/>
              <w:rPr>
                <w:rFonts w:cs="Arial"/>
                <w:sz w:val="20"/>
                <w:szCs w:val="20"/>
              </w:rPr>
            </w:pPr>
            <w:r>
              <w:rPr>
                <w:rFonts w:cs="Arial"/>
                <w:sz w:val="20"/>
                <w:szCs w:val="20"/>
              </w:rPr>
              <w:t>-</w:t>
            </w:r>
          </w:p>
        </w:tc>
        <w:tc>
          <w:tcPr>
            <w:tcW w:w="727" w:type="pct"/>
            <w:tcBorders>
              <w:top w:val="nil"/>
              <w:bottom w:val="nil"/>
            </w:tcBorders>
            <w:vAlign w:val="center"/>
          </w:tcPr>
          <w:p w:rsidR="003260D8" w:rsidRDefault="003260D8">
            <w:pPr>
              <w:jc w:val="center"/>
              <w:rPr>
                <w:rFonts w:cs="Arial"/>
                <w:sz w:val="20"/>
                <w:szCs w:val="20"/>
              </w:rPr>
            </w:pPr>
            <w:r>
              <w:rPr>
                <w:rFonts w:cs="Arial"/>
                <w:sz w:val="20"/>
                <w:szCs w:val="20"/>
              </w:rPr>
              <w:t>-</w:t>
            </w:r>
          </w:p>
        </w:tc>
        <w:tc>
          <w:tcPr>
            <w:tcW w:w="699" w:type="pct"/>
            <w:tcBorders>
              <w:top w:val="nil"/>
              <w:bottom w:val="nil"/>
            </w:tcBorders>
            <w:vAlign w:val="center"/>
          </w:tcPr>
          <w:p w:rsidR="003260D8" w:rsidRDefault="003260D8">
            <w:pPr>
              <w:jc w:val="center"/>
              <w:rPr>
                <w:rFonts w:cs="Arial"/>
                <w:sz w:val="20"/>
                <w:szCs w:val="20"/>
              </w:rPr>
            </w:pPr>
            <w:r>
              <w:rPr>
                <w:rFonts w:cs="Arial"/>
                <w:sz w:val="20"/>
                <w:szCs w:val="20"/>
              </w:rPr>
              <w:t>-</w:t>
            </w:r>
          </w:p>
        </w:tc>
        <w:tc>
          <w:tcPr>
            <w:tcW w:w="622" w:type="pct"/>
            <w:tcBorders>
              <w:top w:val="nil"/>
              <w:bottom w:val="nil"/>
            </w:tcBorders>
            <w:vAlign w:val="center"/>
          </w:tcPr>
          <w:p w:rsidR="003260D8" w:rsidRDefault="003260D8">
            <w:pPr>
              <w:jc w:val="center"/>
              <w:rPr>
                <w:rFonts w:cs="Arial"/>
                <w:sz w:val="20"/>
                <w:szCs w:val="20"/>
              </w:rPr>
            </w:pPr>
            <w:r>
              <w:rPr>
                <w:rFonts w:cs="Arial"/>
                <w:sz w:val="20"/>
                <w:szCs w:val="20"/>
              </w:rPr>
              <w:t>-</w:t>
            </w:r>
          </w:p>
        </w:tc>
        <w:tc>
          <w:tcPr>
            <w:tcW w:w="696" w:type="pct"/>
            <w:tcBorders>
              <w:top w:val="nil"/>
              <w:bottom w:val="nil"/>
            </w:tcBorders>
            <w:vAlign w:val="center"/>
          </w:tcPr>
          <w:p w:rsidR="003260D8" w:rsidRDefault="003260D8">
            <w:pPr>
              <w:jc w:val="center"/>
              <w:rPr>
                <w:rFonts w:cs="Arial"/>
                <w:sz w:val="20"/>
                <w:szCs w:val="20"/>
              </w:rPr>
            </w:pPr>
            <w:r>
              <w:rPr>
                <w:rFonts w:cs="Arial"/>
                <w:sz w:val="20"/>
                <w:szCs w:val="20"/>
              </w:rPr>
              <w:t>-</w:t>
            </w:r>
          </w:p>
        </w:tc>
      </w:tr>
      <w:tr w:rsidR="003260D8" w:rsidRPr="006A7228" w:rsidTr="00EA6F25">
        <w:trPr>
          <w:cnfStyle w:val="000000010000" w:firstRow="0" w:lastRow="0" w:firstColumn="0" w:lastColumn="0" w:oddVBand="0" w:evenVBand="0" w:oddHBand="0" w:evenHBand="1" w:firstRowFirstColumn="0" w:firstRowLastColumn="0" w:lastRowFirstColumn="0" w:lastRowLastColumn="0"/>
          <w:trHeight w:val="510"/>
        </w:trPr>
        <w:tc>
          <w:tcPr>
            <w:tcW w:w="915" w:type="pct"/>
            <w:tcBorders>
              <w:top w:val="nil"/>
              <w:bottom w:val="single" w:sz="4" w:space="0" w:color="auto"/>
            </w:tcBorders>
            <w:vAlign w:val="center"/>
          </w:tcPr>
          <w:p w:rsidR="003260D8" w:rsidRDefault="003260D8">
            <w:pPr>
              <w:rPr>
                <w:rFonts w:cs="Arial"/>
                <w:b/>
                <w:bCs/>
                <w:szCs w:val="20"/>
              </w:rPr>
            </w:pPr>
            <w:r>
              <w:rPr>
                <w:rFonts w:cs="Arial"/>
                <w:b/>
                <w:bCs/>
                <w:szCs w:val="20"/>
              </w:rPr>
              <w:t>Total</w:t>
            </w:r>
          </w:p>
        </w:tc>
        <w:tc>
          <w:tcPr>
            <w:tcW w:w="700" w:type="pct"/>
            <w:tcBorders>
              <w:top w:val="nil"/>
              <w:bottom w:val="single" w:sz="4" w:space="0" w:color="auto"/>
            </w:tcBorders>
            <w:vAlign w:val="center"/>
          </w:tcPr>
          <w:p w:rsidR="003260D8" w:rsidRDefault="003260D8">
            <w:pPr>
              <w:jc w:val="center"/>
              <w:rPr>
                <w:rFonts w:cs="Arial"/>
                <w:b/>
                <w:bCs/>
                <w:szCs w:val="20"/>
              </w:rPr>
            </w:pPr>
            <w:r>
              <w:rPr>
                <w:rFonts w:cs="Arial"/>
                <w:b/>
                <w:bCs/>
                <w:szCs w:val="20"/>
              </w:rPr>
              <w:t>-</w:t>
            </w:r>
          </w:p>
        </w:tc>
        <w:tc>
          <w:tcPr>
            <w:tcW w:w="641" w:type="pct"/>
            <w:tcBorders>
              <w:top w:val="nil"/>
              <w:bottom w:val="single" w:sz="4" w:space="0" w:color="auto"/>
            </w:tcBorders>
            <w:vAlign w:val="center"/>
          </w:tcPr>
          <w:p w:rsidR="003260D8" w:rsidRDefault="003260D8">
            <w:pPr>
              <w:jc w:val="center"/>
              <w:rPr>
                <w:rFonts w:cs="Arial"/>
                <w:b/>
                <w:bCs/>
                <w:szCs w:val="20"/>
              </w:rPr>
            </w:pPr>
            <w:r>
              <w:rPr>
                <w:rFonts w:cs="Arial"/>
                <w:b/>
                <w:bCs/>
                <w:szCs w:val="20"/>
              </w:rPr>
              <w:t>-</w:t>
            </w:r>
          </w:p>
        </w:tc>
        <w:tc>
          <w:tcPr>
            <w:tcW w:w="727" w:type="pct"/>
            <w:tcBorders>
              <w:top w:val="nil"/>
              <w:bottom w:val="single" w:sz="4" w:space="0" w:color="auto"/>
            </w:tcBorders>
            <w:vAlign w:val="center"/>
          </w:tcPr>
          <w:p w:rsidR="003260D8" w:rsidRDefault="003260D8">
            <w:pPr>
              <w:jc w:val="center"/>
              <w:rPr>
                <w:rFonts w:cs="Arial"/>
                <w:b/>
                <w:bCs/>
                <w:szCs w:val="20"/>
              </w:rPr>
            </w:pPr>
            <w:r>
              <w:rPr>
                <w:rFonts w:cs="Arial"/>
                <w:b/>
                <w:bCs/>
                <w:szCs w:val="20"/>
              </w:rPr>
              <w:t>8.20</w:t>
            </w:r>
          </w:p>
        </w:tc>
        <w:tc>
          <w:tcPr>
            <w:tcW w:w="699" w:type="pct"/>
            <w:tcBorders>
              <w:top w:val="nil"/>
              <w:bottom w:val="single" w:sz="4" w:space="0" w:color="auto"/>
            </w:tcBorders>
            <w:vAlign w:val="center"/>
          </w:tcPr>
          <w:p w:rsidR="003260D8" w:rsidRDefault="003260D8">
            <w:pPr>
              <w:jc w:val="center"/>
              <w:rPr>
                <w:rFonts w:cs="Arial"/>
                <w:b/>
                <w:bCs/>
                <w:szCs w:val="20"/>
              </w:rPr>
            </w:pPr>
            <w:r>
              <w:rPr>
                <w:rFonts w:cs="Arial"/>
                <w:b/>
                <w:bCs/>
                <w:szCs w:val="20"/>
              </w:rPr>
              <w:t>65.0</w:t>
            </w:r>
          </w:p>
        </w:tc>
        <w:tc>
          <w:tcPr>
            <w:tcW w:w="622" w:type="pct"/>
            <w:tcBorders>
              <w:top w:val="nil"/>
              <w:bottom w:val="single" w:sz="4" w:space="0" w:color="auto"/>
            </w:tcBorders>
            <w:vAlign w:val="center"/>
          </w:tcPr>
          <w:p w:rsidR="003260D8" w:rsidRDefault="003260D8">
            <w:pPr>
              <w:jc w:val="center"/>
              <w:rPr>
                <w:rFonts w:cs="Arial"/>
                <w:b/>
                <w:bCs/>
                <w:szCs w:val="20"/>
              </w:rPr>
            </w:pPr>
            <w:r>
              <w:rPr>
                <w:rFonts w:cs="Arial"/>
                <w:b/>
                <w:bCs/>
                <w:szCs w:val="20"/>
              </w:rPr>
              <w:t>9.19</w:t>
            </w:r>
          </w:p>
        </w:tc>
        <w:tc>
          <w:tcPr>
            <w:tcW w:w="696" w:type="pct"/>
            <w:tcBorders>
              <w:top w:val="nil"/>
              <w:bottom w:val="single" w:sz="4" w:space="0" w:color="auto"/>
            </w:tcBorders>
            <w:vAlign w:val="center"/>
          </w:tcPr>
          <w:p w:rsidR="003260D8" w:rsidRDefault="003260D8">
            <w:pPr>
              <w:jc w:val="center"/>
              <w:rPr>
                <w:rFonts w:cs="Arial"/>
                <w:b/>
                <w:bCs/>
                <w:szCs w:val="20"/>
              </w:rPr>
            </w:pPr>
            <w:r>
              <w:rPr>
                <w:rFonts w:cs="Arial"/>
                <w:b/>
                <w:bCs/>
                <w:szCs w:val="20"/>
              </w:rPr>
              <w:t>55.0</w:t>
            </w:r>
          </w:p>
        </w:tc>
      </w:tr>
    </w:tbl>
    <w:p w:rsidR="00410584" w:rsidRPr="00552F68" w:rsidRDefault="00410584" w:rsidP="00410584">
      <w:pPr>
        <w:pStyle w:val="AERbodytext"/>
        <w:rPr>
          <w:sz w:val="16"/>
        </w:rPr>
      </w:pPr>
      <w:r w:rsidRPr="00552F68">
        <w:rPr>
          <w:sz w:val="16"/>
        </w:rPr>
        <w:t xml:space="preserve">* </w:t>
      </w:r>
      <w:r w:rsidR="008D7D94">
        <w:rPr>
          <w:sz w:val="16"/>
        </w:rPr>
        <w:t>includes n</w:t>
      </w:r>
      <w:r w:rsidRPr="00552F68">
        <w:rPr>
          <w:sz w:val="16"/>
        </w:rPr>
        <w:t xml:space="preserve">on-netted </w:t>
      </w:r>
      <w:r w:rsidR="008D7D94">
        <w:rPr>
          <w:sz w:val="16"/>
        </w:rPr>
        <w:t>(off-market) trades</w:t>
      </w:r>
      <w:r w:rsidRPr="00552F68">
        <w:rPr>
          <w:sz w:val="16"/>
        </w:rPr>
        <w:t>.</w:t>
      </w:r>
    </w:p>
    <w:p w:rsidR="001934E9" w:rsidRDefault="00C370D1" w:rsidP="00A226E9">
      <w:pPr>
        <w:keepNext/>
      </w:pPr>
      <w:r>
        <w:lastRenderedPageBreak/>
        <w:t>Figure 6</w:t>
      </w:r>
      <w:r w:rsidR="001934E9" w:rsidRPr="00552F68">
        <w:t xml:space="preserve"> shows Bulletin Board pipeline flows for the three LNG export pipeline facilities and the production output at related production facilities in the Roma region.</w:t>
      </w:r>
    </w:p>
    <w:p w:rsidR="001934E9" w:rsidRDefault="001934E9" w:rsidP="001934E9">
      <w:pPr>
        <w:pStyle w:val="Caption"/>
        <w:rPr>
          <w:color w:val="2272A3"/>
          <w:szCs w:val="24"/>
        </w:rPr>
      </w:pPr>
      <w:r w:rsidRPr="001521CB">
        <w:t xml:space="preserve">Figure </w:t>
      </w:r>
      <w:fldSimple w:instr=" SEQ Figure \* ARABIC ">
        <w:r w:rsidR="00C370D1">
          <w:rPr>
            <w:noProof/>
          </w:rPr>
          <w:t>6</w:t>
        </w:r>
      </w:fldSimple>
      <w:r w:rsidRPr="001521CB">
        <w:t xml:space="preserve">: </w:t>
      </w:r>
      <w:r w:rsidR="00A226E9">
        <w:rPr>
          <w:color w:val="2272A3"/>
          <w:szCs w:val="24"/>
        </w:rPr>
        <w:t>LNG export pipeline and production flows</w:t>
      </w:r>
      <w:r w:rsidR="00587CFB">
        <w:rPr>
          <w:color w:val="2272A3"/>
          <w:szCs w:val="24"/>
        </w:rPr>
        <w:t xml:space="preserve"> (TJ)</w:t>
      </w:r>
      <w:r w:rsidR="000C52E2">
        <w:rPr>
          <w:color w:val="2272A3"/>
          <w:szCs w:val="24"/>
        </w:rPr>
        <w:t>*</w:t>
      </w:r>
    </w:p>
    <w:p w:rsidR="001934E9" w:rsidRPr="00E16EDC" w:rsidRDefault="003260D8" w:rsidP="00E33530">
      <w:pPr>
        <w:keepNext/>
      </w:pPr>
      <w:r w:rsidRPr="001570F4">
        <w:rPr>
          <w:noProof/>
          <w:lang w:eastAsia="en-AU"/>
        </w:rPr>
        <w:drawing>
          <wp:inline distT="0" distB="0" distL="0" distR="0" wp14:anchorId="091B50CB" wp14:editId="77F7233B">
            <wp:extent cx="5731510" cy="3178810"/>
            <wp:effectExtent l="0" t="0" r="2540" b="2540"/>
            <wp:docPr id="7" name="Picture 7" descr="Figure 6 shows the daily quantity of gas flowed on each of the three Queensland LNG export pipelines. Quantities of gas supplied by production facilities in the Roma region owned by these pipelines are also shown, grouped for each participant (APLNG, GLNG/Santos and QCLNG/QCG)." title="LNG export pipeline and production f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178810"/>
                    </a:xfrm>
                    <a:prstGeom prst="rect">
                      <a:avLst/>
                    </a:prstGeom>
                    <a:noFill/>
                    <a:ln>
                      <a:noFill/>
                    </a:ln>
                  </pic:spPr>
                </pic:pic>
              </a:graphicData>
            </a:graphic>
          </wp:inline>
        </w:drawing>
      </w:r>
    </w:p>
    <w:p w:rsidR="009C4C5E" w:rsidRPr="00AB478D" w:rsidRDefault="009C4C5E" w:rsidP="009C4C5E">
      <w:pPr>
        <w:jc w:val="both"/>
        <w:rPr>
          <w:sz w:val="16"/>
          <w:szCs w:val="16"/>
        </w:rPr>
      </w:pPr>
      <w:r w:rsidRPr="00973B9F">
        <w:rPr>
          <w:sz w:val="16"/>
          <w:szCs w:val="16"/>
        </w:rPr>
        <w:t xml:space="preserve">* Production quantities represent flows from facilities operated by APLNG, Santos </w:t>
      </w:r>
      <w:r>
        <w:rPr>
          <w:sz w:val="16"/>
          <w:szCs w:val="16"/>
        </w:rPr>
        <w:t xml:space="preserve">and </w:t>
      </w:r>
      <w:r w:rsidRPr="00973B9F">
        <w:rPr>
          <w:sz w:val="16"/>
          <w:szCs w:val="16"/>
        </w:rPr>
        <w:t>QGC in the Roma region. Gas from individual facilities may also supply the domestic market, other LNG projects or storage facilities.</w:t>
      </w:r>
    </w:p>
    <w:p w:rsidR="001521CB" w:rsidRDefault="001521CB" w:rsidP="001521CB">
      <w:pPr>
        <w:pStyle w:val="Heading3"/>
        <w:rPr>
          <w:rFonts w:eastAsia="Times New Roman" w:cs="Times New Roman"/>
          <w:color w:val="2272A3" w:themeColor="accent4" w:themeShade="80"/>
          <w:sz w:val="32"/>
          <w:szCs w:val="20"/>
        </w:rPr>
      </w:pPr>
      <w:r w:rsidRPr="001521CB">
        <w:rPr>
          <w:rFonts w:eastAsia="Times New Roman" w:cs="Times New Roman"/>
          <w:color w:val="2272A3" w:themeColor="accent4" w:themeShade="80"/>
          <w:sz w:val="32"/>
          <w:szCs w:val="20"/>
        </w:rPr>
        <w:t>Detailed market analysis</w:t>
      </w:r>
    </w:p>
    <w:p w:rsidR="003260D8" w:rsidRPr="001570F4" w:rsidRDefault="003260D8" w:rsidP="003260D8">
      <w:pPr>
        <w:jc w:val="both"/>
        <w:rPr>
          <w:b/>
          <w:i/>
        </w:rPr>
      </w:pPr>
      <w:r w:rsidRPr="001570F4">
        <w:rPr>
          <w:b/>
          <w:i/>
        </w:rPr>
        <w:t>Victorian supply / demand</w:t>
      </w:r>
    </w:p>
    <w:p w:rsidR="003260D8" w:rsidRPr="001570F4" w:rsidRDefault="003260D8" w:rsidP="003260D8">
      <w:pPr>
        <w:jc w:val="both"/>
      </w:pPr>
      <w:r w:rsidRPr="001570F4">
        <w:t>Demand continues its gradual increase in Victoria in advance of the 2017 winter, increasing 16 per cent for the week. Maximum temperatures in Melbourne were low across all weekdays, ranging between 14.8 and 17.7 degrees.</w:t>
      </w:r>
    </w:p>
    <w:p w:rsidR="003260D8" w:rsidRPr="001570F4" w:rsidRDefault="003260D8" w:rsidP="003260D8">
      <w:pPr>
        <w:jc w:val="both"/>
      </w:pPr>
      <w:r w:rsidRPr="001570F4">
        <w:t>The 240 TJ decrease in gas held at Victoria’s Iona Underground Storage facility follows an extended period of net injections (filling) in preparation for the high demand winter period (see Figure 7). Increased withdrawals from Iona can be anticipated as winter approaches.</w:t>
      </w:r>
    </w:p>
    <w:p w:rsidR="003260D8" w:rsidRPr="001570F4" w:rsidRDefault="003260D8" w:rsidP="003260D8">
      <w:pPr>
        <w:jc w:val="both"/>
      </w:pPr>
      <w:r w:rsidRPr="001570F4">
        <w:t>There were notable withdrawals from Iona across 8-9 May and 11-13 May (see Figure 1.5). Iona supplies into Victoria were high on 12 and 13 May alongside withdrawal constraints at the facility, which coincided with an outage at the Brooklyn Compressor Station (BCS). On 13 May, AEMO published a market notice calling for a market response to a potential threat to system security.</w:t>
      </w:r>
      <w:r w:rsidRPr="001570F4">
        <w:rPr>
          <w:rStyle w:val="FootnoteReference"/>
        </w:rPr>
        <w:footnoteReference w:id="3"/>
      </w:r>
      <w:r w:rsidRPr="001570F4">
        <w:t xml:space="preserve"> The threat related to the required supply from Iona during two planned outages of the BCS (on 17 and 24 May). A number of close proximity points</w:t>
      </w:r>
      <w:r w:rsidRPr="001570F4">
        <w:rPr>
          <w:rStyle w:val="FootnoteReference"/>
        </w:rPr>
        <w:footnoteReference w:id="4"/>
      </w:r>
      <w:r w:rsidRPr="001570F4">
        <w:t xml:space="preserve"> around Port Campbell were expected to be affected by the compressor outage, leading to insufficient supply quantities to the Geelong and Western withdrawal zones.</w:t>
      </w:r>
    </w:p>
    <w:p w:rsidR="001521CB" w:rsidRDefault="003260D8" w:rsidP="003260D8">
      <w:pPr>
        <w:rPr>
          <w:color w:val="FF0000"/>
        </w:rPr>
      </w:pPr>
      <w:r w:rsidRPr="001570F4">
        <w:t>Figure 7 (below) shows the upward trend in net injections from Iona, across the week commencing 7 May, and the resulting decrease in storage levels.</w:t>
      </w:r>
    </w:p>
    <w:p w:rsidR="003260D8" w:rsidRDefault="003260D8" w:rsidP="003260D8">
      <w:pPr>
        <w:pStyle w:val="Caption"/>
        <w:rPr>
          <w:color w:val="2272A3"/>
          <w:szCs w:val="24"/>
        </w:rPr>
      </w:pPr>
      <w:r w:rsidRPr="001521CB">
        <w:lastRenderedPageBreak/>
        <w:t xml:space="preserve">Figure </w:t>
      </w:r>
      <w:fldSimple w:instr=" SEQ Figure \* ARABIC ">
        <w:r>
          <w:rPr>
            <w:noProof/>
          </w:rPr>
          <w:t>7</w:t>
        </w:r>
      </w:fldSimple>
      <w:r w:rsidRPr="001521CB">
        <w:t xml:space="preserve">: </w:t>
      </w:r>
      <w:r w:rsidRPr="003260D8">
        <w:rPr>
          <w:color w:val="2272A3"/>
          <w:szCs w:val="24"/>
        </w:rPr>
        <w:t>Flows to and from Iona storage [LHS/TJ] and storage levels [RHS/PJ]</w:t>
      </w:r>
    </w:p>
    <w:p w:rsidR="003260D8" w:rsidRDefault="003260D8" w:rsidP="001521CB">
      <w:pPr>
        <w:rPr>
          <w:color w:val="FF0000"/>
        </w:rPr>
      </w:pPr>
      <w:r w:rsidRPr="001570F4">
        <w:rPr>
          <w:noProof/>
          <w:lang w:eastAsia="en-AU"/>
        </w:rPr>
        <w:drawing>
          <wp:inline distT="0" distB="0" distL="0" distR="0" wp14:anchorId="07CE1EAE" wp14:editId="097BBBC0">
            <wp:extent cx="5731510" cy="2256155"/>
            <wp:effectExtent l="0" t="0" r="2540" b="0"/>
            <wp:docPr id="3" name="Picture 3" descr="Figure 7 shows gas flows into (withdrawals shown as negative) and out of (injections into Victoria shown as positive) the Iona storage facility. Storage levels are shown on the right hand side of the chart." title="Iona underground gas storage flows and storage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2256155"/>
                    </a:xfrm>
                    <a:prstGeom prst="rect">
                      <a:avLst/>
                    </a:prstGeom>
                    <a:noFill/>
                    <a:ln>
                      <a:noFill/>
                    </a:ln>
                  </pic:spPr>
                </pic:pic>
              </a:graphicData>
            </a:graphic>
          </wp:inline>
        </w:drawing>
      </w:r>
    </w:p>
    <w:p w:rsidR="003260D8" w:rsidRPr="001570F4" w:rsidRDefault="003260D8" w:rsidP="003260D8">
      <w:pPr>
        <w:jc w:val="both"/>
        <w:rPr>
          <w:b/>
          <w:i/>
        </w:rPr>
      </w:pPr>
      <w:r w:rsidRPr="001570F4">
        <w:rPr>
          <w:b/>
          <w:i/>
        </w:rPr>
        <w:t>Sydney</w:t>
      </w:r>
    </w:p>
    <w:p w:rsidR="003260D8" w:rsidRPr="001570F4" w:rsidRDefault="003260D8" w:rsidP="003260D8">
      <w:pPr>
        <w:jc w:val="both"/>
      </w:pPr>
      <w:r w:rsidRPr="001570F4">
        <w:t>MOS payments in excess of $200,000 were recorded at the Sydney hub on 8 May ($205,263) and 10 May ($211,087). The MOS payment on 8 May resulted from 15 TJ of over forecast demand combined with supply being 3.6 TJ higher than that scheduled. The MOS payment on 10 May was driven by 20 TJ of over forecast demand, with only a narrow difference (1.4 TJ) between the gas scheduled and allocated on the day.</w:t>
      </w:r>
    </w:p>
    <w:p w:rsidR="003260D8" w:rsidRPr="001570F4" w:rsidRDefault="003260D8" w:rsidP="003260D8">
      <w:pPr>
        <w:jc w:val="both"/>
        <w:rPr>
          <w:b/>
          <w:i/>
        </w:rPr>
      </w:pPr>
      <w:r w:rsidRPr="001570F4">
        <w:rPr>
          <w:b/>
          <w:i/>
        </w:rPr>
        <w:t>Adelaide</w:t>
      </w:r>
    </w:p>
    <w:p w:rsidR="003260D8" w:rsidRPr="001570F4" w:rsidRDefault="003260D8" w:rsidP="003260D8">
      <w:pPr>
        <w:jc w:val="both"/>
      </w:pPr>
      <w:r w:rsidRPr="001570F4">
        <w:t xml:space="preserve">The 69 per cent increase in ancillary service payments at the Adelaide hub is a contrast to the lower payments of the preceding week. MOS payments remained low at the hub, the daily payment, for the week, averaging $6,349. </w:t>
      </w:r>
    </w:p>
    <w:p w:rsidR="001521CB" w:rsidRDefault="001521CB">
      <w:pPr>
        <w:spacing w:line="240" w:lineRule="auto"/>
        <w:rPr>
          <w:rFonts w:eastAsiaTheme="majorEastAsia" w:cstheme="majorBidi"/>
          <w:b/>
          <w:bCs/>
          <w:color w:val="51626F"/>
          <w:sz w:val="28"/>
          <w:szCs w:val="26"/>
        </w:rPr>
      </w:pPr>
      <w:r>
        <w:br w:type="page"/>
      </w:r>
    </w:p>
    <w:p w:rsidR="001521CB" w:rsidRPr="003171C6" w:rsidRDefault="001521CB" w:rsidP="003171C6">
      <w:pPr>
        <w:pStyle w:val="Heading2"/>
        <w:ind w:left="142"/>
        <w:rPr>
          <w:sz w:val="36"/>
          <w:szCs w:val="36"/>
        </w:rPr>
      </w:pPr>
      <w:r w:rsidRPr="003171C6">
        <w:rPr>
          <w:noProof/>
          <w:color w:val="FFFFFF" w:themeColor="background1"/>
          <w:sz w:val="36"/>
          <w:szCs w:val="36"/>
          <w:lang w:eastAsia="en-AU"/>
        </w:rPr>
        <w:lastRenderedPageBreak/>
        <w:drawing>
          <wp:anchor distT="0" distB="0" distL="114300" distR="114300" simplePos="0" relativeHeight="251667456" behindDoc="1" locked="0" layoutInCell="1" allowOverlap="1" wp14:anchorId="4C2E1EDE" wp14:editId="2063175F">
            <wp:simplePos x="0" y="0"/>
            <wp:positionH relativeFrom="column">
              <wp:posOffset>0</wp:posOffset>
            </wp:positionH>
            <wp:positionV relativeFrom="paragraph">
              <wp:posOffset>-13970</wp:posOffset>
            </wp:positionV>
            <wp:extent cx="6048375" cy="981075"/>
            <wp:effectExtent l="0" t="0" r="9525" b="9525"/>
            <wp:wrapNone/>
            <wp:docPr id="4" name="Picture 4" descr="Australian Energy Regulat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stralian Energy Regulator log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48375" cy="981075"/>
                    </a:xfrm>
                    <a:prstGeom prst="rect">
                      <a:avLst/>
                    </a:prstGeom>
                    <a:noFill/>
                  </pic:spPr>
                </pic:pic>
              </a:graphicData>
            </a:graphic>
            <wp14:sizeRelH relativeFrom="page">
              <wp14:pctWidth>0</wp14:pctWidth>
            </wp14:sizeRelH>
            <wp14:sizeRelV relativeFrom="page">
              <wp14:pctHeight>0</wp14:pctHeight>
            </wp14:sizeRelV>
          </wp:anchor>
        </w:drawing>
      </w:r>
      <w:r w:rsidRPr="003171C6">
        <w:rPr>
          <w:color w:val="FFFFFF" w:themeColor="background1"/>
          <w:sz w:val="36"/>
          <w:szCs w:val="36"/>
        </w:rPr>
        <w:t xml:space="preserve">Detailed </w:t>
      </w:r>
      <w:r w:rsidR="003171C6">
        <w:rPr>
          <w:color w:val="FFFFFF" w:themeColor="background1"/>
          <w:sz w:val="36"/>
          <w:szCs w:val="36"/>
        </w:rPr>
        <w:t>M</w:t>
      </w:r>
      <w:r w:rsidRPr="003171C6">
        <w:rPr>
          <w:color w:val="FFFFFF" w:themeColor="background1"/>
          <w:sz w:val="36"/>
          <w:szCs w:val="36"/>
        </w:rPr>
        <w:t xml:space="preserve">arket </w:t>
      </w:r>
      <w:r w:rsidR="003171C6">
        <w:rPr>
          <w:color w:val="FFFFFF" w:themeColor="background1"/>
          <w:sz w:val="36"/>
          <w:szCs w:val="36"/>
        </w:rPr>
        <w:t>F</w:t>
      </w:r>
      <w:r w:rsidRPr="003171C6">
        <w:rPr>
          <w:color w:val="FFFFFF" w:themeColor="background1"/>
          <w:sz w:val="36"/>
          <w:szCs w:val="36"/>
        </w:rPr>
        <w:t>igures</w:t>
      </w:r>
    </w:p>
    <w:p w:rsidR="001521CB" w:rsidRPr="00A16975" w:rsidRDefault="001521CB" w:rsidP="001521CB">
      <w:pPr>
        <w:rPr>
          <w:sz w:val="28"/>
        </w:rPr>
      </w:pPr>
    </w:p>
    <w:p w:rsidR="001521CB" w:rsidRPr="00A16975" w:rsidRDefault="001521CB" w:rsidP="001521CB">
      <w:pPr>
        <w:rPr>
          <w:sz w:val="28"/>
        </w:rPr>
      </w:pPr>
    </w:p>
    <w:p w:rsidR="003171C6" w:rsidRDefault="003171C6" w:rsidP="003171C6">
      <w:pPr>
        <w:pStyle w:val="Heading3"/>
        <w:rPr>
          <w:rFonts w:eastAsia="Times New Roman" w:cs="Times New Roman"/>
          <w:color w:val="2272A3" w:themeColor="accent4" w:themeShade="80"/>
          <w:sz w:val="32"/>
          <w:szCs w:val="20"/>
        </w:rPr>
      </w:pPr>
      <w:r w:rsidRPr="003171C6">
        <w:rPr>
          <w:rFonts w:eastAsia="Times New Roman" w:cs="Times New Roman"/>
          <w:color w:val="2272A3" w:themeColor="accent4" w:themeShade="80"/>
          <w:sz w:val="32"/>
          <w:szCs w:val="20"/>
        </w:rPr>
        <w:t>1. Victorian Declared Wholesale Market</w:t>
      </w:r>
    </w:p>
    <w:p w:rsidR="00EC2CB1" w:rsidRPr="00EF58A8" w:rsidRDefault="00EC2CB1" w:rsidP="00551D6B">
      <w:pPr>
        <w:jc w:val="both"/>
      </w:pPr>
      <w:r w:rsidRPr="00EF58A8">
        <w:t>In the Victorian gas market, gas is priced five times daily at 6 am, 10 am, 2 pm, 6 pm and 10 pm. The imbalance weighted price on a gas day tends towards the 6 am price</w:t>
      </w:r>
      <w:r w:rsidRPr="00EF58A8">
        <w:rPr>
          <w:rStyle w:val="FootnoteReference"/>
        </w:rPr>
        <w:footnoteReference w:id="5"/>
      </w:r>
      <w:r w:rsidRPr="00EF58A8">
        <w:t xml:space="preserve"> which is the schedule at which most gas is traded. </w:t>
      </w:r>
    </w:p>
    <w:p w:rsidR="003171C6" w:rsidRDefault="00EC2CB1" w:rsidP="00551D6B">
      <w:pPr>
        <w:jc w:val="both"/>
      </w:pPr>
      <w:r w:rsidRPr="00EF58A8">
        <w:t>The main drivers</w:t>
      </w:r>
      <w:r w:rsidRPr="00EF58A8">
        <w:rPr>
          <w:rStyle w:val="FootnoteReference"/>
        </w:rPr>
        <w:footnoteReference w:id="6"/>
      </w:r>
      <w:r w:rsidRPr="00EF58A8">
        <w:t xml:space="preserve"> of price are demand forecasts and bids to inject or withdraw gas from the market.</w:t>
      </w:r>
      <w:r w:rsidRPr="00EF58A8">
        <w:rPr>
          <w:rStyle w:val="FootnoteReference"/>
        </w:rPr>
        <w:t xml:space="preserve"> </w:t>
      </w:r>
      <w:r w:rsidRPr="00EF58A8">
        <w:t>Figures 1.1 to 1.4 below show the daily prices, demand forecasts</w:t>
      </w:r>
      <w:r w:rsidRPr="00EF58A8">
        <w:rPr>
          <w:rStyle w:val="FootnoteReference"/>
        </w:rPr>
        <w:footnoteReference w:id="7"/>
      </w:r>
      <w:r w:rsidRPr="00EF58A8">
        <w:t>, and injection/withdrawal bids for each of the five pricing schedules. Figure 1.5 provides information on which system injection points were used to deliver gas, in turn indicating the location and relative quantity of gas injection bids cleared through the market.</w:t>
      </w:r>
    </w:p>
    <w:p w:rsidR="00A16975" w:rsidRDefault="00A16975" w:rsidP="00551D6B">
      <w:pPr>
        <w:jc w:val="both"/>
      </w:pPr>
      <w:r w:rsidRPr="00552F68">
        <w:t>Ancillary payments for gas injected above the market price are shown above in figure 3.</w:t>
      </w:r>
    </w:p>
    <w:p w:rsidR="003171C6" w:rsidRDefault="00EC2CB1" w:rsidP="003171C6">
      <w:pPr>
        <w:pStyle w:val="Caption"/>
        <w:numPr>
          <w:ilvl w:val="0"/>
          <w:numId w:val="29"/>
        </w:numPr>
        <w:ind w:left="709" w:hanging="709"/>
        <w:rPr>
          <w:color w:val="2272A3"/>
          <w:szCs w:val="24"/>
        </w:rPr>
      </w:pPr>
      <w:r w:rsidRPr="00DD0358">
        <w:rPr>
          <w:color w:val="2272A3"/>
        </w:rPr>
        <w:t>Prices by schedule</w:t>
      </w:r>
      <w:r w:rsidR="00817724">
        <w:rPr>
          <w:color w:val="2272A3"/>
        </w:rPr>
        <w:t xml:space="preserve"> </w:t>
      </w:r>
      <w:r w:rsidR="00817724" w:rsidRPr="00552F68">
        <w:rPr>
          <w:color w:val="2272A3"/>
          <w:szCs w:val="24"/>
        </w:rPr>
        <w:t>($/GJ)</w:t>
      </w:r>
    </w:p>
    <w:p w:rsidR="003171C6" w:rsidRPr="004C571B" w:rsidRDefault="003260D8" w:rsidP="003171C6">
      <w:r w:rsidRPr="001570F4">
        <w:rPr>
          <w:noProof/>
          <w:lang w:eastAsia="en-AU"/>
        </w:rPr>
        <w:drawing>
          <wp:inline distT="0" distB="0" distL="0" distR="0" wp14:anchorId="1870AB7D" wp14:editId="356F9C33">
            <wp:extent cx="5731510" cy="1649730"/>
            <wp:effectExtent l="0" t="0" r="2540" b="7620"/>
            <wp:docPr id="13" name="Picture 13" descr="Figure 1.1 shows the five Victorian schedule prices for each day this week. The marker indicates the daily imbalance weighted average price for each day. For a more detailed description of this figure, please refer to the user guide." title="Prices by sche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1649730"/>
                    </a:xfrm>
                    <a:prstGeom prst="rect">
                      <a:avLst/>
                    </a:prstGeom>
                    <a:noFill/>
                    <a:ln>
                      <a:noFill/>
                    </a:ln>
                  </pic:spPr>
                </pic:pic>
              </a:graphicData>
            </a:graphic>
          </wp:inline>
        </w:drawing>
      </w:r>
    </w:p>
    <w:p w:rsidR="003171C6" w:rsidRPr="001521CB" w:rsidRDefault="00EC2CB1" w:rsidP="003171C6">
      <w:pPr>
        <w:pStyle w:val="Caption"/>
        <w:numPr>
          <w:ilvl w:val="0"/>
          <w:numId w:val="29"/>
        </w:numPr>
        <w:ind w:left="709" w:hanging="709"/>
      </w:pPr>
      <w:r w:rsidRPr="00DD0358">
        <w:rPr>
          <w:color w:val="2272A3"/>
        </w:rPr>
        <w:t>Demand forecasts</w:t>
      </w:r>
      <w:r w:rsidR="00817724">
        <w:rPr>
          <w:color w:val="2272A3"/>
        </w:rPr>
        <w:t xml:space="preserve"> </w:t>
      </w:r>
      <w:r w:rsidR="00817724" w:rsidRPr="00552F68">
        <w:rPr>
          <w:color w:val="2272A3"/>
          <w:szCs w:val="24"/>
        </w:rPr>
        <w:t>(TJ)</w:t>
      </w:r>
    </w:p>
    <w:p w:rsidR="003171C6" w:rsidRDefault="003260D8" w:rsidP="003171C6">
      <w:r w:rsidRPr="001570F4">
        <w:rPr>
          <w:noProof/>
          <w:lang w:eastAsia="en-AU"/>
        </w:rPr>
        <w:drawing>
          <wp:inline distT="0" distB="0" distL="0" distR="0" wp14:anchorId="0EAA5A72" wp14:editId="385C87EE">
            <wp:extent cx="5731510" cy="2131695"/>
            <wp:effectExtent l="0" t="0" r="2540" b="1905"/>
            <wp:docPr id="14" name="Picture 14" descr="Figure 1.2 shows the demand forecast used to calculate the five daily schedule prices for this week. For a more detailed description of this figure, please refer to the user guide." title="Demand foreca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2131695"/>
                    </a:xfrm>
                    <a:prstGeom prst="rect">
                      <a:avLst/>
                    </a:prstGeom>
                    <a:noFill/>
                    <a:ln>
                      <a:noFill/>
                    </a:ln>
                  </pic:spPr>
                </pic:pic>
              </a:graphicData>
            </a:graphic>
          </wp:inline>
        </w:drawing>
      </w:r>
    </w:p>
    <w:p w:rsidR="00EC2CB1" w:rsidRPr="001521CB" w:rsidRDefault="00EC2CB1" w:rsidP="00EC2CB1">
      <w:pPr>
        <w:pStyle w:val="Caption"/>
        <w:numPr>
          <w:ilvl w:val="0"/>
          <w:numId w:val="29"/>
        </w:numPr>
        <w:ind w:left="709" w:hanging="709"/>
      </w:pPr>
      <w:r w:rsidRPr="00DD0358">
        <w:rPr>
          <w:color w:val="2272A3"/>
        </w:rPr>
        <w:lastRenderedPageBreak/>
        <w:t>Injection bids by price bands</w:t>
      </w:r>
      <w:r w:rsidR="00817724">
        <w:rPr>
          <w:color w:val="2272A3"/>
        </w:rPr>
        <w:t xml:space="preserve"> </w:t>
      </w:r>
      <w:r w:rsidR="00817724">
        <w:rPr>
          <w:color w:val="2272A3"/>
          <w:szCs w:val="24"/>
        </w:rPr>
        <w:t>(</w:t>
      </w:r>
      <w:r w:rsidR="00817724" w:rsidRPr="00552F68">
        <w:rPr>
          <w:color w:val="2272A3"/>
          <w:szCs w:val="24"/>
        </w:rPr>
        <w:t>TJ)</w:t>
      </w:r>
    </w:p>
    <w:p w:rsidR="00EC2CB1" w:rsidRDefault="003260D8" w:rsidP="003171C6">
      <w:r w:rsidRPr="001570F4">
        <w:rPr>
          <w:noProof/>
          <w:lang w:eastAsia="en-AU"/>
        </w:rPr>
        <w:drawing>
          <wp:inline distT="0" distB="0" distL="0" distR="0" wp14:anchorId="48F2BB1B" wp14:editId="2300C883">
            <wp:extent cx="5731510" cy="2486660"/>
            <wp:effectExtent l="0" t="0" r="2540" b="8890"/>
            <wp:docPr id="15" name="Picture 15" descr="Figure 1.3 shows the injection bids within certain price bands for each trading interval in Victoria this week. For a more detailed description of this figure, please refer to the user guide." title="Injection bids by price b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2486660"/>
                    </a:xfrm>
                    <a:prstGeom prst="rect">
                      <a:avLst/>
                    </a:prstGeom>
                    <a:noFill/>
                    <a:ln>
                      <a:noFill/>
                    </a:ln>
                  </pic:spPr>
                </pic:pic>
              </a:graphicData>
            </a:graphic>
          </wp:inline>
        </w:drawing>
      </w:r>
    </w:p>
    <w:p w:rsidR="00EC2CB1" w:rsidRPr="001521CB" w:rsidRDefault="00EC2CB1" w:rsidP="00EC2CB1">
      <w:pPr>
        <w:pStyle w:val="Caption"/>
        <w:numPr>
          <w:ilvl w:val="0"/>
          <w:numId w:val="29"/>
        </w:numPr>
        <w:ind w:left="709" w:hanging="709"/>
      </w:pPr>
      <w:r w:rsidRPr="00DD0358">
        <w:rPr>
          <w:color w:val="2272A3"/>
        </w:rPr>
        <w:t>Withdrawal bids by price bands</w:t>
      </w:r>
      <w:r w:rsidR="00817724">
        <w:rPr>
          <w:color w:val="2272A3"/>
        </w:rPr>
        <w:t xml:space="preserve"> </w:t>
      </w:r>
      <w:r w:rsidR="00817724" w:rsidRPr="00552F68">
        <w:rPr>
          <w:color w:val="2272A3"/>
          <w:szCs w:val="24"/>
        </w:rPr>
        <w:t>(TJ)</w:t>
      </w:r>
    </w:p>
    <w:p w:rsidR="00EC2CB1" w:rsidRDefault="003260D8" w:rsidP="003171C6">
      <w:r w:rsidRPr="001570F4">
        <w:rPr>
          <w:noProof/>
          <w:lang w:eastAsia="en-AU"/>
        </w:rPr>
        <w:drawing>
          <wp:inline distT="0" distB="0" distL="0" distR="0" wp14:anchorId="4F7883AB" wp14:editId="5D601C0C">
            <wp:extent cx="5731510" cy="1958340"/>
            <wp:effectExtent l="0" t="0" r="2540" b="3810"/>
            <wp:docPr id="16" name="Picture 16" descr="Figure 1.4 shows the withdrawal bids within certain price bands for each trading interval in Victoria this week. For a more detailed description of this figure, please refer to the user guide." title="Withdrawal bids by price b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1958340"/>
                    </a:xfrm>
                    <a:prstGeom prst="rect">
                      <a:avLst/>
                    </a:prstGeom>
                    <a:noFill/>
                    <a:ln>
                      <a:noFill/>
                    </a:ln>
                  </pic:spPr>
                </pic:pic>
              </a:graphicData>
            </a:graphic>
          </wp:inline>
        </w:drawing>
      </w:r>
    </w:p>
    <w:p w:rsidR="00EC2CB1" w:rsidRPr="001521CB" w:rsidRDefault="00EC2CB1" w:rsidP="00EC2CB1">
      <w:pPr>
        <w:pStyle w:val="Caption"/>
        <w:numPr>
          <w:ilvl w:val="0"/>
          <w:numId w:val="29"/>
        </w:numPr>
        <w:ind w:left="709" w:hanging="709"/>
      </w:pPr>
      <w:r w:rsidRPr="00DD0358">
        <w:rPr>
          <w:color w:val="2272A3"/>
        </w:rPr>
        <w:t>Metered Injections by System Injection Point</w:t>
      </w:r>
      <w:r w:rsidR="00817724">
        <w:rPr>
          <w:color w:val="2272A3"/>
        </w:rPr>
        <w:t xml:space="preserve"> </w:t>
      </w:r>
      <w:r w:rsidR="00817724" w:rsidRPr="00552F68">
        <w:rPr>
          <w:color w:val="2272A3"/>
          <w:szCs w:val="24"/>
        </w:rPr>
        <w:t>(TJ)</w:t>
      </w:r>
    </w:p>
    <w:p w:rsidR="00EC2CB1" w:rsidRDefault="00861429" w:rsidP="003171C6">
      <w:r w:rsidRPr="00861429">
        <w:rPr>
          <w:noProof/>
          <w:lang w:eastAsia="en-AU"/>
        </w:rPr>
        <w:drawing>
          <wp:inline distT="0" distB="0" distL="0" distR="0" wp14:anchorId="705982F4" wp14:editId="3501C1C7">
            <wp:extent cx="5731510" cy="2142691"/>
            <wp:effectExtent l="0" t="0" r="2540" b="0"/>
            <wp:docPr id="5" name="Picture 5" descr="Figure 1.5 shows the metered injections sorted by facility for each 4 hour interval in Victoria this week. For a more detailed description of this figure, please refer to the user guide." title="Metered inj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2142691"/>
                    </a:xfrm>
                    <a:prstGeom prst="rect">
                      <a:avLst/>
                    </a:prstGeom>
                    <a:noFill/>
                    <a:ln>
                      <a:noFill/>
                    </a:ln>
                  </pic:spPr>
                </pic:pic>
              </a:graphicData>
            </a:graphic>
          </wp:inline>
        </w:drawing>
      </w:r>
    </w:p>
    <w:p w:rsidR="00EC2CB1" w:rsidRPr="00EF58A8" w:rsidRDefault="00EC2CB1" w:rsidP="00EC2CB1">
      <w:pPr>
        <w:ind w:left="720"/>
        <w:rPr>
          <w:sz w:val="18"/>
          <w:szCs w:val="18"/>
        </w:rPr>
      </w:pPr>
      <w:r w:rsidRPr="00EF58A8">
        <w:rPr>
          <w:sz w:val="18"/>
          <w:szCs w:val="18"/>
        </w:rPr>
        <w:t>Note that in figure 1.5, the last 8</w:t>
      </w:r>
      <w:r w:rsidRPr="00EF58A8">
        <w:rPr>
          <w:sz w:val="18"/>
          <w:szCs w:val="18"/>
        </w:rPr>
        <w:noBreakHyphen/>
        <w:t>hour schedule from 10 pm has been separated into two 4</w:t>
      </w:r>
      <w:r w:rsidRPr="00EF58A8">
        <w:rPr>
          <w:sz w:val="18"/>
          <w:szCs w:val="18"/>
        </w:rPr>
        <w:noBreakHyphen/>
        <w:t>hour blocks to provide a consistent comparison with earlier scheduled injection volumes.</w:t>
      </w:r>
    </w:p>
    <w:p w:rsidR="00EC2CB1" w:rsidRPr="003171C6" w:rsidRDefault="00EC2CB1" w:rsidP="003171C6"/>
    <w:p w:rsidR="00EC2CB1" w:rsidRDefault="00EC2CB1">
      <w:pPr>
        <w:spacing w:line="240" w:lineRule="auto"/>
        <w:rPr>
          <w:rFonts w:eastAsia="Times New Roman" w:cs="Times New Roman"/>
          <w:b/>
          <w:bCs/>
          <w:color w:val="2272A3" w:themeColor="accent4" w:themeShade="80"/>
          <w:sz w:val="32"/>
          <w:szCs w:val="20"/>
        </w:rPr>
      </w:pPr>
      <w:r>
        <w:rPr>
          <w:rFonts w:eastAsia="Times New Roman" w:cs="Times New Roman"/>
          <w:color w:val="2272A3" w:themeColor="accent4" w:themeShade="80"/>
          <w:sz w:val="32"/>
          <w:szCs w:val="20"/>
        </w:rPr>
        <w:br w:type="page"/>
      </w:r>
    </w:p>
    <w:p w:rsidR="003171C6" w:rsidRDefault="003171C6" w:rsidP="003171C6">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2</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Sydney STTM</w:t>
      </w:r>
    </w:p>
    <w:p w:rsidR="00EC2CB1" w:rsidRPr="00EF58A8" w:rsidRDefault="00EC2CB1" w:rsidP="00EC2CB1">
      <w:pPr>
        <w:jc w:val="both"/>
      </w:pPr>
      <w:r>
        <w:t xml:space="preserve">In each </w:t>
      </w:r>
      <w:r w:rsidRPr="00EF58A8">
        <w:t>STTM hub, a daily gas price is calculated before the gas day (the ex ante price) and after the gas day (the ex post price). The main drivers of these prices are participant demand forecasts, and offers to inject or bids to withdraw gas traded at the hub.</w:t>
      </w:r>
      <w:r w:rsidRPr="00EF58A8">
        <w:rPr>
          <w:rStyle w:val="FootnoteReference"/>
        </w:rPr>
        <w:footnoteReference w:id="8"/>
      </w:r>
      <w:r w:rsidRPr="00EF58A8">
        <w:t xml:space="preserve"> Divergences in ex ante and ex post prices for a gas day may occur due to differences in scheduled (forecast) and allocated (actual) quantities.</w:t>
      </w:r>
      <w:r>
        <w:t xml:space="preserve"> Pipeline acronyms are defined in the </w:t>
      </w:r>
      <w:hyperlink r:id="rId21" w:history="1">
        <w:r>
          <w:rPr>
            <w:rStyle w:val="Hyperlink"/>
          </w:rPr>
          <w:t>user guide</w:t>
        </w:r>
      </w:hyperlink>
      <w:r>
        <w:t>.</w:t>
      </w:r>
    </w:p>
    <w:p w:rsidR="00EC2CB1" w:rsidRPr="00EF58A8" w:rsidRDefault="00EC2CB1" w:rsidP="00EC2CB1">
      <w:pPr>
        <w:pStyle w:val="AERbodytext"/>
        <w:spacing w:line="240" w:lineRule="auto"/>
      </w:pPr>
      <w:r w:rsidRPr="00EF58A8">
        <w:t>Market Operator Service balancing gas (MOS) payments arise because the amount of gas nominated on pipelines for delivery on a gas day will either exceed or fall short, by some amount, of the amount of gas consumed in the hub. In such circumstances, MOS payments are made to participants for providing a service to park gas on a pipeline or to loan gas from a pipeline to the hub.</w:t>
      </w:r>
      <w:r w:rsidRPr="00EF58A8">
        <w:rPr>
          <w:rStyle w:val="FootnoteReference"/>
        </w:rPr>
        <w:footnoteReference w:id="9"/>
      </w:r>
      <w:r w:rsidRPr="00EF58A8">
        <w:t xml:space="preserve"> </w:t>
      </w:r>
    </w:p>
    <w:p w:rsidR="004C571B" w:rsidRDefault="00EC2CB1" w:rsidP="00551D6B">
      <w:pPr>
        <w:jc w:val="both"/>
      </w:pPr>
      <w:r w:rsidRPr="00EF58A8">
        <w:t>Figures 2.1 and 2.2 show daily prices, demand, offers and bids. Figures 2.3 and 2.4 show gas scheduled and allocated on pipelines to supply the hub, indicating</w:t>
      </w:r>
      <w:r w:rsidRPr="00442756">
        <w:t xml:space="preserve"> the location and relative quantity of gas offers across pipelines and also the amount of MOS allocated for each pipeline.</w:t>
      </w:r>
    </w:p>
    <w:p w:rsidR="004C571B" w:rsidRDefault="00EC2CB1" w:rsidP="004C571B">
      <w:pPr>
        <w:pStyle w:val="Caption"/>
        <w:numPr>
          <w:ilvl w:val="0"/>
          <w:numId w:val="30"/>
        </w:numPr>
        <w:ind w:left="709" w:hanging="709"/>
        <w:rPr>
          <w:color w:val="2272A3"/>
          <w:szCs w:val="24"/>
        </w:rPr>
      </w:pPr>
      <w:r w:rsidRPr="00362B9A">
        <w:rPr>
          <w:color w:val="2272A3"/>
          <w:szCs w:val="24"/>
        </w:rPr>
        <w:t>SYD STTM daily ex ante and ex post prices and quantities</w:t>
      </w:r>
    </w:p>
    <w:tbl>
      <w:tblPr>
        <w:tblStyle w:val="AERTable-Text"/>
        <w:tblW w:w="4994" w:type="pct"/>
        <w:tblLook w:val="04A0" w:firstRow="1" w:lastRow="0" w:firstColumn="1" w:lastColumn="0" w:noHBand="0" w:noVBand="1"/>
      </w:tblPr>
      <w:tblGrid>
        <w:gridCol w:w="2236"/>
        <w:gridCol w:w="1071"/>
        <w:gridCol w:w="938"/>
        <w:gridCol w:w="1087"/>
        <w:gridCol w:w="954"/>
        <w:gridCol w:w="942"/>
        <w:gridCol w:w="936"/>
        <w:gridCol w:w="1067"/>
      </w:tblGrid>
      <w:tr w:rsidR="00EC2CB1" w:rsidRPr="00405CDE" w:rsidTr="00A226E9">
        <w:trPr>
          <w:cnfStyle w:val="100000000000" w:firstRow="1" w:lastRow="0" w:firstColumn="0" w:lastColumn="0" w:oddVBand="0" w:evenVBand="0" w:oddHBand="0" w:evenHBand="0" w:firstRowFirstColumn="0" w:firstRowLastColumn="0" w:lastRowFirstColumn="0" w:lastRowLastColumn="0"/>
          <w:tblHeader/>
        </w:trPr>
        <w:tc>
          <w:tcPr>
            <w:tcW w:w="1211" w:type="pct"/>
            <w:tcBorders>
              <w:bottom w:val="nil"/>
            </w:tcBorders>
            <w:hideMark/>
          </w:tcPr>
          <w:p w:rsidR="00EC2CB1" w:rsidRPr="00DC24BF" w:rsidRDefault="00EC2CB1" w:rsidP="00EC2CB1">
            <w:pPr>
              <w:pStyle w:val="TableHeading"/>
              <w:spacing w:before="0" w:after="0"/>
              <w:jc w:val="center"/>
              <w:rPr>
                <w:rFonts w:cs="Arial"/>
                <w:sz w:val="20"/>
                <w:szCs w:val="20"/>
              </w:rPr>
            </w:pPr>
          </w:p>
        </w:tc>
        <w:tc>
          <w:tcPr>
            <w:tcW w:w="580"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Sun</w:t>
            </w:r>
          </w:p>
        </w:tc>
        <w:tc>
          <w:tcPr>
            <w:tcW w:w="50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Mon</w:t>
            </w:r>
          </w:p>
        </w:tc>
        <w:tc>
          <w:tcPr>
            <w:tcW w:w="589"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Tue</w:t>
            </w:r>
          </w:p>
        </w:tc>
        <w:tc>
          <w:tcPr>
            <w:tcW w:w="517"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Wed</w:t>
            </w:r>
          </w:p>
        </w:tc>
        <w:tc>
          <w:tcPr>
            <w:tcW w:w="510"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Thu</w:t>
            </w:r>
          </w:p>
        </w:tc>
        <w:tc>
          <w:tcPr>
            <w:tcW w:w="507"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Fri</w:t>
            </w:r>
          </w:p>
        </w:tc>
        <w:tc>
          <w:tcPr>
            <w:tcW w:w="578"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Sat</w:t>
            </w:r>
          </w:p>
        </w:tc>
      </w:tr>
      <w:tr w:rsidR="003260D8" w:rsidRPr="00405CDE" w:rsidTr="00A226E9">
        <w:trPr>
          <w:trHeight w:val="510"/>
        </w:trPr>
        <w:tc>
          <w:tcPr>
            <w:tcW w:w="1211" w:type="pct"/>
            <w:tcBorders>
              <w:top w:val="nil"/>
              <w:bottom w:val="nil"/>
            </w:tcBorders>
            <w:vAlign w:val="center"/>
          </w:tcPr>
          <w:p w:rsidR="003260D8" w:rsidRDefault="003260D8">
            <w:pPr>
              <w:rPr>
                <w:rFonts w:cs="Arial"/>
                <w:sz w:val="20"/>
                <w:szCs w:val="20"/>
              </w:rPr>
            </w:pPr>
            <w:r>
              <w:rPr>
                <w:rFonts w:cs="Arial"/>
                <w:sz w:val="20"/>
                <w:szCs w:val="20"/>
              </w:rPr>
              <w:t>Ex ante price ($/GJ)</w:t>
            </w:r>
          </w:p>
        </w:tc>
        <w:tc>
          <w:tcPr>
            <w:tcW w:w="580" w:type="pct"/>
            <w:tcBorders>
              <w:top w:val="nil"/>
              <w:bottom w:val="nil"/>
            </w:tcBorders>
            <w:vAlign w:val="center"/>
          </w:tcPr>
          <w:p w:rsidR="003260D8" w:rsidRDefault="003260D8">
            <w:pPr>
              <w:jc w:val="center"/>
              <w:rPr>
                <w:rFonts w:cs="Arial"/>
                <w:sz w:val="20"/>
                <w:szCs w:val="20"/>
              </w:rPr>
            </w:pPr>
            <w:r>
              <w:rPr>
                <w:rFonts w:cs="Arial"/>
                <w:sz w:val="20"/>
                <w:szCs w:val="20"/>
              </w:rPr>
              <w:t>9.51</w:t>
            </w:r>
          </w:p>
        </w:tc>
        <w:tc>
          <w:tcPr>
            <w:tcW w:w="508" w:type="pct"/>
            <w:tcBorders>
              <w:top w:val="nil"/>
              <w:bottom w:val="nil"/>
            </w:tcBorders>
            <w:vAlign w:val="center"/>
          </w:tcPr>
          <w:p w:rsidR="003260D8" w:rsidRDefault="003260D8">
            <w:pPr>
              <w:jc w:val="center"/>
              <w:rPr>
                <w:rFonts w:cs="Arial"/>
                <w:sz w:val="20"/>
                <w:szCs w:val="20"/>
              </w:rPr>
            </w:pPr>
            <w:r>
              <w:rPr>
                <w:rFonts w:cs="Arial"/>
                <w:sz w:val="20"/>
                <w:szCs w:val="20"/>
              </w:rPr>
              <w:t>10.74</w:t>
            </w:r>
          </w:p>
        </w:tc>
        <w:tc>
          <w:tcPr>
            <w:tcW w:w="589" w:type="pct"/>
            <w:tcBorders>
              <w:top w:val="nil"/>
              <w:bottom w:val="nil"/>
            </w:tcBorders>
            <w:vAlign w:val="center"/>
          </w:tcPr>
          <w:p w:rsidR="003260D8" w:rsidRDefault="003260D8">
            <w:pPr>
              <w:jc w:val="center"/>
              <w:rPr>
                <w:rFonts w:cs="Arial"/>
                <w:sz w:val="20"/>
                <w:szCs w:val="20"/>
              </w:rPr>
            </w:pPr>
            <w:r>
              <w:rPr>
                <w:rFonts w:cs="Arial"/>
                <w:sz w:val="20"/>
                <w:szCs w:val="20"/>
              </w:rPr>
              <w:t>11.00</w:t>
            </w:r>
          </w:p>
        </w:tc>
        <w:tc>
          <w:tcPr>
            <w:tcW w:w="517" w:type="pct"/>
            <w:tcBorders>
              <w:top w:val="nil"/>
              <w:bottom w:val="nil"/>
            </w:tcBorders>
            <w:vAlign w:val="center"/>
          </w:tcPr>
          <w:p w:rsidR="003260D8" w:rsidRDefault="003260D8">
            <w:pPr>
              <w:jc w:val="center"/>
              <w:rPr>
                <w:rFonts w:cs="Arial"/>
                <w:sz w:val="20"/>
                <w:szCs w:val="20"/>
              </w:rPr>
            </w:pPr>
            <w:r>
              <w:rPr>
                <w:rFonts w:cs="Arial"/>
                <w:sz w:val="20"/>
                <w:szCs w:val="20"/>
              </w:rPr>
              <w:t>11.21</w:t>
            </w:r>
          </w:p>
        </w:tc>
        <w:tc>
          <w:tcPr>
            <w:tcW w:w="510" w:type="pct"/>
            <w:tcBorders>
              <w:top w:val="nil"/>
              <w:bottom w:val="nil"/>
            </w:tcBorders>
            <w:vAlign w:val="center"/>
          </w:tcPr>
          <w:p w:rsidR="003260D8" w:rsidRDefault="003260D8">
            <w:pPr>
              <w:jc w:val="center"/>
              <w:rPr>
                <w:rFonts w:cs="Arial"/>
                <w:sz w:val="20"/>
                <w:szCs w:val="20"/>
              </w:rPr>
            </w:pPr>
            <w:r>
              <w:rPr>
                <w:rFonts w:cs="Arial"/>
                <w:sz w:val="20"/>
                <w:szCs w:val="20"/>
              </w:rPr>
              <w:t>11.49</w:t>
            </w:r>
          </w:p>
        </w:tc>
        <w:tc>
          <w:tcPr>
            <w:tcW w:w="507" w:type="pct"/>
            <w:tcBorders>
              <w:top w:val="nil"/>
              <w:bottom w:val="nil"/>
            </w:tcBorders>
            <w:vAlign w:val="center"/>
          </w:tcPr>
          <w:p w:rsidR="003260D8" w:rsidRDefault="003260D8">
            <w:pPr>
              <w:jc w:val="center"/>
              <w:rPr>
                <w:rFonts w:cs="Arial"/>
                <w:sz w:val="20"/>
                <w:szCs w:val="20"/>
              </w:rPr>
            </w:pPr>
            <w:r>
              <w:rPr>
                <w:rFonts w:cs="Arial"/>
                <w:sz w:val="20"/>
                <w:szCs w:val="20"/>
              </w:rPr>
              <w:t>10.50</w:t>
            </w:r>
          </w:p>
        </w:tc>
        <w:tc>
          <w:tcPr>
            <w:tcW w:w="578" w:type="pct"/>
            <w:tcBorders>
              <w:top w:val="nil"/>
              <w:bottom w:val="nil"/>
            </w:tcBorders>
            <w:vAlign w:val="center"/>
          </w:tcPr>
          <w:p w:rsidR="003260D8" w:rsidRDefault="003260D8">
            <w:pPr>
              <w:jc w:val="center"/>
              <w:rPr>
                <w:rFonts w:cs="Arial"/>
                <w:sz w:val="20"/>
                <w:szCs w:val="20"/>
              </w:rPr>
            </w:pPr>
            <w:r>
              <w:rPr>
                <w:rFonts w:cs="Arial"/>
                <w:sz w:val="20"/>
                <w:szCs w:val="20"/>
              </w:rPr>
              <w:t>11.19</w:t>
            </w:r>
          </w:p>
        </w:tc>
      </w:tr>
      <w:tr w:rsidR="003260D8"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211" w:type="pct"/>
            <w:tcBorders>
              <w:top w:val="nil"/>
              <w:bottom w:val="nil"/>
            </w:tcBorders>
            <w:vAlign w:val="center"/>
          </w:tcPr>
          <w:p w:rsidR="003260D8" w:rsidRDefault="003260D8">
            <w:pPr>
              <w:rPr>
                <w:rFonts w:cs="Arial"/>
                <w:szCs w:val="20"/>
              </w:rPr>
            </w:pPr>
            <w:r>
              <w:rPr>
                <w:rFonts w:cs="Arial"/>
                <w:szCs w:val="20"/>
              </w:rPr>
              <w:t>Ex ante quantity (TJ)</w:t>
            </w:r>
          </w:p>
        </w:tc>
        <w:tc>
          <w:tcPr>
            <w:tcW w:w="580" w:type="pct"/>
            <w:tcBorders>
              <w:top w:val="nil"/>
              <w:bottom w:val="nil"/>
            </w:tcBorders>
            <w:vAlign w:val="center"/>
          </w:tcPr>
          <w:p w:rsidR="003260D8" w:rsidRDefault="003260D8">
            <w:pPr>
              <w:jc w:val="center"/>
              <w:rPr>
                <w:rFonts w:cs="Arial"/>
                <w:szCs w:val="20"/>
              </w:rPr>
            </w:pPr>
            <w:r>
              <w:rPr>
                <w:rFonts w:cs="Arial"/>
                <w:szCs w:val="20"/>
              </w:rPr>
              <w:t>229</w:t>
            </w:r>
          </w:p>
        </w:tc>
        <w:tc>
          <w:tcPr>
            <w:tcW w:w="508" w:type="pct"/>
            <w:tcBorders>
              <w:top w:val="nil"/>
              <w:bottom w:val="nil"/>
            </w:tcBorders>
            <w:vAlign w:val="center"/>
          </w:tcPr>
          <w:p w:rsidR="003260D8" w:rsidRDefault="003260D8">
            <w:pPr>
              <w:jc w:val="center"/>
              <w:rPr>
                <w:rFonts w:cs="Arial"/>
                <w:szCs w:val="20"/>
              </w:rPr>
            </w:pPr>
            <w:r>
              <w:rPr>
                <w:rFonts w:cs="Arial"/>
                <w:szCs w:val="20"/>
              </w:rPr>
              <w:t>276</w:t>
            </w:r>
          </w:p>
        </w:tc>
        <w:tc>
          <w:tcPr>
            <w:tcW w:w="589" w:type="pct"/>
            <w:tcBorders>
              <w:top w:val="nil"/>
              <w:bottom w:val="nil"/>
            </w:tcBorders>
            <w:vAlign w:val="center"/>
          </w:tcPr>
          <w:p w:rsidR="003260D8" w:rsidRDefault="003260D8">
            <w:pPr>
              <w:jc w:val="center"/>
              <w:rPr>
                <w:rFonts w:cs="Arial"/>
                <w:szCs w:val="20"/>
              </w:rPr>
            </w:pPr>
            <w:r>
              <w:rPr>
                <w:rFonts w:cs="Arial"/>
                <w:szCs w:val="20"/>
              </w:rPr>
              <w:t>287</w:t>
            </w:r>
          </w:p>
        </w:tc>
        <w:tc>
          <w:tcPr>
            <w:tcW w:w="517" w:type="pct"/>
            <w:tcBorders>
              <w:top w:val="nil"/>
              <w:bottom w:val="nil"/>
            </w:tcBorders>
            <w:vAlign w:val="center"/>
          </w:tcPr>
          <w:p w:rsidR="003260D8" w:rsidRDefault="003260D8">
            <w:pPr>
              <w:jc w:val="center"/>
              <w:rPr>
                <w:rFonts w:cs="Arial"/>
                <w:szCs w:val="20"/>
              </w:rPr>
            </w:pPr>
            <w:r>
              <w:rPr>
                <w:rFonts w:cs="Arial"/>
                <w:szCs w:val="20"/>
              </w:rPr>
              <w:t>295</w:t>
            </w:r>
          </w:p>
        </w:tc>
        <w:tc>
          <w:tcPr>
            <w:tcW w:w="510" w:type="pct"/>
            <w:tcBorders>
              <w:top w:val="nil"/>
              <w:bottom w:val="nil"/>
            </w:tcBorders>
            <w:vAlign w:val="center"/>
          </w:tcPr>
          <w:p w:rsidR="003260D8" w:rsidRDefault="003260D8">
            <w:pPr>
              <w:jc w:val="center"/>
              <w:rPr>
                <w:rFonts w:cs="Arial"/>
                <w:szCs w:val="20"/>
              </w:rPr>
            </w:pPr>
            <w:r>
              <w:rPr>
                <w:rFonts w:cs="Arial"/>
                <w:szCs w:val="20"/>
              </w:rPr>
              <w:t>281</w:t>
            </w:r>
          </w:p>
        </w:tc>
        <w:tc>
          <w:tcPr>
            <w:tcW w:w="507" w:type="pct"/>
            <w:tcBorders>
              <w:top w:val="nil"/>
              <w:bottom w:val="nil"/>
            </w:tcBorders>
            <w:vAlign w:val="center"/>
          </w:tcPr>
          <w:p w:rsidR="003260D8" w:rsidRDefault="003260D8">
            <w:pPr>
              <w:jc w:val="center"/>
              <w:rPr>
                <w:rFonts w:cs="Arial"/>
                <w:szCs w:val="20"/>
              </w:rPr>
            </w:pPr>
            <w:r>
              <w:rPr>
                <w:rFonts w:cs="Arial"/>
                <w:szCs w:val="20"/>
              </w:rPr>
              <w:t>271</w:t>
            </w:r>
          </w:p>
        </w:tc>
        <w:tc>
          <w:tcPr>
            <w:tcW w:w="578" w:type="pct"/>
            <w:tcBorders>
              <w:top w:val="nil"/>
              <w:bottom w:val="nil"/>
            </w:tcBorders>
            <w:vAlign w:val="center"/>
          </w:tcPr>
          <w:p w:rsidR="003260D8" w:rsidRDefault="003260D8">
            <w:pPr>
              <w:jc w:val="center"/>
              <w:rPr>
                <w:rFonts w:cs="Arial"/>
                <w:szCs w:val="20"/>
              </w:rPr>
            </w:pPr>
            <w:r>
              <w:rPr>
                <w:rFonts w:cs="Arial"/>
                <w:szCs w:val="20"/>
              </w:rPr>
              <w:t>235</w:t>
            </w:r>
          </w:p>
        </w:tc>
      </w:tr>
      <w:tr w:rsidR="003260D8" w:rsidRPr="00405CDE" w:rsidTr="00A226E9">
        <w:trPr>
          <w:trHeight w:val="510"/>
        </w:trPr>
        <w:tc>
          <w:tcPr>
            <w:tcW w:w="1211" w:type="pct"/>
            <w:tcBorders>
              <w:top w:val="nil"/>
              <w:bottom w:val="nil"/>
            </w:tcBorders>
            <w:vAlign w:val="center"/>
          </w:tcPr>
          <w:p w:rsidR="003260D8" w:rsidRDefault="003260D8">
            <w:pPr>
              <w:rPr>
                <w:rFonts w:cs="Arial"/>
                <w:sz w:val="20"/>
                <w:szCs w:val="20"/>
              </w:rPr>
            </w:pPr>
            <w:r>
              <w:rPr>
                <w:rFonts w:cs="Arial"/>
                <w:sz w:val="20"/>
                <w:szCs w:val="20"/>
              </w:rPr>
              <w:t>Ex post price ($/GJ)</w:t>
            </w:r>
          </w:p>
        </w:tc>
        <w:tc>
          <w:tcPr>
            <w:tcW w:w="580" w:type="pct"/>
            <w:tcBorders>
              <w:top w:val="nil"/>
              <w:bottom w:val="nil"/>
            </w:tcBorders>
            <w:vAlign w:val="center"/>
          </w:tcPr>
          <w:p w:rsidR="003260D8" w:rsidRDefault="003260D8">
            <w:pPr>
              <w:jc w:val="center"/>
              <w:rPr>
                <w:rFonts w:cs="Arial"/>
                <w:sz w:val="20"/>
                <w:szCs w:val="20"/>
              </w:rPr>
            </w:pPr>
            <w:r>
              <w:rPr>
                <w:rFonts w:cs="Arial"/>
                <w:sz w:val="20"/>
                <w:szCs w:val="20"/>
              </w:rPr>
              <w:t>9.51</w:t>
            </w:r>
          </w:p>
        </w:tc>
        <w:tc>
          <w:tcPr>
            <w:tcW w:w="508" w:type="pct"/>
            <w:tcBorders>
              <w:top w:val="nil"/>
              <w:bottom w:val="nil"/>
            </w:tcBorders>
            <w:vAlign w:val="center"/>
          </w:tcPr>
          <w:p w:rsidR="003260D8" w:rsidRDefault="003260D8">
            <w:pPr>
              <w:jc w:val="center"/>
              <w:rPr>
                <w:rFonts w:cs="Arial"/>
                <w:sz w:val="20"/>
                <w:szCs w:val="20"/>
              </w:rPr>
            </w:pPr>
            <w:r>
              <w:rPr>
                <w:rFonts w:cs="Arial"/>
                <w:sz w:val="20"/>
                <w:szCs w:val="20"/>
              </w:rPr>
              <w:t>9.51</w:t>
            </w:r>
          </w:p>
        </w:tc>
        <w:tc>
          <w:tcPr>
            <w:tcW w:w="589" w:type="pct"/>
            <w:tcBorders>
              <w:top w:val="nil"/>
              <w:bottom w:val="nil"/>
            </w:tcBorders>
            <w:vAlign w:val="center"/>
          </w:tcPr>
          <w:p w:rsidR="003260D8" w:rsidRDefault="003260D8">
            <w:pPr>
              <w:jc w:val="center"/>
              <w:rPr>
                <w:rFonts w:cs="Arial"/>
                <w:sz w:val="20"/>
                <w:szCs w:val="20"/>
              </w:rPr>
            </w:pPr>
            <w:r>
              <w:rPr>
                <w:rFonts w:cs="Arial"/>
                <w:sz w:val="20"/>
                <w:szCs w:val="20"/>
              </w:rPr>
              <w:t>11.00</w:t>
            </w:r>
          </w:p>
        </w:tc>
        <w:tc>
          <w:tcPr>
            <w:tcW w:w="517" w:type="pct"/>
            <w:tcBorders>
              <w:top w:val="nil"/>
              <w:bottom w:val="nil"/>
            </w:tcBorders>
            <w:vAlign w:val="center"/>
          </w:tcPr>
          <w:p w:rsidR="003260D8" w:rsidRDefault="003260D8">
            <w:pPr>
              <w:jc w:val="center"/>
              <w:rPr>
                <w:rFonts w:cs="Arial"/>
                <w:sz w:val="20"/>
                <w:szCs w:val="20"/>
              </w:rPr>
            </w:pPr>
            <w:r>
              <w:rPr>
                <w:rFonts w:cs="Arial"/>
                <w:sz w:val="20"/>
                <w:szCs w:val="20"/>
              </w:rPr>
              <w:t>10.51</w:t>
            </w:r>
          </w:p>
        </w:tc>
        <w:tc>
          <w:tcPr>
            <w:tcW w:w="510" w:type="pct"/>
            <w:tcBorders>
              <w:top w:val="nil"/>
              <w:bottom w:val="nil"/>
            </w:tcBorders>
            <w:vAlign w:val="center"/>
          </w:tcPr>
          <w:p w:rsidR="003260D8" w:rsidRDefault="003260D8">
            <w:pPr>
              <w:jc w:val="center"/>
              <w:rPr>
                <w:rFonts w:cs="Arial"/>
                <w:sz w:val="20"/>
                <w:szCs w:val="20"/>
              </w:rPr>
            </w:pPr>
            <w:r>
              <w:rPr>
                <w:rFonts w:cs="Arial"/>
                <w:sz w:val="20"/>
                <w:szCs w:val="20"/>
              </w:rPr>
              <w:t>10.99</w:t>
            </w:r>
          </w:p>
        </w:tc>
        <w:tc>
          <w:tcPr>
            <w:tcW w:w="507" w:type="pct"/>
            <w:tcBorders>
              <w:top w:val="nil"/>
              <w:bottom w:val="nil"/>
            </w:tcBorders>
            <w:vAlign w:val="center"/>
          </w:tcPr>
          <w:p w:rsidR="003260D8" w:rsidRDefault="003260D8">
            <w:pPr>
              <w:jc w:val="center"/>
              <w:rPr>
                <w:rFonts w:cs="Arial"/>
                <w:sz w:val="20"/>
                <w:szCs w:val="20"/>
              </w:rPr>
            </w:pPr>
            <w:r>
              <w:rPr>
                <w:rFonts w:cs="Arial"/>
                <w:sz w:val="20"/>
                <w:szCs w:val="20"/>
              </w:rPr>
              <w:t>10.50</w:t>
            </w:r>
          </w:p>
        </w:tc>
        <w:tc>
          <w:tcPr>
            <w:tcW w:w="578" w:type="pct"/>
            <w:tcBorders>
              <w:top w:val="nil"/>
              <w:bottom w:val="nil"/>
            </w:tcBorders>
            <w:vAlign w:val="center"/>
          </w:tcPr>
          <w:p w:rsidR="003260D8" w:rsidRDefault="003260D8">
            <w:pPr>
              <w:jc w:val="center"/>
              <w:rPr>
                <w:rFonts w:cs="Arial"/>
                <w:sz w:val="20"/>
                <w:szCs w:val="20"/>
              </w:rPr>
            </w:pPr>
            <w:r>
              <w:rPr>
                <w:rFonts w:cs="Arial"/>
                <w:sz w:val="20"/>
                <w:szCs w:val="20"/>
              </w:rPr>
              <w:t>10.50</w:t>
            </w:r>
          </w:p>
        </w:tc>
      </w:tr>
      <w:tr w:rsidR="003260D8"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211" w:type="pct"/>
            <w:tcBorders>
              <w:top w:val="nil"/>
              <w:bottom w:val="single" w:sz="4" w:space="0" w:color="auto"/>
            </w:tcBorders>
            <w:vAlign w:val="center"/>
          </w:tcPr>
          <w:p w:rsidR="003260D8" w:rsidRDefault="003260D8">
            <w:pPr>
              <w:rPr>
                <w:rFonts w:cs="Arial"/>
                <w:szCs w:val="20"/>
              </w:rPr>
            </w:pPr>
            <w:r>
              <w:rPr>
                <w:rFonts w:cs="Arial"/>
                <w:szCs w:val="20"/>
              </w:rPr>
              <w:t>Ex post quantity (TJ)</w:t>
            </w:r>
          </w:p>
        </w:tc>
        <w:tc>
          <w:tcPr>
            <w:tcW w:w="580" w:type="pct"/>
            <w:tcBorders>
              <w:top w:val="nil"/>
              <w:bottom w:val="single" w:sz="4" w:space="0" w:color="auto"/>
            </w:tcBorders>
            <w:vAlign w:val="center"/>
          </w:tcPr>
          <w:p w:rsidR="003260D8" w:rsidRDefault="003260D8">
            <w:pPr>
              <w:jc w:val="center"/>
              <w:rPr>
                <w:rFonts w:cs="Arial"/>
                <w:szCs w:val="20"/>
              </w:rPr>
            </w:pPr>
            <w:r>
              <w:rPr>
                <w:rFonts w:cs="Arial"/>
                <w:szCs w:val="20"/>
              </w:rPr>
              <w:t>221</w:t>
            </w:r>
          </w:p>
        </w:tc>
        <w:tc>
          <w:tcPr>
            <w:tcW w:w="508" w:type="pct"/>
            <w:tcBorders>
              <w:top w:val="nil"/>
              <w:bottom w:val="single" w:sz="4" w:space="0" w:color="auto"/>
            </w:tcBorders>
            <w:vAlign w:val="center"/>
          </w:tcPr>
          <w:p w:rsidR="003260D8" w:rsidRDefault="003260D8">
            <w:pPr>
              <w:jc w:val="center"/>
              <w:rPr>
                <w:rFonts w:cs="Arial"/>
                <w:szCs w:val="20"/>
              </w:rPr>
            </w:pPr>
            <w:r>
              <w:rPr>
                <w:rFonts w:cs="Arial"/>
                <w:szCs w:val="20"/>
              </w:rPr>
              <w:t>261</w:t>
            </w:r>
          </w:p>
        </w:tc>
        <w:tc>
          <w:tcPr>
            <w:tcW w:w="589" w:type="pct"/>
            <w:tcBorders>
              <w:top w:val="nil"/>
              <w:bottom w:val="single" w:sz="4" w:space="0" w:color="auto"/>
            </w:tcBorders>
            <w:vAlign w:val="center"/>
          </w:tcPr>
          <w:p w:rsidR="003260D8" w:rsidRDefault="003260D8">
            <w:pPr>
              <w:jc w:val="center"/>
              <w:rPr>
                <w:rFonts w:cs="Arial"/>
                <w:szCs w:val="20"/>
              </w:rPr>
            </w:pPr>
            <w:r>
              <w:rPr>
                <w:rFonts w:cs="Arial"/>
                <w:szCs w:val="20"/>
              </w:rPr>
              <w:t>284</w:t>
            </w:r>
          </w:p>
        </w:tc>
        <w:tc>
          <w:tcPr>
            <w:tcW w:w="517" w:type="pct"/>
            <w:tcBorders>
              <w:top w:val="nil"/>
              <w:bottom w:val="single" w:sz="4" w:space="0" w:color="auto"/>
            </w:tcBorders>
            <w:vAlign w:val="center"/>
          </w:tcPr>
          <w:p w:rsidR="003260D8" w:rsidRDefault="003260D8">
            <w:pPr>
              <w:jc w:val="center"/>
              <w:rPr>
                <w:rFonts w:cs="Arial"/>
                <w:szCs w:val="20"/>
              </w:rPr>
            </w:pPr>
            <w:r>
              <w:rPr>
                <w:rFonts w:cs="Arial"/>
                <w:szCs w:val="20"/>
              </w:rPr>
              <w:t>275</w:t>
            </w:r>
          </w:p>
        </w:tc>
        <w:tc>
          <w:tcPr>
            <w:tcW w:w="510" w:type="pct"/>
            <w:tcBorders>
              <w:top w:val="nil"/>
              <w:bottom w:val="single" w:sz="4" w:space="0" w:color="auto"/>
            </w:tcBorders>
            <w:vAlign w:val="center"/>
          </w:tcPr>
          <w:p w:rsidR="003260D8" w:rsidRDefault="003260D8">
            <w:pPr>
              <w:jc w:val="center"/>
              <w:rPr>
                <w:rFonts w:cs="Arial"/>
                <w:szCs w:val="20"/>
              </w:rPr>
            </w:pPr>
            <w:r>
              <w:rPr>
                <w:rFonts w:cs="Arial"/>
                <w:szCs w:val="20"/>
              </w:rPr>
              <w:t>274</w:t>
            </w:r>
          </w:p>
        </w:tc>
        <w:tc>
          <w:tcPr>
            <w:tcW w:w="507" w:type="pct"/>
            <w:tcBorders>
              <w:top w:val="nil"/>
              <w:bottom w:val="single" w:sz="4" w:space="0" w:color="auto"/>
            </w:tcBorders>
            <w:vAlign w:val="center"/>
          </w:tcPr>
          <w:p w:rsidR="003260D8" w:rsidRDefault="003260D8">
            <w:pPr>
              <w:jc w:val="center"/>
              <w:rPr>
                <w:rFonts w:cs="Arial"/>
                <w:szCs w:val="20"/>
              </w:rPr>
            </w:pPr>
            <w:r>
              <w:rPr>
                <w:rFonts w:cs="Arial"/>
                <w:szCs w:val="20"/>
              </w:rPr>
              <w:t>264</w:t>
            </w:r>
          </w:p>
        </w:tc>
        <w:tc>
          <w:tcPr>
            <w:tcW w:w="578" w:type="pct"/>
            <w:tcBorders>
              <w:top w:val="nil"/>
              <w:bottom w:val="single" w:sz="4" w:space="0" w:color="auto"/>
            </w:tcBorders>
            <w:vAlign w:val="center"/>
          </w:tcPr>
          <w:p w:rsidR="003260D8" w:rsidRDefault="003260D8">
            <w:pPr>
              <w:jc w:val="center"/>
              <w:rPr>
                <w:rFonts w:cs="Arial"/>
                <w:szCs w:val="20"/>
              </w:rPr>
            </w:pPr>
            <w:r>
              <w:rPr>
                <w:rFonts w:cs="Arial"/>
                <w:szCs w:val="20"/>
              </w:rPr>
              <w:t>227</w:t>
            </w:r>
          </w:p>
        </w:tc>
      </w:tr>
    </w:tbl>
    <w:p w:rsidR="00EC2CB1" w:rsidRPr="001521CB" w:rsidRDefault="00EC2CB1" w:rsidP="00EC2CB1">
      <w:pPr>
        <w:pStyle w:val="Caption"/>
        <w:numPr>
          <w:ilvl w:val="0"/>
          <w:numId w:val="30"/>
        </w:numPr>
        <w:ind w:left="709" w:hanging="709"/>
      </w:pPr>
      <w:r w:rsidRPr="00DD0358">
        <w:rPr>
          <w:color w:val="2272A3"/>
          <w:szCs w:val="24"/>
        </w:rPr>
        <w:t>SYD daily hub offers and daily hub bids in price bands ($/GJ)</w:t>
      </w:r>
    </w:p>
    <w:p w:rsidR="00EC2CB1" w:rsidRDefault="003260D8" w:rsidP="00EC2CB1">
      <w:r w:rsidRPr="001570F4">
        <w:rPr>
          <w:noProof/>
          <w:lang w:eastAsia="en-AU"/>
        </w:rPr>
        <w:drawing>
          <wp:inline distT="0" distB="0" distL="0" distR="0" wp14:anchorId="59C85431" wp14:editId="7552BACF">
            <wp:extent cx="5731510" cy="2045970"/>
            <wp:effectExtent l="0" t="0" r="0" b="0"/>
            <wp:docPr id="25" name="Picture 25" descr="Figure 2.2 shows the daily hub offers and bid in within certain price bands in Sydney this week. The line indicates the scheduled quantity for each day. For a more detailed description of this figure, please refer to the user guide." title="Sydney daily hub offers and b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2045970"/>
                    </a:xfrm>
                    <a:prstGeom prst="rect">
                      <a:avLst/>
                    </a:prstGeom>
                    <a:noFill/>
                    <a:ln>
                      <a:noFill/>
                    </a:ln>
                  </pic:spPr>
                </pic:pic>
              </a:graphicData>
            </a:graphic>
          </wp:inline>
        </w:drawing>
      </w:r>
    </w:p>
    <w:p w:rsidR="00EC2CB1" w:rsidRDefault="00EC2CB1" w:rsidP="00EC2CB1"/>
    <w:p w:rsidR="00EC2CB1" w:rsidRPr="001521CB" w:rsidRDefault="00EC2CB1" w:rsidP="00EC2CB1">
      <w:pPr>
        <w:pStyle w:val="Caption"/>
        <w:numPr>
          <w:ilvl w:val="0"/>
          <w:numId w:val="30"/>
        </w:numPr>
        <w:ind w:left="709" w:hanging="709"/>
      </w:pPr>
      <w:r w:rsidRPr="00DD0358">
        <w:rPr>
          <w:color w:val="2272A3"/>
          <w:szCs w:val="24"/>
        </w:rPr>
        <w:lastRenderedPageBreak/>
        <w:t>SYD net scheduled and allocated gas hub supply (excluding MOS)</w:t>
      </w:r>
    </w:p>
    <w:p w:rsidR="00EC2CB1" w:rsidRDefault="003260D8" w:rsidP="00EC2CB1">
      <w:r w:rsidRPr="001570F4">
        <w:rPr>
          <w:noProof/>
          <w:lang w:eastAsia="en-AU"/>
        </w:rPr>
        <w:drawing>
          <wp:inline distT="0" distB="0" distL="0" distR="0" wp14:anchorId="785BB544" wp14:editId="7145DCFF">
            <wp:extent cx="5731510" cy="2555240"/>
            <wp:effectExtent l="0" t="0" r="2540" b="0"/>
            <wp:docPr id="26" name="Picture 26" descr="Figure 2.3 shows the daily scheduled and allocated quantities sorted by facility for Sydney this week. For a more detailed description of this figure, please refer to the user guide." title="Sydney scheduled and allocated gas su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2555240"/>
                    </a:xfrm>
                    <a:prstGeom prst="rect">
                      <a:avLst/>
                    </a:prstGeom>
                    <a:noFill/>
                    <a:ln>
                      <a:noFill/>
                    </a:ln>
                  </pic:spPr>
                </pic:pic>
              </a:graphicData>
            </a:graphic>
          </wp:inline>
        </w:drawing>
      </w:r>
    </w:p>
    <w:p w:rsidR="00EC2CB1" w:rsidRPr="00552F68" w:rsidRDefault="00EC2CB1" w:rsidP="00EC2CB1">
      <w:pPr>
        <w:pStyle w:val="Caption"/>
        <w:numPr>
          <w:ilvl w:val="0"/>
          <w:numId w:val="30"/>
        </w:numPr>
        <w:ind w:left="1418" w:hanging="1418"/>
      </w:pPr>
      <w:r w:rsidRPr="00DD0358">
        <w:rPr>
          <w:color w:val="2272A3"/>
          <w:szCs w:val="24"/>
        </w:rPr>
        <w:t>SYD MOS allocations (TJ), service payments and commodity payments/charges ($</w:t>
      </w:r>
      <w:r w:rsidRPr="00552F68">
        <w:rPr>
          <w:color w:val="2272A3"/>
          <w:szCs w:val="24"/>
        </w:rPr>
        <w:t>000)</w:t>
      </w:r>
      <w:r w:rsidR="00914872" w:rsidRPr="00552F68">
        <w:rPr>
          <w:rStyle w:val="FootnoteReference"/>
          <w:color w:val="2272A3"/>
          <w:szCs w:val="24"/>
        </w:rPr>
        <w:footnoteReference w:id="10"/>
      </w:r>
    </w:p>
    <w:p w:rsidR="00EC2CB1" w:rsidRDefault="003260D8" w:rsidP="00EC2CB1">
      <w:r w:rsidRPr="001570F4">
        <w:rPr>
          <w:noProof/>
          <w:lang w:eastAsia="en-AU"/>
        </w:rPr>
        <w:drawing>
          <wp:inline distT="0" distB="0" distL="0" distR="0" wp14:anchorId="01925C0D" wp14:editId="66E21FE9">
            <wp:extent cx="5731510" cy="2175510"/>
            <wp:effectExtent l="0" t="0" r="2540" b="0"/>
            <wp:docPr id="27" name="Picture 27" descr="Figure 2.4 shows the daily MOS allocations sorted by facility for each facility in Sydney this week. The figure also shows the daily breakdown of costs associated with the MOS provided. For a more detailed description of this figure, please refer to the user guide." title="Sydney M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2175510"/>
                    </a:xfrm>
                    <a:prstGeom prst="rect">
                      <a:avLst/>
                    </a:prstGeom>
                    <a:noFill/>
                    <a:ln>
                      <a:noFill/>
                    </a:ln>
                  </pic:spPr>
                </pic:pic>
              </a:graphicData>
            </a:graphic>
          </wp:inline>
        </w:drawing>
      </w:r>
    </w:p>
    <w:p w:rsidR="00EC2CB1" w:rsidRDefault="00EC2CB1">
      <w:pPr>
        <w:spacing w:line="240" w:lineRule="auto"/>
        <w:rPr>
          <w:rFonts w:eastAsia="Times New Roman" w:cs="Times New Roman"/>
          <w:b/>
          <w:bCs/>
          <w:color w:val="2272A3" w:themeColor="accent4" w:themeShade="80"/>
          <w:sz w:val="32"/>
          <w:szCs w:val="20"/>
        </w:rPr>
      </w:pPr>
      <w:r>
        <w:rPr>
          <w:rFonts w:eastAsia="Times New Roman" w:cs="Times New Roman"/>
          <w:color w:val="2272A3" w:themeColor="accent4" w:themeShade="80"/>
          <w:sz w:val="32"/>
          <w:szCs w:val="20"/>
        </w:rPr>
        <w:br w:type="page"/>
      </w:r>
    </w:p>
    <w:p w:rsidR="003171C6" w:rsidRDefault="003171C6" w:rsidP="003171C6">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3</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Adelaide STTM</w:t>
      </w:r>
    </w:p>
    <w:p w:rsidR="00EC2CB1" w:rsidRPr="003625A6" w:rsidRDefault="00EC2CB1" w:rsidP="00EC2CB1">
      <w:pPr>
        <w:jc w:val="both"/>
      </w:pPr>
      <w:r>
        <w:t>The Adelaide STTM hub functions in the same way as the Sydney STTM hub.  The same data that was presented for the Sydney hub is presented for the Adelaide hub in the figures below.</w:t>
      </w:r>
    </w:p>
    <w:p w:rsidR="004C571B" w:rsidRDefault="00EC2CB1" w:rsidP="004C571B">
      <w:pPr>
        <w:pStyle w:val="Caption"/>
        <w:numPr>
          <w:ilvl w:val="0"/>
          <w:numId w:val="31"/>
        </w:numPr>
        <w:ind w:left="709" w:hanging="709"/>
        <w:rPr>
          <w:color w:val="2272A3"/>
          <w:szCs w:val="24"/>
        </w:rPr>
      </w:pPr>
      <w:r>
        <w:rPr>
          <w:color w:val="2272A3"/>
          <w:szCs w:val="24"/>
        </w:rPr>
        <w:t>ADL</w:t>
      </w:r>
      <w:r w:rsidRPr="00362B9A">
        <w:rPr>
          <w:color w:val="2272A3"/>
          <w:szCs w:val="24"/>
        </w:rPr>
        <w:t xml:space="preserve"> STTM daily ex ante and ex post prices and quantities</w:t>
      </w:r>
    </w:p>
    <w:tbl>
      <w:tblPr>
        <w:tblStyle w:val="AERTable-Text"/>
        <w:tblW w:w="4917" w:type="pct"/>
        <w:tblLook w:val="04A0" w:firstRow="1" w:lastRow="0" w:firstColumn="1" w:lastColumn="0" w:noHBand="0" w:noVBand="1"/>
      </w:tblPr>
      <w:tblGrid>
        <w:gridCol w:w="2094"/>
        <w:gridCol w:w="1071"/>
        <w:gridCol w:w="938"/>
        <w:gridCol w:w="1087"/>
        <w:gridCol w:w="954"/>
        <w:gridCol w:w="942"/>
        <w:gridCol w:w="936"/>
        <w:gridCol w:w="1067"/>
      </w:tblGrid>
      <w:tr w:rsidR="00EC2CB1" w:rsidRPr="00405CDE" w:rsidTr="00A226E9">
        <w:trPr>
          <w:cnfStyle w:val="100000000000" w:firstRow="1" w:lastRow="0" w:firstColumn="0" w:lastColumn="0" w:oddVBand="0" w:evenVBand="0" w:oddHBand="0" w:evenHBand="0" w:firstRowFirstColumn="0" w:firstRowLastColumn="0" w:lastRowFirstColumn="0" w:lastRowLastColumn="0"/>
          <w:tblHeader/>
        </w:trPr>
        <w:tc>
          <w:tcPr>
            <w:tcW w:w="1152" w:type="pct"/>
            <w:tcBorders>
              <w:bottom w:val="nil"/>
            </w:tcBorders>
            <w:hideMark/>
          </w:tcPr>
          <w:p w:rsidR="00EC2CB1" w:rsidRPr="00DC24BF" w:rsidRDefault="00EC2CB1" w:rsidP="00EC2CB1">
            <w:pPr>
              <w:pStyle w:val="TableHeading"/>
              <w:spacing w:before="0" w:after="0"/>
              <w:jc w:val="center"/>
              <w:rPr>
                <w:rFonts w:cs="Arial"/>
                <w:sz w:val="20"/>
                <w:szCs w:val="20"/>
              </w:rPr>
            </w:pPr>
          </w:p>
        </w:tc>
        <w:tc>
          <w:tcPr>
            <w:tcW w:w="589"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Sun</w:t>
            </w:r>
          </w:p>
        </w:tc>
        <w:tc>
          <w:tcPr>
            <w:tcW w:w="516"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Mon</w:t>
            </w:r>
          </w:p>
        </w:tc>
        <w:tc>
          <w:tcPr>
            <w:tcW w:w="59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Tue</w:t>
            </w:r>
          </w:p>
        </w:tc>
        <w:tc>
          <w:tcPr>
            <w:tcW w:w="525"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Wed</w:t>
            </w:r>
          </w:p>
        </w:tc>
        <w:tc>
          <w:tcPr>
            <w:tcW w:w="51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Thu</w:t>
            </w:r>
          </w:p>
        </w:tc>
        <w:tc>
          <w:tcPr>
            <w:tcW w:w="515"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Fri</w:t>
            </w:r>
          </w:p>
        </w:tc>
        <w:tc>
          <w:tcPr>
            <w:tcW w:w="587"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Sat</w:t>
            </w:r>
          </w:p>
        </w:tc>
      </w:tr>
      <w:tr w:rsidR="003260D8" w:rsidRPr="00405CDE" w:rsidTr="00A226E9">
        <w:trPr>
          <w:trHeight w:val="389"/>
        </w:trPr>
        <w:tc>
          <w:tcPr>
            <w:tcW w:w="1152" w:type="pct"/>
            <w:tcBorders>
              <w:top w:val="nil"/>
              <w:bottom w:val="nil"/>
            </w:tcBorders>
            <w:vAlign w:val="center"/>
          </w:tcPr>
          <w:p w:rsidR="003260D8" w:rsidRDefault="003260D8">
            <w:pPr>
              <w:rPr>
                <w:rFonts w:cs="Arial"/>
                <w:sz w:val="20"/>
                <w:szCs w:val="20"/>
              </w:rPr>
            </w:pPr>
            <w:r>
              <w:rPr>
                <w:rFonts w:cs="Arial"/>
                <w:sz w:val="20"/>
                <w:szCs w:val="20"/>
              </w:rPr>
              <w:t>Ex ante price ($/GJ)</w:t>
            </w:r>
          </w:p>
        </w:tc>
        <w:tc>
          <w:tcPr>
            <w:tcW w:w="589" w:type="pct"/>
            <w:tcBorders>
              <w:top w:val="nil"/>
              <w:bottom w:val="nil"/>
            </w:tcBorders>
            <w:vAlign w:val="center"/>
          </w:tcPr>
          <w:p w:rsidR="003260D8" w:rsidRDefault="003260D8">
            <w:pPr>
              <w:jc w:val="center"/>
              <w:rPr>
                <w:rFonts w:cs="Arial"/>
                <w:sz w:val="20"/>
                <w:szCs w:val="20"/>
              </w:rPr>
            </w:pPr>
            <w:r>
              <w:rPr>
                <w:rFonts w:cs="Arial"/>
                <w:sz w:val="20"/>
                <w:szCs w:val="20"/>
              </w:rPr>
              <w:t>8.59</w:t>
            </w:r>
          </w:p>
        </w:tc>
        <w:tc>
          <w:tcPr>
            <w:tcW w:w="516" w:type="pct"/>
            <w:tcBorders>
              <w:top w:val="nil"/>
              <w:bottom w:val="nil"/>
            </w:tcBorders>
            <w:vAlign w:val="center"/>
          </w:tcPr>
          <w:p w:rsidR="003260D8" w:rsidRDefault="003260D8">
            <w:pPr>
              <w:jc w:val="center"/>
              <w:rPr>
                <w:rFonts w:cs="Arial"/>
                <w:sz w:val="20"/>
                <w:szCs w:val="20"/>
              </w:rPr>
            </w:pPr>
            <w:r>
              <w:rPr>
                <w:rFonts w:cs="Arial"/>
                <w:sz w:val="20"/>
                <w:szCs w:val="20"/>
              </w:rPr>
              <w:t>8.76</w:t>
            </w:r>
          </w:p>
        </w:tc>
        <w:tc>
          <w:tcPr>
            <w:tcW w:w="598" w:type="pct"/>
            <w:tcBorders>
              <w:top w:val="nil"/>
              <w:bottom w:val="nil"/>
            </w:tcBorders>
            <w:vAlign w:val="center"/>
          </w:tcPr>
          <w:p w:rsidR="003260D8" w:rsidRDefault="003260D8">
            <w:pPr>
              <w:jc w:val="center"/>
              <w:rPr>
                <w:rFonts w:cs="Arial"/>
                <w:sz w:val="20"/>
                <w:szCs w:val="20"/>
              </w:rPr>
            </w:pPr>
            <w:r>
              <w:rPr>
                <w:rFonts w:cs="Arial"/>
                <w:sz w:val="20"/>
                <w:szCs w:val="20"/>
              </w:rPr>
              <w:t>8.76</w:t>
            </w:r>
          </w:p>
        </w:tc>
        <w:tc>
          <w:tcPr>
            <w:tcW w:w="525" w:type="pct"/>
            <w:tcBorders>
              <w:top w:val="nil"/>
              <w:bottom w:val="nil"/>
            </w:tcBorders>
            <w:vAlign w:val="center"/>
          </w:tcPr>
          <w:p w:rsidR="003260D8" w:rsidRDefault="003260D8">
            <w:pPr>
              <w:jc w:val="center"/>
              <w:rPr>
                <w:rFonts w:cs="Arial"/>
                <w:sz w:val="20"/>
                <w:szCs w:val="20"/>
              </w:rPr>
            </w:pPr>
            <w:r>
              <w:rPr>
                <w:rFonts w:cs="Arial"/>
                <w:sz w:val="20"/>
                <w:szCs w:val="20"/>
              </w:rPr>
              <w:t>9.01</w:t>
            </w:r>
          </w:p>
        </w:tc>
        <w:tc>
          <w:tcPr>
            <w:tcW w:w="518" w:type="pct"/>
            <w:tcBorders>
              <w:top w:val="nil"/>
              <w:bottom w:val="nil"/>
            </w:tcBorders>
            <w:vAlign w:val="center"/>
          </w:tcPr>
          <w:p w:rsidR="003260D8" w:rsidRDefault="003260D8">
            <w:pPr>
              <w:jc w:val="center"/>
              <w:rPr>
                <w:rFonts w:cs="Arial"/>
                <w:sz w:val="20"/>
                <w:szCs w:val="20"/>
              </w:rPr>
            </w:pPr>
            <w:r>
              <w:rPr>
                <w:rFonts w:cs="Arial"/>
                <w:sz w:val="20"/>
                <w:szCs w:val="20"/>
              </w:rPr>
              <w:t>8.90</w:t>
            </w:r>
          </w:p>
        </w:tc>
        <w:tc>
          <w:tcPr>
            <w:tcW w:w="515" w:type="pct"/>
            <w:tcBorders>
              <w:top w:val="nil"/>
              <w:bottom w:val="nil"/>
            </w:tcBorders>
            <w:vAlign w:val="center"/>
          </w:tcPr>
          <w:p w:rsidR="003260D8" w:rsidRDefault="003260D8">
            <w:pPr>
              <w:jc w:val="center"/>
              <w:rPr>
                <w:rFonts w:cs="Arial"/>
                <w:sz w:val="20"/>
                <w:szCs w:val="20"/>
              </w:rPr>
            </w:pPr>
            <w:r>
              <w:rPr>
                <w:rFonts w:cs="Arial"/>
                <w:sz w:val="20"/>
                <w:szCs w:val="20"/>
              </w:rPr>
              <w:t>8.95</w:t>
            </w:r>
          </w:p>
        </w:tc>
        <w:tc>
          <w:tcPr>
            <w:tcW w:w="587" w:type="pct"/>
            <w:tcBorders>
              <w:top w:val="nil"/>
              <w:bottom w:val="nil"/>
            </w:tcBorders>
            <w:vAlign w:val="center"/>
          </w:tcPr>
          <w:p w:rsidR="003260D8" w:rsidRDefault="003260D8">
            <w:pPr>
              <w:jc w:val="center"/>
              <w:rPr>
                <w:rFonts w:cs="Arial"/>
                <w:sz w:val="20"/>
                <w:szCs w:val="20"/>
              </w:rPr>
            </w:pPr>
            <w:r>
              <w:rPr>
                <w:rFonts w:cs="Arial"/>
                <w:sz w:val="20"/>
                <w:szCs w:val="20"/>
              </w:rPr>
              <w:t>8.99</w:t>
            </w:r>
          </w:p>
        </w:tc>
      </w:tr>
      <w:tr w:rsidR="003260D8" w:rsidRPr="00405CDE" w:rsidTr="00A226E9">
        <w:trPr>
          <w:cnfStyle w:val="000000010000" w:firstRow="0" w:lastRow="0" w:firstColumn="0" w:lastColumn="0" w:oddVBand="0" w:evenVBand="0" w:oddHBand="0" w:evenHBand="1" w:firstRowFirstColumn="0" w:firstRowLastColumn="0" w:lastRowFirstColumn="0" w:lastRowLastColumn="0"/>
          <w:trHeight w:val="325"/>
        </w:trPr>
        <w:tc>
          <w:tcPr>
            <w:tcW w:w="1152" w:type="pct"/>
            <w:tcBorders>
              <w:top w:val="nil"/>
              <w:bottom w:val="nil"/>
            </w:tcBorders>
            <w:vAlign w:val="center"/>
          </w:tcPr>
          <w:p w:rsidR="003260D8" w:rsidRDefault="003260D8">
            <w:pPr>
              <w:rPr>
                <w:rFonts w:cs="Arial"/>
                <w:szCs w:val="20"/>
              </w:rPr>
            </w:pPr>
            <w:r>
              <w:rPr>
                <w:rFonts w:cs="Arial"/>
                <w:szCs w:val="20"/>
              </w:rPr>
              <w:t>Ex ante quantity (TJ)</w:t>
            </w:r>
          </w:p>
        </w:tc>
        <w:tc>
          <w:tcPr>
            <w:tcW w:w="589" w:type="pct"/>
            <w:tcBorders>
              <w:top w:val="nil"/>
              <w:bottom w:val="nil"/>
            </w:tcBorders>
            <w:vAlign w:val="center"/>
          </w:tcPr>
          <w:p w:rsidR="003260D8" w:rsidRDefault="003260D8">
            <w:pPr>
              <w:jc w:val="center"/>
              <w:rPr>
                <w:rFonts w:cs="Arial"/>
                <w:szCs w:val="20"/>
              </w:rPr>
            </w:pPr>
            <w:r>
              <w:rPr>
                <w:rFonts w:cs="Arial"/>
                <w:szCs w:val="20"/>
              </w:rPr>
              <w:t>64</w:t>
            </w:r>
          </w:p>
        </w:tc>
        <w:tc>
          <w:tcPr>
            <w:tcW w:w="516" w:type="pct"/>
            <w:tcBorders>
              <w:top w:val="nil"/>
              <w:bottom w:val="nil"/>
            </w:tcBorders>
            <w:vAlign w:val="center"/>
          </w:tcPr>
          <w:p w:rsidR="003260D8" w:rsidRDefault="003260D8">
            <w:pPr>
              <w:jc w:val="center"/>
              <w:rPr>
                <w:rFonts w:cs="Arial"/>
                <w:szCs w:val="20"/>
              </w:rPr>
            </w:pPr>
            <w:r>
              <w:rPr>
                <w:rFonts w:cs="Arial"/>
                <w:szCs w:val="20"/>
              </w:rPr>
              <w:t>79</w:t>
            </w:r>
          </w:p>
        </w:tc>
        <w:tc>
          <w:tcPr>
            <w:tcW w:w="598" w:type="pct"/>
            <w:tcBorders>
              <w:top w:val="nil"/>
              <w:bottom w:val="nil"/>
            </w:tcBorders>
            <w:vAlign w:val="center"/>
          </w:tcPr>
          <w:p w:rsidR="003260D8" w:rsidRDefault="003260D8">
            <w:pPr>
              <w:jc w:val="center"/>
              <w:rPr>
                <w:rFonts w:cs="Arial"/>
                <w:szCs w:val="20"/>
              </w:rPr>
            </w:pPr>
            <w:r>
              <w:rPr>
                <w:rFonts w:cs="Arial"/>
                <w:szCs w:val="20"/>
              </w:rPr>
              <w:t>77</w:t>
            </w:r>
          </w:p>
        </w:tc>
        <w:tc>
          <w:tcPr>
            <w:tcW w:w="525" w:type="pct"/>
            <w:tcBorders>
              <w:top w:val="nil"/>
              <w:bottom w:val="nil"/>
            </w:tcBorders>
            <w:vAlign w:val="center"/>
          </w:tcPr>
          <w:p w:rsidR="003260D8" w:rsidRDefault="003260D8">
            <w:pPr>
              <w:jc w:val="center"/>
              <w:rPr>
                <w:rFonts w:cs="Arial"/>
                <w:szCs w:val="20"/>
              </w:rPr>
            </w:pPr>
            <w:r>
              <w:rPr>
                <w:rFonts w:cs="Arial"/>
                <w:szCs w:val="20"/>
              </w:rPr>
              <w:t>74</w:t>
            </w:r>
          </w:p>
        </w:tc>
        <w:tc>
          <w:tcPr>
            <w:tcW w:w="518" w:type="pct"/>
            <w:tcBorders>
              <w:top w:val="nil"/>
              <w:bottom w:val="nil"/>
            </w:tcBorders>
            <w:vAlign w:val="center"/>
          </w:tcPr>
          <w:p w:rsidR="003260D8" w:rsidRDefault="003260D8">
            <w:pPr>
              <w:jc w:val="center"/>
              <w:rPr>
                <w:rFonts w:cs="Arial"/>
                <w:szCs w:val="20"/>
              </w:rPr>
            </w:pPr>
            <w:r>
              <w:rPr>
                <w:rFonts w:cs="Arial"/>
                <w:szCs w:val="20"/>
              </w:rPr>
              <w:t>73</w:t>
            </w:r>
          </w:p>
        </w:tc>
        <w:tc>
          <w:tcPr>
            <w:tcW w:w="515" w:type="pct"/>
            <w:tcBorders>
              <w:top w:val="nil"/>
              <w:bottom w:val="nil"/>
            </w:tcBorders>
            <w:vAlign w:val="center"/>
          </w:tcPr>
          <w:p w:rsidR="003260D8" w:rsidRDefault="003260D8">
            <w:pPr>
              <w:jc w:val="center"/>
              <w:rPr>
                <w:rFonts w:cs="Arial"/>
                <w:szCs w:val="20"/>
              </w:rPr>
            </w:pPr>
            <w:r>
              <w:rPr>
                <w:rFonts w:cs="Arial"/>
                <w:szCs w:val="20"/>
              </w:rPr>
              <w:t>68</w:t>
            </w:r>
          </w:p>
        </w:tc>
        <w:tc>
          <w:tcPr>
            <w:tcW w:w="587" w:type="pct"/>
            <w:tcBorders>
              <w:top w:val="nil"/>
              <w:bottom w:val="nil"/>
            </w:tcBorders>
            <w:vAlign w:val="center"/>
          </w:tcPr>
          <w:p w:rsidR="003260D8" w:rsidRDefault="003260D8">
            <w:pPr>
              <w:jc w:val="center"/>
              <w:rPr>
                <w:rFonts w:cs="Arial"/>
                <w:szCs w:val="20"/>
              </w:rPr>
            </w:pPr>
            <w:r>
              <w:rPr>
                <w:rFonts w:cs="Arial"/>
                <w:szCs w:val="20"/>
              </w:rPr>
              <w:t>59</w:t>
            </w:r>
          </w:p>
        </w:tc>
      </w:tr>
      <w:tr w:rsidR="003260D8" w:rsidRPr="00405CDE" w:rsidTr="00A226E9">
        <w:trPr>
          <w:trHeight w:val="87"/>
        </w:trPr>
        <w:tc>
          <w:tcPr>
            <w:tcW w:w="1152" w:type="pct"/>
            <w:tcBorders>
              <w:top w:val="nil"/>
              <w:bottom w:val="nil"/>
            </w:tcBorders>
            <w:vAlign w:val="center"/>
          </w:tcPr>
          <w:p w:rsidR="003260D8" w:rsidRDefault="003260D8">
            <w:pPr>
              <w:rPr>
                <w:rFonts w:cs="Arial"/>
                <w:sz w:val="20"/>
                <w:szCs w:val="20"/>
              </w:rPr>
            </w:pPr>
            <w:r>
              <w:rPr>
                <w:rFonts w:cs="Arial"/>
                <w:sz w:val="20"/>
                <w:szCs w:val="20"/>
              </w:rPr>
              <w:t>Ex post price ($/GJ)</w:t>
            </w:r>
          </w:p>
        </w:tc>
        <w:tc>
          <w:tcPr>
            <w:tcW w:w="589" w:type="pct"/>
            <w:tcBorders>
              <w:top w:val="nil"/>
              <w:bottom w:val="nil"/>
            </w:tcBorders>
            <w:vAlign w:val="center"/>
          </w:tcPr>
          <w:p w:rsidR="003260D8" w:rsidRDefault="003260D8">
            <w:pPr>
              <w:jc w:val="center"/>
              <w:rPr>
                <w:rFonts w:cs="Arial"/>
                <w:sz w:val="20"/>
                <w:szCs w:val="20"/>
              </w:rPr>
            </w:pPr>
            <w:r>
              <w:rPr>
                <w:rFonts w:cs="Arial"/>
                <w:sz w:val="20"/>
                <w:szCs w:val="20"/>
              </w:rPr>
              <w:t>8.89</w:t>
            </w:r>
          </w:p>
        </w:tc>
        <w:tc>
          <w:tcPr>
            <w:tcW w:w="516" w:type="pct"/>
            <w:tcBorders>
              <w:top w:val="nil"/>
              <w:bottom w:val="nil"/>
            </w:tcBorders>
            <w:vAlign w:val="center"/>
          </w:tcPr>
          <w:p w:rsidR="003260D8" w:rsidRDefault="003260D8">
            <w:pPr>
              <w:jc w:val="center"/>
              <w:rPr>
                <w:rFonts w:cs="Arial"/>
                <w:sz w:val="20"/>
                <w:szCs w:val="20"/>
              </w:rPr>
            </w:pPr>
            <w:r>
              <w:rPr>
                <w:rFonts w:cs="Arial"/>
                <w:sz w:val="20"/>
                <w:szCs w:val="20"/>
              </w:rPr>
              <w:t>8.50</w:t>
            </w:r>
          </w:p>
        </w:tc>
        <w:tc>
          <w:tcPr>
            <w:tcW w:w="598" w:type="pct"/>
            <w:tcBorders>
              <w:top w:val="nil"/>
              <w:bottom w:val="nil"/>
            </w:tcBorders>
            <w:vAlign w:val="center"/>
          </w:tcPr>
          <w:p w:rsidR="003260D8" w:rsidRDefault="003260D8">
            <w:pPr>
              <w:jc w:val="center"/>
              <w:rPr>
                <w:rFonts w:cs="Arial"/>
                <w:sz w:val="20"/>
                <w:szCs w:val="20"/>
              </w:rPr>
            </w:pPr>
            <w:r>
              <w:rPr>
                <w:rFonts w:cs="Arial"/>
                <w:sz w:val="20"/>
                <w:szCs w:val="20"/>
              </w:rPr>
              <w:t>8.58</w:t>
            </w:r>
          </w:p>
        </w:tc>
        <w:tc>
          <w:tcPr>
            <w:tcW w:w="525" w:type="pct"/>
            <w:tcBorders>
              <w:top w:val="nil"/>
              <w:bottom w:val="nil"/>
            </w:tcBorders>
            <w:vAlign w:val="center"/>
          </w:tcPr>
          <w:p w:rsidR="003260D8" w:rsidRDefault="003260D8">
            <w:pPr>
              <w:jc w:val="center"/>
              <w:rPr>
                <w:rFonts w:cs="Arial"/>
                <w:sz w:val="20"/>
                <w:szCs w:val="20"/>
              </w:rPr>
            </w:pPr>
            <w:r>
              <w:rPr>
                <w:rFonts w:cs="Arial"/>
                <w:sz w:val="20"/>
                <w:szCs w:val="20"/>
              </w:rPr>
              <w:t>9.01</w:t>
            </w:r>
          </w:p>
        </w:tc>
        <w:tc>
          <w:tcPr>
            <w:tcW w:w="518" w:type="pct"/>
            <w:tcBorders>
              <w:top w:val="nil"/>
              <w:bottom w:val="nil"/>
            </w:tcBorders>
            <w:vAlign w:val="center"/>
          </w:tcPr>
          <w:p w:rsidR="003260D8" w:rsidRDefault="003260D8">
            <w:pPr>
              <w:jc w:val="center"/>
              <w:rPr>
                <w:rFonts w:cs="Arial"/>
                <w:sz w:val="20"/>
                <w:szCs w:val="20"/>
              </w:rPr>
            </w:pPr>
            <w:r>
              <w:rPr>
                <w:rFonts w:cs="Arial"/>
                <w:sz w:val="20"/>
                <w:szCs w:val="20"/>
              </w:rPr>
              <w:t>8.90</w:t>
            </w:r>
          </w:p>
        </w:tc>
        <w:tc>
          <w:tcPr>
            <w:tcW w:w="515" w:type="pct"/>
            <w:tcBorders>
              <w:top w:val="nil"/>
              <w:bottom w:val="nil"/>
            </w:tcBorders>
            <w:vAlign w:val="center"/>
          </w:tcPr>
          <w:p w:rsidR="003260D8" w:rsidRDefault="003260D8">
            <w:pPr>
              <w:jc w:val="center"/>
              <w:rPr>
                <w:rFonts w:cs="Arial"/>
                <w:sz w:val="20"/>
                <w:szCs w:val="20"/>
              </w:rPr>
            </w:pPr>
            <w:r>
              <w:rPr>
                <w:rFonts w:cs="Arial"/>
                <w:sz w:val="20"/>
                <w:szCs w:val="20"/>
              </w:rPr>
              <w:t>8.60</w:t>
            </w:r>
          </w:p>
        </w:tc>
        <w:tc>
          <w:tcPr>
            <w:tcW w:w="587" w:type="pct"/>
            <w:tcBorders>
              <w:top w:val="nil"/>
              <w:bottom w:val="nil"/>
            </w:tcBorders>
            <w:vAlign w:val="center"/>
          </w:tcPr>
          <w:p w:rsidR="003260D8" w:rsidRDefault="003260D8">
            <w:pPr>
              <w:jc w:val="center"/>
              <w:rPr>
                <w:rFonts w:cs="Arial"/>
                <w:sz w:val="20"/>
                <w:szCs w:val="20"/>
              </w:rPr>
            </w:pPr>
            <w:r>
              <w:rPr>
                <w:rFonts w:cs="Arial"/>
                <w:sz w:val="20"/>
                <w:szCs w:val="20"/>
              </w:rPr>
              <w:t>9.86</w:t>
            </w:r>
          </w:p>
        </w:tc>
      </w:tr>
      <w:tr w:rsidR="003260D8" w:rsidRPr="00405CDE" w:rsidTr="00A226E9">
        <w:trPr>
          <w:cnfStyle w:val="000000010000" w:firstRow="0" w:lastRow="0" w:firstColumn="0" w:lastColumn="0" w:oddVBand="0" w:evenVBand="0" w:oddHBand="0" w:evenHBand="1" w:firstRowFirstColumn="0" w:firstRowLastColumn="0" w:lastRowFirstColumn="0" w:lastRowLastColumn="0"/>
          <w:trHeight w:val="87"/>
        </w:trPr>
        <w:tc>
          <w:tcPr>
            <w:tcW w:w="1152" w:type="pct"/>
            <w:tcBorders>
              <w:top w:val="nil"/>
              <w:bottom w:val="single" w:sz="4" w:space="0" w:color="auto"/>
            </w:tcBorders>
            <w:vAlign w:val="center"/>
          </w:tcPr>
          <w:p w:rsidR="003260D8" w:rsidRDefault="003260D8">
            <w:pPr>
              <w:rPr>
                <w:rFonts w:cs="Arial"/>
                <w:szCs w:val="20"/>
              </w:rPr>
            </w:pPr>
            <w:r>
              <w:rPr>
                <w:rFonts w:cs="Arial"/>
                <w:szCs w:val="20"/>
              </w:rPr>
              <w:t>Ex post quantity (TJ)</w:t>
            </w:r>
          </w:p>
        </w:tc>
        <w:tc>
          <w:tcPr>
            <w:tcW w:w="589" w:type="pct"/>
            <w:tcBorders>
              <w:top w:val="nil"/>
              <w:bottom w:val="single" w:sz="4" w:space="0" w:color="auto"/>
            </w:tcBorders>
            <w:vAlign w:val="center"/>
          </w:tcPr>
          <w:p w:rsidR="003260D8" w:rsidRDefault="003260D8">
            <w:pPr>
              <w:jc w:val="center"/>
              <w:rPr>
                <w:rFonts w:cs="Arial"/>
                <w:szCs w:val="20"/>
              </w:rPr>
            </w:pPr>
            <w:r>
              <w:rPr>
                <w:rFonts w:cs="Arial"/>
                <w:szCs w:val="20"/>
              </w:rPr>
              <w:t>67</w:t>
            </w:r>
          </w:p>
        </w:tc>
        <w:tc>
          <w:tcPr>
            <w:tcW w:w="516" w:type="pct"/>
            <w:tcBorders>
              <w:top w:val="nil"/>
              <w:bottom w:val="single" w:sz="4" w:space="0" w:color="auto"/>
            </w:tcBorders>
            <w:vAlign w:val="center"/>
          </w:tcPr>
          <w:p w:rsidR="003260D8" w:rsidRDefault="003260D8">
            <w:pPr>
              <w:jc w:val="center"/>
              <w:rPr>
                <w:rFonts w:cs="Arial"/>
                <w:szCs w:val="20"/>
              </w:rPr>
            </w:pPr>
            <w:r>
              <w:rPr>
                <w:rFonts w:cs="Arial"/>
                <w:szCs w:val="20"/>
              </w:rPr>
              <w:t>77</w:t>
            </w:r>
          </w:p>
        </w:tc>
        <w:tc>
          <w:tcPr>
            <w:tcW w:w="598" w:type="pct"/>
            <w:tcBorders>
              <w:top w:val="nil"/>
              <w:bottom w:val="single" w:sz="4" w:space="0" w:color="auto"/>
            </w:tcBorders>
            <w:vAlign w:val="center"/>
          </w:tcPr>
          <w:p w:rsidR="003260D8" w:rsidRDefault="003260D8">
            <w:pPr>
              <w:jc w:val="center"/>
              <w:rPr>
                <w:rFonts w:cs="Arial"/>
                <w:szCs w:val="20"/>
              </w:rPr>
            </w:pPr>
            <w:r>
              <w:rPr>
                <w:rFonts w:cs="Arial"/>
                <w:szCs w:val="20"/>
              </w:rPr>
              <w:t>75</w:t>
            </w:r>
          </w:p>
        </w:tc>
        <w:tc>
          <w:tcPr>
            <w:tcW w:w="525" w:type="pct"/>
            <w:tcBorders>
              <w:top w:val="nil"/>
              <w:bottom w:val="single" w:sz="4" w:space="0" w:color="auto"/>
            </w:tcBorders>
            <w:vAlign w:val="center"/>
          </w:tcPr>
          <w:p w:rsidR="003260D8" w:rsidRDefault="003260D8">
            <w:pPr>
              <w:jc w:val="center"/>
              <w:rPr>
                <w:rFonts w:cs="Arial"/>
                <w:szCs w:val="20"/>
              </w:rPr>
            </w:pPr>
            <w:r>
              <w:rPr>
                <w:rFonts w:cs="Arial"/>
                <w:szCs w:val="20"/>
              </w:rPr>
              <w:t>74</w:t>
            </w:r>
          </w:p>
        </w:tc>
        <w:tc>
          <w:tcPr>
            <w:tcW w:w="518" w:type="pct"/>
            <w:tcBorders>
              <w:top w:val="nil"/>
              <w:bottom w:val="single" w:sz="4" w:space="0" w:color="auto"/>
            </w:tcBorders>
            <w:vAlign w:val="center"/>
          </w:tcPr>
          <w:p w:rsidR="003260D8" w:rsidRDefault="003260D8">
            <w:pPr>
              <w:jc w:val="center"/>
              <w:rPr>
                <w:rFonts w:cs="Arial"/>
                <w:szCs w:val="20"/>
              </w:rPr>
            </w:pPr>
            <w:r>
              <w:rPr>
                <w:rFonts w:cs="Arial"/>
                <w:szCs w:val="20"/>
              </w:rPr>
              <w:t>77</w:t>
            </w:r>
          </w:p>
        </w:tc>
        <w:tc>
          <w:tcPr>
            <w:tcW w:w="515" w:type="pct"/>
            <w:tcBorders>
              <w:top w:val="nil"/>
              <w:bottom w:val="single" w:sz="4" w:space="0" w:color="auto"/>
            </w:tcBorders>
            <w:vAlign w:val="center"/>
          </w:tcPr>
          <w:p w:rsidR="003260D8" w:rsidRDefault="003260D8">
            <w:pPr>
              <w:jc w:val="center"/>
              <w:rPr>
                <w:rFonts w:cs="Arial"/>
                <w:szCs w:val="20"/>
              </w:rPr>
            </w:pPr>
            <w:r>
              <w:rPr>
                <w:rFonts w:cs="Arial"/>
                <w:szCs w:val="20"/>
              </w:rPr>
              <w:t>62</w:t>
            </w:r>
          </w:p>
        </w:tc>
        <w:tc>
          <w:tcPr>
            <w:tcW w:w="587" w:type="pct"/>
            <w:tcBorders>
              <w:top w:val="nil"/>
              <w:bottom w:val="single" w:sz="4" w:space="0" w:color="auto"/>
            </w:tcBorders>
            <w:vAlign w:val="center"/>
          </w:tcPr>
          <w:p w:rsidR="003260D8" w:rsidRDefault="003260D8">
            <w:pPr>
              <w:jc w:val="center"/>
              <w:rPr>
                <w:rFonts w:cs="Arial"/>
                <w:szCs w:val="20"/>
              </w:rPr>
            </w:pPr>
            <w:r>
              <w:rPr>
                <w:rFonts w:cs="Arial"/>
                <w:szCs w:val="20"/>
              </w:rPr>
              <w:t>60</w:t>
            </w:r>
          </w:p>
        </w:tc>
      </w:tr>
    </w:tbl>
    <w:p w:rsidR="00EC2CB1" w:rsidRPr="001521CB" w:rsidRDefault="00EC2CB1" w:rsidP="00EC2CB1">
      <w:pPr>
        <w:pStyle w:val="Caption"/>
        <w:numPr>
          <w:ilvl w:val="0"/>
          <w:numId w:val="31"/>
        </w:numPr>
        <w:ind w:left="709" w:hanging="709"/>
      </w:pPr>
      <w:r w:rsidRPr="00DD0358">
        <w:rPr>
          <w:color w:val="2272A3"/>
          <w:szCs w:val="24"/>
        </w:rPr>
        <w:t>ADL daily hub offers and daily hub bids in price bands ($/GJ)</w:t>
      </w:r>
    </w:p>
    <w:p w:rsidR="00EC2CB1" w:rsidRDefault="003260D8" w:rsidP="00EC2CB1">
      <w:r w:rsidRPr="001570F4">
        <w:rPr>
          <w:noProof/>
          <w:lang w:eastAsia="en-AU"/>
        </w:rPr>
        <w:drawing>
          <wp:inline distT="0" distB="0" distL="0" distR="0" wp14:anchorId="34813414" wp14:editId="5BB7A4D4">
            <wp:extent cx="5731510" cy="1739900"/>
            <wp:effectExtent l="0" t="0" r="2540" b="0"/>
            <wp:docPr id="32" name="Picture 32" descr="Figure 3.2 shows the daily hub offers and bid in within certain price bands in Adelaide this week. The line indicates the scheduled quantity for each day. For a more detailed description of this figure, please refer to the user guide." title="Adelaide daily hub offers and b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1739900"/>
                    </a:xfrm>
                    <a:prstGeom prst="rect">
                      <a:avLst/>
                    </a:prstGeom>
                    <a:noFill/>
                    <a:ln>
                      <a:noFill/>
                    </a:ln>
                  </pic:spPr>
                </pic:pic>
              </a:graphicData>
            </a:graphic>
          </wp:inline>
        </w:drawing>
      </w:r>
    </w:p>
    <w:p w:rsidR="00EC2CB1" w:rsidRPr="001521CB" w:rsidRDefault="00EC2CB1" w:rsidP="00EC2CB1">
      <w:pPr>
        <w:pStyle w:val="Caption"/>
        <w:numPr>
          <w:ilvl w:val="0"/>
          <w:numId w:val="31"/>
        </w:numPr>
        <w:ind w:left="709" w:hanging="709"/>
      </w:pPr>
      <w:r w:rsidRPr="00DD0358">
        <w:rPr>
          <w:color w:val="2272A3"/>
          <w:szCs w:val="24"/>
        </w:rPr>
        <w:t>ADL net scheduled and allocated gas hub supply (excluding MOS)</w:t>
      </w:r>
    </w:p>
    <w:p w:rsidR="00EC2CB1" w:rsidRDefault="003260D8" w:rsidP="00EC2CB1">
      <w:r w:rsidRPr="003260D8">
        <w:rPr>
          <w:noProof/>
          <w:lang w:eastAsia="en-AU"/>
        </w:rPr>
        <w:drawing>
          <wp:inline distT="0" distB="0" distL="0" distR="0" wp14:anchorId="4ED06EE5" wp14:editId="2D3B29F3">
            <wp:extent cx="5731510" cy="1511607"/>
            <wp:effectExtent l="0" t="0" r="2540" b="0"/>
            <wp:docPr id="18" name="Picture 18" descr="Figure 3.3 shows the daily scheduled and allocated quantities sorted by facility for Adelaide this week. For a more detailed description of this figure, please refer to the user guide." title="Adelaide scheduled and allocated su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1511607"/>
                    </a:xfrm>
                    <a:prstGeom prst="rect">
                      <a:avLst/>
                    </a:prstGeom>
                    <a:noFill/>
                    <a:ln>
                      <a:noFill/>
                    </a:ln>
                  </pic:spPr>
                </pic:pic>
              </a:graphicData>
            </a:graphic>
          </wp:inline>
        </w:drawing>
      </w:r>
    </w:p>
    <w:p w:rsidR="00EC2CB1" w:rsidRPr="001521CB" w:rsidRDefault="00EC2CB1" w:rsidP="00EC2CB1">
      <w:pPr>
        <w:pStyle w:val="Caption"/>
        <w:numPr>
          <w:ilvl w:val="0"/>
          <w:numId w:val="31"/>
        </w:numPr>
        <w:ind w:left="1418" w:hanging="1418"/>
      </w:pPr>
      <w:r w:rsidRPr="00DD0358">
        <w:rPr>
          <w:color w:val="2272A3"/>
          <w:szCs w:val="24"/>
        </w:rPr>
        <w:t>ADL MOS allocations (TJ), service payments and commodity payments/charges ($000)</w:t>
      </w:r>
    </w:p>
    <w:p w:rsidR="00EC2CB1" w:rsidRPr="00A226E9" w:rsidRDefault="003260D8" w:rsidP="00A226E9">
      <w:r w:rsidRPr="001570F4">
        <w:rPr>
          <w:noProof/>
          <w:lang w:eastAsia="en-AU"/>
        </w:rPr>
        <w:drawing>
          <wp:inline distT="0" distB="0" distL="0" distR="0" wp14:anchorId="4AFE64CA" wp14:editId="1C6D7D44">
            <wp:extent cx="5731510" cy="1802130"/>
            <wp:effectExtent l="0" t="0" r="2540" b="7620"/>
            <wp:docPr id="35" name="Picture 35" descr="Figure 3.4 shows the daily MOS allocations sorted by facility for each facility in Adelaide this week. The figure also shows the daily breakdown of costs associated with the MOS provided. For a more detailed description of this figure, please refer to the user guide." title="Adelaide M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1802130"/>
                    </a:xfrm>
                    <a:prstGeom prst="rect">
                      <a:avLst/>
                    </a:prstGeom>
                    <a:noFill/>
                    <a:ln>
                      <a:noFill/>
                    </a:ln>
                  </pic:spPr>
                </pic:pic>
              </a:graphicData>
            </a:graphic>
          </wp:inline>
        </w:drawing>
      </w:r>
    </w:p>
    <w:p w:rsidR="003171C6" w:rsidRDefault="003171C6" w:rsidP="003171C6">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4</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Brisbane STTM</w:t>
      </w:r>
    </w:p>
    <w:p w:rsidR="00EC2CB1" w:rsidRPr="003625A6" w:rsidRDefault="00EC2CB1" w:rsidP="00551D6B">
      <w:pPr>
        <w:jc w:val="both"/>
      </w:pPr>
      <w:r>
        <w:t>The Brisbane STTM hub functions in the same way as the Sydney STTM hub.  The same data that was presented for the Sydney hub is presented for the Brisbane hub in the figures below.</w:t>
      </w:r>
    </w:p>
    <w:p w:rsidR="004C571B" w:rsidRDefault="00EC2CB1" w:rsidP="00E16EDC">
      <w:pPr>
        <w:pStyle w:val="Caption"/>
        <w:numPr>
          <w:ilvl w:val="0"/>
          <w:numId w:val="32"/>
        </w:numPr>
        <w:ind w:left="709" w:hanging="709"/>
        <w:rPr>
          <w:color w:val="2272A3"/>
          <w:szCs w:val="24"/>
        </w:rPr>
      </w:pPr>
      <w:r>
        <w:rPr>
          <w:color w:val="2272A3"/>
          <w:szCs w:val="24"/>
        </w:rPr>
        <w:t>BRI</w:t>
      </w:r>
      <w:r w:rsidRPr="00362B9A">
        <w:rPr>
          <w:color w:val="2272A3"/>
          <w:szCs w:val="24"/>
        </w:rPr>
        <w:t xml:space="preserve"> STTM daily ex ante and ex post prices and quantities</w:t>
      </w:r>
    </w:p>
    <w:tbl>
      <w:tblPr>
        <w:tblStyle w:val="AERTable-Text"/>
        <w:tblW w:w="4917" w:type="pct"/>
        <w:tblLook w:val="04A0" w:firstRow="1" w:lastRow="0" w:firstColumn="1" w:lastColumn="0" w:noHBand="0" w:noVBand="1"/>
      </w:tblPr>
      <w:tblGrid>
        <w:gridCol w:w="2094"/>
        <w:gridCol w:w="1071"/>
        <w:gridCol w:w="938"/>
        <w:gridCol w:w="1087"/>
        <w:gridCol w:w="954"/>
        <w:gridCol w:w="942"/>
        <w:gridCol w:w="936"/>
        <w:gridCol w:w="1067"/>
      </w:tblGrid>
      <w:tr w:rsidR="00EC2CB1" w:rsidRPr="00405CDE" w:rsidTr="00A226E9">
        <w:trPr>
          <w:cnfStyle w:val="100000000000" w:firstRow="1" w:lastRow="0" w:firstColumn="0" w:lastColumn="0" w:oddVBand="0" w:evenVBand="0" w:oddHBand="0" w:evenHBand="0" w:firstRowFirstColumn="0" w:firstRowLastColumn="0" w:lastRowFirstColumn="0" w:lastRowLastColumn="0"/>
          <w:tblHeader/>
        </w:trPr>
        <w:tc>
          <w:tcPr>
            <w:tcW w:w="1152" w:type="pct"/>
            <w:tcBorders>
              <w:bottom w:val="nil"/>
            </w:tcBorders>
            <w:hideMark/>
          </w:tcPr>
          <w:p w:rsidR="00EC2CB1" w:rsidRPr="00DC24BF" w:rsidRDefault="00EC2CB1" w:rsidP="00EC2CB1">
            <w:pPr>
              <w:pStyle w:val="TableHeading"/>
              <w:spacing w:before="0" w:after="0"/>
              <w:jc w:val="center"/>
              <w:rPr>
                <w:rFonts w:cs="Arial"/>
                <w:sz w:val="20"/>
                <w:szCs w:val="20"/>
              </w:rPr>
            </w:pPr>
          </w:p>
        </w:tc>
        <w:tc>
          <w:tcPr>
            <w:tcW w:w="589"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Sun</w:t>
            </w:r>
          </w:p>
        </w:tc>
        <w:tc>
          <w:tcPr>
            <w:tcW w:w="516"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Mon</w:t>
            </w:r>
          </w:p>
        </w:tc>
        <w:tc>
          <w:tcPr>
            <w:tcW w:w="59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Tue</w:t>
            </w:r>
          </w:p>
        </w:tc>
        <w:tc>
          <w:tcPr>
            <w:tcW w:w="525"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Wed</w:t>
            </w:r>
          </w:p>
        </w:tc>
        <w:tc>
          <w:tcPr>
            <w:tcW w:w="51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Thu</w:t>
            </w:r>
          </w:p>
        </w:tc>
        <w:tc>
          <w:tcPr>
            <w:tcW w:w="515"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Fri</w:t>
            </w:r>
          </w:p>
        </w:tc>
        <w:tc>
          <w:tcPr>
            <w:tcW w:w="587"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Sat</w:t>
            </w:r>
          </w:p>
        </w:tc>
      </w:tr>
      <w:tr w:rsidR="003260D8" w:rsidRPr="00405CDE" w:rsidTr="00A226E9">
        <w:trPr>
          <w:trHeight w:val="510"/>
        </w:trPr>
        <w:tc>
          <w:tcPr>
            <w:tcW w:w="1152" w:type="pct"/>
            <w:tcBorders>
              <w:top w:val="nil"/>
              <w:bottom w:val="nil"/>
            </w:tcBorders>
            <w:vAlign w:val="center"/>
          </w:tcPr>
          <w:p w:rsidR="003260D8" w:rsidRDefault="003260D8">
            <w:pPr>
              <w:rPr>
                <w:rFonts w:cs="Arial"/>
                <w:sz w:val="20"/>
                <w:szCs w:val="20"/>
              </w:rPr>
            </w:pPr>
            <w:r>
              <w:rPr>
                <w:rFonts w:cs="Arial"/>
                <w:sz w:val="20"/>
                <w:szCs w:val="20"/>
              </w:rPr>
              <w:t>Ex ante price ($/GJ)</w:t>
            </w:r>
          </w:p>
        </w:tc>
        <w:tc>
          <w:tcPr>
            <w:tcW w:w="589" w:type="pct"/>
            <w:tcBorders>
              <w:top w:val="nil"/>
              <w:bottom w:val="nil"/>
            </w:tcBorders>
            <w:vAlign w:val="center"/>
          </w:tcPr>
          <w:p w:rsidR="003260D8" w:rsidRDefault="003260D8">
            <w:pPr>
              <w:jc w:val="center"/>
              <w:rPr>
                <w:rFonts w:cs="Arial"/>
                <w:sz w:val="20"/>
                <w:szCs w:val="20"/>
              </w:rPr>
            </w:pPr>
            <w:r>
              <w:rPr>
                <w:rFonts w:cs="Arial"/>
                <w:sz w:val="20"/>
                <w:szCs w:val="20"/>
              </w:rPr>
              <w:t>7.81</w:t>
            </w:r>
          </w:p>
        </w:tc>
        <w:tc>
          <w:tcPr>
            <w:tcW w:w="516" w:type="pct"/>
            <w:tcBorders>
              <w:top w:val="nil"/>
              <w:bottom w:val="nil"/>
            </w:tcBorders>
            <w:vAlign w:val="center"/>
          </w:tcPr>
          <w:p w:rsidR="003260D8" w:rsidRDefault="003260D8">
            <w:pPr>
              <w:jc w:val="center"/>
              <w:rPr>
                <w:rFonts w:cs="Arial"/>
                <w:sz w:val="20"/>
                <w:szCs w:val="20"/>
              </w:rPr>
            </w:pPr>
            <w:r>
              <w:rPr>
                <w:rFonts w:cs="Arial"/>
                <w:sz w:val="20"/>
                <w:szCs w:val="20"/>
              </w:rPr>
              <w:t>7.82</w:t>
            </w:r>
          </w:p>
        </w:tc>
        <w:tc>
          <w:tcPr>
            <w:tcW w:w="598" w:type="pct"/>
            <w:tcBorders>
              <w:top w:val="nil"/>
              <w:bottom w:val="nil"/>
            </w:tcBorders>
            <w:vAlign w:val="center"/>
          </w:tcPr>
          <w:p w:rsidR="003260D8" w:rsidRDefault="003260D8">
            <w:pPr>
              <w:jc w:val="center"/>
              <w:rPr>
                <w:rFonts w:cs="Arial"/>
                <w:sz w:val="20"/>
                <w:szCs w:val="20"/>
              </w:rPr>
            </w:pPr>
            <w:r>
              <w:rPr>
                <w:rFonts w:cs="Arial"/>
                <w:sz w:val="20"/>
                <w:szCs w:val="20"/>
              </w:rPr>
              <w:t>9.30</w:t>
            </w:r>
          </w:p>
        </w:tc>
        <w:tc>
          <w:tcPr>
            <w:tcW w:w="525" w:type="pct"/>
            <w:tcBorders>
              <w:top w:val="nil"/>
              <w:bottom w:val="nil"/>
            </w:tcBorders>
            <w:vAlign w:val="center"/>
          </w:tcPr>
          <w:p w:rsidR="003260D8" w:rsidRDefault="003260D8">
            <w:pPr>
              <w:jc w:val="center"/>
              <w:rPr>
                <w:rFonts w:cs="Arial"/>
                <w:sz w:val="20"/>
                <w:szCs w:val="20"/>
              </w:rPr>
            </w:pPr>
            <w:r>
              <w:rPr>
                <w:rFonts w:cs="Arial"/>
                <w:sz w:val="20"/>
                <w:szCs w:val="20"/>
              </w:rPr>
              <w:t>9.56</w:t>
            </w:r>
          </w:p>
        </w:tc>
        <w:tc>
          <w:tcPr>
            <w:tcW w:w="518" w:type="pct"/>
            <w:tcBorders>
              <w:top w:val="nil"/>
              <w:bottom w:val="nil"/>
            </w:tcBorders>
            <w:vAlign w:val="center"/>
          </w:tcPr>
          <w:p w:rsidR="003260D8" w:rsidRDefault="003260D8">
            <w:pPr>
              <w:jc w:val="center"/>
              <w:rPr>
                <w:rFonts w:cs="Arial"/>
                <w:sz w:val="20"/>
                <w:szCs w:val="20"/>
              </w:rPr>
            </w:pPr>
            <w:r>
              <w:rPr>
                <w:rFonts w:cs="Arial"/>
                <w:sz w:val="20"/>
                <w:szCs w:val="20"/>
              </w:rPr>
              <w:t>9.36</w:t>
            </w:r>
          </w:p>
        </w:tc>
        <w:tc>
          <w:tcPr>
            <w:tcW w:w="515" w:type="pct"/>
            <w:tcBorders>
              <w:top w:val="nil"/>
              <w:bottom w:val="nil"/>
            </w:tcBorders>
            <w:vAlign w:val="center"/>
          </w:tcPr>
          <w:p w:rsidR="003260D8" w:rsidRDefault="003260D8">
            <w:pPr>
              <w:jc w:val="center"/>
              <w:rPr>
                <w:rFonts w:cs="Arial"/>
                <w:sz w:val="20"/>
                <w:szCs w:val="20"/>
              </w:rPr>
            </w:pPr>
            <w:r>
              <w:rPr>
                <w:rFonts w:cs="Arial"/>
                <w:sz w:val="20"/>
                <w:szCs w:val="20"/>
              </w:rPr>
              <w:t>9.01</w:t>
            </w:r>
          </w:p>
        </w:tc>
        <w:tc>
          <w:tcPr>
            <w:tcW w:w="587" w:type="pct"/>
            <w:tcBorders>
              <w:top w:val="nil"/>
              <w:bottom w:val="nil"/>
            </w:tcBorders>
            <w:vAlign w:val="center"/>
          </w:tcPr>
          <w:p w:rsidR="003260D8" w:rsidRDefault="003260D8">
            <w:pPr>
              <w:jc w:val="center"/>
              <w:rPr>
                <w:rFonts w:cs="Arial"/>
                <w:sz w:val="20"/>
                <w:szCs w:val="20"/>
              </w:rPr>
            </w:pPr>
            <w:r>
              <w:rPr>
                <w:rFonts w:cs="Arial"/>
                <w:sz w:val="20"/>
                <w:szCs w:val="20"/>
              </w:rPr>
              <w:t>8.60</w:t>
            </w:r>
          </w:p>
        </w:tc>
      </w:tr>
      <w:tr w:rsidR="003260D8"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152" w:type="pct"/>
            <w:tcBorders>
              <w:top w:val="nil"/>
              <w:bottom w:val="nil"/>
            </w:tcBorders>
            <w:vAlign w:val="center"/>
          </w:tcPr>
          <w:p w:rsidR="003260D8" w:rsidRDefault="003260D8">
            <w:pPr>
              <w:rPr>
                <w:rFonts w:cs="Arial"/>
                <w:szCs w:val="20"/>
              </w:rPr>
            </w:pPr>
            <w:r>
              <w:rPr>
                <w:rFonts w:cs="Arial"/>
                <w:szCs w:val="20"/>
              </w:rPr>
              <w:t>Ex ante quantity (TJ)</w:t>
            </w:r>
          </w:p>
        </w:tc>
        <w:tc>
          <w:tcPr>
            <w:tcW w:w="589" w:type="pct"/>
            <w:tcBorders>
              <w:top w:val="nil"/>
              <w:bottom w:val="nil"/>
            </w:tcBorders>
            <w:vAlign w:val="center"/>
          </w:tcPr>
          <w:p w:rsidR="003260D8" w:rsidRDefault="003260D8">
            <w:pPr>
              <w:jc w:val="center"/>
              <w:rPr>
                <w:rFonts w:cs="Arial"/>
                <w:szCs w:val="20"/>
              </w:rPr>
            </w:pPr>
            <w:r>
              <w:rPr>
                <w:rFonts w:cs="Arial"/>
                <w:szCs w:val="20"/>
              </w:rPr>
              <w:t>75</w:t>
            </w:r>
          </w:p>
        </w:tc>
        <w:tc>
          <w:tcPr>
            <w:tcW w:w="516" w:type="pct"/>
            <w:tcBorders>
              <w:top w:val="nil"/>
              <w:bottom w:val="nil"/>
            </w:tcBorders>
            <w:vAlign w:val="center"/>
          </w:tcPr>
          <w:p w:rsidR="003260D8" w:rsidRDefault="003260D8">
            <w:pPr>
              <w:jc w:val="center"/>
              <w:rPr>
                <w:rFonts w:cs="Arial"/>
                <w:szCs w:val="20"/>
              </w:rPr>
            </w:pPr>
            <w:r>
              <w:rPr>
                <w:rFonts w:cs="Arial"/>
                <w:szCs w:val="20"/>
              </w:rPr>
              <w:t>80</w:t>
            </w:r>
          </w:p>
        </w:tc>
        <w:tc>
          <w:tcPr>
            <w:tcW w:w="598" w:type="pct"/>
            <w:tcBorders>
              <w:top w:val="nil"/>
              <w:bottom w:val="nil"/>
            </w:tcBorders>
            <w:vAlign w:val="center"/>
          </w:tcPr>
          <w:p w:rsidR="003260D8" w:rsidRDefault="003260D8">
            <w:pPr>
              <w:jc w:val="center"/>
              <w:rPr>
                <w:rFonts w:cs="Arial"/>
                <w:szCs w:val="20"/>
              </w:rPr>
            </w:pPr>
            <w:r>
              <w:rPr>
                <w:rFonts w:cs="Arial"/>
                <w:szCs w:val="20"/>
              </w:rPr>
              <w:t>71</w:t>
            </w:r>
          </w:p>
        </w:tc>
        <w:tc>
          <w:tcPr>
            <w:tcW w:w="525" w:type="pct"/>
            <w:tcBorders>
              <w:top w:val="nil"/>
              <w:bottom w:val="nil"/>
            </w:tcBorders>
            <w:vAlign w:val="center"/>
          </w:tcPr>
          <w:p w:rsidR="003260D8" w:rsidRDefault="003260D8">
            <w:pPr>
              <w:jc w:val="center"/>
              <w:rPr>
                <w:rFonts w:cs="Arial"/>
                <w:szCs w:val="20"/>
              </w:rPr>
            </w:pPr>
            <w:r>
              <w:rPr>
                <w:rFonts w:cs="Arial"/>
                <w:szCs w:val="20"/>
              </w:rPr>
              <w:t>77</w:t>
            </w:r>
          </w:p>
        </w:tc>
        <w:tc>
          <w:tcPr>
            <w:tcW w:w="518" w:type="pct"/>
            <w:tcBorders>
              <w:top w:val="nil"/>
              <w:bottom w:val="nil"/>
            </w:tcBorders>
            <w:vAlign w:val="center"/>
          </w:tcPr>
          <w:p w:rsidR="003260D8" w:rsidRDefault="003260D8">
            <w:pPr>
              <w:jc w:val="center"/>
              <w:rPr>
                <w:rFonts w:cs="Arial"/>
                <w:szCs w:val="20"/>
              </w:rPr>
            </w:pPr>
            <w:r>
              <w:rPr>
                <w:rFonts w:cs="Arial"/>
                <w:szCs w:val="20"/>
              </w:rPr>
              <w:t>84</w:t>
            </w:r>
          </w:p>
        </w:tc>
        <w:tc>
          <w:tcPr>
            <w:tcW w:w="515" w:type="pct"/>
            <w:tcBorders>
              <w:top w:val="nil"/>
              <w:bottom w:val="nil"/>
            </w:tcBorders>
            <w:vAlign w:val="center"/>
          </w:tcPr>
          <w:p w:rsidR="003260D8" w:rsidRDefault="003260D8">
            <w:pPr>
              <w:jc w:val="center"/>
              <w:rPr>
                <w:rFonts w:cs="Arial"/>
                <w:szCs w:val="20"/>
              </w:rPr>
            </w:pPr>
            <w:r>
              <w:rPr>
                <w:rFonts w:cs="Arial"/>
                <w:szCs w:val="20"/>
              </w:rPr>
              <w:t>86</w:t>
            </w:r>
          </w:p>
        </w:tc>
        <w:tc>
          <w:tcPr>
            <w:tcW w:w="587" w:type="pct"/>
            <w:tcBorders>
              <w:top w:val="nil"/>
              <w:bottom w:val="nil"/>
            </w:tcBorders>
            <w:vAlign w:val="center"/>
          </w:tcPr>
          <w:p w:rsidR="003260D8" w:rsidRDefault="003260D8">
            <w:pPr>
              <w:jc w:val="center"/>
              <w:rPr>
                <w:rFonts w:cs="Arial"/>
                <w:szCs w:val="20"/>
              </w:rPr>
            </w:pPr>
            <w:r>
              <w:rPr>
                <w:rFonts w:cs="Arial"/>
                <w:szCs w:val="20"/>
              </w:rPr>
              <w:t>77</w:t>
            </w:r>
          </w:p>
        </w:tc>
      </w:tr>
      <w:tr w:rsidR="003260D8" w:rsidRPr="00405CDE" w:rsidTr="00A226E9">
        <w:trPr>
          <w:trHeight w:val="510"/>
        </w:trPr>
        <w:tc>
          <w:tcPr>
            <w:tcW w:w="1152" w:type="pct"/>
            <w:tcBorders>
              <w:top w:val="nil"/>
              <w:bottom w:val="nil"/>
            </w:tcBorders>
            <w:vAlign w:val="center"/>
          </w:tcPr>
          <w:p w:rsidR="003260D8" w:rsidRDefault="003260D8">
            <w:pPr>
              <w:rPr>
                <w:rFonts w:cs="Arial"/>
                <w:sz w:val="20"/>
                <w:szCs w:val="20"/>
              </w:rPr>
            </w:pPr>
            <w:r>
              <w:rPr>
                <w:rFonts w:cs="Arial"/>
                <w:sz w:val="20"/>
                <w:szCs w:val="20"/>
              </w:rPr>
              <w:t>Ex post price ($/GJ)</w:t>
            </w:r>
          </w:p>
        </w:tc>
        <w:tc>
          <w:tcPr>
            <w:tcW w:w="589" w:type="pct"/>
            <w:tcBorders>
              <w:top w:val="nil"/>
              <w:bottom w:val="nil"/>
            </w:tcBorders>
            <w:vAlign w:val="center"/>
          </w:tcPr>
          <w:p w:rsidR="003260D8" w:rsidRDefault="003260D8">
            <w:pPr>
              <w:jc w:val="center"/>
              <w:rPr>
                <w:rFonts w:cs="Arial"/>
                <w:sz w:val="20"/>
                <w:szCs w:val="20"/>
              </w:rPr>
            </w:pPr>
            <w:r>
              <w:rPr>
                <w:rFonts w:cs="Arial"/>
                <w:sz w:val="20"/>
                <w:szCs w:val="20"/>
              </w:rPr>
              <w:t>8.20</w:t>
            </w:r>
          </w:p>
        </w:tc>
        <w:tc>
          <w:tcPr>
            <w:tcW w:w="516" w:type="pct"/>
            <w:tcBorders>
              <w:top w:val="nil"/>
              <w:bottom w:val="nil"/>
            </w:tcBorders>
            <w:vAlign w:val="center"/>
          </w:tcPr>
          <w:p w:rsidR="003260D8" w:rsidRDefault="003260D8">
            <w:pPr>
              <w:jc w:val="center"/>
              <w:rPr>
                <w:rFonts w:cs="Arial"/>
                <w:sz w:val="20"/>
                <w:szCs w:val="20"/>
              </w:rPr>
            </w:pPr>
            <w:r>
              <w:rPr>
                <w:rFonts w:cs="Arial"/>
                <w:sz w:val="20"/>
                <w:szCs w:val="20"/>
              </w:rPr>
              <w:t>8.25</w:t>
            </w:r>
          </w:p>
        </w:tc>
        <w:tc>
          <w:tcPr>
            <w:tcW w:w="598" w:type="pct"/>
            <w:tcBorders>
              <w:top w:val="nil"/>
              <w:bottom w:val="nil"/>
            </w:tcBorders>
            <w:vAlign w:val="center"/>
          </w:tcPr>
          <w:p w:rsidR="003260D8" w:rsidRDefault="003260D8">
            <w:pPr>
              <w:jc w:val="center"/>
              <w:rPr>
                <w:rFonts w:cs="Arial"/>
                <w:sz w:val="20"/>
                <w:szCs w:val="20"/>
              </w:rPr>
            </w:pPr>
            <w:r>
              <w:rPr>
                <w:rFonts w:cs="Arial"/>
                <w:sz w:val="20"/>
                <w:szCs w:val="20"/>
              </w:rPr>
              <w:t>9.09</w:t>
            </w:r>
          </w:p>
        </w:tc>
        <w:tc>
          <w:tcPr>
            <w:tcW w:w="525" w:type="pct"/>
            <w:tcBorders>
              <w:top w:val="nil"/>
              <w:bottom w:val="nil"/>
            </w:tcBorders>
            <w:vAlign w:val="center"/>
          </w:tcPr>
          <w:p w:rsidR="003260D8" w:rsidRDefault="003260D8">
            <w:pPr>
              <w:jc w:val="center"/>
              <w:rPr>
                <w:rFonts w:cs="Arial"/>
                <w:sz w:val="20"/>
                <w:szCs w:val="20"/>
              </w:rPr>
            </w:pPr>
            <w:r>
              <w:rPr>
                <w:rFonts w:cs="Arial"/>
                <w:sz w:val="20"/>
                <w:szCs w:val="20"/>
              </w:rPr>
              <w:t>9.09</w:t>
            </w:r>
          </w:p>
        </w:tc>
        <w:tc>
          <w:tcPr>
            <w:tcW w:w="518" w:type="pct"/>
            <w:tcBorders>
              <w:top w:val="nil"/>
              <w:bottom w:val="nil"/>
            </w:tcBorders>
            <w:vAlign w:val="center"/>
          </w:tcPr>
          <w:p w:rsidR="003260D8" w:rsidRDefault="003260D8">
            <w:pPr>
              <w:jc w:val="center"/>
              <w:rPr>
                <w:rFonts w:cs="Arial"/>
                <w:sz w:val="20"/>
                <w:szCs w:val="20"/>
              </w:rPr>
            </w:pPr>
            <w:r>
              <w:rPr>
                <w:rFonts w:cs="Arial"/>
                <w:sz w:val="20"/>
                <w:szCs w:val="20"/>
              </w:rPr>
              <w:t>8.58</w:t>
            </w:r>
          </w:p>
        </w:tc>
        <w:tc>
          <w:tcPr>
            <w:tcW w:w="515" w:type="pct"/>
            <w:tcBorders>
              <w:top w:val="nil"/>
              <w:bottom w:val="nil"/>
            </w:tcBorders>
            <w:vAlign w:val="center"/>
          </w:tcPr>
          <w:p w:rsidR="003260D8" w:rsidRDefault="003260D8">
            <w:pPr>
              <w:jc w:val="center"/>
              <w:rPr>
                <w:rFonts w:cs="Arial"/>
                <w:sz w:val="20"/>
                <w:szCs w:val="20"/>
              </w:rPr>
            </w:pPr>
            <w:r>
              <w:rPr>
                <w:rFonts w:cs="Arial"/>
                <w:sz w:val="20"/>
                <w:szCs w:val="20"/>
              </w:rPr>
              <w:t>8.51</w:t>
            </w:r>
          </w:p>
        </w:tc>
        <w:tc>
          <w:tcPr>
            <w:tcW w:w="587" w:type="pct"/>
            <w:tcBorders>
              <w:top w:val="nil"/>
              <w:bottom w:val="nil"/>
            </w:tcBorders>
            <w:vAlign w:val="center"/>
          </w:tcPr>
          <w:p w:rsidR="003260D8" w:rsidRDefault="003260D8">
            <w:pPr>
              <w:jc w:val="center"/>
              <w:rPr>
                <w:rFonts w:cs="Arial"/>
                <w:sz w:val="20"/>
                <w:szCs w:val="20"/>
              </w:rPr>
            </w:pPr>
            <w:r>
              <w:rPr>
                <w:rFonts w:cs="Arial"/>
                <w:sz w:val="20"/>
                <w:szCs w:val="20"/>
              </w:rPr>
              <w:t>8.60</w:t>
            </w:r>
          </w:p>
        </w:tc>
      </w:tr>
      <w:tr w:rsidR="003260D8"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152" w:type="pct"/>
            <w:tcBorders>
              <w:top w:val="nil"/>
              <w:bottom w:val="single" w:sz="4" w:space="0" w:color="auto"/>
            </w:tcBorders>
            <w:vAlign w:val="center"/>
          </w:tcPr>
          <w:p w:rsidR="003260D8" w:rsidRDefault="003260D8">
            <w:pPr>
              <w:rPr>
                <w:rFonts w:cs="Arial"/>
                <w:szCs w:val="20"/>
              </w:rPr>
            </w:pPr>
            <w:r>
              <w:rPr>
                <w:rFonts w:cs="Arial"/>
                <w:szCs w:val="20"/>
              </w:rPr>
              <w:t>Ex post quantity (TJ)</w:t>
            </w:r>
          </w:p>
        </w:tc>
        <w:tc>
          <w:tcPr>
            <w:tcW w:w="589" w:type="pct"/>
            <w:tcBorders>
              <w:top w:val="nil"/>
              <w:bottom w:val="single" w:sz="4" w:space="0" w:color="auto"/>
            </w:tcBorders>
            <w:vAlign w:val="center"/>
          </w:tcPr>
          <w:p w:rsidR="003260D8" w:rsidRDefault="003260D8">
            <w:pPr>
              <w:jc w:val="center"/>
              <w:rPr>
                <w:rFonts w:cs="Arial"/>
                <w:szCs w:val="20"/>
              </w:rPr>
            </w:pPr>
            <w:r>
              <w:rPr>
                <w:rFonts w:cs="Arial"/>
                <w:szCs w:val="20"/>
              </w:rPr>
              <w:t>81</w:t>
            </w:r>
          </w:p>
        </w:tc>
        <w:tc>
          <w:tcPr>
            <w:tcW w:w="516" w:type="pct"/>
            <w:tcBorders>
              <w:top w:val="nil"/>
              <w:bottom w:val="single" w:sz="4" w:space="0" w:color="auto"/>
            </w:tcBorders>
            <w:vAlign w:val="center"/>
          </w:tcPr>
          <w:p w:rsidR="003260D8" w:rsidRDefault="003260D8">
            <w:pPr>
              <w:jc w:val="center"/>
              <w:rPr>
                <w:rFonts w:cs="Arial"/>
                <w:szCs w:val="20"/>
              </w:rPr>
            </w:pPr>
            <w:r>
              <w:rPr>
                <w:rFonts w:cs="Arial"/>
                <w:szCs w:val="20"/>
              </w:rPr>
              <w:t>87</w:t>
            </w:r>
          </w:p>
        </w:tc>
        <w:tc>
          <w:tcPr>
            <w:tcW w:w="598" w:type="pct"/>
            <w:tcBorders>
              <w:top w:val="nil"/>
              <w:bottom w:val="single" w:sz="4" w:space="0" w:color="auto"/>
            </w:tcBorders>
            <w:vAlign w:val="center"/>
          </w:tcPr>
          <w:p w:rsidR="003260D8" w:rsidRDefault="003260D8">
            <w:pPr>
              <w:jc w:val="center"/>
              <w:rPr>
                <w:rFonts w:cs="Arial"/>
                <w:szCs w:val="20"/>
              </w:rPr>
            </w:pPr>
            <w:r>
              <w:rPr>
                <w:rFonts w:cs="Arial"/>
                <w:szCs w:val="20"/>
              </w:rPr>
              <w:t>69</w:t>
            </w:r>
          </w:p>
        </w:tc>
        <w:tc>
          <w:tcPr>
            <w:tcW w:w="525" w:type="pct"/>
            <w:tcBorders>
              <w:top w:val="nil"/>
              <w:bottom w:val="single" w:sz="4" w:space="0" w:color="auto"/>
            </w:tcBorders>
            <w:vAlign w:val="center"/>
          </w:tcPr>
          <w:p w:rsidR="003260D8" w:rsidRDefault="003260D8">
            <w:pPr>
              <w:jc w:val="center"/>
              <w:rPr>
                <w:rFonts w:cs="Arial"/>
                <w:szCs w:val="20"/>
              </w:rPr>
            </w:pPr>
            <w:r>
              <w:rPr>
                <w:rFonts w:cs="Arial"/>
                <w:szCs w:val="20"/>
              </w:rPr>
              <w:t>76</w:t>
            </w:r>
          </w:p>
        </w:tc>
        <w:tc>
          <w:tcPr>
            <w:tcW w:w="518" w:type="pct"/>
            <w:tcBorders>
              <w:top w:val="nil"/>
              <w:bottom w:val="single" w:sz="4" w:space="0" w:color="auto"/>
            </w:tcBorders>
            <w:vAlign w:val="center"/>
          </w:tcPr>
          <w:p w:rsidR="003260D8" w:rsidRDefault="003260D8">
            <w:pPr>
              <w:jc w:val="center"/>
              <w:rPr>
                <w:rFonts w:cs="Arial"/>
                <w:szCs w:val="20"/>
              </w:rPr>
            </w:pPr>
            <w:r>
              <w:rPr>
                <w:rFonts w:cs="Arial"/>
                <w:szCs w:val="20"/>
              </w:rPr>
              <w:t>77</w:t>
            </w:r>
          </w:p>
        </w:tc>
        <w:tc>
          <w:tcPr>
            <w:tcW w:w="515" w:type="pct"/>
            <w:tcBorders>
              <w:top w:val="nil"/>
              <w:bottom w:val="single" w:sz="4" w:space="0" w:color="auto"/>
            </w:tcBorders>
            <w:vAlign w:val="center"/>
          </w:tcPr>
          <w:p w:rsidR="003260D8" w:rsidRDefault="003260D8">
            <w:pPr>
              <w:jc w:val="center"/>
              <w:rPr>
                <w:rFonts w:cs="Arial"/>
                <w:szCs w:val="20"/>
              </w:rPr>
            </w:pPr>
            <w:r>
              <w:rPr>
                <w:rFonts w:cs="Arial"/>
                <w:szCs w:val="20"/>
              </w:rPr>
              <w:t>81</w:t>
            </w:r>
          </w:p>
        </w:tc>
        <w:tc>
          <w:tcPr>
            <w:tcW w:w="587" w:type="pct"/>
            <w:tcBorders>
              <w:top w:val="nil"/>
              <w:bottom w:val="single" w:sz="4" w:space="0" w:color="auto"/>
            </w:tcBorders>
            <w:vAlign w:val="center"/>
          </w:tcPr>
          <w:p w:rsidR="003260D8" w:rsidRDefault="003260D8">
            <w:pPr>
              <w:jc w:val="center"/>
              <w:rPr>
                <w:rFonts w:cs="Arial"/>
                <w:szCs w:val="20"/>
              </w:rPr>
            </w:pPr>
            <w:r>
              <w:rPr>
                <w:rFonts w:cs="Arial"/>
                <w:szCs w:val="20"/>
              </w:rPr>
              <w:t>76</w:t>
            </w:r>
          </w:p>
        </w:tc>
      </w:tr>
    </w:tbl>
    <w:p w:rsidR="004C571B" w:rsidRDefault="00EC2CB1" w:rsidP="00E16EDC">
      <w:pPr>
        <w:pStyle w:val="Caption"/>
        <w:numPr>
          <w:ilvl w:val="0"/>
          <w:numId w:val="32"/>
        </w:numPr>
        <w:ind w:left="709" w:hanging="709"/>
        <w:rPr>
          <w:color w:val="2272A3"/>
          <w:szCs w:val="24"/>
        </w:rPr>
      </w:pPr>
      <w:r w:rsidRPr="00DD0358">
        <w:rPr>
          <w:color w:val="2272A3"/>
          <w:szCs w:val="24"/>
        </w:rPr>
        <w:t>BRI daily hub offers and daily hub bids in price bands ($/GJ)</w:t>
      </w:r>
    </w:p>
    <w:p w:rsidR="00EC2CB1" w:rsidRPr="00EC2CB1" w:rsidRDefault="003260D8" w:rsidP="00EC2CB1">
      <w:r w:rsidRPr="001570F4">
        <w:rPr>
          <w:noProof/>
          <w:lang w:eastAsia="en-AU"/>
        </w:rPr>
        <w:drawing>
          <wp:inline distT="0" distB="0" distL="0" distR="0" wp14:anchorId="78054F28" wp14:editId="7EBAA717">
            <wp:extent cx="5731510" cy="1725295"/>
            <wp:effectExtent l="0" t="0" r="2540" b="0"/>
            <wp:docPr id="36" name="Picture 36" descr="Figure 4.2 shows the daily hub offers and bid in within certain price bands in Brisbane this week. The line indicates the scheduled quantity for each day. For a more detailed description of this figure, please refer to the user guide." title="Brisbane daily offers and b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1725295"/>
                    </a:xfrm>
                    <a:prstGeom prst="rect">
                      <a:avLst/>
                    </a:prstGeom>
                    <a:noFill/>
                    <a:ln>
                      <a:noFill/>
                    </a:ln>
                  </pic:spPr>
                </pic:pic>
              </a:graphicData>
            </a:graphic>
          </wp:inline>
        </w:drawing>
      </w:r>
    </w:p>
    <w:p w:rsidR="00EC2CB1" w:rsidRDefault="00EC2CB1" w:rsidP="00EC2CB1">
      <w:pPr>
        <w:pStyle w:val="Caption"/>
        <w:numPr>
          <w:ilvl w:val="0"/>
          <w:numId w:val="32"/>
        </w:numPr>
        <w:ind w:left="709" w:hanging="709"/>
        <w:rPr>
          <w:color w:val="2272A3"/>
          <w:szCs w:val="24"/>
        </w:rPr>
      </w:pPr>
      <w:r w:rsidRPr="00DD0358">
        <w:rPr>
          <w:color w:val="2272A3"/>
          <w:szCs w:val="24"/>
        </w:rPr>
        <w:t>BRI net scheduled and allocated gas hub supply (excluding MOS)</w:t>
      </w:r>
    </w:p>
    <w:p w:rsidR="00EC2CB1" w:rsidRPr="00EC2CB1" w:rsidRDefault="003260D8" w:rsidP="00EC2CB1">
      <w:r w:rsidRPr="001570F4">
        <w:rPr>
          <w:noProof/>
          <w:lang w:eastAsia="en-AU"/>
        </w:rPr>
        <w:drawing>
          <wp:inline distT="0" distB="0" distL="0" distR="0" wp14:anchorId="1C50FE82" wp14:editId="6A409478">
            <wp:extent cx="5731510" cy="1475105"/>
            <wp:effectExtent l="0" t="0" r="2540" b="0"/>
            <wp:docPr id="37" name="Picture 37" descr="Figure 4.3 shows the daily scheduled and allocated quantities sorted by facility for Brisbane this week. For a more detailed description of this figure, please refer to the user guide." title="Brisbane scheduled and allocated su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1475105"/>
                    </a:xfrm>
                    <a:prstGeom prst="rect">
                      <a:avLst/>
                    </a:prstGeom>
                    <a:noFill/>
                    <a:ln>
                      <a:noFill/>
                    </a:ln>
                  </pic:spPr>
                </pic:pic>
              </a:graphicData>
            </a:graphic>
          </wp:inline>
        </w:drawing>
      </w:r>
    </w:p>
    <w:p w:rsidR="00EC2CB1" w:rsidRPr="001521CB" w:rsidRDefault="00EC2CB1" w:rsidP="00551D6B">
      <w:pPr>
        <w:pStyle w:val="Caption"/>
        <w:numPr>
          <w:ilvl w:val="0"/>
          <w:numId w:val="32"/>
        </w:numPr>
        <w:ind w:left="1418" w:hanging="1418"/>
      </w:pPr>
      <w:r w:rsidRPr="00DD0358">
        <w:rPr>
          <w:color w:val="2272A3"/>
          <w:szCs w:val="24"/>
        </w:rPr>
        <w:t>BRI MOS allocations (TJ), service payments and commodity payments/charges ($000)</w:t>
      </w:r>
    </w:p>
    <w:p w:rsidR="00551D6B" w:rsidRPr="00A226E9" w:rsidRDefault="003260D8" w:rsidP="00A226E9">
      <w:r w:rsidRPr="001570F4">
        <w:rPr>
          <w:noProof/>
          <w:lang w:eastAsia="en-AU"/>
        </w:rPr>
        <w:drawing>
          <wp:inline distT="0" distB="0" distL="0" distR="0" wp14:anchorId="086203F3" wp14:editId="333E4922">
            <wp:extent cx="5731510" cy="1882775"/>
            <wp:effectExtent l="0" t="0" r="2540" b="3175"/>
            <wp:docPr id="38" name="Picture 38" descr="Figure 4.4 shows the daily MOS allocations sorted by facility for each facility in Brisbane this week. The figure also shows the daily breakdown of costs associated with the MOS provided. For a more detailed description of this figure, please refer to the user guide." title="Brisbane M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1882775"/>
                    </a:xfrm>
                    <a:prstGeom prst="rect">
                      <a:avLst/>
                    </a:prstGeom>
                    <a:noFill/>
                    <a:ln>
                      <a:noFill/>
                    </a:ln>
                  </pic:spPr>
                </pic:pic>
              </a:graphicData>
            </a:graphic>
          </wp:inline>
        </w:drawing>
      </w:r>
    </w:p>
    <w:p w:rsidR="00EC2CB1" w:rsidRDefault="00EC2CB1" w:rsidP="00EC2CB1">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5</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National Gas Bulletin Board</w:t>
      </w:r>
    </w:p>
    <w:p w:rsidR="00596DE3" w:rsidRDefault="00596DE3" w:rsidP="00596DE3">
      <w:pPr>
        <w:jc w:val="both"/>
      </w:pPr>
      <w:r w:rsidRPr="00A475A2">
        <w:t xml:space="preserve">Figure </w:t>
      </w:r>
      <w:r>
        <w:t>5</w:t>
      </w:r>
      <w:r w:rsidRPr="00A475A2">
        <w:t xml:space="preserve">.1 shows average daily </w:t>
      </w:r>
      <w:r>
        <w:t xml:space="preserve">actual </w:t>
      </w:r>
      <w:r w:rsidRPr="00A475A2">
        <w:t>flows for the current week</w:t>
      </w:r>
      <w:r>
        <w:rPr>
          <w:rStyle w:val="FootnoteReference"/>
        </w:rPr>
        <w:footnoteReference w:id="11"/>
      </w:r>
      <w:r>
        <w:t xml:space="preserve"> from </w:t>
      </w:r>
      <w:r w:rsidRPr="00A475A2">
        <w:t xml:space="preserve">the Bulletin Board (changes from the </w:t>
      </w:r>
      <w:r>
        <w:t>previous week’s</w:t>
      </w:r>
      <w:r w:rsidRPr="00A475A2">
        <w:t xml:space="preserve"> average are shown in brackets).</w:t>
      </w:r>
      <w:r w:rsidRPr="00DF25FF">
        <w:t xml:space="preserve"> </w:t>
      </w:r>
      <w:r>
        <w:t>Average daily prices</w:t>
      </w:r>
      <w:r>
        <w:rPr>
          <w:rStyle w:val="FootnoteReference"/>
        </w:rPr>
        <w:footnoteReference w:id="12"/>
      </w:r>
      <w:r>
        <w:t xml:space="preserve"> are provided for gas markets and gas supply hubs. Average daily quantities are provided for gas powered generation for each region.</w:t>
      </w:r>
    </w:p>
    <w:p w:rsidR="00596DE3" w:rsidRDefault="00596DE3" w:rsidP="00596DE3">
      <w:pPr>
        <w:pStyle w:val="Caption"/>
        <w:numPr>
          <w:ilvl w:val="0"/>
          <w:numId w:val="33"/>
        </w:numPr>
        <w:ind w:left="1418" w:hanging="1418"/>
        <w:rPr>
          <w:color w:val="2272A3"/>
          <w:szCs w:val="24"/>
        </w:rPr>
      </w:pPr>
      <w:r w:rsidRPr="00DD0358">
        <w:rPr>
          <w:color w:val="2272A3"/>
          <w:szCs w:val="24"/>
        </w:rPr>
        <w:t xml:space="preserve">Gas market data ($/GJ, TJ); </w:t>
      </w:r>
      <w:r>
        <w:rPr>
          <w:color w:val="2272A3"/>
          <w:szCs w:val="24"/>
        </w:rPr>
        <w:t>Bulletin Board</w:t>
      </w:r>
      <w:r w:rsidRPr="00DD0358">
        <w:rPr>
          <w:color w:val="2272A3"/>
          <w:szCs w:val="24"/>
        </w:rPr>
        <w:t xml:space="preserve"> flows (TJ)</w:t>
      </w:r>
      <w:r>
        <w:rPr>
          <w:rStyle w:val="FootnoteReference"/>
          <w:color w:val="2272A3"/>
          <w:szCs w:val="24"/>
        </w:rPr>
        <w:footnoteReference w:id="13"/>
      </w:r>
    </w:p>
    <w:p w:rsidR="00665C0C" w:rsidRDefault="003260D8" w:rsidP="00596DE3">
      <w:pPr>
        <w:spacing w:line="240" w:lineRule="auto"/>
      </w:pPr>
      <w:r w:rsidRPr="001570F4">
        <w:rPr>
          <w:noProof/>
          <w:lang w:eastAsia="en-AU"/>
        </w:rPr>
        <w:drawing>
          <wp:inline distT="0" distB="0" distL="0" distR="0" wp14:anchorId="70AEE16E" wp14:editId="000B1A39">
            <wp:extent cx="5731510" cy="6276340"/>
            <wp:effectExtent l="0" t="0" r="2540" b="0"/>
            <wp:docPr id="40" name="Picture 40" descr="Figure 5.1 shows the average daily Bulletin Board flows for this week compared to the previous week. It includes price data for gas markets across the east coast of Australia and gas powered generation usage estimates for each state. For a more detailed description of this figure, please refer to the user guide." title="Gas bulletin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6276340"/>
                    </a:xfrm>
                    <a:prstGeom prst="rect">
                      <a:avLst/>
                    </a:prstGeom>
                    <a:noFill/>
                    <a:ln>
                      <a:noFill/>
                    </a:ln>
                  </pic:spPr>
                </pic:pic>
              </a:graphicData>
            </a:graphic>
          </wp:inline>
        </w:drawing>
      </w:r>
      <w:r w:rsidR="00665C0C">
        <w:rPr>
          <w:b/>
          <w:bCs/>
        </w:rPr>
        <w:br w:type="page"/>
      </w:r>
    </w:p>
    <w:p w:rsidR="00EC2CB1" w:rsidRDefault="00EC2CB1" w:rsidP="00EC2CB1">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6</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Gas Supply Hub</w:t>
      </w:r>
    </w:p>
    <w:p w:rsidR="00596DE3" w:rsidRDefault="00596DE3" w:rsidP="00596DE3">
      <w:pPr>
        <w:jc w:val="both"/>
        <w:rPr>
          <w:color w:val="FF0000"/>
        </w:rPr>
      </w:pPr>
      <w:r w:rsidRPr="00DD0DBA">
        <w:t xml:space="preserve">The gas supply hub was established at Wallumbilla in March 2014 to facilitate the voluntary trading of gas between participants, with products listed for sale and purchase at delivery points on three major connecting pipelines at. </w:t>
      </w:r>
      <w:r w:rsidRPr="00552F68">
        <w:t xml:space="preserve">There are separate products for each </w:t>
      </w:r>
      <w:r>
        <w:t>trading location</w:t>
      </w:r>
      <w:r w:rsidRPr="00552F68">
        <w:t xml:space="preserve"> and delivery period (daily, day-ahead, balance-of-day, weekly and monthly products).</w:t>
      </w:r>
      <w:r>
        <w:rPr>
          <w:rStyle w:val="FootnoteReference"/>
        </w:rPr>
        <w:footnoteReference w:id="14"/>
      </w:r>
      <w:r w:rsidRPr="00552F68">
        <w:rPr>
          <w:color w:val="FF0000"/>
        </w:rPr>
        <w:t xml:space="preserve"> </w:t>
      </w:r>
    </w:p>
    <w:p w:rsidR="00596DE3" w:rsidRDefault="00596DE3" w:rsidP="00596DE3">
      <w:pPr>
        <w:jc w:val="both"/>
      </w:pPr>
      <w:r w:rsidRPr="00DD0DBA">
        <w:t xml:space="preserve">The Moomba hub commenced operation from June 2016 to further facilitate trading on the </w:t>
      </w:r>
      <w:r w:rsidRPr="00DD0DBA">
        <w:rPr>
          <w:b/>
        </w:rPr>
        <w:t>MAP</w:t>
      </w:r>
      <w:r w:rsidRPr="00DD0DBA">
        <w:t xml:space="preserve"> and </w:t>
      </w:r>
      <w:r w:rsidRPr="00DD0DBA">
        <w:rPr>
          <w:b/>
        </w:rPr>
        <w:t>MSP</w:t>
      </w:r>
      <w:r w:rsidRPr="00DD0DBA">
        <w:t xml:space="preserve">, with trading between the two hubs </w:t>
      </w:r>
      <w:r>
        <w:t xml:space="preserve">on </w:t>
      </w:r>
      <w:r w:rsidRPr="00DD0DBA">
        <w:t>the SWQP</w:t>
      </w:r>
      <w:r>
        <w:t xml:space="preserve"> via a spread product (representing the price differential between the hubs). From October 2016, the addition of a Wallumbilla Compression Product was introduced to facilitate</w:t>
      </w:r>
      <w:r w:rsidRPr="003804B2">
        <w:t xml:space="preserve"> </w:t>
      </w:r>
      <w:r>
        <w:t xml:space="preserve">the supply </w:t>
      </w:r>
      <w:r w:rsidRPr="004A7BD7">
        <w:t>hub’s transition from three different trading locations into one</w:t>
      </w:r>
      <w:r>
        <w:t xml:space="preserve">. </w:t>
      </w:r>
      <w:r w:rsidR="00760B4D">
        <w:t>From March 2017, Wallumbilla transitioned into an optional hub services model, replacing the three trading locations (QGP, SWQP and RB</w:t>
      </w:r>
      <w:r w:rsidR="00B050A6">
        <w:t>P</w:t>
      </w:r>
      <w:r w:rsidR="00760B4D">
        <w:t xml:space="preserve">) with a single product at Wallumbilla </w:t>
      </w:r>
      <w:r w:rsidR="00760B4D">
        <w:rPr>
          <w:b/>
        </w:rPr>
        <w:t>(WAL)</w:t>
      </w:r>
      <w:r w:rsidR="00760B4D">
        <w:t xml:space="preserve"> and an in-pipe RBP trading location at South East Queensland </w:t>
      </w:r>
      <w:r w:rsidR="00760B4D">
        <w:rPr>
          <w:b/>
        </w:rPr>
        <w:t>(SEQ)</w:t>
      </w:r>
      <w:r w:rsidR="00760B4D">
        <w:t>.</w:t>
      </w:r>
    </w:p>
    <w:p w:rsidR="00B46C5E" w:rsidRDefault="003260D8" w:rsidP="00551D6B">
      <w:pPr>
        <w:jc w:val="both"/>
      </w:pPr>
      <w:r w:rsidRPr="001570F4">
        <w:t>This week, there was a</w:t>
      </w:r>
      <w:r>
        <w:t>n</w:t>
      </w:r>
      <w:r w:rsidRPr="001570F4">
        <w:t xml:space="preserve"> increase in both traded volumes and the number of trades at both Wallumbilla and South East Queensland. Last week, there were a total of 12 trades for 82 TJ at a volume weighted price of $8.03/GJ. This week, there were 2</w:t>
      </w:r>
      <w:r w:rsidR="00B46C5E">
        <w:t>3</w:t>
      </w:r>
      <w:r w:rsidRPr="001570F4">
        <w:t xml:space="preserve"> trades for 120 TJ at a volume weighted price of $8.</w:t>
      </w:r>
      <w:r w:rsidR="00B46C5E">
        <w:t>66</w:t>
      </w:r>
      <w:r w:rsidRPr="001570F4">
        <w:t>/GJ. These consisted of 10 trades at Wallumbilla (55 TJ at $</w:t>
      </w:r>
      <w:r w:rsidR="00B46C5E">
        <w:t>9.19</w:t>
      </w:r>
      <w:r w:rsidRPr="001570F4">
        <w:t>/GJ) and 13 trades at South East Queensland (65 TJ at $8.</w:t>
      </w:r>
      <w:r w:rsidR="00B46C5E">
        <w:t>20</w:t>
      </w:r>
      <w:r w:rsidRPr="001570F4">
        <w:t xml:space="preserve">/GJ). </w:t>
      </w:r>
    </w:p>
    <w:p w:rsidR="000C1A94" w:rsidRPr="00E06937" w:rsidRDefault="00596DE3" w:rsidP="00551D6B">
      <w:pPr>
        <w:jc w:val="both"/>
      </w:pPr>
      <w:r w:rsidRPr="00552F68">
        <w:t>Figure 6.1 shows the quantity of gas traded by product type for each trading day on pipeline trading locations in the Wallumbilla and Moomba Gas Supply Hubs.</w:t>
      </w:r>
      <w:r>
        <w:rPr>
          <w:rStyle w:val="FootnoteReference"/>
        </w:rPr>
        <w:footnoteReference w:id="15"/>
      </w:r>
    </w:p>
    <w:p w:rsidR="00E16EDC" w:rsidRDefault="00F65699" w:rsidP="00E16EDC">
      <w:pPr>
        <w:pStyle w:val="Caption"/>
        <w:numPr>
          <w:ilvl w:val="0"/>
          <w:numId w:val="34"/>
        </w:numPr>
        <w:ind w:left="709" w:hanging="709"/>
        <w:rPr>
          <w:color w:val="2272A3"/>
          <w:szCs w:val="24"/>
        </w:rPr>
      </w:pPr>
      <w:r>
        <w:rPr>
          <w:color w:val="2272A3"/>
          <w:szCs w:val="24"/>
        </w:rPr>
        <w:t>GSH traded quantities</w:t>
      </w:r>
    </w:p>
    <w:p w:rsidR="00E16EDC" w:rsidRDefault="003260D8" w:rsidP="00E16EDC">
      <w:r w:rsidRPr="001570F4">
        <w:rPr>
          <w:noProof/>
          <w:lang w:eastAsia="en-AU"/>
        </w:rPr>
        <w:drawing>
          <wp:inline distT="0" distB="0" distL="0" distR="0" wp14:anchorId="64D7A085" wp14:editId="3F35EC34">
            <wp:extent cx="5731510" cy="3126740"/>
            <wp:effectExtent l="0" t="0" r="2540" b="0"/>
            <wp:docPr id="39" name="Picture 39" descr="Figure 6.1 shows the daily quantity of gas traded during the week at each trading location. In the Moomba hub, trading locations include registered facilities at MSP and MAP. Trades at the Wallumbilla trading location (WAL*) include netted and non-netted trades.    &#10;    &#10;" title="Gas supply hub traded quant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3126740"/>
                    </a:xfrm>
                    <a:prstGeom prst="rect">
                      <a:avLst/>
                    </a:prstGeom>
                    <a:noFill/>
                    <a:ln>
                      <a:noFill/>
                    </a:ln>
                  </pic:spPr>
                </pic:pic>
              </a:graphicData>
            </a:graphic>
          </wp:inline>
        </w:drawing>
      </w:r>
    </w:p>
    <w:bookmarkEnd w:id="0"/>
    <w:bookmarkEnd w:id="1"/>
    <w:bookmarkEnd w:id="2"/>
    <w:bookmarkEnd w:id="3"/>
    <w:bookmarkEnd w:id="4"/>
    <w:bookmarkEnd w:id="5"/>
    <w:p w:rsidR="00275002" w:rsidRPr="009F2CAC" w:rsidRDefault="00275002" w:rsidP="00783D4E">
      <w:pPr>
        <w:pStyle w:val="Heading4notnumbered"/>
      </w:pPr>
      <w:r w:rsidRPr="00D92E07">
        <w:t>Australian Energy Regulator</w:t>
      </w:r>
      <w:r w:rsidR="005B0EF5" w:rsidRPr="00D92E07">
        <w:br/>
      </w:r>
      <w:r w:rsidR="003260D8" w:rsidRPr="003260D8">
        <w:t>May</w:t>
      </w:r>
      <w:r w:rsidR="004D5447" w:rsidRPr="003260D8">
        <w:t xml:space="preserve"> </w:t>
      </w:r>
      <w:r w:rsidR="00C4712A" w:rsidRPr="003260D8">
        <w:t>20</w:t>
      </w:r>
      <w:r w:rsidR="00280CAF" w:rsidRPr="003260D8">
        <w:t>17</w:t>
      </w:r>
    </w:p>
    <w:sectPr w:rsidR="00275002" w:rsidRPr="009F2CAC" w:rsidSect="00A226E9">
      <w:footerReference w:type="even" r:id="rId33"/>
      <w:footerReference w:type="default" r:id="rId34"/>
      <w:footerReference w:type="first" r:id="rId35"/>
      <w:pgSz w:w="11906" w:h="16838"/>
      <w:pgMar w:top="709" w:right="1440" w:bottom="851" w:left="1440" w:header="708" w:footer="8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4600" w:rsidRDefault="00674600" w:rsidP="004B4412">
      <w:pPr>
        <w:spacing w:before="0"/>
      </w:pPr>
      <w:r>
        <w:separator/>
      </w:r>
    </w:p>
  </w:endnote>
  <w:endnote w:type="continuationSeparator" w:id="0">
    <w:p w:rsidR="00674600" w:rsidRDefault="00674600" w:rsidP="004B4412">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Fax">
    <w:panose1 w:val="02060602050505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utami">
    <w:panose1 w:val="020B0502040204020203"/>
    <w:charset w:val="00"/>
    <w:family w:val="swiss"/>
    <w:pitch w:val="variable"/>
    <w:sig w:usb0="002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4600" w:rsidRPr="00A91A9E" w:rsidRDefault="00674600" w:rsidP="00275002">
    <w:pPr>
      <w:pBdr>
        <w:top w:val="single" w:sz="2" w:space="1" w:color="auto"/>
      </w:pBdr>
      <w:tabs>
        <w:tab w:val="right" w:pos="8448"/>
      </w:tabs>
      <w:rPr>
        <w:rStyle w:val="PageNumber"/>
      </w:rPr>
    </w:pPr>
    <w:r w:rsidRPr="00A91A9E">
      <w:rPr>
        <w:rStyle w:val="PageNumber"/>
      </w:rPr>
      <w:fldChar w:fldCharType="begin"/>
    </w:r>
    <w:r w:rsidRPr="00A91A9E">
      <w:rPr>
        <w:rStyle w:val="PageNumber"/>
      </w:rPr>
      <w:instrText xml:space="preserve"> PAGE   \* MERGEFORMAT </w:instrText>
    </w:r>
    <w:r w:rsidRPr="00A91A9E">
      <w:rPr>
        <w:rStyle w:val="PageNumber"/>
      </w:rPr>
      <w:fldChar w:fldCharType="separate"/>
    </w:r>
    <w:r>
      <w:rPr>
        <w:rStyle w:val="PageNumber"/>
        <w:noProof/>
      </w:rPr>
      <w:t>2</w:t>
    </w:r>
    <w:r w:rsidRPr="00A91A9E">
      <w:rPr>
        <w:rStyle w:val="PageNumber"/>
      </w:rPr>
      <w:fldChar w:fldCharType="end"/>
    </w:r>
    <w:r w:rsidRPr="00A91A9E">
      <w:rPr>
        <w:rStyle w:val="PageNumber"/>
      </w:rPr>
      <w:tab/>
      <w:t>Xxx report—month/year</w:t>
    </w:r>
  </w:p>
  <w:p w:rsidR="00674600" w:rsidRDefault="00674600"/>
  <w:p w:rsidR="00674600" w:rsidRDefault="0067460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4600" w:rsidRPr="00A94D89" w:rsidRDefault="00674600" w:rsidP="00A94D89">
    <w:pPr>
      <w:pStyle w:val="Footer"/>
      <w:pBdr>
        <w:top w:val="single" w:sz="4" w:space="1" w:color="auto"/>
      </w:pBdr>
      <w:rPr>
        <w:rFonts w:cs="Arial"/>
        <w:i/>
      </w:rPr>
    </w:pPr>
    <w:r w:rsidRPr="00F52F00">
      <w:rPr>
        <w:rFonts w:cs="Arial"/>
        <w:i/>
      </w:rPr>
      <w:tab/>
    </w:r>
    <w:r w:rsidRPr="001F1B78">
      <w:rPr>
        <w:rFonts w:cs="Arial"/>
        <w:i/>
      </w:rPr>
      <w:fldChar w:fldCharType="begin"/>
    </w:r>
    <w:r w:rsidRPr="001F1B78">
      <w:rPr>
        <w:rFonts w:cs="Arial"/>
        <w:i/>
      </w:rPr>
      <w:instrText xml:space="preserve"> PAGE   \* MERGEFORMAT </w:instrText>
    </w:r>
    <w:r w:rsidRPr="001F1B78">
      <w:rPr>
        <w:rFonts w:cs="Arial"/>
        <w:i/>
      </w:rPr>
      <w:fldChar w:fldCharType="separate"/>
    </w:r>
    <w:r w:rsidR="00111FF6">
      <w:rPr>
        <w:rFonts w:cs="Arial"/>
        <w:i/>
        <w:noProof/>
      </w:rPr>
      <w:t>13</w:t>
    </w:r>
    <w:r w:rsidRPr="001F1B78">
      <w:rPr>
        <w:rFonts w:cs="Arial"/>
        <w:i/>
        <w:noProof/>
      </w:rPr>
      <w:fldChar w:fldCharType="end"/>
    </w:r>
    <w:r w:rsidRPr="00F52F00">
      <w:rPr>
        <w:rFonts w:cs="Arial"/>
        <w:i/>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4600" w:rsidRPr="00A94D89" w:rsidRDefault="00674600" w:rsidP="00A94D89">
    <w:pPr>
      <w:pStyle w:val="Footer"/>
      <w:pBdr>
        <w:top w:val="single" w:sz="4" w:space="1" w:color="auto"/>
      </w:pBdr>
      <w:rPr>
        <w:rFonts w:cs="Arial"/>
        <w:i/>
      </w:rPr>
    </w:pPr>
    <w:r w:rsidRPr="00F52F00">
      <w:rPr>
        <w:rFonts w:cs="Arial"/>
        <w:i/>
      </w:rPr>
      <w:t>© Commonwealth of Australia</w:t>
    </w:r>
    <w:r w:rsidRPr="00F52F00">
      <w:rPr>
        <w:rFonts w:cs="Arial"/>
        <w:i/>
      </w:rPr>
      <w:tab/>
    </w:r>
    <w:r w:rsidRPr="001F1B78">
      <w:rPr>
        <w:rFonts w:cs="Arial"/>
        <w:i/>
      </w:rPr>
      <w:fldChar w:fldCharType="begin"/>
    </w:r>
    <w:r w:rsidRPr="001F1B78">
      <w:rPr>
        <w:rFonts w:cs="Arial"/>
        <w:i/>
      </w:rPr>
      <w:instrText xml:space="preserve"> PAGE   \* MERGEFORMAT </w:instrText>
    </w:r>
    <w:r w:rsidRPr="001F1B78">
      <w:rPr>
        <w:rFonts w:cs="Arial"/>
        <w:i/>
      </w:rPr>
      <w:fldChar w:fldCharType="separate"/>
    </w:r>
    <w:r w:rsidR="00111FF6">
      <w:rPr>
        <w:rFonts w:cs="Arial"/>
        <w:i/>
        <w:noProof/>
      </w:rPr>
      <w:t>1</w:t>
    </w:r>
    <w:r w:rsidRPr="001F1B78">
      <w:rPr>
        <w:rFonts w:cs="Arial"/>
        <w:i/>
        <w:noProof/>
      </w:rPr>
      <w:fldChar w:fldCharType="end"/>
    </w:r>
    <w:r w:rsidRPr="00F52F00">
      <w:rPr>
        <w:rFonts w:cs="Arial"/>
        <w:i/>
      </w:rPr>
      <w:tab/>
      <w:t>AER reference: 392</w:t>
    </w:r>
    <w:r>
      <w:rPr>
        <w:rFonts w:cs="Arial"/>
        <w:i/>
      </w:rPr>
      <w:t>7</w:t>
    </w:r>
    <w:r w:rsidRPr="00F52F00">
      <w:rPr>
        <w:rFonts w:cs="Arial"/>
        <w:i/>
      </w:rPr>
      <w:t xml:space="preserve">0 – </w:t>
    </w:r>
    <w:r w:rsidRPr="007F43CB">
      <w:rPr>
        <w:rFonts w:cs="Arial"/>
        <w:i/>
        <w:szCs w:val="18"/>
      </w:rPr>
      <w:t>D1</w:t>
    </w:r>
    <w:r>
      <w:rPr>
        <w:rFonts w:cs="Arial"/>
        <w:i/>
        <w:szCs w:val="18"/>
      </w:rPr>
      <w:t>7</w:t>
    </w:r>
    <w:r w:rsidRPr="007F43CB">
      <w:rPr>
        <w:rFonts w:cs="Arial"/>
        <w:i/>
        <w:szCs w:val="18"/>
      </w:rPr>
      <w:t>/</w:t>
    </w:r>
    <w:r w:rsidR="003260D8">
      <w:rPr>
        <w:rFonts w:cs="Arial"/>
        <w:i/>
        <w:szCs w:val="18"/>
      </w:rPr>
      <w:t>63796</w:t>
    </w:r>
  </w:p>
  <w:p w:rsidR="00674600" w:rsidRDefault="0067460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4600" w:rsidRDefault="00674600" w:rsidP="004B4412">
      <w:pPr>
        <w:spacing w:before="0"/>
      </w:pPr>
      <w:r>
        <w:separator/>
      </w:r>
    </w:p>
  </w:footnote>
  <w:footnote w:type="continuationSeparator" w:id="0">
    <w:p w:rsidR="00674600" w:rsidRDefault="00674600" w:rsidP="004B4412">
      <w:pPr>
        <w:spacing w:before="0"/>
      </w:pPr>
      <w:r>
        <w:continuationSeparator/>
      </w:r>
    </w:p>
  </w:footnote>
  <w:footnote w:id="1">
    <w:p w:rsidR="00674600" w:rsidRPr="000835F4" w:rsidRDefault="00674600" w:rsidP="000835F4">
      <w:pPr>
        <w:pStyle w:val="FootnoteText"/>
        <w:spacing w:before="0"/>
        <w:ind w:left="709" w:hanging="709"/>
        <w:jc w:val="both"/>
        <w:rPr>
          <w:szCs w:val="16"/>
        </w:rPr>
      </w:pPr>
      <w:r w:rsidRPr="00EC137F">
        <w:rPr>
          <w:rStyle w:val="FootnoteReference"/>
        </w:rPr>
        <w:footnoteRef/>
      </w:r>
      <w:r w:rsidRPr="00EC137F">
        <w:t xml:space="preserve"> </w:t>
      </w:r>
      <w:r w:rsidRPr="00EC137F">
        <w:tab/>
        <w:t xml:space="preserve">Average daily quantities are displayed for each region. </w:t>
      </w:r>
      <w:r w:rsidRPr="00EC137F">
        <w:rPr>
          <w:szCs w:val="16"/>
        </w:rPr>
        <w:t xml:space="preserve">The weighted average daily imbalance price applies for Victoria. </w:t>
      </w:r>
    </w:p>
  </w:footnote>
  <w:footnote w:id="2">
    <w:p w:rsidR="00674600" w:rsidRPr="000835F4" w:rsidRDefault="00674600" w:rsidP="00674600">
      <w:pPr>
        <w:pStyle w:val="FootnoteText"/>
        <w:spacing w:before="0"/>
        <w:ind w:left="709" w:hanging="709"/>
        <w:jc w:val="both"/>
        <w:rPr>
          <w:szCs w:val="16"/>
        </w:rPr>
      </w:pPr>
      <w:r w:rsidRPr="00EC137F">
        <w:rPr>
          <w:rStyle w:val="FootnoteReference"/>
        </w:rPr>
        <w:footnoteRef/>
      </w:r>
      <w:r w:rsidRPr="00EC137F">
        <w:t xml:space="preserve"> </w:t>
      </w:r>
      <w:r w:rsidRPr="00EC137F">
        <w:tab/>
      </w:r>
      <w:r w:rsidRPr="00EC137F">
        <w:rPr>
          <w:szCs w:val="16"/>
        </w:rPr>
        <w:t>The prices shown for the GSH in Moomba</w:t>
      </w:r>
      <w:r w:rsidR="00C370D1">
        <w:rPr>
          <w:szCs w:val="16"/>
        </w:rPr>
        <w:t>, South East Queensland and Wallumbilla</w:t>
      </w:r>
      <w:r w:rsidRPr="00EC137F">
        <w:rPr>
          <w:szCs w:val="16"/>
        </w:rPr>
        <w:t xml:space="preserve"> are volume weighted average </w:t>
      </w:r>
      <w:r w:rsidR="00A72667">
        <w:rPr>
          <w:szCs w:val="16"/>
        </w:rPr>
        <w:t xml:space="preserve">(VWA) </w:t>
      </w:r>
      <w:r w:rsidRPr="00EC137F">
        <w:rPr>
          <w:szCs w:val="16"/>
        </w:rPr>
        <w:t>prices for all products traded across the period. The total quantity contributing to the weighted price is displayed for these GSH.</w:t>
      </w:r>
      <w:r w:rsidR="00C370D1">
        <w:rPr>
          <w:szCs w:val="16"/>
        </w:rPr>
        <w:t xml:space="preserve"> Reported values for Moomba are the aggregate of trades on the Moomba to Adelaide Pipeline (MAP) and the Moomba to Sydney Pipeline (MSP).</w:t>
      </w:r>
      <w:r w:rsidR="00B64331">
        <w:rPr>
          <w:szCs w:val="16"/>
        </w:rPr>
        <w:t xml:space="preserve"> Historic trades for RBP and SWQP are grouped under WAL, (including in-pipe trades on the RBP).</w:t>
      </w:r>
    </w:p>
  </w:footnote>
  <w:footnote w:id="3">
    <w:p w:rsidR="003260D8" w:rsidRDefault="003260D8" w:rsidP="003260D8">
      <w:pPr>
        <w:pStyle w:val="FootnoteText"/>
        <w:ind w:left="709" w:hanging="709"/>
        <w:jc w:val="both"/>
      </w:pPr>
      <w:r>
        <w:rPr>
          <w:rStyle w:val="FootnoteReference"/>
        </w:rPr>
        <w:footnoteRef/>
      </w:r>
      <w:r>
        <w:t xml:space="preserve"> </w:t>
      </w:r>
      <w:r>
        <w:tab/>
        <w:t>In order to alleviate the predicted shortfall and avoid the necessity of AEMO scheduling out-of-merit order bids, market participants are asked to re-evaluate their bids and offers to provide more supply to the region. AEMO has also notified of a constraint restricting net withdrawal quantities at Iona for 17 May.</w:t>
      </w:r>
    </w:p>
  </w:footnote>
  <w:footnote w:id="4">
    <w:p w:rsidR="003260D8" w:rsidRDefault="003260D8" w:rsidP="003260D8">
      <w:pPr>
        <w:pStyle w:val="FootnoteText"/>
        <w:ind w:left="709" w:hanging="709"/>
        <w:jc w:val="both"/>
      </w:pPr>
      <w:r>
        <w:rPr>
          <w:rStyle w:val="FootnoteReference"/>
        </w:rPr>
        <w:footnoteRef/>
      </w:r>
      <w:r>
        <w:t xml:space="preserve"> </w:t>
      </w:r>
      <w:r>
        <w:tab/>
      </w:r>
      <w:proofErr w:type="gramStart"/>
      <w:r>
        <w:t>A localised region around the South West Pipeline (and lateral pipelines).</w:t>
      </w:r>
      <w:proofErr w:type="gramEnd"/>
    </w:p>
  </w:footnote>
  <w:footnote w:id="5">
    <w:p w:rsidR="00674600" w:rsidRPr="00EC2CB1" w:rsidRDefault="00674600" w:rsidP="00EC2CB1">
      <w:pPr>
        <w:pStyle w:val="FootnoteText"/>
        <w:spacing w:before="0"/>
        <w:ind w:left="709" w:hanging="709"/>
        <w:jc w:val="both"/>
        <w:rPr>
          <w:szCs w:val="16"/>
        </w:rPr>
      </w:pPr>
      <w:r w:rsidRPr="00EC2CB1">
        <w:rPr>
          <w:rStyle w:val="FootnoteReference"/>
          <w:szCs w:val="16"/>
        </w:rPr>
        <w:footnoteRef/>
      </w:r>
      <w:r w:rsidRPr="00EC2CB1">
        <w:rPr>
          <w:szCs w:val="16"/>
        </w:rPr>
        <w:t xml:space="preserve"> </w:t>
      </w:r>
      <w:r w:rsidRPr="00EC2CB1">
        <w:rPr>
          <w:szCs w:val="16"/>
        </w:rPr>
        <w:tab/>
        <w:t>Prices for subsequent schedules are applied only to the differences in scheduled quantities (imbalances) to calculate the weighted price. The 6 am price applies to the entire scheduled quantity in the initial schedule.</w:t>
      </w:r>
    </w:p>
  </w:footnote>
  <w:footnote w:id="6">
    <w:p w:rsidR="00674600" w:rsidRPr="00EC2CB1" w:rsidRDefault="00674600" w:rsidP="00EC2CB1">
      <w:pPr>
        <w:pStyle w:val="FootnoteText"/>
        <w:spacing w:before="0"/>
        <w:ind w:left="709" w:hanging="709"/>
        <w:jc w:val="both"/>
        <w:rPr>
          <w:szCs w:val="16"/>
        </w:rPr>
      </w:pPr>
      <w:r w:rsidRPr="00EC2CB1">
        <w:rPr>
          <w:rStyle w:val="FootnoteReference"/>
          <w:szCs w:val="16"/>
        </w:rPr>
        <w:footnoteRef/>
      </w:r>
      <w:r w:rsidRPr="00EC2CB1">
        <w:rPr>
          <w:szCs w:val="16"/>
        </w:rPr>
        <w:t xml:space="preserve"> </w:t>
      </w:r>
      <w:r w:rsidRPr="00EC2CB1">
        <w:rPr>
          <w:szCs w:val="16"/>
        </w:rPr>
        <w:tab/>
        <w:t>The price might also be affected by transmission or production (contractual) constraints limiting how much gas can be delivered from a locale or System Injection Point (SIP) from time to time.</w:t>
      </w:r>
    </w:p>
  </w:footnote>
  <w:footnote w:id="7">
    <w:p w:rsidR="00674600" w:rsidRPr="00EC2CB1" w:rsidRDefault="00674600" w:rsidP="00EC2CB1">
      <w:pPr>
        <w:pStyle w:val="FootnoteText"/>
        <w:spacing w:before="0"/>
        <w:ind w:left="709" w:hanging="709"/>
        <w:jc w:val="both"/>
        <w:rPr>
          <w:szCs w:val="16"/>
        </w:rPr>
      </w:pPr>
      <w:r w:rsidRPr="00EC2CB1">
        <w:rPr>
          <w:rStyle w:val="FootnoteReference"/>
          <w:szCs w:val="16"/>
        </w:rPr>
        <w:footnoteRef/>
      </w:r>
      <w:r w:rsidRPr="00EC2CB1">
        <w:rPr>
          <w:szCs w:val="16"/>
        </w:rPr>
        <w:t xml:space="preserve">  </w:t>
      </w:r>
      <w:r w:rsidRPr="00EC2CB1">
        <w:rPr>
          <w:szCs w:val="16"/>
        </w:rPr>
        <w:tab/>
        <w:t>These are Market Participants’ aggregate demand forecasts adjusted for any override as applied by AEMO from time to time. These forecasts must be scheduled and cannot respond to price like withdrawal bids.</w:t>
      </w:r>
    </w:p>
  </w:footnote>
  <w:footnote w:id="8">
    <w:p w:rsidR="00674600" w:rsidRPr="00551D6B" w:rsidRDefault="00674600" w:rsidP="00551D6B">
      <w:pPr>
        <w:pStyle w:val="FootnoteText"/>
        <w:spacing w:before="0"/>
        <w:ind w:left="709" w:hanging="709"/>
        <w:jc w:val="both"/>
        <w:rPr>
          <w:szCs w:val="16"/>
        </w:rPr>
      </w:pPr>
      <w:r w:rsidRPr="00551D6B">
        <w:rPr>
          <w:rStyle w:val="FootnoteReference"/>
          <w:szCs w:val="16"/>
        </w:rPr>
        <w:footnoteRef/>
      </w:r>
      <w:r w:rsidRPr="00551D6B">
        <w:rPr>
          <w:szCs w:val="16"/>
        </w:rPr>
        <w:t xml:space="preserve"> </w:t>
      </w:r>
      <w:r w:rsidRPr="00551D6B">
        <w:rPr>
          <w:szCs w:val="16"/>
        </w:rPr>
        <w:tab/>
        <w:t>The main driver of the amount of gas scheduled on a gas day is the ‘price-taker’ bid, which is forecast hub demand that cannot respond to price and which must be delivered, regardless of the price.</w:t>
      </w:r>
    </w:p>
  </w:footnote>
  <w:footnote w:id="9">
    <w:p w:rsidR="00674600" w:rsidRPr="00551D6B" w:rsidRDefault="00674600" w:rsidP="00551D6B">
      <w:pPr>
        <w:pStyle w:val="AERbodytext"/>
        <w:spacing w:before="0" w:line="240" w:lineRule="auto"/>
        <w:ind w:left="709" w:hanging="709"/>
        <w:rPr>
          <w:sz w:val="16"/>
          <w:szCs w:val="16"/>
        </w:rPr>
      </w:pPr>
      <w:r w:rsidRPr="00551D6B">
        <w:rPr>
          <w:rStyle w:val="FootnoteReference"/>
          <w:sz w:val="16"/>
          <w:szCs w:val="16"/>
        </w:rPr>
        <w:footnoteRef/>
      </w:r>
      <w:r w:rsidRPr="00551D6B">
        <w:rPr>
          <w:sz w:val="16"/>
          <w:szCs w:val="16"/>
        </w:rPr>
        <w:t xml:space="preserve"> </w:t>
      </w:r>
      <w:r w:rsidRPr="00551D6B">
        <w:rPr>
          <w:sz w:val="16"/>
          <w:szCs w:val="16"/>
        </w:rPr>
        <w:tab/>
        <w:t>MOS service payments involve a payment for a MOS increase service when the actual quantity delivered exceeds final gas nominations for delivery to a hub, and a payment for a MOS decrease service when the actual quantity delivered is less than final nominations. As well as a MOS ‘service’ payment, as shown in figure 2.4, MOS providers are paid for or pay for the quantity of MOS sold into the market or bought from the market (MOS ‘commodity’ payments/charges).</w:t>
      </w:r>
    </w:p>
  </w:footnote>
  <w:footnote w:id="10">
    <w:p w:rsidR="00674600" w:rsidRPr="00552F68" w:rsidRDefault="00674600" w:rsidP="00914872">
      <w:pPr>
        <w:pStyle w:val="FootnoteText"/>
        <w:ind w:left="709" w:hanging="709"/>
        <w:jc w:val="both"/>
      </w:pPr>
      <w:r w:rsidRPr="00552F68">
        <w:rPr>
          <w:rStyle w:val="FootnoteReference"/>
        </w:rPr>
        <w:footnoteRef/>
      </w:r>
      <w:r w:rsidRPr="00552F68">
        <w:t xml:space="preserve"> </w:t>
      </w:r>
      <w:r w:rsidRPr="00552F68">
        <w:tab/>
        <w:t>The commodity cost of MOS illustrated on the right of the figure represents the commodity quantity at the D+2 ex ante price. Commodity payments and charges for a given gas day relate to quantities traded two days earlier. That is, the commodity cost for services provided on Sunday will appear in the chart for Tuesday, when the D+2 price is set. In contrast, service payments are shown alongside the day they occurred.</w:t>
      </w:r>
    </w:p>
  </w:footnote>
  <w:footnote w:id="11">
    <w:p w:rsidR="00674600" w:rsidRPr="0087350F" w:rsidRDefault="00674600" w:rsidP="00596DE3">
      <w:pPr>
        <w:pStyle w:val="FootnoteText"/>
        <w:spacing w:before="0"/>
        <w:ind w:left="709" w:hanging="709"/>
        <w:jc w:val="both"/>
        <w:rPr>
          <w:szCs w:val="16"/>
        </w:rPr>
      </w:pPr>
      <w:r w:rsidRPr="00552F68">
        <w:rPr>
          <w:rStyle w:val="FootnoteReference"/>
          <w:sz w:val="20"/>
          <w:szCs w:val="16"/>
        </w:rPr>
        <w:footnoteRef/>
      </w:r>
      <w:r w:rsidRPr="00552F68">
        <w:rPr>
          <w:sz w:val="20"/>
          <w:szCs w:val="16"/>
        </w:rPr>
        <w:t xml:space="preserve"> </w:t>
      </w:r>
      <w:r w:rsidRPr="00552F68">
        <w:rPr>
          <w:sz w:val="20"/>
          <w:szCs w:val="16"/>
        </w:rPr>
        <w:tab/>
      </w:r>
      <w:r w:rsidRPr="0087350F">
        <w:rPr>
          <w:b/>
          <w:szCs w:val="16"/>
        </w:rPr>
        <w:t>Domestic gas flows</w:t>
      </w:r>
      <w:r w:rsidRPr="0087350F">
        <w:rPr>
          <w:szCs w:val="16"/>
        </w:rPr>
        <w:t xml:space="preserve"> are calculated as the total of:  </w:t>
      </w:r>
      <w:r w:rsidRPr="0087350F">
        <w:rPr>
          <w:b/>
          <w:szCs w:val="16"/>
        </w:rPr>
        <w:t>SA</w:t>
      </w:r>
      <w:r w:rsidRPr="0087350F">
        <w:rPr>
          <w:szCs w:val="16"/>
        </w:rPr>
        <w:t xml:space="preserve"> = MAP + SEAGAS; </w:t>
      </w:r>
      <w:r w:rsidRPr="0087350F">
        <w:rPr>
          <w:b/>
          <w:szCs w:val="16"/>
        </w:rPr>
        <w:t>VIC</w:t>
      </w:r>
      <w:r w:rsidRPr="0087350F">
        <w:rPr>
          <w:szCs w:val="16"/>
        </w:rPr>
        <w:t xml:space="preserve"> = SWP + LMP + (absolute quantity of negative flows only on the ‘NSW-VIC </w:t>
      </w:r>
      <w:proofErr w:type="gramStart"/>
      <w:r w:rsidRPr="0087350F">
        <w:rPr>
          <w:szCs w:val="16"/>
        </w:rPr>
        <w:t>interconnect</w:t>
      </w:r>
      <w:proofErr w:type="gramEnd"/>
      <w:r w:rsidRPr="0087350F">
        <w:rPr>
          <w:szCs w:val="16"/>
        </w:rPr>
        <w:t xml:space="preserve">’); </w:t>
      </w:r>
      <w:r w:rsidRPr="0087350F">
        <w:rPr>
          <w:b/>
          <w:szCs w:val="16"/>
        </w:rPr>
        <w:t>NSW/ACT</w:t>
      </w:r>
      <w:r w:rsidRPr="0087350F">
        <w:rPr>
          <w:szCs w:val="16"/>
        </w:rPr>
        <w:t xml:space="preserve"> = EGP + MSP; </w:t>
      </w:r>
      <w:r w:rsidRPr="0087350F">
        <w:rPr>
          <w:b/>
          <w:szCs w:val="16"/>
        </w:rPr>
        <w:t>TAS</w:t>
      </w:r>
      <w:r w:rsidRPr="0087350F">
        <w:rPr>
          <w:szCs w:val="16"/>
        </w:rPr>
        <w:t xml:space="preserve"> = TGP; </w:t>
      </w:r>
      <w:r w:rsidRPr="0087350F">
        <w:rPr>
          <w:b/>
          <w:szCs w:val="16"/>
        </w:rPr>
        <w:t>QLD (Brisbane)</w:t>
      </w:r>
      <w:r w:rsidRPr="0087350F">
        <w:rPr>
          <w:szCs w:val="16"/>
        </w:rPr>
        <w:t xml:space="preserve"> = RBP; </w:t>
      </w:r>
      <w:r w:rsidRPr="0087350F">
        <w:rPr>
          <w:b/>
          <w:szCs w:val="16"/>
        </w:rPr>
        <w:t>QLD (Mt Isa)</w:t>
      </w:r>
      <w:r w:rsidRPr="0087350F">
        <w:rPr>
          <w:szCs w:val="16"/>
        </w:rPr>
        <w:t xml:space="preserve"> = CGP; and </w:t>
      </w:r>
      <w:r w:rsidRPr="0087350F">
        <w:rPr>
          <w:b/>
          <w:szCs w:val="16"/>
        </w:rPr>
        <w:t>QLD (Gladstone)</w:t>
      </w:r>
      <w:r w:rsidRPr="0087350F">
        <w:rPr>
          <w:szCs w:val="16"/>
        </w:rPr>
        <w:t xml:space="preserve"> = QGP. </w:t>
      </w:r>
    </w:p>
    <w:p w:rsidR="00674600" w:rsidRPr="0087350F" w:rsidRDefault="00674600" w:rsidP="00596DE3">
      <w:pPr>
        <w:pStyle w:val="FootnoteText"/>
        <w:spacing w:before="0"/>
        <w:ind w:left="709"/>
        <w:jc w:val="both"/>
        <w:rPr>
          <w:szCs w:val="16"/>
        </w:rPr>
      </w:pPr>
      <w:r w:rsidRPr="0087350F">
        <w:rPr>
          <w:b/>
          <w:szCs w:val="16"/>
        </w:rPr>
        <w:t xml:space="preserve">Export gas flows </w:t>
      </w:r>
      <w:r w:rsidRPr="0087350F">
        <w:rPr>
          <w:szCs w:val="16"/>
        </w:rPr>
        <w:t>are calculated as the total of: the APLNG pipeline; the GLNG pipeline; and the Wallumbilla to Gladstone pipeline.</w:t>
      </w:r>
    </w:p>
    <w:p w:rsidR="00674600" w:rsidRPr="0087350F" w:rsidRDefault="00674600" w:rsidP="00596DE3">
      <w:pPr>
        <w:pStyle w:val="FootnoteText"/>
        <w:spacing w:before="0"/>
        <w:ind w:left="709"/>
        <w:jc w:val="both"/>
        <w:rPr>
          <w:szCs w:val="16"/>
        </w:rPr>
      </w:pPr>
      <w:r w:rsidRPr="0087350F">
        <w:rPr>
          <w:b/>
          <w:szCs w:val="16"/>
        </w:rPr>
        <w:t>GPG volumes</w:t>
      </w:r>
      <w:r w:rsidRPr="0087350F">
        <w:rPr>
          <w:szCs w:val="16"/>
        </w:rPr>
        <w:t xml:space="preserve"> may include gas usage that does not show up on Bulletin Board pipeline flows.</w:t>
      </w:r>
    </w:p>
  </w:footnote>
  <w:footnote w:id="12">
    <w:p w:rsidR="00674600" w:rsidRPr="0087350F" w:rsidRDefault="00674600" w:rsidP="00596DE3">
      <w:pPr>
        <w:pStyle w:val="FootnoteText"/>
        <w:spacing w:before="0"/>
        <w:ind w:left="709" w:hanging="709"/>
        <w:jc w:val="both"/>
        <w:rPr>
          <w:szCs w:val="16"/>
        </w:rPr>
      </w:pPr>
      <w:r w:rsidRPr="00552F68">
        <w:rPr>
          <w:rStyle w:val="FootnoteReference"/>
          <w:sz w:val="20"/>
          <w:szCs w:val="16"/>
        </w:rPr>
        <w:footnoteRef/>
      </w:r>
      <w:r w:rsidRPr="00552F68">
        <w:rPr>
          <w:sz w:val="20"/>
          <w:szCs w:val="16"/>
        </w:rPr>
        <w:t xml:space="preserve"> </w:t>
      </w:r>
      <w:r w:rsidRPr="00552F68">
        <w:rPr>
          <w:sz w:val="20"/>
          <w:szCs w:val="16"/>
        </w:rPr>
        <w:tab/>
      </w:r>
      <w:r w:rsidRPr="0087350F">
        <w:rPr>
          <w:szCs w:val="16"/>
        </w:rPr>
        <w:t>GSH supply is the average daily volume of gas ‘traded’, while price is a volume weighted average.</w:t>
      </w:r>
      <w:r>
        <w:rPr>
          <w:szCs w:val="16"/>
        </w:rPr>
        <w:t xml:space="preserve"> Optional hub services (for compression and redirection) are shown separately from commodity trades.</w:t>
      </w:r>
    </w:p>
  </w:footnote>
  <w:footnote w:id="13">
    <w:p w:rsidR="00674600" w:rsidRDefault="00674600" w:rsidP="00596DE3">
      <w:pPr>
        <w:pStyle w:val="FootnoteText"/>
      </w:pPr>
      <w:r w:rsidRPr="00596DE3">
        <w:rPr>
          <w:rStyle w:val="FootnoteReference"/>
          <w:sz w:val="20"/>
        </w:rPr>
        <w:footnoteRef/>
      </w:r>
      <w:r w:rsidRPr="00596DE3">
        <w:rPr>
          <w:sz w:val="20"/>
        </w:rPr>
        <w:t xml:space="preserve"> </w:t>
      </w:r>
      <w:r w:rsidRPr="00596DE3">
        <w:rPr>
          <w:sz w:val="20"/>
        </w:rPr>
        <w:tab/>
      </w:r>
      <w:r>
        <w:t xml:space="preserve">Net flows are shown for Bulletin Board facilities, as outlined in the </w:t>
      </w:r>
      <w:hyperlink r:id="rId1" w:history="1">
        <w:r w:rsidRPr="00A952AA">
          <w:rPr>
            <w:rStyle w:val="Hyperlink"/>
            <w:sz w:val="16"/>
          </w:rPr>
          <w:t>user guide</w:t>
        </w:r>
      </w:hyperlink>
      <w:r>
        <w:t>.</w:t>
      </w:r>
    </w:p>
  </w:footnote>
  <w:footnote w:id="14">
    <w:p w:rsidR="00674600" w:rsidRDefault="00674600" w:rsidP="00596DE3">
      <w:pPr>
        <w:pStyle w:val="FootnoteText"/>
        <w:ind w:left="709" w:hanging="709"/>
        <w:jc w:val="both"/>
      </w:pPr>
      <w:r w:rsidRPr="00F978C8">
        <w:rPr>
          <w:rStyle w:val="FootnoteReference"/>
          <w:sz w:val="20"/>
        </w:rPr>
        <w:footnoteRef/>
      </w:r>
      <w:r w:rsidRPr="00F978C8">
        <w:rPr>
          <w:sz w:val="20"/>
        </w:rPr>
        <w:t xml:space="preserve"> </w:t>
      </w:r>
      <w:r w:rsidRPr="00F978C8">
        <w:rPr>
          <w:sz w:val="20"/>
        </w:rPr>
        <w:tab/>
      </w:r>
      <w:r>
        <w:t xml:space="preserve">Additional information on trading locations and available products is detailed in the </w:t>
      </w:r>
      <w:hyperlink r:id="rId2" w:history="1">
        <w:r w:rsidRPr="00A952AA">
          <w:rPr>
            <w:rStyle w:val="Hyperlink"/>
            <w:sz w:val="16"/>
          </w:rPr>
          <w:t>user guide</w:t>
        </w:r>
      </w:hyperlink>
      <w:r>
        <w:t>.</w:t>
      </w:r>
    </w:p>
  </w:footnote>
  <w:footnote w:id="15">
    <w:p w:rsidR="00674600" w:rsidRDefault="00674600" w:rsidP="00596DE3">
      <w:pPr>
        <w:pStyle w:val="FootnoteText"/>
        <w:ind w:left="709" w:hanging="709"/>
        <w:jc w:val="both"/>
      </w:pPr>
      <w:r w:rsidRPr="00F978C8">
        <w:rPr>
          <w:rStyle w:val="FootnoteReference"/>
          <w:sz w:val="20"/>
        </w:rPr>
        <w:footnoteRef/>
      </w:r>
      <w:r w:rsidRPr="00F978C8">
        <w:rPr>
          <w:sz w:val="20"/>
        </w:rPr>
        <w:t xml:space="preserve"> </w:t>
      </w:r>
      <w:r w:rsidRPr="00F978C8">
        <w:rPr>
          <w:sz w:val="20"/>
        </w:rPr>
        <w:tab/>
      </w:r>
      <w:r>
        <w:t>Non-netted (off-market) trades, allowing the selection of specific delivery point at a trading location, are included with other Wallumbilla trades (WAL*).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E8D0B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56075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C0CCD3AE"/>
    <w:lvl w:ilvl="0">
      <w:start w:val="1"/>
      <w:numFmt w:val="decimal"/>
      <w:pStyle w:val="ListNumber3"/>
      <w:lvlText w:val="%1."/>
      <w:lvlJc w:val="left"/>
      <w:pPr>
        <w:tabs>
          <w:tab w:val="num" w:pos="926"/>
        </w:tabs>
        <w:ind w:left="926" w:hanging="360"/>
      </w:pPr>
    </w:lvl>
  </w:abstractNum>
  <w:abstractNum w:abstractNumId="3">
    <w:nsid w:val="FFFFFF7F"/>
    <w:multiLevelType w:val="singleLevel"/>
    <w:tmpl w:val="7F741816"/>
    <w:lvl w:ilvl="0">
      <w:start w:val="1"/>
      <w:numFmt w:val="lowerLetter"/>
      <w:pStyle w:val="ListNumber2"/>
      <w:lvlText w:val="%1)"/>
      <w:lvlJc w:val="left"/>
      <w:pPr>
        <w:ind w:left="360" w:hanging="360"/>
      </w:p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E46A7DC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E262730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3C004CC0"/>
    <w:lvl w:ilvl="0">
      <w:start w:val="1"/>
      <w:numFmt w:val="decimal"/>
      <w:pStyle w:val="ListNumber"/>
      <w:lvlText w:val="%1."/>
      <w:lvlJc w:val="left"/>
      <w:pPr>
        <w:tabs>
          <w:tab w:val="num" w:pos="360"/>
        </w:tabs>
        <w:ind w:left="360" w:hanging="360"/>
      </w:pPr>
    </w:lvl>
  </w:abstractNum>
  <w:abstractNum w:abstractNumId="9">
    <w:nsid w:val="025F1CAC"/>
    <w:multiLevelType w:val="hybridMultilevel"/>
    <w:tmpl w:val="62FA8B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04E03282"/>
    <w:multiLevelType w:val="hybridMultilevel"/>
    <w:tmpl w:val="B7C2FE76"/>
    <w:lvl w:ilvl="0" w:tplc="F41A51E2">
      <w:start w:val="1"/>
      <w:numFmt w:val="decimal"/>
      <w:lvlText w:val="Figure 6.%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0DD2542B"/>
    <w:multiLevelType w:val="hybridMultilevel"/>
    <w:tmpl w:val="60FAC388"/>
    <w:lvl w:ilvl="0" w:tplc="50264BE2">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13281AC6"/>
    <w:multiLevelType w:val="hybridMultilevel"/>
    <w:tmpl w:val="83BAD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33E73B6"/>
    <w:multiLevelType w:val="hybridMultilevel"/>
    <w:tmpl w:val="80220B84"/>
    <w:lvl w:ilvl="0" w:tplc="F5987420">
      <w:start w:val="1"/>
      <w:numFmt w:val="decimal"/>
      <w:pStyle w:val="Numberedlist"/>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4">
    <w:nsid w:val="16991208"/>
    <w:multiLevelType w:val="hybridMultilevel"/>
    <w:tmpl w:val="55284E2C"/>
    <w:lvl w:ilvl="0" w:tplc="F07A3D8A">
      <w:start w:val="1"/>
      <w:numFmt w:val="decimal"/>
      <w:lvlText w:val="Figure 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18E65396"/>
    <w:multiLevelType w:val="hybridMultilevel"/>
    <w:tmpl w:val="07384C54"/>
    <w:lvl w:ilvl="0" w:tplc="8530271E">
      <w:start w:val="1"/>
      <w:numFmt w:val="decimal"/>
      <w:pStyle w:val="NumberedChapterTitle"/>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1CF519CE"/>
    <w:multiLevelType w:val="multilevel"/>
    <w:tmpl w:val="3AD8CB48"/>
    <w:lvl w:ilvl="0">
      <w:start w:val="1"/>
      <w:numFmt w:val="decimal"/>
      <w:pStyle w:val="Numbered1"/>
      <w:lvlText w:val="%1."/>
      <w:lvlJc w:val="left"/>
      <w:pPr>
        <w:ind w:left="360" w:hanging="360"/>
      </w:pPr>
    </w:lvl>
    <w:lvl w:ilvl="1">
      <w:start w:val="1"/>
      <w:numFmt w:val="decimal"/>
      <w:pStyle w:val="Numbered11"/>
      <w:lvlText w:val="%1.%2."/>
      <w:lvlJc w:val="left"/>
      <w:pPr>
        <w:ind w:left="792" w:hanging="432"/>
      </w:pPr>
    </w:lvl>
    <w:lvl w:ilvl="2">
      <w:start w:val="1"/>
      <w:numFmt w:val="decimal"/>
      <w:pStyle w:val="Numbered111"/>
      <w:lvlText w:val="%1.%2.%3."/>
      <w:lvlJc w:val="left"/>
      <w:pPr>
        <w:ind w:left="1224" w:hanging="504"/>
      </w:pPr>
    </w:lvl>
    <w:lvl w:ilvl="3">
      <w:start w:val="1"/>
      <w:numFmt w:val="decimal"/>
      <w:pStyle w:val="Numbered1111"/>
      <w:lvlText w:val="%1.%2.%3.%4."/>
      <w:lvlJc w:val="left"/>
      <w:pPr>
        <w:ind w:left="1728" w:hanging="648"/>
      </w:pPr>
    </w:lvl>
    <w:lvl w:ilvl="4">
      <w:start w:val="1"/>
      <w:numFmt w:val="decimal"/>
      <w:pStyle w:val="Numbered11111"/>
      <w:lvlText w:val="%1.%2.%3.%4.%5."/>
      <w:lvlJc w:val="left"/>
      <w:pPr>
        <w:ind w:left="2232" w:hanging="792"/>
      </w:pPr>
    </w:lvl>
    <w:lvl w:ilvl="5">
      <w:start w:val="1"/>
      <w:numFmt w:val="decimal"/>
      <w:pStyle w:val="Numbered111111"/>
      <w:lvlText w:val="%1.%2.%3.%4.%5.%6."/>
      <w:lvlJc w:val="left"/>
      <w:pPr>
        <w:ind w:left="2736" w:hanging="936"/>
      </w:pPr>
    </w:lvl>
    <w:lvl w:ilvl="6">
      <w:start w:val="1"/>
      <w:numFmt w:val="decimal"/>
      <w:pStyle w:val="Numbered1111111"/>
      <w:lvlText w:val="%1.%2.%3.%4.%5.%6.%7."/>
      <w:lvlJc w:val="left"/>
      <w:pPr>
        <w:ind w:left="3240" w:hanging="1080"/>
      </w:pPr>
    </w:lvl>
    <w:lvl w:ilvl="7">
      <w:start w:val="1"/>
      <w:numFmt w:val="decimal"/>
      <w:pStyle w:val="Numbered11111111"/>
      <w:lvlText w:val="%1.%2.%3.%4.%5.%6.%7.%8."/>
      <w:lvlJc w:val="left"/>
      <w:pPr>
        <w:ind w:left="3744" w:hanging="1224"/>
      </w:pPr>
    </w:lvl>
    <w:lvl w:ilvl="8">
      <w:start w:val="1"/>
      <w:numFmt w:val="decimal"/>
      <w:pStyle w:val="Numbered111111111"/>
      <w:lvlText w:val="%1.%2.%3.%4.%5.%6.%7.%8.%9."/>
      <w:lvlJc w:val="left"/>
      <w:pPr>
        <w:ind w:left="4320" w:hanging="1440"/>
      </w:pPr>
    </w:lvl>
  </w:abstractNum>
  <w:abstractNum w:abstractNumId="17">
    <w:nsid w:val="1F844A98"/>
    <w:multiLevelType w:val="hybridMultilevel"/>
    <w:tmpl w:val="9A46145E"/>
    <w:lvl w:ilvl="0" w:tplc="AB546016">
      <w:start w:val="10"/>
      <w:numFmt w:val="bullet"/>
      <w:lvlText w:val="-"/>
      <w:lvlJc w:val="left"/>
      <w:pPr>
        <w:ind w:left="1080" w:hanging="360"/>
      </w:pPr>
      <w:rPr>
        <w:rFonts w:ascii="Arial" w:eastAsia="Times New Roman"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nsid w:val="25C95382"/>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8865DF8"/>
    <w:multiLevelType w:val="hybridMultilevel"/>
    <w:tmpl w:val="EC0E5568"/>
    <w:lvl w:ilvl="0" w:tplc="D90E7D7A">
      <w:start w:val="1"/>
      <w:numFmt w:val="lowerLetter"/>
      <w:pStyle w:val="Listalphabet2"/>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20">
    <w:nsid w:val="28F75099"/>
    <w:multiLevelType w:val="hybridMultilevel"/>
    <w:tmpl w:val="2E1E97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923347D"/>
    <w:multiLevelType w:val="hybridMultilevel"/>
    <w:tmpl w:val="D45C48E2"/>
    <w:lvl w:ilvl="0" w:tplc="D66A534E">
      <w:start w:val="1"/>
      <w:numFmt w:val="bullet"/>
      <w:pStyle w:val="List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8CB5BD0"/>
    <w:multiLevelType w:val="hybridMultilevel"/>
    <w:tmpl w:val="0E2C1E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99F124F"/>
    <w:multiLevelType w:val="multilevel"/>
    <w:tmpl w:val="5666D91E"/>
    <w:styleLink w:val="AlphanumericList"/>
    <w:lvl w:ilvl="0">
      <w:start w:val="1"/>
      <w:numFmt w:val="decimal"/>
      <w:lvlText w:val="A.%1"/>
      <w:lvlJc w:val="left"/>
      <w:pPr>
        <w:ind w:left="360" w:hanging="360"/>
      </w:pPr>
      <w:rPr>
        <w:rFonts w:ascii="Arial" w:hAnsi="Arial" w:hint="default"/>
        <w:sz w:val="22"/>
      </w:rPr>
    </w:lvl>
    <w:lvl w:ilvl="1">
      <w:start w:val="1"/>
      <w:numFmt w:val="decimal"/>
      <w:lvlRestart w:val="0"/>
      <w:lvlText w:val="A.%1.%2"/>
      <w:lvlJc w:val="left"/>
      <w:pPr>
        <w:ind w:left="720" w:hanging="360"/>
      </w:pPr>
      <w:rPr>
        <w:rFonts w:hint="default"/>
      </w:rPr>
    </w:lvl>
    <w:lvl w:ilvl="2">
      <w:start w:val="1"/>
      <w:numFmt w:val="decimal"/>
      <w:lvlRestart w:val="0"/>
      <w:lvlText w:val="A.%1.%2.%3"/>
      <w:lvlJc w:val="left"/>
      <w:pPr>
        <w:ind w:left="1080" w:hanging="360"/>
      </w:pPr>
      <w:rPr>
        <w:rFonts w:hint="default"/>
      </w:rPr>
    </w:lvl>
    <w:lvl w:ilvl="3">
      <w:start w:val="1"/>
      <w:numFmt w:val="none"/>
      <w:lvlText w:val="(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49E52C90"/>
    <w:multiLevelType w:val="hybridMultilevel"/>
    <w:tmpl w:val="8C0ACE80"/>
    <w:lvl w:ilvl="0" w:tplc="9D00B0D8">
      <w:start w:val="1"/>
      <w:numFmt w:val="lowerRoman"/>
      <w:pStyle w:val="ListLegal"/>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53396CE6"/>
    <w:multiLevelType w:val="hybridMultilevel"/>
    <w:tmpl w:val="6AF2555A"/>
    <w:lvl w:ilvl="0" w:tplc="D03C4C38">
      <w:start w:val="1"/>
      <w:numFmt w:val="decimal"/>
      <w:lvlText w:val="Figure 4.%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27">
    <w:nsid w:val="6726588A"/>
    <w:multiLevelType w:val="hybridMultilevel"/>
    <w:tmpl w:val="CC927964"/>
    <w:lvl w:ilvl="0" w:tplc="0C09000F">
      <w:start w:val="1"/>
      <w:numFmt w:val="bullet"/>
      <w:pStyle w:val="Bulletpoint2"/>
      <w:lvlText w:val="o"/>
      <w:lvlJc w:val="left"/>
      <w:pPr>
        <w:ind w:left="1003" w:hanging="360"/>
      </w:pPr>
      <w:rPr>
        <w:rFonts w:ascii="Courier New" w:hAnsi="Courier New" w:cs="Courier New" w:hint="default"/>
      </w:rPr>
    </w:lvl>
    <w:lvl w:ilvl="1" w:tplc="0C090019" w:tentative="1">
      <w:start w:val="1"/>
      <w:numFmt w:val="bullet"/>
      <w:lvlText w:val="o"/>
      <w:lvlJc w:val="left"/>
      <w:pPr>
        <w:ind w:left="1723" w:hanging="360"/>
      </w:pPr>
      <w:rPr>
        <w:rFonts w:ascii="Courier New" w:hAnsi="Courier New" w:cs="Courier New" w:hint="default"/>
      </w:rPr>
    </w:lvl>
    <w:lvl w:ilvl="2" w:tplc="0C09001B" w:tentative="1">
      <w:start w:val="1"/>
      <w:numFmt w:val="bullet"/>
      <w:lvlText w:val=""/>
      <w:lvlJc w:val="left"/>
      <w:pPr>
        <w:ind w:left="2443" w:hanging="360"/>
      </w:pPr>
      <w:rPr>
        <w:rFonts w:ascii="Wingdings" w:hAnsi="Wingdings" w:hint="default"/>
      </w:rPr>
    </w:lvl>
    <w:lvl w:ilvl="3" w:tplc="0C09000F" w:tentative="1">
      <w:start w:val="1"/>
      <w:numFmt w:val="bullet"/>
      <w:lvlText w:val=""/>
      <w:lvlJc w:val="left"/>
      <w:pPr>
        <w:ind w:left="3163" w:hanging="360"/>
      </w:pPr>
      <w:rPr>
        <w:rFonts w:ascii="Symbol" w:hAnsi="Symbol" w:hint="default"/>
      </w:rPr>
    </w:lvl>
    <w:lvl w:ilvl="4" w:tplc="0C090019" w:tentative="1">
      <w:start w:val="1"/>
      <w:numFmt w:val="bullet"/>
      <w:lvlText w:val="o"/>
      <w:lvlJc w:val="left"/>
      <w:pPr>
        <w:ind w:left="3883" w:hanging="360"/>
      </w:pPr>
      <w:rPr>
        <w:rFonts w:ascii="Courier New" w:hAnsi="Courier New" w:cs="Courier New" w:hint="default"/>
      </w:rPr>
    </w:lvl>
    <w:lvl w:ilvl="5" w:tplc="0C09001B" w:tentative="1">
      <w:start w:val="1"/>
      <w:numFmt w:val="bullet"/>
      <w:lvlText w:val=""/>
      <w:lvlJc w:val="left"/>
      <w:pPr>
        <w:ind w:left="4603" w:hanging="360"/>
      </w:pPr>
      <w:rPr>
        <w:rFonts w:ascii="Wingdings" w:hAnsi="Wingdings" w:hint="default"/>
      </w:rPr>
    </w:lvl>
    <w:lvl w:ilvl="6" w:tplc="0C09000F" w:tentative="1">
      <w:start w:val="1"/>
      <w:numFmt w:val="bullet"/>
      <w:lvlText w:val=""/>
      <w:lvlJc w:val="left"/>
      <w:pPr>
        <w:ind w:left="5323" w:hanging="360"/>
      </w:pPr>
      <w:rPr>
        <w:rFonts w:ascii="Symbol" w:hAnsi="Symbol" w:hint="default"/>
      </w:rPr>
    </w:lvl>
    <w:lvl w:ilvl="7" w:tplc="0C090019" w:tentative="1">
      <w:start w:val="1"/>
      <w:numFmt w:val="bullet"/>
      <w:lvlText w:val="o"/>
      <w:lvlJc w:val="left"/>
      <w:pPr>
        <w:ind w:left="6043" w:hanging="360"/>
      </w:pPr>
      <w:rPr>
        <w:rFonts w:ascii="Courier New" w:hAnsi="Courier New" w:cs="Courier New" w:hint="default"/>
      </w:rPr>
    </w:lvl>
    <w:lvl w:ilvl="8" w:tplc="0C09001B" w:tentative="1">
      <w:start w:val="1"/>
      <w:numFmt w:val="bullet"/>
      <w:lvlText w:val=""/>
      <w:lvlJc w:val="left"/>
      <w:pPr>
        <w:ind w:left="6763" w:hanging="360"/>
      </w:pPr>
      <w:rPr>
        <w:rFonts w:ascii="Wingdings" w:hAnsi="Wingdings" w:hint="default"/>
      </w:rPr>
    </w:lvl>
  </w:abstractNum>
  <w:abstractNum w:abstractNumId="28">
    <w:nsid w:val="6C1C3940"/>
    <w:multiLevelType w:val="hybridMultilevel"/>
    <w:tmpl w:val="787CCB50"/>
    <w:lvl w:ilvl="0" w:tplc="4C920FA4">
      <w:start w:val="1"/>
      <w:numFmt w:val="decimal"/>
      <w:lvlText w:val="Figure 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6ED40010"/>
    <w:multiLevelType w:val="hybridMultilevel"/>
    <w:tmpl w:val="C89CC66C"/>
    <w:lvl w:ilvl="0" w:tplc="7792B686">
      <w:start w:val="1"/>
      <w:numFmt w:val="decimal"/>
      <w:lvlText w:val="Figure 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705C4980"/>
    <w:multiLevelType w:val="hybridMultilevel"/>
    <w:tmpl w:val="027A3B86"/>
    <w:lvl w:ilvl="0" w:tplc="982A071C">
      <w:start w:val="1"/>
      <w:numFmt w:val="decimal"/>
      <w:lvlText w:val="Figure 5.%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71052EFE"/>
    <w:multiLevelType w:val="hybridMultilevel"/>
    <w:tmpl w:val="52FCFAA8"/>
    <w:lvl w:ilvl="0" w:tplc="C846CA5C">
      <w:start w:val="1"/>
      <w:numFmt w:val="lowerRoman"/>
      <w:pStyle w:val="ListLegal3"/>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7ACB7F6B"/>
    <w:multiLevelType w:val="hybridMultilevel"/>
    <w:tmpl w:val="0F2A3F9A"/>
    <w:lvl w:ilvl="0" w:tplc="1038B32C">
      <w:start w:val="1"/>
      <w:numFmt w:val="lowerRoman"/>
      <w:lvlText w:val="%1."/>
      <w:lvlJc w:val="right"/>
      <w:pPr>
        <w:ind w:left="1021" w:hanging="341"/>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33">
    <w:nsid w:val="7E2819EC"/>
    <w:multiLevelType w:val="multilevel"/>
    <w:tmpl w:val="1250F310"/>
    <w:lvl w:ilvl="0">
      <w:start w:val="1"/>
      <w:numFmt w:val="bullet"/>
      <w:pStyle w:val="Bulletpoin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3"/>
  </w:num>
  <w:num w:numId="2">
    <w:abstractNumId w:val="33"/>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7"/>
  </w:num>
  <w:num w:numId="13">
    <w:abstractNumId w:val="21"/>
  </w:num>
  <w:num w:numId="14">
    <w:abstractNumId w:val="11"/>
  </w:num>
  <w:num w:numId="15">
    <w:abstractNumId w:val="16"/>
  </w:num>
  <w:num w:numId="16">
    <w:abstractNumId w:val="23"/>
  </w:num>
  <w:num w:numId="17">
    <w:abstractNumId w:val="19"/>
  </w:num>
  <w:num w:numId="18">
    <w:abstractNumId w:val="24"/>
  </w:num>
  <w:num w:numId="19">
    <w:abstractNumId w:val="31"/>
  </w:num>
  <w:num w:numId="20">
    <w:abstractNumId w:val="26"/>
  </w:num>
  <w:num w:numId="21">
    <w:abstractNumId w:val="15"/>
  </w:num>
  <w:num w:numId="22">
    <w:abstractNumId w:val="18"/>
  </w:num>
  <w:num w:numId="23">
    <w:abstractNumId w:val="22"/>
  </w:num>
  <w:num w:numId="24">
    <w:abstractNumId w:val="17"/>
  </w:num>
  <w:num w:numId="25">
    <w:abstractNumId w:val="32"/>
  </w:num>
  <w:num w:numId="26">
    <w:abstractNumId w:val="20"/>
  </w:num>
  <w:num w:numId="27">
    <w:abstractNumId w:val="9"/>
  </w:num>
  <w:num w:numId="28">
    <w:abstractNumId w:val="12"/>
  </w:num>
  <w:num w:numId="29">
    <w:abstractNumId w:val="14"/>
  </w:num>
  <w:num w:numId="30">
    <w:abstractNumId w:val="28"/>
  </w:num>
  <w:num w:numId="31">
    <w:abstractNumId w:val="29"/>
  </w:num>
  <w:num w:numId="32">
    <w:abstractNumId w:val="25"/>
  </w:num>
  <w:num w:numId="33">
    <w:abstractNumId w:val="30"/>
  </w:num>
  <w:num w:numId="34">
    <w:abstractNumId w:val="1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stylePaneFormatFilter w:val="9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defaultTabStop w:val="720"/>
  <w:characterSpacingControl w:val="doNotCompress"/>
  <w:hdrShapeDefaults>
    <o:shapedefaults v:ext="edit" spidmax="142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H:\trimdata\TRIM\TEMP\HPTRIM.9668\D17 63796  20170507 - 20170513 gas weekly report.DOCX"/>
  </w:docVars>
  <w:rsids>
    <w:rsidRoot w:val="00275002"/>
    <w:rsid w:val="00000817"/>
    <w:rsid w:val="00000BFE"/>
    <w:rsid w:val="00000CC3"/>
    <w:rsid w:val="00003169"/>
    <w:rsid w:val="00005D12"/>
    <w:rsid w:val="0000728F"/>
    <w:rsid w:val="00007624"/>
    <w:rsid w:val="000128E1"/>
    <w:rsid w:val="0001415C"/>
    <w:rsid w:val="000147C1"/>
    <w:rsid w:val="00014D5F"/>
    <w:rsid w:val="00017DD0"/>
    <w:rsid w:val="00021202"/>
    <w:rsid w:val="0002123D"/>
    <w:rsid w:val="00022F09"/>
    <w:rsid w:val="00024215"/>
    <w:rsid w:val="000242E7"/>
    <w:rsid w:val="00024369"/>
    <w:rsid w:val="00024C84"/>
    <w:rsid w:val="00026E0A"/>
    <w:rsid w:val="00030794"/>
    <w:rsid w:val="000308B1"/>
    <w:rsid w:val="000312E6"/>
    <w:rsid w:val="000316E7"/>
    <w:rsid w:val="00033902"/>
    <w:rsid w:val="00033BE8"/>
    <w:rsid w:val="00034A40"/>
    <w:rsid w:val="0003564D"/>
    <w:rsid w:val="0003578C"/>
    <w:rsid w:val="00035A9A"/>
    <w:rsid w:val="00037A6F"/>
    <w:rsid w:val="00037EB9"/>
    <w:rsid w:val="00040E4C"/>
    <w:rsid w:val="000415F7"/>
    <w:rsid w:val="00041A89"/>
    <w:rsid w:val="000422AB"/>
    <w:rsid w:val="00043385"/>
    <w:rsid w:val="00043FA7"/>
    <w:rsid w:val="000442BA"/>
    <w:rsid w:val="00044D80"/>
    <w:rsid w:val="000452BA"/>
    <w:rsid w:val="000461E2"/>
    <w:rsid w:val="0005123C"/>
    <w:rsid w:val="00051880"/>
    <w:rsid w:val="000528FD"/>
    <w:rsid w:val="00056949"/>
    <w:rsid w:val="000572DC"/>
    <w:rsid w:val="000576CD"/>
    <w:rsid w:val="00057973"/>
    <w:rsid w:val="00061ABD"/>
    <w:rsid w:val="00061CE2"/>
    <w:rsid w:val="00061E3B"/>
    <w:rsid w:val="00063247"/>
    <w:rsid w:val="00063473"/>
    <w:rsid w:val="00066157"/>
    <w:rsid w:val="000661AF"/>
    <w:rsid w:val="00070EAB"/>
    <w:rsid w:val="00070F9F"/>
    <w:rsid w:val="0007137B"/>
    <w:rsid w:val="000738F4"/>
    <w:rsid w:val="00074A4E"/>
    <w:rsid w:val="000758D3"/>
    <w:rsid w:val="000766E2"/>
    <w:rsid w:val="00077616"/>
    <w:rsid w:val="00077819"/>
    <w:rsid w:val="000835F4"/>
    <w:rsid w:val="00085663"/>
    <w:rsid w:val="00085EBF"/>
    <w:rsid w:val="00086CF3"/>
    <w:rsid w:val="00087C4A"/>
    <w:rsid w:val="00087CDC"/>
    <w:rsid w:val="00091FB4"/>
    <w:rsid w:val="0009584C"/>
    <w:rsid w:val="000961FA"/>
    <w:rsid w:val="0009653D"/>
    <w:rsid w:val="00097BE8"/>
    <w:rsid w:val="000A241B"/>
    <w:rsid w:val="000A29ED"/>
    <w:rsid w:val="000A4529"/>
    <w:rsid w:val="000A62B4"/>
    <w:rsid w:val="000A62D6"/>
    <w:rsid w:val="000A6F14"/>
    <w:rsid w:val="000B0311"/>
    <w:rsid w:val="000B364C"/>
    <w:rsid w:val="000B3C8A"/>
    <w:rsid w:val="000C0472"/>
    <w:rsid w:val="000C1A94"/>
    <w:rsid w:val="000C52E2"/>
    <w:rsid w:val="000D122C"/>
    <w:rsid w:val="000D355E"/>
    <w:rsid w:val="000D3C77"/>
    <w:rsid w:val="000D4350"/>
    <w:rsid w:val="000D5ADE"/>
    <w:rsid w:val="000D68C5"/>
    <w:rsid w:val="000E1819"/>
    <w:rsid w:val="000E1A1B"/>
    <w:rsid w:val="000E2946"/>
    <w:rsid w:val="000E4F81"/>
    <w:rsid w:val="000E54D6"/>
    <w:rsid w:val="000E55C7"/>
    <w:rsid w:val="000E5B55"/>
    <w:rsid w:val="000E6C72"/>
    <w:rsid w:val="000E77BB"/>
    <w:rsid w:val="000E7D8C"/>
    <w:rsid w:val="000E7E24"/>
    <w:rsid w:val="000F189E"/>
    <w:rsid w:val="000F1956"/>
    <w:rsid w:val="000F1D61"/>
    <w:rsid w:val="000F56F6"/>
    <w:rsid w:val="000F5855"/>
    <w:rsid w:val="000F6FA7"/>
    <w:rsid w:val="000F77D6"/>
    <w:rsid w:val="00100142"/>
    <w:rsid w:val="00102B64"/>
    <w:rsid w:val="00105281"/>
    <w:rsid w:val="00105AF3"/>
    <w:rsid w:val="001107FF"/>
    <w:rsid w:val="00111FF6"/>
    <w:rsid w:val="00113430"/>
    <w:rsid w:val="00113AE0"/>
    <w:rsid w:val="001158FE"/>
    <w:rsid w:val="00115CCB"/>
    <w:rsid w:val="00116EB2"/>
    <w:rsid w:val="00117195"/>
    <w:rsid w:val="0012092C"/>
    <w:rsid w:val="00122831"/>
    <w:rsid w:val="001235DD"/>
    <w:rsid w:val="00124609"/>
    <w:rsid w:val="00125F4F"/>
    <w:rsid w:val="001270EB"/>
    <w:rsid w:val="00127CAB"/>
    <w:rsid w:val="00130196"/>
    <w:rsid w:val="0013057E"/>
    <w:rsid w:val="001337EF"/>
    <w:rsid w:val="00133FC8"/>
    <w:rsid w:val="00134BD7"/>
    <w:rsid w:val="00136716"/>
    <w:rsid w:val="00136A08"/>
    <w:rsid w:val="001373F1"/>
    <w:rsid w:val="001435CC"/>
    <w:rsid w:val="001436FC"/>
    <w:rsid w:val="001450FB"/>
    <w:rsid w:val="0014511E"/>
    <w:rsid w:val="00145982"/>
    <w:rsid w:val="00145ACE"/>
    <w:rsid w:val="00146F42"/>
    <w:rsid w:val="00151F61"/>
    <w:rsid w:val="001521CB"/>
    <w:rsid w:val="001539E0"/>
    <w:rsid w:val="0015451B"/>
    <w:rsid w:val="0015496E"/>
    <w:rsid w:val="00155113"/>
    <w:rsid w:val="0015602B"/>
    <w:rsid w:val="001566F6"/>
    <w:rsid w:val="001573E4"/>
    <w:rsid w:val="00160756"/>
    <w:rsid w:val="00162584"/>
    <w:rsid w:val="00164658"/>
    <w:rsid w:val="00164FB1"/>
    <w:rsid w:val="00165247"/>
    <w:rsid w:val="001653F3"/>
    <w:rsid w:val="00165C87"/>
    <w:rsid w:val="001666AA"/>
    <w:rsid w:val="00166BD2"/>
    <w:rsid w:val="001711CC"/>
    <w:rsid w:val="0017232E"/>
    <w:rsid w:val="00173AE6"/>
    <w:rsid w:val="00173DC1"/>
    <w:rsid w:val="00174102"/>
    <w:rsid w:val="001756AF"/>
    <w:rsid w:val="001778E3"/>
    <w:rsid w:val="00180157"/>
    <w:rsid w:val="00181C46"/>
    <w:rsid w:val="001832C7"/>
    <w:rsid w:val="00186831"/>
    <w:rsid w:val="00186F77"/>
    <w:rsid w:val="001901A4"/>
    <w:rsid w:val="00190F24"/>
    <w:rsid w:val="00191C6F"/>
    <w:rsid w:val="00192441"/>
    <w:rsid w:val="001926A4"/>
    <w:rsid w:val="001934E9"/>
    <w:rsid w:val="00193ED7"/>
    <w:rsid w:val="001968BD"/>
    <w:rsid w:val="001A2C0A"/>
    <w:rsid w:val="001A3CDA"/>
    <w:rsid w:val="001A6790"/>
    <w:rsid w:val="001B0C3B"/>
    <w:rsid w:val="001B2363"/>
    <w:rsid w:val="001B3ABC"/>
    <w:rsid w:val="001B45A0"/>
    <w:rsid w:val="001B4A7D"/>
    <w:rsid w:val="001B684F"/>
    <w:rsid w:val="001B6C15"/>
    <w:rsid w:val="001C027D"/>
    <w:rsid w:val="001C13CD"/>
    <w:rsid w:val="001C17B3"/>
    <w:rsid w:val="001C1BC0"/>
    <w:rsid w:val="001C2EE8"/>
    <w:rsid w:val="001C3452"/>
    <w:rsid w:val="001C5079"/>
    <w:rsid w:val="001C5EF2"/>
    <w:rsid w:val="001C5F6B"/>
    <w:rsid w:val="001C6748"/>
    <w:rsid w:val="001D055E"/>
    <w:rsid w:val="001D0C65"/>
    <w:rsid w:val="001D0CE3"/>
    <w:rsid w:val="001D3A5B"/>
    <w:rsid w:val="001D5BEB"/>
    <w:rsid w:val="001D60FF"/>
    <w:rsid w:val="001D7698"/>
    <w:rsid w:val="001D7FB7"/>
    <w:rsid w:val="001E01B4"/>
    <w:rsid w:val="001E14C2"/>
    <w:rsid w:val="001E2F01"/>
    <w:rsid w:val="001E4665"/>
    <w:rsid w:val="001E48B3"/>
    <w:rsid w:val="001E5AEE"/>
    <w:rsid w:val="001E6FDD"/>
    <w:rsid w:val="001F03EF"/>
    <w:rsid w:val="001F0EC9"/>
    <w:rsid w:val="001F1548"/>
    <w:rsid w:val="001F1B78"/>
    <w:rsid w:val="001F22EE"/>
    <w:rsid w:val="001F2577"/>
    <w:rsid w:val="001F3530"/>
    <w:rsid w:val="001F492E"/>
    <w:rsid w:val="001F6DA3"/>
    <w:rsid w:val="001F7575"/>
    <w:rsid w:val="00201136"/>
    <w:rsid w:val="0020132A"/>
    <w:rsid w:val="00201C06"/>
    <w:rsid w:val="00203300"/>
    <w:rsid w:val="0020376D"/>
    <w:rsid w:val="0020489F"/>
    <w:rsid w:val="002050F5"/>
    <w:rsid w:val="002062A9"/>
    <w:rsid w:val="002065C6"/>
    <w:rsid w:val="002072A2"/>
    <w:rsid w:val="00207D5B"/>
    <w:rsid w:val="0021027A"/>
    <w:rsid w:val="0021147E"/>
    <w:rsid w:val="00212D2F"/>
    <w:rsid w:val="00213CF6"/>
    <w:rsid w:val="00214FBA"/>
    <w:rsid w:val="0021500B"/>
    <w:rsid w:val="00215E19"/>
    <w:rsid w:val="002164FB"/>
    <w:rsid w:val="00216865"/>
    <w:rsid w:val="00217C29"/>
    <w:rsid w:val="002214D9"/>
    <w:rsid w:val="002216F5"/>
    <w:rsid w:val="00222F04"/>
    <w:rsid w:val="00224DB9"/>
    <w:rsid w:val="00224EE7"/>
    <w:rsid w:val="002276F0"/>
    <w:rsid w:val="00227C97"/>
    <w:rsid w:val="00230D26"/>
    <w:rsid w:val="00231C73"/>
    <w:rsid w:val="00232A71"/>
    <w:rsid w:val="00232FBD"/>
    <w:rsid w:val="002338A0"/>
    <w:rsid w:val="00237048"/>
    <w:rsid w:val="00240AA4"/>
    <w:rsid w:val="002427B3"/>
    <w:rsid w:val="00242C25"/>
    <w:rsid w:val="00243222"/>
    <w:rsid w:val="00243347"/>
    <w:rsid w:val="002438D9"/>
    <w:rsid w:val="00245913"/>
    <w:rsid w:val="00247473"/>
    <w:rsid w:val="00250859"/>
    <w:rsid w:val="002515C3"/>
    <w:rsid w:val="002516A1"/>
    <w:rsid w:val="00251745"/>
    <w:rsid w:val="00251C37"/>
    <w:rsid w:val="00251D74"/>
    <w:rsid w:val="00261C02"/>
    <w:rsid w:val="00262F65"/>
    <w:rsid w:val="00263AC0"/>
    <w:rsid w:val="002649D2"/>
    <w:rsid w:val="002649D8"/>
    <w:rsid w:val="00265486"/>
    <w:rsid w:val="0026772D"/>
    <w:rsid w:val="00270A51"/>
    <w:rsid w:val="00270AF4"/>
    <w:rsid w:val="0027318A"/>
    <w:rsid w:val="00275002"/>
    <w:rsid w:val="00275927"/>
    <w:rsid w:val="002762EA"/>
    <w:rsid w:val="00276A9F"/>
    <w:rsid w:val="00277570"/>
    <w:rsid w:val="00280CAF"/>
    <w:rsid w:val="002817AB"/>
    <w:rsid w:val="002828A0"/>
    <w:rsid w:val="00283BF8"/>
    <w:rsid w:val="0028440E"/>
    <w:rsid w:val="0028521F"/>
    <w:rsid w:val="00285B8A"/>
    <w:rsid w:val="00286866"/>
    <w:rsid w:val="00286874"/>
    <w:rsid w:val="00291658"/>
    <w:rsid w:val="0029246F"/>
    <w:rsid w:val="00294653"/>
    <w:rsid w:val="00294D01"/>
    <w:rsid w:val="00296B65"/>
    <w:rsid w:val="00296D07"/>
    <w:rsid w:val="002A0450"/>
    <w:rsid w:val="002A0AF0"/>
    <w:rsid w:val="002A1B5C"/>
    <w:rsid w:val="002A2900"/>
    <w:rsid w:val="002A32F1"/>
    <w:rsid w:val="002A3CF2"/>
    <w:rsid w:val="002A4EF8"/>
    <w:rsid w:val="002A7439"/>
    <w:rsid w:val="002A7729"/>
    <w:rsid w:val="002A7C78"/>
    <w:rsid w:val="002A7DEF"/>
    <w:rsid w:val="002B0749"/>
    <w:rsid w:val="002B0DAE"/>
    <w:rsid w:val="002B1949"/>
    <w:rsid w:val="002B1B50"/>
    <w:rsid w:val="002B3B2D"/>
    <w:rsid w:val="002B6FD1"/>
    <w:rsid w:val="002B720D"/>
    <w:rsid w:val="002C2278"/>
    <w:rsid w:val="002C2A63"/>
    <w:rsid w:val="002C341F"/>
    <w:rsid w:val="002C3E5B"/>
    <w:rsid w:val="002C42B0"/>
    <w:rsid w:val="002C4965"/>
    <w:rsid w:val="002C581B"/>
    <w:rsid w:val="002C621D"/>
    <w:rsid w:val="002C6B96"/>
    <w:rsid w:val="002C6DD3"/>
    <w:rsid w:val="002D1734"/>
    <w:rsid w:val="002D37FB"/>
    <w:rsid w:val="002D484E"/>
    <w:rsid w:val="002D4A1F"/>
    <w:rsid w:val="002E29A0"/>
    <w:rsid w:val="002E5E33"/>
    <w:rsid w:val="002E6254"/>
    <w:rsid w:val="002E64AB"/>
    <w:rsid w:val="002E6AEA"/>
    <w:rsid w:val="002F02A4"/>
    <w:rsid w:val="002F22FD"/>
    <w:rsid w:val="002F2481"/>
    <w:rsid w:val="002F3D02"/>
    <w:rsid w:val="002F4F34"/>
    <w:rsid w:val="002F7986"/>
    <w:rsid w:val="00300C0B"/>
    <w:rsid w:val="00302D83"/>
    <w:rsid w:val="00303DCF"/>
    <w:rsid w:val="003061FA"/>
    <w:rsid w:val="003062C2"/>
    <w:rsid w:val="00306DD8"/>
    <w:rsid w:val="00307F6D"/>
    <w:rsid w:val="003105F5"/>
    <w:rsid w:val="003106BC"/>
    <w:rsid w:val="0031318F"/>
    <w:rsid w:val="003152BD"/>
    <w:rsid w:val="003153EB"/>
    <w:rsid w:val="003171C6"/>
    <w:rsid w:val="003177A2"/>
    <w:rsid w:val="00317A81"/>
    <w:rsid w:val="003208C0"/>
    <w:rsid w:val="00321853"/>
    <w:rsid w:val="00322300"/>
    <w:rsid w:val="00323CE7"/>
    <w:rsid w:val="003243B4"/>
    <w:rsid w:val="003260D8"/>
    <w:rsid w:val="003271B5"/>
    <w:rsid w:val="003274A9"/>
    <w:rsid w:val="0032770E"/>
    <w:rsid w:val="00331264"/>
    <w:rsid w:val="00332F5D"/>
    <w:rsid w:val="00334C8D"/>
    <w:rsid w:val="00336D50"/>
    <w:rsid w:val="003375A4"/>
    <w:rsid w:val="00337F4F"/>
    <w:rsid w:val="003401B9"/>
    <w:rsid w:val="00341169"/>
    <w:rsid w:val="00342870"/>
    <w:rsid w:val="00343BF7"/>
    <w:rsid w:val="00346F05"/>
    <w:rsid w:val="0035089F"/>
    <w:rsid w:val="003518B3"/>
    <w:rsid w:val="00351FDC"/>
    <w:rsid w:val="00352DA8"/>
    <w:rsid w:val="00354887"/>
    <w:rsid w:val="00354A9E"/>
    <w:rsid w:val="0035522A"/>
    <w:rsid w:val="00355CDD"/>
    <w:rsid w:val="00355D1A"/>
    <w:rsid w:val="00355D2F"/>
    <w:rsid w:val="00356706"/>
    <w:rsid w:val="00356E72"/>
    <w:rsid w:val="00361D84"/>
    <w:rsid w:val="00362ABA"/>
    <w:rsid w:val="003642AD"/>
    <w:rsid w:val="00366515"/>
    <w:rsid w:val="00366910"/>
    <w:rsid w:val="003715C8"/>
    <w:rsid w:val="00371F3A"/>
    <w:rsid w:val="003749F7"/>
    <w:rsid w:val="00375E24"/>
    <w:rsid w:val="00376373"/>
    <w:rsid w:val="00383C6B"/>
    <w:rsid w:val="003846F1"/>
    <w:rsid w:val="00384A55"/>
    <w:rsid w:val="00384B54"/>
    <w:rsid w:val="00386C86"/>
    <w:rsid w:val="003874F8"/>
    <w:rsid w:val="003904D2"/>
    <w:rsid w:val="00395B4C"/>
    <w:rsid w:val="00397EB2"/>
    <w:rsid w:val="003A0810"/>
    <w:rsid w:val="003A0CB8"/>
    <w:rsid w:val="003A1F17"/>
    <w:rsid w:val="003A3E2D"/>
    <w:rsid w:val="003A41E0"/>
    <w:rsid w:val="003A431D"/>
    <w:rsid w:val="003A4B6B"/>
    <w:rsid w:val="003A7DC0"/>
    <w:rsid w:val="003B0D56"/>
    <w:rsid w:val="003B282E"/>
    <w:rsid w:val="003B40ED"/>
    <w:rsid w:val="003B4804"/>
    <w:rsid w:val="003B4D9B"/>
    <w:rsid w:val="003B6F90"/>
    <w:rsid w:val="003C0710"/>
    <w:rsid w:val="003C24A9"/>
    <w:rsid w:val="003C2B22"/>
    <w:rsid w:val="003C2BC1"/>
    <w:rsid w:val="003C30E5"/>
    <w:rsid w:val="003C3C98"/>
    <w:rsid w:val="003C3D77"/>
    <w:rsid w:val="003C62E9"/>
    <w:rsid w:val="003C7164"/>
    <w:rsid w:val="003C7B5B"/>
    <w:rsid w:val="003C7EFA"/>
    <w:rsid w:val="003D30EE"/>
    <w:rsid w:val="003D5258"/>
    <w:rsid w:val="003E1341"/>
    <w:rsid w:val="003E3C33"/>
    <w:rsid w:val="003E47DC"/>
    <w:rsid w:val="003E521D"/>
    <w:rsid w:val="003E74FF"/>
    <w:rsid w:val="003E78A9"/>
    <w:rsid w:val="003F004E"/>
    <w:rsid w:val="003F0289"/>
    <w:rsid w:val="003F3672"/>
    <w:rsid w:val="003F54CB"/>
    <w:rsid w:val="003F57F1"/>
    <w:rsid w:val="003F5F74"/>
    <w:rsid w:val="003F66C5"/>
    <w:rsid w:val="003F75C8"/>
    <w:rsid w:val="00401B53"/>
    <w:rsid w:val="00402142"/>
    <w:rsid w:val="00403473"/>
    <w:rsid w:val="004034C5"/>
    <w:rsid w:val="00404492"/>
    <w:rsid w:val="00404504"/>
    <w:rsid w:val="00405B42"/>
    <w:rsid w:val="00407337"/>
    <w:rsid w:val="00410584"/>
    <w:rsid w:val="00411897"/>
    <w:rsid w:val="00412176"/>
    <w:rsid w:val="00414488"/>
    <w:rsid w:val="00414EA6"/>
    <w:rsid w:val="00415788"/>
    <w:rsid w:val="004157C0"/>
    <w:rsid w:val="00416641"/>
    <w:rsid w:val="004176E8"/>
    <w:rsid w:val="00421154"/>
    <w:rsid w:val="0042429B"/>
    <w:rsid w:val="00424809"/>
    <w:rsid w:val="004253D6"/>
    <w:rsid w:val="004303EE"/>
    <w:rsid w:val="00436F76"/>
    <w:rsid w:val="00440D85"/>
    <w:rsid w:val="00441A99"/>
    <w:rsid w:val="00442767"/>
    <w:rsid w:val="00444A48"/>
    <w:rsid w:val="00450611"/>
    <w:rsid w:val="004507A1"/>
    <w:rsid w:val="0045129B"/>
    <w:rsid w:val="004518EA"/>
    <w:rsid w:val="00453327"/>
    <w:rsid w:val="00453C22"/>
    <w:rsid w:val="00456C20"/>
    <w:rsid w:val="00462CFF"/>
    <w:rsid w:val="00465210"/>
    <w:rsid w:val="00470AF4"/>
    <w:rsid w:val="00470EE9"/>
    <w:rsid w:val="0047130B"/>
    <w:rsid w:val="00471992"/>
    <w:rsid w:val="00471E68"/>
    <w:rsid w:val="0047346C"/>
    <w:rsid w:val="00475F8E"/>
    <w:rsid w:val="00477821"/>
    <w:rsid w:val="0048018F"/>
    <w:rsid w:val="00480B4B"/>
    <w:rsid w:val="00480DA9"/>
    <w:rsid w:val="004831F8"/>
    <w:rsid w:val="00485752"/>
    <w:rsid w:val="00485DC4"/>
    <w:rsid w:val="00487C10"/>
    <w:rsid w:val="004923CD"/>
    <w:rsid w:val="00492A06"/>
    <w:rsid w:val="00493B02"/>
    <w:rsid w:val="00494036"/>
    <w:rsid w:val="00495574"/>
    <w:rsid w:val="0049751C"/>
    <w:rsid w:val="004A0AB5"/>
    <w:rsid w:val="004A1061"/>
    <w:rsid w:val="004A1184"/>
    <w:rsid w:val="004A13A6"/>
    <w:rsid w:val="004A2770"/>
    <w:rsid w:val="004A364A"/>
    <w:rsid w:val="004B104F"/>
    <w:rsid w:val="004B1708"/>
    <w:rsid w:val="004B231C"/>
    <w:rsid w:val="004B42A7"/>
    <w:rsid w:val="004B4412"/>
    <w:rsid w:val="004B5B3F"/>
    <w:rsid w:val="004C28B2"/>
    <w:rsid w:val="004C348C"/>
    <w:rsid w:val="004C4E90"/>
    <w:rsid w:val="004C571B"/>
    <w:rsid w:val="004C63B9"/>
    <w:rsid w:val="004C6486"/>
    <w:rsid w:val="004C690D"/>
    <w:rsid w:val="004C6C5B"/>
    <w:rsid w:val="004D1774"/>
    <w:rsid w:val="004D4A76"/>
    <w:rsid w:val="004D5447"/>
    <w:rsid w:val="004D55BA"/>
    <w:rsid w:val="004E1B1C"/>
    <w:rsid w:val="004E1E95"/>
    <w:rsid w:val="004E34E7"/>
    <w:rsid w:val="004E4142"/>
    <w:rsid w:val="004E6AFC"/>
    <w:rsid w:val="004E755C"/>
    <w:rsid w:val="004E7D10"/>
    <w:rsid w:val="004F171D"/>
    <w:rsid w:val="004F18F3"/>
    <w:rsid w:val="004F6D0A"/>
    <w:rsid w:val="004F6ED0"/>
    <w:rsid w:val="00501B85"/>
    <w:rsid w:val="0050244E"/>
    <w:rsid w:val="00502843"/>
    <w:rsid w:val="00502D42"/>
    <w:rsid w:val="005033F6"/>
    <w:rsid w:val="005047F1"/>
    <w:rsid w:val="00505B5E"/>
    <w:rsid w:val="00506624"/>
    <w:rsid w:val="00510A43"/>
    <w:rsid w:val="005177C0"/>
    <w:rsid w:val="00522360"/>
    <w:rsid w:val="00522486"/>
    <w:rsid w:val="00522668"/>
    <w:rsid w:val="00523AD2"/>
    <w:rsid w:val="00524513"/>
    <w:rsid w:val="00527551"/>
    <w:rsid w:val="005279B6"/>
    <w:rsid w:val="00530128"/>
    <w:rsid w:val="00530657"/>
    <w:rsid w:val="005323B2"/>
    <w:rsid w:val="00532467"/>
    <w:rsid w:val="0053491C"/>
    <w:rsid w:val="00534DD9"/>
    <w:rsid w:val="0053611E"/>
    <w:rsid w:val="0054102B"/>
    <w:rsid w:val="0054173F"/>
    <w:rsid w:val="0054254C"/>
    <w:rsid w:val="00543945"/>
    <w:rsid w:val="00543BEC"/>
    <w:rsid w:val="00544C6F"/>
    <w:rsid w:val="00546B16"/>
    <w:rsid w:val="00547DC4"/>
    <w:rsid w:val="005502E7"/>
    <w:rsid w:val="00551739"/>
    <w:rsid w:val="00551D6B"/>
    <w:rsid w:val="00552DA2"/>
    <w:rsid w:val="00552F68"/>
    <w:rsid w:val="00555667"/>
    <w:rsid w:val="005556B9"/>
    <w:rsid w:val="00556B64"/>
    <w:rsid w:val="005575B9"/>
    <w:rsid w:val="00560CE5"/>
    <w:rsid w:val="00562103"/>
    <w:rsid w:val="00562CEE"/>
    <w:rsid w:val="00562EF1"/>
    <w:rsid w:val="00564A4D"/>
    <w:rsid w:val="00565239"/>
    <w:rsid w:val="005656E2"/>
    <w:rsid w:val="00565F50"/>
    <w:rsid w:val="0056783F"/>
    <w:rsid w:val="005703C9"/>
    <w:rsid w:val="005707D4"/>
    <w:rsid w:val="00571680"/>
    <w:rsid w:val="00571B35"/>
    <w:rsid w:val="005722FF"/>
    <w:rsid w:val="00572D20"/>
    <w:rsid w:val="00573042"/>
    <w:rsid w:val="00574241"/>
    <w:rsid w:val="00575C43"/>
    <w:rsid w:val="00577A09"/>
    <w:rsid w:val="00577F68"/>
    <w:rsid w:val="00580E72"/>
    <w:rsid w:val="005810AE"/>
    <w:rsid w:val="005819F3"/>
    <w:rsid w:val="00582446"/>
    <w:rsid w:val="005839B3"/>
    <w:rsid w:val="00584D8F"/>
    <w:rsid w:val="00585D42"/>
    <w:rsid w:val="00587CFB"/>
    <w:rsid w:val="0059539A"/>
    <w:rsid w:val="00595613"/>
    <w:rsid w:val="00595ED0"/>
    <w:rsid w:val="00596275"/>
    <w:rsid w:val="00596DE3"/>
    <w:rsid w:val="005A1287"/>
    <w:rsid w:val="005A1339"/>
    <w:rsid w:val="005A3B2C"/>
    <w:rsid w:val="005A3F7E"/>
    <w:rsid w:val="005A404D"/>
    <w:rsid w:val="005A42D5"/>
    <w:rsid w:val="005A5657"/>
    <w:rsid w:val="005A6CB0"/>
    <w:rsid w:val="005A6F22"/>
    <w:rsid w:val="005A731B"/>
    <w:rsid w:val="005B0461"/>
    <w:rsid w:val="005B069F"/>
    <w:rsid w:val="005B0EF5"/>
    <w:rsid w:val="005B1402"/>
    <w:rsid w:val="005B1E3C"/>
    <w:rsid w:val="005B62AF"/>
    <w:rsid w:val="005B7F8F"/>
    <w:rsid w:val="005C26CC"/>
    <w:rsid w:val="005C3411"/>
    <w:rsid w:val="005C3D54"/>
    <w:rsid w:val="005C3DEC"/>
    <w:rsid w:val="005C4E3D"/>
    <w:rsid w:val="005C4F80"/>
    <w:rsid w:val="005C53C0"/>
    <w:rsid w:val="005C546A"/>
    <w:rsid w:val="005C553B"/>
    <w:rsid w:val="005C592F"/>
    <w:rsid w:val="005C5D2E"/>
    <w:rsid w:val="005C5E72"/>
    <w:rsid w:val="005D24A9"/>
    <w:rsid w:val="005D2FBD"/>
    <w:rsid w:val="005D5ECD"/>
    <w:rsid w:val="005D69AF"/>
    <w:rsid w:val="005E0B7E"/>
    <w:rsid w:val="005E2086"/>
    <w:rsid w:val="005E6FFA"/>
    <w:rsid w:val="005E7718"/>
    <w:rsid w:val="005F0661"/>
    <w:rsid w:val="005F0CD5"/>
    <w:rsid w:val="005F69C4"/>
    <w:rsid w:val="005F6ADE"/>
    <w:rsid w:val="005F702C"/>
    <w:rsid w:val="005F7247"/>
    <w:rsid w:val="00600B2D"/>
    <w:rsid w:val="00602A58"/>
    <w:rsid w:val="0060313E"/>
    <w:rsid w:val="00603914"/>
    <w:rsid w:val="00604DB6"/>
    <w:rsid w:val="006057DD"/>
    <w:rsid w:val="00607BA0"/>
    <w:rsid w:val="00610304"/>
    <w:rsid w:val="00612006"/>
    <w:rsid w:val="00613324"/>
    <w:rsid w:val="00613DEC"/>
    <w:rsid w:val="00615619"/>
    <w:rsid w:val="00615C6B"/>
    <w:rsid w:val="00616CEC"/>
    <w:rsid w:val="00620B1B"/>
    <w:rsid w:val="00621545"/>
    <w:rsid w:val="0062525D"/>
    <w:rsid w:val="00626A3A"/>
    <w:rsid w:val="00626E1A"/>
    <w:rsid w:val="00627B2D"/>
    <w:rsid w:val="0063066D"/>
    <w:rsid w:val="006309A2"/>
    <w:rsid w:val="00630A15"/>
    <w:rsid w:val="00631560"/>
    <w:rsid w:val="006319C1"/>
    <w:rsid w:val="00632D6D"/>
    <w:rsid w:val="00634D01"/>
    <w:rsid w:val="0063567F"/>
    <w:rsid w:val="00636936"/>
    <w:rsid w:val="006411E6"/>
    <w:rsid w:val="00642C3E"/>
    <w:rsid w:val="00644F6E"/>
    <w:rsid w:val="006471D4"/>
    <w:rsid w:val="00647804"/>
    <w:rsid w:val="0065049E"/>
    <w:rsid w:val="00651005"/>
    <w:rsid w:val="0065226B"/>
    <w:rsid w:val="0065567D"/>
    <w:rsid w:val="006556AA"/>
    <w:rsid w:val="00656588"/>
    <w:rsid w:val="0065661E"/>
    <w:rsid w:val="006566B8"/>
    <w:rsid w:val="006569A5"/>
    <w:rsid w:val="006573B5"/>
    <w:rsid w:val="00660F82"/>
    <w:rsid w:val="00661F88"/>
    <w:rsid w:val="006621AB"/>
    <w:rsid w:val="00663DAD"/>
    <w:rsid w:val="00665ACC"/>
    <w:rsid w:val="00665C0C"/>
    <w:rsid w:val="00666226"/>
    <w:rsid w:val="0067180B"/>
    <w:rsid w:val="00673D15"/>
    <w:rsid w:val="006741D4"/>
    <w:rsid w:val="00674600"/>
    <w:rsid w:val="00675E21"/>
    <w:rsid w:val="00676679"/>
    <w:rsid w:val="00677233"/>
    <w:rsid w:val="006777D7"/>
    <w:rsid w:val="00682C3F"/>
    <w:rsid w:val="00686411"/>
    <w:rsid w:val="00687AA8"/>
    <w:rsid w:val="00694FD6"/>
    <w:rsid w:val="0069547C"/>
    <w:rsid w:val="006956EC"/>
    <w:rsid w:val="006A0411"/>
    <w:rsid w:val="006A1226"/>
    <w:rsid w:val="006A20CE"/>
    <w:rsid w:val="006A21CD"/>
    <w:rsid w:val="006A35B0"/>
    <w:rsid w:val="006A6EDD"/>
    <w:rsid w:val="006A7C64"/>
    <w:rsid w:val="006B0C7B"/>
    <w:rsid w:val="006B245C"/>
    <w:rsid w:val="006B32F3"/>
    <w:rsid w:val="006B4CF9"/>
    <w:rsid w:val="006B6CC3"/>
    <w:rsid w:val="006B77F5"/>
    <w:rsid w:val="006B7AC8"/>
    <w:rsid w:val="006C196C"/>
    <w:rsid w:val="006C1E8B"/>
    <w:rsid w:val="006C2373"/>
    <w:rsid w:val="006C318F"/>
    <w:rsid w:val="006C3620"/>
    <w:rsid w:val="006C41C4"/>
    <w:rsid w:val="006C447D"/>
    <w:rsid w:val="006C5B09"/>
    <w:rsid w:val="006C62B7"/>
    <w:rsid w:val="006D0C1E"/>
    <w:rsid w:val="006D1D94"/>
    <w:rsid w:val="006D3561"/>
    <w:rsid w:val="006D38CE"/>
    <w:rsid w:val="006D550F"/>
    <w:rsid w:val="006D5B9F"/>
    <w:rsid w:val="006D6001"/>
    <w:rsid w:val="006D6AE2"/>
    <w:rsid w:val="006D7923"/>
    <w:rsid w:val="006E0523"/>
    <w:rsid w:val="006E1E7D"/>
    <w:rsid w:val="006E218F"/>
    <w:rsid w:val="006E244A"/>
    <w:rsid w:val="006E5F3E"/>
    <w:rsid w:val="006E78CF"/>
    <w:rsid w:val="006F0601"/>
    <w:rsid w:val="006F0B74"/>
    <w:rsid w:val="006F0D76"/>
    <w:rsid w:val="006F1044"/>
    <w:rsid w:val="006F3750"/>
    <w:rsid w:val="006F393C"/>
    <w:rsid w:val="006F3FCB"/>
    <w:rsid w:val="006F48AA"/>
    <w:rsid w:val="006F4C38"/>
    <w:rsid w:val="006F6C2D"/>
    <w:rsid w:val="00700DAB"/>
    <w:rsid w:val="00701CAB"/>
    <w:rsid w:val="007037F6"/>
    <w:rsid w:val="00704518"/>
    <w:rsid w:val="00704CA4"/>
    <w:rsid w:val="00707011"/>
    <w:rsid w:val="00707563"/>
    <w:rsid w:val="00711BF6"/>
    <w:rsid w:val="00712D03"/>
    <w:rsid w:val="00716355"/>
    <w:rsid w:val="0071735A"/>
    <w:rsid w:val="0072073C"/>
    <w:rsid w:val="00720AB2"/>
    <w:rsid w:val="0072348C"/>
    <w:rsid w:val="007241D7"/>
    <w:rsid w:val="007247EC"/>
    <w:rsid w:val="00724827"/>
    <w:rsid w:val="00724A37"/>
    <w:rsid w:val="00724BF3"/>
    <w:rsid w:val="00727D4D"/>
    <w:rsid w:val="007303C3"/>
    <w:rsid w:val="00731F13"/>
    <w:rsid w:val="0073214E"/>
    <w:rsid w:val="0073561F"/>
    <w:rsid w:val="007356A7"/>
    <w:rsid w:val="00741247"/>
    <w:rsid w:val="00741D03"/>
    <w:rsid w:val="007426D5"/>
    <w:rsid w:val="00743223"/>
    <w:rsid w:val="00743977"/>
    <w:rsid w:val="00746063"/>
    <w:rsid w:val="00746E01"/>
    <w:rsid w:val="00747D2F"/>
    <w:rsid w:val="00751821"/>
    <w:rsid w:val="007532DD"/>
    <w:rsid w:val="00753ADA"/>
    <w:rsid w:val="00760B4D"/>
    <w:rsid w:val="00760FD8"/>
    <w:rsid w:val="007618A3"/>
    <w:rsid w:val="00762D41"/>
    <w:rsid w:val="00763E5D"/>
    <w:rsid w:val="00764C7F"/>
    <w:rsid w:val="00767740"/>
    <w:rsid w:val="00771822"/>
    <w:rsid w:val="00772A95"/>
    <w:rsid w:val="00777EE6"/>
    <w:rsid w:val="00780452"/>
    <w:rsid w:val="00781A01"/>
    <w:rsid w:val="00782EEA"/>
    <w:rsid w:val="0078319A"/>
    <w:rsid w:val="00783D4E"/>
    <w:rsid w:val="00783E1A"/>
    <w:rsid w:val="00784059"/>
    <w:rsid w:val="0078423F"/>
    <w:rsid w:val="00784A7E"/>
    <w:rsid w:val="007861E0"/>
    <w:rsid w:val="0079277A"/>
    <w:rsid w:val="0079310A"/>
    <w:rsid w:val="007959E7"/>
    <w:rsid w:val="00796C78"/>
    <w:rsid w:val="00796D6A"/>
    <w:rsid w:val="007A1135"/>
    <w:rsid w:val="007A1428"/>
    <w:rsid w:val="007A1AB0"/>
    <w:rsid w:val="007A33E8"/>
    <w:rsid w:val="007A6656"/>
    <w:rsid w:val="007A7264"/>
    <w:rsid w:val="007B1732"/>
    <w:rsid w:val="007B2C72"/>
    <w:rsid w:val="007B3F68"/>
    <w:rsid w:val="007B497F"/>
    <w:rsid w:val="007B57F8"/>
    <w:rsid w:val="007B742A"/>
    <w:rsid w:val="007B78AB"/>
    <w:rsid w:val="007C1C53"/>
    <w:rsid w:val="007C2EE8"/>
    <w:rsid w:val="007C62FE"/>
    <w:rsid w:val="007C6FE2"/>
    <w:rsid w:val="007D1133"/>
    <w:rsid w:val="007D2028"/>
    <w:rsid w:val="007D47B2"/>
    <w:rsid w:val="007D53A8"/>
    <w:rsid w:val="007D6FC9"/>
    <w:rsid w:val="007E1516"/>
    <w:rsid w:val="007E4904"/>
    <w:rsid w:val="007E4CB5"/>
    <w:rsid w:val="007E5597"/>
    <w:rsid w:val="007E74E0"/>
    <w:rsid w:val="007F066B"/>
    <w:rsid w:val="007F0F77"/>
    <w:rsid w:val="007F2BBD"/>
    <w:rsid w:val="007F2D03"/>
    <w:rsid w:val="007F3B2C"/>
    <w:rsid w:val="007F43CB"/>
    <w:rsid w:val="007F475F"/>
    <w:rsid w:val="007F4AB4"/>
    <w:rsid w:val="007F5457"/>
    <w:rsid w:val="008011F4"/>
    <w:rsid w:val="008033C4"/>
    <w:rsid w:val="00806C88"/>
    <w:rsid w:val="00807112"/>
    <w:rsid w:val="00807A5C"/>
    <w:rsid w:val="0081034E"/>
    <w:rsid w:val="0081253D"/>
    <w:rsid w:val="00812E7B"/>
    <w:rsid w:val="0081351D"/>
    <w:rsid w:val="00813CE4"/>
    <w:rsid w:val="0081592A"/>
    <w:rsid w:val="00817724"/>
    <w:rsid w:val="008238B2"/>
    <w:rsid w:val="008245E2"/>
    <w:rsid w:val="008257CA"/>
    <w:rsid w:val="008301E7"/>
    <w:rsid w:val="00831483"/>
    <w:rsid w:val="008344B4"/>
    <w:rsid w:val="008344F6"/>
    <w:rsid w:val="0083510F"/>
    <w:rsid w:val="008366CD"/>
    <w:rsid w:val="00836890"/>
    <w:rsid w:val="00840C6C"/>
    <w:rsid w:val="00840FCC"/>
    <w:rsid w:val="008445D3"/>
    <w:rsid w:val="00845396"/>
    <w:rsid w:val="00847ED9"/>
    <w:rsid w:val="00851209"/>
    <w:rsid w:val="0085188E"/>
    <w:rsid w:val="00851B46"/>
    <w:rsid w:val="00852B3D"/>
    <w:rsid w:val="008556A5"/>
    <w:rsid w:val="00856965"/>
    <w:rsid w:val="00857917"/>
    <w:rsid w:val="00861429"/>
    <w:rsid w:val="00861AED"/>
    <w:rsid w:val="00864A9F"/>
    <w:rsid w:val="00866ABD"/>
    <w:rsid w:val="00867506"/>
    <w:rsid w:val="008707C1"/>
    <w:rsid w:val="00870903"/>
    <w:rsid w:val="0087280A"/>
    <w:rsid w:val="0087308C"/>
    <w:rsid w:val="0087350F"/>
    <w:rsid w:val="00873B1F"/>
    <w:rsid w:val="0087479D"/>
    <w:rsid w:val="008837AC"/>
    <w:rsid w:val="00884D30"/>
    <w:rsid w:val="0088604D"/>
    <w:rsid w:val="00886662"/>
    <w:rsid w:val="00886BAB"/>
    <w:rsid w:val="00886CEC"/>
    <w:rsid w:val="00886FA8"/>
    <w:rsid w:val="00887EBF"/>
    <w:rsid w:val="00887FB8"/>
    <w:rsid w:val="008909FD"/>
    <w:rsid w:val="008934F4"/>
    <w:rsid w:val="00895878"/>
    <w:rsid w:val="00896C79"/>
    <w:rsid w:val="008A147B"/>
    <w:rsid w:val="008A157D"/>
    <w:rsid w:val="008A4DB6"/>
    <w:rsid w:val="008A587D"/>
    <w:rsid w:val="008A59AB"/>
    <w:rsid w:val="008A6198"/>
    <w:rsid w:val="008A7580"/>
    <w:rsid w:val="008A7E37"/>
    <w:rsid w:val="008B0D4C"/>
    <w:rsid w:val="008B22BE"/>
    <w:rsid w:val="008B416B"/>
    <w:rsid w:val="008B6DA5"/>
    <w:rsid w:val="008C094A"/>
    <w:rsid w:val="008C1D7C"/>
    <w:rsid w:val="008C1FE0"/>
    <w:rsid w:val="008C4E0D"/>
    <w:rsid w:val="008C50F7"/>
    <w:rsid w:val="008C50FB"/>
    <w:rsid w:val="008C5486"/>
    <w:rsid w:val="008C6384"/>
    <w:rsid w:val="008C6B16"/>
    <w:rsid w:val="008D21CB"/>
    <w:rsid w:val="008D2CEE"/>
    <w:rsid w:val="008D4820"/>
    <w:rsid w:val="008D4E23"/>
    <w:rsid w:val="008D6AC3"/>
    <w:rsid w:val="008D7D94"/>
    <w:rsid w:val="008E1E8E"/>
    <w:rsid w:val="008E2C54"/>
    <w:rsid w:val="008E535A"/>
    <w:rsid w:val="008E6CAE"/>
    <w:rsid w:val="008E7031"/>
    <w:rsid w:val="008F05DF"/>
    <w:rsid w:val="008F14C9"/>
    <w:rsid w:val="008F2DE1"/>
    <w:rsid w:val="008F2F48"/>
    <w:rsid w:val="008F4AD5"/>
    <w:rsid w:val="008F4C72"/>
    <w:rsid w:val="008F4DFD"/>
    <w:rsid w:val="008F6E27"/>
    <w:rsid w:val="008F6FC7"/>
    <w:rsid w:val="008F71C7"/>
    <w:rsid w:val="008F7954"/>
    <w:rsid w:val="009004F5"/>
    <w:rsid w:val="0090239D"/>
    <w:rsid w:val="00902445"/>
    <w:rsid w:val="00903A78"/>
    <w:rsid w:val="009057E0"/>
    <w:rsid w:val="009064FC"/>
    <w:rsid w:val="0091130F"/>
    <w:rsid w:val="00913C7D"/>
    <w:rsid w:val="00914872"/>
    <w:rsid w:val="00914975"/>
    <w:rsid w:val="00914A87"/>
    <w:rsid w:val="00915BFF"/>
    <w:rsid w:val="0091710E"/>
    <w:rsid w:val="0092084D"/>
    <w:rsid w:val="00921066"/>
    <w:rsid w:val="00921957"/>
    <w:rsid w:val="00922ACF"/>
    <w:rsid w:val="009233EE"/>
    <w:rsid w:val="00924207"/>
    <w:rsid w:val="0092422F"/>
    <w:rsid w:val="00925EDB"/>
    <w:rsid w:val="00932606"/>
    <w:rsid w:val="009335AE"/>
    <w:rsid w:val="00933B55"/>
    <w:rsid w:val="00936740"/>
    <w:rsid w:val="009377D8"/>
    <w:rsid w:val="00940393"/>
    <w:rsid w:val="0094150C"/>
    <w:rsid w:val="00941935"/>
    <w:rsid w:val="00942863"/>
    <w:rsid w:val="00944863"/>
    <w:rsid w:val="009456DC"/>
    <w:rsid w:val="00947919"/>
    <w:rsid w:val="00950B15"/>
    <w:rsid w:val="0095158D"/>
    <w:rsid w:val="00952CF7"/>
    <w:rsid w:val="00953534"/>
    <w:rsid w:val="00953A7A"/>
    <w:rsid w:val="009540FA"/>
    <w:rsid w:val="00956C19"/>
    <w:rsid w:val="00957591"/>
    <w:rsid w:val="0095772E"/>
    <w:rsid w:val="00960AC5"/>
    <w:rsid w:val="00960C83"/>
    <w:rsid w:val="00963914"/>
    <w:rsid w:val="00963EC7"/>
    <w:rsid w:val="009661DE"/>
    <w:rsid w:val="009721AF"/>
    <w:rsid w:val="00972A40"/>
    <w:rsid w:val="00974CDB"/>
    <w:rsid w:val="009777E3"/>
    <w:rsid w:val="00981578"/>
    <w:rsid w:val="00981E7F"/>
    <w:rsid w:val="00982FEB"/>
    <w:rsid w:val="009837D1"/>
    <w:rsid w:val="00983EEC"/>
    <w:rsid w:val="009856B7"/>
    <w:rsid w:val="00985A66"/>
    <w:rsid w:val="0098646A"/>
    <w:rsid w:val="009904FF"/>
    <w:rsid w:val="009920D2"/>
    <w:rsid w:val="009928BC"/>
    <w:rsid w:val="009937B4"/>
    <w:rsid w:val="0099572C"/>
    <w:rsid w:val="009A090B"/>
    <w:rsid w:val="009A0A73"/>
    <w:rsid w:val="009A0EDF"/>
    <w:rsid w:val="009A14D0"/>
    <w:rsid w:val="009A3D22"/>
    <w:rsid w:val="009A4B08"/>
    <w:rsid w:val="009A574C"/>
    <w:rsid w:val="009A6D69"/>
    <w:rsid w:val="009B0884"/>
    <w:rsid w:val="009B1174"/>
    <w:rsid w:val="009B21F2"/>
    <w:rsid w:val="009B4E65"/>
    <w:rsid w:val="009B533B"/>
    <w:rsid w:val="009B5478"/>
    <w:rsid w:val="009B5D28"/>
    <w:rsid w:val="009B615C"/>
    <w:rsid w:val="009B69AA"/>
    <w:rsid w:val="009B74B0"/>
    <w:rsid w:val="009C01D7"/>
    <w:rsid w:val="009C05B5"/>
    <w:rsid w:val="009C1BE3"/>
    <w:rsid w:val="009C381D"/>
    <w:rsid w:val="009C4C5E"/>
    <w:rsid w:val="009C4FB9"/>
    <w:rsid w:val="009C6A83"/>
    <w:rsid w:val="009C77CC"/>
    <w:rsid w:val="009C7E88"/>
    <w:rsid w:val="009C7FDF"/>
    <w:rsid w:val="009D0B16"/>
    <w:rsid w:val="009D3016"/>
    <w:rsid w:val="009D30B3"/>
    <w:rsid w:val="009D3902"/>
    <w:rsid w:val="009D47E3"/>
    <w:rsid w:val="009D633E"/>
    <w:rsid w:val="009D6B46"/>
    <w:rsid w:val="009E1209"/>
    <w:rsid w:val="009E1242"/>
    <w:rsid w:val="009E2520"/>
    <w:rsid w:val="009E2B88"/>
    <w:rsid w:val="009E464D"/>
    <w:rsid w:val="009E6668"/>
    <w:rsid w:val="009E7749"/>
    <w:rsid w:val="009E7AC6"/>
    <w:rsid w:val="009E7D2D"/>
    <w:rsid w:val="009F03C9"/>
    <w:rsid w:val="009F0A79"/>
    <w:rsid w:val="009F1D03"/>
    <w:rsid w:val="009F1E42"/>
    <w:rsid w:val="009F2CAC"/>
    <w:rsid w:val="009F4806"/>
    <w:rsid w:val="009F4940"/>
    <w:rsid w:val="00A041F4"/>
    <w:rsid w:val="00A04451"/>
    <w:rsid w:val="00A04F9F"/>
    <w:rsid w:val="00A057D1"/>
    <w:rsid w:val="00A05BED"/>
    <w:rsid w:val="00A06AD1"/>
    <w:rsid w:val="00A06E0E"/>
    <w:rsid w:val="00A1210E"/>
    <w:rsid w:val="00A159BF"/>
    <w:rsid w:val="00A15E40"/>
    <w:rsid w:val="00A16975"/>
    <w:rsid w:val="00A16DAF"/>
    <w:rsid w:val="00A16F26"/>
    <w:rsid w:val="00A21F54"/>
    <w:rsid w:val="00A226E9"/>
    <w:rsid w:val="00A2302C"/>
    <w:rsid w:val="00A25353"/>
    <w:rsid w:val="00A26739"/>
    <w:rsid w:val="00A26C2F"/>
    <w:rsid w:val="00A30B76"/>
    <w:rsid w:val="00A3632A"/>
    <w:rsid w:val="00A42006"/>
    <w:rsid w:val="00A432BC"/>
    <w:rsid w:val="00A433FB"/>
    <w:rsid w:val="00A4478A"/>
    <w:rsid w:val="00A44852"/>
    <w:rsid w:val="00A45EAC"/>
    <w:rsid w:val="00A47A03"/>
    <w:rsid w:val="00A52A18"/>
    <w:rsid w:val="00A5631E"/>
    <w:rsid w:val="00A575E8"/>
    <w:rsid w:val="00A57D04"/>
    <w:rsid w:val="00A57D69"/>
    <w:rsid w:val="00A60A26"/>
    <w:rsid w:val="00A61598"/>
    <w:rsid w:val="00A61DCF"/>
    <w:rsid w:val="00A645F9"/>
    <w:rsid w:val="00A64EBB"/>
    <w:rsid w:val="00A672B8"/>
    <w:rsid w:val="00A6730F"/>
    <w:rsid w:val="00A679F2"/>
    <w:rsid w:val="00A70908"/>
    <w:rsid w:val="00A71AA6"/>
    <w:rsid w:val="00A72667"/>
    <w:rsid w:val="00A75AAA"/>
    <w:rsid w:val="00A81710"/>
    <w:rsid w:val="00A81EF8"/>
    <w:rsid w:val="00A8219E"/>
    <w:rsid w:val="00A84149"/>
    <w:rsid w:val="00A84E2D"/>
    <w:rsid w:val="00A84F46"/>
    <w:rsid w:val="00A871F4"/>
    <w:rsid w:val="00A87F90"/>
    <w:rsid w:val="00A912B1"/>
    <w:rsid w:val="00A91A4B"/>
    <w:rsid w:val="00A923DD"/>
    <w:rsid w:val="00A9455D"/>
    <w:rsid w:val="00A94D89"/>
    <w:rsid w:val="00A956AD"/>
    <w:rsid w:val="00A96CE0"/>
    <w:rsid w:val="00A971A0"/>
    <w:rsid w:val="00AA0CEB"/>
    <w:rsid w:val="00AA12D3"/>
    <w:rsid w:val="00AA39C0"/>
    <w:rsid w:val="00AA3A2C"/>
    <w:rsid w:val="00AA476F"/>
    <w:rsid w:val="00AA649A"/>
    <w:rsid w:val="00AA73F0"/>
    <w:rsid w:val="00AB6478"/>
    <w:rsid w:val="00AB6927"/>
    <w:rsid w:val="00AC0FE9"/>
    <w:rsid w:val="00AC1B2C"/>
    <w:rsid w:val="00AC1CF3"/>
    <w:rsid w:val="00AC242C"/>
    <w:rsid w:val="00AC3264"/>
    <w:rsid w:val="00AC48DA"/>
    <w:rsid w:val="00AC4BF5"/>
    <w:rsid w:val="00AD0424"/>
    <w:rsid w:val="00AD36D0"/>
    <w:rsid w:val="00AD3987"/>
    <w:rsid w:val="00AD3D69"/>
    <w:rsid w:val="00AD592F"/>
    <w:rsid w:val="00AD6D98"/>
    <w:rsid w:val="00AD76AE"/>
    <w:rsid w:val="00AE0399"/>
    <w:rsid w:val="00AE18EA"/>
    <w:rsid w:val="00AE1BF1"/>
    <w:rsid w:val="00AE20B1"/>
    <w:rsid w:val="00AE2792"/>
    <w:rsid w:val="00AE317D"/>
    <w:rsid w:val="00AE33E0"/>
    <w:rsid w:val="00AF0CA1"/>
    <w:rsid w:val="00AF0DD2"/>
    <w:rsid w:val="00AF0ED5"/>
    <w:rsid w:val="00AF164D"/>
    <w:rsid w:val="00AF3A41"/>
    <w:rsid w:val="00AF46F3"/>
    <w:rsid w:val="00AF66A7"/>
    <w:rsid w:val="00AF7058"/>
    <w:rsid w:val="00AF7C0E"/>
    <w:rsid w:val="00B01BD3"/>
    <w:rsid w:val="00B02ED5"/>
    <w:rsid w:val="00B03817"/>
    <w:rsid w:val="00B050A6"/>
    <w:rsid w:val="00B057C8"/>
    <w:rsid w:val="00B06353"/>
    <w:rsid w:val="00B065C9"/>
    <w:rsid w:val="00B0779B"/>
    <w:rsid w:val="00B109DD"/>
    <w:rsid w:val="00B11C09"/>
    <w:rsid w:val="00B1285B"/>
    <w:rsid w:val="00B13048"/>
    <w:rsid w:val="00B135AC"/>
    <w:rsid w:val="00B14CE4"/>
    <w:rsid w:val="00B162BD"/>
    <w:rsid w:val="00B16A28"/>
    <w:rsid w:val="00B1716D"/>
    <w:rsid w:val="00B17A1D"/>
    <w:rsid w:val="00B207A0"/>
    <w:rsid w:val="00B20F61"/>
    <w:rsid w:val="00B211EE"/>
    <w:rsid w:val="00B23484"/>
    <w:rsid w:val="00B251A4"/>
    <w:rsid w:val="00B25887"/>
    <w:rsid w:val="00B26AAA"/>
    <w:rsid w:val="00B276D9"/>
    <w:rsid w:val="00B302BF"/>
    <w:rsid w:val="00B30D82"/>
    <w:rsid w:val="00B31071"/>
    <w:rsid w:val="00B33C7F"/>
    <w:rsid w:val="00B35810"/>
    <w:rsid w:val="00B35937"/>
    <w:rsid w:val="00B3773B"/>
    <w:rsid w:val="00B4128D"/>
    <w:rsid w:val="00B41686"/>
    <w:rsid w:val="00B44E99"/>
    <w:rsid w:val="00B46C5E"/>
    <w:rsid w:val="00B474EE"/>
    <w:rsid w:val="00B52EC8"/>
    <w:rsid w:val="00B55C24"/>
    <w:rsid w:val="00B56CF6"/>
    <w:rsid w:val="00B56E03"/>
    <w:rsid w:val="00B6278D"/>
    <w:rsid w:val="00B62BB5"/>
    <w:rsid w:val="00B63E2C"/>
    <w:rsid w:val="00B64331"/>
    <w:rsid w:val="00B64DF7"/>
    <w:rsid w:val="00B652AF"/>
    <w:rsid w:val="00B65CAC"/>
    <w:rsid w:val="00B66E74"/>
    <w:rsid w:val="00B673A4"/>
    <w:rsid w:val="00B70A7F"/>
    <w:rsid w:val="00B70CA5"/>
    <w:rsid w:val="00B7397E"/>
    <w:rsid w:val="00B73C3A"/>
    <w:rsid w:val="00B752C5"/>
    <w:rsid w:val="00B8080B"/>
    <w:rsid w:val="00B82845"/>
    <w:rsid w:val="00B85D8A"/>
    <w:rsid w:val="00B87C39"/>
    <w:rsid w:val="00B87DD6"/>
    <w:rsid w:val="00B904FF"/>
    <w:rsid w:val="00B91BE8"/>
    <w:rsid w:val="00B92CD5"/>
    <w:rsid w:val="00B956D7"/>
    <w:rsid w:val="00BA05DD"/>
    <w:rsid w:val="00BA1F27"/>
    <w:rsid w:val="00BA2E61"/>
    <w:rsid w:val="00BA390A"/>
    <w:rsid w:val="00BA3992"/>
    <w:rsid w:val="00BA4665"/>
    <w:rsid w:val="00BB20BA"/>
    <w:rsid w:val="00BB2FB2"/>
    <w:rsid w:val="00BB3304"/>
    <w:rsid w:val="00BB4732"/>
    <w:rsid w:val="00BB51C2"/>
    <w:rsid w:val="00BB6815"/>
    <w:rsid w:val="00BB7780"/>
    <w:rsid w:val="00BC03BC"/>
    <w:rsid w:val="00BC1B6B"/>
    <w:rsid w:val="00BC2DFD"/>
    <w:rsid w:val="00BC4CD2"/>
    <w:rsid w:val="00BC614B"/>
    <w:rsid w:val="00BC6398"/>
    <w:rsid w:val="00BC675F"/>
    <w:rsid w:val="00BD0BD0"/>
    <w:rsid w:val="00BD10B4"/>
    <w:rsid w:val="00BD1AD7"/>
    <w:rsid w:val="00BD1BCA"/>
    <w:rsid w:val="00BD26AE"/>
    <w:rsid w:val="00BD3446"/>
    <w:rsid w:val="00BD412C"/>
    <w:rsid w:val="00BD4E33"/>
    <w:rsid w:val="00BD545F"/>
    <w:rsid w:val="00BD5467"/>
    <w:rsid w:val="00BD6CD4"/>
    <w:rsid w:val="00BD7176"/>
    <w:rsid w:val="00BD71BD"/>
    <w:rsid w:val="00BE1F1B"/>
    <w:rsid w:val="00BE2075"/>
    <w:rsid w:val="00BE2F8A"/>
    <w:rsid w:val="00BE377D"/>
    <w:rsid w:val="00BE3F55"/>
    <w:rsid w:val="00BE40E3"/>
    <w:rsid w:val="00BE47B5"/>
    <w:rsid w:val="00BE5AC5"/>
    <w:rsid w:val="00BE6087"/>
    <w:rsid w:val="00BE7DBC"/>
    <w:rsid w:val="00BF19CB"/>
    <w:rsid w:val="00BF1BF5"/>
    <w:rsid w:val="00BF1E45"/>
    <w:rsid w:val="00BF295F"/>
    <w:rsid w:val="00BF4639"/>
    <w:rsid w:val="00BF65C1"/>
    <w:rsid w:val="00BF771C"/>
    <w:rsid w:val="00C008E0"/>
    <w:rsid w:val="00C008FE"/>
    <w:rsid w:val="00C01734"/>
    <w:rsid w:val="00C024A5"/>
    <w:rsid w:val="00C030BB"/>
    <w:rsid w:val="00C03C71"/>
    <w:rsid w:val="00C04914"/>
    <w:rsid w:val="00C05C48"/>
    <w:rsid w:val="00C064A7"/>
    <w:rsid w:val="00C075A3"/>
    <w:rsid w:val="00C07A89"/>
    <w:rsid w:val="00C101F2"/>
    <w:rsid w:val="00C11AE0"/>
    <w:rsid w:val="00C12A83"/>
    <w:rsid w:val="00C154C0"/>
    <w:rsid w:val="00C15CB2"/>
    <w:rsid w:val="00C15DA4"/>
    <w:rsid w:val="00C16B2C"/>
    <w:rsid w:val="00C1786D"/>
    <w:rsid w:val="00C17CB8"/>
    <w:rsid w:val="00C17F0D"/>
    <w:rsid w:val="00C17FC7"/>
    <w:rsid w:val="00C21CBD"/>
    <w:rsid w:val="00C238EB"/>
    <w:rsid w:val="00C24398"/>
    <w:rsid w:val="00C248B1"/>
    <w:rsid w:val="00C25A9A"/>
    <w:rsid w:val="00C273A6"/>
    <w:rsid w:val="00C30BBE"/>
    <w:rsid w:val="00C34065"/>
    <w:rsid w:val="00C35876"/>
    <w:rsid w:val="00C361EB"/>
    <w:rsid w:val="00C370D1"/>
    <w:rsid w:val="00C41237"/>
    <w:rsid w:val="00C420D7"/>
    <w:rsid w:val="00C420EB"/>
    <w:rsid w:val="00C43C4F"/>
    <w:rsid w:val="00C452B9"/>
    <w:rsid w:val="00C466B4"/>
    <w:rsid w:val="00C46AB5"/>
    <w:rsid w:val="00C4709E"/>
    <w:rsid w:val="00C4712A"/>
    <w:rsid w:val="00C47DEE"/>
    <w:rsid w:val="00C47EC0"/>
    <w:rsid w:val="00C50EC2"/>
    <w:rsid w:val="00C51484"/>
    <w:rsid w:val="00C51BE7"/>
    <w:rsid w:val="00C532EF"/>
    <w:rsid w:val="00C538A9"/>
    <w:rsid w:val="00C53B5A"/>
    <w:rsid w:val="00C54CF3"/>
    <w:rsid w:val="00C54F5A"/>
    <w:rsid w:val="00C55452"/>
    <w:rsid w:val="00C56506"/>
    <w:rsid w:val="00C565C5"/>
    <w:rsid w:val="00C5766F"/>
    <w:rsid w:val="00C601EF"/>
    <w:rsid w:val="00C60452"/>
    <w:rsid w:val="00C6191E"/>
    <w:rsid w:val="00C62797"/>
    <w:rsid w:val="00C6290C"/>
    <w:rsid w:val="00C63A42"/>
    <w:rsid w:val="00C65B88"/>
    <w:rsid w:val="00C672E0"/>
    <w:rsid w:val="00C70205"/>
    <w:rsid w:val="00C729B4"/>
    <w:rsid w:val="00C73A47"/>
    <w:rsid w:val="00C73C83"/>
    <w:rsid w:val="00C74A11"/>
    <w:rsid w:val="00C80612"/>
    <w:rsid w:val="00C81324"/>
    <w:rsid w:val="00C81890"/>
    <w:rsid w:val="00C81A67"/>
    <w:rsid w:val="00C8473D"/>
    <w:rsid w:val="00C86679"/>
    <w:rsid w:val="00C86919"/>
    <w:rsid w:val="00C872DB"/>
    <w:rsid w:val="00C87867"/>
    <w:rsid w:val="00C91830"/>
    <w:rsid w:val="00C9478B"/>
    <w:rsid w:val="00C950AF"/>
    <w:rsid w:val="00C9660A"/>
    <w:rsid w:val="00C96A92"/>
    <w:rsid w:val="00CA04F2"/>
    <w:rsid w:val="00CA0ECB"/>
    <w:rsid w:val="00CA4EE0"/>
    <w:rsid w:val="00CA51FE"/>
    <w:rsid w:val="00CA6B3A"/>
    <w:rsid w:val="00CA771A"/>
    <w:rsid w:val="00CA7D3F"/>
    <w:rsid w:val="00CB0FA5"/>
    <w:rsid w:val="00CB45EC"/>
    <w:rsid w:val="00CB666B"/>
    <w:rsid w:val="00CB695E"/>
    <w:rsid w:val="00CC1AC0"/>
    <w:rsid w:val="00CC1D64"/>
    <w:rsid w:val="00CC2C03"/>
    <w:rsid w:val="00CC2CA1"/>
    <w:rsid w:val="00CC3B19"/>
    <w:rsid w:val="00CC6516"/>
    <w:rsid w:val="00CC656F"/>
    <w:rsid w:val="00CC6738"/>
    <w:rsid w:val="00CD2754"/>
    <w:rsid w:val="00CD40AD"/>
    <w:rsid w:val="00CD4E7F"/>
    <w:rsid w:val="00CE0A5F"/>
    <w:rsid w:val="00CE15A5"/>
    <w:rsid w:val="00CE1831"/>
    <w:rsid w:val="00CE1B68"/>
    <w:rsid w:val="00CE6345"/>
    <w:rsid w:val="00CE661E"/>
    <w:rsid w:val="00CE695E"/>
    <w:rsid w:val="00CE6F6D"/>
    <w:rsid w:val="00CF0B65"/>
    <w:rsid w:val="00CF0E01"/>
    <w:rsid w:val="00CF0E07"/>
    <w:rsid w:val="00CF36F5"/>
    <w:rsid w:val="00CF455C"/>
    <w:rsid w:val="00CF4D2E"/>
    <w:rsid w:val="00CF5382"/>
    <w:rsid w:val="00CF62CA"/>
    <w:rsid w:val="00CF6F3C"/>
    <w:rsid w:val="00CF7D47"/>
    <w:rsid w:val="00D01CF0"/>
    <w:rsid w:val="00D0442A"/>
    <w:rsid w:val="00D05840"/>
    <w:rsid w:val="00D07128"/>
    <w:rsid w:val="00D10120"/>
    <w:rsid w:val="00D10E76"/>
    <w:rsid w:val="00D11721"/>
    <w:rsid w:val="00D11CB3"/>
    <w:rsid w:val="00D1516F"/>
    <w:rsid w:val="00D1614C"/>
    <w:rsid w:val="00D16710"/>
    <w:rsid w:val="00D22BD4"/>
    <w:rsid w:val="00D22E23"/>
    <w:rsid w:val="00D2306D"/>
    <w:rsid w:val="00D250AC"/>
    <w:rsid w:val="00D270E1"/>
    <w:rsid w:val="00D323D0"/>
    <w:rsid w:val="00D32684"/>
    <w:rsid w:val="00D32767"/>
    <w:rsid w:val="00D33489"/>
    <w:rsid w:val="00D352AB"/>
    <w:rsid w:val="00D372FA"/>
    <w:rsid w:val="00D40B44"/>
    <w:rsid w:val="00D43663"/>
    <w:rsid w:val="00D44037"/>
    <w:rsid w:val="00D4594F"/>
    <w:rsid w:val="00D4681D"/>
    <w:rsid w:val="00D5111E"/>
    <w:rsid w:val="00D5124C"/>
    <w:rsid w:val="00D53F55"/>
    <w:rsid w:val="00D61388"/>
    <w:rsid w:val="00D613F3"/>
    <w:rsid w:val="00D615F9"/>
    <w:rsid w:val="00D61A54"/>
    <w:rsid w:val="00D62BAD"/>
    <w:rsid w:val="00D64DEA"/>
    <w:rsid w:val="00D65E49"/>
    <w:rsid w:val="00D67D07"/>
    <w:rsid w:val="00D70F71"/>
    <w:rsid w:val="00D71771"/>
    <w:rsid w:val="00D71E8E"/>
    <w:rsid w:val="00D725C2"/>
    <w:rsid w:val="00D73D17"/>
    <w:rsid w:val="00D74261"/>
    <w:rsid w:val="00D74971"/>
    <w:rsid w:val="00D80893"/>
    <w:rsid w:val="00D839A7"/>
    <w:rsid w:val="00D86899"/>
    <w:rsid w:val="00D87097"/>
    <w:rsid w:val="00D90FB7"/>
    <w:rsid w:val="00D92A31"/>
    <w:rsid w:val="00D92CF1"/>
    <w:rsid w:val="00D92D38"/>
    <w:rsid w:val="00D92E07"/>
    <w:rsid w:val="00D936B6"/>
    <w:rsid w:val="00D950F5"/>
    <w:rsid w:val="00D95177"/>
    <w:rsid w:val="00D96914"/>
    <w:rsid w:val="00DA0C4C"/>
    <w:rsid w:val="00DA1CA3"/>
    <w:rsid w:val="00DA289D"/>
    <w:rsid w:val="00DA331C"/>
    <w:rsid w:val="00DA4BC4"/>
    <w:rsid w:val="00DA4E07"/>
    <w:rsid w:val="00DB0F93"/>
    <w:rsid w:val="00DB134D"/>
    <w:rsid w:val="00DB16A7"/>
    <w:rsid w:val="00DB196A"/>
    <w:rsid w:val="00DB20BF"/>
    <w:rsid w:val="00DB2353"/>
    <w:rsid w:val="00DB402D"/>
    <w:rsid w:val="00DB4CC4"/>
    <w:rsid w:val="00DB6861"/>
    <w:rsid w:val="00DB7193"/>
    <w:rsid w:val="00DB7AB9"/>
    <w:rsid w:val="00DB7B59"/>
    <w:rsid w:val="00DB7FD1"/>
    <w:rsid w:val="00DC153A"/>
    <w:rsid w:val="00DC22E3"/>
    <w:rsid w:val="00DC24BF"/>
    <w:rsid w:val="00DC2907"/>
    <w:rsid w:val="00DC395C"/>
    <w:rsid w:val="00DC5E54"/>
    <w:rsid w:val="00DC693A"/>
    <w:rsid w:val="00DC7981"/>
    <w:rsid w:val="00DC7B5A"/>
    <w:rsid w:val="00DD15C2"/>
    <w:rsid w:val="00DD27EA"/>
    <w:rsid w:val="00DD33DE"/>
    <w:rsid w:val="00DD45EB"/>
    <w:rsid w:val="00DD5D65"/>
    <w:rsid w:val="00DD79F4"/>
    <w:rsid w:val="00DE45B5"/>
    <w:rsid w:val="00DE4EFA"/>
    <w:rsid w:val="00DE5104"/>
    <w:rsid w:val="00DE5520"/>
    <w:rsid w:val="00DE5AB1"/>
    <w:rsid w:val="00DE6AA6"/>
    <w:rsid w:val="00DE7345"/>
    <w:rsid w:val="00DF02A4"/>
    <w:rsid w:val="00DF0714"/>
    <w:rsid w:val="00DF1C55"/>
    <w:rsid w:val="00DF2298"/>
    <w:rsid w:val="00DF2D42"/>
    <w:rsid w:val="00DF3C7E"/>
    <w:rsid w:val="00DF6E09"/>
    <w:rsid w:val="00DF7793"/>
    <w:rsid w:val="00E00EC9"/>
    <w:rsid w:val="00E03069"/>
    <w:rsid w:val="00E034A6"/>
    <w:rsid w:val="00E03725"/>
    <w:rsid w:val="00E04818"/>
    <w:rsid w:val="00E06442"/>
    <w:rsid w:val="00E06937"/>
    <w:rsid w:val="00E113E2"/>
    <w:rsid w:val="00E115DE"/>
    <w:rsid w:val="00E13056"/>
    <w:rsid w:val="00E135DB"/>
    <w:rsid w:val="00E13C85"/>
    <w:rsid w:val="00E15B15"/>
    <w:rsid w:val="00E15F74"/>
    <w:rsid w:val="00E16EDC"/>
    <w:rsid w:val="00E2257E"/>
    <w:rsid w:val="00E227A4"/>
    <w:rsid w:val="00E2374E"/>
    <w:rsid w:val="00E23993"/>
    <w:rsid w:val="00E24D12"/>
    <w:rsid w:val="00E2504E"/>
    <w:rsid w:val="00E25B8C"/>
    <w:rsid w:val="00E25F40"/>
    <w:rsid w:val="00E3279F"/>
    <w:rsid w:val="00E32A8C"/>
    <w:rsid w:val="00E333EF"/>
    <w:rsid w:val="00E334A4"/>
    <w:rsid w:val="00E33530"/>
    <w:rsid w:val="00E35AE8"/>
    <w:rsid w:val="00E3678B"/>
    <w:rsid w:val="00E3724C"/>
    <w:rsid w:val="00E37F0B"/>
    <w:rsid w:val="00E40426"/>
    <w:rsid w:val="00E40B9C"/>
    <w:rsid w:val="00E42976"/>
    <w:rsid w:val="00E42DF3"/>
    <w:rsid w:val="00E43848"/>
    <w:rsid w:val="00E438D4"/>
    <w:rsid w:val="00E43BBA"/>
    <w:rsid w:val="00E4482C"/>
    <w:rsid w:val="00E4680F"/>
    <w:rsid w:val="00E46D48"/>
    <w:rsid w:val="00E47EAD"/>
    <w:rsid w:val="00E5181B"/>
    <w:rsid w:val="00E52107"/>
    <w:rsid w:val="00E52A27"/>
    <w:rsid w:val="00E54461"/>
    <w:rsid w:val="00E55C3C"/>
    <w:rsid w:val="00E56018"/>
    <w:rsid w:val="00E6018A"/>
    <w:rsid w:val="00E605DA"/>
    <w:rsid w:val="00E65839"/>
    <w:rsid w:val="00E65C85"/>
    <w:rsid w:val="00E65CF4"/>
    <w:rsid w:val="00E66199"/>
    <w:rsid w:val="00E675DF"/>
    <w:rsid w:val="00E715D5"/>
    <w:rsid w:val="00E7180D"/>
    <w:rsid w:val="00E737E3"/>
    <w:rsid w:val="00E74532"/>
    <w:rsid w:val="00E7472E"/>
    <w:rsid w:val="00E755EC"/>
    <w:rsid w:val="00E761D6"/>
    <w:rsid w:val="00E7624D"/>
    <w:rsid w:val="00E8137D"/>
    <w:rsid w:val="00E823D9"/>
    <w:rsid w:val="00E8569F"/>
    <w:rsid w:val="00E86851"/>
    <w:rsid w:val="00E91678"/>
    <w:rsid w:val="00E91BED"/>
    <w:rsid w:val="00E926FC"/>
    <w:rsid w:val="00E95390"/>
    <w:rsid w:val="00E95CA7"/>
    <w:rsid w:val="00E96EFF"/>
    <w:rsid w:val="00EA1DEE"/>
    <w:rsid w:val="00EA3D42"/>
    <w:rsid w:val="00EA4DD9"/>
    <w:rsid w:val="00EA6B1B"/>
    <w:rsid w:val="00EA6F25"/>
    <w:rsid w:val="00EB049F"/>
    <w:rsid w:val="00EB100D"/>
    <w:rsid w:val="00EB456D"/>
    <w:rsid w:val="00EB540F"/>
    <w:rsid w:val="00EB7D7F"/>
    <w:rsid w:val="00EC05BF"/>
    <w:rsid w:val="00EC0D58"/>
    <w:rsid w:val="00EC10A1"/>
    <w:rsid w:val="00EC137F"/>
    <w:rsid w:val="00EC24B0"/>
    <w:rsid w:val="00EC2CB1"/>
    <w:rsid w:val="00EC317E"/>
    <w:rsid w:val="00EC67D4"/>
    <w:rsid w:val="00EC7EB1"/>
    <w:rsid w:val="00ED3C5B"/>
    <w:rsid w:val="00ED4A25"/>
    <w:rsid w:val="00ED6E24"/>
    <w:rsid w:val="00EE164B"/>
    <w:rsid w:val="00EE28F3"/>
    <w:rsid w:val="00EE347F"/>
    <w:rsid w:val="00EE42C2"/>
    <w:rsid w:val="00EE46CE"/>
    <w:rsid w:val="00EE575A"/>
    <w:rsid w:val="00EF013A"/>
    <w:rsid w:val="00EF0E42"/>
    <w:rsid w:val="00EF0FE6"/>
    <w:rsid w:val="00EF1961"/>
    <w:rsid w:val="00EF3FB8"/>
    <w:rsid w:val="00EF5110"/>
    <w:rsid w:val="00EF62CA"/>
    <w:rsid w:val="00EF69CB"/>
    <w:rsid w:val="00F00587"/>
    <w:rsid w:val="00F019C5"/>
    <w:rsid w:val="00F02D9B"/>
    <w:rsid w:val="00F031FE"/>
    <w:rsid w:val="00F05EAD"/>
    <w:rsid w:val="00F06B5B"/>
    <w:rsid w:val="00F072C7"/>
    <w:rsid w:val="00F10CDA"/>
    <w:rsid w:val="00F113FD"/>
    <w:rsid w:val="00F13B99"/>
    <w:rsid w:val="00F13EAA"/>
    <w:rsid w:val="00F1535C"/>
    <w:rsid w:val="00F15882"/>
    <w:rsid w:val="00F15AB9"/>
    <w:rsid w:val="00F167CF"/>
    <w:rsid w:val="00F16858"/>
    <w:rsid w:val="00F1785E"/>
    <w:rsid w:val="00F20BD3"/>
    <w:rsid w:val="00F248D0"/>
    <w:rsid w:val="00F26128"/>
    <w:rsid w:val="00F27967"/>
    <w:rsid w:val="00F32D35"/>
    <w:rsid w:val="00F336DF"/>
    <w:rsid w:val="00F3590E"/>
    <w:rsid w:val="00F36430"/>
    <w:rsid w:val="00F373A5"/>
    <w:rsid w:val="00F376D3"/>
    <w:rsid w:val="00F42DB4"/>
    <w:rsid w:val="00F4492B"/>
    <w:rsid w:val="00F45B2F"/>
    <w:rsid w:val="00F47559"/>
    <w:rsid w:val="00F5112C"/>
    <w:rsid w:val="00F55548"/>
    <w:rsid w:val="00F55859"/>
    <w:rsid w:val="00F6043C"/>
    <w:rsid w:val="00F60561"/>
    <w:rsid w:val="00F61055"/>
    <w:rsid w:val="00F61AA8"/>
    <w:rsid w:val="00F61EEA"/>
    <w:rsid w:val="00F64A21"/>
    <w:rsid w:val="00F64C7B"/>
    <w:rsid w:val="00F64F82"/>
    <w:rsid w:val="00F65699"/>
    <w:rsid w:val="00F662F1"/>
    <w:rsid w:val="00F66967"/>
    <w:rsid w:val="00F676DD"/>
    <w:rsid w:val="00F70811"/>
    <w:rsid w:val="00F70D8D"/>
    <w:rsid w:val="00F71486"/>
    <w:rsid w:val="00F724B3"/>
    <w:rsid w:val="00F72F41"/>
    <w:rsid w:val="00F74CBC"/>
    <w:rsid w:val="00F75A26"/>
    <w:rsid w:val="00F766B3"/>
    <w:rsid w:val="00F77D49"/>
    <w:rsid w:val="00F8021A"/>
    <w:rsid w:val="00F805F3"/>
    <w:rsid w:val="00F83FAD"/>
    <w:rsid w:val="00F87EBA"/>
    <w:rsid w:val="00F90A80"/>
    <w:rsid w:val="00F91BC0"/>
    <w:rsid w:val="00F93027"/>
    <w:rsid w:val="00F946BA"/>
    <w:rsid w:val="00F94788"/>
    <w:rsid w:val="00F952A0"/>
    <w:rsid w:val="00F965FC"/>
    <w:rsid w:val="00F978C8"/>
    <w:rsid w:val="00FA25D4"/>
    <w:rsid w:val="00FA3830"/>
    <w:rsid w:val="00FA3C7F"/>
    <w:rsid w:val="00FA5B9C"/>
    <w:rsid w:val="00FA7736"/>
    <w:rsid w:val="00FA7920"/>
    <w:rsid w:val="00FB153F"/>
    <w:rsid w:val="00FB265D"/>
    <w:rsid w:val="00FB2690"/>
    <w:rsid w:val="00FB4068"/>
    <w:rsid w:val="00FB411D"/>
    <w:rsid w:val="00FB41E6"/>
    <w:rsid w:val="00FB45CF"/>
    <w:rsid w:val="00FB6C59"/>
    <w:rsid w:val="00FB74E2"/>
    <w:rsid w:val="00FC0060"/>
    <w:rsid w:val="00FC447B"/>
    <w:rsid w:val="00FC4CF7"/>
    <w:rsid w:val="00FC52AC"/>
    <w:rsid w:val="00FC54E6"/>
    <w:rsid w:val="00FC5EB3"/>
    <w:rsid w:val="00FC5FE0"/>
    <w:rsid w:val="00FC626F"/>
    <w:rsid w:val="00FC656F"/>
    <w:rsid w:val="00FC7B0B"/>
    <w:rsid w:val="00FD0763"/>
    <w:rsid w:val="00FD166D"/>
    <w:rsid w:val="00FD22A2"/>
    <w:rsid w:val="00FD29EE"/>
    <w:rsid w:val="00FD2F97"/>
    <w:rsid w:val="00FD5316"/>
    <w:rsid w:val="00FD5614"/>
    <w:rsid w:val="00FD72DC"/>
    <w:rsid w:val="00FE07CB"/>
    <w:rsid w:val="00FE0BE1"/>
    <w:rsid w:val="00FE12E5"/>
    <w:rsid w:val="00FE1DE9"/>
    <w:rsid w:val="00FE292D"/>
    <w:rsid w:val="00FE39C2"/>
    <w:rsid w:val="00FE3E67"/>
    <w:rsid w:val="00FE4B6D"/>
    <w:rsid w:val="00FE602C"/>
    <w:rsid w:val="00FE64AE"/>
    <w:rsid w:val="00FE6FD3"/>
    <w:rsid w:val="00FE7E62"/>
    <w:rsid w:val="00FF2C56"/>
    <w:rsid w:val="00FF3373"/>
    <w:rsid w:val="00FF3980"/>
    <w:rsid w:val="00FF657C"/>
    <w:rsid w:val="00FF6EE1"/>
    <w:rsid w:val="00FF7A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2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1" w:unhideWhenUsed="0"/>
    <w:lsdException w:name="footnote text" w:uiPriority="0" w:qFormat="1"/>
    <w:lsdException w:name="header" w:uiPriority="0" w:qFormat="1"/>
    <w:lsdException w:name="footer" w:qFormat="1"/>
    <w:lsdException w:name="caption" w:uiPriority="0" w:qFormat="1"/>
    <w:lsdException w:name="footnote reference" w:uiPriority="0"/>
    <w:lsdException w:name="page number" w:uiPriority="0"/>
    <w:lsdException w:name="endnote reference" w:uiPriority="0"/>
    <w:lsdException w:name="endnote text" w:uiPriority="0"/>
    <w:lsdException w:name="List" w:qFormat="1"/>
    <w:lsdException w:name="List Number" w:qFormat="1"/>
    <w:lsdException w:name="List Number 2" w:qFormat="1"/>
    <w:lsdException w:name="Title" w:semiHidden="0" w:uiPriority="0" w:unhideWhenUsed="0" w:qFormat="1"/>
    <w:lsdException w:name="Default Paragraph Font" w:uiPriority="1"/>
    <w:lsdException w:name="List Continue" w:qFormat="1"/>
    <w:lsdException w:name="Subtitle" w:semiHidden="0" w:uiPriority="11" w:unhideWhenUsed="0" w:qFormat="1"/>
    <w:lsdException w:name="Hyperlink" w:uiPriority="0" w:qFormat="1"/>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Outline List 1" w:uiPriority="0"/>
    <w:lsdException w:name="Table Classic 1" w:uiPriority="0"/>
    <w:lsdException w:name="Table Classic 2" w:uiPriority="0"/>
    <w:lsdException w:name="Table List 3" w:uiPriority="0"/>
    <w:lsdException w:name="Table Contemporary"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qFormat/>
    <w:rsid w:val="00275002"/>
    <w:pPr>
      <w:spacing w:line="276" w:lineRule="auto"/>
    </w:pPr>
    <w:rPr>
      <w:rFonts w:ascii="Arial" w:hAnsi="Arial"/>
    </w:rPr>
  </w:style>
  <w:style w:type="paragraph" w:styleId="Heading1">
    <w:name w:val="heading 1"/>
    <w:basedOn w:val="Normal"/>
    <w:next w:val="Normal"/>
    <w:link w:val="Heading1Char"/>
    <w:qFormat/>
    <w:rsid w:val="009D6B46"/>
    <w:pPr>
      <w:spacing w:before="240"/>
      <w:outlineLvl w:val="0"/>
    </w:pPr>
    <w:rPr>
      <w:rFonts w:ascii="Lucida Fax" w:eastAsiaTheme="majorEastAsia" w:hAnsi="Lucida Fax" w:cstheme="majorBidi"/>
      <w:bCs/>
      <w:color w:val="51626F"/>
      <w:sz w:val="32"/>
      <w:szCs w:val="28"/>
    </w:rPr>
  </w:style>
  <w:style w:type="paragraph" w:styleId="Heading2">
    <w:name w:val="heading 2"/>
    <w:aliases w:val="AER Heading 2 (new)"/>
    <w:next w:val="Normal"/>
    <w:link w:val="Heading2Char"/>
    <w:qFormat/>
    <w:rsid w:val="004F6D0A"/>
    <w:pPr>
      <w:keepNext/>
      <w:spacing w:line="240" w:lineRule="atLeast"/>
      <w:outlineLvl w:val="1"/>
    </w:pPr>
    <w:rPr>
      <w:rFonts w:ascii="Arial" w:eastAsiaTheme="majorEastAsia" w:hAnsi="Arial" w:cstheme="majorBidi"/>
      <w:b/>
      <w:bCs/>
      <w:color w:val="51626F"/>
      <w:sz w:val="28"/>
      <w:szCs w:val="26"/>
    </w:rPr>
  </w:style>
  <w:style w:type="paragraph" w:styleId="Heading3">
    <w:name w:val="heading 3"/>
    <w:basedOn w:val="Normal"/>
    <w:next w:val="Normal"/>
    <w:link w:val="Heading3Char"/>
    <w:qFormat/>
    <w:rsid w:val="009D6B46"/>
    <w:pPr>
      <w:spacing w:before="240"/>
      <w:outlineLvl w:val="2"/>
    </w:pPr>
    <w:rPr>
      <w:rFonts w:eastAsiaTheme="majorEastAsia" w:cstheme="majorBidi"/>
      <w:b/>
      <w:bCs/>
      <w:color w:val="000000" w:themeColor="text1" w:themeShade="BF"/>
      <w:sz w:val="24"/>
    </w:rPr>
  </w:style>
  <w:style w:type="paragraph" w:styleId="Heading4">
    <w:name w:val="heading 4"/>
    <w:basedOn w:val="Normal"/>
    <w:next w:val="Normal"/>
    <w:link w:val="Heading4Char"/>
    <w:qFormat/>
    <w:rsid w:val="009D6B46"/>
    <w:pPr>
      <w:spacing w:before="240"/>
      <w:outlineLvl w:val="3"/>
    </w:pPr>
    <w:rPr>
      <w:rFonts w:eastAsiaTheme="majorEastAsia" w:cstheme="majorBidi"/>
      <w:b/>
      <w:bCs/>
      <w:i/>
      <w:iCs/>
      <w:color w:val="51626F"/>
      <w:sz w:val="24"/>
    </w:rPr>
  </w:style>
  <w:style w:type="paragraph" w:styleId="Heading5">
    <w:name w:val="heading 5"/>
    <w:next w:val="Normal"/>
    <w:link w:val="Heading5Char"/>
    <w:qFormat/>
    <w:rsid w:val="009D6B46"/>
    <w:pPr>
      <w:spacing w:line="240" w:lineRule="atLeast"/>
      <w:outlineLvl w:val="4"/>
    </w:pPr>
    <w:rPr>
      <w:rFonts w:ascii="Arial" w:eastAsiaTheme="majorEastAsia" w:hAnsi="Arial" w:cstheme="majorBidi"/>
      <w:b/>
      <w:color w:val="283037" w:themeColor="accent1" w:themeShade="7F"/>
    </w:rPr>
  </w:style>
  <w:style w:type="paragraph" w:styleId="Heading6">
    <w:name w:val="heading 6"/>
    <w:basedOn w:val="Normal"/>
    <w:next w:val="Normal"/>
    <w:link w:val="Heading6Char"/>
    <w:uiPriority w:val="9"/>
    <w:qFormat/>
    <w:rsid w:val="009D6B46"/>
    <w:pPr>
      <w:spacing w:before="240"/>
      <w:outlineLvl w:val="5"/>
    </w:pPr>
    <w:rPr>
      <w:rFonts w:eastAsiaTheme="majorEastAsia" w:cstheme="majorBidi"/>
      <w:b/>
      <w:i/>
      <w:iCs/>
    </w:rPr>
  </w:style>
  <w:style w:type="paragraph" w:styleId="Heading7">
    <w:name w:val="heading 7"/>
    <w:basedOn w:val="Normal"/>
    <w:next w:val="Normal"/>
    <w:link w:val="Heading7Char"/>
    <w:uiPriority w:val="9"/>
    <w:qFormat/>
    <w:rsid w:val="009D6B46"/>
    <w:pPr>
      <w:spacing w:before="240"/>
      <w:outlineLvl w:val="6"/>
    </w:pPr>
    <w:rPr>
      <w:rFonts w:eastAsiaTheme="majorEastAsia" w:cstheme="majorBidi"/>
      <w:i/>
      <w:iCs/>
      <w:color w:val="404040" w:themeColor="text1" w:themeTint="BF"/>
    </w:rPr>
  </w:style>
  <w:style w:type="paragraph" w:styleId="Heading8">
    <w:name w:val="heading 8"/>
    <w:basedOn w:val="Normal"/>
    <w:next w:val="Normal"/>
    <w:link w:val="Heading8Char"/>
    <w:qFormat/>
    <w:rsid w:val="009D6B46"/>
    <w:pPr>
      <w:spacing w:before="240"/>
      <w:outlineLvl w:val="7"/>
    </w:pPr>
    <w:rPr>
      <w:rFonts w:eastAsiaTheme="majorEastAsia" w:cstheme="majorBidi"/>
      <w:color w:val="51626F" w:themeColor="accent1"/>
      <w:szCs w:val="20"/>
    </w:rPr>
  </w:style>
  <w:style w:type="paragraph" w:styleId="Heading9">
    <w:name w:val="heading 9"/>
    <w:basedOn w:val="Normal"/>
    <w:next w:val="Normal"/>
    <w:link w:val="Heading9Char"/>
    <w:uiPriority w:val="9"/>
    <w:qFormat/>
    <w:rsid w:val="009D6B46"/>
    <w:pPr>
      <w:spacing w:before="240"/>
      <w:outlineLvl w:val="8"/>
    </w:pPr>
    <w:rPr>
      <w:rFonts w:eastAsiaTheme="majorEastAsia" w:cstheme="majorBidi"/>
      <w:i/>
      <w:iCs/>
      <w:color w:val="51626F" w:themeColor="accen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6B46"/>
    <w:rPr>
      <w:rFonts w:ascii="Lucida Fax" w:eastAsiaTheme="majorEastAsia" w:hAnsi="Lucida Fax" w:cstheme="majorBidi"/>
      <w:bCs/>
      <w:color w:val="51626F"/>
      <w:sz w:val="32"/>
      <w:szCs w:val="28"/>
    </w:rPr>
  </w:style>
  <w:style w:type="character" w:customStyle="1" w:styleId="Heading2Char">
    <w:name w:val="Heading 2 Char"/>
    <w:aliases w:val="AER Heading 2 (new) Char"/>
    <w:basedOn w:val="DefaultParagraphFont"/>
    <w:link w:val="Heading2"/>
    <w:rsid w:val="004F6D0A"/>
    <w:rPr>
      <w:rFonts w:ascii="Arial" w:eastAsiaTheme="majorEastAsia" w:hAnsi="Arial" w:cstheme="majorBidi"/>
      <w:b/>
      <w:bCs/>
      <w:color w:val="51626F"/>
      <w:sz w:val="28"/>
      <w:szCs w:val="26"/>
    </w:rPr>
  </w:style>
  <w:style w:type="character" w:customStyle="1" w:styleId="Heading3Char">
    <w:name w:val="Heading 3 Char"/>
    <w:basedOn w:val="DefaultParagraphFont"/>
    <w:link w:val="Heading3"/>
    <w:rsid w:val="009D6B46"/>
    <w:rPr>
      <w:rFonts w:ascii="Arial" w:eastAsiaTheme="majorEastAsia" w:hAnsi="Arial" w:cstheme="majorBidi"/>
      <w:b/>
      <w:bCs/>
      <w:color w:val="000000" w:themeColor="text1" w:themeShade="BF"/>
      <w:sz w:val="24"/>
    </w:rPr>
  </w:style>
  <w:style w:type="character" w:customStyle="1" w:styleId="Heading4Char">
    <w:name w:val="Heading 4 Char"/>
    <w:basedOn w:val="DefaultParagraphFont"/>
    <w:link w:val="Heading4"/>
    <w:rsid w:val="009D6B46"/>
    <w:rPr>
      <w:rFonts w:ascii="Arial" w:eastAsiaTheme="majorEastAsia" w:hAnsi="Arial" w:cstheme="majorBidi"/>
      <w:b/>
      <w:bCs/>
      <w:i/>
      <w:iCs/>
      <w:color w:val="51626F"/>
      <w:sz w:val="24"/>
    </w:rPr>
  </w:style>
  <w:style w:type="character" w:customStyle="1" w:styleId="Heading5Char">
    <w:name w:val="Heading 5 Char"/>
    <w:basedOn w:val="DefaultParagraphFont"/>
    <w:link w:val="Heading5"/>
    <w:rsid w:val="009D6B46"/>
    <w:rPr>
      <w:rFonts w:ascii="Arial" w:eastAsiaTheme="majorEastAsia" w:hAnsi="Arial" w:cstheme="majorBidi"/>
      <w:b/>
      <w:color w:val="283037" w:themeColor="accent1" w:themeShade="7F"/>
    </w:rPr>
  </w:style>
  <w:style w:type="character" w:customStyle="1" w:styleId="Heading6Char">
    <w:name w:val="Heading 6 Char"/>
    <w:basedOn w:val="DefaultParagraphFont"/>
    <w:link w:val="Heading6"/>
    <w:uiPriority w:val="9"/>
    <w:rsid w:val="009D6B46"/>
    <w:rPr>
      <w:rFonts w:ascii="Arial" w:eastAsiaTheme="majorEastAsia" w:hAnsi="Arial" w:cstheme="majorBidi"/>
      <w:b/>
      <w:i/>
      <w:iCs/>
    </w:rPr>
  </w:style>
  <w:style w:type="paragraph" w:customStyle="1" w:styleId="Reporttitle">
    <w:name w:val="Report title"/>
    <w:basedOn w:val="Normal"/>
    <w:link w:val="ReporttitleChar"/>
    <w:qFormat/>
    <w:rsid w:val="005C26CC"/>
    <w:pPr>
      <w:spacing w:before="520" w:after="120"/>
    </w:pPr>
    <w:rPr>
      <w:rFonts w:ascii="Lucida Fax" w:hAnsi="Lucida Fax"/>
      <w:color w:val="4F2D7F"/>
      <w:sz w:val="72"/>
      <w:szCs w:val="56"/>
    </w:rPr>
  </w:style>
  <w:style w:type="character" w:customStyle="1" w:styleId="ReporttitleChar">
    <w:name w:val="Report title Char"/>
    <w:basedOn w:val="DefaultParagraphFont"/>
    <w:link w:val="Reporttitle"/>
    <w:rsid w:val="005C26CC"/>
    <w:rPr>
      <w:rFonts w:ascii="Lucida Fax" w:hAnsi="Lucida Fax"/>
      <w:color w:val="4F2D7F"/>
      <w:sz w:val="72"/>
      <w:szCs w:val="56"/>
    </w:rPr>
  </w:style>
  <w:style w:type="paragraph" w:customStyle="1" w:styleId="Chaptertitle">
    <w:name w:val="Chapter title"/>
    <w:basedOn w:val="Reporttitle"/>
    <w:link w:val="ChaptertitleChar"/>
    <w:qFormat/>
    <w:rsid w:val="00B87C39"/>
    <w:rPr>
      <w:sz w:val="52"/>
      <w:szCs w:val="52"/>
    </w:rPr>
  </w:style>
  <w:style w:type="character" w:customStyle="1" w:styleId="ChaptertitleChar">
    <w:name w:val="Chapter title Char"/>
    <w:basedOn w:val="ReporttitleChar"/>
    <w:link w:val="Chaptertitle"/>
    <w:rsid w:val="00B87C39"/>
    <w:rPr>
      <w:rFonts w:ascii="Lucida Fax" w:hAnsi="Lucida Fax"/>
      <w:color w:val="4F2D7F"/>
      <w:sz w:val="52"/>
      <w:szCs w:val="52"/>
    </w:rPr>
  </w:style>
  <w:style w:type="paragraph" w:customStyle="1" w:styleId="Tabletext">
    <w:name w:val="Table text"/>
    <w:basedOn w:val="Normal"/>
    <w:link w:val="TabletextChar"/>
    <w:uiPriority w:val="1"/>
    <w:qFormat/>
    <w:rsid w:val="00214FBA"/>
    <w:pPr>
      <w:spacing w:before="120" w:after="60"/>
    </w:pPr>
    <w:rPr>
      <w:sz w:val="18"/>
    </w:rPr>
  </w:style>
  <w:style w:type="paragraph" w:customStyle="1" w:styleId="Copyrighttext">
    <w:name w:val="Copyright text"/>
    <w:basedOn w:val="Normal"/>
    <w:link w:val="CopyrighttextChar"/>
    <w:uiPriority w:val="2"/>
    <w:qFormat/>
    <w:rsid w:val="00F952A0"/>
    <w:pPr>
      <w:spacing w:line="360" w:lineRule="auto"/>
      <w:contextualSpacing/>
    </w:pPr>
    <w:rPr>
      <w:color w:val="51626F" w:themeColor="accent1"/>
      <w:sz w:val="16"/>
      <w:szCs w:val="16"/>
    </w:rPr>
  </w:style>
  <w:style w:type="character" w:customStyle="1" w:styleId="CopyrighttextChar">
    <w:name w:val="Copyright text Char"/>
    <w:basedOn w:val="DefaultParagraphFont"/>
    <w:link w:val="Copyrighttext"/>
    <w:uiPriority w:val="2"/>
    <w:rsid w:val="00724A37"/>
    <w:rPr>
      <w:rFonts w:ascii="Arial" w:hAnsi="Arial"/>
      <w:color w:val="51626F" w:themeColor="accent1"/>
      <w:sz w:val="16"/>
      <w:szCs w:val="16"/>
    </w:rPr>
  </w:style>
  <w:style w:type="paragraph" w:styleId="TOC8">
    <w:name w:val="toc 8"/>
    <w:basedOn w:val="Normal"/>
    <w:next w:val="Normal"/>
    <w:rsid w:val="009F4940"/>
    <w:pPr>
      <w:tabs>
        <w:tab w:val="right" w:leader="dot" w:pos="9016"/>
      </w:tabs>
      <w:spacing w:after="100"/>
      <w:ind w:left="2977"/>
    </w:pPr>
    <w:rPr>
      <w:noProof/>
    </w:rPr>
  </w:style>
  <w:style w:type="paragraph" w:styleId="TOC9">
    <w:name w:val="toc 9"/>
    <w:basedOn w:val="Normal"/>
    <w:next w:val="Normal"/>
    <w:rsid w:val="009F4940"/>
    <w:pPr>
      <w:tabs>
        <w:tab w:val="right" w:leader="dot" w:pos="9016"/>
      </w:tabs>
      <w:spacing w:after="100"/>
      <w:ind w:left="3402"/>
    </w:pPr>
    <w:rPr>
      <w:noProof/>
    </w:rPr>
  </w:style>
  <w:style w:type="paragraph" w:customStyle="1" w:styleId="Numbered1">
    <w:name w:val="Numbered 1"/>
    <w:basedOn w:val="Heading1"/>
    <w:next w:val="Normal"/>
    <w:link w:val="Numbered1Char"/>
    <w:qFormat/>
    <w:rsid w:val="00085663"/>
    <w:pPr>
      <w:numPr>
        <w:numId w:val="15"/>
      </w:numPr>
      <w:ind w:left="680" w:hanging="680"/>
    </w:pPr>
  </w:style>
  <w:style w:type="paragraph" w:customStyle="1" w:styleId="Numbered11">
    <w:name w:val="Numbered 1.1"/>
    <w:basedOn w:val="Heading2"/>
    <w:next w:val="Normal"/>
    <w:qFormat/>
    <w:rsid w:val="00B17A1D"/>
    <w:pPr>
      <w:numPr>
        <w:ilvl w:val="1"/>
        <w:numId w:val="15"/>
      </w:numPr>
      <w:ind w:left="1021" w:hanging="1021"/>
    </w:pPr>
    <w:rPr>
      <w:rFonts w:cs="Arial"/>
      <w:b w:val="0"/>
    </w:rPr>
  </w:style>
  <w:style w:type="paragraph" w:customStyle="1" w:styleId="Numbered111">
    <w:name w:val="Numbered 1.1.1"/>
    <w:basedOn w:val="Heading3"/>
    <w:next w:val="Normal"/>
    <w:qFormat/>
    <w:rsid w:val="00B17A1D"/>
    <w:pPr>
      <w:numPr>
        <w:ilvl w:val="2"/>
        <w:numId w:val="15"/>
      </w:numPr>
      <w:ind w:left="1247" w:hanging="1247"/>
      <w:contextualSpacing/>
    </w:pPr>
  </w:style>
  <w:style w:type="paragraph" w:customStyle="1" w:styleId="Numbered1111">
    <w:name w:val="Numbered 1.1.1.1"/>
    <w:basedOn w:val="Heading4"/>
    <w:next w:val="Normal"/>
    <w:rsid w:val="00B17A1D"/>
    <w:pPr>
      <w:numPr>
        <w:ilvl w:val="3"/>
        <w:numId w:val="15"/>
      </w:numPr>
      <w:ind w:left="1474" w:hanging="1474"/>
    </w:pPr>
  </w:style>
  <w:style w:type="paragraph" w:customStyle="1" w:styleId="Numbered11111">
    <w:name w:val="Numbered 1.1.1.1.1"/>
    <w:basedOn w:val="Heading5"/>
    <w:next w:val="Normal"/>
    <w:uiPriority w:val="2"/>
    <w:rsid w:val="00B17A1D"/>
    <w:pPr>
      <w:numPr>
        <w:ilvl w:val="4"/>
        <w:numId w:val="15"/>
      </w:numPr>
      <w:ind w:left="1701" w:hanging="1701"/>
    </w:pPr>
  </w:style>
  <w:style w:type="paragraph" w:customStyle="1" w:styleId="Numbered111111">
    <w:name w:val="Numbered 1.1.1.1.1.1"/>
    <w:basedOn w:val="Heading6"/>
    <w:next w:val="Normal"/>
    <w:uiPriority w:val="2"/>
    <w:rsid w:val="00B17A1D"/>
    <w:pPr>
      <w:numPr>
        <w:ilvl w:val="5"/>
        <w:numId w:val="15"/>
      </w:numPr>
      <w:ind w:left="2155" w:hanging="2155"/>
    </w:pPr>
  </w:style>
  <w:style w:type="paragraph" w:styleId="Header">
    <w:name w:val="header"/>
    <w:basedOn w:val="Normal"/>
    <w:link w:val="HeaderChar"/>
    <w:unhideWhenUsed/>
    <w:qFormat/>
    <w:rsid w:val="008344F6"/>
    <w:pPr>
      <w:tabs>
        <w:tab w:val="center" w:pos="4513"/>
        <w:tab w:val="right" w:pos="9026"/>
      </w:tabs>
      <w:spacing w:after="120"/>
    </w:pPr>
    <w:rPr>
      <w:color w:val="51626F" w:themeColor="accent1"/>
      <w:sz w:val="18"/>
    </w:rPr>
  </w:style>
  <w:style w:type="character" w:customStyle="1" w:styleId="HeaderChar">
    <w:name w:val="Header Char"/>
    <w:basedOn w:val="DefaultParagraphFont"/>
    <w:link w:val="Header"/>
    <w:uiPriority w:val="99"/>
    <w:rsid w:val="008344F6"/>
    <w:rPr>
      <w:rFonts w:ascii="Arial" w:hAnsi="Arial"/>
      <w:color w:val="51626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584D8F"/>
    <w:pPr>
      <w:spacing w:before="240" w:after="120"/>
    </w:pPr>
    <w:rPr>
      <w:b/>
      <w:szCs w:val="20"/>
    </w:rPr>
  </w:style>
  <w:style w:type="character" w:customStyle="1" w:styleId="TabletitleChar">
    <w:name w:val="Table title Char"/>
    <w:basedOn w:val="DefaultParagraphFont"/>
    <w:link w:val="Tabletitle"/>
    <w:rsid w:val="00584D8F"/>
    <w:rPr>
      <w:rFonts w:ascii="Arial" w:hAnsi="Arial"/>
      <w:b/>
      <w:szCs w:val="20"/>
    </w:rPr>
  </w:style>
  <w:style w:type="paragraph" w:customStyle="1" w:styleId="Charttitle">
    <w:name w:val="Chart title"/>
    <w:basedOn w:val="Tabletitle"/>
    <w:qFormat/>
    <w:rsid w:val="005C26CC"/>
    <w:rPr>
      <w:sz w:val="24"/>
    </w:rPr>
  </w:style>
  <w:style w:type="paragraph" w:styleId="EndnoteText">
    <w:name w:val="endnote text"/>
    <w:basedOn w:val="Normal"/>
    <w:link w:val="EndnoteTextChar"/>
    <w:rsid w:val="00263AC0"/>
    <w:pPr>
      <w:spacing w:before="0"/>
    </w:pPr>
    <w:rPr>
      <w:sz w:val="20"/>
      <w:szCs w:val="20"/>
    </w:rPr>
  </w:style>
  <w:style w:type="paragraph" w:customStyle="1" w:styleId="Boxedtext">
    <w:name w:val="Boxed text"/>
    <w:basedOn w:val="Normal"/>
    <w:link w:val="BoxedtextChar"/>
    <w:uiPriority w:val="1"/>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BoxedtextChar">
    <w:name w:val="Boxed text Char"/>
    <w:basedOn w:val="DefaultParagraphFont"/>
    <w:link w:val="Boxedtext"/>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EA3D42"/>
    <w:pPr>
      <w:spacing w:after="120"/>
      <w:contextualSpacing/>
    </w:pPr>
    <w:rPr>
      <w:rFonts w:ascii="Lucida Fax" w:hAnsi="Lucida Fax"/>
      <w:b/>
      <w:color w:val="DC5034"/>
      <w:sz w:val="24"/>
      <w:szCs w:val="24"/>
    </w:rPr>
  </w:style>
  <w:style w:type="character" w:customStyle="1" w:styleId="PullquoteheadingChar">
    <w:name w:val="Pull quote heading Char"/>
    <w:basedOn w:val="DefaultParagraphFont"/>
    <w:link w:val="Pullquoteheading"/>
    <w:uiPriority w:val="1"/>
    <w:rsid w:val="00AE1BF1"/>
    <w:rPr>
      <w:rFonts w:ascii="Lucida Fax" w:hAnsi="Lucida Fax"/>
      <w:b/>
      <w:color w:val="DC5034"/>
      <w:sz w:val="24"/>
      <w:szCs w:val="24"/>
    </w:rPr>
  </w:style>
  <w:style w:type="paragraph" w:customStyle="1" w:styleId="Pullquotetext">
    <w:name w:val="Pull quote text"/>
    <w:link w:val="PullquotetextChar"/>
    <w:uiPriority w:val="1"/>
    <w:rsid w:val="00AF0DD2"/>
    <w:pPr>
      <w:spacing w:before="120"/>
    </w:pPr>
    <w:rPr>
      <w:rFonts w:ascii="Lucida Fax" w:hAnsi="Lucida Fax"/>
      <w:color w:val="DC5034"/>
      <w:szCs w:val="24"/>
    </w:rPr>
  </w:style>
  <w:style w:type="character" w:customStyle="1" w:styleId="PullquotetextChar">
    <w:name w:val="Pull quote text Char"/>
    <w:basedOn w:val="PullquoteheadingChar"/>
    <w:link w:val="Pullquotetext"/>
    <w:uiPriority w:val="1"/>
    <w:rsid w:val="00AE1BF1"/>
    <w:rPr>
      <w:rFonts w:ascii="Lucida Fax" w:hAnsi="Lucida Fax"/>
      <w:b w:val="0"/>
      <w:color w:val="DC5034"/>
      <w:sz w:val="24"/>
      <w:szCs w:val="24"/>
    </w:rPr>
  </w:style>
  <w:style w:type="paragraph" w:customStyle="1" w:styleId="Note">
    <w:name w:val="Note"/>
    <w:basedOn w:val="Normal"/>
    <w:link w:val="NoteChar"/>
    <w:qFormat/>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customStyle="1" w:styleId="Footnotes">
    <w:name w:val="Footnotes"/>
    <w:basedOn w:val="FootnoteText"/>
    <w:link w:val="FootnotesChar"/>
    <w:uiPriority w:val="4"/>
    <w:semiHidden/>
    <w:qFormat/>
    <w:rsid w:val="00B8080B"/>
  </w:style>
  <w:style w:type="character" w:customStyle="1" w:styleId="FootnotesChar">
    <w:name w:val="Footnotes Char"/>
    <w:basedOn w:val="DefaultParagraphFont"/>
    <w:link w:val="Footnotes"/>
    <w:uiPriority w:val="4"/>
    <w:semiHidden/>
    <w:rsid w:val="00FE39C2"/>
    <w:rPr>
      <w:rFonts w:ascii="Arial" w:hAnsi="Arial"/>
      <w:sz w:val="20"/>
      <w:szCs w:val="20"/>
    </w:rPr>
  </w:style>
  <w:style w:type="paragraph" w:styleId="Quote">
    <w:name w:val="Quote"/>
    <w:basedOn w:val="Normal"/>
    <w:next w:val="Normal"/>
    <w:link w:val="QuoteChar"/>
    <w:uiPriority w:val="29"/>
    <w:rsid w:val="001D055E"/>
    <w:pPr>
      <w:ind w:left="737"/>
    </w:pPr>
    <w:rPr>
      <w:i/>
      <w:iCs/>
      <w:color w:val="000000" w:themeColor="text1"/>
    </w:rPr>
  </w:style>
  <w:style w:type="character" w:customStyle="1" w:styleId="QuoteChar">
    <w:name w:val="Quote Char"/>
    <w:basedOn w:val="DefaultParagraphFont"/>
    <w:link w:val="Quote"/>
    <w:uiPriority w:val="29"/>
    <w:rsid w:val="001D055E"/>
    <w:rPr>
      <w:rFonts w:ascii="Arial" w:hAnsi="Arial"/>
      <w:i/>
      <w:iCs/>
      <w:color w:val="000000" w:themeColor="text1"/>
    </w:rPr>
  </w:style>
  <w:style w:type="paragraph" w:customStyle="1" w:styleId="Bulletpoint">
    <w:name w:val="Bullet point"/>
    <w:basedOn w:val="ListBullet"/>
    <w:qFormat/>
    <w:rsid w:val="00FE64AE"/>
    <w:pPr>
      <w:numPr>
        <w:numId w:val="2"/>
      </w:numPr>
      <w:ind w:left="357" w:hanging="357"/>
    </w:pPr>
    <w:rPr>
      <w:rFonts w:cs="Times New Roman"/>
    </w:rPr>
  </w:style>
  <w:style w:type="paragraph" w:styleId="ListBullet">
    <w:name w:val="List Bullet"/>
    <w:basedOn w:val="Normal"/>
    <w:uiPriority w:val="99"/>
    <w:unhideWhenUsed/>
    <w:rsid w:val="008033C4"/>
    <w:pPr>
      <w:numPr>
        <w:numId w:val="13"/>
      </w:numPr>
      <w:spacing w:before="120"/>
      <w:ind w:left="357" w:hanging="357"/>
    </w:pPr>
  </w:style>
  <w:style w:type="paragraph" w:customStyle="1" w:styleId="Bulletpoint2">
    <w:name w:val="Bullet point 2"/>
    <w:basedOn w:val="ListBullet2"/>
    <w:uiPriority w:val="1"/>
    <w:qFormat/>
    <w:rsid w:val="008033C4"/>
    <w:pPr>
      <w:numPr>
        <w:numId w:val="12"/>
      </w:numPr>
      <w:ind w:left="998" w:hanging="357"/>
    </w:pPr>
  </w:style>
  <w:style w:type="paragraph" w:styleId="ListNumber">
    <w:name w:val="List Number"/>
    <w:basedOn w:val="Normal"/>
    <w:uiPriority w:val="99"/>
    <w:qFormat/>
    <w:rsid w:val="008033C4"/>
    <w:pPr>
      <w:numPr>
        <w:numId w:val="7"/>
      </w:numPr>
      <w:spacing w:before="120"/>
      <w:ind w:left="357" w:hanging="357"/>
    </w:pPr>
    <w:rPr>
      <w:color w:val="000000" w:themeColor="text1" w:themeShade="BF"/>
    </w:rPr>
  </w:style>
  <w:style w:type="paragraph" w:styleId="ListBullet2">
    <w:name w:val="List Bullet 2"/>
    <w:basedOn w:val="Normal"/>
    <w:uiPriority w:val="99"/>
    <w:unhideWhenUsed/>
    <w:rsid w:val="008033C4"/>
    <w:pPr>
      <w:numPr>
        <w:numId w:val="3"/>
      </w:numPr>
      <w:spacing w:before="120"/>
      <w:ind w:left="641" w:hanging="357"/>
    </w:pPr>
  </w:style>
  <w:style w:type="paragraph" w:styleId="TOCHeading">
    <w:name w:val="TOC Heading"/>
    <w:basedOn w:val="Normal"/>
    <w:next w:val="Normal"/>
    <w:uiPriority w:val="39"/>
    <w:qFormat/>
    <w:rsid w:val="00E04818"/>
    <w:pPr>
      <w:spacing w:before="480" w:after="120"/>
    </w:pPr>
    <w:rPr>
      <w:rFonts w:ascii="Lucida Fax" w:eastAsiaTheme="majorEastAsia" w:hAnsi="Lucida Fax" w:cstheme="majorBidi"/>
      <w:bCs/>
      <w:color w:val="51626F"/>
      <w:sz w:val="32"/>
      <w:szCs w:val="28"/>
      <w:lang w:val="en-US" w:eastAsia="ja-JP"/>
    </w:rPr>
  </w:style>
  <w:style w:type="paragraph" w:styleId="ListNumber2">
    <w:name w:val="List Number 2"/>
    <w:aliases w:val="List alphabet"/>
    <w:next w:val="Normal"/>
    <w:uiPriority w:val="99"/>
    <w:qFormat/>
    <w:rsid w:val="008033C4"/>
    <w:pPr>
      <w:numPr>
        <w:numId w:val="8"/>
      </w:numPr>
      <w:spacing w:before="120"/>
      <w:ind w:left="357" w:hanging="357"/>
    </w:pPr>
    <w:rPr>
      <w:rFonts w:ascii="Arial" w:hAnsi="Arial"/>
    </w:rPr>
  </w:style>
  <w:style w:type="character" w:styleId="Hyperlink">
    <w:name w:val="Hyperlink"/>
    <w:basedOn w:val="DefaultParagraphFont"/>
    <w:qFormat/>
    <w:rsid w:val="00BE1F1B"/>
    <w:rPr>
      <w:rFonts w:ascii="Arial" w:hAnsi="Arial"/>
      <w:color w:val="0000FF"/>
      <w:sz w:val="22"/>
      <w:u w:val="single"/>
    </w:rPr>
  </w:style>
  <w:style w:type="paragraph" w:styleId="BalloonText">
    <w:name w:val="Balloon Text"/>
    <w:basedOn w:val="Normal"/>
    <w:link w:val="BalloonTextChar"/>
    <w:semiHidden/>
    <w:unhideWhenUsed/>
    <w:rsid w:val="003518B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A57D04"/>
    <w:pPr>
      <w:tabs>
        <w:tab w:val="center" w:pos="4513"/>
        <w:tab w:val="right" w:pos="9026"/>
      </w:tabs>
      <w:spacing w:after="120"/>
    </w:pPr>
    <w:rPr>
      <w:color w:val="51626F" w:themeColor="accent1"/>
      <w:sz w:val="18"/>
    </w:rPr>
  </w:style>
  <w:style w:type="character" w:customStyle="1" w:styleId="FooterChar">
    <w:name w:val="Footer Char"/>
    <w:basedOn w:val="DefaultParagraphFont"/>
    <w:link w:val="Footer"/>
    <w:uiPriority w:val="99"/>
    <w:rsid w:val="00A57D04"/>
    <w:rPr>
      <w:rFonts w:ascii="Arial" w:hAnsi="Arial"/>
      <w:color w:val="51626F" w:themeColor="accent1"/>
      <w:sz w:val="18"/>
    </w:rPr>
  </w:style>
  <w:style w:type="paragraph" w:styleId="ListParagraph">
    <w:name w:val="List Paragraph"/>
    <w:basedOn w:val="Normal"/>
    <w:uiPriority w:val="34"/>
    <w:qFormat/>
    <w:rsid w:val="008033C4"/>
    <w:pPr>
      <w:numPr>
        <w:numId w:val="14"/>
      </w:numPr>
      <w:spacing w:before="120"/>
      <w:ind w:left="714" w:hanging="357"/>
    </w:pPr>
  </w:style>
  <w:style w:type="character" w:customStyle="1" w:styleId="Heading7Char">
    <w:name w:val="Heading 7 Char"/>
    <w:basedOn w:val="DefaultParagraphFont"/>
    <w:link w:val="Heading7"/>
    <w:uiPriority w:val="9"/>
    <w:rsid w:val="009D6B46"/>
    <w:rPr>
      <w:rFonts w:ascii="Arial" w:eastAsiaTheme="majorEastAsia" w:hAnsi="Arial" w:cstheme="majorBidi"/>
      <w:i/>
      <w:iCs/>
      <w:color w:val="404040" w:themeColor="text1" w:themeTint="BF"/>
    </w:rPr>
  </w:style>
  <w:style w:type="character" w:customStyle="1" w:styleId="Heading8Char">
    <w:name w:val="Heading 8 Char"/>
    <w:basedOn w:val="DefaultParagraphFont"/>
    <w:link w:val="Heading8"/>
    <w:rsid w:val="009D6B46"/>
    <w:rPr>
      <w:rFonts w:ascii="Arial" w:eastAsiaTheme="majorEastAsia" w:hAnsi="Arial" w:cstheme="majorBidi"/>
      <w:color w:val="51626F" w:themeColor="accent1"/>
      <w:szCs w:val="20"/>
    </w:rPr>
  </w:style>
  <w:style w:type="character" w:customStyle="1" w:styleId="Heading9Char">
    <w:name w:val="Heading 9 Char"/>
    <w:basedOn w:val="DefaultParagraphFont"/>
    <w:link w:val="Heading9"/>
    <w:uiPriority w:val="9"/>
    <w:rsid w:val="009D6B46"/>
    <w:rPr>
      <w:rFonts w:ascii="Arial" w:eastAsiaTheme="majorEastAsia" w:hAnsi="Arial" w:cstheme="majorBidi"/>
      <w:i/>
      <w:iCs/>
      <w:color w:val="51626F" w:themeColor="accent1"/>
      <w:szCs w:val="20"/>
    </w:rPr>
  </w:style>
  <w:style w:type="paragraph" w:customStyle="1" w:styleId="Numbered1111111">
    <w:name w:val="Numbered 1.1.1.1.1.1.1"/>
    <w:basedOn w:val="Heading7"/>
    <w:next w:val="Normal"/>
    <w:uiPriority w:val="2"/>
    <w:rsid w:val="00B17A1D"/>
    <w:pPr>
      <w:numPr>
        <w:ilvl w:val="6"/>
        <w:numId w:val="15"/>
      </w:numPr>
      <w:ind w:left="2381" w:hanging="2381"/>
    </w:pPr>
  </w:style>
  <w:style w:type="paragraph" w:customStyle="1" w:styleId="Numbered11111111">
    <w:name w:val="Numbered 1.1.1.1.1.1.1.1"/>
    <w:basedOn w:val="Heading8"/>
    <w:next w:val="Normal"/>
    <w:uiPriority w:val="2"/>
    <w:rsid w:val="00B17A1D"/>
    <w:pPr>
      <w:numPr>
        <w:ilvl w:val="7"/>
        <w:numId w:val="15"/>
      </w:numPr>
      <w:ind w:left="2608" w:hanging="2608"/>
    </w:pPr>
  </w:style>
  <w:style w:type="table" w:styleId="TableGrid">
    <w:name w:val="Table Grid"/>
    <w:aliases w:val="ACCC Table"/>
    <w:basedOn w:val="TableNormal"/>
    <w:rsid w:val="00C53B5A"/>
    <w:pPr>
      <w:spacing w:before="60" w:after="60"/>
    </w:pPr>
    <w:rPr>
      <w:rFonts w:ascii="Arial" w:hAnsi="Arial"/>
      <w:sz w:val="20"/>
    </w:rPr>
    <w:tblPr>
      <w:tblInd w:w="0" w:type="dxa"/>
      <w:tblBorders>
        <w:top w:val="single" w:sz="4" w:space="0" w:color="BFBFBF" w:themeColor="background1" w:themeShade="BF"/>
        <w:bottom w:val="single" w:sz="4" w:space="0" w:color="BFBFBF" w:themeColor="background1" w:themeShade="BF"/>
      </w:tblBorders>
      <w:tblCellMar>
        <w:top w:w="0" w:type="dxa"/>
        <w:left w:w="108" w:type="dxa"/>
        <w:bottom w:w="0" w:type="dxa"/>
        <w:right w:w="108" w:type="dxa"/>
      </w:tblCellMar>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Ind w:w="0" w:type="dxa"/>
      <w:tbl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blBorders>
      <w:tblCellMar>
        <w:top w:w="0" w:type="dxa"/>
        <w:left w:w="108" w:type="dxa"/>
        <w:bottom w:w="0" w:type="dxa"/>
        <w:right w:w="108" w:type="dxa"/>
      </w:tblCellMar>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A871F4"/>
    <w:pPr>
      <w:spacing w:before="0"/>
    </w:pPr>
    <w:rPr>
      <w:color w:val="3C4953" w:themeColor="accent1" w:themeShade="BF"/>
    </w:rPr>
    <w:tblPr>
      <w:tblStyleRowBandSize w:val="1"/>
      <w:tblStyleColBandSize w:val="1"/>
      <w:tblInd w:w="0" w:type="dxa"/>
      <w:tblBorders>
        <w:top w:val="single" w:sz="8" w:space="0" w:color="51626F" w:themeColor="accent1"/>
        <w:bottom w:val="single" w:sz="8" w:space="0" w:color="51626F"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la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8DD" w:themeFill="accent1" w:themeFillTint="3F"/>
      </w:tcPr>
    </w:tblStylePr>
    <w:tblStylePr w:type="band1Horz">
      <w:tblPr/>
      <w:tcPr>
        <w:tcBorders>
          <w:left w:val="nil"/>
          <w:right w:val="nil"/>
          <w:insideH w:val="nil"/>
          <w:insideV w:val="nil"/>
        </w:tcBorders>
        <w:shd w:val="clear" w:color="auto" w:fill="D1D8DD"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Ind w:w="0" w:type="dxa"/>
      <w:tbl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blBorders>
      <w:tblCellMar>
        <w:top w:w="0" w:type="dxa"/>
        <w:left w:w="108" w:type="dxa"/>
        <w:bottom w:w="0" w:type="dxa"/>
        <w:right w:w="108" w:type="dxa"/>
      </w:tblCellMar>
    </w:tblPr>
    <w:tcPr>
      <w:vAlign w:val="center"/>
    </w:tcPr>
    <w:tblStylePr w:type="fir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l2br w:val="nil"/>
          <w:tr2bl w:val="nil"/>
        </w:tcBorders>
      </w:tcPr>
    </w:tblStylePr>
    <w:tblStylePr w:type="la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7192" w:themeColor="accent3" w:themeShade="BF"/>
    </w:rPr>
    <w:tblPr>
      <w:tblStyleRowBandSize w:val="1"/>
      <w:tblStyleColBandSize w:val="1"/>
      <w:tblInd w:w="0" w:type="dxa"/>
      <w:tblBorders>
        <w:top w:val="single" w:sz="8" w:space="0" w:color="0098C3" w:themeColor="accent3"/>
        <w:bottom w:val="single" w:sz="8" w:space="0" w:color="0098C3"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la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EDFF" w:themeFill="accent3" w:themeFillTint="3F"/>
      </w:tcPr>
    </w:tblStylePr>
    <w:tblStylePr w:type="band1Horz">
      <w:tblPr/>
      <w:tcPr>
        <w:tcBorders>
          <w:left w:val="nil"/>
          <w:right w:val="nil"/>
          <w:insideH w:val="nil"/>
          <w:insideV w:val="nil"/>
        </w:tcBorders>
        <w:shd w:val="clear" w:color="auto" w:fill="B1ED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Ind w:w="0" w:type="dxa"/>
      <w:tblBorders>
        <w:top w:val="single" w:sz="8" w:space="0" w:color="DC5034" w:themeColor="accent6"/>
        <w:left w:val="single" w:sz="8" w:space="0" w:color="DC5034" w:themeColor="accent6"/>
        <w:bottom w:val="single" w:sz="8" w:space="0" w:color="DC5034" w:themeColor="accent6"/>
        <w:right w:val="single" w:sz="8" w:space="0" w:color="DC5034" w:themeColor="accent6"/>
        <w:insideH w:val="single" w:sz="8" w:space="0" w:color="DC5034" w:themeColor="accent6"/>
        <w:insideV w:val="single" w:sz="8" w:space="0" w:color="DC5034"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18" w:space="0" w:color="DC5034" w:themeColor="accent6"/>
          <w:right w:val="single" w:sz="8" w:space="0" w:color="DC5034" w:themeColor="accent6"/>
          <w:insideH w:val="nil"/>
          <w:insideV w:val="single" w:sz="8" w:space="0" w:color="DC503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insideH w:val="nil"/>
          <w:insideV w:val="single" w:sz="8" w:space="0" w:color="DC503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shd w:val="clear" w:color="auto" w:fill="F6D3CC" w:themeFill="accent6" w:themeFillTint="3F"/>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shd w:val="clear" w:color="auto" w:fill="F6D3CC" w:themeFill="accent6" w:themeFillTint="3F"/>
      </w:tcPr>
    </w:tblStylePr>
    <w:tblStylePr w:type="band2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Ind w:w="0" w:type="dxa"/>
      <w:tbl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single" w:sz="8" w:space="0" w:color="758A9A"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shd w:val="clear" w:color="auto" w:fill="51626F" w:themeFill="accent1"/>
      </w:tcPr>
    </w:tblStylePr>
    <w:tblStylePr w:type="lastRow">
      <w:pPr>
        <w:spacing w:before="0" w:after="0" w:line="240" w:lineRule="auto"/>
      </w:pPr>
      <w:rPr>
        <w:b/>
        <w:bCs/>
      </w:rPr>
      <w:tblPr/>
      <w:tcPr>
        <w:tcBorders>
          <w:top w:val="double" w:sz="6"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D8DD" w:themeFill="accent1" w:themeFillTint="3F"/>
      </w:tcPr>
    </w:tblStylePr>
    <w:tblStylePr w:type="band1Horz">
      <w:tblPr/>
      <w:tcPr>
        <w:tcBorders>
          <w:insideH w:val="nil"/>
          <w:insideV w:val="nil"/>
        </w:tcBorders>
        <w:shd w:val="clear" w:color="auto" w:fill="D1D8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Ind w:w="0" w:type="dxa"/>
      <w:tbl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single" w:sz="8" w:space="0" w:color="7643BB"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shd w:val="clear" w:color="auto" w:fill="4F2D7D" w:themeFill="accent2"/>
      </w:tcPr>
    </w:tblStylePr>
    <w:tblStylePr w:type="lastRow">
      <w:pPr>
        <w:spacing w:before="0" w:after="0" w:line="240" w:lineRule="auto"/>
      </w:pPr>
      <w:rPr>
        <w:b/>
        <w:bCs/>
      </w:rPr>
      <w:tblPr/>
      <w:tcPr>
        <w:tcBorders>
          <w:top w:val="double" w:sz="6"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tcPr>
    </w:tblStylePr>
    <w:tblStylePr w:type="firstCol">
      <w:rPr>
        <w:b/>
        <w:bCs/>
      </w:rPr>
    </w:tblStylePr>
    <w:tblStylePr w:type="lastCol">
      <w:rPr>
        <w:b/>
        <w:bCs/>
      </w:rPr>
    </w:tblStylePr>
    <w:tblStylePr w:type="band1Vert">
      <w:tblPr/>
      <w:tcPr>
        <w:shd w:val="clear" w:color="auto" w:fill="D1C1E8" w:themeFill="accent2" w:themeFillTint="3F"/>
      </w:tcPr>
    </w:tblStylePr>
    <w:tblStylePr w:type="band1Horz">
      <w:tblPr/>
      <w:tcPr>
        <w:tcBorders>
          <w:insideH w:val="nil"/>
          <w:insideV w:val="nil"/>
        </w:tcBorders>
        <w:shd w:val="clear" w:color="auto" w:fill="D1C1E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Ind w:w="0" w:type="dxa"/>
      <w:tbl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single" w:sz="8" w:space="0" w:color="13CAFF"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shd w:val="clear" w:color="auto" w:fill="0098C3" w:themeFill="accent3"/>
      </w:tcPr>
    </w:tblStylePr>
    <w:tblStylePr w:type="lastRow">
      <w:pPr>
        <w:spacing w:before="0" w:after="0" w:line="240" w:lineRule="auto"/>
      </w:pPr>
      <w:rPr>
        <w:b/>
        <w:bCs/>
      </w:rPr>
      <w:tblPr/>
      <w:tcPr>
        <w:tcBorders>
          <w:top w:val="double" w:sz="6"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1EDFF" w:themeFill="accent3" w:themeFillTint="3F"/>
      </w:tcPr>
    </w:tblStylePr>
    <w:tblStylePr w:type="band1Horz">
      <w:tblPr/>
      <w:tcPr>
        <w:tcBorders>
          <w:insideH w:val="nil"/>
          <w:insideV w:val="nil"/>
        </w:tcBorders>
        <w:shd w:val="clear" w:color="auto" w:fill="B1E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Ind w:w="0" w:type="dxa"/>
      <w:tbl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single" w:sz="8" w:space="0" w:color="B7DAF0"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shd w:val="clear" w:color="auto" w:fill="A0CFEB" w:themeFill="accent4"/>
      </w:tcPr>
    </w:tblStylePr>
    <w:tblStylePr w:type="lastRow">
      <w:pPr>
        <w:spacing w:before="0" w:after="0" w:line="240" w:lineRule="auto"/>
      </w:pPr>
      <w:rPr>
        <w:b/>
        <w:bCs/>
      </w:rPr>
      <w:tblPr/>
      <w:tcPr>
        <w:tcBorders>
          <w:top w:val="double" w:sz="6"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F3FA" w:themeFill="accent4" w:themeFillTint="3F"/>
      </w:tcPr>
    </w:tblStylePr>
    <w:tblStylePr w:type="band1Horz">
      <w:tblPr/>
      <w:tcPr>
        <w:tcBorders>
          <w:insideH w:val="nil"/>
          <w:insideV w:val="nil"/>
        </w:tcBorders>
        <w:shd w:val="clear" w:color="auto" w:fill="E7F3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Ind w:w="0" w:type="dxa"/>
      <w:tbl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single" w:sz="8" w:space="0" w:color="FC220E"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shd w:val="clear" w:color="auto" w:fill="B71202" w:themeFill="accent5"/>
      </w:tcPr>
    </w:tblStylePr>
    <w:tblStylePr w:type="lastRow">
      <w:pPr>
        <w:spacing w:before="0" w:after="0" w:line="240" w:lineRule="auto"/>
      </w:pPr>
      <w:rPr>
        <w:b/>
        <w:bCs/>
      </w:rPr>
      <w:tblPr/>
      <w:tcPr>
        <w:tcBorders>
          <w:top w:val="double" w:sz="6"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B6AF" w:themeFill="accent5" w:themeFillTint="3F"/>
      </w:tcPr>
    </w:tblStylePr>
    <w:tblStylePr w:type="band1Horz">
      <w:tblPr/>
      <w:tcPr>
        <w:tcBorders>
          <w:insideH w:val="nil"/>
          <w:insideV w:val="nil"/>
        </w:tcBorders>
        <w:shd w:val="clear" w:color="auto" w:fill="FEB6AF"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rsid w:val="00A871F4"/>
    <w:pPr>
      <w:spacing w:before="0"/>
    </w:pPr>
    <w:rPr>
      <w:color w:val="880D01" w:themeColor="accent5" w:themeShade="BF"/>
    </w:rPr>
    <w:tblPr>
      <w:tblStyleRowBandSize w:val="1"/>
      <w:tblStyleColBandSize w:val="1"/>
      <w:tblInd w:w="0" w:type="dxa"/>
      <w:tblBorders>
        <w:top w:val="single" w:sz="8" w:space="0" w:color="B71202" w:themeColor="accent5"/>
        <w:bottom w:val="single" w:sz="8" w:space="0" w:color="B71202"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la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B6AF" w:themeFill="accent5" w:themeFillTint="3F"/>
      </w:tcPr>
    </w:tblStylePr>
    <w:tblStylePr w:type="band1Horz">
      <w:tblPr/>
      <w:tcPr>
        <w:tcBorders>
          <w:left w:val="nil"/>
          <w:right w:val="nil"/>
          <w:insideH w:val="nil"/>
          <w:insideV w:val="nil"/>
        </w:tcBorders>
        <w:shd w:val="clear" w:color="auto" w:fill="FEB6AF"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Ind w:w="0" w:type="dxa"/>
      <w:tblBorders>
        <w:top w:val="single" w:sz="8" w:space="0" w:color="0098C3" w:themeColor="accent3"/>
        <w:left w:val="single" w:sz="8" w:space="0" w:color="0098C3" w:themeColor="accent3"/>
        <w:bottom w:val="single" w:sz="8" w:space="0" w:color="0098C3" w:themeColor="accent3"/>
        <w:right w:val="single" w:sz="8" w:space="0" w:color="0098C3" w:themeColor="accent3"/>
        <w:insideH w:val="single" w:sz="8" w:space="0" w:color="0098C3" w:themeColor="accent3"/>
        <w:insideV w:val="single" w:sz="8" w:space="0" w:color="0098C3"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18" w:space="0" w:color="0098C3" w:themeColor="accent3"/>
          <w:right w:val="single" w:sz="8" w:space="0" w:color="0098C3" w:themeColor="accent3"/>
          <w:insideH w:val="nil"/>
          <w:insideV w:val="single" w:sz="8" w:space="0" w:color="0098C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insideH w:val="nil"/>
          <w:insideV w:val="single" w:sz="8" w:space="0" w:color="0098C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shd w:val="clear" w:color="auto" w:fill="B1EDFF" w:themeFill="accent3" w:themeFillTint="3F"/>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shd w:val="clear" w:color="auto" w:fill="B1EDFF" w:themeFill="accent3" w:themeFillTint="3F"/>
      </w:tcPr>
    </w:tblStylePr>
    <w:tblStylePr w:type="band2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9F4940"/>
    <w:pPr>
      <w:tabs>
        <w:tab w:val="left" w:pos="426"/>
        <w:tab w:val="right" w:leader="dot" w:pos="9016"/>
      </w:tabs>
      <w:spacing w:after="100"/>
    </w:pPr>
    <w:rPr>
      <w:noProof/>
      <w:lang w:val="en-US" w:eastAsia="ja-JP"/>
    </w:rPr>
  </w:style>
  <w:style w:type="paragraph" w:styleId="TOC2">
    <w:name w:val="toc 2"/>
    <w:basedOn w:val="Normal"/>
    <w:next w:val="Normal"/>
    <w:uiPriority w:val="39"/>
    <w:qFormat/>
    <w:rsid w:val="009F4940"/>
    <w:pPr>
      <w:tabs>
        <w:tab w:val="left" w:pos="880"/>
        <w:tab w:val="right" w:leader="dot" w:pos="9016"/>
      </w:tabs>
      <w:spacing w:after="100"/>
      <w:ind w:left="425"/>
    </w:pPr>
    <w:rPr>
      <w:noProof/>
    </w:rPr>
  </w:style>
  <w:style w:type="paragraph" w:styleId="TOC3">
    <w:name w:val="toc 3"/>
    <w:basedOn w:val="Normal"/>
    <w:next w:val="Normal"/>
    <w:uiPriority w:val="39"/>
    <w:qFormat/>
    <w:rsid w:val="009F4940"/>
    <w:pPr>
      <w:tabs>
        <w:tab w:val="left" w:pos="1760"/>
        <w:tab w:val="right" w:leader="dot" w:pos="9016"/>
      </w:tabs>
      <w:spacing w:after="100"/>
      <w:ind w:left="851"/>
    </w:pPr>
    <w:rPr>
      <w:noProof/>
    </w:rPr>
  </w:style>
  <w:style w:type="paragraph" w:styleId="Title">
    <w:name w:val="Title"/>
    <w:basedOn w:val="Normal"/>
    <w:next w:val="Normal"/>
    <w:link w:val="TitleChar"/>
    <w:qFormat/>
    <w:rsid w:val="000E2946"/>
    <w:pPr>
      <w:spacing w:before="100" w:beforeAutospacing="1" w:after="120"/>
      <w:contextualSpacing/>
      <w:outlineLvl w:val="0"/>
    </w:pPr>
    <w:rPr>
      <w:rFonts w:eastAsiaTheme="majorEastAsia" w:cstheme="majorBidi"/>
      <w:b/>
      <w:spacing w:val="5"/>
      <w:kern w:val="28"/>
      <w:sz w:val="44"/>
      <w:szCs w:val="52"/>
    </w:rPr>
  </w:style>
  <w:style w:type="character" w:customStyle="1" w:styleId="TitleChar">
    <w:name w:val="Title Char"/>
    <w:basedOn w:val="DefaultParagraphFont"/>
    <w:link w:val="Title"/>
    <w:rsid w:val="000E2946"/>
    <w:rPr>
      <w:rFonts w:ascii="Arial" w:eastAsiaTheme="majorEastAsia" w:hAnsi="Arial" w:cstheme="majorBidi"/>
      <w:b/>
      <w:spacing w:val="5"/>
      <w:kern w:val="28"/>
      <w:sz w:val="44"/>
      <w:szCs w:val="52"/>
    </w:rPr>
  </w:style>
  <w:style w:type="paragraph" w:customStyle="1" w:styleId="CoverDate">
    <w:name w:val="Cover Date"/>
    <w:qFormat/>
    <w:rsid w:val="00746E01"/>
    <w:rPr>
      <w:rFonts w:ascii="Lucida Fax" w:hAnsi="Lucida Fax"/>
      <w:color w:val="DC5034"/>
      <w:szCs w:val="24"/>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Ind w:w="0" w:type="dxa"/>
      <w:tblBorders>
        <w:top w:val="single" w:sz="8" w:space="0" w:color="51626F" w:themeColor="accent1"/>
        <w:left w:val="single" w:sz="8" w:space="0" w:color="51626F" w:themeColor="accent1"/>
        <w:bottom w:val="single" w:sz="8" w:space="0" w:color="51626F" w:themeColor="accent1"/>
        <w:right w:val="single" w:sz="8" w:space="0" w:color="51626F"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1626F" w:themeFill="accent1"/>
      </w:tcPr>
    </w:tblStylePr>
    <w:tblStylePr w:type="lastRow">
      <w:pPr>
        <w:spacing w:before="0" w:after="0" w:line="240" w:lineRule="auto"/>
      </w:pPr>
      <w:rPr>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tcBorders>
      </w:tcPr>
    </w:tblStylePr>
    <w:tblStylePr w:type="firstCol">
      <w:rPr>
        <w:b/>
        <w:bCs/>
      </w:rPr>
    </w:tblStylePr>
    <w:tblStylePr w:type="lastCol">
      <w:rPr>
        <w:b/>
        <w:bCs/>
      </w:r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Ind w:w="0" w:type="dxa"/>
      <w:tblBorders>
        <w:top w:val="single" w:sz="8" w:space="0" w:color="0098C3" w:themeColor="accent3"/>
        <w:left w:val="single" w:sz="8" w:space="0" w:color="0098C3" w:themeColor="accent3"/>
        <w:bottom w:val="single" w:sz="8" w:space="0" w:color="0098C3" w:themeColor="accent3"/>
        <w:right w:val="single" w:sz="8" w:space="0" w:color="0098C3"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98C3" w:themeFill="accent3"/>
      </w:tcPr>
    </w:tblStylePr>
    <w:tblStylePr w:type="lastRow">
      <w:pPr>
        <w:spacing w:before="0" w:after="0" w:line="240" w:lineRule="auto"/>
      </w:pPr>
      <w:rPr>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tcBorders>
      </w:tcPr>
    </w:tblStylePr>
    <w:tblStylePr w:type="firstCol">
      <w:rPr>
        <w:b/>
        <w:bCs/>
      </w:rPr>
    </w:tblStylePr>
    <w:tblStylePr w:type="lastCol">
      <w:rPr>
        <w:b/>
        <w:bCs/>
      </w:r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Ind w:w="0" w:type="dxa"/>
      <w:tblBorders>
        <w:top w:val="single" w:sz="8" w:space="0" w:color="B71202" w:themeColor="accent5"/>
        <w:left w:val="single" w:sz="8" w:space="0" w:color="B71202" w:themeColor="accent5"/>
        <w:bottom w:val="single" w:sz="8" w:space="0" w:color="B71202" w:themeColor="accent5"/>
        <w:right w:val="single" w:sz="8" w:space="0" w:color="B71202" w:themeColor="accent5"/>
      </w:tblBorders>
      <w:tblCellMar>
        <w:top w:w="0" w:type="dxa"/>
        <w:left w:w="108" w:type="dxa"/>
        <w:bottom w:w="0" w:type="dxa"/>
        <w:right w:w="108" w:type="dxa"/>
      </w:tblCellMar>
    </w:tblPr>
    <w:tblStylePr w:type="firstRow">
      <w:pPr>
        <w:spacing w:before="0" w:after="0" w:line="240" w:lineRule="auto"/>
      </w:pPr>
      <w:rPr>
        <w:b/>
        <w:bCs/>
        <w:color w:val="auto"/>
      </w:rPr>
      <w:tblPr/>
      <w:tcPr>
        <w:shd w:val="clear" w:color="auto" w:fill="B71202" w:themeFill="accent5"/>
      </w:tcPr>
    </w:tblStylePr>
    <w:tblStylePr w:type="lastRow">
      <w:pPr>
        <w:spacing w:before="0" w:after="0" w:line="240" w:lineRule="auto"/>
      </w:pPr>
      <w:rPr>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tcBorders>
      </w:tcPr>
    </w:tblStylePr>
    <w:tblStylePr w:type="firstCol">
      <w:rPr>
        <w:b/>
        <w:bCs/>
      </w:rPr>
    </w:tblStylePr>
    <w:tblStylePr w:type="lastCol">
      <w:rPr>
        <w:b/>
        <w:bCs/>
      </w:r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style>
  <w:style w:type="character" w:styleId="Emphasis">
    <w:name w:val="Emphasis"/>
    <w:basedOn w:val="DefaultParagraphFont"/>
    <w:qFormat/>
    <w:rsid w:val="00701CAB"/>
    <w:rPr>
      <w:i/>
      <w:iCs/>
    </w:rPr>
  </w:style>
  <w:style w:type="paragraph" w:styleId="NormalIndent">
    <w:name w:val="Normal Indent"/>
    <w:basedOn w:val="Normal"/>
    <w:uiPriority w:val="1"/>
    <w:rsid w:val="00085663"/>
    <w:pPr>
      <w:ind w:left="720"/>
    </w:pPr>
  </w:style>
  <w:style w:type="paragraph" w:styleId="FootnoteText">
    <w:name w:val="footnote text"/>
    <w:aliases w:val="ALTS FOOTNOTE,(NECG) Footnote Text,Footnote text,AR Footnote Text,AR Footnote Text Char Char Char Char Char,ALTS FOOTNOTE Char1,Footnote Text Char1 Char,Footnote Text Char Char Char,Footnote Text Char1 Char Char Char,fn,Footnote Text1,f"/>
    <w:basedOn w:val="Normal"/>
    <w:link w:val="FootnoteTextChar"/>
    <w:qFormat/>
    <w:rsid w:val="00615C6B"/>
    <w:pPr>
      <w:spacing w:before="60"/>
    </w:pPr>
    <w:rPr>
      <w:sz w:val="16"/>
      <w:szCs w:val="20"/>
    </w:rPr>
  </w:style>
  <w:style w:type="character" w:customStyle="1" w:styleId="FootnoteTextChar">
    <w:name w:val="Footnote Text Char"/>
    <w:aliases w:val="ALTS FOOTNOTE Char,(NECG) Footnote Text Char,Footnote text Char,AR Footnote Text Char,AR Footnote Text Char Char Char Char Char Char,ALTS FOOTNOTE Char1 Char,Footnote Text Char1 Char Char,Footnote Text Char Char Char Char,fn Char"/>
    <w:basedOn w:val="DefaultParagraphFont"/>
    <w:link w:val="FootnoteText"/>
    <w:rsid w:val="00615C6B"/>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nhideWhenUsed/>
    <w:rsid w:val="00701CAB"/>
    <w:rPr>
      <w:vertAlign w:val="superscript"/>
    </w:rPr>
  </w:style>
  <w:style w:type="character" w:styleId="Strong">
    <w:name w:val="Strong"/>
    <w:basedOn w:val="DefaultParagraphFont"/>
    <w:uiPriority w:val="22"/>
    <w:qFormat/>
    <w:rsid w:val="00EF5110"/>
    <w:rPr>
      <w:b/>
      <w:bCs/>
    </w:rPr>
  </w:style>
  <w:style w:type="paragraph" w:styleId="Subtitle">
    <w:name w:val="Subtitle"/>
    <w:next w:val="Normal"/>
    <w:link w:val="SubtitleChar"/>
    <w:uiPriority w:val="11"/>
    <w:qFormat/>
    <w:rsid w:val="008344F6"/>
    <w:pPr>
      <w:spacing w:before="360" w:after="120"/>
    </w:pPr>
    <w:rPr>
      <w:rFonts w:ascii="Lucida Fax" w:hAnsi="Lucida Fax"/>
      <w:color w:val="4F2D7F"/>
      <w:sz w:val="52"/>
      <w:szCs w:val="52"/>
    </w:rPr>
  </w:style>
  <w:style w:type="character" w:customStyle="1" w:styleId="SubtitleChar">
    <w:name w:val="Subtitle Char"/>
    <w:basedOn w:val="DefaultParagraphFont"/>
    <w:link w:val="Subtitle"/>
    <w:uiPriority w:val="11"/>
    <w:rsid w:val="008344F6"/>
    <w:rPr>
      <w:rFonts w:ascii="Lucida Fax" w:hAnsi="Lucida Fax"/>
      <w:color w:val="4F2D7F"/>
      <w:sz w:val="52"/>
      <w:szCs w:val="52"/>
    </w:rPr>
  </w:style>
  <w:style w:type="table" w:styleId="LightShading-Accent4">
    <w:name w:val="Light Shading Accent 4"/>
    <w:basedOn w:val="TableNormal"/>
    <w:uiPriority w:val="60"/>
    <w:rsid w:val="00746E01"/>
    <w:pPr>
      <w:spacing w:before="0"/>
    </w:pPr>
    <w:rPr>
      <w:color w:val="4DA5D9" w:themeColor="accent4" w:themeShade="BF"/>
    </w:rPr>
    <w:tblPr>
      <w:tblStyleRowBandSize w:val="1"/>
      <w:tblStyleColBandSize w:val="1"/>
      <w:tblInd w:w="0" w:type="dxa"/>
      <w:tblBorders>
        <w:top w:val="single" w:sz="8" w:space="0" w:color="A0CFEB" w:themeColor="accent4"/>
        <w:bottom w:val="single" w:sz="8" w:space="0" w:color="A0CFEB"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la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3FA" w:themeFill="accent4" w:themeFillTint="3F"/>
      </w:tcPr>
    </w:tblStylePr>
    <w:tblStylePr w:type="band1Horz">
      <w:tblPr/>
      <w:tcPr>
        <w:tcBorders>
          <w:left w:val="nil"/>
          <w:right w:val="nil"/>
          <w:insideH w:val="nil"/>
          <w:insideV w:val="nil"/>
        </w:tcBorders>
        <w:shd w:val="clear" w:color="auto" w:fill="E7F3FA" w:themeFill="accent4" w:themeFillTint="3F"/>
      </w:tcPr>
    </w:tblStylePr>
  </w:style>
  <w:style w:type="table" w:styleId="LightShading-Accent6">
    <w:name w:val="Light Shading Accent 6"/>
    <w:basedOn w:val="TableNormal"/>
    <w:uiPriority w:val="60"/>
    <w:rsid w:val="00746E01"/>
    <w:pPr>
      <w:spacing w:before="0"/>
    </w:pPr>
    <w:rPr>
      <w:color w:val="AD351E" w:themeColor="accent6" w:themeShade="BF"/>
    </w:rPr>
    <w:tblPr>
      <w:tblStyleRowBandSize w:val="1"/>
      <w:tblStyleColBandSize w:val="1"/>
      <w:tblInd w:w="0" w:type="dxa"/>
      <w:tblBorders>
        <w:top w:val="single" w:sz="8" w:space="0" w:color="DC5034" w:themeColor="accent6"/>
        <w:bottom w:val="single" w:sz="8" w:space="0" w:color="DC5034"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la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3CC" w:themeFill="accent6" w:themeFillTint="3F"/>
      </w:tcPr>
    </w:tblStylePr>
    <w:tblStylePr w:type="band1Horz">
      <w:tblPr/>
      <w:tcPr>
        <w:tcBorders>
          <w:left w:val="nil"/>
          <w:right w:val="nil"/>
          <w:insideH w:val="nil"/>
          <w:insideV w:val="nil"/>
        </w:tcBorders>
        <w:shd w:val="clear" w:color="auto" w:fill="F6D3CC" w:themeFill="accent6" w:themeFillTint="3F"/>
      </w:tcPr>
    </w:tblStylePr>
  </w:style>
  <w:style w:type="paragraph" w:styleId="TOC4">
    <w:name w:val="toc 4"/>
    <w:basedOn w:val="Normal"/>
    <w:next w:val="Normal"/>
    <w:rsid w:val="009F4940"/>
    <w:pPr>
      <w:tabs>
        <w:tab w:val="right" w:leader="dot" w:pos="9016"/>
      </w:tabs>
      <w:spacing w:after="100"/>
      <w:ind w:left="1276"/>
    </w:pPr>
    <w:rPr>
      <w:noProof/>
    </w:rPr>
  </w:style>
  <w:style w:type="paragraph" w:styleId="TOC5">
    <w:name w:val="toc 5"/>
    <w:basedOn w:val="Normal"/>
    <w:next w:val="Normal"/>
    <w:rsid w:val="009F4940"/>
    <w:pPr>
      <w:tabs>
        <w:tab w:val="right" w:leader="dot" w:pos="9016"/>
      </w:tabs>
      <w:spacing w:after="100"/>
      <w:ind w:left="1701"/>
    </w:pPr>
    <w:rPr>
      <w:noProof/>
    </w:rPr>
  </w:style>
  <w:style w:type="paragraph" w:styleId="TOC6">
    <w:name w:val="toc 6"/>
    <w:basedOn w:val="Normal"/>
    <w:next w:val="Normal"/>
    <w:rsid w:val="009F4940"/>
    <w:pPr>
      <w:tabs>
        <w:tab w:val="right" w:leader="dot" w:pos="9016"/>
      </w:tabs>
      <w:spacing w:after="100"/>
      <w:ind w:left="2127"/>
    </w:pPr>
    <w:rPr>
      <w:noProof/>
    </w:rPr>
  </w:style>
  <w:style w:type="paragraph" w:styleId="TOC7">
    <w:name w:val="toc 7"/>
    <w:basedOn w:val="Normal"/>
    <w:next w:val="Normal"/>
    <w:rsid w:val="009F4940"/>
    <w:pPr>
      <w:tabs>
        <w:tab w:val="right" w:leader="dot" w:pos="9016"/>
      </w:tabs>
      <w:spacing w:after="100"/>
      <w:ind w:left="2552"/>
    </w:pPr>
    <w:rPr>
      <w:noProof/>
    </w:rPr>
  </w:style>
  <w:style w:type="paragraph" w:customStyle="1" w:styleId="Numberedlist">
    <w:name w:val="Numbered list"/>
    <w:basedOn w:val="ListNumber"/>
    <w:rsid w:val="008033C4"/>
    <w:pPr>
      <w:numPr>
        <w:numId w:val="1"/>
      </w:numPr>
      <w:ind w:left="357" w:hanging="357"/>
    </w:pPr>
  </w:style>
  <w:style w:type="table" w:customStyle="1" w:styleId="LightShading1">
    <w:name w:val="Light Shading1"/>
    <w:basedOn w:val="TableNormal"/>
    <w:next w:val="LightShading"/>
    <w:uiPriority w:val="60"/>
    <w:rsid w:val="00C53B5A"/>
    <w:pPr>
      <w:spacing w:before="120" w:after="120"/>
    </w:pPr>
    <w:rPr>
      <w:color w:val="000000" w:themeColor="text1" w:themeShade="BF"/>
      <w:sz w:val="20"/>
    </w:rPr>
    <w:tblPr>
      <w:tblInd w:w="0" w:type="dxa"/>
      <w:tblBorders>
        <w:top w:val="single" w:sz="4" w:space="0" w:color="D5D6D2" w:themeColor="background2"/>
        <w:bottom w:val="single" w:sz="4" w:space="0" w:color="D5D6D2" w:themeColor="background2"/>
        <w:insideH w:val="single" w:sz="4" w:space="0" w:color="D5D6D2" w:themeColor="background2"/>
      </w:tblBorders>
      <w:tblCellMar>
        <w:top w:w="0" w:type="dxa"/>
        <w:left w:w="108" w:type="dxa"/>
        <w:bottom w:w="0" w:type="dxa"/>
        <w:right w:w="108" w:type="dxa"/>
      </w:tblCellMar>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Ind w:w="0" w:type="dxa"/>
      <w:tblBorders>
        <w:top w:val="single" w:sz="8" w:space="0" w:color="4F2D7D" w:themeColor="accent2"/>
        <w:left w:val="single" w:sz="8" w:space="0" w:color="4F2D7D" w:themeColor="accent2"/>
        <w:bottom w:val="single" w:sz="8" w:space="0" w:color="4F2D7D" w:themeColor="accent2"/>
        <w:right w:val="single" w:sz="8" w:space="0" w:color="4F2D7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2D7D" w:themeFill="accent2"/>
      </w:tcPr>
    </w:tblStylePr>
    <w:tblStylePr w:type="lastRow">
      <w:pPr>
        <w:spacing w:before="0" w:after="0" w:line="240" w:lineRule="auto"/>
      </w:pPr>
      <w:rPr>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tcBorders>
      </w:tcPr>
    </w:tblStylePr>
    <w:tblStylePr w:type="firstCol">
      <w:rPr>
        <w:b/>
        <w:bCs/>
      </w:rPr>
    </w:tblStylePr>
    <w:tblStylePr w:type="lastCol">
      <w:rPr>
        <w:b/>
        <w:bCs/>
      </w:r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Ind w:w="0" w:type="dxa"/>
      <w:tblBorders>
        <w:top w:val="single" w:sz="8" w:space="0" w:color="A0CFEB" w:themeColor="accent4"/>
        <w:left w:val="single" w:sz="8" w:space="0" w:color="A0CFEB" w:themeColor="accent4"/>
        <w:bottom w:val="single" w:sz="8" w:space="0" w:color="A0CFEB" w:themeColor="accent4"/>
        <w:right w:val="single" w:sz="8" w:space="0" w:color="A0CFEB"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0CFEB" w:themeFill="accent4"/>
      </w:tcPr>
    </w:tblStylePr>
    <w:tblStylePr w:type="lastRow">
      <w:pPr>
        <w:spacing w:before="0" w:after="0" w:line="240" w:lineRule="auto"/>
      </w:pPr>
      <w:rPr>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tcBorders>
      </w:tcPr>
    </w:tblStylePr>
    <w:tblStylePr w:type="firstCol">
      <w:rPr>
        <w:b/>
        <w:bCs/>
      </w:rPr>
    </w:tblStylePr>
    <w:tblStylePr w:type="lastCol">
      <w:rPr>
        <w:b/>
        <w:bCs/>
      </w:r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Ind w:w="0" w:type="dxa"/>
      <w:tblBorders>
        <w:top w:val="single" w:sz="8" w:space="0" w:color="DC5034" w:themeColor="accent6"/>
        <w:left w:val="single" w:sz="8" w:space="0" w:color="DC5034" w:themeColor="accent6"/>
        <w:bottom w:val="single" w:sz="8" w:space="0" w:color="DC5034" w:themeColor="accent6"/>
        <w:right w:val="single" w:sz="8" w:space="0" w:color="DC5034"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DC5034" w:themeFill="accent6"/>
      </w:tcPr>
    </w:tblStylePr>
    <w:tblStylePr w:type="lastRow">
      <w:pPr>
        <w:spacing w:before="0" w:after="0" w:line="240" w:lineRule="auto"/>
      </w:pPr>
      <w:rPr>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tcBorders>
      </w:tcPr>
    </w:tblStylePr>
    <w:tblStylePr w:type="firstCol">
      <w:rPr>
        <w:b/>
        <w:bCs/>
      </w:rPr>
    </w:tblStylePr>
    <w:tblStylePr w:type="lastCol">
      <w:rPr>
        <w:b/>
        <w:bCs/>
      </w:r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style>
  <w:style w:type="table" w:styleId="LightGrid">
    <w:name w:val="Light Grid"/>
    <w:basedOn w:val="TableNormal"/>
    <w:uiPriority w:val="62"/>
    <w:rsid w:val="009661DE"/>
    <w:pPr>
      <w:spacing w:before="0"/>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Ind w:w="0" w:type="dxa"/>
      <w:tblBorders>
        <w:top w:val="single" w:sz="8" w:space="0" w:color="51626F" w:themeColor="accent1"/>
        <w:left w:val="single" w:sz="8" w:space="0" w:color="51626F" w:themeColor="accent1"/>
        <w:bottom w:val="single" w:sz="8" w:space="0" w:color="51626F" w:themeColor="accent1"/>
        <w:right w:val="single" w:sz="8" w:space="0" w:color="51626F" w:themeColor="accent1"/>
        <w:insideH w:val="single" w:sz="8" w:space="0" w:color="51626F" w:themeColor="accent1"/>
        <w:insideV w:val="single" w:sz="8" w:space="0" w:color="51626F"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18" w:space="0" w:color="51626F" w:themeColor="accent1"/>
          <w:right w:val="single" w:sz="8" w:space="0" w:color="51626F" w:themeColor="accent1"/>
          <w:insideH w:val="nil"/>
          <w:insideV w:val="single" w:sz="8" w:space="0" w:color="51626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insideH w:val="nil"/>
          <w:insideV w:val="single" w:sz="8" w:space="0" w:color="51626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shd w:val="clear" w:color="auto" w:fill="D1D8DD" w:themeFill="accent1" w:themeFillTint="3F"/>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shd w:val="clear" w:color="auto" w:fill="D1D8DD" w:themeFill="accent1" w:themeFillTint="3F"/>
      </w:tcPr>
    </w:tblStylePr>
    <w:tblStylePr w:type="band2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Ind w:w="0" w:type="dxa"/>
      <w:tblBorders>
        <w:top w:val="single" w:sz="8" w:space="0" w:color="4F2D7D" w:themeColor="accent2"/>
        <w:left w:val="single" w:sz="8" w:space="0" w:color="4F2D7D" w:themeColor="accent2"/>
        <w:bottom w:val="single" w:sz="8" w:space="0" w:color="4F2D7D" w:themeColor="accent2"/>
        <w:right w:val="single" w:sz="8" w:space="0" w:color="4F2D7D" w:themeColor="accent2"/>
        <w:insideH w:val="single" w:sz="8" w:space="0" w:color="4F2D7D" w:themeColor="accent2"/>
        <w:insideV w:val="single" w:sz="8" w:space="0" w:color="4F2D7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18" w:space="0" w:color="4F2D7D" w:themeColor="accent2"/>
          <w:right w:val="single" w:sz="8" w:space="0" w:color="4F2D7D" w:themeColor="accent2"/>
          <w:insideH w:val="nil"/>
          <w:insideV w:val="single" w:sz="8" w:space="0" w:color="4F2D7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insideH w:val="nil"/>
          <w:insideV w:val="single" w:sz="8" w:space="0" w:color="4F2D7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shd w:val="clear" w:color="auto" w:fill="D1C1E8" w:themeFill="accent2" w:themeFillTint="3F"/>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shd w:val="clear" w:color="auto" w:fill="D1C1E8" w:themeFill="accent2" w:themeFillTint="3F"/>
      </w:tcPr>
    </w:tblStylePr>
    <w:tblStylePr w:type="band2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Ind w:w="0" w:type="dxa"/>
      <w:tblBorders>
        <w:top w:val="single" w:sz="8" w:space="0" w:color="A0CFEB" w:themeColor="accent4"/>
        <w:left w:val="single" w:sz="8" w:space="0" w:color="A0CFEB" w:themeColor="accent4"/>
        <w:bottom w:val="single" w:sz="8" w:space="0" w:color="A0CFEB" w:themeColor="accent4"/>
        <w:right w:val="single" w:sz="8" w:space="0" w:color="A0CFEB" w:themeColor="accent4"/>
        <w:insideH w:val="single" w:sz="8" w:space="0" w:color="A0CFEB" w:themeColor="accent4"/>
        <w:insideV w:val="single" w:sz="8" w:space="0" w:color="A0CFEB"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18" w:space="0" w:color="A0CFEB" w:themeColor="accent4"/>
          <w:right w:val="single" w:sz="8" w:space="0" w:color="A0CFEB" w:themeColor="accent4"/>
          <w:insideH w:val="nil"/>
          <w:insideV w:val="single" w:sz="8" w:space="0" w:color="A0CFE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insideH w:val="nil"/>
          <w:insideV w:val="single" w:sz="8" w:space="0" w:color="A0CFE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shd w:val="clear" w:color="auto" w:fill="E7F3FA" w:themeFill="accent4" w:themeFillTint="3F"/>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shd w:val="clear" w:color="auto" w:fill="E7F3FA" w:themeFill="accent4" w:themeFillTint="3F"/>
      </w:tcPr>
    </w:tblStylePr>
    <w:tblStylePr w:type="band2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Ind w:w="0" w:type="dxa"/>
      <w:tblBorders>
        <w:top w:val="single" w:sz="8" w:space="0" w:color="B71202" w:themeColor="accent5"/>
        <w:left w:val="single" w:sz="8" w:space="0" w:color="B71202" w:themeColor="accent5"/>
        <w:bottom w:val="single" w:sz="8" w:space="0" w:color="B71202" w:themeColor="accent5"/>
        <w:right w:val="single" w:sz="8" w:space="0" w:color="B71202" w:themeColor="accent5"/>
        <w:insideH w:val="single" w:sz="8" w:space="0" w:color="B71202" w:themeColor="accent5"/>
        <w:insideV w:val="single" w:sz="8" w:space="0" w:color="B71202"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18" w:space="0" w:color="B71202" w:themeColor="accent5"/>
          <w:right w:val="single" w:sz="8" w:space="0" w:color="B71202" w:themeColor="accent5"/>
          <w:insideH w:val="nil"/>
          <w:insideV w:val="single" w:sz="8" w:space="0" w:color="B7120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insideH w:val="nil"/>
          <w:insideV w:val="single" w:sz="8" w:space="0" w:color="B7120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shd w:val="clear" w:color="auto" w:fill="FEB6AF" w:themeFill="accent5" w:themeFillTint="3F"/>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shd w:val="clear" w:color="auto" w:fill="FEB6AF" w:themeFill="accent5" w:themeFillTint="3F"/>
      </w:tcPr>
    </w:tblStylePr>
    <w:tblStylePr w:type="band2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B17A1D"/>
    <w:pPr>
      <w:numPr>
        <w:ilvl w:val="8"/>
        <w:numId w:val="15"/>
      </w:numPr>
      <w:ind w:left="2948" w:hanging="2948"/>
    </w:pPr>
  </w:style>
  <w:style w:type="paragraph" w:styleId="Caption">
    <w:name w:val="caption"/>
    <w:basedOn w:val="Normal"/>
    <w:next w:val="Normal"/>
    <w:unhideWhenUsed/>
    <w:qFormat/>
    <w:rsid w:val="000E2946"/>
    <w:pPr>
      <w:keepNext/>
      <w:spacing w:before="240" w:after="120"/>
    </w:pPr>
    <w:rPr>
      <w:b/>
      <w:bCs/>
      <w:color w:val="2272A3" w:themeColor="accent4" w:themeShade="80"/>
      <w:sz w:val="24"/>
      <w:szCs w:val="18"/>
    </w:rPr>
  </w:style>
  <w:style w:type="paragraph" w:styleId="List">
    <w:name w:val="List"/>
    <w:basedOn w:val="Normal"/>
    <w:uiPriority w:val="99"/>
    <w:unhideWhenUsed/>
    <w:qFormat/>
    <w:rsid w:val="008033C4"/>
    <w:pPr>
      <w:spacing w:before="120"/>
      <w:ind w:left="284" w:hanging="284"/>
    </w:pPr>
  </w:style>
  <w:style w:type="paragraph" w:styleId="List2">
    <w:name w:val="List 2"/>
    <w:basedOn w:val="Normal"/>
    <w:uiPriority w:val="99"/>
    <w:unhideWhenUsed/>
    <w:rsid w:val="008033C4"/>
    <w:pPr>
      <w:spacing w:before="120"/>
      <w:ind w:left="568" w:hanging="284"/>
    </w:pPr>
  </w:style>
  <w:style w:type="paragraph" w:styleId="List3">
    <w:name w:val="List 3"/>
    <w:basedOn w:val="Normal"/>
    <w:uiPriority w:val="99"/>
    <w:unhideWhenUsed/>
    <w:rsid w:val="008033C4"/>
    <w:pPr>
      <w:spacing w:before="120"/>
      <w:ind w:left="851" w:hanging="284"/>
    </w:pPr>
  </w:style>
  <w:style w:type="paragraph" w:styleId="List4">
    <w:name w:val="List 4"/>
    <w:basedOn w:val="Normal"/>
    <w:uiPriority w:val="99"/>
    <w:unhideWhenUsed/>
    <w:rsid w:val="008033C4"/>
    <w:pPr>
      <w:spacing w:before="120"/>
      <w:ind w:left="1135" w:hanging="284"/>
    </w:pPr>
  </w:style>
  <w:style w:type="paragraph" w:styleId="List5">
    <w:name w:val="List 5"/>
    <w:basedOn w:val="Normal"/>
    <w:uiPriority w:val="99"/>
    <w:unhideWhenUsed/>
    <w:rsid w:val="008033C4"/>
    <w:pPr>
      <w:spacing w:before="120"/>
      <w:ind w:left="1418" w:hanging="284"/>
    </w:pPr>
  </w:style>
  <w:style w:type="paragraph" w:styleId="ListBullet3">
    <w:name w:val="List Bullet 3"/>
    <w:basedOn w:val="Normal"/>
    <w:uiPriority w:val="99"/>
    <w:unhideWhenUsed/>
    <w:rsid w:val="008033C4"/>
    <w:pPr>
      <w:numPr>
        <w:numId w:val="4"/>
      </w:numPr>
      <w:spacing w:before="120"/>
      <w:ind w:left="924" w:hanging="357"/>
    </w:pPr>
  </w:style>
  <w:style w:type="paragraph" w:styleId="ListBullet4">
    <w:name w:val="List Bullet 4"/>
    <w:basedOn w:val="Normal"/>
    <w:uiPriority w:val="99"/>
    <w:unhideWhenUsed/>
    <w:rsid w:val="008033C4"/>
    <w:pPr>
      <w:numPr>
        <w:numId w:val="5"/>
      </w:numPr>
      <w:spacing w:before="120"/>
      <w:ind w:left="1208" w:hanging="357"/>
    </w:pPr>
  </w:style>
  <w:style w:type="paragraph" w:styleId="ListBullet5">
    <w:name w:val="List Bullet 5"/>
    <w:basedOn w:val="Normal"/>
    <w:uiPriority w:val="99"/>
    <w:unhideWhenUsed/>
    <w:rsid w:val="008033C4"/>
    <w:pPr>
      <w:numPr>
        <w:numId w:val="6"/>
      </w:numPr>
      <w:spacing w:before="120"/>
      <w:ind w:left="1491" w:hanging="357"/>
    </w:pPr>
  </w:style>
  <w:style w:type="paragraph" w:styleId="ListContinue">
    <w:name w:val="List Continue"/>
    <w:basedOn w:val="Normal"/>
    <w:uiPriority w:val="99"/>
    <w:unhideWhenUsed/>
    <w:qFormat/>
    <w:rsid w:val="0007137B"/>
    <w:pPr>
      <w:spacing w:before="120"/>
      <w:ind w:left="284"/>
    </w:pPr>
  </w:style>
  <w:style w:type="paragraph" w:styleId="ListContinue2">
    <w:name w:val="List Continue 2"/>
    <w:basedOn w:val="Normal"/>
    <w:uiPriority w:val="99"/>
    <w:unhideWhenUsed/>
    <w:rsid w:val="008033C4"/>
    <w:pPr>
      <w:spacing w:before="120"/>
      <w:ind w:left="567"/>
    </w:pPr>
  </w:style>
  <w:style w:type="paragraph" w:styleId="ListContinue3">
    <w:name w:val="List Continue 3"/>
    <w:basedOn w:val="Normal"/>
    <w:uiPriority w:val="99"/>
    <w:unhideWhenUsed/>
    <w:rsid w:val="0007137B"/>
    <w:pPr>
      <w:spacing w:before="120"/>
      <w:ind w:left="851"/>
    </w:pPr>
  </w:style>
  <w:style w:type="paragraph" w:styleId="ListContinue4">
    <w:name w:val="List Continue 4"/>
    <w:basedOn w:val="Normal"/>
    <w:uiPriority w:val="99"/>
    <w:unhideWhenUsed/>
    <w:rsid w:val="008033C4"/>
    <w:pPr>
      <w:spacing w:before="120"/>
      <w:ind w:left="1134"/>
    </w:pPr>
  </w:style>
  <w:style w:type="paragraph" w:styleId="ListNumber3">
    <w:name w:val="List Number 3"/>
    <w:basedOn w:val="Normal"/>
    <w:uiPriority w:val="99"/>
    <w:unhideWhenUsed/>
    <w:rsid w:val="008033C4"/>
    <w:pPr>
      <w:numPr>
        <w:numId w:val="9"/>
      </w:numPr>
      <w:spacing w:before="120"/>
      <w:ind w:left="924" w:hanging="357"/>
    </w:pPr>
  </w:style>
  <w:style w:type="paragraph" w:styleId="ListNumber4">
    <w:name w:val="List Number 4"/>
    <w:basedOn w:val="Normal"/>
    <w:uiPriority w:val="99"/>
    <w:unhideWhenUsed/>
    <w:rsid w:val="008033C4"/>
    <w:pPr>
      <w:numPr>
        <w:numId w:val="10"/>
      </w:numPr>
      <w:spacing w:before="120"/>
      <w:ind w:left="1208" w:hanging="357"/>
    </w:pPr>
  </w:style>
  <w:style w:type="paragraph" w:styleId="ListNumber5">
    <w:name w:val="List Number 5"/>
    <w:basedOn w:val="Normal"/>
    <w:uiPriority w:val="99"/>
    <w:unhideWhenUsed/>
    <w:rsid w:val="008033C4"/>
    <w:pPr>
      <w:numPr>
        <w:numId w:val="11"/>
      </w:numPr>
      <w:spacing w:before="120"/>
      <w:ind w:left="1491" w:hanging="357"/>
    </w:pPr>
  </w:style>
  <w:style w:type="paragraph" w:customStyle="1" w:styleId="TableHeading">
    <w:name w:val="Table Heading"/>
    <w:basedOn w:val="Tabletext"/>
    <w:link w:val="TableHeadingChar"/>
    <w:qFormat/>
    <w:rsid w:val="00957591"/>
    <w:pPr>
      <w:spacing w:before="60"/>
    </w:pPr>
    <w:rPr>
      <w:color w:val="FFFFFF" w:themeColor="background1"/>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214FBA"/>
    <w:pPr>
      <w:jc w:val="center"/>
    </w:pPr>
  </w:style>
  <w:style w:type="paragraph" w:customStyle="1" w:styleId="TableHeading-right">
    <w:name w:val="Table Heading - right"/>
    <w:basedOn w:val="TableHeading"/>
    <w:link w:val="TableHeading-rightChar"/>
    <w:rsid w:val="00584D8F"/>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214FBA"/>
    <w:rPr>
      <w:rFonts w:ascii="Arial" w:hAnsi="Arial"/>
      <w:sz w:val="18"/>
    </w:rPr>
  </w:style>
  <w:style w:type="character" w:customStyle="1" w:styleId="TableHeadingChar">
    <w:name w:val="Table Heading Char"/>
    <w:basedOn w:val="TabletextChar"/>
    <w:link w:val="TableHeading"/>
    <w:rsid w:val="00957591"/>
    <w:rPr>
      <w:rFonts w:ascii="Arial" w:hAnsi="Arial"/>
      <w:color w:val="FFFFFF" w:themeColor="background1"/>
      <w:sz w:val="18"/>
    </w:rPr>
  </w:style>
  <w:style w:type="character" w:customStyle="1" w:styleId="TableHeading-rightChar">
    <w:name w:val="Table Heading - right Char"/>
    <w:basedOn w:val="TableHeadingChar"/>
    <w:link w:val="TableHeading-right"/>
    <w:rsid w:val="00584D8F"/>
    <w:rPr>
      <w:rFonts w:ascii="Arial" w:eastAsia="Times New Roman" w:hAnsi="Arial" w:cs="Times New Roman"/>
      <w:b w:val="0"/>
      <w:bCs/>
      <w:color w:val="FFFFFF" w:themeColor="background1"/>
      <w:sz w:val="20"/>
      <w:szCs w:val="20"/>
    </w:rPr>
  </w:style>
  <w:style w:type="character" w:customStyle="1" w:styleId="Tabletext-centredChar">
    <w:name w:val="Table text - centred Char"/>
    <w:basedOn w:val="Tabletext-rightChar"/>
    <w:link w:val="Tabletext-centred"/>
    <w:rsid w:val="00214FBA"/>
    <w:rPr>
      <w:rFonts w:ascii="Arial" w:eastAsia="Times New Roman" w:hAnsi="Arial" w:cs="Times New Roman"/>
      <w:sz w:val="18"/>
      <w:szCs w:val="20"/>
    </w:rPr>
  </w:style>
  <w:style w:type="paragraph" w:customStyle="1" w:styleId="TableHeading-centred">
    <w:name w:val="Table Heading - centred"/>
    <w:basedOn w:val="TableHeading"/>
    <w:rsid w:val="00584D8F"/>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Ind w:w="0" w:type="dxa"/>
      <w:tblBorders>
        <w:insideV w:val="single" w:sz="4" w:space="0" w:color="D5D6D2" w:themeColor="background2"/>
      </w:tblBorders>
      <w:tblCellMar>
        <w:top w:w="0" w:type="dxa"/>
        <w:left w:w="108" w:type="dxa"/>
        <w:bottom w:w="0" w:type="dxa"/>
        <w:right w:w="108" w:type="dxa"/>
      </w:tblCellMar>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rsid w:val="00263AC0"/>
    <w:rPr>
      <w:vertAlign w:val="superscript"/>
    </w:rPr>
  </w:style>
  <w:style w:type="paragraph" w:customStyle="1" w:styleId="Numberedparagraph11">
    <w:name w:val="Numbered paragraph 1.1"/>
    <w:basedOn w:val="Numbered11"/>
    <w:qFormat/>
    <w:rsid w:val="00063247"/>
    <w:pPr>
      <w:ind w:left="680" w:hanging="680"/>
      <w:outlineLvl w:val="9"/>
    </w:pPr>
    <w:rPr>
      <w:bCs w:val="0"/>
      <w:color w:val="auto"/>
      <w:sz w:val="22"/>
    </w:rPr>
  </w:style>
  <w:style w:type="character" w:customStyle="1" w:styleId="Numbered1Char">
    <w:name w:val="Numbered 1 Char"/>
    <w:basedOn w:val="Heading1Char"/>
    <w:link w:val="Numbered1"/>
    <w:rsid w:val="00085663"/>
    <w:rPr>
      <w:rFonts w:ascii="Lucida Fax" w:eastAsiaTheme="majorEastAsia" w:hAnsi="Lucida Fax" w:cstheme="majorBidi"/>
      <w:bCs/>
      <w:color w:val="51626F"/>
      <w:sz w:val="32"/>
      <w:szCs w:val="28"/>
    </w:rPr>
  </w:style>
  <w:style w:type="paragraph" w:customStyle="1" w:styleId="Numberedparagraph">
    <w:name w:val="Numbered paragraph"/>
    <w:basedOn w:val="Numberedlist"/>
    <w:rsid w:val="00FE64AE"/>
    <w:pPr>
      <w:spacing w:before="200"/>
      <w:ind w:left="680" w:hanging="680"/>
    </w:pPr>
    <w:rPr>
      <w:rFonts w:eastAsia="Times New Roman" w:cs="Times New Roman"/>
      <w:szCs w:val="20"/>
    </w:rPr>
  </w:style>
  <w:style w:type="paragraph" w:customStyle="1" w:styleId="Heading1notnumber">
    <w:name w:val="Heading 1 not number"/>
    <w:basedOn w:val="Heading1"/>
    <w:qFormat/>
    <w:rsid w:val="00275002"/>
    <w:pPr>
      <w:pageBreakBefore/>
      <w:tabs>
        <w:tab w:val="left" w:pos="680"/>
      </w:tabs>
    </w:pPr>
    <w:rPr>
      <w:rFonts w:ascii="Arial" w:hAnsi="Arial"/>
      <w:b/>
      <w:color w:val="70635A"/>
      <w:sz w:val="36"/>
    </w:rPr>
  </w:style>
  <w:style w:type="paragraph" w:customStyle="1" w:styleId="Heading2notnumbered">
    <w:name w:val="Heading 2 not numbered"/>
    <w:basedOn w:val="Heading2"/>
    <w:link w:val="Heading2notnumberedChar"/>
    <w:rsid w:val="00275002"/>
    <w:pPr>
      <w:tabs>
        <w:tab w:val="left" w:pos="680"/>
      </w:tabs>
    </w:pPr>
    <w:rPr>
      <w:rFonts w:eastAsia="Times New Roman" w:cs="Times New Roman"/>
      <w:color w:val="003591" w:themeColor="text2"/>
      <w:sz w:val="32"/>
      <w:szCs w:val="20"/>
    </w:rPr>
  </w:style>
  <w:style w:type="paragraph" w:customStyle="1" w:styleId="Heading3notnumbered">
    <w:name w:val="Heading 3 not numbered"/>
    <w:basedOn w:val="Heading3"/>
    <w:rsid w:val="00275002"/>
    <w:pPr>
      <w:tabs>
        <w:tab w:val="left" w:pos="1021"/>
      </w:tabs>
    </w:pPr>
    <w:rPr>
      <w:rFonts w:eastAsia="Times New Roman" w:cs="Times New Roman"/>
      <w:color w:val="003591" w:themeColor="text2"/>
      <w:sz w:val="28"/>
      <w:szCs w:val="20"/>
    </w:rPr>
  </w:style>
  <w:style w:type="paragraph" w:customStyle="1" w:styleId="Heading4notnumbered">
    <w:name w:val="Heading 4 not numbered"/>
    <w:basedOn w:val="Heading4"/>
    <w:link w:val="Heading4notnumberedChar"/>
    <w:rsid w:val="00275002"/>
    <w:pPr>
      <w:tabs>
        <w:tab w:val="left" w:pos="1021"/>
      </w:tabs>
    </w:pPr>
    <w:rPr>
      <w:rFonts w:eastAsia="Times New Roman" w:cs="Times New Roman"/>
      <w:i w:val="0"/>
      <w:iCs w:val="0"/>
      <w:szCs w:val="20"/>
    </w:rPr>
  </w:style>
  <w:style w:type="paragraph" w:customStyle="1" w:styleId="Heading5notnumbered">
    <w:name w:val="Heading 5 not numbered"/>
    <w:basedOn w:val="Heading5"/>
    <w:rsid w:val="00275002"/>
    <w:pPr>
      <w:tabs>
        <w:tab w:val="left" w:pos="1361"/>
      </w:tabs>
    </w:pPr>
    <w:rPr>
      <w:rFonts w:eastAsia="Times New Roman" w:cs="Times New Roman"/>
      <w:bCs/>
      <w:szCs w:val="20"/>
    </w:rPr>
  </w:style>
  <w:style w:type="paragraph" w:customStyle="1" w:styleId="Heading6notnumbered">
    <w:name w:val="Heading 6 not numbered"/>
    <w:basedOn w:val="Heading6"/>
    <w:rsid w:val="00275002"/>
    <w:pPr>
      <w:tabs>
        <w:tab w:val="left" w:pos="1361"/>
      </w:tabs>
    </w:pPr>
    <w:rPr>
      <w:rFonts w:eastAsia="Times New Roman" w:cs="Times New Roman"/>
      <w:bCs/>
      <w:color w:val="000000" w:themeColor="text1"/>
      <w:szCs w:val="20"/>
    </w:rPr>
  </w:style>
  <w:style w:type="paragraph" w:styleId="Index1">
    <w:name w:val="index 1"/>
    <w:basedOn w:val="Normal"/>
    <w:next w:val="Normal"/>
    <w:autoRedefine/>
    <w:uiPriority w:val="99"/>
    <w:unhideWhenUsed/>
    <w:rsid w:val="00275002"/>
    <w:pPr>
      <w:spacing w:before="0" w:line="240" w:lineRule="auto"/>
      <w:ind w:left="220" w:hanging="220"/>
    </w:pPr>
  </w:style>
  <w:style w:type="paragraph" w:styleId="Index2">
    <w:name w:val="index 2"/>
    <w:basedOn w:val="Normal"/>
    <w:next w:val="Normal"/>
    <w:autoRedefine/>
    <w:uiPriority w:val="99"/>
    <w:unhideWhenUsed/>
    <w:rsid w:val="00275002"/>
    <w:pPr>
      <w:spacing w:before="0" w:line="240" w:lineRule="auto"/>
      <w:ind w:left="440" w:hanging="220"/>
    </w:pPr>
  </w:style>
  <w:style w:type="paragraph" w:customStyle="1" w:styleId="Heading7notnumbered">
    <w:name w:val="Heading 7 not numbered"/>
    <w:basedOn w:val="Heading7"/>
    <w:rsid w:val="00275002"/>
    <w:pPr>
      <w:tabs>
        <w:tab w:val="left" w:pos="1701"/>
      </w:tabs>
    </w:pPr>
    <w:rPr>
      <w:rFonts w:eastAsia="Times New Roman" w:cs="Times New Roman"/>
      <w:color w:val="auto"/>
      <w:szCs w:val="20"/>
    </w:rPr>
  </w:style>
  <w:style w:type="paragraph" w:customStyle="1" w:styleId="Heading8notnumbered">
    <w:name w:val="Heading 8 not numbered"/>
    <w:basedOn w:val="Heading8"/>
    <w:rsid w:val="00275002"/>
    <w:pPr>
      <w:tabs>
        <w:tab w:val="left" w:pos="1701"/>
      </w:tabs>
    </w:pPr>
    <w:rPr>
      <w:rFonts w:eastAsia="Times New Roman" w:cs="Times New Roman"/>
    </w:rPr>
  </w:style>
  <w:style w:type="paragraph" w:styleId="Salutation">
    <w:name w:val="Salutation"/>
    <w:basedOn w:val="Normal"/>
    <w:next w:val="Normal"/>
    <w:link w:val="SalutationChar"/>
    <w:uiPriority w:val="99"/>
    <w:unhideWhenUsed/>
    <w:rsid w:val="00275002"/>
  </w:style>
  <w:style w:type="character" w:customStyle="1" w:styleId="SalutationChar">
    <w:name w:val="Salutation Char"/>
    <w:basedOn w:val="DefaultParagraphFont"/>
    <w:link w:val="Salutation"/>
    <w:uiPriority w:val="99"/>
    <w:rsid w:val="00275002"/>
    <w:rPr>
      <w:rFonts w:ascii="Arial" w:hAnsi="Arial"/>
    </w:rPr>
  </w:style>
  <w:style w:type="paragraph" w:customStyle="1" w:styleId="Heading9notnumbered">
    <w:name w:val="Heading 9 not numbered"/>
    <w:basedOn w:val="Heading9"/>
    <w:rsid w:val="00275002"/>
    <w:pPr>
      <w:tabs>
        <w:tab w:val="left" w:pos="1701"/>
      </w:tabs>
    </w:pPr>
    <w:rPr>
      <w:rFonts w:eastAsia="Times New Roman" w:cs="Times New Roman"/>
      <w:color w:val="auto"/>
    </w:rPr>
  </w:style>
  <w:style w:type="paragraph" w:customStyle="1" w:styleId="Copyright">
    <w:name w:val="Copyright"/>
    <w:basedOn w:val="Normal"/>
    <w:next w:val="Normal"/>
    <w:link w:val="CopyrightChar"/>
    <w:rsid w:val="00275002"/>
    <w:pPr>
      <w:spacing w:line="288" w:lineRule="auto"/>
    </w:pPr>
    <w:rPr>
      <w:sz w:val="20"/>
      <w:szCs w:val="20"/>
    </w:rPr>
  </w:style>
  <w:style w:type="paragraph" w:customStyle="1" w:styleId="ReportTitle0">
    <w:name w:val="Report Title"/>
    <w:basedOn w:val="Normal"/>
    <w:next w:val="Normal"/>
    <w:link w:val="ReportTitleChar0"/>
    <w:rsid w:val="00275002"/>
    <w:pPr>
      <w:tabs>
        <w:tab w:val="center" w:pos="4598"/>
        <w:tab w:val="right" w:pos="9026"/>
      </w:tabs>
      <w:spacing w:before="240"/>
      <w:contextualSpacing/>
      <w:jc w:val="center"/>
    </w:pPr>
    <w:rPr>
      <w:rFonts w:eastAsiaTheme="majorEastAsia" w:cstheme="majorBidi"/>
      <w:b/>
      <w:noProof/>
      <w:color w:val="51626F"/>
      <w:sz w:val="72"/>
      <w:szCs w:val="72"/>
      <w:lang w:eastAsia="en-AU"/>
    </w:rPr>
  </w:style>
  <w:style w:type="numbering" w:customStyle="1" w:styleId="AlphanumericList">
    <w:name w:val="Alphanumeric List"/>
    <w:uiPriority w:val="99"/>
    <w:rsid w:val="00275002"/>
    <w:pPr>
      <w:numPr>
        <w:numId w:val="16"/>
      </w:numPr>
    </w:pPr>
  </w:style>
  <w:style w:type="table" w:customStyle="1" w:styleId="AERTable-Text">
    <w:name w:val="AER Table - Text"/>
    <w:basedOn w:val="TableNormal"/>
    <w:uiPriority w:val="99"/>
    <w:rsid w:val="00A81EF8"/>
    <w:pPr>
      <w:spacing w:before="120" w:after="120"/>
    </w:pPr>
    <w:rPr>
      <w:rFonts w:ascii="Arial" w:hAnsi="Arial"/>
      <w:sz w:val="18"/>
    </w:rPr>
    <w:tblPr>
      <w:tblStyleRowBandSize w:val="1"/>
      <w:tblInd w:w="0" w:type="dxa"/>
      <w:tblBorders>
        <w:bottom w:val="single" w:sz="4" w:space="0" w:color="auto"/>
      </w:tblBorders>
      <w:tblCellMar>
        <w:top w:w="0" w:type="dxa"/>
        <w:left w:w="108" w:type="dxa"/>
        <w:bottom w:w="0" w:type="dxa"/>
        <w:right w:w="108" w:type="dxa"/>
      </w:tblCellMar>
    </w:tblPr>
    <w:trPr>
      <w:cantSplit/>
    </w:trPr>
    <w:tblStylePr w:type="firstRow">
      <w:pPr>
        <w:wordWrap/>
        <w:spacing w:beforeLines="0" w:before="240" w:beforeAutospacing="0" w:afterLines="0" w:after="120" w:afterAutospacing="0"/>
      </w:pPr>
      <w:rPr>
        <w:rFonts w:ascii="Arial" w:hAnsi="Arial"/>
        <w:b/>
        <w:color w:val="FFFFFF" w:themeColor="background1"/>
        <w:sz w:val="24"/>
        <w14:numSpacing w14:val="tabular"/>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0"/>
    <w:link w:val="ReportDateChar"/>
    <w:rsid w:val="00275002"/>
    <w:rPr>
      <w:b w:val="0"/>
      <w:sz w:val="36"/>
      <w:szCs w:val="36"/>
    </w:rPr>
  </w:style>
  <w:style w:type="paragraph" w:customStyle="1" w:styleId="ReportSubtitle">
    <w:name w:val="Report Subtitle"/>
    <w:basedOn w:val="ReportTitle0"/>
    <w:link w:val="ReportSubtitleChar"/>
    <w:rsid w:val="00275002"/>
    <w:rPr>
      <w:sz w:val="56"/>
      <w:szCs w:val="56"/>
    </w:rPr>
  </w:style>
  <w:style w:type="character" w:customStyle="1" w:styleId="ReportTitleChar0">
    <w:name w:val="Report Title Char"/>
    <w:basedOn w:val="Heading1Char"/>
    <w:link w:val="ReportTitle0"/>
    <w:rsid w:val="00275002"/>
    <w:rPr>
      <w:rFonts w:ascii="Arial" w:eastAsiaTheme="majorEastAsia" w:hAnsi="Arial" w:cstheme="majorBidi"/>
      <w:b/>
      <w:bCs w:val="0"/>
      <w:noProof/>
      <w:color w:val="51626F"/>
      <w:sz w:val="72"/>
      <w:szCs w:val="72"/>
      <w:lang w:eastAsia="en-AU"/>
    </w:rPr>
  </w:style>
  <w:style w:type="character" w:customStyle="1" w:styleId="ReportDateChar">
    <w:name w:val="Report Date Char"/>
    <w:basedOn w:val="ReportTitleChar0"/>
    <w:link w:val="ReportDate"/>
    <w:rsid w:val="00275002"/>
    <w:rPr>
      <w:rFonts w:ascii="Arial" w:eastAsiaTheme="majorEastAsia" w:hAnsi="Arial" w:cstheme="majorBidi"/>
      <w:b w:val="0"/>
      <w:bCs w:val="0"/>
      <w:noProof/>
      <w:color w:val="51626F"/>
      <w:sz w:val="36"/>
      <w:szCs w:val="36"/>
      <w:lang w:eastAsia="en-AU"/>
    </w:rPr>
  </w:style>
  <w:style w:type="character" w:customStyle="1" w:styleId="ReportSubtitleChar">
    <w:name w:val="Report Subtitle Char"/>
    <w:basedOn w:val="ReportTitleChar0"/>
    <w:link w:val="ReportSubtitle"/>
    <w:rsid w:val="00275002"/>
    <w:rPr>
      <w:rFonts w:ascii="Arial" w:eastAsiaTheme="majorEastAsia" w:hAnsi="Arial" w:cstheme="majorBidi"/>
      <w:b/>
      <w:bCs w:val="0"/>
      <w:noProof/>
      <w:color w:val="51626F"/>
      <w:sz w:val="56"/>
      <w:szCs w:val="56"/>
      <w:lang w:eastAsia="en-AU"/>
    </w:rPr>
  </w:style>
  <w:style w:type="character" w:customStyle="1" w:styleId="CopyrightChar">
    <w:name w:val="Copyright Char"/>
    <w:basedOn w:val="DefaultParagraphFont"/>
    <w:link w:val="Copyright"/>
    <w:rsid w:val="00275002"/>
    <w:rPr>
      <w:rFonts w:ascii="Arial" w:hAnsi="Arial"/>
      <w:sz w:val="20"/>
      <w:szCs w:val="20"/>
    </w:rPr>
  </w:style>
  <w:style w:type="paragraph" w:styleId="BodyTextIndent">
    <w:name w:val="Body Text Indent"/>
    <w:basedOn w:val="Normal"/>
    <w:link w:val="BodyTextIndentChar"/>
    <w:uiPriority w:val="99"/>
    <w:semiHidden/>
    <w:unhideWhenUsed/>
    <w:rsid w:val="00275002"/>
    <w:pPr>
      <w:spacing w:after="120"/>
      <w:ind w:left="283"/>
    </w:pPr>
  </w:style>
  <w:style w:type="character" w:customStyle="1" w:styleId="BodyTextIndentChar">
    <w:name w:val="Body Text Indent Char"/>
    <w:basedOn w:val="DefaultParagraphFont"/>
    <w:link w:val="BodyTextIndent"/>
    <w:uiPriority w:val="99"/>
    <w:semiHidden/>
    <w:rsid w:val="00275002"/>
    <w:rPr>
      <w:rFonts w:ascii="Arial" w:hAnsi="Arial"/>
    </w:rPr>
  </w:style>
  <w:style w:type="paragraph" w:styleId="BodyTextFirstIndent2">
    <w:name w:val="Body Text First Indent 2"/>
    <w:basedOn w:val="BodyTextIndent"/>
    <w:link w:val="BodyTextFirstIndent2Char"/>
    <w:uiPriority w:val="99"/>
    <w:unhideWhenUsed/>
    <w:rsid w:val="00275002"/>
    <w:pPr>
      <w:spacing w:after="0"/>
      <w:ind w:left="360" w:firstLine="360"/>
    </w:pPr>
  </w:style>
  <w:style w:type="character" w:customStyle="1" w:styleId="BodyTextFirstIndent2Char">
    <w:name w:val="Body Text First Indent 2 Char"/>
    <w:basedOn w:val="BodyTextIndentChar"/>
    <w:link w:val="BodyTextFirstIndent2"/>
    <w:uiPriority w:val="99"/>
    <w:rsid w:val="00275002"/>
    <w:rPr>
      <w:rFonts w:ascii="Arial" w:hAnsi="Arial"/>
    </w:rPr>
  </w:style>
  <w:style w:type="paragraph" w:styleId="Closing">
    <w:name w:val="Closing"/>
    <w:basedOn w:val="Normal"/>
    <w:link w:val="ClosingChar"/>
    <w:uiPriority w:val="99"/>
    <w:unhideWhenUsed/>
    <w:rsid w:val="00275002"/>
    <w:pPr>
      <w:spacing w:before="0" w:line="240" w:lineRule="auto"/>
      <w:ind w:left="4252"/>
    </w:pPr>
  </w:style>
  <w:style w:type="character" w:customStyle="1" w:styleId="ClosingChar">
    <w:name w:val="Closing Char"/>
    <w:basedOn w:val="DefaultParagraphFont"/>
    <w:link w:val="Closing"/>
    <w:uiPriority w:val="99"/>
    <w:rsid w:val="00275002"/>
    <w:rPr>
      <w:rFonts w:ascii="Arial" w:hAnsi="Arial"/>
    </w:rPr>
  </w:style>
  <w:style w:type="paragraph" w:styleId="BodyText">
    <w:name w:val="Body Text"/>
    <w:basedOn w:val="Normal"/>
    <w:link w:val="BodyTextChar"/>
    <w:uiPriority w:val="99"/>
    <w:semiHidden/>
    <w:unhideWhenUsed/>
    <w:rsid w:val="00275002"/>
    <w:pPr>
      <w:spacing w:after="120"/>
    </w:pPr>
  </w:style>
  <w:style w:type="character" w:customStyle="1" w:styleId="BodyTextChar">
    <w:name w:val="Body Text Char"/>
    <w:basedOn w:val="DefaultParagraphFont"/>
    <w:link w:val="BodyText"/>
    <w:uiPriority w:val="99"/>
    <w:semiHidden/>
    <w:rsid w:val="00275002"/>
    <w:rPr>
      <w:rFonts w:ascii="Arial" w:hAnsi="Arial"/>
    </w:rPr>
  </w:style>
  <w:style w:type="paragraph" w:styleId="BodyTextFirstIndent">
    <w:name w:val="Body Text First Indent"/>
    <w:basedOn w:val="Normal"/>
    <w:link w:val="BodyTextFirstIndentChar"/>
    <w:uiPriority w:val="99"/>
    <w:unhideWhenUsed/>
    <w:rsid w:val="00275002"/>
    <w:pPr>
      <w:ind w:firstLine="360"/>
    </w:pPr>
  </w:style>
  <w:style w:type="character" w:customStyle="1" w:styleId="BodyTextFirstIndentChar">
    <w:name w:val="Body Text First Indent Char"/>
    <w:basedOn w:val="BodyTextChar"/>
    <w:link w:val="BodyTextFirstIndent"/>
    <w:uiPriority w:val="99"/>
    <w:rsid w:val="00275002"/>
    <w:rPr>
      <w:rFonts w:ascii="Arial" w:hAnsi="Arial"/>
    </w:rPr>
  </w:style>
  <w:style w:type="paragraph" w:styleId="BodyText2">
    <w:name w:val="Body Text 2"/>
    <w:basedOn w:val="Normal"/>
    <w:link w:val="BodyText2Char"/>
    <w:uiPriority w:val="99"/>
    <w:unhideWhenUsed/>
    <w:rsid w:val="00275002"/>
    <w:pPr>
      <w:spacing w:after="120" w:line="480" w:lineRule="auto"/>
    </w:pPr>
  </w:style>
  <w:style w:type="character" w:customStyle="1" w:styleId="BodyText2Char">
    <w:name w:val="Body Text 2 Char"/>
    <w:basedOn w:val="DefaultParagraphFont"/>
    <w:link w:val="BodyText2"/>
    <w:uiPriority w:val="99"/>
    <w:rsid w:val="00275002"/>
    <w:rPr>
      <w:rFonts w:ascii="Arial" w:hAnsi="Arial"/>
    </w:rPr>
  </w:style>
  <w:style w:type="paragraph" w:customStyle="1" w:styleId="ListLegal">
    <w:name w:val="List Legal"/>
    <w:basedOn w:val="ListParagraph"/>
    <w:rsid w:val="00275002"/>
    <w:pPr>
      <w:numPr>
        <w:numId w:val="18"/>
      </w:numPr>
      <w:tabs>
        <w:tab w:val="left" w:pos="680"/>
      </w:tabs>
      <w:ind w:left="680" w:hanging="340"/>
    </w:pPr>
  </w:style>
  <w:style w:type="character" w:styleId="CommentReference">
    <w:name w:val="annotation reference"/>
    <w:basedOn w:val="DefaultParagraphFont"/>
    <w:uiPriority w:val="99"/>
    <w:unhideWhenUsed/>
    <w:rsid w:val="00275002"/>
    <w:rPr>
      <w:sz w:val="16"/>
      <w:szCs w:val="16"/>
    </w:rPr>
  </w:style>
  <w:style w:type="paragraph" w:customStyle="1" w:styleId="ListLegal2">
    <w:name w:val="List Legal 2"/>
    <w:basedOn w:val="ListLegal"/>
    <w:rsid w:val="00275002"/>
    <w:pPr>
      <w:tabs>
        <w:tab w:val="clear" w:pos="680"/>
        <w:tab w:val="left" w:pos="1021"/>
      </w:tabs>
      <w:ind w:left="1020"/>
    </w:pPr>
  </w:style>
  <w:style w:type="paragraph" w:customStyle="1" w:styleId="ListLegal3">
    <w:name w:val="List Legal 3"/>
    <w:basedOn w:val="ListNumber3"/>
    <w:rsid w:val="00275002"/>
    <w:pPr>
      <w:numPr>
        <w:numId w:val="19"/>
      </w:numPr>
      <w:tabs>
        <w:tab w:val="left" w:pos="1361"/>
      </w:tabs>
      <w:ind w:left="1361" w:hanging="340"/>
    </w:pPr>
  </w:style>
  <w:style w:type="paragraph" w:customStyle="1" w:styleId="ListLegal4">
    <w:name w:val="List Legal 4"/>
    <w:basedOn w:val="ListLegal3"/>
    <w:rsid w:val="00275002"/>
    <w:pPr>
      <w:tabs>
        <w:tab w:val="clear" w:pos="1361"/>
        <w:tab w:val="left" w:pos="1701"/>
      </w:tabs>
      <w:ind w:left="1701"/>
    </w:pPr>
  </w:style>
  <w:style w:type="paragraph" w:customStyle="1" w:styleId="ListLegal5">
    <w:name w:val="List Legal 5"/>
    <w:basedOn w:val="ListLegal4"/>
    <w:rsid w:val="00275002"/>
    <w:pPr>
      <w:tabs>
        <w:tab w:val="clear" w:pos="1701"/>
        <w:tab w:val="left" w:pos="2041"/>
      </w:tabs>
      <w:ind w:left="2041"/>
    </w:pPr>
  </w:style>
  <w:style w:type="paragraph" w:styleId="Date">
    <w:name w:val="Date"/>
    <w:basedOn w:val="Normal"/>
    <w:next w:val="Normal"/>
    <w:link w:val="DateChar"/>
    <w:uiPriority w:val="99"/>
    <w:unhideWhenUsed/>
    <w:rsid w:val="00275002"/>
  </w:style>
  <w:style w:type="character" w:customStyle="1" w:styleId="DateChar">
    <w:name w:val="Date Char"/>
    <w:basedOn w:val="DefaultParagraphFont"/>
    <w:link w:val="Date"/>
    <w:uiPriority w:val="99"/>
    <w:rsid w:val="00275002"/>
    <w:rPr>
      <w:rFonts w:ascii="Arial" w:hAnsi="Arial"/>
    </w:rPr>
  </w:style>
  <w:style w:type="paragraph" w:styleId="DocumentMap">
    <w:name w:val="Document Map"/>
    <w:basedOn w:val="Normal"/>
    <w:link w:val="DocumentMapChar"/>
    <w:unhideWhenUsed/>
    <w:rsid w:val="00275002"/>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rsid w:val="00275002"/>
    <w:rPr>
      <w:rFonts w:ascii="Tahoma" w:hAnsi="Tahoma" w:cs="Tahoma"/>
      <w:sz w:val="16"/>
      <w:szCs w:val="16"/>
    </w:rPr>
  </w:style>
  <w:style w:type="paragraph" w:styleId="E-mailSignature">
    <w:name w:val="E-mail Signature"/>
    <w:basedOn w:val="Normal"/>
    <w:link w:val="E-mailSignatureChar"/>
    <w:uiPriority w:val="99"/>
    <w:unhideWhenUsed/>
    <w:rsid w:val="00275002"/>
    <w:pPr>
      <w:spacing w:before="0" w:line="240" w:lineRule="auto"/>
    </w:pPr>
  </w:style>
  <w:style w:type="character" w:customStyle="1" w:styleId="E-mailSignatureChar">
    <w:name w:val="E-mail Signature Char"/>
    <w:basedOn w:val="DefaultParagraphFont"/>
    <w:link w:val="E-mailSignature"/>
    <w:uiPriority w:val="99"/>
    <w:rsid w:val="00275002"/>
    <w:rPr>
      <w:rFonts w:ascii="Arial" w:hAnsi="Arial"/>
    </w:rPr>
  </w:style>
  <w:style w:type="paragraph" w:styleId="EnvelopeAddress">
    <w:name w:val="envelope address"/>
    <w:basedOn w:val="Normal"/>
    <w:uiPriority w:val="99"/>
    <w:unhideWhenUsed/>
    <w:rsid w:val="00275002"/>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275002"/>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nhideWhenUsed/>
    <w:rsid w:val="00275002"/>
    <w:rPr>
      <w:color w:val="800080" w:themeColor="followedHyperlink"/>
      <w:u w:val="single"/>
    </w:rPr>
  </w:style>
  <w:style w:type="paragraph" w:styleId="Index3">
    <w:name w:val="index 3"/>
    <w:basedOn w:val="Normal"/>
    <w:next w:val="Normal"/>
    <w:autoRedefine/>
    <w:uiPriority w:val="99"/>
    <w:unhideWhenUsed/>
    <w:rsid w:val="00275002"/>
    <w:pPr>
      <w:spacing w:before="0" w:line="240" w:lineRule="auto"/>
      <w:ind w:left="660" w:hanging="220"/>
    </w:pPr>
  </w:style>
  <w:style w:type="paragraph" w:styleId="Index4">
    <w:name w:val="index 4"/>
    <w:basedOn w:val="Normal"/>
    <w:next w:val="Normal"/>
    <w:autoRedefine/>
    <w:uiPriority w:val="99"/>
    <w:unhideWhenUsed/>
    <w:rsid w:val="00275002"/>
    <w:pPr>
      <w:spacing w:before="0" w:line="240" w:lineRule="auto"/>
      <w:ind w:left="880" w:hanging="220"/>
    </w:pPr>
  </w:style>
  <w:style w:type="paragraph" w:styleId="Index5">
    <w:name w:val="index 5"/>
    <w:basedOn w:val="Normal"/>
    <w:next w:val="Normal"/>
    <w:autoRedefine/>
    <w:uiPriority w:val="99"/>
    <w:unhideWhenUsed/>
    <w:rsid w:val="00275002"/>
    <w:pPr>
      <w:spacing w:before="0" w:line="240" w:lineRule="auto"/>
      <w:ind w:left="1100" w:hanging="220"/>
    </w:pPr>
  </w:style>
  <w:style w:type="paragraph" w:styleId="IndexHeading">
    <w:name w:val="index heading"/>
    <w:basedOn w:val="Normal"/>
    <w:next w:val="Index1"/>
    <w:uiPriority w:val="99"/>
    <w:unhideWhenUsed/>
    <w:rsid w:val="00275002"/>
    <w:rPr>
      <w:rFonts w:asciiTheme="majorHAnsi" w:eastAsiaTheme="majorEastAsia" w:hAnsiTheme="majorHAnsi" w:cstheme="majorBidi"/>
      <w:b/>
      <w:bCs/>
    </w:rPr>
  </w:style>
  <w:style w:type="character" w:styleId="IntenseEmphasis">
    <w:name w:val="Intense Emphasis"/>
    <w:basedOn w:val="DefaultParagraphFont"/>
    <w:uiPriority w:val="21"/>
    <w:unhideWhenUsed/>
    <w:rsid w:val="00275002"/>
    <w:rPr>
      <w:b/>
      <w:bCs/>
      <w:i/>
      <w:iCs/>
      <w:color w:val="51626F" w:themeColor="accent1"/>
    </w:rPr>
  </w:style>
  <w:style w:type="paragraph" w:styleId="IntenseQuote">
    <w:name w:val="Intense Quote"/>
    <w:basedOn w:val="Normal"/>
    <w:next w:val="Normal"/>
    <w:link w:val="IntenseQuoteChar"/>
    <w:uiPriority w:val="30"/>
    <w:unhideWhenUsed/>
    <w:rsid w:val="00275002"/>
    <w:pPr>
      <w:pBdr>
        <w:bottom w:val="single" w:sz="4" w:space="4" w:color="51626F" w:themeColor="accent1"/>
      </w:pBdr>
      <w:spacing w:after="280"/>
      <w:ind w:left="936" w:right="936"/>
    </w:pPr>
    <w:rPr>
      <w:b/>
      <w:bCs/>
      <w:i/>
      <w:iCs/>
      <w:color w:val="51626F" w:themeColor="accent1"/>
    </w:rPr>
  </w:style>
  <w:style w:type="character" w:customStyle="1" w:styleId="IntenseQuoteChar">
    <w:name w:val="Intense Quote Char"/>
    <w:basedOn w:val="DefaultParagraphFont"/>
    <w:link w:val="IntenseQuote"/>
    <w:uiPriority w:val="30"/>
    <w:rsid w:val="00275002"/>
    <w:rPr>
      <w:rFonts w:ascii="Arial" w:hAnsi="Arial"/>
      <w:b/>
      <w:bCs/>
      <w:i/>
      <w:iCs/>
      <w:color w:val="51626F" w:themeColor="accent1"/>
    </w:rPr>
  </w:style>
  <w:style w:type="character" w:styleId="IntenseReference">
    <w:name w:val="Intense Reference"/>
    <w:basedOn w:val="DefaultParagraphFont"/>
    <w:uiPriority w:val="32"/>
    <w:unhideWhenUsed/>
    <w:rsid w:val="00275002"/>
    <w:rPr>
      <w:b/>
      <w:bCs/>
      <w:smallCaps/>
      <w:color w:val="4F2D7D" w:themeColor="accent2"/>
      <w:spacing w:val="5"/>
      <w:u w:val="single"/>
    </w:rPr>
  </w:style>
  <w:style w:type="character" w:styleId="LineNumber">
    <w:name w:val="line number"/>
    <w:basedOn w:val="DefaultParagraphFont"/>
    <w:uiPriority w:val="99"/>
    <w:unhideWhenUsed/>
    <w:rsid w:val="00275002"/>
  </w:style>
  <w:style w:type="paragraph" w:customStyle="1" w:styleId="Listalphabet2">
    <w:name w:val="List alphabet 2"/>
    <w:basedOn w:val="ListNumber2"/>
    <w:rsid w:val="00275002"/>
    <w:pPr>
      <w:numPr>
        <w:numId w:val="17"/>
      </w:numPr>
      <w:tabs>
        <w:tab w:val="left" w:pos="680"/>
      </w:tabs>
      <w:spacing w:line="276" w:lineRule="auto"/>
      <w:ind w:left="680" w:hanging="340"/>
    </w:pPr>
  </w:style>
  <w:style w:type="paragraph" w:customStyle="1" w:styleId="Listalphabet3">
    <w:name w:val="List alphabet 3"/>
    <w:basedOn w:val="Listalphabet2"/>
    <w:rsid w:val="00275002"/>
    <w:pPr>
      <w:tabs>
        <w:tab w:val="clear" w:pos="680"/>
        <w:tab w:val="left" w:pos="1021"/>
      </w:tabs>
      <w:ind w:left="1020"/>
    </w:pPr>
  </w:style>
  <w:style w:type="paragraph" w:customStyle="1" w:styleId="Listalphabet4">
    <w:name w:val="List alphabet 4"/>
    <w:basedOn w:val="Listalphabet3"/>
    <w:rsid w:val="00275002"/>
    <w:pPr>
      <w:tabs>
        <w:tab w:val="clear" w:pos="1021"/>
        <w:tab w:val="left" w:pos="1361"/>
      </w:tabs>
      <w:ind w:left="1361"/>
    </w:pPr>
  </w:style>
  <w:style w:type="paragraph" w:customStyle="1" w:styleId="Listalphabet5">
    <w:name w:val="List alphabet 5"/>
    <w:basedOn w:val="Listalphabet4"/>
    <w:rsid w:val="00275002"/>
    <w:pPr>
      <w:tabs>
        <w:tab w:val="clear" w:pos="1361"/>
        <w:tab w:val="left" w:pos="1701"/>
      </w:tabs>
      <w:ind w:left="1701"/>
    </w:pPr>
  </w:style>
  <w:style w:type="paragraph" w:styleId="ListContinue5">
    <w:name w:val="List Continue 5"/>
    <w:basedOn w:val="Normal"/>
    <w:uiPriority w:val="99"/>
    <w:unhideWhenUsed/>
    <w:rsid w:val="00275002"/>
    <w:pPr>
      <w:tabs>
        <w:tab w:val="left" w:pos="1701"/>
      </w:tabs>
      <w:spacing w:after="120"/>
      <w:ind w:left="1701"/>
      <w:contextualSpacing/>
    </w:pPr>
  </w:style>
  <w:style w:type="paragraph" w:styleId="Signature">
    <w:name w:val="Signature"/>
    <w:basedOn w:val="Normal"/>
    <w:link w:val="SignatureChar"/>
    <w:uiPriority w:val="99"/>
    <w:unhideWhenUsed/>
    <w:rsid w:val="00275002"/>
    <w:pPr>
      <w:spacing w:before="0" w:line="240" w:lineRule="auto"/>
      <w:ind w:left="4252"/>
    </w:pPr>
  </w:style>
  <w:style w:type="character" w:customStyle="1" w:styleId="SignatureChar">
    <w:name w:val="Signature Char"/>
    <w:basedOn w:val="DefaultParagraphFont"/>
    <w:link w:val="Signature"/>
    <w:uiPriority w:val="99"/>
    <w:rsid w:val="00275002"/>
    <w:rPr>
      <w:rFonts w:ascii="Arial" w:hAnsi="Arial"/>
    </w:rPr>
  </w:style>
  <w:style w:type="character" w:styleId="SubtleEmphasis">
    <w:name w:val="Subtle Emphasis"/>
    <w:basedOn w:val="DefaultParagraphFont"/>
    <w:uiPriority w:val="19"/>
    <w:unhideWhenUsed/>
    <w:rsid w:val="00275002"/>
    <w:rPr>
      <w:b/>
      <w:i/>
      <w:iCs/>
      <w:color w:val="51626F" w:themeColor="accent1"/>
    </w:rPr>
  </w:style>
  <w:style w:type="character" w:styleId="SubtleReference">
    <w:name w:val="Subtle Reference"/>
    <w:basedOn w:val="DefaultParagraphFont"/>
    <w:uiPriority w:val="31"/>
    <w:unhideWhenUsed/>
    <w:rsid w:val="00275002"/>
    <w:rPr>
      <w:smallCaps/>
      <w:color w:val="4F2D7D" w:themeColor="accent2"/>
      <w:u w:val="single"/>
    </w:rPr>
  </w:style>
  <w:style w:type="paragraph" w:customStyle="1" w:styleId="Quotes">
    <w:name w:val="Quotes"/>
    <w:basedOn w:val="Normal"/>
    <w:rsid w:val="00275002"/>
    <w:pPr>
      <w:spacing w:before="120" w:after="120" w:line="240" w:lineRule="auto"/>
      <w:ind w:left="567" w:right="793"/>
    </w:pPr>
    <w:rPr>
      <w:rFonts w:eastAsia="Times New Roman" w:cs="Times New Roman"/>
      <w:sz w:val="20"/>
      <w:szCs w:val="20"/>
      <w:lang w:eastAsia="en-AU"/>
    </w:rPr>
  </w:style>
  <w:style w:type="character" w:styleId="PageNumber">
    <w:name w:val="page number"/>
    <w:basedOn w:val="DefaultParagraphFont"/>
    <w:rsid w:val="00275002"/>
  </w:style>
  <w:style w:type="character" w:styleId="PlaceholderText">
    <w:name w:val="Placeholder Text"/>
    <w:basedOn w:val="DefaultParagraphFont"/>
    <w:uiPriority w:val="99"/>
    <w:semiHidden/>
    <w:rsid w:val="00275002"/>
    <w:rPr>
      <w:color w:val="808080"/>
    </w:rPr>
  </w:style>
  <w:style w:type="paragraph" w:customStyle="1" w:styleId="StyleCopyrightBefore0pt">
    <w:name w:val="Style Copyright + Before:  0 pt"/>
    <w:basedOn w:val="Copyright"/>
    <w:rsid w:val="00275002"/>
    <w:pPr>
      <w:spacing w:before="120"/>
    </w:pPr>
    <w:rPr>
      <w:rFonts w:eastAsia="Times New Roman" w:cs="Times New Roman"/>
    </w:rPr>
  </w:style>
  <w:style w:type="character" w:customStyle="1" w:styleId="Bold">
    <w:name w:val="Bold"/>
    <w:basedOn w:val="DefaultParagraphFont"/>
    <w:rsid w:val="00275002"/>
    <w:rPr>
      <w:b/>
      <w:bCs/>
    </w:rPr>
  </w:style>
  <w:style w:type="paragraph" w:customStyle="1" w:styleId="LegalNumbering">
    <w:name w:val="Legal Numbering"/>
    <w:basedOn w:val="Normal"/>
    <w:rsid w:val="00275002"/>
    <w:pPr>
      <w:numPr>
        <w:numId w:val="20"/>
      </w:numPr>
      <w:tabs>
        <w:tab w:val="left" w:pos="680"/>
        <w:tab w:val="left" w:pos="1021"/>
        <w:tab w:val="left" w:pos="1361"/>
      </w:tabs>
      <w:spacing w:line="240" w:lineRule="auto"/>
    </w:pPr>
  </w:style>
  <w:style w:type="character" w:customStyle="1" w:styleId="AERtextsize8">
    <w:name w:val="AER text size 8"/>
    <w:basedOn w:val="DefaultParagraphFont"/>
    <w:uiPriority w:val="1"/>
    <w:qFormat/>
    <w:rsid w:val="00275002"/>
    <w:rPr>
      <w:rFonts w:ascii="Arial" w:hAnsi="Arial"/>
      <w:color w:val="auto"/>
      <w:sz w:val="16"/>
    </w:rPr>
  </w:style>
  <w:style w:type="paragraph" w:customStyle="1" w:styleId="NumberedChapterTitle">
    <w:name w:val="Numbered Chapter Title"/>
    <w:basedOn w:val="Chaptertitle"/>
    <w:qFormat/>
    <w:rsid w:val="00275002"/>
    <w:pPr>
      <w:pageBreakBefore/>
      <w:numPr>
        <w:numId w:val="21"/>
      </w:numPr>
      <w:tabs>
        <w:tab w:val="left" w:pos="680"/>
      </w:tabs>
      <w:ind w:left="680" w:hanging="680"/>
      <w:outlineLvl w:val="0"/>
    </w:pPr>
    <w:rPr>
      <w:rFonts w:ascii="Arial" w:hAnsi="Arial"/>
      <w:color w:val="000000" w:themeColor="text1"/>
    </w:rPr>
  </w:style>
  <w:style w:type="paragraph" w:styleId="Revision">
    <w:name w:val="Revision"/>
    <w:hidden/>
    <w:uiPriority w:val="99"/>
    <w:semiHidden/>
    <w:rsid w:val="00275002"/>
    <w:pPr>
      <w:spacing w:before="0"/>
    </w:pPr>
    <w:rPr>
      <w:rFonts w:ascii="Arial" w:hAnsi="Arial"/>
    </w:rPr>
  </w:style>
  <w:style w:type="paragraph" w:styleId="CommentText">
    <w:name w:val="annotation text"/>
    <w:basedOn w:val="Normal"/>
    <w:link w:val="CommentTextChar"/>
    <w:uiPriority w:val="99"/>
    <w:unhideWhenUsed/>
    <w:rsid w:val="00275002"/>
    <w:pPr>
      <w:spacing w:line="240" w:lineRule="auto"/>
    </w:pPr>
    <w:rPr>
      <w:sz w:val="20"/>
      <w:szCs w:val="20"/>
    </w:rPr>
  </w:style>
  <w:style w:type="character" w:customStyle="1" w:styleId="CommentTextChar">
    <w:name w:val="Comment Text Char"/>
    <w:basedOn w:val="DefaultParagraphFont"/>
    <w:link w:val="CommentText"/>
    <w:uiPriority w:val="99"/>
    <w:rsid w:val="00275002"/>
    <w:rPr>
      <w:rFonts w:ascii="Arial" w:hAnsi="Arial"/>
      <w:sz w:val="20"/>
      <w:szCs w:val="20"/>
    </w:rPr>
  </w:style>
  <w:style w:type="paragraph" w:styleId="CommentSubject">
    <w:name w:val="annotation subject"/>
    <w:basedOn w:val="Normal"/>
    <w:link w:val="CommentSubjectChar"/>
    <w:semiHidden/>
    <w:rsid w:val="00275002"/>
    <w:pPr>
      <w:spacing w:before="0" w:line="288" w:lineRule="auto"/>
      <w:jc w:val="both"/>
    </w:pPr>
    <w:rPr>
      <w:rFonts w:ascii="Gautami" w:eastAsia="Times New Roman" w:hAnsi="Gautami" w:cs="Times New Roman"/>
      <w:b/>
      <w:bCs/>
      <w:sz w:val="20"/>
      <w:szCs w:val="24"/>
      <w:lang w:eastAsia="en-AU"/>
    </w:rPr>
  </w:style>
  <w:style w:type="character" w:customStyle="1" w:styleId="CommentSubjectChar">
    <w:name w:val="Comment Subject Char"/>
    <w:basedOn w:val="CommentTextChar"/>
    <w:link w:val="CommentSubject"/>
    <w:semiHidden/>
    <w:rsid w:val="00275002"/>
    <w:rPr>
      <w:rFonts w:ascii="Gautami" w:eastAsia="Times New Roman" w:hAnsi="Gautami" w:cs="Times New Roman"/>
      <w:b/>
      <w:bCs/>
      <w:sz w:val="20"/>
      <w:szCs w:val="24"/>
      <w:lang w:eastAsia="en-AU"/>
    </w:rPr>
  </w:style>
  <w:style w:type="numbering" w:styleId="1ai">
    <w:name w:val="Outline List 1"/>
    <w:aliases w:val="AER Numbered List"/>
    <w:basedOn w:val="NoList"/>
    <w:rsid w:val="00275002"/>
    <w:pPr>
      <w:numPr>
        <w:numId w:val="22"/>
      </w:numPr>
    </w:pPr>
  </w:style>
  <w:style w:type="table" w:styleId="TableClassic2">
    <w:name w:val="Table Classic 2"/>
    <w:basedOn w:val="TableNormal"/>
    <w:rsid w:val="00275002"/>
    <w:pPr>
      <w:spacing w:before="0"/>
    </w:pPr>
    <w:rPr>
      <w:rFonts w:ascii="Times" w:eastAsia="Times New Roman" w:hAnsi="Times" w:cs="Times New Roman"/>
      <w:sz w:val="20"/>
      <w:szCs w:val="20"/>
      <w:lang w:eastAsia="en-A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ntemporary">
    <w:name w:val="Table Contemporary"/>
    <w:basedOn w:val="TableNormal"/>
    <w:rsid w:val="00275002"/>
    <w:pPr>
      <w:spacing w:before="0"/>
    </w:pPr>
    <w:rPr>
      <w:rFonts w:ascii="Times" w:eastAsia="Times New Roman" w:hAnsi="Times" w:cs="Times New Roman"/>
      <w:sz w:val="20"/>
      <w:szCs w:val="20"/>
      <w:lang w:eastAsia="en-A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lassic1">
    <w:name w:val="Table Classic 1"/>
    <w:basedOn w:val="TableNormal"/>
    <w:rsid w:val="00275002"/>
    <w:pPr>
      <w:spacing w:before="0"/>
    </w:pPr>
    <w:rPr>
      <w:rFonts w:ascii="Times" w:eastAsia="Times New Roman" w:hAnsi="Times" w:cs="Times New Roman"/>
      <w:sz w:val="20"/>
      <w:szCs w:val="20"/>
      <w:lang w:eastAsia="en-A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275002"/>
    <w:pPr>
      <w:spacing w:before="0"/>
    </w:pPr>
    <w:rPr>
      <w:rFonts w:ascii="Calibri" w:eastAsia="Times New Roman" w:hAnsi="Calibri" w:cs="Times New Roman"/>
      <w:sz w:val="20"/>
      <w:szCs w:val="20"/>
      <w:lang w:eastAsia="en-A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rFonts w:ascii="Calibri" w:hAnsi="Calibri"/>
        <w:b/>
        <w:bCs/>
        <w:color w:val="000000"/>
        <w:sz w:val="20"/>
      </w:r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MediumShading2-Accent5">
    <w:name w:val="Medium Shading 2 Accent 5"/>
    <w:basedOn w:val="TableNormal"/>
    <w:uiPriority w:val="64"/>
    <w:rsid w:val="00275002"/>
    <w:pPr>
      <w:spacing w:before="0"/>
    </w:pPr>
    <w:rPr>
      <w:rFonts w:ascii="Calibri" w:eastAsia="Calibri" w:hAnsi="Calibri" w:cs="Times New Roman"/>
      <w:sz w:val="20"/>
      <w:szCs w:val="20"/>
      <w:lang w:eastAsia="en-A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unhideWhenUsed/>
    <w:rsid w:val="0027500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ERHeading1">
    <w:name w:val="AER Heading 1"/>
    <w:basedOn w:val="Heading2notnumbered"/>
    <w:link w:val="AERHeading1Char"/>
    <w:qFormat/>
    <w:rsid w:val="000E2946"/>
    <w:rPr>
      <w:color w:val="2272A3" w:themeColor="accent4" w:themeShade="80"/>
    </w:rPr>
  </w:style>
  <w:style w:type="paragraph" w:customStyle="1" w:styleId="AERHeading3">
    <w:name w:val="AER Heading 3"/>
    <w:basedOn w:val="Heading4notnumbered"/>
    <w:link w:val="AERHeading3Char"/>
    <w:qFormat/>
    <w:rsid w:val="00914A87"/>
  </w:style>
  <w:style w:type="character" w:customStyle="1" w:styleId="Heading2notnumberedChar">
    <w:name w:val="Heading 2 not numbered Char"/>
    <w:basedOn w:val="Heading2Char"/>
    <w:link w:val="Heading2notnumbered"/>
    <w:rsid w:val="000E2946"/>
    <w:rPr>
      <w:rFonts w:ascii="Arial" w:eastAsia="Times New Roman" w:hAnsi="Arial" w:cs="Times New Roman"/>
      <w:b/>
      <w:bCs/>
      <w:color w:val="003591" w:themeColor="text2"/>
      <w:sz w:val="32"/>
      <w:szCs w:val="20"/>
    </w:rPr>
  </w:style>
  <w:style w:type="character" w:customStyle="1" w:styleId="AERHeading1Char">
    <w:name w:val="AER Heading 1 Char"/>
    <w:basedOn w:val="Heading2notnumberedChar"/>
    <w:link w:val="AERHeading1"/>
    <w:rsid w:val="000E2946"/>
    <w:rPr>
      <w:rFonts w:ascii="Arial" w:eastAsia="Times New Roman" w:hAnsi="Arial" w:cs="Times New Roman"/>
      <w:b/>
      <w:bCs/>
      <w:color w:val="2272A3" w:themeColor="accent4" w:themeShade="80"/>
      <w:sz w:val="32"/>
      <w:szCs w:val="20"/>
    </w:rPr>
  </w:style>
  <w:style w:type="paragraph" w:customStyle="1" w:styleId="Tablesumline">
    <w:name w:val="Table sum line"/>
    <w:basedOn w:val="Normal"/>
    <w:link w:val="TablesumlineChar"/>
    <w:qFormat/>
    <w:rsid w:val="00FD72DC"/>
    <w:pPr>
      <w:spacing w:before="120" w:after="120"/>
    </w:pPr>
    <w:rPr>
      <w:b/>
      <w:sz w:val="20"/>
    </w:rPr>
  </w:style>
  <w:style w:type="character" w:customStyle="1" w:styleId="Heading4notnumberedChar">
    <w:name w:val="Heading 4 not numbered Char"/>
    <w:basedOn w:val="Heading4Char"/>
    <w:link w:val="Heading4notnumbered"/>
    <w:rsid w:val="00914A87"/>
    <w:rPr>
      <w:rFonts w:ascii="Arial" w:eastAsia="Times New Roman" w:hAnsi="Arial" w:cs="Times New Roman"/>
      <w:b/>
      <w:bCs/>
      <w:i w:val="0"/>
      <w:iCs w:val="0"/>
      <w:color w:val="51626F"/>
      <w:sz w:val="24"/>
      <w:szCs w:val="20"/>
    </w:rPr>
  </w:style>
  <w:style w:type="character" w:customStyle="1" w:styleId="AERHeading3Char">
    <w:name w:val="AER Heading 3 Char"/>
    <w:basedOn w:val="Heading4notnumberedChar"/>
    <w:link w:val="AERHeading3"/>
    <w:rsid w:val="00914A87"/>
    <w:rPr>
      <w:rFonts w:ascii="Arial" w:eastAsia="Times New Roman" w:hAnsi="Arial" w:cs="Times New Roman"/>
      <w:b/>
      <w:bCs/>
      <w:i w:val="0"/>
      <w:iCs w:val="0"/>
      <w:color w:val="51626F"/>
      <w:sz w:val="24"/>
      <w:szCs w:val="20"/>
    </w:rPr>
  </w:style>
  <w:style w:type="table" w:customStyle="1" w:styleId="AERsummarytable">
    <w:name w:val="AER summary table"/>
    <w:basedOn w:val="AERTable-Text"/>
    <w:uiPriority w:val="99"/>
    <w:rsid w:val="00FD72DC"/>
    <w:pPr>
      <w:spacing w:before="0"/>
    </w:pPr>
    <w:tblPr>
      <w:tblStyleRowBandSize w:val="1"/>
      <w:tblInd w:w="0" w:type="dxa"/>
      <w:tblBorders>
        <w:bottom w:val="single" w:sz="4" w:space="0" w:color="auto"/>
      </w:tblBorders>
      <w:tblCellMar>
        <w:top w:w="0" w:type="dxa"/>
        <w:left w:w="108" w:type="dxa"/>
        <w:bottom w:w="0" w:type="dxa"/>
        <w:right w:w="108" w:type="dxa"/>
      </w:tblCellMar>
    </w:tblPr>
    <w:trPr>
      <w:cantSplit/>
    </w:tr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TablesumlineChar">
    <w:name w:val="Table sum line Char"/>
    <w:basedOn w:val="DefaultParagraphFont"/>
    <w:link w:val="Tablesumline"/>
    <w:rsid w:val="00FD72DC"/>
    <w:rPr>
      <w:rFonts w:ascii="Arial" w:hAnsi="Arial"/>
      <w:b/>
      <w:sz w:val="20"/>
    </w:rPr>
  </w:style>
  <w:style w:type="table" w:customStyle="1" w:styleId="Style1">
    <w:name w:val="Style1"/>
    <w:basedOn w:val="TableNormal"/>
    <w:uiPriority w:val="99"/>
    <w:rsid w:val="00A81EF8"/>
    <w:pPr>
      <w:spacing w:before="0"/>
    </w:pPr>
    <w:tblPr>
      <w:tblInd w:w="0" w:type="dxa"/>
      <w:tblCellMar>
        <w:top w:w="0" w:type="dxa"/>
        <w:left w:w="108" w:type="dxa"/>
        <w:bottom w:w="0" w:type="dxa"/>
        <w:right w:w="108" w:type="dxa"/>
      </w:tblCellMar>
    </w:tblPr>
    <w:tblStylePr w:type="firstRow">
      <w:rPr>
        <w:rFonts w:ascii="Arial" w:hAnsi="Arial"/>
        <w:color w:val="FFFFFF" w:themeColor="background1"/>
        <w:sz w:val="18"/>
      </w:rPr>
      <w:tblPr/>
      <w:tcPr>
        <w:shd w:val="clear" w:color="auto" w:fill="2272A3" w:themeFill="accent4" w:themeFillShade="80"/>
      </w:tcPr>
    </w:tblStylePr>
  </w:style>
  <w:style w:type="paragraph" w:customStyle="1" w:styleId="tableheadingline2">
    <w:name w:val="table heading line 2"/>
    <w:basedOn w:val="Normal"/>
    <w:link w:val="tableheadingline2Char"/>
    <w:qFormat/>
    <w:rsid w:val="00FA3830"/>
    <w:pPr>
      <w:spacing w:before="0" w:after="120"/>
      <w:jc w:val="center"/>
    </w:pPr>
    <w:rPr>
      <w:b/>
      <w:sz w:val="18"/>
      <w14:numSpacing w14:val="tabular"/>
    </w:rPr>
  </w:style>
  <w:style w:type="character" w:customStyle="1" w:styleId="tableheadingline2Char">
    <w:name w:val="table heading line 2 Char"/>
    <w:basedOn w:val="DefaultParagraphFont"/>
    <w:link w:val="tableheadingline2"/>
    <w:rsid w:val="00FA3830"/>
    <w:rPr>
      <w:rFonts w:ascii="Arial" w:hAnsi="Arial"/>
      <w:b/>
      <w:sz w:val="18"/>
      <w14:numSpacing w14:val="tabular"/>
    </w:rPr>
  </w:style>
  <w:style w:type="paragraph" w:customStyle="1" w:styleId="AERbodytext">
    <w:name w:val="AER body text"/>
    <w:link w:val="AERbodytextChar"/>
    <w:qFormat/>
    <w:rsid w:val="001778E3"/>
    <w:pPr>
      <w:spacing w:before="120" w:after="120" w:line="288" w:lineRule="auto"/>
      <w:jc w:val="both"/>
    </w:pPr>
    <w:rPr>
      <w:rFonts w:ascii="Arial" w:eastAsia="Times New Roman" w:hAnsi="Arial" w:cs="Arial"/>
      <w:bCs/>
      <w:lang w:eastAsia="en-AU"/>
    </w:rPr>
  </w:style>
  <w:style w:type="character" w:customStyle="1" w:styleId="AERbodytextChar">
    <w:name w:val="AER body text Char"/>
    <w:basedOn w:val="DefaultParagraphFont"/>
    <w:link w:val="AERbodytext"/>
    <w:rsid w:val="001778E3"/>
    <w:rPr>
      <w:rFonts w:ascii="Arial" w:eastAsia="Times New Roman" w:hAnsi="Arial" w:cs="Arial"/>
      <w:bCs/>
      <w:lang w:eastAsia="en-AU"/>
    </w:rPr>
  </w:style>
  <w:style w:type="paragraph" w:customStyle="1" w:styleId="tablenormal0">
    <w:name w:val="table normal"/>
    <w:basedOn w:val="Normal"/>
    <w:link w:val="tablenormalChar"/>
    <w:qFormat/>
    <w:rsid w:val="005D2FBD"/>
    <w:pPr>
      <w:spacing w:before="120" w:after="120"/>
    </w:pPr>
    <w:rPr>
      <w:rFonts w:cs="Arial"/>
      <w:sz w:val="18"/>
    </w:rPr>
  </w:style>
  <w:style w:type="character" w:customStyle="1" w:styleId="tablenormalChar">
    <w:name w:val="table normal Char"/>
    <w:basedOn w:val="DefaultParagraphFont"/>
    <w:link w:val="tablenormal0"/>
    <w:rsid w:val="005D2FBD"/>
    <w:rPr>
      <w:rFonts w:ascii="Arial" w:hAnsi="Arial" w:cs="Arial"/>
      <w:sz w:val="18"/>
    </w:rPr>
  </w:style>
  <w:style w:type="table" w:customStyle="1" w:styleId="AERsummarytable1">
    <w:name w:val="AER summary table1"/>
    <w:basedOn w:val="AERTable-Text"/>
    <w:uiPriority w:val="99"/>
    <w:rsid w:val="00784A7E"/>
    <w:pPr>
      <w:spacing w:before="0"/>
    </w:pPr>
    <w:tblPr>
      <w:tblStyleRowBandSize w:val="1"/>
      <w:tblInd w:w="0" w:type="dxa"/>
      <w:tblBorders>
        <w:bottom w:val="single" w:sz="4" w:space="0" w:color="auto"/>
      </w:tblBorders>
      <w:tblCellMar>
        <w:top w:w="0" w:type="dxa"/>
        <w:left w:w="108" w:type="dxa"/>
        <w:bottom w:w="0" w:type="dxa"/>
        <w:right w:w="108" w:type="dxa"/>
      </w:tblCellMar>
    </w:tblPr>
    <w:trPr>
      <w:cantSplit/>
    </w:tr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table" w:customStyle="1" w:styleId="AERsummarytable2">
    <w:name w:val="AER summary table2"/>
    <w:basedOn w:val="TableNormal"/>
    <w:uiPriority w:val="99"/>
    <w:rsid w:val="002D1734"/>
    <w:pPr>
      <w:spacing w:before="0" w:after="120"/>
    </w:pPr>
    <w:rPr>
      <w:rFonts w:ascii="Arial" w:hAnsi="Arial"/>
      <w:sz w:val="18"/>
    </w:rPr>
    <w:tblPr>
      <w:tblStyleRowBandSize w:val="1"/>
      <w:tblInd w:w="0" w:type="dxa"/>
      <w:tblBorders>
        <w:bottom w:val="single" w:sz="4" w:space="0" w:color="auto"/>
      </w:tblBorders>
      <w:tblCellMar>
        <w:top w:w="0" w:type="dxa"/>
        <w:left w:w="108" w:type="dxa"/>
        <w:bottom w:w="0" w:type="dxa"/>
        <w:right w:w="108" w:type="dxa"/>
      </w:tblCellMar>
    </w:tblPr>
    <w:trPr>
      <w:cantSplit/>
    </w:tr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a531">
    <w:name w:val="a5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571">
    <w:name w:val="a5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691">
    <w:name w:val="a69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31">
    <w:name w:val="a7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71">
    <w:name w:val="a7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displayonly">
    <w:name w:val="display_only"/>
    <w:basedOn w:val="DefaultParagraphFont"/>
    <w:rsid w:val="00091FB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1" w:unhideWhenUsed="0"/>
    <w:lsdException w:name="footnote text" w:uiPriority="0" w:qFormat="1"/>
    <w:lsdException w:name="header" w:uiPriority="0" w:qFormat="1"/>
    <w:lsdException w:name="footer" w:qFormat="1"/>
    <w:lsdException w:name="caption" w:uiPriority="0" w:qFormat="1"/>
    <w:lsdException w:name="footnote reference" w:uiPriority="0"/>
    <w:lsdException w:name="page number" w:uiPriority="0"/>
    <w:lsdException w:name="endnote reference" w:uiPriority="0"/>
    <w:lsdException w:name="endnote text" w:uiPriority="0"/>
    <w:lsdException w:name="List" w:qFormat="1"/>
    <w:lsdException w:name="List Number" w:qFormat="1"/>
    <w:lsdException w:name="List Number 2" w:qFormat="1"/>
    <w:lsdException w:name="Title" w:semiHidden="0" w:uiPriority="0" w:unhideWhenUsed="0" w:qFormat="1"/>
    <w:lsdException w:name="Default Paragraph Font" w:uiPriority="1"/>
    <w:lsdException w:name="List Continue" w:qFormat="1"/>
    <w:lsdException w:name="Subtitle" w:semiHidden="0" w:uiPriority="11" w:unhideWhenUsed="0" w:qFormat="1"/>
    <w:lsdException w:name="Hyperlink" w:uiPriority="0" w:qFormat="1"/>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Outline List 1" w:uiPriority="0"/>
    <w:lsdException w:name="Table Classic 1" w:uiPriority="0"/>
    <w:lsdException w:name="Table Classic 2" w:uiPriority="0"/>
    <w:lsdException w:name="Table List 3" w:uiPriority="0"/>
    <w:lsdException w:name="Table Contemporary"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qFormat/>
    <w:rsid w:val="00275002"/>
    <w:pPr>
      <w:spacing w:line="276" w:lineRule="auto"/>
    </w:pPr>
    <w:rPr>
      <w:rFonts w:ascii="Arial" w:hAnsi="Arial"/>
    </w:rPr>
  </w:style>
  <w:style w:type="paragraph" w:styleId="Heading1">
    <w:name w:val="heading 1"/>
    <w:basedOn w:val="Normal"/>
    <w:next w:val="Normal"/>
    <w:link w:val="Heading1Char"/>
    <w:qFormat/>
    <w:rsid w:val="009D6B46"/>
    <w:pPr>
      <w:spacing w:before="240"/>
      <w:outlineLvl w:val="0"/>
    </w:pPr>
    <w:rPr>
      <w:rFonts w:ascii="Lucida Fax" w:eastAsiaTheme="majorEastAsia" w:hAnsi="Lucida Fax" w:cstheme="majorBidi"/>
      <w:bCs/>
      <w:color w:val="51626F"/>
      <w:sz w:val="32"/>
      <w:szCs w:val="28"/>
    </w:rPr>
  </w:style>
  <w:style w:type="paragraph" w:styleId="Heading2">
    <w:name w:val="heading 2"/>
    <w:aliases w:val="AER Heading 2 (new)"/>
    <w:next w:val="Normal"/>
    <w:link w:val="Heading2Char"/>
    <w:qFormat/>
    <w:rsid w:val="004F6D0A"/>
    <w:pPr>
      <w:keepNext/>
      <w:spacing w:line="240" w:lineRule="atLeast"/>
      <w:outlineLvl w:val="1"/>
    </w:pPr>
    <w:rPr>
      <w:rFonts w:ascii="Arial" w:eastAsiaTheme="majorEastAsia" w:hAnsi="Arial" w:cstheme="majorBidi"/>
      <w:b/>
      <w:bCs/>
      <w:color w:val="51626F"/>
      <w:sz w:val="28"/>
      <w:szCs w:val="26"/>
    </w:rPr>
  </w:style>
  <w:style w:type="paragraph" w:styleId="Heading3">
    <w:name w:val="heading 3"/>
    <w:basedOn w:val="Normal"/>
    <w:next w:val="Normal"/>
    <w:link w:val="Heading3Char"/>
    <w:qFormat/>
    <w:rsid w:val="009D6B46"/>
    <w:pPr>
      <w:spacing w:before="240"/>
      <w:outlineLvl w:val="2"/>
    </w:pPr>
    <w:rPr>
      <w:rFonts w:eastAsiaTheme="majorEastAsia" w:cstheme="majorBidi"/>
      <w:b/>
      <w:bCs/>
      <w:color w:val="000000" w:themeColor="text1" w:themeShade="BF"/>
      <w:sz w:val="24"/>
    </w:rPr>
  </w:style>
  <w:style w:type="paragraph" w:styleId="Heading4">
    <w:name w:val="heading 4"/>
    <w:basedOn w:val="Normal"/>
    <w:next w:val="Normal"/>
    <w:link w:val="Heading4Char"/>
    <w:qFormat/>
    <w:rsid w:val="009D6B46"/>
    <w:pPr>
      <w:spacing w:before="240"/>
      <w:outlineLvl w:val="3"/>
    </w:pPr>
    <w:rPr>
      <w:rFonts w:eastAsiaTheme="majorEastAsia" w:cstheme="majorBidi"/>
      <w:b/>
      <w:bCs/>
      <w:i/>
      <w:iCs/>
      <w:color w:val="51626F"/>
      <w:sz w:val="24"/>
    </w:rPr>
  </w:style>
  <w:style w:type="paragraph" w:styleId="Heading5">
    <w:name w:val="heading 5"/>
    <w:next w:val="Normal"/>
    <w:link w:val="Heading5Char"/>
    <w:qFormat/>
    <w:rsid w:val="009D6B46"/>
    <w:pPr>
      <w:spacing w:line="240" w:lineRule="atLeast"/>
      <w:outlineLvl w:val="4"/>
    </w:pPr>
    <w:rPr>
      <w:rFonts w:ascii="Arial" w:eastAsiaTheme="majorEastAsia" w:hAnsi="Arial" w:cstheme="majorBidi"/>
      <w:b/>
      <w:color w:val="283037" w:themeColor="accent1" w:themeShade="7F"/>
    </w:rPr>
  </w:style>
  <w:style w:type="paragraph" w:styleId="Heading6">
    <w:name w:val="heading 6"/>
    <w:basedOn w:val="Normal"/>
    <w:next w:val="Normal"/>
    <w:link w:val="Heading6Char"/>
    <w:uiPriority w:val="9"/>
    <w:qFormat/>
    <w:rsid w:val="009D6B46"/>
    <w:pPr>
      <w:spacing w:before="240"/>
      <w:outlineLvl w:val="5"/>
    </w:pPr>
    <w:rPr>
      <w:rFonts w:eastAsiaTheme="majorEastAsia" w:cstheme="majorBidi"/>
      <w:b/>
      <w:i/>
      <w:iCs/>
    </w:rPr>
  </w:style>
  <w:style w:type="paragraph" w:styleId="Heading7">
    <w:name w:val="heading 7"/>
    <w:basedOn w:val="Normal"/>
    <w:next w:val="Normal"/>
    <w:link w:val="Heading7Char"/>
    <w:uiPriority w:val="9"/>
    <w:qFormat/>
    <w:rsid w:val="009D6B46"/>
    <w:pPr>
      <w:spacing w:before="240"/>
      <w:outlineLvl w:val="6"/>
    </w:pPr>
    <w:rPr>
      <w:rFonts w:eastAsiaTheme="majorEastAsia" w:cstheme="majorBidi"/>
      <w:i/>
      <w:iCs/>
      <w:color w:val="404040" w:themeColor="text1" w:themeTint="BF"/>
    </w:rPr>
  </w:style>
  <w:style w:type="paragraph" w:styleId="Heading8">
    <w:name w:val="heading 8"/>
    <w:basedOn w:val="Normal"/>
    <w:next w:val="Normal"/>
    <w:link w:val="Heading8Char"/>
    <w:qFormat/>
    <w:rsid w:val="009D6B46"/>
    <w:pPr>
      <w:spacing w:before="240"/>
      <w:outlineLvl w:val="7"/>
    </w:pPr>
    <w:rPr>
      <w:rFonts w:eastAsiaTheme="majorEastAsia" w:cstheme="majorBidi"/>
      <w:color w:val="51626F" w:themeColor="accent1"/>
      <w:szCs w:val="20"/>
    </w:rPr>
  </w:style>
  <w:style w:type="paragraph" w:styleId="Heading9">
    <w:name w:val="heading 9"/>
    <w:basedOn w:val="Normal"/>
    <w:next w:val="Normal"/>
    <w:link w:val="Heading9Char"/>
    <w:uiPriority w:val="9"/>
    <w:qFormat/>
    <w:rsid w:val="009D6B46"/>
    <w:pPr>
      <w:spacing w:before="240"/>
      <w:outlineLvl w:val="8"/>
    </w:pPr>
    <w:rPr>
      <w:rFonts w:eastAsiaTheme="majorEastAsia" w:cstheme="majorBidi"/>
      <w:i/>
      <w:iCs/>
      <w:color w:val="51626F" w:themeColor="accen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6B46"/>
    <w:rPr>
      <w:rFonts w:ascii="Lucida Fax" w:eastAsiaTheme="majorEastAsia" w:hAnsi="Lucida Fax" w:cstheme="majorBidi"/>
      <w:bCs/>
      <w:color w:val="51626F"/>
      <w:sz w:val="32"/>
      <w:szCs w:val="28"/>
    </w:rPr>
  </w:style>
  <w:style w:type="character" w:customStyle="1" w:styleId="Heading2Char">
    <w:name w:val="Heading 2 Char"/>
    <w:aliases w:val="AER Heading 2 (new) Char"/>
    <w:basedOn w:val="DefaultParagraphFont"/>
    <w:link w:val="Heading2"/>
    <w:rsid w:val="004F6D0A"/>
    <w:rPr>
      <w:rFonts w:ascii="Arial" w:eastAsiaTheme="majorEastAsia" w:hAnsi="Arial" w:cstheme="majorBidi"/>
      <w:b/>
      <w:bCs/>
      <w:color w:val="51626F"/>
      <w:sz w:val="28"/>
      <w:szCs w:val="26"/>
    </w:rPr>
  </w:style>
  <w:style w:type="character" w:customStyle="1" w:styleId="Heading3Char">
    <w:name w:val="Heading 3 Char"/>
    <w:basedOn w:val="DefaultParagraphFont"/>
    <w:link w:val="Heading3"/>
    <w:rsid w:val="009D6B46"/>
    <w:rPr>
      <w:rFonts w:ascii="Arial" w:eastAsiaTheme="majorEastAsia" w:hAnsi="Arial" w:cstheme="majorBidi"/>
      <w:b/>
      <w:bCs/>
      <w:color w:val="000000" w:themeColor="text1" w:themeShade="BF"/>
      <w:sz w:val="24"/>
    </w:rPr>
  </w:style>
  <w:style w:type="character" w:customStyle="1" w:styleId="Heading4Char">
    <w:name w:val="Heading 4 Char"/>
    <w:basedOn w:val="DefaultParagraphFont"/>
    <w:link w:val="Heading4"/>
    <w:rsid w:val="009D6B46"/>
    <w:rPr>
      <w:rFonts w:ascii="Arial" w:eastAsiaTheme="majorEastAsia" w:hAnsi="Arial" w:cstheme="majorBidi"/>
      <w:b/>
      <w:bCs/>
      <w:i/>
      <w:iCs/>
      <w:color w:val="51626F"/>
      <w:sz w:val="24"/>
    </w:rPr>
  </w:style>
  <w:style w:type="character" w:customStyle="1" w:styleId="Heading5Char">
    <w:name w:val="Heading 5 Char"/>
    <w:basedOn w:val="DefaultParagraphFont"/>
    <w:link w:val="Heading5"/>
    <w:rsid w:val="009D6B46"/>
    <w:rPr>
      <w:rFonts w:ascii="Arial" w:eastAsiaTheme="majorEastAsia" w:hAnsi="Arial" w:cstheme="majorBidi"/>
      <w:b/>
      <w:color w:val="283037" w:themeColor="accent1" w:themeShade="7F"/>
    </w:rPr>
  </w:style>
  <w:style w:type="character" w:customStyle="1" w:styleId="Heading6Char">
    <w:name w:val="Heading 6 Char"/>
    <w:basedOn w:val="DefaultParagraphFont"/>
    <w:link w:val="Heading6"/>
    <w:uiPriority w:val="9"/>
    <w:rsid w:val="009D6B46"/>
    <w:rPr>
      <w:rFonts w:ascii="Arial" w:eastAsiaTheme="majorEastAsia" w:hAnsi="Arial" w:cstheme="majorBidi"/>
      <w:b/>
      <w:i/>
      <w:iCs/>
    </w:rPr>
  </w:style>
  <w:style w:type="paragraph" w:customStyle="1" w:styleId="Reporttitle">
    <w:name w:val="Report title"/>
    <w:basedOn w:val="Normal"/>
    <w:link w:val="ReporttitleChar"/>
    <w:qFormat/>
    <w:rsid w:val="005C26CC"/>
    <w:pPr>
      <w:spacing w:before="520" w:after="120"/>
    </w:pPr>
    <w:rPr>
      <w:rFonts w:ascii="Lucida Fax" w:hAnsi="Lucida Fax"/>
      <w:color w:val="4F2D7F"/>
      <w:sz w:val="72"/>
      <w:szCs w:val="56"/>
    </w:rPr>
  </w:style>
  <w:style w:type="character" w:customStyle="1" w:styleId="ReporttitleChar">
    <w:name w:val="Report title Char"/>
    <w:basedOn w:val="DefaultParagraphFont"/>
    <w:link w:val="Reporttitle"/>
    <w:rsid w:val="005C26CC"/>
    <w:rPr>
      <w:rFonts w:ascii="Lucida Fax" w:hAnsi="Lucida Fax"/>
      <w:color w:val="4F2D7F"/>
      <w:sz w:val="72"/>
      <w:szCs w:val="56"/>
    </w:rPr>
  </w:style>
  <w:style w:type="paragraph" w:customStyle="1" w:styleId="Chaptertitle">
    <w:name w:val="Chapter title"/>
    <w:basedOn w:val="Reporttitle"/>
    <w:link w:val="ChaptertitleChar"/>
    <w:qFormat/>
    <w:rsid w:val="00B87C39"/>
    <w:rPr>
      <w:sz w:val="52"/>
      <w:szCs w:val="52"/>
    </w:rPr>
  </w:style>
  <w:style w:type="character" w:customStyle="1" w:styleId="ChaptertitleChar">
    <w:name w:val="Chapter title Char"/>
    <w:basedOn w:val="ReporttitleChar"/>
    <w:link w:val="Chaptertitle"/>
    <w:rsid w:val="00B87C39"/>
    <w:rPr>
      <w:rFonts w:ascii="Lucida Fax" w:hAnsi="Lucida Fax"/>
      <w:color w:val="4F2D7F"/>
      <w:sz w:val="52"/>
      <w:szCs w:val="52"/>
    </w:rPr>
  </w:style>
  <w:style w:type="paragraph" w:customStyle="1" w:styleId="Tabletext">
    <w:name w:val="Table text"/>
    <w:basedOn w:val="Normal"/>
    <w:link w:val="TabletextChar"/>
    <w:uiPriority w:val="1"/>
    <w:qFormat/>
    <w:rsid w:val="00214FBA"/>
    <w:pPr>
      <w:spacing w:before="120" w:after="60"/>
    </w:pPr>
    <w:rPr>
      <w:sz w:val="18"/>
    </w:rPr>
  </w:style>
  <w:style w:type="paragraph" w:customStyle="1" w:styleId="Copyrighttext">
    <w:name w:val="Copyright text"/>
    <w:basedOn w:val="Normal"/>
    <w:link w:val="CopyrighttextChar"/>
    <w:uiPriority w:val="2"/>
    <w:qFormat/>
    <w:rsid w:val="00F952A0"/>
    <w:pPr>
      <w:spacing w:line="360" w:lineRule="auto"/>
      <w:contextualSpacing/>
    </w:pPr>
    <w:rPr>
      <w:color w:val="51626F" w:themeColor="accent1"/>
      <w:sz w:val="16"/>
      <w:szCs w:val="16"/>
    </w:rPr>
  </w:style>
  <w:style w:type="character" w:customStyle="1" w:styleId="CopyrighttextChar">
    <w:name w:val="Copyright text Char"/>
    <w:basedOn w:val="DefaultParagraphFont"/>
    <w:link w:val="Copyrighttext"/>
    <w:uiPriority w:val="2"/>
    <w:rsid w:val="00724A37"/>
    <w:rPr>
      <w:rFonts w:ascii="Arial" w:hAnsi="Arial"/>
      <w:color w:val="51626F" w:themeColor="accent1"/>
      <w:sz w:val="16"/>
      <w:szCs w:val="16"/>
    </w:rPr>
  </w:style>
  <w:style w:type="paragraph" w:styleId="TOC8">
    <w:name w:val="toc 8"/>
    <w:basedOn w:val="Normal"/>
    <w:next w:val="Normal"/>
    <w:rsid w:val="009F4940"/>
    <w:pPr>
      <w:tabs>
        <w:tab w:val="right" w:leader="dot" w:pos="9016"/>
      </w:tabs>
      <w:spacing w:after="100"/>
      <w:ind w:left="2977"/>
    </w:pPr>
    <w:rPr>
      <w:noProof/>
    </w:rPr>
  </w:style>
  <w:style w:type="paragraph" w:styleId="TOC9">
    <w:name w:val="toc 9"/>
    <w:basedOn w:val="Normal"/>
    <w:next w:val="Normal"/>
    <w:rsid w:val="009F4940"/>
    <w:pPr>
      <w:tabs>
        <w:tab w:val="right" w:leader="dot" w:pos="9016"/>
      </w:tabs>
      <w:spacing w:after="100"/>
      <w:ind w:left="3402"/>
    </w:pPr>
    <w:rPr>
      <w:noProof/>
    </w:rPr>
  </w:style>
  <w:style w:type="paragraph" w:customStyle="1" w:styleId="Numbered1">
    <w:name w:val="Numbered 1"/>
    <w:basedOn w:val="Heading1"/>
    <w:next w:val="Normal"/>
    <w:link w:val="Numbered1Char"/>
    <w:qFormat/>
    <w:rsid w:val="00085663"/>
    <w:pPr>
      <w:numPr>
        <w:numId w:val="15"/>
      </w:numPr>
      <w:ind w:left="680" w:hanging="680"/>
    </w:pPr>
  </w:style>
  <w:style w:type="paragraph" w:customStyle="1" w:styleId="Numbered11">
    <w:name w:val="Numbered 1.1"/>
    <w:basedOn w:val="Heading2"/>
    <w:next w:val="Normal"/>
    <w:qFormat/>
    <w:rsid w:val="00B17A1D"/>
    <w:pPr>
      <w:numPr>
        <w:ilvl w:val="1"/>
        <w:numId w:val="15"/>
      </w:numPr>
      <w:ind w:left="1021" w:hanging="1021"/>
    </w:pPr>
    <w:rPr>
      <w:rFonts w:cs="Arial"/>
      <w:b w:val="0"/>
    </w:rPr>
  </w:style>
  <w:style w:type="paragraph" w:customStyle="1" w:styleId="Numbered111">
    <w:name w:val="Numbered 1.1.1"/>
    <w:basedOn w:val="Heading3"/>
    <w:next w:val="Normal"/>
    <w:qFormat/>
    <w:rsid w:val="00B17A1D"/>
    <w:pPr>
      <w:numPr>
        <w:ilvl w:val="2"/>
        <w:numId w:val="15"/>
      </w:numPr>
      <w:ind w:left="1247" w:hanging="1247"/>
      <w:contextualSpacing/>
    </w:pPr>
  </w:style>
  <w:style w:type="paragraph" w:customStyle="1" w:styleId="Numbered1111">
    <w:name w:val="Numbered 1.1.1.1"/>
    <w:basedOn w:val="Heading4"/>
    <w:next w:val="Normal"/>
    <w:rsid w:val="00B17A1D"/>
    <w:pPr>
      <w:numPr>
        <w:ilvl w:val="3"/>
        <w:numId w:val="15"/>
      </w:numPr>
      <w:ind w:left="1474" w:hanging="1474"/>
    </w:pPr>
  </w:style>
  <w:style w:type="paragraph" w:customStyle="1" w:styleId="Numbered11111">
    <w:name w:val="Numbered 1.1.1.1.1"/>
    <w:basedOn w:val="Heading5"/>
    <w:next w:val="Normal"/>
    <w:uiPriority w:val="2"/>
    <w:rsid w:val="00B17A1D"/>
    <w:pPr>
      <w:numPr>
        <w:ilvl w:val="4"/>
        <w:numId w:val="15"/>
      </w:numPr>
      <w:ind w:left="1701" w:hanging="1701"/>
    </w:pPr>
  </w:style>
  <w:style w:type="paragraph" w:customStyle="1" w:styleId="Numbered111111">
    <w:name w:val="Numbered 1.1.1.1.1.1"/>
    <w:basedOn w:val="Heading6"/>
    <w:next w:val="Normal"/>
    <w:uiPriority w:val="2"/>
    <w:rsid w:val="00B17A1D"/>
    <w:pPr>
      <w:numPr>
        <w:ilvl w:val="5"/>
        <w:numId w:val="15"/>
      </w:numPr>
      <w:ind w:left="2155" w:hanging="2155"/>
    </w:pPr>
  </w:style>
  <w:style w:type="paragraph" w:styleId="Header">
    <w:name w:val="header"/>
    <w:basedOn w:val="Normal"/>
    <w:link w:val="HeaderChar"/>
    <w:unhideWhenUsed/>
    <w:qFormat/>
    <w:rsid w:val="008344F6"/>
    <w:pPr>
      <w:tabs>
        <w:tab w:val="center" w:pos="4513"/>
        <w:tab w:val="right" w:pos="9026"/>
      </w:tabs>
      <w:spacing w:after="120"/>
    </w:pPr>
    <w:rPr>
      <w:color w:val="51626F" w:themeColor="accent1"/>
      <w:sz w:val="18"/>
    </w:rPr>
  </w:style>
  <w:style w:type="character" w:customStyle="1" w:styleId="HeaderChar">
    <w:name w:val="Header Char"/>
    <w:basedOn w:val="DefaultParagraphFont"/>
    <w:link w:val="Header"/>
    <w:uiPriority w:val="99"/>
    <w:rsid w:val="008344F6"/>
    <w:rPr>
      <w:rFonts w:ascii="Arial" w:hAnsi="Arial"/>
      <w:color w:val="51626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584D8F"/>
    <w:pPr>
      <w:spacing w:before="240" w:after="120"/>
    </w:pPr>
    <w:rPr>
      <w:b/>
      <w:szCs w:val="20"/>
    </w:rPr>
  </w:style>
  <w:style w:type="character" w:customStyle="1" w:styleId="TabletitleChar">
    <w:name w:val="Table title Char"/>
    <w:basedOn w:val="DefaultParagraphFont"/>
    <w:link w:val="Tabletitle"/>
    <w:rsid w:val="00584D8F"/>
    <w:rPr>
      <w:rFonts w:ascii="Arial" w:hAnsi="Arial"/>
      <w:b/>
      <w:szCs w:val="20"/>
    </w:rPr>
  </w:style>
  <w:style w:type="paragraph" w:customStyle="1" w:styleId="Charttitle">
    <w:name w:val="Chart title"/>
    <w:basedOn w:val="Tabletitle"/>
    <w:qFormat/>
    <w:rsid w:val="005C26CC"/>
    <w:rPr>
      <w:sz w:val="24"/>
    </w:rPr>
  </w:style>
  <w:style w:type="paragraph" w:styleId="EndnoteText">
    <w:name w:val="endnote text"/>
    <w:basedOn w:val="Normal"/>
    <w:link w:val="EndnoteTextChar"/>
    <w:rsid w:val="00263AC0"/>
    <w:pPr>
      <w:spacing w:before="0"/>
    </w:pPr>
    <w:rPr>
      <w:sz w:val="20"/>
      <w:szCs w:val="20"/>
    </w:rPr>
  </w:style>
  <w:style w:type="paragraph" w:customStyle="1" w:styleId="Boxedtext">
    <w:name w:val="Boxed text"/>
    <w:basedOn w:val="Normal"/>
    <w:link w:val="BoxedtextChar"/>
    <w:uiPriority w:val="1"/>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BoxedtextChar">
    <w:name w:val="Boxed text Char"/>
    <w:basedOn w:val="DefaultParagraphFont"/>
    <w:link w:val="Boxedtext"/>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EA3D42"/>
    <w:pPr>
      <w:spacing w:after="120"/>
      <w:contextualSpacing/>
    </w:pPr>
    <w:rPr>
      <w:rFonts w:ascii="Lucida Fax" w:hAnsi="Lucida Fax"/>
      <w:b/>
      <w:color w:val="DC5034"/>
      <w:sz w:val="24"/>
      <w:szCs w:val="24"/>
    </w:rPr>
  </w:style>
  <w:style w:type="character" w:customStyle="1" w:styleId="PullquoteheadingChar">
    <w:name w:val="Pull quote heading Char"/>
    <w:basedOn w:val="DefaultParagraphFont"/>
    <w:link w:val="Pullquoteheading"/>
    <w:uiPriority w:val="1"/>
    <w:rsid w:val="00AE1BF1"/>
    <w:rPr>
      <w:rFonts w:ascii="Lucida Fax" w:hAnsi="Lucida Fax"/>
      <w:b/>
      <w:color w:val="DC5034"/>
      <w:sz w:val="24"/>
      <w:szCs w:val="24"/>
    </w:rPr>
  </w:style>
  <w:style w:type="paragraph" w:customStyle="1" w:styleId="Pullquotetext">
    <w:name w:val="Pull quote text"/>
    <w:link w:val="PullquotetextChar"/>
    <w:uiPriority w:val="1"/>
    <w:rsid w:val="00AF0DD2"/>
    <w:pPr>
      <w:spacing w:before="120"/>
    </w:pPr>
    <w:rPr>
      <w:rFonts w:ascii="Lucida Fax" w:hAnsi="Lucida Fax"/>
      <w:color w:val="DC5034"/>
      <w:szCs w:val="24"/>
    </w:rPr>
  </w:style>
  <w:style w:type="character" w:customStyle="1" w:styleId="PullquotetextChar">
    <w:name w:val="Pull quote text Char"/>
    <w:basedOn w:val="PullquoteheadingChar"/>
    <w:link w:val="Pullquotetext"/>
    <w:uiPriority w:val="1"/>
    <w:rsid w:val="00AE1BF1"/>
    <w:rPr>
      <w:rFonts w:ascii="Lucida Fax" w:hAnsi="Lucida Fax"/>
      <w:b w:val="0"/>
      <w:color w:val="DC5034"/>
      <w:sz w:val="24"/>
      <w:szCs w:val="24"/>
    </w:rPr>
  </w:style>
  <w:style w:type="paragraph" w:customStyle="1" w:styleId="Note">
    <w:name w:val="Note"/>
    <w:basedOn w:val="Normal"/>
    <w:link w:val="NoteChar"/>
    <w:qFormat/>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customStyle="1" w:styleId="Footnotes">
    <w:name w:val="Footnotes"/>
    <w:basedOn w:val="FootnoteText"/>
    <w:link w:val="FootnotesChar"/>
    <w:uiPriority w:val="4"/>
    <w:semiHidden/>
    <w:qFormat/>
    <w:rsid w:val="00B8080B"/>
  </w:style>
  <w:style w:type="character" w:customStyle="1" w:styleId="FootnotesChar">
    <w:name w:val="Footnotes Char"/>
    <w:basedOn w:val="DefaultParagraphFont"/>
    <w:link w:val="Footnotes"/>
    <w:uiPriority w:val="4"/>
    <w:semiHidden/>
    <w:rsid w:val="00FE39C2"/>
    <w:rPr>
      <w:rFonts w:ascii="Arial" w:hAnsi="Arial"/>
      <w:sz w:val="20"/>
      <w:szCs w:val="20"/>
    </w:rPr>
  </w:style>
  <w:style w:type="paragraph" w:styleId="Quote">
    <w:name w:val="Quote"/>
    <w:basedOn w:val="Normal"/>
    <w:next w:val="Normal"/>
    <w:link w:val="QuoteChar"/>
    <w:uiPriority w:val="29"/>
    <w:rsid w:val="001D055E"/>
    <w:pPr>
      <w:ind w:left="737"/>
    </w:pPr>
    <w:rPr>
      <w:i/>
      <w:iCs/>
      <w:color w:val="000000" w:themeColor="text1"/>
    </w:rPr>
  </w:style>
  <w:style w:type="character" w:customStyle="1" w:styleId="QuoteChar">
    <w:name w:val="Quote Char"/>
    <w:basedOn w:val="DefaultParagraphFont"/>
    <w:link w:val="Quote"/>
    <w:uiPriority w:val="29"/>
    <w:rsid w:val="001D055E"/>
    <w:rPr>
      <w:rFonts w:ascii="Arial" w:hAnsi="Arial"/>
      <w:i/>
      <w:iCs/>
      <w:color w:val="000000" w:themeColor="text1"/>
    </w:rPr>
  </w:style>
  <w:style w:type="paragraph" w:customStyle="1" w:styleId="Bulletpoint">
    <w:name w:val="Bullet point"/>
    <w:basedOn w:val="ListBullet"/>
    <w:qFormat/>
    <w:rsid w:val="00FE64AE"/>
    <w:pPr>
      <w:numPr>
        <w:numId w:val="2"/>
      </w:numPr>
      <w:ind w:left="357" w:hanging="357"/>
    </w:pPr>
    <w:rPr>
      <w:rFonts w:cs="Times New Roman"/>
    </w:rPr>
  </w:style>
  <w:style w:type="paragraph" w:styleId="ListBullet">
    <w:name w:val="List Bullet"/>
    <w:basedOn w:val="Normal"/>
    <w:uiPriority w:val="99"/>
    <w:unhideWhenUsed/>
    <w:rsid w:val="008033C4"/>
    <w:pPr>
      <w:numPr>
        <w:numId w:val="13"/>
      </w:numPr>
      <w:spacing w:before="120"/>
      <w:ind w:left="357" w:hanging="357"/>
    </w:pPr>
  </w:style>
  <w:style w:type="paragraph" w:customStyle="1" w:styleId="Bulletpoint2">
    <w:name w:val="Bullet point 2"/>
    <w:basedOn w:val="ListBullet2"/>
    <w:uiPriority w:val="1"/>
    <w:qFormat/>
    <w:rsid w:val="008033C4"/>
    <w:pPr>
      <w:numPr>
        <w:numId w:val="12"/>
      </w:numPr>
      <w:ind w:left="998" w:hanging="357"/>
    </w:pPr>
  </w:style>
  <w:style w:type="paragraph" w:styleId="ListNumber">
    <w:name w:val="List Number"/>
    <w:basedOn w:val="Normal"/>
    <w:uiPriority w:val="99"/>
    <w:qFormat/>
    <w:rsid w:val="008033C4"/>
    <w:pPr>
      <w:numPr>
        <w:numId w:val="7"/>
      </w:numPr>
      <w:spacing w:before="120"/>
      <w:ind w:left="357" w:hanging="357"/>
    </w:pPr>
    <w:rPr>
      <w:color w:val="000000" w:themeColor="text1" w:themeShade="BF"/>
    </w:rPr>
  </w:style>
  <w:style w:type="paragraph" w:styleId="ListBullet2">
    <w:name w:val="List Bullet 2"/>
    <w:basedOn w:val="Normal"/>
    <w:uiPriority w:val="99"/>
    <w:unhideWhenUsed/>
    <w:rsid w:val="008033C4"/>
    <w:pPr>
      <w:numPr>
        <w:numId w:val="3"/>
      </w:numPr>
      <w:spacing w:before="120"/>
      <w:ind w:left="641" w:hanging="357"/>
    </w:pPr>
  </w:style>
  <w:style w:type="paragraph" w:styleId="TOCHeading">
    <w:name w:val="TOC Heading"/>
    <w:basedOn w:val="Normal"/>
    <w:next w:val="Normal"/>
    <w:uiPriority w:val="39"/>
    <w:qFormat/>
    <w:rsid w:val="00E04818"/>
    <w:pPr>
      <w:spacing w:before="480" w:after="120"/>
    </w:pPr>
    <w:rPr>
      <w:rFonts w:ascii="Lucida Fax" w:eastAsiaTheme="majorEastAsia" w:hAnsi="Lucida Fax" w:cstheme="majorBidi"/>
      <w:bCs/>
      <w:color w:val="51626F"/>
      <w:sz w:val="32"/>
      <w:szCs w:val="28"/>
      <w:lang w:val="en-US" w:eastAsia="ja-JP"/>
    </w:rPr>
  </w:style>
  <w:style w:type="paragraph" w:styleId="ListNumber2">
    <w:name w:val="List Number 2"/>
    <w:aliases w:val="List alphabet"/>
    <w:next w:val="Normal"/>
    <w:uiPriority w:val="99"/>
    <w:qFormat/>
    <w:rsid w:val="008033C4"/>
    <w:pPr>
      <w:numPr>
        <w:numId w:val="8"/>
      </w:numPr>
      <w:spacing w:before="120"/>
      <w:ind w:left="357" w:hanging="357"/>
    </w:pPr>
    <w:rPr>
      <w:rFonts w:ascii="Arial" w:hAnsi="Arial"/>
    </w:rPr>
  </w:style>
  <w:style w:type="character" w:styleId="Hyperlink">
    <w:name w:val="Hyperlink"/>
    <w:basedOn w:val="DefaultParagraphFont"/>
    <w:qFormat/>
    <w:rsid w:val="00BE1F1B"/>
    <w:rPr>
      <w:rFonts w:ascii="Arial" w:hAnsi="Arial"/>
      <w:color w:val="0000FF"/>
      <w:sz w:val="22"/>
      <w:u w:val="single"/>
    </w:rPr>
  </w:style>
  <w:style w:type="paragraph" w:styleId="BalloonText">
    <w:name w:val="Balloon Text"/>
    <w:basedOn w:val="Normal"/>
    <w:link w:val="BalloonTextChar"/>
    <w:semiHidden/>
    <w:unhideWhenUsed/>
    <w:rsid w:val="003518B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A57D04"/>
    <w:pPr>
      <w:tabs>
        <w:tab w:val="center" w:pos="4513"/>
        <w:tab w:val="right" w:pos="9026"/>
      </w:tabs>
      <w:spacing w:after="120"/>
    </w:pPr>
    <w:rPr>
      <w:color w:val="51626F" w:themeColor="accent1"/>
      <w:sz w:val="18"/>
    </w:rPr>
  </w:style>
  <w:style w:type="character" w:customStyle="1" w:styleId="FooterChar">
    <w:name w:val="Footer Char"/>
    <w:basedOn w:val="DefaultParagraphFont"/>
    <w:link w:val="Footer"/>
    <w:uiPriority w:val="99"/>
    <w:rsid w:val="00A57D04"/>
    <w:rPr>
      <w:rFonts w:ascii="Arial" w:hAnsi="Arial"/>
      <w:color w:val="51626F" w:themeColor="accent1"/>
      <w:sz w:val="18"/>
    </w:rPr>
  </w:style>
  <w:style w:type="paragraph" w:styleId="ListParagraph">
    <w:name w:val="List Paragraph"/>
    <w:basedOn w:val="Normal"/>
    <w:uiPriority w:val="34"/>
    <w:qFormat/>
    <w:rsid w:val="008033C4"/>
    <w:pPr>
      <w:numPr>
        <w:numId w:val="14"/>
      </w:numPr>
      <w:spacing w:before="120"/>
      <w:ind w:left="714" w:hanging="357"/>
    </w:pPr>
  </w:style>
  <w:style w:type="character" w:customStyle="1" w:styleId="Heading7Char">
    <w:name w:val="Heading 7 Char"/>
    <w:basedOn w:val="DefaultParagraphFont"/>
    <w:link w:val="Heading7"/>
    <w:uiPriority w:val="9"/>
    <w:rsid w:val="009D6B46"/>
    <w:rPr>
      <w:rFonts w:ascii="Arial" w:eastAsiaTheme="majorEastAsia" w:hAnsi="Arial" w:cstheme="majorBidi"/>
      <w:i/>
      <w:iCs/>
      <w:color w:val="404040" w:themeColor="text1" w:themeTint="BF"/>
    </w:rPr>
  </w:style>
  <w:style w:type="character" w:customStyle="1" w:styleId="Heading8Char">
    <w:name w:val="Heading 8 Char"/>
    <w:basedOn w:val="DefaultParagraphFont"/>
    <w:link w:val="Heading8"/>
    <w:rsid w:val="009D6B46"/>
    <w:rPr>
      <w:rFonts w:ascii="Arial" w:eastAsiaTheme="majorEastAsia" w:hAnsi="Arial" w:cstheme="majorBidi"/>
      <w:color w:val="51626F" w:themeColor="accent1"/>
      <w:szCs w:val="20"/>
    </w:rPr>
  </w:style>
  <w:style w:type="character" w:customStyle="1" w:styleId="Heading9Char">
    <w:name w:val="Heading 9 Char"/>
    <w:basedOn w:val="DefaultParagraphFont"/>
    <w:link w:val="Heading9"/>
    <w:uiPriority w:val="9"/>
    <w:rsid w:val="009D6B46"/>
    <w:rPr>
      <w:rFonts w:ascii="Arial" w:eastAsiaTheme="majorEastAsia" w:hAnsi="Arial" w:cstheme="majorBidi"/>
      <w:i/>
      <w:iCs/>
      <w:color w:val="51626F" w:themeColor="accent1"/>
      <w:szCs w:val="20"/>
    </w:rPr>
  </w:style>
  <w:style w:type="paragraph" w:customStyle="1" w:styleId="Numbered1111111">
    <w:name w:val="Numbered 1.1.1.1.1.1.1"/>
    <w:basedOn w:val="Heading7"/>
    <w:next w:val="Normal"/>
    <w:uiPriority w:val="2"/>
    <w:rsid w:val="00B17A1D"/>
    <w:pPr>
      <w:numPr>
        <w:ilvl w:val="6"/>
        <w:numId w:val="15"/>
      </w:numPr>
      <w:ind w:left="2381" w:hanging="2381"/>
    </w:pPr>
  </w:style>
  <w:style w:type="paragraph" w:customStyle="1" w:styleId="Numbered11111111">
    <w:name w:val="Numbered 1.1.1.1.1.1.1.1"/>
    <w:basedOn w:val="Heading8"/>
    <w:next w:val="Normal"/>
    <w:uiPriority w:val="2"/>
    <w:rsid w:val="00B17A1D"/>
    <w:pPr>
      <w:numPr>
        <w:ilvl w:val="7"/>
        <w:numId w:val="15"/>
      </w:numPr>
      <w:ind w:left="2608" w:hanging="2608"/>
    </w:pPr>
  </w:style>
  <w:style w:type="table" w:styleId="TableGrid">
    <w:name w:val="Table Grid"/>
    <w:aliases w:val="ACCC Table"/>
    <w:basedOn w:val="TableNormal"/>
    <w:rsid w:val="00C53B5A"/>
    <w:pPr>
      <w:spacing w:before="60" w:after="60"/>
    </w:pPr>
    <w:rPr>
      <w:rFonts w:ascii="Arial" w:hAnsi="Arial"/>
      <w:sz w:val="20"/>
    </w:rPr>
    <w:tblPr>
      <w:tblInd w:w="0" w:type="dxa"/>
      <w:tblBorders>
        <w:top w:val="single" w:sz="4" w:space="0" w:color="BFBFBF" w:themeColor="background1" w:themeShade="BF"/>
        <w:bottom w:val="single" w:sz="4" w:space="0" w:color="BFBFBF" w:themeColor="background1" w:themeShade="BF"/>
      </w:tblBorders>
      <w:tblCellMar>
        <w:top w:w="0" w:type="dxa"/>
        <w:left w:w="108" w:type="dxa"/>
        <w:bottom w:w="0" w:type="dxa"/>
        <w:right w:w="108" w:type="dxa"/>
      </w:tblCellMar>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Ind w:w="0" w:type="dxa"/>
      <w:tbl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blBorders>
      <w:tblCellMar>
        <w:top w:w="0" w:type="dxa"/>
        <w:left w:w="108" w:type="dxa"/>
        <w:bottom w:w="0" w:type="dxa"/>
        <w:right w:w="108" w:type="dxa"/>
      </w:tblCellMar>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A871F4"/>
    <w:pPr>
      <w:spacing w:before="0"/>
    </w:pPr>
    <w:rPr>
      <w:color w:val="3C4953" w:themeColor="accent1" w:themeShade="BF"/>
    </w:rPr>
    <w:tblPr>
      <w:tblStyleRowBandSize w:val="1"/>
      <w:tblStyleColBandSize w:val="1"/>
      <w:tblInd w:w="0" w:type="dxa"/>
      <w:tblBorders>
        <w:top w:val="single" w:sz="8" w:space="0" w:color="51626F" w:themeColor="accent1"/>
        <w:bottom w:val="single" w:sz="8" w:space="0" w:color="51626F"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la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8DD" w:themeFill="accent1" w:themeFillTint="3F"/>
      </w:tcPr>
    </w:tblStylePr>
    <w:tblStylePr w:type="band1Horz">
      <w:tblPr/>
      <w:tcPr>
        <w:tcBorders>
          <w:left w:val="nil"/>
          <w:right w:val="nil"/>
          <w:insideH w:val="nil"/>
          <w:insideV w:val="nil"/>
        </w:tcBorders>
        <w:shd w:val="clear" w:color="auto" w:fill="D1D8DD"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Ind w:w="0" w:type="dxa"/>
      <w:tbl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blBorders>
      <w:tblCellMar>
        <w:top w:w="0" w:type="dxa"/>
        <w:left w:w="108" w:type="dxa"/>
        <w:bottom w:w="0" w:type="dxa"/>
        <w:right w:w="108" w:type="dxa"/>
      </w:tblCellMar>
    </w:tblPr>
    <w:tcPr>
      <w:vAlign w:val="center"/>
    </w:tcPr>
    <w:tblStylePr w:type="fir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l2br w:val="nil"/>
          <w:tr2bl w:val="nil"/>
        </w:tcBorders>
      </w:tcPr>
    </w:tblStylePr>
    <w:tblStylePr w:type="la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7192" w:themeColor="accent3" w:themeShade="BF"/>
    </w:rPr>
    <w:tblPr>
      <w:tblStyleRowBandSize w:val="1"/>
      <w:tblStyleColBandSize w:val="1"/>
      <w:tblInd w:w="0" w:type="dxa"/>
      <w:tblBorders>
        <w:top w:val="single" w:sz="8" w:space="0" w:color="0098C3" w:themeColor="accent3"/>
        <w:bottom w:val="single" w:sz="8" w:space="0" w:color="0098C3"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la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EDFF" w:themeFill="accent3" w:themeFillTint="3F"/>
      </w:tcPr>
    </w:tblStylePr>
    <w:tblStylePr w:type="band1Horz">
      <w:tblPr/>
      <w:tcPr>
        <w:tcBorders>
          <w:left w:val="nil"/>
          <w:right w:val="nil"/>
          <w:insideH w:val="nil"/>
          <w:insideV w:val="nil"/>
        </w:tcBorders>
        <w:shd w:val="clear" w:color="auto" w:fill="B1ED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Ind w:w="0" w:type="dxa"/>
      <w:tblBorders>
        <w:top w:val="single" w:sz="8" w:space="0" w:color="DC5034" w:themeColor="accent6"/>
        <w:left w:val="single" w:sz="8" w:space="0" w:color="DC5034" w:themeColor="accent6"/>
        <w:bottom w:val="single" w:sz="8" w:space="0" w:color="DC5034" w:themeColor="accent6"/>
        <w:right w:val="single" w:sz="8" w:space="0" w:color="DC5034" w:themeColor="accent6"/>
        <w:insideH w:val="single" w:sz="8" w:space="0" w:color="DC5034" w:themeColor="accent6"/>
        <w:insideV w:val="single" w:sz="8" w:space="0" w:color="DC5034"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18" w:space="0" w:color="DC5034" w:themeColor="accent6"/>
          <w:right w:val="single" w:sz="8" w:space="0" w:color="DC5034" w:themeColor="accent6"/>
          <w:insideH w:val="nil"/>
          <w:insideV w:val="single" w:sz="8" w:space="0" w:color="DC503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insideH w:val="nil"/>
          <w:insideV w:val="single" w:sz="8" w:space="0" w:color="DC503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shd w:val="clear" w:color="auto" w:fill="F6D3CC" w:themeFill="accent6" w:themeFillTint="3F"/>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shd w:val="clear" w:color="auto" w:fill="F6D3CC" w:themeFill="accent6" w:themeFillTint="3F"/>
      </w:tcPr>
    </w:tblStylePr>
    <w:tblStylePr w:type="band2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Ind w:w="0" w:type="dxa"/>
      <w:tbl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single" w:sz="8" w:space="0" w:color="758A9A"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shd w:val="clear" w:color="auto" w:fill="51626F" w:themeFill="accent1"/>
      </w:tcPr>
    </w:tblStylePr>
    <w:tblStylePr w:type="lastRow">
      <w:pPr>
        <w:spacing w:before="0" w:after="0" w:line="240" w:lineRule="auto"/>
      </w:pPr>
      <w:rPr>
        <w:b/>
        <w:bCs/>
      </w:rPr>
      <w:tblPr/>
      <w:tcPr>
        <w:tcBorders>
          <w:top w:val="double" w:sz="6"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D8DD" w:themeFill="accent1" w:themeFillTint="3F"/>
      </w:tcPr>
    </w:tblStylePr>
    <w:tblStylePr w:type="band1Horz">
      <w:tblPr/>
      <w:tcPr>
        <w:tcBorders>
          <w:insideH w:val="nil"/>
          <w:insideV w:val="nil"/>
        </w:tcBorders>
        <w:shd w:val="clear" w:color="auto" w:fill="D1D8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Ind w:w="0" w:type="dxa"/>
      <w:tbl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single" w:sz="8" w:space="0" w:color="7643BB"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shd w:val="clear" w:color="auto" w:fill="4F2D7D" w:themeFill="accent2"/>
      </w:tcPr>
    </w:tblStylePr>
    <w:tblStylePr w:type="lastRow">
      <w:pPr>
        <w:spacing w:before="0" w:after="0" w:line="240" w:lineRule="auto"/>
      </w:pPr>
      <w:rPr>
        <w:b/>
        <w:bCs/>
      </w:rPr>
      <w:tblPr/>
      <w:tcPr>
        <w:tcBorders>
          <w:top w:val="double" w:sz="6"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tcPr>
    </w:tblStylePr>
    <w:tblStylePr w:type="firstCol">
      <w:rPr>
        <w:b/>
        <w:bCs/>
      </w:rPr>
    </w:tblStylePr>
    <w:tblStylePr w:type="lastCol">
      <w:rPr>
        <w:b/>
        <w:bCs/>
      </w:rPr>
    </w:tblStylePr>
    <w:tblStylePr w:type="band1Vert">
      <w:tblPr/>
      <w:tcPr>
        <w:shd w:val="clear" w:color="auto" w:fill="D1C1E8" w:themeFill="accent2" w:themeFillTint="3F"/>
      </w:tcPr>
    </w:tblStylePr>
    <w:tblStylePr w:type="band1Horz">
      <w:tblPr/>
      <w:tcPr>
        <w:tcBorders>
          <w:insideH w:val="nil"/>
          <w:insideV w:val="nil"/>
        </w:tcBorders>
        <w:shd w:val="clear" w:color="auto" w:fill="D1C1E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Ind w:w="0" w:type="dxa"/>
      <w:tbl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single" w:sz="8" w:space="0" w:color="13CAFF"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shd w:val="clear" w:color="auto" w:fill="0098C3" w:themeFill="accent3"/>
      </w:tcPr>
    </w:tblStylePr>
    <w:tblStylePr w:type="lastRow">
      <w:pPr>
        <w:spacing w:before="0" w:after="0" w:line="240" w:lineRule="auto"/>
      </w:pPr>
      <w:rPr>
        <w:b/>
        <w:bCs/>
      </w:rPr>
      <w:tblPr/>
      <w:tcPr>
        <w:tcBorders>
          <w:top w:val="double" w:sz="6"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1EDFF" w:themeFill="accent3" w:themeFillTint="3F"/>
      </w:tcPr>
    </w:tblStylePr>
    <w:tblStylePr w:type="band1Horz">
      <w:tblPr/>
      <w:tcPr>
        <w:tcBorders>
          <w:insideH w:val="nil"/>
          <w:insideV w:val="nil"/>
        </w:tcBorders>
        <w:shd w:val="clear" w:color="auto" w:fill="B1E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Ind w:w="0" w:type="dxa"/>
      <w:tbl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single" w:sz="8" w:space="0" w:color="B7DAF0"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shd w:val="clear" w:color="auto" w:fill="A0CFEB" w:themeFill="accent4"/>
      </w:tcPr>
    </w:tblStylePr>
    <w:tblStylePr w:type="lastRow">
      <w:pPr>
        <w:spacing w:before="0" w:after="0" w:line="240" w:lineRule="auto"/>
      </w:pPr>
      <w:rPr>
        <w:b/>
        <w:bCs/>
      </w:rPr>
      <w:tblPr/>
      <w:tcPr>
        <w:tcBorders>
          <w:top w:val="double" w:sz="6"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F3FA" w:themeFill="accent4" w:themeFillTint="3F"/>
      </w:tcPr>
    </w:tblStylePr>
    <w:tblStylePr w:type="band1Horz">
      <w:tblPr/>
      <w:tcPr>
        <w:tcBorders>
          <w:insideH w:val="nil"/>
          <w:insideV w:val="nil"/>
        </w:tcBorders>
        <w:shd w:val="clear" w:color="auto" w:fill="E7F3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Ind w:w="0" w:type="dxa"/>
      <w:tbl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single" w:sz="8" w:space="0" w:color="FC220E"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shd w:val="clear" w:color="auto" w:fill="B71202" w:themeFill="accent5"/>
      </w:tcPr>
    </w:tblStylePr>
    <w:tblStylePr w:type="lastRow">
      <w:pPr>
        <w:spacing w:before="0" w:after="0" w:line="240" w:lineRule="auto"/>
      </w:pPr>
      <w:rPr>
        <w:b/>
        <w:bCs/>
      </w:rPr>
      <w:tblPr/>
      <w:tcPr>
        <w:tcBorders>
          <w:top w:val="double" w:sz="6"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B6AF" w:themeFill="accent5" w:themeFillTint="3F"/>
      </w:tcPr>
    </w:tblStylePr>
    <w:tblStylePr w:type="band1Horz">
      <w:tblPr/>
      <w:tcPr>
        <w:tcBorders>
          <w:insideH w:val="nil"/>
          <w:insideV w:val="nil"/>
        </w:tcBorders>
        <w:shd w:val="clear" w:color="auto" w:fill="FEB6AF"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rsid w:val="00A871F4"/>
    <w:pPr>
      <w:spacing w:before="0"/>
    </w:pPr>
    <w:rPr>
      <w:color w:val="880D01" w:themeColor="accent5" w:themeShade="BF"/>
    </w:rPr>
    <w:tblPr>
      <w:tblStyleRowBandSize w:val="1"/>
      <w:tblStyleColBandSize w:val="1"/>
      <w:tblInd w:w="0" w:type="dxa"/>
      <w:tblBorders>
        <w:top w:val="single" w:sz="8" w:space="0" w:color="B71202" w:themeColor="accent5"/>
        <w:bottom w:val="single" w:sz="8" w:space="0" w:color="B71202"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la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B6AF" w:themeFill="accent5" w:themeFillTint="3F"/>
      </w:tcPr>
    </w:tblStylePr>
    <w:tblStylePr w:type="band1Horz">
      <w:tblPr/>
      <w:tcPr>
        <w:tcBorders>
          <w:left w:val="nil"/>
          <w:right w:val="nil"/>
          <w:insideH w:val="nil"/>
          <w:insideV w:val="nil"/>
        </w:tcBorders>
        <w:shd w:val="clear" w:color="auto" w:fill="FEB6AF"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Ind w:w="0" w:type="dxa"/>
      <w:tblBorders>
        <w:top w:val="single" w:sz="8" w:space="0" w:color="0098C3" w:themeColor="accent3"/>
        <w:left w:val="single" w:sz="8" w:space="0" w:color="0098C3" w:themeColor="accent3"/>
        <w:bottom w:val="single" w:sz="8" w:space="0" w:color="0098C3" w:themeColor="accent3"/>
        <w:right w:val="single" w:sz="8" w:space="0" w:color="0098C3" w:themeColor="accent3"/>
        <w:insideH w:val="single" w:sz="8" w:space="0" w:color="0098C3" w:themeColor="accent3"/>
        <w:insideV w:val="single" w:sz="8" w:space="0" w:color="0098C3"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18" w:space="0" w:color="0098C3" w:themeColor="accent3"/>
          <w:right w:val="single" w:sz="8" w:space="0" w:color="0098C3" w:themeColor="accent3"/>
          <w:insideH w:val="nil"/>
          <w:insideV w:val="single" w:sz="8" w:space="0" w:color="0098C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insideH w:val="nil"/>
          <w:insideV w:val="single" w:sz="8" w:space="0" w:color="0098C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shd w:val="clear" w:color="auto" w:fill="B1EDFF" w:themeFill="accent3" w:themeFillTint="3F"/>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shd w:val="clear" w:color="auto" w:fill="B1EDFF" w:themeFill="accent3" w:themeFillTint="3F"/>
      </w:tcPr>
    </w:tblStylePr>
    <w:tblStylePr w:type="band2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9F4940"/>
    <w:pPr>
      <w:tabs>
        <w:tab w:val="left" w:pos="426"/>
        <w:tab w:val="right" w:leader="dot" w:pos="9016"/>
      </w:tabs>
      <w:spacing w:after="100"/>
    </w:pPr>
    <w:rPr>
      <w:noProof/>
      <w:lang w:val="en-US" w:eastAsia="ja-JP"/>
    </w:rPr>
  </w:style>
  <w:style w:type="paragraph" w:styleId="TOC2">
    <w:name w:val="toc 2"/>
    <w:basedOn w:val="Normal"/>
    <w:next w:val="Normal"/>
    <w:uiPriority w:val="39"/>
    <w:qFormat/>
    <w:rsid w:val="009F4940"/>
    <w:pPr>
      <w:tabs>
        <w:tab w:val="left" w:pos="880"/>
        <w:tab w:val="right" w:leader="dot" w:pos="9016"/>
      </w:tabs>
      <w:spacing w:after="100"/>
      <w:ind w:left="425"/>
    </w:pPr>
    <w:rPr>
      <w:noProof/>
    </w:rPr>
  </w:style>
  <w:style w:type="paragraph" w:styleId="TOC3">
    <w:name w:val="toc 3"/>
    <w:basedOn w:val="Normal"/>
    <w:next w:val="Normal"/>
    <w:uiPriority w:val="39"/>
    <w:qFormat/>
    <w:rsid w:val="009F4940"/>
    <w:pPr>
      <w:tabs>
        <w:tab w:val="left" w:pos="1760"/>
        <w:tab w:val="right" w:leader="dot" w:pos="9016"/>
      </w:tabs>
      <w:spacing w:after="100"/>
      <w:ind w:left="851"/>
    </w:pPr>
    <w:rPr>
      <w:noProof/>
    </w:rPr>
  </w:style>
  <w:style w:type="paragraph" w:styleId="Title">
    <w:name w:val="Title"/>
    <w:basedOn w:val="Normal"/>
    <w:next w:val="Normal"/>
    <w:link w:val="TitleChar"/>
    <w:qFormat/>
    <w:rsid w:val="000E2946"/>
    <w:pPr>
      <w:spacing w:before="100" w:beforeAutospacing="1" w:after="120"/>
      <w:contextualSpacing/>
      <w:outlineLvl w:val="0"/>
    </w:pPr>
    <w:rPr>
      <w:rFonts w:eastAsiaTheme="majorEastAsia" w:cstheme="majorBidi"/>
      <w:b/>
      <w:spacing w:val="5"/>
      <w:kern w:val="28"/>
      <w:sz w:val="44"/>
      <w:szCs w:val="52"/>
    </w:rPr>
  </w:style>
  <w:style w:type="character" w:customStyle="1" w:styleId="TitleChar">
    <w:name w:val="Title Char"/>
    <w:basedOn w:val="DefaultParagraphFont"/>
    <w:link w:val="Title"/>
    <w:rsid w:val="000E2946"/>
    <w:rPr>
      <w:rFonts w:ascii="Arial" w:eastAsiaTheme="majorEastAsia" w:hAnsi="Arial" w:cstheme="majorBidi"/>
      <w:b/>
      <w:spacing w:val="5"/>
      <w:kern w:val="28"/>
      <w:sz w:val="44"/>
      <w:szCs w:val="52"/>
    </w:rPr>
  </w:style>
  <w:style w:type="paragraph" w:customStyle="1" w:styleId="CoverDate">
    <w:name w:val="Cover Date"/>
    <w:qFormat/>
    <w:rsid w:val="00746E01"/>
    <w:rPr>
      <w:rFonts w:ascii="Lucida Fax" w:hAnsi="Lucida Fax"/>
      <w:color w:val="DC5034"/>
      <w:szCs w:val="24"/>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Ind w:w="0" w:type="dxa"/>
      <w:tblBorders>
        <w:top w:val="single" w:sz="8" w:space="0" w:color="51626F" w:themeColor="accent1"/>
        <w:left w:val="single" w:sz="8" w:space="0" w:color="51626F" w:themeColor="accent1"/>
        <w:bottom w:val="single" w:sz="8" w:space="0" w:color="51626F" w:themeColor="accent1"/>
        <w:right w:val="single" w:sz="8" w:space="0" w:color="51626F"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1626F" w:themeFill="accent1"/>
      </w:tcPr>
    </w:tblStylePr>
    <w:tblStylePr w:type="lastRow">
      <w:pPr>
        <w:spacing w:before="0" w:after="0" w:line="240" w:lineRule="auto"/>
      </w:pPr>
      <w:rPr>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tcBorders>
      </w:tcPr>
    </w:tblStylePr>
    <w:tblStylePr w:type="firstCol">
      <w:rPr>
        <w:b/>
        <w:bCs/>
      </w:rPr>
    </w:tblStylePr>
    <w:tblStylePr w:type="lastCol">
      <w:rPr>
        <w:b/>
        <w:bCs/>
      </w:r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Ind w:w="0" w:type="dxa"/>
      <w:tblBorders>
        <w:top w:val="single" w:sz="8" w:space="0" w:color="0098C3" w:themeColor="accent3"/>
        <w:left w:val="single" w:sz="8" w:space="0" w:color="0098C3" w:themeColor="accent3"/>
        <w:bottom w:val="single" w:sz="8" w:space="0" w:color="0098C3" w:themeColor="accent3"/>
        <w:right w:val="single" w:sz="8" w:space="0" w:color="0098C3"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98C3" w:themeFill="accent3"/>
      </w:tcPr>
    </w:tblStylePr>
    <w:tblStylePr w:type="lastRow">
      <w:pPr>
        <w:spacing w:before="0" w:after="0" w:line="240" w:lineRule="auto"/>
      </w:pPr>
      <w:rPr>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tcBorders>
      </w:tcPr>
    </w:tblStylePr>
    <w:tblStylePr w:type="firstCol">
      <w:rPr>
        <w:b/>
        <w:bCs/>
      </w:rPr>
    </w:tblStylePr>
    <w:tblStylePr w:type="lastCol">
      <w:rPr>
        <w:b/>
        <w:bCs/>
      </w:r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Ind w:w="0" w:type="dxa"/>
      <w:tblBorders>
        <w:top w:val="single" w:sz="8" w:space="0" w:color="B71202" w:themeColor="accent5"/>
        <w:left w:val="single" w:sz="8" w:space="0" w:color="B71202" w:themeColor="accent5"/>
        <w:bottom w:val="single" w:sz="8" w:space="0" w:color="B71202" w:themeColor="accent5"/>
        <w:right w:val="single" w:sz="8" w:space="0" w:color="B71202" w:themeColor="accent5"/>
      </w:tblBorders>
      <w:tblCellMar>
        <w:top w:w="0" w:type="dxa"/>
        <w:left w:w="108" w:type="dxa"/>
        <w:bottom w:w="0" w:type="dxa"/>
        <w:right w:w="108" w:type="dxa"/>
      </w:tblCellMar>
    </w:tblPr>
    <w:tblStylePr w:type="firstRow">
      <w:pPr>
        <w:spacing w:before="0" w:after="0" w:line="240" w:lineRule="auto"/>
      </w:pPr>
      <w:rPr>
        <w:b/>
        <w:bCs/>
        <w:color w:val="auto"/>
      </w:rPr>
      <w:tblPr/>
      <w:tcPr>
        <w:shd w:val="clear" w:color="auto" w:fill="B71202" w:themeFill="accent5"/>
      </w:tcPr>
    </w:tblStylePr>
    <w:tblStylePr w:type="lastRow">
      <w:pPr>
        <w:spacing w:before="0" w:after="0" w:line="240" w:lineRule="auto"/>
      </w:pPr>
      <w:rPr>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tcBorders>
      </w:tcPr>
    </w:tblStylePr>
    <w:tblStylePr w:type="firstCol">
      <w:rPr>
        <w:b/>
        <w:bCs/>
      </w:rPr>
    </w:tblStylePr>
    <w:tblStylePr w:type="lastCol">
      <w:rPr>
        <w:b/>
        <w:bCs/>
      </w:r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style>
  <w:style w:type="character" w:styleId="Emphasis">
    <w:name w:val="Emphasis"/>
    <w:basedOn w:val="DefaultParagraphFont"/>
    <w:qFormat/>
    <w:rsid w:val="00701CAB"/>
    <w:rPr>
      <w:i/>
      <w:iCs/>
    </w:rPr>
  </w:style>
  <w:style w:type="paragraph" w:styleId="NormalIndent">
    <w:name w:val="Normal Indent"/>
    <w:basedOn w:val="Normal"/>
    <w:uiPriority w:val="1"/>
    <w:rsid w:val="00085663"/>
    <w:pPr>
      <w:ind w:left="720"/>
    </w:pPr>
  </w:style>
  <w:style w:type="paragraph" w:styleId="FootnoteText">
    <w:name w:val="footnote text"/>
    <w:aliases w:val="ALTS FOOTNOTE,(NECG) Footnote Text,Footnote text,AR Footnote Text,AR Footnote Text Char Char Char Char Char,ALTS FOOTNOTE Char1,Footnote Text Char1 Char,Footnote Text Char Char Char,Footnote Text Char1 Char Char Char,fn,Footnote Text1,f"/>
    <w:basedOn w:val="Normal"/>
    <w:link w:val="FootnoteTextChar"/>
    <w:qFormat/>
    <w:rsid w:val="00615C6B"/>
    <w:pPr>
      <w:spacing w:before="60"/>
    </w:pPr>
    <w:rPr>
      <w:sz w:val="16"/>
      <w:szCs w:val="20"/>
    </w:rPr>
  </w:style>
  <w:style w:type="character" w:customStyle="1" w:styleId="FootnoteTextChar">
    <w:name w:val="Footnote Text Char"/>
    <w:aliases w:val="ALTS FOOTNOTE Char,(NECG) Footnote Text Char,Footnote text Char,AR Footnote Text Char,AR Footnote Text Char Char Char Char Char Char,ALTS FOOTNOTE Char1 Char,Footnote Text Char1 Char Char,Footnote Text Char Char Char Char,fn Char"/>
    <w:basedOn w:val="DefaultParagraphFont"/>
    <w:link w:val="FootnoteText"/>
    <w:rsid w:val="00615C6B"/>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nhideWhenUsed/>
    <w:rsid w:val="00701CAB"/>
    <w:rPr>
      <w:vertAlign w:val="superscript"/>
    </w:rPr>
  </w:style>
  <w:style w:type="character" w:styleId="Strong">
    <w:name w:val="Strong"/>
    <w:basedOn w:val="DefaultParagraphFont"/>
    <w:uiPriority w:val="22"/>
    <w:qFormat/>
    <w:rsid w:val="00EF5110"/>
    <w:rPr>
      <w:b/>
      <w:bCs/>
    </w:rPr>
  </w:style>
  <w:style w:type="paragraph" w:styleId="Subtitle">
    <w:name w:val="Subtitle"/>
    <w:next w:val="Normal"/>
    <w:link w:val="SubtitleChar"/>
    <w:uiPriority w:val="11"/>
    <w:qFormat/>
    <w:rsid w:val="008344F6"/>
    <w:pPr>
      <w:spacing w:before="360" w:after="120"/>
    </w:pPr>
    <w:rPr>
      <w:rFonts w:ascii="Lucida Fax" w:hAnsi="Lucida Fax"/>
      <w:color w:val="4F2D7F"/>
      <w:sz w:val="52"/>
      <w:szCs w:val="52"/>
    </w:rPr>
  </w:style>
  <w:style w:type="character" w:customStyle="1" w:styleId="SubtitleChar">
    <w:name w:val="Subtitle Char"/>
    <w:basedOn w:val="DefaultParagraphFont"/>
    <w:link w:val="Subtitle"/>
    <w:uiPriority w:val="11"/>
    <w:rsid w:val="008344F6"/>
    <w:rPr>
      <w:rFonts w:ascii="Lucida Fax" w:hAnsi="Lucida Fax"/>
      <w:color w:val="4F2D7F"/>
      <w:sz w:val="52"/>
      <w:szCs w:val="52"/>
    </w:rPr>
  </w:style>
  <w:style w:type="table" w:styleId="LightShading-Accent4">
    <w:name w:val="Light Shading Accent 4"/>
    <w:basedOn w:val="TableNormal"/>
    <w:uiPriority w:val="60"/>
    <w:rsid w:val="00746E01"/>
    <w:pPr>
      <w:spacing w:before="0"/>
    </w:pPr>
    <w:rPr>
      <w:color w:val="4DA5D9" w:themeColor="accent4" w:themeShade="BF"/>
    </w:rPr>
    <w:tblPr>
      <w:tblStyleRowBandSize w:val="1"/>
      <w:tblStyleColBandSize w:val="1"/>
      <w:tblInd w:w="0" w:type="dxa"/>
      <w:tblBorders>
        <w:top w:val="single" w:sz="8" w:space="0" w:color="A0CFEB" w:themeColor="accent4"/>
        <w:bottom w:val="single" w:sz="8" w:space="0" w:color="A0CFEB"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la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3FA" w:themeFill="accent4" w:themeFillTint="3F"/>
      </w:tcPr>
    </w:tblStylePr>
    <w:tblStylePr w:type="band1Horz">
      <w:tblPr/>
      <w:tcPr>
        <w:tcBorders>
          <w:left w:val="nil"/>
          <w:right w:val="nil"/>
          <w:insideH w:val="nil"/>
          <w:insideV w:val="nil"/>
        </w:tcBorders>
        <w:shd w:val="clear" w:color="auto" w:fill="E7F3FA" w:themeFill="accent4" w:themeFillTint="3F"/>
      </w:tcPr>
    </w:tblStylePr>
  </w:style>
  <w:style w:type="table" w:styleId="LightShading-Accent6">
    <w:name w:val="Light Shading Accent 6"/>
    <w:basedOn w:val="TableNormal"/>
    <w:uiPriority w:val="60"/>
    <w:rsid w:val="00746E01"/>
    <w:pPr>
      <w:spacing w:before="0"/>
    </w:pPr>
    <w:rPr>
      <w:color w:val="AD351E" w:themeColor="accent6" w:themeShade="BF"/>
    </w:rPr>
    <w:tblPr>
      <w:tblStyleRowBandSize w:val="1"/>
      <w:tblStyleColBandSize w:val="1"/>
      <w:tblInd w:w="0" w:type="dxa"/>
      <w:tblBorders>
        <w:top w:val="single" w:sz="8" w:space="0" w:color="DC5034" w:themeColor="accent6"/>
        <w:bottom w:val="single" w:sz="8" w:space="0" w:color="DC5034"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la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3CC" w:themeFill="accent6" w:themeFillTint="3F"/>
      </w:tcPr>
    </w:tblStylePr>
    <w:tblStylePr w:type="band1Horz">
      <w:tblPr/>
      <w:tcPr>
        <w:tcBorders>
          <w:left w:val="nil"/>
          <w:right w:val="nil"/>
          <w:insideH w:val="nil"/>
          <w:insideV w:val="nil"/>
        </w:tcBorders>
        <w:shd w:val="clear" w:color="auto" w:fill="F6D3CC" w:themeFill="accent6" w:themeFillTint="3F"/>
      </w:tcPr>
    </w:tblStylePr>
  </w:style>
  <w:style w:type="paragraph" w:styleId="TOC4">
    <w:name w:val="toc 4"/>
    <w:basedOn w:val="Normal"/>
    <w:next w:val="Normal"/>
    <w:rsid w:val="009F4940"/>
    <w:pPr>
      <w:tabs>
        <w:tab w:val="right" w:leader="dot" w:pos="9016"/>
      </w:tabs>
      <w:spacing w:after="100"/>
      <w:ind w:left="1276"/>
    </w:pPr>
    <w:rPr>
      <w:noProof/>
    </w:rPr>
  </w:style>
  <w:style w:type="paragraph" w:styleId="TOC5">
    <w:name w:val="toc 5"/>
    <w:basedOn w:val="Normal"/>
    <w:next w:val="Normal"/>
    <w:rsid w:val="009F4940"/>
    <w:pPr>
      <w:tabs>
        <w:tab w:val="right" w:leader="dot" w:pos="9016"/>
      </w:tabs>
      <w:spacing w:after="100"/>
      <w:ind w:left="1701"/>
    </w:pPr>
    <w:rPr>
      <w:noProof/>
    </w:rPr>
  </w:style>
  <w:style w:type="paragraph" w:styleId="TOC6">
    <w:name w:val="toc 6"/>
    <w:basedOn w:val="Normal"/>
    <w:next w:val="Normal"/>
    <w:rsid w:val="009F4940"/>
    <w:pPr>
      <w:tabs>
        <w:tab w:val="right" w:leader="dot" w:pos="9016"/>
      </w:tabs>
      <w:spacing w:after="100"/>
      <w:ind w:left="2127"/>
    </w:pPr>
    <w:rPr>
      <w:noProof/>
    </w:rPr>
  </w:style>
  <w:style w:type="paragraph" w:styleId="TOC7">
    <w:name w:val="toc 7"/>
    <w:basedOn w:val="Normal"/>
    <w:next w:val="Normal"/>
    <w:rsid w:val="009F4940"/>
    <w:pPr>
      <w:tabs>
        <w:tab w:val="right" w:leader="dot" w:pos="9016"/>
      </w:tabs>
      <w:spacing w:after="100"/>
      <w:ind w:left="2552"/>
    </w:pPr>
    <w:rPr>
      <w:noProof/>
    </w:rPr>
  </w:style>
  <w:style w:type="paragraph" w:customStyle="1" w:styleId="Numberedlist">
    <w:name w:val="Numbered list"/>
    <w:basedOn w:val="ListNumber"/>
    <w:rsid w:val="008033C4"/>
    <w:pPr>
      <w:numPr>
        <w:numId w:val="1"/>
      </w:numPr>
      <w:ind w:left="357" w:hanging="357"/>
    </w:pPr>
  </w:style>
  <w:style w:type="table" w:customStyle="1" w:styleId="LightShading1">
    <w:name w:val="Light Shading1"/>
    <w:basedOn w:val="TableNormal"/>
    <w:next w:val="LightShading"/>
    <w:uiPriority w:val="60"/>
    <w:rsid w:val="00C53B5A"/>
    <w:pPr>
      <w:spacing w:before="120" w:after="120"/>
    </w:pPr>
    <w:rPr>
      <w:color w:val="000000" w:themeColor="text1" w:themeShade="BF"/>
      <w:sz w:val="20"/>
    </w:rPr>
    <w:tblPr>
      <w:tblInd w:w="0" w:type="dxa"/>
      <w:tblBorders>
        <w:top w:val="single" w:sz="4" w:space="0" w:color="D5D6D2" w:themeColor="background2"/>
        <w:bottom w:val="single" w:sz="4" w:space="0" w:color="D5D6D2" w:themeColor="background2"/>
        <w:insideH w:val="single" w:sz="4" w:space="0" w:color="D5D6D2" w:themeColor="background2"/>
      </w:tblBorders>
      <w:tblCellMar>
        <w:top w:w="0" w:type="dxa"/>
        <w:left w:w="108" w:type="dxa"/>
        <w:bottom w:w="0" w:type="dxa"/>
        <w:right w:w="108" w:type="dxa"/>
      </w:tblCellMar>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Ind w:w="0" w:type="dxa"/>
      <w:tblBorders>
        <w:top w:val="single" w:sz="8" w:space="0" w:color="4F2D7D" w:themeColor="accent2"/>
        <w:left w:val="single" w:sz="8" w:space="0" w:color="4F2D7D" w:themeColor="accent2"/>
        <w:bottom w:val="single" w:sz="8" w:space="0" w:color="4F2D7D" w:themeColor="accent2"/>
        <w:right w:val="single" w:sz="8" w:space="0" w:color="4F2D7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2D7D" w:themeFill="accent2"/>
      </w:tcPr>
    </w:tblStylePr>
    <w:tblStylePr w:type="lastRow">
      <w:pPr>
        <w:spacing w:before="0" w:after="0" w:line="240" w:lineRule="auto"/>
      </w:pPr>
      <w:rPr>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tcBorders>
      </w:tcPr>
    </w:tblStylePr>
    <w:tblStylePr w:type="firstCol">
      <w:rPr>
        <w:b/>
        <w:bCs/>
      </w:rPr>
    </w:tblStylePr>
    <w:tblStylePr w:type="lastCol">
      <w:rPr>
        <w:b/>
        <w:bCs/>
      </w:r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Ind w:w="0" w:type="dxa"/>
      <w:tblBorders>
        <w:top w:val="single" w:sz="8" w:space="0" w:color="A0CFEB" w:themeColor="accent4"/>
        <w:left w:val="single" w:sz="8" w:space="0" w:color="A0CFEB" w:themeColor="accent4"/>
        <w:bottom w:val="single" w:sz="8" w:space="0" w:color="A0CFEB" w:themeColor="accent4"/>
        <w:right w:val="single" w:sz="8" w:space="0" w:color="A0CFEB"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0CFEB" w:themeFill="accent4"/>
      </w:tcPr>
    </w:tblStylePr>
    <w:tblStylePr w:type="lastRow">
      <w:pPr>
        <w:spacing w:before="0" w:after="0" w:line="240" w:lineRule="auto"/>
      </w:pPr>
      <w:rPr>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tcBorders>
      </w:tcPr>
    </w:tblStylePr>
    <w:tblStylePr w:type="firstCol">
      <w:rPr>
        <w:b/>
        <w:bCs/>
      </w:rPr>
    </w:tblStylePr>
    <w:tblStylePr w:type="lastCol">
      <w:rPr>
        <w:b/>
        <w:bCs/>
      </w:r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Ind w:w="0" w:type="dxa"/>
      <w:tblBorders>
        <w:top w:val="single" w:sz="8" w:space="0" w:color="DC5034" w:themeColor="accent6"/>
        <w:left w:val="single" w:sz="8" w:space="0" w:color="DC5034" w:themeColor="accent6"/>
        <w:bottom w:val="single" w:sz="8" w:space="0" w:color="DC5034" w:themeColor="accent6"/>
        <w:right w:val="single" w:sz="8" w:space="0" w:color="DC5034"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DC5034" w:themeFill="accent6"/>
      </w:tcPr>
    </w:tblStylePr>
    <w:tblStylePr w:type="lastRow">
      <w:pPr>
        <w:spacing w:before="0" w:after="0" w:line="240" w:lineRule="auto"/>
      </w:pPr>
      <w:rPr>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tcBorders>
      </w:tcPr>
    </w:tblStylePr>
    <w:tblStylePr w:type="firstCol">
      <w:rPr>
        <w:b/>
        <w:bCs/>
      </w:rPr>
    </w:tblStylePr>
    <w:tblStylePr w:type="lastCol">
      <w:rPr>
        <w:b/>
        <w:bCs/>
      </w:r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style>
  <w:style w:type="table" w:styleId="LightGrid">
    <w:name w:val="Light Grid"/>
    <w:basedOn w:val="TableNormal"/>
    <w:uiPriority w:val="62"/>
    <w:rsid w:val="009661DE"/>
    <w:pPr>
      <w:spacing w:before="0"/>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Ind w:w="0" w:type="dxa"/>
      <w:tblBorders>
        <w:top w:val="single" w:sz="8" w:space="0" w:color="51626F" w:themeColor="accent1"/>
        <w:left w:val="single" w:sz="8" w:space="0" w:color="51626F" w:themeColor="accent1"/>
        <w:bottom w:val="single" w:sz="8" w:space="0" w:color="51626F" w:themeColor="accent1"/>
        <w:right w:val="single" w:sz="8" w:space="0" w:color="51626F" w:themeColor="accent1"/>
        <w:insideH w:val="single" w:sz="8" w:space="0" w:color="51626F" w:themeColor="accent1"/>
        <w:insideV w:val="single" w:sz="8" w:space="0" w:color="51626F"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18" w:space="0" w:color="51626F" w:themeColor="accent1"/>
          <w:right w:val="single" w:sz="8" w:space="0" w:color="51626F" w:themeColor="accent1"/>
          <w:insideH w:val="nil"/>
          <w:insideV w:val="single" w:sz="8" w:space="0" w:color="51626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insideH w:val="nil"/>
          <w:insideV w:val="single" w:sz="8" w:space="0" w:color="51626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shd w:val="clear" w:color="auto" w:fill="D1D8DD" w:themeFill="accent1" w:themeFillTint="3F"/>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shd w:val="clear" w:color="auto" w:fill="D1D8DD" w:themeFill="accent1" w:themeFillTint="3F"/>
      </w:tcPr>
    </w:tblStylePr>
    <w:tblStylePr w:type="band2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Ind w:w="0" w:type="dxa"/>
      <w:tblBorders>
        <w:top w:val="single" w:sz="8" w:space="0" w:color="4F2D7D" w:themeColor="accent2"/>
        <w:left w:val="single" w:sz="8" w:space="0" w:color="4F2D7D" w:themeColor="accent2"/>
        <w:bottom w:val="single" w:sz="8" w:space="0" w:color="4F2D7D" w:themeColor="accent2"/>
        <w:right w:val="single" w:sz="8" w:space="0" w:color="4F2D7D" w:themeColor="accent2"/>
        <w:insideH w:val="single" w:sz="8" w:space="0" w:color="4F2D7D" w:themeColor="accent2"/>
        <w:insideV w:val="single" w:sz="8" w:space="0" w:color="4F2D7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18" w:space="0" w:color="4F2D7D" w:themeColor="accent2"/>
          <w:right w:val="single" w:sz="8" w:space="0" w:color="4F2D7D" w:themeColor="accent2"/>
          <w:insideH w:val="nil"/>
          <w:insideV w:val="single" w:sz="8" w:space="0" w:color="4F2D7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insideH w:val="nil"/>
          <w:insideV w:val="single" w:sz="8" w:space="0" w:color="4F2D7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shd w:val="clear" w:color="auto" w:fill="D1C1E8" w:themeFill="accent2" w:themeFillTint="3F"/>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shd w:val="clear" w:color="auto" w:fill="D1C1E8" w:themeFill="accent2" w:themeFillTint="3F"/>
      </w:tcPr>
    </w:tblStylePr>
    <w:tblStylePr w:type="band2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Ind w:w="0" w:type="dxa"/>
      <w:tblBorders>
        <w:top w:val="single" w:sz="8" w:space="0" w:color="A0CFEB" w:themeColor="accent4"/>
        <w:left w:val="single" w:sz="8" w:space="0" w:color="A0CFEB" w:themeColor="accent4"/>
        <w:bottom w:val="single" w:sz="8" w:space="0" w:color="A0CFEB" w:themeColor="accent4"/>
        <w:right w:val="single" w:sz="8" w:space="0" w:color="A0CFEB" w:themeColor="accent4"/>
        <w:insideH w:val="single" w:sz="8" w:space="0" w:color="A0CFEB" w:themeColor="accent4"/>
        <w:insideV w:val="single" w:sz="8" w:space="0" w:color="A0CFEB"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18" w:space="0" w:color="A0CFEB" w:themeColor="accent4"/>
          <w:right w:val="single" w:sz="8" w:space="0" w:color="A0CFEB" w:themeColor="accent4"/>
          <w:insideH w:val="nil"/>
          <w:insideV w:val="single" w:sz="8" w:space="0" w:color="A0CFE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insideH w:val="nil"/>
          <w:insideV w:val="single" w:sz="8" w:space="0" w:color="A0CFE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shd w:val="clear" w:color="auto" w:fill="E7F3FA" w:themeFill="accent4" w:themeFillTint="3F"/>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shd w:val="clear" w:color="auto" w:fill="E7F3FA" w:themeFill="accent4" w:themeFillTint="3F"/>
      </w:tcPr>
    </w:tblStylePr>
    <w:tblStylePr w:type="band2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Ind w:w="0" w:type="dxa"/>
      <w:tblBorders>
        <w:top w:val="single" w:sz="8" w:space="0" w:color="B71202" w:themeColor="accent5"/>
        <w:left w:val="single" w:sz="8" w:space="0" w:color="B71202" w:themeColor="accent5"/>
        <w:bottom w:val="single" w:sz="8" w:space="0" w:color="B71202" w:themeColor="accent5"/>
        <w:right w:val="single" w:sz="8" w:space="0" w:color="B71202" w:themeColor="accent5"/>
        <w:insideH w:val="single" w:sz="8" w:space="0" w:color="B71202" w:themeColor="accent5"/>
        <w:insideV w:val="single" w:sz="8" w:space="0" w:color="B71202"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18" w:space="0" w:color="B71202" w:themeColor="accent5"/>
          <w:right w:val="single" w:sz="8" w:space="0" w:color="B71202" w:themeColor="accent5"/>
          <w:insideH w:val="nil"/>
          <w:insideV w:val="single" w:sz="8" w:space="0" w:color="B7120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insideH w:val="nil"/>
          <w:insideV w:val="single" w:sz="8" w:space="0" w:color="B7120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shd w:val="clear" w:color="auto" w:fill="FEB6AF" w:themeFill="accent5" w:themeFillTint="3F"/>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shd w:val="clear" w:color="auto" w:fill="FEB6AF" w:themeFill="accent5" w:themeFillTint="3F"/>
      </w:tcPr>
    </w:tblStylePr>
    <w:tblStylePr w:type="band2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B17A1D"/>
    <w:pPr>
      <w:numPr>
        <w:ilvl w:val="8"/>
        <w:numId w:val="15"/>
      </w:numPr>
      <w:ind w:left="2948" w:hanging="2948"/>
    </w:pPr>
  </w:style>
  <w:style w:type="paragraph" w:styleId="Caption">
    <w:name w:val="caption"/>
    <w:basedOn w:val="Normal"/>
    <w:next w:val="Normal"/>
    <w:unhideWhenUsed/>
    <w:qFormat/>
    <w:rsid w:val="000E2946"/>
    <w:pPr>
      <w:keepNext/>
      <w:spacing w:before="240" w:after="120"/>
    </w:pPr>
    <w:rPr>
      <w:b/>
      <w:bCs/>
      <w:color w:val="2272A3" w:themeColor="accent4" w:themeShade="80"/>
      <w:sz w:val="24"/>
      <w:szCs w:val="18"/>
    </w:rPr>
  </w:style>
  <w:style w:type="paragraph" w:styleId="List">
    <w:name w:val="List"/>
    <w:basedOn w:val="Normal"/>
    <w:uiPriority w:val="99"/>
    <w:unhideWhenUsed/>
    <w:qFormat/>
    <w:rsid w:val="008033C4"/>
    <w:pPr>
      <w:spacing w:before="120"/>
      <w:ind w:left="284" w:hanging="284"/>
    </w:pPr>
  </w:style>
  <w:style w:type="paragraph" w:styleId="List2">
    <w:name w:val="List 2"/>
    <w:basedOn w:val="Normal"/>
    <w:uiPriority w:val="99"/>
    <w:unhideWhenUsed/>
    <w:rsid w:val="008033C4"/>
    <w:pPr>
      <w:spacing w:before="120"/>
      <w:ind w:left="568" w:hanging="284"/>
    </w:pPr>
  </w:style>
  <w:style w:type="paragraph" w:styleId="List3">
    <w:name w:val="List 3"/>
    <w:basedOn w:val="Normal"/>
    <w:uiPriority w:val="99"/>
    <w:unhideWhenUsed/>
    <w:rsid w:val="008033C4"/>
    <w:pPr>
      <w:spacing w:before="120"/>
      <w:ind w:left="851" w:hanging="284"/>
    </w:pPr>
  </w:style>
  <w:style w:type="paragraph" w:styleId="List4">
    <w:name w:val="List 4"/>
    <w:basedOn w:val="Normal"/>
    <w:uiPriority w:val="99"/>
    <w:unhideWhenUsed/>
    <w:rsid w:val="008033C4"/>
    <w:pPr>
      <w:spacing w:before="120"/>
      <w:ind w:left="1135" w:hanging="284"/>
    </w:pPr>
  </w:style>
  <w:style w:type="paragraph" w:styleId="List5">
    <w:name w:val="List 5"/>
    <w:basedOn w:val="Normal"/>
    <w:uiPriority w:val="99"/>
    <w:unhideWhenUsed/>
    <w:rsid w:val="008033C4"/>
    <w:pPr>
      <w:spacing w:before="120"/>
      <w:ind w:left="1418" w:hanging="284"/>
    </w:pPr>
  </w:style>
  <w:style w:type="paragraph" w:styleId="ListBullet3">
    <w:name w:val="List Bullet 3"/>
    <w:basedOn w:val="Normal"/>
    <w:uiPriority w:val="99"/>
    <w:unhideWhenUsed/>
    <w:rsid w:val="008033C4"/>
    <w:pPr>
      <w:numPr>
        <w:numId w:val="4"/>
      </w:numPr>
      <w:spacing w:before="120"/>
      <w:ind w:left="924" w:hanging="357"/>
    </w:pPr>
  </w:style>
  <w:style w:type="paragraph" w:styleId="ListBullet4">
    <w:name w:val="List Bullet 4"/>
    <w:basedOn w:val="Normal"/>
    <w:uiPriority w:val="99"/>
    <w:unhideWhenUsed/>
    <w:rsid w:val="008033C4"/>
    <w:pPr>
      <w:numPr>
        <w:numId w:val="5"/>
      </w:numPr>
      <w:spacing w:before="120"/>
      <w:ind w:left="1208" w:hanging="357"/>
    </w:pPr>
  </w:style>
  <w:style w:type="paragraph" w:styleId="ListBullet5">
    <w:name w:val="List Bullet 5"/>
    <w:basedOn w:val="Normal"/>
    <w:uiPriority w:val="99"/>
    <w:unhideWhenUsed/>
    <w:rsid w:val="008033C4"/>
    <w:pPr>
      <w:numPr>
        <w:numId w:val="6"/>
      </w:numPr>
      <w:spacing w:before="120"/>
      <w:ind w:left="1491" w:hanging="357"/>
    </w:pPr>
  </w:style>
  <w:style w:type="paragraph" w:styleId="ListContinue">
    <w:name w:val="List Continue"/>
    <w:basedOn w:val="Normal"/>
    <w:uiPriority w:val="99"/>
    <w:unhideWhenUsed/>
    <w:qFormat/>
    <w:rsid w:val="0007137B"/>
    <w:pPr>
      <w:spacing w:before="120"/>
      <w:ind w:left="284"/>
    </w:pPr>
  </w:style>
  <w:style w:type="paragraph" w:styleId="ListContinue2">
    <w:name w:val="List Continue 2"/>
    <w:basedOn w:val="Normal"/>
    <w:uiPriority w:val="99"/>
    <w:unhideWhenUsed/>
    <w:rsid w:val="008033C4"/>
    <w:pPr>
      <w:spacing w:before="120"/>
      <w:ind w:left="567"/>
    </w:pPr>
  </w:style>
  <w:style w:type="paragraph" w:styleId="ListContinue3">
    <w:name w:val="List Continue 3"/>
    <w:basedOn w:val="Normal"/>
    <w:uiPriority w:val="99"/>
    <w:unhideWhenUsed/>
    <w:rsid w:val="0007137B"/>
    <w:pPr>
      <w:spacing w:before="120"/>
      <w:ind w:left="851"/>
    </w:pPr>
  </w:style>
  <w:style w:type="paragraph" w:styleId="ListContinue4">
    <w:name w:val="List Continue 4"/>
    <w:basedOn w:val="Normal"/>
    <w:uiPriority w:val="99"/>
    <w:unhideWhenUsed/>
    <w:rsid w:val="008033C4"/>
    <w:pPr>
      <w:spacing w:before="120"/>
      <w:ind w:left="1134"/>
    </w:pPr>
  </w:style>
  <w:style w:type="paragraph" w:styleId="ListNumber3">
    <w:name w:val="List Number 3"/>
    <w:basedOn w:val="Normal"/>
    <w:uiPriority w:val="99"/>
    <w:unhideWhenUsed/>
    <w:rsid w:val="008033C4"/>
    <w:pPr>
      <w:numPr>
        <w:numId w:val="9"/>
      </w:numPr>
      <w:spacing w:before="120"/>
      <w:ind w:left="924" w:hanging="357"/>
    </w:pPr>
  </w:style>
  <w:style w:type="paragraph" w:styleId="ListNumber4">
    <w:name w:val="List Number 4"/>
    <w:basedOn w:val="Normal"/>
    <w:uiPriority w:val="99"/>
    <w:unhideWhenUsed/>
    <w:rsid w:val="008033C4"/>
    <w:pPr>
      <w:numPr>
        <w:numId w:val="10"/>
      </w:numPr>
      <w:spacing w:before="120"/>
      <w:ind w:left="1208" w:hanging="357"/>
    </w:pPr>
  </w:style>
  <w:style w:type="paragraph" w:styleId="ListNumber5">
    <w:name w:val="List Number 5"/>
    <w:basedOn w:val="Normal"/>
    <w:uiPriority w:val="99"/>
    <w:unhideWhenUsed/>
    <w:rsid w:val="008033C4"/>
    <w:pPr>
      <w:numPr>
        <w:numId w:val="11"/>
      </w:numPr>
      <w:spacing w:before="120"/>
      <w:ind w:left="1491" w:hanging="357"/>
    </w:pPr>
  </w:style>
  <w:style w:type="paragraph" w:customStyle="1" w:styleId="TableHeading">
    <w:name w:val="Table Heading"/>
    <w:basedOn w:val="Tabletext"/>
    <w:link w:val="TableHeadingChar"/>
    <w:qFormat/>
    <w:rsid w:val="00957591"/>
    <w:pPr>
      <w:spacing w:before="60"/>
    </w:pPr>
    <w:rPr>
      <w:color w:val="FFFFFF" w:themeColor="background1"/>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214FBA"/>
    <w:pPr>
      <w:jc w:val="center"/>
    </w:pPr>
  </w:style>
  <w:style w:type="paragraph" w:customStyle="1" w:styleId="TableHeading-right">
    <w:name w:val="Table Heading - right"/>
    <w:basedOn w:val="TableHeading"/>
    <w:link w:val="TableHeading-rightChar"/>
    <w:rsid w:val="00584D8F"/>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214FBA"/>
    <w:rPr>
      <w:rFonts w:ascii="Arial" w:hAnsi="Arial"/>
      <w:sz w:val="18"/>
    </w:rPr>
  </w:style>
  <w:style w:type="character" w:customStyle="1" w:styleId="TableHeadingChar">
    <w:name w:val="Table Heading Char"/>
    <w:basedOn w:val="TabletextChar"/>
    <w:link w:val="TableHeading"/>
    <w:rsid w:val="00957591"/>
    <w:rPr>
      <w:rFonts w:ascii="Arial" w:hAnsi="Arial"/>
      <w:color w:val="FFFFFF" w:themeColor="background1"/>
      <w:sz w:val="18"/>
    </w:rPr>
  </w:style>
  <w:style w:type="character" w:customStyle="1" w:styleId="TableHeading-rightChar">
    <w:name w:val="Table Heading - right Char"/>
    <w:basedOn w:val="TableHeadingChar"/>
    <w:link w:val="TableHeading-right"/>
    <w:rsid w:val="00584D8F"/>
    <w:rPr>
      <w:rFonts w:ascii="Arial" w:eastAsia="Times New Roman" w:hAnsi="Arial" w:cs="Times New Roman"/>
      <w:b w:val="0"/>
      <w:bCs/>
      <w:color w:val="FFFFFF" w:themeColor="background1"/>
      <w:sz w:val="20"/>
      <w:szCs w:val="20"/>
    </w:rPr>
  </w:style>
  <w:style w:type="character" w:customStyle="1" w:styleId="Tabletext-centredChar">
    <w:name w:val="Table text - centred Char"/>
    <w:basedOn w:val="Tabletext-rightChar"/>
    <w:link w:val="Tabletext-centred"/>
    <w:rsid w:val="00214FBA"/>
    <w:rPr>
      <w:rFonts w:ascii="Arial" w:eastAsia="Times New Roman" w:hAnsi="Arial" w:cs="Times New Roman"/>
      <w:sz w:val="18"/>
      <w:szCs w:val="20"/>
    </w:rPr>
  </w:style>
  <w:style w:type="paragraph" w:customStyle="1" w:styleId="TableHeading-centred">
    <w:name w:val="Table Heading - centred"/>
    <w:basedOn w:val="TableHeading"/>
    <w:rsid w:val="00584D8F"/>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Ind w:w="0" w:type="dxa"/>
      <w:tblBorders>
        <w:insideV w:val="single" w:sz="4" w:space="0" w:color="D5D6D2" w:themeColor="background2"/>
      </w:tblBorders>
      <w:tblCellMar>
        <w:top w:w="0" w:type="dxa"/>
        <w:left w:w="108" w:type="dxa"/>
        <w:bottom w:w="0" w:type="dxa"/>
        <w:right w:w="108" w:type="dxa"/>
      </w:tblCellMar>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rsid w:val="00263AC0"/>
    <w:rPr>
      <w:vertAlign w:val="superscript"/>
    </w:rPr>
  </w:style>
  <w:style w:type="paragraph" w:customStyle="1" w:styleId="Numberedparagraph11">
    <w:name w:val="Numbered paragraph 1.1"/>
    <w:basedOn w:val="Numbered11"/>
    <w:qFormat/>
    <w:rsid w:val="00063247"/>
    <w:pPr>
      <w:ind w:left="680" w:hanging="680"/>
      <w:outlineLvl w:val="9"/>
    </w:pPr>
    <w:rPr>
      <w:bCs w:val="0"/>
      <w:color w:val="auto"/>
      <w:sz w:val="22"/>
    </w:rPr>
  </w:style>
  <w:style w:type="character" w:customStyle="1" w:styleId="Numbered1Char">
    <w:name w:val="Numbered 1 Char"/>
    <w:basedOn w:val="Heading1Char"/>
    <w:link w:val="Numbered1"/>
    <w:rsid w:val="00085663"/>
    <w:rPr>
      <w:rFonts w:ascii="Lucida Fax" w:eastAsiaTheme="majorEastAsia" w:hAnsi="Lucida Fax" w:cstheme="majorBidi"/>
      <w:bCs/>
      <w:color w:val="51626F"/>
      <w:sz w:val="32"/>
      <w:szCs w:val="28"/>
    </w:rPr>
  </w:style>
  <w:style w:type="paragraph" w:customStyle="1" w:styleId="Numberedparagraph">
    <w:name w:val="Numbered paragraph"/>
    <w:basedOn w:val="Numberedlist"/>
    <w:rsid w:val="00FE64AE"/>
    <w:pPr>
      <w:spacing w:before="200"/>
      <w:ind w:left="680" w:hanging="680"/>
    </w:pPr>
    <w:rPr>
      <w:rFonts w:eastAsia="Times New Roman" w:cs="Times New Roman"/>
      <w:szCs w:val="20"/>
    </w:rPr>
  </w:style>
  <w:style w:type="paragraph" w:customStyle="1" w:styleId="Heading1notnumber">
    <w:name w:val="Heading 1 not number"/>
    <w:basedOn w:val="Heading1"/>
    <w:qFormat/>
    <w:rsid w:val="00275002"/>
    <w:pPr>
      <w:pageBreakBefore/>
      <w:tabs>
        <w:tab w:val="left" w:pos="680"/>
      </w:tabs>
    </w:pPr>
    <w:rPr>
      <w:rFonts w:ascii="Arial" w:hAnsi="Arial"/>
      <w:b/>
      <w:color w:val="70635A"/>
      <w:sz w:val="36"/>
    </w:rPr>
  </w:style>
  <w:style w:type="paragraph" w:customStyle="1" w:styleId="Heading2notnumbered">
    <w:name w:val="Heading 2 not numbered"/>
    <w:basedOn w:val="Heading2"/>
    <w:link w:val="Heading2notnumberedChar"/>
    <w:rsid w:val="00275002"/>
    <w:pPr>
      <w:tabs>
        <w:tab w:val="left" w:pos="680"/>
      </w:tabs>
    </w:pPr>
    <w:rPr>
      <w:rFonts w:eastAsia="Times New Roman" w:cs="Times New Roman"/>
      <w:color w:val="003591" w:themeColor="text2"/>
      <w:sz w:val="32"/>
      <w:szCs w:val="20"/>
    </w:rPr>
  </w:style>
  <w:style w:type="paragraph" w:customStyle="1" w:styleId="Heading3notnumbered">
    <w:name w:val="Heading 3 not numbered"/>
    <w:basedOn w:val="Heading3"/>
    <w:rsid w:val="00275002"/>
    <w:pPr>
      <w:tabs>
        <w:tab w:val="left" w:pos="1021"/>
      </w:tabs>
    </w:pPr>
    <w:rPr>
      <w:rFonts w:eastAsia="Times New Roman" w:cs="Times New Roman"/>
      <w:color w:val="003591" w:themeColor="text2"/>
      <w:sz w:val="28"/>
      <w:szCs w:val="20"/>
    </w:rPr>
  </w:style>
  <w:style w:type="paragraph" w:customStyle="1" w:styleId="Heading4notnumbered">
    <w:name w:val="Heading 4 not numbered"/>
    <w:basedOn w:val="Heading4"/>
    <w:link w:val="Heading4notnumberedChar"/>
    <w:rsid w:val="00275002"/>
    <w:pPr>
      <w:tabs>
        <w:tab w:val="left" w:pos="1021"/>
      </w:tabs>
    </w:pPr>
    <w:rPr>
      <w:rFonts w:eastAsia="Times New Roman" w:cs="Times New Roman"/>
      <w:i w:val="0"/>
      <w:iCs w:val="0"/>
      <w:szCs w:val="20"/>
    </w:rPr>
  </w:style>
  <w:style w:type="paragraph" w:customStyle="1" w:styleId="Heading5notnumbered">
    <w:name w:val="Heading 5 not numbered"/>
    <w:basedOn w:val="Heading5"/>
    <w:rsid w:val="00275002"/>
    <w:pPr>
      <w:tabs>
        <w:tab w:val="left" w:pos="1361"/>
      </w:tabs>
    </w:pPr>
    <w:rPr>
      <w:rFonts w:eastAsia="Times New Roman" w:cs="Times New Roman"/>
      <w:bCs/>
      <w:szCs w:val="20"/>
    </w:rPr>
  </w:style>
  <w:style w:type="paragraph" w:customStyle="1" w:styleId="Heading6notnumbered">
    <w:name w:val="Heading 6 not numbered"/>
    <w:basedOn w:val="Heading6"/>
    <w:rsid w:val="00275002"/>
    <w:pPr>
      <w:tabs>
        <w:tab w:val="left" w:pos="1361"/>
      </w:tabs>
    </w:pPr>
    <w:rPr>
      <w:rFonts w:eastAsia="Times New Roman" w:cs="Times New Roman"/>
      <w:bCs/>
      <w:color w:val="000000" w:themeColor="text1"/>
      <w:szCs w:val="20"/>
    </w:rPr>
  </w:style>
  <w:style w:type="paragraph" w:styleId="Index1">
    <w:name w:val="index 1"/>
    <w:basedOn w:val="Normal"/>
    <w:next w:val="Normal"/>
    <w:autoRedefine/>
    <w:uiPriority w:val="99"/>
    <w:unhideWhenUsed/>
    <w:rsid w:val="00275002"/>
    <w:pPr>
      <w:spacing w:before="0" w:line="240" w:lineRule="auto"/>
      <w:ind w:left="220" w:hanging="220"/>
    </w:pPr>
  </w:style>
  <w:style w:type="paragraph" w:styleId="Index2">
    <w:name w:val="index 2"/>
    <w:basedOn w:val="Normal"/>
    <w:next w:val="Normal"/>
    <w:autoRedefine/>
    <w:uiPriority w:val="99"/>
    <w:unhideWhenUsed/>
    <w:rsid w:val="00275002"/>
    <w:pPr>
      <w:spacing w:before="0" w:line="240" w:lineRule="auto"/>
      <w:ind w:left="440" w:hanging="220"/>
    </w:pPr>
  </w:style>
  <w:style w:type="paragraph" w:customStyle="1" w:styleId="Heading7notnumbered">
    <w:name w:val="Heading 7 not numbered"/>
    <w:basedOn w:val="Heading7"/>
    <w:rsid w:val="00275002"/>
    <w:pPr>
      <w:tabs>
        <w:tab w:val="left" w:pos="1701"/>
      </w:tabs>
    </w:pPr>
    <w:rPr>
      <w:rFonts w:eastAsia="Times New Roman" w:cs="Times New Roman"/>
      <w:color w:val="auto"/>
      <w:szCs w:val="20"/>
    </w:rPr>
  </w:style>
  <w:style w:type="paragraph" w:customStyle="1" w:styleId="Heading8notnumbered">
    <w:name w:val="Heading 8 not numbered"/>
    <w:basedOn w:val="Heading8"/>
    <w:rsid w:val="00275002"/>
    <w:pPr>
      <w:tabs>
        <w:tab w:val="left" w:pos="1701"/>
      </w:tabs>
    </w:pPr>
    <w:rPr>
      <w:rFonts w:eastAsia="Times New Roman" w:cs="Times New Roman"/>
    </w:rPr>
  </w:style>
  <w:style w:type="paragraph" w:styleId="Salutation">
    <w:name w:val="Salutation"/>
    <w:basedOn w:val="Normal"/>
    <w:next w:val="Normal"/>
    <w:link w:val="SalutationChar"/>
    <w:uiPriority w:val="99"/>
    <w:unhideWhenUsed/>
    <w:rsid w:val="00275002"/>
  </w:style>
  <w:style w:type="character" w:customStyle="1" w:styleId="SalutationChar">
    <w:name w:val="Salutation Char"/>
    <w:basedOn w:val="DefaultParagraphFont"/>
    <w:link w:val="Salutation"/>
    <w:uiPriority w:val="99"/>
    <w:rsid w:val="00275002"/>
    <w:rPr>
      <w:rFonts w:ascii="Arial" w:hAnsi="Arial"/>
    </w:rPr>
  </w:style>
  <w:style w:type="paragraph" w:customStyle="1" w:styleId="Heading9notnumbered">
    <w:name w:val="Heading 9 not numbered"/>
    <w:basedOn w:val="Heading9"/>
    <w:rsid w:val="00275002"/>
    <w:pPr>
      <w:tabs>
        <w:tab w:val="left" w:pos="1701"/>
      </w:tabs>
    </w:pPr>
    <w:rPr>
      <w:rFonts w:eastAsia="Times New Roman" w:cs="Times New Roman"/>
      <w:color w:val="auto"/>
    </w:rPr>
  </w:style>
  <w:style w:type="paragraph" w:customStyle="1" w:styleId="Copyright">
    <w:name w:val="Copyright"/>
    <w:basedOn w:val="Normal"/>
    <w:next w:val="Normal"/>
    <w:link w:val="CopyrightChar"/>
    <w:rsid w:val="00275002"/>
    <w:pPr>
      <w:spacing w:line="288" w:lineRule="auto"/>
    </w:pPr>
    <w:rPr>
      <w:sz w:val="20"/>
      <w:szCs w:val="20"/>
    </w:rPr>
  </w:style>
  <w:style w:type="paragraph" w:customStyle="1" w:styleId="ReportTitle0">
    <w:name w:val="Report Title"/>
    <w:basedOn w:val="Normal"/>
    <w:next w:val="Normal"/>
    <w:link w:val="ReportTitleChar0"/>
    <w:rsid w:val="00275002"/>
    <w:pPr>
      <w:tabs>
        <w:tab w:val="center" w:pos="4598"/>
        <w:tab w:val="right" w:pos="9026"/>
      </w:tabs>
      <w:spacing w:before="240"/>
      <w:contextualSpacing/>
      <w:jc w:val="center"/>
    </w:pPr>
    <w:rPr>
      <w:rFonts w:eastAsiaTheme="majorEastAsia" w:cstheme="majorBidi"/>
      <w:b/>
      <w:noProof/>
      <w:color w:val="51626F"/>
      <w:sz w:val="72"/>
      <w:szCs w:val="72"/>
      <w:lang w:eastAsia="en-AU"/>
    </w:rPr>
  </w:style>
  <w:style w:type="numbering" w:customStyle="1" w:styleId="AlphanumericList">
    <w:name w:val="Alphanumeric List"/>
    <w:uiPriority w:val="99"/>
    <w:rsid w:val="00275002"/>
    <w:pPr>
      <w:numPr>
        <w:numId w:val="16"/>
      </w:numPr>
    </w:pPr>
  </w:style>
  <w:style w:type="table" w:customStyle="1" w:styleId="AERTable-Text">
    <w:name w:val="AER Table - Text"/>
    <w:basedOn w:val="TableNormal"/>
    <w:uiPriority w:val="99"/>
    <w:rsid w:val="00A81EF8"/>
    <w:pPr>
      <w:spacing w:before="120" w:after="120"/>
    </w:pPr>
    <w:rPr>
      <w:rFonts w:ascii="Arial" w:hAnsi="Arial"/>
      <w:sz w:val="18"/>
    </w:rPr>
    <w:tblPr>
      <w:tblStyleRowBandSize w:val="1"/>
      <w:tblInd w:w="0" w:type="dxa"/>
      <w:tblBorders>
        <w:bottom w:val="single" w:sz="4" w:space="0" w:color="auto"/>
      </w:tblBorders>
      <w:tblCellMar>
        <w:top w:w="0" w:type="dxa"/>
        <w:left w:w="108" w:type="dxa"/>
        <w:bottom w:w="0" w:type="dxa"/>
        <w:right w:w="108" w:type="dxa"/>
      </w:tblCellMar>
    </w:tblPr>
    <w:trPr>
      <w:cantSplit/>
    </w:trPr>
    <w:tblStylePr w:type="firstRow">
      <w:pPr>
        <w:wordWrap/>
        <w:spacing w:beforeLines="0" w:before="240" w:beforeAutospacing="0" w:afterLines="0" w:after="120" w:afterAutospacing="0"/>
      </w:pPr>
      <w:rPr>
        <w:rFonts w:ascii="Arial" w:hAnsi="Arial"/>
        <w:b/>
        <w:color w:val="FFFFFF" w:themeColor="background1"/>
        <w:sz w:val="24"/>
        <w14:numSpacing w14:val="tabular"/>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0"/>
    <w:link w:val="ReportDateChar"/>
    <w:rsid w:val="00275002"/>
    <w:rPr>
      <w:b w:val="0"/>
      <w:sz w:val="36"/>
      <w:szCs w:val="36"/>
    </w:rPr>
  </w:style>
  <w:style w:type="paragraph" w:customStyle="1" w:styleId="ReportSubtitle">
    <w:name w:val="Report Subtitle"/>
    <w:basedOn w:val="ReportTitle0"/>
    <w:link w:val="ReportSubtitleChar"/>
    <w:rsid w:val="00275002"/>
    <w:rPr>
      <w:sz w:val="56"/>
      <w:szCs w:val="56"/>
    </w:rPr>
  </w:style>
  <w:style w:type="character" w:customStyle="1" w:styleId="ReportTitleChar0">
    <w:name w:val="Report Title Char"/>
    <w:basedOn w:val="Heading1Char"/>
    <w:link w:val="ReportTitle0"/>
    <w:rsid w:val="00275002"/>
    <w:rPr>
      <w:rFonts w:ascii="Arial" w:eastAsiaTheme="majorEastAsia" w:hAnsi="Arial" w:cstheme="majorBidi"/>
      <w:b/>
      <w:bCs w:val="0"/>
      <w:noProof/>
      <w:color w:val="51626F"/>
      <w:sz w:val="72"/>
      <w:szCs w:val="72"/>
      <w:lang w:eastAsia="en-AU"/>
    </w:rPr>
  </w:style>
  <w:style w:type="character" w:customStyle="1" w:styleId="ReportDateChar">
    <w:name w:val="Report Date Char"/>
    <w:basedOn w:val="ReportTitleChar0"/>
    <w:link w:val="ReportDate"/>
    <w:rsid w:val="00275002"/>
    <w:rPr>
      <w:rFonts w:ascii="Arial" w:eastAsiaTheme="majorEastAsia" w:hAnsi="Arial" w:cstheme="majorBidi"/>
      <w:b w:val="0"/>
      <w:bCs w:val="0"/>
      <w:noProof/>
      <w:color w:val="51626F"/>
      <w:sz w:val="36"/>
      <w:szCs w:val="36"/>
      <w:lang w:eastAsia="en-AU"/>
    </w:rPr>
  </w:style>
  <w:style w:type="character" w:customStyle="1" w:styleId="ReportSubtitleChar">
    <w:name w:val="Report Subtitle Char"/>
    <w:basedOn w:val="ReportTitleChar0"/>
    <w:link w:val="ReportSubtitle"/>
    <w:rsid w:val="00275002"/>
    <w:rPr>
      <w:rFonts w:ascii="Arial" w:eastAsiaTheme="majorEastAsia" w:hAnsi="Arial" w:cstheme="majorBidi"/>
      <w:b/>
      <w:bCs w:val="0"/>
      <w:noProof/>
      <w:color w:val="51626F"/>
      <w:sz w:val="56"/>
      <w:szCs w:val="56"/>
      <w:lang w:eastAsia="en-AU"/>
    </w:rPr>
  </w:style>
  <w:style w:type="character" w:customStyle="1" w:styleId="CopyrightChar">
    <w:name w:val="Copyright Char"/>
    <w:basedOn w:val="DefaultParagraphFont"/>
    <w:link w:val="Copyright"/>
    <w:rsid w:val="00275002"/>
    <w:rPr>
      <w:rFonts w:ascii="Arial" w:hAnsi="Arial"/>
      <w:sz w:val="20"/>
      <w:szCs w:val="20"/>
    </w:rPr>
  </w:style>
  <w:style w:type="paragraph" w:styleId="BodyTextIndent">
    <w:name w:val="Body Text Indent"/>
    <w:basedOn w:val="Normal"/>
    <w:link w:val="BodyTextIndentChar"/>
    <w:uiPriority w:val="99"/>
    <w:semiHidden/>
    <w:unhideWhenUsed/>
    <w:rsid w:val="00275002"/>
    <w:pPr>
      <w:spacing w:after="120"/>
      <w:ind w:left="283"/>
    </w:pPr>
  </w:style>
  <w:style w:type="character" w:customStyle="1" w:styleId="BodyTextIndentChar">
    <w:name w:val="Body Text Indent Char"/>
    <w:basedOn w:val="DefaultParagraphFont"/>
    <w:link w:val="BodyTextIndent"/>
    <w:uiPriority w:val="99"/>
    <w:semiHidden/>
    <w:rsid w:val="00275002"/>
    <w:rPr>
      <w:rFonts w:ascii="Arial" w:hAnsi="Arial"/>
    </w:rPr>
  </w:style>
  <w:style w:type="paragraph" w:styleId="BodyTextFirstIndent2">
    <w:name w:val="Body Text First Indent 2"/>
    <w:basedOn w:val="BodyTextIndent"/>
    <w:link w:val="BodyTextFirstIndent2Char"/>
    <w:uiPriority w:val="99"/>
    <w:unhideWhenUsed/>
    <w:rsid w:val="00275002"/>
    <w:pPr>
      <w:spacing w:after="0"/>
      <w:ind w:left="360" w:firstLine="360"/>
    </w:pPr>
  </w:style>
  <w:style w:type="character" w:customStyle="1" w:styleId="BodyTextFirstIndent2Char">
    <w:name w:val="Body Text First Indent 2 Char"/>
    <w:basedOn w:val="BodyTextIndentChar"/>
    <w:link w:val="BodyTextFirstIndent2"/>
    <w:uiPriority w:val="99"/>
    <w:rsid w:val="00275002"/>
    <w:rPr>
      <w:rFonts w:ascii="Arial" w:hAnsi="Arial"/>
    </w:rPr>
  </w:style>
  <w:style w:type="paragraph" w:styleId="Closing">
    <w:name w:val="Closing"/>
    <w:basedOn w:val="Normal"/>
    <w:link w:val="ClosingChar"/>
    <w:uiPriority w:val="99"/>
    <w:unhideWhenUsed/>
    <w:rsid w:val="00275002"/>
    <w:pPr>
      <w:spacing w:before="0" w:line="240" w:lineRule="auto"/>
      <w:ind w:left="4252"/>
    </w:pPr>
  </w:style>
  <w:style w:type="character" w:customStyle="1" w:styleId="ClosingChar">
    <w:name w:val="Closing Char"/>
    <w:basedOn w:val="DefaultParagraphFont"/>
    <w:link w:val="Closing"/>
    <w:uiPriority w:val="99"/>
    <w:rsid w:val="00275002"/>
    <w:rPr>
      <w:rFonts w:ascii="Arial" w:hAnsi="Arial"/>
    </w:rPr>
  </w:style>
  <w:style w:type="paragraph" w:styleId="BodyText">
    <w:name w:val="Body Text"/>
    <w:basedOn w:val="Normal"/>
    <w:link w:val="BodyTextChar"/>
    <w:uiPriority w:val="99"/>
    <w:semiHidden/>
    <w:unhideWhenUsed/>
    <w:rsid w:val="00275002"/>
    <w:pPr>
      <w:spacing w:after="120"/>
    </w:pPr>
  </w:style>
  <w:style w:type="character" w:customStyle="1" w:styleId="BodyTextChar">
    <w:name w:val="Body Text Char"/>
    <w:basedOn w:val="DefaultParagraphFont"/>
    <w:link w:val="BodyText"/>
    <w:uiPriority w:val="99"/>
    <w:semiHidden/>
    <w:rsid w:val="00275002"/>
    <w:rPr>
      <w:rFonts w:ascii="Arial" w:hAnsi="Arial"/>
    </w:rPr>
  </w:style>
  <w:style w:type="paragraph" w:styleId="BodyTextFirstIndent">
    <w:name w:val="Body Text First Indent"/>
    <w:basedOn w:val="Normal"/>
    <w:link w:val="BodyTextFirstIndentChar"/>
    <w:uiPriority w:val="99"/>
    <w:unhideWhenUsed/>
    <w:rsid w:val="00275002"/>
    <w:pPr>
      <w:ind w:firstLine="360"/>
    </w:pPr>
  </w:style>
  <w:style w:type="character" w:customStyle="1" w:styleId="BodyTextFirstIndentChar">
    <w:name w:val="Body Text First Indent Char"/>
    <w:basedOn w:val="BodyTextChar"/>
    <w:link w:val="BodyTextFirstIndent"/>
    <w:uiPriority w:val="99"/>
    <w:rsid w:val="00275002"/>
    <w:rPr>
      <w:rFonts w:ascii="Arial" w:hAnsi="Arial"/>
    </w:rPr>
  </w:style>
  <w:style w:type="paragraph" w:styleId="BodyText2">
    <w:name w:val="Body Text 2"/>
    <w:basedOn w:val="Normal"/>
    <w:link w:val="BodyText2Char"/>
    <w:uiPriority w:val="99"/>
    <w:unhideWhenUsed/>
    <w:rsid w:val="00275002"/>
    <w:pPr>
      <w:spacing w:after="120" w:line="480" w:lineRule="auto"/>
    </w:pPr>
  </w:style>
  <w:style w:type="character" w:customStyle="1" w:styleId="BodyText2Char">
    <w:name w:val="Body Text 2 Char"/>
    <w:basedOn w:val="DefaultParagraphFont"/>
    <w:link w:val="BodyText2"/>
    <w:uiPriority w:val="99"/>
    <w:rsid w:val="00275002"/>
    <w:rPr>
      <w:rFonts w:ascii="Arial" w:hAnsi="Arial"/>
    </w:rPr>
  </w:style>
  <w:style w:type="paragraph" w:customStyle="1" w:styleId="ListLegal">
    <w:name w:val="List Legal"/>
    <w:basedOn w:val="ListParagraph"/>
    <w:rsid w:val="00275002"/>
    <w:pPr>
      <w:numPr>
        <w:numId w:val="18"/>
      </w:numPr>
      <w:tabs>
        <w:tab w:val="left" w:pos="680"/>
      </w:tabs>
      <w:ind w:left="680" w:hanging="340"/>
    </w:pPr>
  </w:style>
  <w:style w:type="character" w:styleId="CommentReference">
    <w:name w:val="annotation reference"/>
    <w:basedOn w:val="DefaultParagraphFont"/>
    <w:uiPriority w:val="99"/>
    <w:unhideWhenUsed/>
    <w:rsid w:val="00275002"/>
    <w:rPr>
      <w:sz w:val="16"/>
      <w:szCs w:val="16"/>
    </w:rPr>
  </w:style>
  <w:style w:type="paragraph" w:customStyle="1" w:styleId="ListLegal2">
    <w:name w:val="List Legal 2"/>
    <w:basedOn w:val="ListLegal"/>
    <w:rsid w:val="00275002"/>
    <w:pPr>
      <w:tabs>
        <w:tab w:val="clear" w:pos="680"/>
        <w:tab w:val="left" w:pos="1021"/>
      </w:tabs>
      <w:ind w:left="1020"/>
    </w:pPr>
  </w:style>
  <w:style w:type="paragraph" w:customStyle="1" w:styleId="ListLegal3">
    <w:name w:val="List Legal 3"/>
    <w:basedOn w:val="ListNumber3"/>
    <w:rsid w:val="00275002"/>
    <w:pPr>
      <w:numPr>
        <w:numId w:val="19"/>
      </w:numPr>
      <w:tabs>
        <w:tab w:val="left" w:pos="1361"/>
      </w:tabs>
      <w:ind w:left="1361" w:hanging="340"/>
    </w:pPr>
  </w:style>
  <w:style w:type="paragraph" w:customStyle="1" w:styleId="ListLegal4">
    <w:name w:val="List Legal 4"/>
    <w:basedOn w:val="ListLegal3"/>
    <w:rsid w:val="00275002"/>
    <w:pPr>
      <w:tabs>
        <w:tab w:val="clear" w:pos="1361"/>
        <w:tab w:val="left" w:pos="1701"/>
      </w:tabs>
      <w:ind w:left="1701"/>
    </w:pPr>
  </w:style>
  <w:style w:type="paragraph" w:customStyle="1" w:styleId="ListLegal5">
    <w:name w:val="List Legal 5"/>
    <w:basedOn w:val="ListLegal4"/>
    <w:rsid w:val="00275002"/>
    <w:pPr>
      <w:tabs>
        <w:tab w:val="clear" w:pos="1701"/>
        <w:tab w:val="left" w:pos="2041"/>
      </w:tabs>
      <w:ind w:left="2041"/>
    </w:pPr>
  </w:style>
  <w:style w:type="paragraph" w:styleId="Date">
    <w:name w:val="Date"/>
    <w:basedOn w:val="Normal"/>
    <w:next w:val="Normal"/>
    <w:link w:val="DateChar"/>
    <w:uiPriority w:val="99"/>
    <w:unhideWhenUsed/>
    <w:rsid w:val="00275002"/>
  </w:style>
  <w:style w:type="character" w:customStyle="1" w:styleId="DateChar">
    <w:name w:val="Date Char"/>
    <w:basedOn w:val="DefaultParagraphFont"/>
    <w:link w:val="Date"/>
    <w:uiPriority w:val="99"/>
    <w:rsid w:val="00275002"/>
    <w:rPr>
      <w:rFonts w:ascii="Arial" w:hAnsi="Arial"/>
    </w:rPr>
  </w:style>
  <w:style w:type="paragraph" w:styleId="DocumentMap">
    <w:name w:val="Document Map"/>
    <w:basedOn w:val="Normal"/>
    <w:link w:val="DocumentMapChar"/>
    <w:unhideWhenUsed/>
    <w:rsid w:val="00275002"/>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rsid w:val="00275002"/>
    <w:rPr>
      <w:rFonts w:ascii="Tahoma" w:hAnsi="Tahoma" w:cs="Tahoma"/>
      <w:sz w:val="16"/>
      <w:szCs w:val="16"/>
    </w:rPr>
  </w:style>
  <w:style w:type="paragraph" w:styleId="E-mailSignature">
    <w:name w:val="E-mail Signature"/>
    <w:basedOn w:val="Normal"/>
    <w:link w:val="E-mailSignatureChar"/>
    <w:uiPriority w:val="99"/>
    <w:unhideWhenUsed/>
    <w:rsid w:val="00275002"/>
    <w:pPr>
      <w:spacing w:before="0" w:line="240" w:lineRule="auto"/>
    </w:pPr>
  </w:style>
  <w:style w:type="character" w:customStyle="1" w:styleId="E-mailSignatureChar">
    <w:name w:val="E-mail Signature Char"/>
    <w:basedOn w:val="DefaultParagraphFont"/>
    <w:link w:val="E-mailSignature"/>
    <w:uiPriority w:val="99"/>
    <w:rsid w:val="00275002"/>
    <w:rPr>
      <w:rFonts w:ascii="Arial" w:hAnsi="Arial"/>
    </w:rPr>
  </w:style>
  <w:style w:type="paragraph" w:styleId="EnvelopeAddress">
    <w:name w:val="envelope address"/>
    <w:basedOn w:val="Normal"/>
    <w:uiPriority w:val="99"/>
    <w:unhideWhenUsed/>
    <w:rsid w:val="00275002"/>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275002"/>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nhideWhenUsed/>
    <w:rsid w:val="00275002"/>
    <w:rPr>
      <w:color w:val="800080" w:themeColor="followedHyperlink"/>
      <w:u w:val="single"/>
    </w:rPr>
  </w:style>
  <w:style w:type="paragraph" w:styleId="Index3">
    <w:name w:val="index 3"/>
    <w:basedOn w:val="Normal"/>
    <w:next w:val="Normal"/>
    <w:autoRedefine/>
    <w:uiPriority w:val="99"/>
    <w:unhideWhenUsed/>
    <w:rsid w:val="00275002"/>
    <w:pPr>
      <w:spacing w:before="0" w:line="240" w:lineRule="auto"/>
      <w:ind w:left="660" w:hanging="220"/>
    </w:pPr>
  </w:style>
  <w:style w:type="paragraph" w:styleId="Index4">
    <w:name w:val="index 4"/>
    <w:basedOn w:val="Normal"/>
    <w:next w:val="Normal"/>
    <w:autoRedefine/>
    <w:uiPriority w:val="99"/>
    <w:unhideWhenUsed/>
    <w:rsid w:val="00275002"/>
    <w:pPr>
      <w:spacing w:before="0" w:line="240" w:lineRule="auto"/>
      <w:ind w:left="880" w:hanging="220"/>
    </w:pPr>
  </w:style>
  <w:style w:type="paragraph" w:styleId="Index5">
    <w:name w:val="index 5"/>
    <w:basedOn w:val="Normal"/>
    <w:next w:val="Normal"/>
    <w:autoRedefine/>
    <w:uiPriority w:val="99"/>
    <w:unhideWhenUsed/>
    <w:rsid w:val="00275002"/>
    <w:pPr>
      <w:spacing w:before="0" w:line="240" w:lineRule="auto"/>
      <w:ind w:left="1100" w:hanging="220"/>
    </w:pPr>
  </w:style>
  <w:style w:type="paragraph" w:styleId="IndexHeading">
    <w:name w:val="index heading"/>
    <w:basedOn w:val="Normal"/>
    <w:next w:val="Index1"/>
    <w:uiPriority w:val="99"/>
    <w:unhideWhenUsed/>
    <w:rsid w:val="00275002"/>
    <w:rPr>
      <w:rFonts w:asciiTheme="majorHAnsi" w:eastAsiaTheme="majorEastAsia" w:hAnsiTheme="majorHAnsi" w:cstheme="majorBidi"/>
      <w:b/>
      <w:bCs/>
    </w:rPr>
  </w:style>
  <w:style w:type="character" w:styleId="IntenseEmphasis">
    <w:name w:val="Intense Emphasis"/>
    <w:basedOn w:val="DefaultParagraphFont"/>
    <w:uiPriority w:val="21"/>
    <w:unhideWhenUsed/>
    <w:rsid w:val="00275002"/>
    <w:rPr>
      <w:b/>
      <w:bCs/>
      <w:i/>
      <w:iCs/>
      <w:color w:val="51626F" w:themeColor="accent1"/>
    </w:rPr>
  </w:style>
  <w:style w:type="paragraph" w:styleId="IntenseQuote">
    <w:name w:val="Intense Quote"/>
    <w:basedOn w:val="Normal"/>
    <w:next w:val="Normal"/>
    <w:link w:val="IntenseQuoteChar"/>
    <w:uiPriority w:val="30"/>
    <w:unhideWhenUsed/>
    <w:rsid w:val="00275002"/>
    <w:pPr>
      <w:pBdr>
        <w:bottom w:val="single" w:sz="4" w:space="4" w:color="51626F" w:themeColor="accent1"/>
      </w:pBdr>
      <w:spacing w:after="280"/>
      <w:ind w:left="936" w:right="936"/>
    </w:pPr>
    <w:rPr>
      <w:b/>
      <w:bCs/>
      <w:i/>
      <w:iCs/>
      <w:color w:val="51626F" w:themeColor="accent1"/>
    </w:rPr>
  </w:style>
  <w:style w:type="character" w:customStyle="1" w:styleId="IntenseQuoteChar">
    <w:name w:val="Intense Quote Char"/>
    <w:basedOn w:val="DefaultParagraphFont"/>
    <w:link w:val="IntenseQuote"/>
    <w:uiPriority w:val="30"/>
    <w:rsid w:val="00275002"/>
    <w:rPr>
      <w:rFonts w:ascii="Arial" w:hAnsi="Arial"/>
      <w:b/>
      <w:bCs/>
      <w:i/>
      <w:iCs/>
      <w:color w:val="51626F" w:themeColor="accent1"/>
    </w:rPr>
  </w:style>
  <w:style w:type="character" w:styleId="IntenseReference">
    <w:name w:val="Intense Reference"/>
    <w:basedOn w:val="DefaultParagraphFont"/>
    <w:uiPriority w:val="32"/>
    <w:unhideWhenUsed/>
    <w:rsid w:val="00275002"/>
    <w:rPr>
      <w:b/>
      <w:bCs/>
      <w:smallCaps/>
      <w:color w:val="4F2D7D" w:themeColor="accent2"/>
      <w:spacing w:val="5"/>
      <w:u w:val="single"/>
    </w:rPr>
  </w:style>
  <w:style w:type="character" w:styleId="LineNumber">
    <w:name w:val="line number"/>
    <w:basedOn w:val="DefaultParagraphFont"/>
    <w:uiPriority w:val="99"/>
    <w:unhideWhenUsed/>
    <w:rsid w:val="00275002"/>
  </w:style>
  <w:style w:type="paragraph" w:customStyle="1" w:styleId="Listalphabet2">
    <w:name w:val="List alphabet 2"/>
    <w:basedOn w:val="ListNumber2"/>
    <w:rsid w:val="00275002"/>
    <w:pPr>
      <w:numPr>
        <w:numId w:val="17"/>
      </w:numPr>
      <w:tabs>
        <w:tab w:val="left" w:pos="680"/>
      </w:tabs>
      <w:spacing w:line="276" w:lineRule="auto"/>
      <w:ind w:left="680" w:hanging="340"/>
    </w:pPr>
  </w:style>
  <w:style w:type="paragraph" w:customStyle="1" w:styleId="Listalphabet3">
    <w:name w:val="List alphabet 3"/>
    <w:basedOn w:val="Listalphabet2"/>
    <w:rsid w:val="00275002"/>
    <w:pPr>
      <w:tabs>
        <w:tab w:val="clear" w:pos="680"/>
        <w:tab w:val="left" w:pos="1021"/>
      </w:tabs>
      <w:ind w:left="1020"/>
    </w:pPr>
  </w:style>
  <w:style w:type="paragraph" w:customStyle="1" w:styleId="Listalphabet4">
    <w:name w:val="List alphabet 4"/>
    <w:basedOn w:val="Listalphabet3"/>
    <w:rsid w:val="00275002"/>
    <w:pPr>
      <w:tabs>
        <w:tab w:val="clear" w:pos="1021"/>
        <w:tab w:val="left" w:pos="1361"/>
      </w:tabs>
      <w:ind w:left="1361"/>
    </w:pPr>
  </w:style>
  <w:style w:type="paragraph" w:customStyle="1" w:styleId="Listalphabet5">
    <w:name w:val="List alphabet 5"/>
    <w:basedOn w:val="Listalphabet4"/>
    <w:rsid w:val="00275002"/>
    <w:pPr>
      <w:tabs>
        <w:tab w:val="clear" w:pos="1361"/>
        <w:tab w:val="left" w:pos="1701"/>
      </w:tabs>
      <w:ind w:left="1701"/>
    </w:pPr>
  </w:style>
  <w:style w:type="paragraph" w:styleId="ListContinue5">
    <w:name w:val="List Continue 5"/>
    <w:basedOn w:val="Normal"/>
    <w:uiPriority w:val="99"/>
    <w:unhideWhenUsed/>
    <w:rsid w:val="00275002"/>
    <w:pPr>
      <w:tabs>
        <w:tab w:val="left" w:pos="1701"/>
      </w:tabs>
      <w:spacing w:after="120"/>
      <w:ind w:left="1701"/>
      <w:contextualSpacing/>
    </w:pPr>
  </w:style>
  <w:style w:type="paragraph" w:styleId="Signature">
    <w:name w:val="Signature"/>
    <w:basedOn w:val="Normal"/>
    <w:link w:val="SignatureChar"/>
    <w:uiPriority w:val="99"/>
    <w:unhideWhenUsed/>
    <w:rsid w:val="00275002"/>
    <w:pPr>
      <w:spacing w:before="0" w:line="240" w:lineRule="auto"/>
      <w:ind w:left="4252"/>
    </w:pPr>
  </w:style>
  <w:style w:type="character" w:customStyle="1" w:styleId="SignatureChar">
    <w:name w:val="Signature Char"/>
    <w:basedOn w:val="DefaultParagraphFont"/>
    <w:link w:val="Signature"/>
    <w:uiPriority w:val="99"/>
    <w:rsid w:val="00275002"/>
    <w:rPr>
      <w:rFonts w:ascii="Arial" w:hAnsi="Arial"/>
    </w:rPr>
  </w:style>
  <w:style w:type="character" w:styleId="SubtleEmphasis">
    <w:name w:val="Subtle Emphasis"/>
    <w:basedOn w:val="DefaultParagraphFont"/>
    <w:uiPriority w:val="19"/>
    <w:unhideWhenUsed/>
    <w:rsid w:val="00275002"/>
    <w:rPr>
      <w:b/>
      <w:i/>
      <w:iCs/>
      <w:color w:val="51626F" w:themeColor="accent1"/>
    </w:rPr>
  </w:style>
  <w:style w:type="character" w:styleId="SubtleReference">
    <w:name w:val="Subtle Reference"/>
    <w:basedOn w:val="DefaultParagraphFont"/>
    <w:uiPriority w:val="31"/>
    <w:unhideWhenUsed/>
    <w:rsid w:val="00275002"/>
    <w:rPr>
      <w:smallCaps/>
      <w:color w:val="4F2D7D" w:themeColor="accent2"/>
      <w:u w:val="single"/>
    </w:rPr>
  </w:style>
  <w:style w:type="paragraph" w:customStyle="1" w:styleId="Quotes">
    <w:name w:val="Quotes"/>
    <w:basedOn w:val="Normal"/>
    <w:rsid w:val="00275002"/>
    <w:pPr>
      <w:spacing w:before="120" w:after="120" w:line="240" w:lineRule="auto"/>
      <w:ind w:left="567" w:right="793"/>
    </w:pPr>
    <w:rPr>
      <w:rFonts w:eastAsia="Times New Roman" w:cs="Times New Roman"/>
      <w:sz w:val="20"/>
      <w:szCs w:val="20"/>
      <w:lang w:eastAsia="en-AU"/>
    </w:rPr>
  </w:style>
  <w:style w:type="character" w:styleId="PageNumber">
    <w:name w:val="page number"/>
    <w:basedOn w:val="DefaultParagraphFont"/>
    <w:rsid w:val="00275002"/>
  </w:style>
  <w:style w:type="character" w:styleId="PlaceholderText">
    <w:name w:val="Placeholder Text"/>
    <w:basedOn w:val="DefaultParagraphFont"/>
    <w:uiPriority w:val="99"/>
    <w:semiHidden/>
    <w:rsid w:val="00275002"/>
    <w:rPr>
      <w:color w:val="808080"/>
    </w:rPr>
  </w:style>
  <w:style w:type="paragraph" w:customStyle="1" w:styleId="StyleCopyrightBefore0pt">
    <w:name w:val="Style Copyright + Before:  0 pt"/>
    <w:basedOn w:val="Copyright"/>
    <w:rsid w:val="00275002"/>
    <w:pPr>
      <w:spacing w:before="120"/>
    </w:pPr>
    <w:rPr>
      <w:rFonts w:eastAsia="Times New Roman" w:cs="Times New Roman"/>
    </w:rPr>
  </w:style>
  <w:style w:type="character" w:customStyle="1" w:styleId="Bold">
    <w:name w:val="Bold"/>
    <w:basedOn w:val="DefaultParagraphFont"/>
    <w:rsid w:val="00275002"/>
    <w:rPr>
      <w:b/>
      <w:bCs/>
    </w:rPr>
  </w:style>
  <w:style w:type="paragraph" w:customStyle="1" w:styleId="LegalNumbering">
    <w:name w:val="Legal Numbering"/>
    <w:basedOn w:val="Normal"/>
    <w:rsid w:val="00275002"/>
    <w:pPr>
      <w:numPr>
        <w:numId w:val="20"/>
      </w:numPr>
      <w:tabs>
        <w:tab w:val="left" w:pos="680"/>
        <w:tab w:val="left" w:pos="1021"/>
        <w:tab w:val="left" w:pos="1361"/>
      </w:tabs>
      <w:spacing w:line="240" w:lineRule="auto"/>
    </w:pPr>
  </w:style>
  <w:style w:type="character" w:customStyle="1" w:styleId="AERtextsize8">
    <w:name w:val="AER text size 8"/>
    <w:basedOn w:val="DefaultParagraphFont"/>
    <w:uiPriority w:val="1"/>
    <w:qFormat/>
    <w:rsid w:val="00275002"/>
    <w:rPr>
      <w:rFonts w:ascii="Arial" w:hAnsi="Arial"/>
      <w:color w:val="auto"/>
      <w:sz w:val="16"/>
    </w:rPr>
  </w:style>
  <w:style w:type="paragraph" w:customStyle="1" w:styleId="NumberedChapterTitle">
    <w:name w:val="Numbered Chapter Title"/>
    <w:basedOn w:val="Chaptertitle"/>
    <w:qFormat/>
    <w:rsid w:val="00275002"/>
    <w:pPr>
      <w:pageBreakBefore/>
      <w:numPr>
        <w:numId w:val="21"/>
      </w:numPr>
      <w:tabs>
        <w:tab w:val="left" w:pos="680"/>
      </w:tabs>
      <w:ind w:left="680" w:hanging="680"/>
      <w:outlineLvl w:val="0"/>
    </w:pPr>
    <w:rPr>
      <w:rFonts w:ascii="Arial" w:hAnsi="Arial"/>
      <w:color w:val="000000" w:themeColor="text1"/>
    </w:rPr>
  </w:style>
  <w:style w:type="paragraph" w:styleId="Revision">
    <w:name w:val="Revision"/>
    <w:hidden/>
    <w:uiPriority w:val="99"/>
    <w:semiHidden/>
    <w:rsid w:val="00275002"/>
    <w:pPr>
      <w:spacing w:before="0"/>
    </w:pPr>
    <w:rPr>
      <w:rFonts w:ascii="Arial" w:hAnsi="Arial"/>
    </w:rPr>
  </w:style>
  <w:style w:type="paragraph" w:styleId="CommentText">
    <w:name w:val="annotation text"/>
    <w:basedOn w:val="Normal"/>
    <w:link w:val="CommentTextChar"/>
    <w:uiPriority w:val="99"/>
    <w:unhideWhenUsed/>
    <w:rsid w:val="00275002"/>
    <w:pPr>
      <w:spacing w:line="240" w:lineRule="auto"/>
    </w:pPr>
    <w:rPr>
      <w:sz w:val="20"/>
      <w:szCs w:val="20"/>
    </w:rPr>
  </w:style>
  <w:style w:type="character" w:customStyle="1" w:styleId="CommentTextChar">
    <w:name w:val="Comment Text Char"/>
    <w:basedOn w:val="DefaultParagraphFont"/>
    <w:link w:val="CommentText"/>
    <w:uiPriority w:val="99"/>
    <w:rsid w:val="00275002"/>
    <w:rPr>
      <w:rFonts w:ascii="Arial" w:hAnsi="Arial"/>
      <w:sz w:val="20"/>
      <w:szCs w:val="20"/>
    </w:rPr>
  </w:style>
  <w:style w:type="paragraph" w:styleId="CommentSubject">
    <w:name w:val="annotation subject"/>
    <w:basedOn w:val="Normal"/>
    <w:link w:val="CommentSubjectChar"/>
    <w:semiHidden/>
    <w:rsid w:val="00275002"/>
    <w:pPr>
      <w:spacing w:before="0" w:line="288" w:lineRule="auto"/>
      <w:jc w:val="both"/>
    </w:pPr>
    <w:rPr>
      <w:rFonts w:ascii="Gautami" w:eastAsia="Times New Roman" w:hAnsi="Gautami" w:cs="Times New Roman"/>
      <w:b/>
      <w:bCs/>
      <w:sz w:val="20"/>
      <w:szCs w:val="24"/>
      <w:lang w:eastAsia="en-AU"/>
    </w:rPr>
  </w:style>
  <w:style w:type="character" w:customStyle="1" w:styleId="CommentSubjectChar">
    <w:name w:val="Comment Subject Char"/>
    <w:basedOn w:val="CommentTextChar"/>
    <w:link w:val="CommentSubject"/>
    <w:semiHidden/>
    <w:rsid w:val="00275002"/>
    <w:rPr>
      <w:rFonts w:ascii="Gautami" w:eastAsia="Times New Roman" w:hAnsi="Gautami" w:cs="Times New Roman"/>
      <w:b/>
      <w:bCs/>
      <w:sz w:val="20"/>
      <w:szCs w:val="24"/>
      <w:lang w:eastAsia="en-AU"/>
    </w:rPr>
  </w:style>
  <w:style w:type="numbering" w:styleId="1ai">
    <w:name w:val="Outline List 1"/>
    <w:aliases w:val="AER Numbered List"/>
    <w:basedOn w:val="NoList"/>
    <w:rsid w:val="00275002"/>
    <w:pPr>
      <w:numPr>
        <w:numId w:val="22"/>
      </w:numPr>
    </w:pPr>
  </w:style>
  <w:style w:type="table" w:styleId="TableClassic2">
    <w:name w:val="Table Classic 2"/>
    <w:basedOn w:val="TableNormal"/>
    <w:rsid w:val="00275002"/>
    <w:pPr>
      <w:spacing w:before="0"/>
    </w:pPr>
    <w:rPr>
      <w:rFonts w:ascii="Times" w:eastAsia="Times New Roman" w:hAnsi="Times" w:cs="Times New Roman"/>
      <w:sz w:val="20"/>
      <w:szCs w:val="20"/>
      <w:lang w:eastAsia="en-A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ntemporary">
    <w:name w:val="Table Contemporary"/>
    <w:basedOn w:val="TableNormal"/>
    <w:rsid w:val="00275002"/>
    <w:pPr>
      <w:spacing w:before="0"/>
    </w:pPr>
    <w:rPr>
      <w:rFonts w:ascii="Times" w:eastAsia="Times New Roman" w:hAnsi="Times" w:cs="Times New Roman"/>
      <w:sz w:val="20"/>
      <w:szCs w:val="20"/>
      <w:lang w:eastAsia="en-A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lassic1">
    <w:name w:val="Table Classic 1"/>
    <w:basedOn w:val="TableNormal"/>
    <w:rsid w:val="00275002"/>
    <w:pPr>
      <w:spacing w:before="0"/>
    </w:pPr>
    <w:rPr>
      <w:rFonts w:ascii="Times" w:eastAsia="Times New Roman" w:hAnsi="Times" w:cs="Times New Roman"/>
      <w:sz w:val="20"/>
      <w:szCs w:val="20"/>
      <w:lang w:eastAsia="en-A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275002"/>
    <w:pPr>
      <w:spacing w:before="0"/>
    </w:pPr>
    <w:rPr>
      <w:rFonts w:ascii="Calibri" w:eastAsia="Times New Roman" w:hAnsi="Calibri" w:cs="Times New Roman"/>
      <w:sz w:val="20"/>
      <w:szCs w:val="20"/>
      <w:lang w:eastAsia="en-A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rFonts w:ascii="Calibri" w:hAnsi="Calibri"/>
        <w:b/>
        <w:bCs/>
        <w:color w:val="000000"/>
        <w:sz w:val="20"/>
      </w:r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MediumShading2-Accent5">
    <w:name w:val="Medium Shading 2 Accent 5"/>
    <w:basedOn w:val="TableNormal"/>
    <w:uiPriority w:val="64"/>
    <w:rsid w:val="00275002"/>
    <w:pPr>
      <w:spacing w:before="0"/>
    </w:pPr>
    <w:rPr>
      <w:rFonts w:ascii="Calibri" w:eastAsia="Calibri" w:hAnsi="Calibri" w:cs="Times New Roman"/>
      <w:sz w:val="20"/>
      <w:szCs w:val="20"/>
      <w:lang w:eastAsia="en-A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unhideWhenUsed/>
    <w:rsid w:val="0027500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ERHeading1">
    <w:name w:val="AER Heading 1"/>
    <w:basedOn w:val="Heading2notnumbered"/>
    <w:link w:val="AERHeading1Char"/>
    <w:qFormat/>
    <w:rsid w:val="000E2946"/>
    <w:rPr>
      <w:color w:val="2272A3" w:themeColor="accent4" w:themeShade="80"/>
    </w:rPr>
  </w:style>
  <w:style w:type="paragraph" w:customStyle="1" w:styleId="AERHeading3">
    <w:name w:val="AER Heading 3"/>
    <w:basedOn w:val="Heading4notnumbered"/>
    <w:link w:val="AERHeading3Char"/>
    <w:qFormat/>
    <w:rsid w:val="00914A87"/>
  </w:style>
  <w:style w:type="character" w:customStyle="1" w:styleId="Heading2notnumberedChar">
    <w:name w:val="Heading 2 not numbered Char"/>
    <w:basedOn w:val="Heading2Char"/>
    <w:link w:val="Heading2notnumbered"/>
    <w:rsid w:val="000E2946"/>
    <w:rPr>
      <w:rFonts w:ascii="Arial" w:eastAsia="Times New Roman" w:hAnsi="Arial" w:cs="Times New Roman"/>
      <w:b/>
      <w:bCs/>
      <w:color w:val="003591" w:themeColor="text2"/>
      <w:sz w:val="32"/>
      <w:szCs w:val="20"/>
    </w:rPr>
  </w:style>
  <w:style w:type="character" w:customStyle="1" w:styleId="AERHeading1Char">
    <w:name w:val="AER Heading 1 Char"/>
    <w:basedOn w:val="Heading2notnumberedChar"/>
    <w:link w:val="AERHeading1"/>
    <w:rsid w:val="000E2946"/>
    <w:rPr>
      <w:rFonts w:ascii="Arial" w:eastAsia="Times New Roman" w:hAnsi="Arial" w:cs="Times New Roman"/>
      <w:b/>
      <w:bCs/>
      <w:color w:val="2272A3" w:themeColor="accent4" w:themeShade="80"/>
      <w:sz w:val="32"/>
      <w:szCs w:val="20"/>
    </w:rPr>
  </w:style>
  <w:style w:type="paragraph" w:customStyle="1" w:styleId="Tablesumline">
    <w:name w:val="Table sum line"/>
    <w:basedOn w:val="Normal"/>
    <w:link w:val="TablesumlineChar"/>
    <w:qFormat/>
    <w:rsid w:val="00FD72DC"/>
    <w:pPr>
      <w:spacing w:before="120" w:after="120"/>
    </w:pPr>
    <w:rPr>
      <w:b/>
      <w:sz w:val="20"/>
    </w:rPr>
  </w:style>
  <w:style w:type="character" w:customStyle="1" w:styleId="Heading4notnumberedChar">
    <w:name w:val="Heading 4 not numbered Char"/>
    <w:basedOn w:val="Heading4Char"/>
    <w:link w:val="Heading4notnumbered"/>
    <w:rsid w:val="00914A87"/>
    <w:rPr>
      <w:rFonts w:ascii="Arial" w:eastAsia="Times New Roman" w:hAnsi="Arial" w:cs="Times New Roman"/>
      <w:b/>
      <w:bCs/>
      <w:i w:val="0"/>
      <w:iCs w:val="0"/>
      <w:color w:val="51626F"/>
      <w:sz w:val="24"/>
      <w:szCs w:val="20"/>
    </w:rPr>
  </w:style>
  <w:style w:type="character" w:customStyle="1" w:styleId="AERHeading3Char">
    <w:name w:val="AER Heading 3 Char"/>
    <w:basedOn w:val="Heading4notnumberedChar"/>
    <w:link w:val="AERHeading3"/>
    <w:rsid w:val="00914A87"/>
    <w:rPr>
      <w:rFonts w:ascii="Arial" w:eastAsia="Times New Roman" w:hAnsi="Arial" w:cs="Times New Roman"/>
      <w:b/>
      <w:bCs/>
      <w:i w:val="0"/>
      <w:iCs w:val="0"/>
      <w:color w:val="51626F"/>
      <w:sz w:val="24"/>
      <w:szCs w:val="20"/>
    </w:rPr>
  </w:style>
  <w:style w:type="table" w:customStyle="1" w:styleId="AERsummarytable">
    <w:name w:val="AER summary table"/>
    <w:basedOn w:val="AERTable-Text"/>
    <w:uiPriority w:val="99"/>
    <w:rsid w:val="00FD72DC"/>
    <w:pPr>
      <w:spacing w:before="0"/>
    </w:pPr>
    <w:tblPr>
      <w:tblStyleRowBandSize w:val="1"/>
      <w:tblInd w:w="0" w:type="dxa"/>
      <w:tblBorders>
        <w:bottom w:val="single" w:sz="4" w:space="0" w:color="auto"/>
      </w:tblBorders>
      <w:tblCellMar>
        <w:top w:w="0" w:type="dxa"/>
        <w:left w:w="108" w:type="dxa"/>
        <w:bottom w:w="0" w:type="dxa"/>
        <w:right w:w="108" w:type="dxa"/>
      </w:tblCellMar>
    </w:tblPr>
    <w:trPr>
      <w:cantSplit/>
    </w:tr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TablesumlineChar">
    <w:name w:val="Table sum line Char"/>
    <w:basedOn w:val="DefaultParagraphFont"/>
    <w:link w:val="Tablesumline"/>
    <w:rsid w:val="00FD72DC"/>
    <w:rPr>
      <w:rFonts w:ascii="Arial" w:hAnsi="Arial"/>
      <w:b/>
      <w:sz w:val="20"/>
    </w:rPr>
  </w:style>
  <w:style w:type="table" w:customStyle="1" w:styleId="Style1">
    <w:name w:val="Style1"/>
    <w:basedOn w:val="TableNormal"/>
    <w:uiPriority w:val="99"/>
    <w:rsid w:val="00A81EF8"/>
    <w:pPr>
      <w:spacing w:before="0"/>
    </w:pPr>
    <w:tblPr>
      <w:tblInd w:w="0" w:type="dxa"/>
      <w:tblCellMar>
        <w:top w:w="0" w:type="dxa"/>
        <w:left w:w="108" w:type="dxa"/>
        <w:bottom w:w="0" w:type="dxa"/>
        <w:right w:w="108" w:type="dxa"/>
      </w:tblCellMar>
    </w:tblPr>
    <w:tblStylePr w:type="firstRow">
      <w:rPr>
        <w:rFonts w:ascii="Arial" w:hAnsi="Arial"/>
        <w:color w:val="FFFFFF" w:themeColor="background1"/>
        <w:sz w:val="18"/>
      </w:rPr>
      <w:tblPr/>
      <w:tcPr>
        <w:shd w:val="clear" w:color="auto" w:fill="2272A3" w:themeFill="accent4" w:themeFillShade="80"/>
      </w:tcPr>
    </w:tblStylePr>
  </w:style>
  <w:style w:type="paragraph" w:customStyle="1" w:styleId="tableheadingline2">
    <w:name w:val="table heading line 2"/>
    <w:basedOn w:val="Normal"/>
    <w:link w:val="tableheadingline2Char"/>
    <w:qFormat/>
    <w:rsid w:val="00FA3830"/>
    <w:pPr>
      <w:spacing w:before="0" w:after="120"/>
      <w:jc w:val="center"/>
    </w:pPr>
    <w:rPr>
      <w:b/>
      <w:sz w:val="18"/>
      <w14:numSpacing w14:val="tabular"/>
    </w:rPr>
  </w:style>
  <w:style w:type="character" w:customStyle="1" w:styleId="tableheadingline2Char">
    <w:name w:val="table heading line 2 Char"/>
    <w:basedOn w:val="DefaultParagraphFont"/>
    <w:link w:val="tableheadingline2"/>
    <w:rsid w:val="00FA3830"/>
    <w:rPr>
      <w:rFonts w:ascii="Arial" w:hAnsi="Arial"/>
      <w:b/>
      <w:sz w:val="18"/>
      <w14:numSpacing w14:val="tabular"/>
    </w:rPr>
  </w:style>
  <w:style w:type="paragraph" w:customStyle="1" w:styleId="AERbodytext">
    <w:name w:val="AER body text"/>
    <w:link w:val="AERbodytextChar"/>
    <w:qFormat/>
    <w:rsid w:val="001778E3"/>
    <w:pPr>
      <w:spacing w:before="120" w:after="120" w:line="288" w:lineRule="auto"/>
      <w:jc w:val="both"/>
    </w:pPr>
    <w:rPr>
      <w:rFonts w:ascii="Arial" w:eastAsia="Times New Roman" w:hAnsi="Arial" w:cs="Arial"/>
      <w:bCs/>
      <w:lang w:eastAsia="en-AU"/>
    </w:rPr>
  </w:style>
  <w:style w:type="character" w:customStyle="1" w:styleId="AERbodytextChar">
    <w:name w:val="AER body text Char"/>
    <w:basedOn w:val="DefaultParagraphFont"/>
    <w:link w:val="AERbodytext"/>
    <w:rsid w:val="001778E3"/>
    <w:rPr>
      <w:rFonts w:ascii="Arial" w:eastAsia="Times New Roman" w:hAnsi="Arial" w:cs="Arial"/>
      <w:bCs/>
      <w:lang w:eastAsia="en-AU"/>
    </w:rPr>
  </w:style>
  <w:style w:type="paragraph" w:customStyle="1" w:styleId="tablenormal0">
    <w:name w:val="table normal"/>
    <w:basedOn w:val="Normal"/>
    <w:link w:val="tablenormalChar"/>
    <w:qFormat/>
    <w:rsid w:val="005D2FBD"/>
    <w:pPr>
      <w:spacing w:before="120" w:after="120"/>
    </w:pPr>
    <w:rPr>
      <w:rFonts w:cs="Arial"/>
      <w:sz w:val="18"/>
    </w:rPr>
  </w:style>
  <w:style w:type="character" w:customStyle="1" w:styleId="tablenormalChar">
    <w:name w:val="table normal Char"/>
    <w:basedOn w:val="DefaultParagraphFont"/>
    <w:link w:val="tablenormal0"/>
    <w:rsid w:val="005D2FBD"/>
    <w:rPr>
      <w:rFonts w:ascii="Arial" w:hAnsi="Arial" w:cs="Arial"/>
      <w:sz w:val="18"/>
    </w:rPr>
  </w:style>
  <w:style w:type="table" w:customStyle="1" w:styleId="AERsummarytable1">
    <w:name w:val="AER summary table1"/>
    <w:basedOn w:val="AERTable-Text"/>
    <w:uiPriority w:val="99"/>
    <w:rsid w:val="00784A7E"/>
    <w:pPr>
      <w:spacing w:before="0"/>
    </w:pPr>
    <w:tblPr>
      <w:tblStyleRowBandSize w:val="1"/>
      <w:tblInd w:w="0" w:type="dxa"/>
      <w:tblBorders>
        <w:bottom w:val="single" w:sz="4" w:space="0" w:color="auto"/>
      </w:tblBorders>
      <w:tblCellMar>
        <w:top w:w="0" w:type="dxa"/>
        <w:left w:w="108" w:type="dxa"/>
        <w:bottom w:w="0" w:type="dxa"/>
        <w:right w:w="108" w:type="dxa"/>
      </w:tblCellMar>
    </w:tblPr>
    <w:trPr>
      <w:cantSplit/>
    </w:tr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table" w:customStyle="1" w:styleId="AERsummarytable2">
    <w:name w:val="AER summary table2"/>
    <w:basedOn w:val="TableNormal"/>
    <w:uiPriority w:val="99"/>
    <w:rsid w:val="002D1734"/>
    <w:pPr>
      <w:spacing w:before="0" w:after="120"/>
    </w:pPr>
    <w:rPr>
      <w:rFonts w:ascii="Arial" w:hAnsi="Arial"/>
      <w:sz w:val="18"/>
    </w:rPr>
    <w:tblPr>
      <w:tblStyleRowBandSize w:val="1"/>
      <w:tblInd w:w="0" w:type="dxa"/>
      <w:tblBorders>
        <w:bottom w:val="single" w:sz="4" w:space="0" w:color="auto"/>
      </w:tblBorders>
      <w:tblCellMar>
        <w:top w:w="0" w:type="dxa"/>
        <w:left w:w="108" w:type="dxa"/>
        <w:bottom w:w="0" w:type="dxa"/>
        <w:right w:w="108" w:type="dxa"/>
      </w:tblCellMar>
    </w:tblPr>
    <w:trPr>
      <w:cantSplit/>
    </w:tr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a531">
    <w:name w:val="a5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571">
    <w:name w:val="a5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691">
    <w:name w:val="a69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31">
    <w:name w:val="a7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71">
    <w:name w:val="a7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displayonly">
    <w:name w:val="display_only"/>
    <w:basedOn w:val="DefaultParagraphFont"/>
    <w:rsid w:val="00091F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882484">
      <w:bodyDiv w:val="1"/>
      <w:marLeft w:val="0"/>
      <w:marRight w:val="0"/>
      <w:marTop w:val="0"/>
      <w:marBottom w:val="0"/>
      <w:divBdr>
        <w:top w:val="none" w:sz="0" w:space="0" w:color="auto"/>
        <w:left w:val="none" w:sz="0" w:space="0" w:color="auto"/>
        <w:bottom w:val="none" w:sz="0" w:space="0" w:color="auto"/>
        <w:right w:val="none" w:sz="0" w:space="0" w:color="auto"/>
      </w:divBdr>
    </w:div>
    <w:div w:id="300615641">
      <w:bodyDiv w:val="1"/>
      <w:marLeft w:val="0"/>
      <w:marRight w:val="0"/>
      <w:marTop w:val="0"/>
      <w:marBottom w:val="0"/>
      <w:divBdr>
        <w:top w:val="none" w:sz="0" w:space="0" w:color="auto"/>
        <w:left w:val="none" w:sz="0" w:space="0" w:color="auto"/>
        <w:bottom w:val="none" w:sz="0" w:space="0" w:color="auto"/>
        <w:right w:val="none" w:sz="0" w:space="0" w:color="auto"/>
      </w:divBdr>
    </w:div>
    <w:div w:id="326597061">
      <w:bodyDiv w:val="1"/>
      <w:marLeft w:val="0"/>
      <w:marRight w:val="0"/>
      <w:marTop w:val="0"/>
      <w:marBottom w:val="0"/>
      <w:divBdr>
        <w:top w:val="none" w:sz="0" w:space="0" w:color="auto"/>
        <w:left w:val="none" w:sz="0" w:space="0" w:color="auto"/>
        <w:bottom w:val="none" w:sz="0" w:space="0" w:color="auto"/>
        <w:right w:val="none" w:sz="0" w:space="0" w:color="auto"/>
      </w:divBdr>
    </w:div>
    <w:div w:id="361899807">
      <w:bodyDiv w:val="1"/>
      <w:marLeft w:val="0"/>
      <w:marRight w:val="0"/>
      <w:marTop w:val="0"/>
      <w:marBottom w:val="0"/>
      <w:divBdr>
        <w:top w:val="none" w:sz="0" w:space="0" w:color="auto"/>
        <w:left w:val="none" w:sz="0" w:space="0" w:color="auto"/>
        <w:bottom w:val="none" w:sz="0" w:space="0" w:color="auto"/>
        <w:right w:val="none" w:sz="0" w:space="0" w:color="auto"/>
      </w:divBdr>
    </w:div>
    <w:div w:id="368650552">
      <w:bodyDiv w:val="1"/>
      <w:marLeft w:val="0"/>
      <w:marRight w:val="0"/>
      <w:marTop w:val="0"/>
      <w:marBottom w:val="0"/>
      <w:divBdr>
        <w:top w:val="none" w:sz="0" w:space="0" w:color="auto"/>
        <w:left w:val="none" w:sz="0" w:space="0" w:color="auto"/>
        <w:bottom w:val="none" w:sz="0" w:space="0" w:color="auto"/>
        <w:right w:val="none" w:sz="0" w:space="0" w:color="auto"/>
      </w:divBdr>
    </w:div>
    <w:div w:id="370884515">
      <w:bodyDiv w:val="1"/>
      <w:marLeft w:val="0"/>
      <w:marRight w:val="0"/>
      <w:marTop w:val="0"/>
      <w:marBottom w:val="0"/>
      <w:divBdr>
        <w:top w:val="none" w:sz="0" w:space="0" w:color="auto"/>
        <w:left w:val="none" w:sz="0" w:space="0" w:color="auto"/>
        <w:bottom w:val="none" w:sz="0" w:space="0" w:color="auto"/>
        <w:right w:val="none" w:sz="0" w:space="0" w:color="auto"/>
      </w:divBdr>
    </w:div>
    <w:div w:id="492918306">
      <w:bodyDiv w:val="1"/>
      <w:marLeft w:val="0"/>
      <w:marRight w:val="0"/>
      <w:marTop w:val="0"/>
      <w:marBottom w:val="0"/>
      <w:divBdr>
        <w:top w:val="none" w:sz="0" w:space="0" w:color="auto"/>
        <w:left w:val="none" w:sz="0" w:space="0" w:color="auto"/>
        <w:bottom w:val="none" w:sz="0" w:space="0" w:color="auto"/>
        <w:right w:val="none" w:sz="0" w:space="0" w:color="auto"/>
      </w:divBdr>
    </w:div>
    <w:div w:id="551885407">
      <w:bodyDiv w:val="1"/>
      <w:marLeft w:val="0"/>
      <w:marRight w:val="0"/>
      <w:marTop w:val="0"/>
      <w:marBottom w:val="0"/>
      <w:divBdr>
        <w:top w:val="none" w:sz="0" w:space="0" w:color="auto"/>
        <w:left w:val="none" w:sz="0" w:space="0" w:color="auto"/>
        <w:bottom w:val="none" w:sz="0" w:space="0" w:color="auto"/>
        <w:right w:val="none" w:sz="0" w:space="0" w:color="auto"/>
      </w:divBdr>
    </w:div>
    <w:div w:id="607350953">
      <w:bodyDiv w:val="1"/>
      <w:marLeft w:val="0"/>
      <w:marRight w:val="0"/>
      <w:marTop w:val="0"/>
      <w:marBottom w:val="0"/>
      <w:divBdr>
        <w:top w:val="none" w:sz="0" w:space="0" w:color="auto"/>
        <w:left w:val="none" w:sz="0" w:space="0" w:color="auto"/>
        <w:bottom w:val="none" w:sz="0" w:space="0" w:color="auto"/>
        <w:right w:val="none" w:sz="0" w:space="0" w:color="auto"/>
      </w:divBdr>
      <w:divsChild>
        <w:div w:id="1477409511">
          <w:marLeft w:val="0"/>
          <w:marRight w:val="0"/>
          <w:marTop w:val="0"/>
          <w:marBottom w:val="0"/>
          <w:divBdr>
            <w:top w:val="none" w:sz="0" w:space="0" w:color="auto"/>
            <w:left w:val="none" w:sz="0" w:space="0" w:color="auto"/>
            <w:bottom w:val="none" w:sz="0" w:space="0" w:color="auto"/>
            <w:right w:val="none" w:sz="0" w:space="0" w:color="auto"/>
          </w:divBdr>
          <w:divsChild>
            <w:div w:id="1592464704">
              <w:marLeft w:val="0"/>
              <w:marRight w:val="0"/>
              <w:marTop w:val="0"/>
              <w:marBottom w:val="0"/>
              <w:divBdr>
                <w:top w:val="none" w:sz="0" w:space="0" w:color="auto"/>
                <w:left w:val="none" w:sz="0" w:space="0" w:color="auto"/>
                <w:bottom w:val="none" w:sz="0" w:space="0" w:color="auto"/>
                <w:right w:val="none" w:sz="0" w:space="0" w:color="auto"/>
              </w:divBdr>
              <w:divsChild>
                <w:div w:id="734359218">
                  <w:marLeft w:val="0"/>
                  <w:marRight w:val="0"/>
                  <w:marTop w:val="0"/>
                  <w:marBottom w:val="0"/>
                  <w:divBdr>
                    <w:top w:val="none" w:sz="0" w:space="0" w:color="auto"/>
                    <w:left w:val="none" w:sz="0" w:space="0" w:color="auto"/>
                    <w:bottom w:val="none" w:sz="0" w:space="0" w:color="auto"/>
                    <w:right w:val="none" w:sz="0" w:space="0" w:color="auto"/>
                  </w:divBdr>
                  <w:divsChild>
                    <w:div w:id="148524803">
                      <w:marLeft w:val="0"/>
                      <w:marRight w:val="0"/>
                      <w:marTop w:val="0"/>
                      <w:marBottom w:val="0"/>
                      <w:divBdr>
                        <w:top w:val="none" w:sz="0" w:space="0" w:color="auto"/>
                        <w:left w:val="none" w:sz="0" w:space="0" w:color="auto"/>
                        <w:bottom w:val="none" w:sz="0" w:space="0" w:color="auto"/>
                        <w:right w:val="none" w:sz="0" w:space="0" w:color="auto"/>
                      </w:divBdr>
                      <w:divsChild>
                        <w:div w:id="574323894">
                          <w:marLeft w:val="0"/>
                          <w:marRight w:val="0"/>
                          <w:marTop w:val="0"/>
                          <w:marBottom w:val="0"/>
                          <w:divBdr>
                            <w:top w:val="none" w:sz="0" w:space="0" w:color="auto"/>
                            <w:left w:val="none" w:sz="0" w:space="0" w:color="auto"/>
                            <w:bottom w:val="none" w:sz="0" w:space="0" w:color="auto"/>
                            <w:right w:val="none" w:sz="0" w:space="0" w:color="auto"/>
                          </w:divBdr>
                        </w:div>
                      </w:divsChild>
                    </w:div>
                    <w:div w:id="282813355">
                      <w:marLeft w:val="0"/>
                      <w:marRight w:val="0"/>
                      <w:marTop w:val="0"/>
                      <w:marBottom w:val="0"/>
                      <w:divBdr>
                        <w:top w:val="none" w:sz="0" w:space="0" w:color="auto"/>
                        <w:left w:val="none" w:sz="0" w:space="0" w:color="auto"/>
                        <w:bottom w:val="none" w:sz="0" w:space="0" w:color="auto"/>
                        <w:right w:val="none" w:sz="0" w:space="0" w:color="auto"/>
                      </w:divBdr>
                      <w:divsChild>
                        <w:div w:id="1136265507">
                          <w:marLeft w:val="0"/>
                          <w:marRight w:val="0"/>
                          <w:marTop w:val="0"/>
                          <w:marBottom w:val="0"/>
                          <w:divBdr>
                            <w:top w:val="none" w:sz="0" w:space="0" w:color="auto"/>
                            <w:left w:val="none" w:sz="0" w:space="0" w:color="auto"/>
                            <w:bottom w:val="none" w:sz="0" w:space="0" w:color="auto"/>
                            <w:right w:val="none" w:sz="0" w:space="0" w:color="auto"/>
                          </w:divBdr>
                        </w:div>
                      </w:divsChild>
                    </w:div>
                    <w:div w:id="1495608441">
                      <w:marLeft w:val="0"/>
                      <w:marRight w:val="0"/>
                      <w:marTop w:val="0"/>
                      <w:marBottom w:val="0"/>
                      <w:divBdr>
                        <w:top w:val="none" w:sz="0" w:space="0" w:color="auto"/>
                        <w:left w:val="none" w:sz="0" w:space="0" w:color="auto"/>
                        <w:bottom w:val="none" w:sz="0" w:space="0" w:color="auto"/>
                        <w:right w:val="none" w:sz="0" w:space="0" w:color="auto"/>
                      </w:divBdr>
                      <w:divsChild>
                        <w:div w:id="761222663">
                          <w:marLeft w:val="0"/>
                          <w:marRight w:val="0"/>
                          <w:marTop w:val="0"/>
                          <w:marBottom w:val="0"/>
                          <w:divBdr>
                            <w:top w:val="none" w:sz="0" w:space="0" w:color="auto"/>
                            <w:left w:val="none" w:sz="0" w:space="0" w:color="auto"/>
                            <w:bottom w:val="none" w:sz="0" w:space="0" w:color="auto"/>
                            <w:right w:val="none" w:sz="0" w:space="0" w:color="auto"/>
                          </w:divBdr>
                        </w:div>
                      </w:divsChild>
                    </w:div>
                    <w:div w:id="1695614408">
                      <w:marLeft w:val="0"/>
                      <w:marRight w:val="0"/>
                      <w:marTop w:val="0"/>
                      <w:marBottom w:val="0"/>
                      <w:divBdr>
                        <w:top w:val="none" w:sz="0" w:space="0" w:color="auto"/>
                        <w:left w:val="none" w:sz="0" w:space="0" w:color="auto"/>
                        <w:bottom w:val="none" w:sz="0" w:space="0" w:color="auto"/>
                        <w:right w:val="none" w:sz="0" w:space="0" w:color="auto"/>
                      </w:divBdr>
                      <w:divsChild>
                        <w:div w:id="938560433">
                          <w:marLeft w:val="0"/>
                          <w:marRight w:val="0"/>
                          <w:marTop w:val="0"/>
                          <w:marBottom w:val="0"/>
                          <w:divBdr>
                            <w:top w:val="none" w:sz="0" w:space="0" w:color="auto"/>
                            <w:left w:val="none" w:sz="0" w:space="0" w:color="auto"/>
                            <w:bottom w:val="none" w:sz="0" w:space="0" w:color="auto"/>
                            <w:right w:val="none" w:sz="0" w:space="0" w:color="auto"/>
                          </w:divBdr>
                        </w:div>
                      </w:divsChild>
                    </w:div>
                    <w:div w:id="1756435873">
                      <w:marLeft w:val="0"/>
                      <w:marRight w:val="0"/>
                      <w:marTop w:val="0"/>
                      <w:marBottom w:val="0"/>
                      <w:divBdr>
                        <w:top w:val="none" w:sz="0" w:space="0" w:color="auto"/>
                        <w:left w:val="none" w:sz="0" w:space="0" w:color="auto"/>
                        <w:bottom w:val="none" w:sz="0" w:space="0" w:color="auto"/>
                        <w:right w:val="none" w:sz="0" w:space="0" w:color="auto"/>
                      </w:divBdr>
                      <w:divsChild>
                        <w:div w:id="133556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0089711">
      <w:bodyDiv w:val="1"/>
      <w:marLeft w:val="0"/>
      <w:marRight w:val="0"/>
      <w:marTop w:val="0"/>
      <w:marBottom w:val="0"/>
      <w:divBdr>
        <w:top w:val="none" w:sz="0" w:space="0" w:color="auto"/>
        <w:left w:val="none" w:sz="0" w:space="0" w:color="auto"/>
        <w:bottom w:val="none" w:sz="0" w:space="0" w:color="auto"/>
        <w:right w:val="none" w:sz="0" w:space="0" w:color="auto"/>
      </w:divBdr>
    </w:div>
    <w:div w:id="688801072">
      <w:bodyDiv w:val="1"/>
      <w:marLeft w:val="0"/>
      <w:marRight w:val="0"/>
      <w:marTop w:val="0"/>
      <w:marBottom w:val="0"/>
      <w:divBdr>
        <w:top w:val="none" w:sz="0" w:space="0" w:color="auto"/>
        <w:left w:val="none" w:sz="0" w:space="0" w:color="auto"/>
        <w:bottom w:val="none" w:sz="0" w:space="0" w:color="auto"/>
        <w:right w:val="none" w:sz="0" w:space="0" w:color="auto"/>
      </w:divBdr>
    </w:div>
    <w:div w:id="742337540">
      <w:bodyDiv w:val="1"/>
      <w:marLeft w:val="0"/>
      <w:marRight w:val="0"/>
      <w:marTop w:val="0"/>
      <w:marBottom w:val="0"/>
      <w:divBdr>
        <w:top w:val="none" w:sz="0" w:space="0" w:color="auto"/>
        <w:left w:val="none" w:sz="0" w:space="0" w:color="auto"/>
        <w:bottom w:val="none" w:sz="0" w:space="0" w:color="auto"/>
        <w:right w:val="none" w:sz="0" w:space="0" w:color="auto"/>
      </w:divBdr>
    </w:div>
    <w:div w:id="844250539">
      <w:bodyDiv w:val="1"/>
      <w:marLeft w:val="0"/>
      <w:marRight w:val="0"/>
      <w:marTop w:val="0"/>
      <w:marBottom w:val="0"/>
      <w:divBdr>
        <w:top w:val="none" w:sz="0" w:space="0" w:color="auto"/>
        <w:left w:val="none" w:sz="0" w:space="0" w:color="auto"/>
        <w:bottom w:val="none" w:sz="0" w:space="0" w:color="auto"/>
        <w:right w:val="none" w:sz="0" w:space="0" w:color="auto"/>
      </w:divBdr>
    </w:div>
    <w:div w:id="851798394">
      <w:bodyDiv w:val="1"/>
      <w:marLeft w:val="0"/>
      <w:marRight w:val="0"/>
      <w:marTop w:val="0"/>
      <w:marBottom w:val="0"/>
      <w:divBdr>
        <w:top w:val="none" w:sz="0" w:space="0" w:color="auto"/>
        <w:left w:val="none" w:sz="0" w:space="0" w:color="auto"/>
        <w:bottom w:val="none" w:sz="0" w:space="0" w:color="auto"/>
        <w:right w:val="none" w:sz="0" w:space="0" w:color="auto"/>
      </w:divBdr>
    </w:div>
    <w:div w:id="882669064">
      <w:bodyDiv w:val="1"/>
      <w:marLeft w:val="0"/>
      <w:marRight w:val="0"/>
      <w:marTop w:val="0"/>
      <w:marBottom w:val="0"/>
      <w:divBdr>
        <w:top w:val="none" w:sz="0" w:space="0" w:color="auto"/>
        <w:left w:val="none" w:sz="0" w:space="0" w:color="auto"/>
        <w:bottom w:val="none" w:sz="0" w:space="0" w:color="auto"/>
        <w:right w:val="none" w:sz="0" w:space="0" w:color="auto"/>
      </w:divBdr>
    </w:div>
    <w:div w:id="884219376">
      <w:bodyDiv w:val="1"/>
      <w:marLeft w:val="0"/>
      <w:marRight w:val="0"/>
      <w:marTop w:val="0"/>
      <w:marBottom w:val="0"/>
      <w:divBdr>
        <w:top w:val="none" w:sz="0" w:space="0" w:color="auto"/>
        <w:left w:val="none" w:sz="0" w:space="0" w:color="auto"/>
        <w:bottom w:val="none" w:sz="0" w:space="0" w:color="auto"/>
        <w:right w:val="none" w:sz="0" w:space="0" w:color="auto"/>
      </w:divBdr>
    </w:div>
    <w:div w:id="1022441387">
      <w:bodyDiv w:val="1"/>
      <w:marLeft w:val="0"/>
      <w:marRight w:val="0"/>
      <w:marTop w:val="0"/>
      <w:marBottom w:val="0"/>
      <w:divBdr>
        <w:top w:val="none" w:sz="0" w:space="0" w:color="auto"/>
        <w:left w:val="none" w:sz="0" w:space="0" w:color="auto"/>
        <w:bottom w:val="none" w:sz="0" w:space="0" w:color="auto"/>
        <w:right w:val="none" w:sz="0" w:space="0" w:color="auto"/>
      </w:divBdr>
    </w:div>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 w:id="1046876556">
      <w:bodyDiv w:val="1"/>
      <w:marLeft w:val="0"/>
      <w:marRight w:val="0"/>
      <w:marTop w:val="0"/>
      <w:marBottom w:val="0"/>
      <w:divBdr>
        <w:top w:val="none" w:sz="0" w:space="0" w:color="auto"/>
        <w:left w:val="none" w:sz="0" w:space="0" w:color="auto"/>
        <w:bottom w:val="none" w:sz="0" w:space="0" w:color="auto"/>
        <w:right w:val="none" w:sz="0" w:space="0" w:color="auto"/>
      </w:divBdr>
    </w:div>
    <w:div w:id="1086655771">
      <w:bodyDiv w:val="1"/>
      <w:marLeft w:val="0"/>
      <w:marRight w:val="0"/>
      <w:marTop w:val="0"/>
      <w:marBottom w:val="0"/>
      <w:divBdr>
        <w:top w:val="none" w:sz="0" w:space="0" w:color="auto"/>
        <w:left w:val="none" w:sz="0" w:space="0" w:color="auto"/>
        <w:bottom w:val="none" w:sz="0" w:space="0" w:color="auto"/>
        <w:right w:val="none" w:sz="0" w:space="0" w:color="auto"/>
      </w:divBdr>
    </w:div>
    <w:div w:id="1098868369">
      <w:bodyDiv w:val="1"/>
      <w:marLeft w:val="0"/>
      <w:marRight w:val="0"/>
      <w:marTop w:val="0"/>
      <w:marBottom w:val="0"/>
      <w:divBdr>
        <w:top w:val="none" w:sz="0" w:space="0" w:color="auto"/>
        <w:left w:val="none" w:sz="0" w:space="0" w:color="auto"/>
        <w:bottom w:val="none" w:sz="0" w:space="0" w:color="auto"/>
        <w:right w:val="none" w:sz="0" w:space="0" w:color="auto"/>
      </w:divBdr>
    </w:div>
    <w:div w:id="1222518291">
      <w:bodyDiv w:val="1"/>
      <w:marLeft w:val="0"/>
      <w:marRight w:val="0"/>
      <w:marTop w:val="0"/>
      <w:marBottom w:val="0"/>
      <w:divBdr>
        <w:top w:val="none" w:sz="0" w:space="0" w:color="auto"/>
        <w:left w:val="none" w:sz="0" w:space="0" w:color="auto"/>
        <w:bottom w:val="none" w:sz="0" w:space="0" w:color="auto"/>
        <w:right w:val="none" w:sz="0" w:space="0" w:color="auto"/>
      </w:divBdr>
    </w:div>
    <w:div w:id="1333071894">
      <w:bodyDiv w:val="1"/>
      <w:marLeft w:val="0"/>
      <w:marRight w:val="0"/>
      <w:marTop w:val="0"/>
      <w:marBottom w:val="0"/>
      <w:divBdr>
        <w:top w:val="none" w:sz="0" w:space="0" w:color="auto"/>
        <w:left w:val="none" w:sz="0" w:space="0" w:color="auto"/>
        <w:bottom w:val="none" w:sz="0" w:space="0" w:color="auto"/>
        <w:right w:val="none" w:sz="0" w:space="0" w:color="auto"/>
      </w:divBdr>
    </w:div>
    <w:div w:id="1383939366">
      <w:bodyDiv w:val="1"/>
      <w:marLeft w:val="0"/>
      <w:marRight w:val="0"/>
      <w:marTop w:val="0"/>
      <w:marBottom w:val="0"/>
      <w:divBdr>
        <w:top w:val="none" w:sz="0" w:space="0" w:color="auto"/>
        <w:left w:val="none" w:sz="0" w:space="0" w:color="auto"/>
        <w:bottom w:val="none" w:sz="0" w:space="0" w:color="auto"/>
        <w:right w:val="none" w:sz="0" w:space="0" w:color="auto"/>
      </w:divBdr>
    </w:div>
    <w:div w:id="1406144921">
      <w:bodyDiv w:val="1"/>
      <w:marLeft w:val="0"/>
      <w:marRight w:val="0"/>
      <w:marTop w:val="0"/>
      <w:marBottom w:val="0"/>
      <w:divBdr>
        <w:top w:val="none" w:sz="0" w:space="0" w:color="auto"/>
        <w:left w:val="none" w:sz="0" w:space="0" w:color="auto"/>
        <w:bottom w:val="none" w:sz="0" w:space="0" w:color="auto"/>
        <w:right w:val="none" w:sz="0" w:space="0" w:color="auto"/>
      </w:divBdr>
    </w:div>
    <w:div w:id="1464157369">
      <w:bodyDiv w:val="1"/>
      <w:marLeft w:val="0"/>
      <w:marRight w:val="0"/>
      <w:marTop w:val="0"/>
      <w:marBottom w:val="0"/>
      <w:divBdr>
        <w:top w:val="none" w:sz="0" w:space="0" w:color="auto"/>
        <w:left w:val="none" w:sz="0" w:space="0" w:color="auto"/>
        <w:bottom w:val="none" w:sz="0" w:space="0" w:color="auto"/>
        <w:right w:val="none" w:sz="0" w:space="0" w:color="auto"/>
      </w:divBdr>
    </w:div>
    <w:div w:id="1481730809">
      <w:bodyDiv w:val="1"/>
      <w:marLeft w:val="0"/>
      <w:marRight w:val="0"/>
      <w:marTop w:val="0"/>
      <w:marBottom w:val="0"/>
      <w:divBdr>
        <w:top w:val="none" w:sz="0" w:space="0" w:color="auto"/>
        <w:left w:val="none" w:sz="0" w:space="0" w:color="auto"/>
        <w:bottom w:val="none" w:sz="0" w:space="0" w:color="auto"/>
        <w:right w:val="none" w:sz="0" w:space="0" w:color="auto"/>
      </w:divBdr>
    </w:div>
    <w:div w:id="1542669960">
      <w:bodyDiv w:val="1"/>
      <w:marLeft w:val="0"/>
      <w:marRight w:val="0"/>
      <w:marTop w:val="0"/>
      <w:marBottom w:val="0"/>
      <w:divBdr>
        <w:top w:val="none" w:sz="0" w:space="0" w:color="auto"/>
        <w:left w:val="none" w:sz="0" w:space="0" w:color="auto"/>
        <w:bottom w:val="none" w:sz="0" w:space="0" w:color="auto"/>
        <w:right w:val="none" w:sz="0" w:space="0" w:color="auto"/>
      </w:divBdr>
    </w:div>
    <w:div w:id="1580599939">
      <w:bodyDiv w:val="1"/>
      <w:marLeft w:val="0"/>
      <w:marRight w:val="0"/>
      <w:marTop w:val="0"/>
      <w:marBottom w:val="0"/>
      <w:divBdr>
        <w:top w:val="none" w:sz="0" w:space="0" w:color="auto"/>
        <w:left w:val="none" w:sz="0" w:space="0" w:color="auto"/>
        <w:bottom w:val="none" w:sz="0" w:space="0" w:color="auto"/>
        <w:right w:val="none" w:sz="0" w:space="0" w:color="auto"/>
      </w:divBdr>
    </w:div>
    <w:div w:id="1822455881">
      <w:bodyDiv w:val="1"/>
      <w:marLeft w:val="0"/>
      <w:marRight w:val="0"/>
      <w:marTop w:val="0"/>
      <w:marBottom w:val="0"/>
      <w:divBdr>
        <w:top w:val="none" w:sz="0" w:space="0" w:color="auto"/>
        <w:left w:val="none" w:sz="0" w:space="0" w:color="auto"/>
        <w:bottom w:val="none" w:sz="0" w:space="0" w:color="auto"/>
        <w:right w:val="none" w:sz="0" w:space="0" w:color="auto"/>
      </w:divBdr>
      <w:divsChild>
        <w:div w:id="560797537">
          <w:marLeft w:val="0"/>
          <w:marRight w:val="0"/>
          <w:marTop w:val="0"/>
          <w:marBottom w:val="0"/>
          <w:divBdr>
            <w:top w:val="none" w:sz="0" w:space="0" w:color="auto"/>
            <w:left w:val="none" w:sz="0" w:space="0" w:color="auto"/>
            <w:bottom w:val="none" w:sz="0" w:space="0" w:color="auto"/>
            <w:right w:val="none" w:sz="0" w:space="0" w:color="auto"/>
          </w:divBdr>
          <w:divsChild>
            <w:div w:id="593125470">
              <w:marLeft w:val="0"/>
              <w:marRight w:val="0"/>
              <w:marTop w:val="0"/>
              <w:marBottom w:val="0"/>
              <w:divBdr>
                <w:top w:val="none" w:sz="0" w:space="0" w:color="auto"/>
                <w:left w:val="none" w:sz="0" w:space="0" w:color="auto"/>
                <w:bottom w:val="none" w:sz="0" w:space="0" w:color="auto"/>
                <w:right w:val="none" w:sz="0" w:space="0" w:color="auto"/>
              </w:divBdr>
              <w:divsChild>
                <w:div w:id="1316841165">
                  <w:marLeft w:val="0"/>
                  <w:marRight w:val="0"/>
                  <w:marTop w:val="0"/>
                  <w:marBottom w:val="0"/>
                  <w:divBdr>
                    <w:top w:val="none" w:sz="0" w:space="0" w:color="auto"/>
                    <w:left w:val="none" w:sz="0" w:space="0" w:color="auto"/>
                    <w:bottom w:val="none" w:sz="0" w:space="0" w:color="auto"/>
                    <w:right w:val="none" w:sz="0" w:space="0" w:color="auto"/>
                  </w:divBdr>
                  <w:divsChild>
                    <w:div w:id="228424745">
                      <w:marLeft w:val="0"/>
                      <w:marRight w:val="0"/>
                      <w:marTop w:val="0"/>
                      <w:marBottom w:val="0"/>
                      <w:divBdr>
                        <w:top w:val="none" w:sz="0" w:space="0" w:color="auto"/>
                        <w:left w:val="none" w:sz="0" w:space="0" w:color="auto"/>
                        <w:bottom w:val="none" w:sz="0" w:space="0" w:color="auto"/>
                        <w:right w:val="none" w:sz="0" w:space="0" w:color="auto"/>
                      </w:divBdr>
                      <w:divsChild>
                        <w:div w:id="763839833">
                          <w:marLeft w:val="0"/>
                          <w:marRight w:val="0"/>
                          <w:marTop w:val="0"/>
                          <w:marBottom w:val="0"/>
                          <w:divBdr>
                            <w:top w:val="none" w:sz="0" w:space="0" w:color="auto"/>
                            <w:left w:val="none" w:sz="0" w:space="0" w:color="auto"/>
                            <w:bottom w:val="none" w:sz="0" w:space="0" w:color="auto"/>
                            <w:right w:val="none" w:sz="0" w:space="0" w:color="auto"/>
                          </w:divBdr>
                        </w:div>
                      </w:divsChild>
                    </w:div>
                    <w:div w:id="376928848">
                      <w:marLeft w:val="0"/>
                      <w:marRight w:val="0"/>
                      <w:marTop w:val="0"/>
                      <w:marBottom w:val="0"/>
                      <w:divBdr>
                        <w:top w:val="none" w:sz="0" w:space="0" w:color="auto"/>
                        <w:left w:val="none" w:sz="0" w:space="0" w:color="auto"/>
                        <w:bottom w:val="none" w:sz="0" w:space="0" w:color="auto"/>
                        <w:right w:val="none" w:sz="0" w:space="0" w:color="auto"/>
                      </w:divBdr>
                      <w:divsChild>
                        <w:div w:id="1865053153">
                          <w:marLeft w:val="0"/>
                          <w:marRight w:val="0"/>
                          <w:marTop w:val="0"/>
                          <w:marBottom w:val="0"/>
                          <w:divBdr>
                            <w:top w:val="none" w:sz="0" w:space="0" w:color="auto"/>
                            <w:left w:val="none" w:sz="0" w:space="0" w:color="auto"/>
                            <w:bottom w:val="none" w:sz="0" w:space="0" w:color="auto"/>
                            <w:right w:val="none" w:sz="0" w:space="0" w:color="auto"/>
                          </w:divBdr>
                        </w:div>
                      </w:divsChild>
                    </w:div>
                    <w:div w:id="869800885">
                      <w:marLeft w:val="0"/>
                      <w:marRight w:val="0"/>
                      <w:marTop w:val="0"/>
                      <w:marBottom w:val="0"/>
                      <w:divBdr>
                        <w:top w:val="none" w:sz="0" w:space="0" w:color="auto"/>
                        <w:left w:val="none" w:sz="0" w:space="0" w:color="auto"/>
                        <w:bottom w:val="none" w:sz="0" w:space="0" w:color="auto"/>
                        <w:right w:val="none" w:sz="0" w:space="0" w:color="auto"/>
                      </w:divBdr>
                      <w:divsChild>
                        <w:div w:id="1443502136">
                          <w:marLeft w:val="0"/>
                          <w:marRight w:val="0"/>
                          <w:marTop w:val="0"/>
                          <w:marBottom w:val="0"/>
                          <w:divBdr>
                            <w:top w:val="none" w:sz="0" w:space="0" w:color="auto"/>
                            <w:left w:val="none" w:sz="0" w:space="0" w:color="auto"/>
                            <w:bottom w:val="none" w:sz="0" w:space="0" w:color="auto"/>
                            <w:right w:val="none" w:sz="0" w:space="0" w:color="auto"/>
                          </w:divBdr>
                        </w:div>
                      </w:divsChild>
                    </w:div>
                    <w:div w:id="880243303">
                      <w:marLeft w:val="0"/>
                      <w:marRight w:val="0"/>
                      <w:marTop w:val="0"/>
                      <w:marBottom w:val="0"/>
                      <w:divBdr>
                        <w:top w:val="none" w:sz="0" w:space="0" w:color="auto"/>
                        <w:left w:val="none" w:sz="0" w:space="0" w:color="auto"/>
                        <w:bottom w:val="none" w:sz="0" w:space="0" w:color="auto"/>
                        <w:right w:val="none" w:sz="0" w:space="0" w:color="auto"/>
                      </w:divBdr>
                      <w:divsChild>
                        <w:div w:id="1872836296">
                          <w:marLeft w:val="0"/>
                          <w:marRight w:val="0"/>
                          <w:marTop w:val="0"/>
                          <w:marBottom w:val="0"/>
                          <w:divBdr>
                            <w:top w:val="none" w:sz="0" w:space="0" w:color="auto"/>
                            <w:left w:val="none" w:sz="0" w:space="0" w:color="auto"/>
                            <w:bottom w:val="none" w:sz="0" w:space="0" w:color="auto"/>
                            <w:right w:val="none" w:sz="0" w:space="0" w:color="auto"/>
                          </w:divBdr>
                        </w:div>
                      </w:divsChild>
                    </w:div>
                    <w:div w:id="1784616926">
                      <w:marLeft w:val="0"/>
                      <w:marRight w:val="0"/>
                      <w:marTop w:val="0"/>
                      <w:marBottom w:val="0"/>
                      <w:divBdr>
                        <w:top w:val="none" w:sz="0" w:space="0" w:color="auto"/>
                        <w:left w:val="none" w:sz="0" w:space="0" w:color="auto"/>
                        <w:bottom w:val="none" w:sz="0" w:space="0" w:color="auto"/>
                        <w:right w:val="none" w:sz="0" w:space="0" w:color="auto"/>
                      </w:divBdr>
                      <w:divsChild>
                        <w:div w:id="26018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492597">
      <w:bodyDiv w:val="1"/>
      <w:marLeft w:val="0"/>
      <w:marRight w:val="0"/>
      <w:marTop w:val="0"/>
      <w:marBottom w:val="0"/>
      <w:divBdr>
        <w:top w:val="none" w:sz="0" w:space="0" w:color="auto"/>
        <w:left w:val="none" w:sz="0" w:space="0" w:color="auto"/>
        <w:bottom w:val="none" w:sz="0" w:space="0" w:color="auto"/>
        <w:right w:val="none" w:sz="0" w:space="0" w:color="auto"/>
      </w:divBdr>
    </w:div>
    <w:div w:id="1848859156">
      <w:bodyDiv w:val="1"/>
      <w:marLeft w:val="0"/>
      <w:marRight w:val="0"/>
      <w:marTop w:val="0"/>
      <w:marBottom w:val="0"/>
      <w:divBdr>
        <w:top w:val="none" w:sz="0" w:space="0" w:color="auto"/>
        <w:left w:val="none" w:sz="0" w:space="0" w:color="auto"/>
        <w:bottom w:val="none" w:sz="0" w:space="0" w:color="auto"/>
        <w:right w:val="none" w:sz="0" w:space="0" w:color="auto"/>
      </w:divBdr>
    </w:div>
    <w:div w:id="1879587762">
      <w:bodyDiv w:val="1"/>
      <w:marLeft w:val="0"/>
      <w:marRight w:val="0"/>
      <w:marTop w:val="0"/>
      <w:marBottom w:val="0"/>
      <w:divBdr>
        <w:top w:val="none" w:sz="0" w:space="0" w:color="auto"/>
        <w:left w:val="none" w:sz="0" w:space="0" w:color="auto"/>
        <w:bottom w:val="none" w:sz="0" w:space="0" w:color="auto"/>
        <w:right w:val="none" w:sz="0" w:space="0" w:color="auto"/>
      </w:divBdr>
    </w:div>
    <w:div w:id="2029481601">
      <w:bodyDiv w:val="1"/>
      <w:marLeft w:val="0"/>
      <w:marRight w:val="0"/>
      <w:marTop w:val="0"/>
      <w:marBottom w:val="0"/>
      <w:divBdr>
        <w:top w:val="none" w:sz="0" w:space="0" w:color="auto"/>
        <w:left w:val="none" w:sz="0" w:space="0" w:color="auto"/>
        <w:bottom w:val="none" w:sz="0" w:space="0" w:color="auto"/>
        <w:right w:val="none" w:sz="0" w:space="0" w:color="auto"/>
      </w:divBdr>
    </w:div>
    <w:div w:id="2083333955">
      <w:bodyDiv w:val="1"/>
      <w:marLeft w:val="0"/>
      <w:marRight w:val="0"/>
      <w:marTop w:val="0"/>
      <w:marBottom w:val="0"/>
      <w:divBdr>
        <w:top w:val="none" w:sz="0" w:space="0" w:color="auto"/>
        <w:left w:val="none" w:sz="0" w:space="0" w:color="auto"/>
        <w:bottom w:val="none" w:sz="0" w:space="0" w:color="auto"/>
        <w:right w:val="none" w:sz="0" w:space="0" w:color="auto"/>
      </w:divBdr>
    </w:div>
    <w:div w:id="2116511574">
      <w:bodyDiv w:val="1"/>
      <w:marLeft w:val="0"/>
      <w:marRight w:val="0"/>
      <w:marTop w:val="0"/>
      <w:marBottom w:val="0"/>
      <w:divBdr>
        <w:top w:val="none" w:sz="0" w:space="0" w:color="auto"/>
        <w:left w:val="none" w:sz="0" w:space="0" w:color="auto"/>
        <w:bottom w:val="none" w:sz="0" w:space="0" w:color="auto"/>
        <w:right w:val="none" w:sz="0" w:space="0" w:color="auto"/>
      </w:divBdr>
      <w:divsChild>
        <w:div w:id="41172161">
          <w:marLeft w:val="0"/>
          <w:marRight w:val="0"/>
          <w:marTop w:val="0"/>
          <w:marBottom w:val="0"/>
          <w:divBdr>
            <w:top w:val="none" w:sz="0" w:space="0" w:color="auto"/>
            <w:left w:val="none" w:sz="0" w:space="0" w:color="auto"/>
            <w:bottom w:val="none" w:sz="0" w:space="0" w:color="auto"/>
            <w:right w:val="none" w:sz="0" w:space="0" w:color="auto"/>
          </w:divBdr>
          <w:divsChild>
            <w:div w:id="898325867">
              <w:marLeft w:val="0"/>
              <w:marRight w:val="0"/>
              <w:marTop w:val="0"/>
              <w:marBottom w:val="0"/>
              <w:divBdr>
                <w:top w:val="none" w:sz="0" w:space="0" w:color="auto"/>
                <w:left w:val="none" w:sz="0" w:space="0" w:color="auto"/>
                <w:bottom w:val="none" w:sz="0" w:space="0" w:color="auto"/>
                <w:right w:val="none" w:sz="0" w:space="0" w:color="auto"/>
              </w:divBdr>
            </w:div>
            <w:div w:id="2037462382">
              <w:marLeft w:val="0"/>
              <w:marRight w:val="0"/>
              <w:marTop w:val="0"/>
              <w:marBottom w:val="0"/>
              <w:divBdr>
                <w:top w:val="none" w:sz="0" w:space="0" w:color="auto"/>
                <w:left w:val="none" w:sz="0" w:space="0" w:color="auto"/>
                <w:bottom w:val="none" w:sz="0" w:space="0" w:color="auto"/>
                <w:right w:val="none" w:sz="0" w:space="0" w:color="auto"/>
              </w:divBdr>
            </w:div>
            <w:div w:id="1704093197">
              <w:marLeft w:val="0"/>
              <w:marRight w:val="0"/>
              <w:marTop w:val="0"/>
              <w:marBottom w:val="0"/>
              <w:divBdr>
                <w:top w:val="none" w:sz="0" w:space="0" w:color="auto"/>
                <w:left w:val="none" w:sz="0" w:space="0" w:color="auto"/>
                <w:bottom w:val="none" w:sz="0" w:space="0" w:color="auto"/>
                <w:right w:val="none" w:sz="0" w:space="0" w:color="auto"/>
              </w:divBdr>
            </w:div>
            <w:div w:id="382561846">
              <w:marLeft w:val="0"/>
              <w:marRight w:val="0"/>
              <w:marTop w:val="0"/>
              <w:marBottom w:val="0"/>
              <w:divBdr>
                <w:top w:val="none" w:sz="0" w:space="0" w:color="auto"/>
                <w:left w:val="none" w:sz="0" w:space="0" w:color="auto"/>
                <w:bottom w:val="none" w:sz="0" w:space="0" w:color="auto"/>
                <w:right w:val="none" w:sz="0" w:space="0" w:color="auto"/>
              </w:divBdr>
            </w:div>
            <w:div w:id="69142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hyperlink" Target="http://www.aer.gov.au/node/451" TargetMode="External"/><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4.emf"/><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er.gov.au/industry-information/industry-statistics" TargetMode="External"/><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fontTable" Target="fontTable.xml"/><Relationship Id="rId10" Type="http://schemas.openxmlformats.org/officeDocument/2006/relationships/hyperlink" Target="http://www.aer.gov.au/wholesale-markets/market-performance" TargetMode="External"/><Relationship Id="rId19" Type="http://schemas.openxmlformats.org/officeDocument/2006/relationships/image" Target="media/image9.emf"/><Relationship Id="rId31" Type="http://schemas.openxmlformats.org/officeDocument/2006/relationships/image" Target="media/image20.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footer" Target="footer3.xml"/></Relationships>
</file>

<file path=word/_rels/footnotes.xml.rels><?xml version="1.0" encoding="UTF-8" standalone="yes"?>
<Relationships xmlns="http://schemas.openxmlformats.org/package/2006/relationships"><Relationship Id="rId2" Type="http://schemas.openxmlformats.org/officeDocument/2006/relationships/hyperlink" Target="https://www.aer.gov.au/system/files/User%20guide%20to%20the%20AER%20gas%20weekly%20report%20-%20November%202016.pdf" TargetMode="External"/><Relationship Id="rId1" Type="http://schemas.openxmlformats.org/officeDocument/2006/relationships/hyperlink" Target="https://www.aer.gov.au/system/files/User%20guide%20to%20the%20AER%20gas%20weekly%20report%20-%20November%202016.pdf"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3591"/>
      </a:dk2>
      <a:lt2>
        <a:srgbClr val="D5D6D2"/>
      </a:lt2>
      <a:accent1>
        <a:srgbClr val="51626F"/>
      </a:accent1>
      <a:accent2>
        <a:srgbClr val="4F2D7D"/>
      </a:accent2>
      <a:accent3>
        <a:srgbClr val="0098C3"/>
      </a:accent3>
      <a:accent4>
        <a:srgbClr val="A0CFEB"/>
      </a:accent4>
      <a:accent5>
        <a:srgbClr val="B71202"/>
      </a:accent5>
      <a:accent6>
        <a:srgbClr val="DC5034"/>
      </a:accent6>
      <a:hlink>
        <a:srgbClr val="0000FF"/>
      </a:hlink>
      <a:folHlink>
        <a:srgbClr val="800080"/>
      </a:folHlink>
    </a:clrScheme>
    <a:fontScheme name="ACCC">
      <a:majorFont>
        <a:latin typeface="Lucida Fax"/>
        <a:ea typeface=""/>
        <a:cs typeface=""/>
      </a:majorFont>
      <a:minorFont>
        <a:latin typeface="Arial"/>
        <a:ea typeface=""/>
        <a:cs typeface=""/>
      </a:minorFont>
    </a:fontScheme>
    <a:fmtScheme name="Apex">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362B1998.dotm</Template>
  <TotalTime>0</TotalTime>
  <Pages>13</Pages>
  <Words>1981</Words>
  <Characters>11295</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13250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2017-05-22T06:51:00Z</dcterms:created>
  <dcterms:modified xsi:type="dcterms:W3CDTF">2017-06-05T05:47:00Z</dcterms:modified>
</cp:coreProperties>
</file>