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144A4"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EC52A7" w:rsidP="004420C4">
      <w:pPr>
        <w:pStyle w:val="Heading2"/>
        <w:numPr>
          <w:ilvl w:val="0"/>
          <w:numId w:val="0"/>
        </w:numPr>
        <w:rPr>
          <w:i w:val="0"/>
        </w:rPr>
      </w:pPr>
      <w:r>
        <w:rPr>
          <w:i w:val="0"/>
          <w:sz w:val="36"/>
          <w:szCs w:val="36"/>
        </w:rPr>
        <w:t>31 January – 6 February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7A1659" w:rsidRDefault="0030718D" w:rsidP="00345444">
      <w:pPr>
        <w:pStyle w:val="AERbodytext"/>
        <w:spacing w:line="240" w:lineRule="auto"/>
        <w:jc w:val="both"/>
      </w:pPr>
      <w:r>
        <w:t>Figure 1 shows that the average daily pric</w:t>
      </w:r>
      <w:bookmarkStart w:id="2" w:name="_GoBack"/>
      <w:bookmarkEnd w:id="2"/>
      <w:r>
        <w:t xml:space="preserve">e fell in Victoria (mostly due to the price of $1.50/GJ on 6 February – see Figure 1.1). In the STTM, the average daily price fell in Adelaide, but rose in Sydney and to a greater extent Brisbane (following low prices in that hub the previous week).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1B0C3D" w:rsidRPr="0091453B" w:rsidTr="00920D92">
        <w:trPr>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31 Jan - 06 Feb 2016</w:t>
            </w:r>
          </w:p>
        </w:tc>
        <w:tc>
          <w:tcPr>
            <w:tcW w:w="750" w:type="pct"/>
            <w:tcBorders>
              <w:top w:val="nil"/>
              <w:bottom w:val="nil"/>
            </w:tcBorders>
            <w:vAlign w:val="center"/>
          </w:tcPr>
          <w:p w:rsidR="001B0C3D" w:rsidRDefault="001B0C3D">
            <w:pPr>
              <w:jc w:val="center"/>
              <w:rPr>
                <w:rFonts w:cs="Arial"/>
                <w:sz w:val="20"/>
                <w:szCs w:val="20"/>
              </w:rPr>
            </w:pPr>
            <w:r>
              <w:rPr>
                <w:rFonts w:cs="Arial"/>
                <w:sz w:val="20"/>
                <w:szCs w:val="20"/>
              </w:rPr>
              <w:t>3.66</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4.36</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4.68</w:t>
            </w:r>
          </w:p>
        </w:tc>
        <w:tc>
          <w:tcPr>
            <w:tcW w:w="823" w:type="pct"/>
            <w:tcBorders>
              <w:top w:val="nil"/>
              <w:bottom w:val="nil"/>
            </w:tcBorders>
            <w:vAlign w:val="center"/>
          </w:tcPr>
          <w:p w:rsidR="001B0C3D" w:rsidRDefault="001B0C3D">
            <w:pPr>
              <w:jc w:val="center"/>
              <w:rPr>
                <w:rFonts w:cs="Arial"/>
                <w:sz w:val="20"/>
                <w:szCs w:val="20"/>
              </w:rPr>
            </w:pPr>
            <w:r>
              <w:rPr>
                <w:rFonts w:cs="Arial"/>
                <w:sz w:val="20"/>
                <w:szCs w:val="20"/>
              </w:rPr>
              <w:t>4.56</w:t>
            </w:r>
          </w:p>
        </w:tc>
      </w:tr>
      <w:tr w:rsidR="001B0C3D" w:rsidRPr="0091453B" w:rsidTr="00920D9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 change from previous week</w:t>
            </w:r>
          </w:p>
        </w:tc>
        <w:tc>
          <w:tcPr>
            <w:tcW w:w="750" w:type="pct"/>
            <w:tcBorders>
              <w:top w:val="nil"/>
              <w:bottom w:val="nil"/>
            </w:tcBorders>
            <w:vAlign w:val="center"/>
          </w:tcPr>
          <w:p w:rsidR="001B0C3D" w:rsidRDefault="001B0C3D">
            <w:pPr>
              <w:jc w:val="center"/>
              <w:rPr>
                <w:rFonts w:cs="Arial"/>
                <w:sz w:val="20"/>
                <w:szCs w:val="20"/>
              </w:rPr>
            </w:pPr>
            <w:r>
              <w:rPr>
                <w:rFonts w:cs="Arial"/>
                <w:sz w:val="20"/>
                <w:szCs w:val="20"/>
              </w:rPr>
              <w:t>-13</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16</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-5</w:t>
            </w:r>
          </w:p>
        </w:tc>
        <w:tc>
          <w:tcPr>
            <w:tcW w:w="823" w:type="pct"/>
            <w:tcBorders>
              <w:top w:val="nil"/>
              <w:bottom w:val="nil"/>
            </w:tcBorders>
            <w:vAlign w:val="center"/>
          </w:tcPr>
          <w:p w:rsidR="001B0C3D" w:rsidRDefault="001B0C3D">
            <w:pPr>
              <w:jc w:val="center"/>
              <w:rPr>
                <w:rFonts w:cs="Arial"/>
                <w:sz w:val="20"/>
                <w:szCs w:val="20"/>
              </w:rPr>
            </w:pPr>
            <w:r>
              <w:rPr>
                <w:rFonts w:cs="Arial"/>
                <w:sz w:val="20"/>
                <w:szCs w:val="20"/>
              </w:rPr>
              <w:t>27</w:t>
            </w:r>
          </w:p>
        </w:tc>
      </w:tr>
      <w:tr w:rsidR="001B0C3D" w:rsidRPr="0091453B" w:rsidTr="00920D92">
        <w:trPr>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15-16 financial YTD</w:t>
            </w:r>
          </w:p>
        </w:tc>
        <w:tc>
          <w:tcPr>
            <w:tcW w:w="750" w:type="pct"/>
            <w:tcBorders>
              <w:top w:val="nil"/>
              <w:bottom w:val="nil"/>
            </w:tcBorders>
            <w:vAlign w:val="center"/>
          </w:tcPr>
          <w:p w:rsidR="001B0C3D" w:rsidRDefault="001B0C3D">
            <w:pPr>
              <w:jc w:val="center"/>
              <w:rPr>
                <w:rFonts w:cs="Arial"/>
                <w:sz w:val="20"/>
                <w:szCs w:val="20"/>
              </w:rPr>
            </w:pPr>
            <w:r>
              <w:rPr>
                <w:rFonts w:cs="Arial"/>
                <w:sz w:val="20"/>
                <w:szCs w:val="20"/>
              </w:rPr>
              <w:t>4.37</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4.61</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5.18</w:t>
            </w:r>
          </w:p>
        </w:tc>
        <w:tc>
          <w:tcPr>
            <w:tcW w:w="823" w:type="pct"/>
            <w:tcBorders>
              <w:top w:val="nil"/>
              <w:bottom w:val="nil"/>
            </w:tcBorders>
            <w:vAlign w:val="center"/>
          </w:tcPr>
          <w:p w:rsidR="001B0C3D" w:rsidRDefault="001B0C3D">
            <w:pPr>
              <w:jc w:val="center"/>
              <w:rPr>
                <w:rFonts w:cs="Arial"/>
                <w:sz w:val="20"/>
                <w:szCs w:val="20"/>
              </w:rPr>
            </w:pPr>
            <w:r>
              <w:rPr>
                <w:rFonts w:cs="Arial"/>
                <w:sz w:val="20"/>
                <w:szCs w:val="20"/>
              </w:rPr>
              <w:t>3.88</w:t>
            </w:r>
          </w:p>
        </w:tc>
      </w:tr>
      <w:tr w:rsidR="001B0C3D" w:rsidRPr="0091453B" w:rsidTr="00920D9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1B0C3D" w:rsidRDefault="001B0C3D">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42</w:t>
            </w:r>
          </w:p>
        </w:tc>
        <w:tc>
          <w:tcPr>
            <w:tcW w:w="74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44</w:t>
            </w:r>
          </w:p>
        </w:tc>
        <w:tc>
          <w:tcPr>
            <w:tcW w:w="823"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73</w:t>
            </w:r>
          </w:p>
        </w:tc>
      </w:tr>
    </w:tbl>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E275F6" w:rsidRDefault="00E275F6" w:rsidP="00FF0D8A">
      <w:pPr>
        <w:pStyle w:val="AERbodytext"/>
        <w:spacing w:before="120" w:after="120"/>
        <w:jc w:val="both"/>
      </w:pPr>
    </w:p>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1B0C3D" w:rsidRPr="0091453B" w:rsidTr="000A3CD3">
        <w:trPr>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31 Jan - 06 Feb 2016</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3.66</w:t>
            </w:r>
          </w:p>
        </w:tc>
        <w:tc>
          <w:tcPr>
            <w:tcW w:w="1124" w:type="pct"/>
            <w:tcBorders>
              <w:top w:val="nil"/>
              <w:bottom w:val="nil"/>
            </w:tcBorders>
            <w:vAlign w:val="center"/>
          </w:tcPr>
          <w:p w:rsidR="001B0C3D" w:rsidRDefault="001B0C3D" w:rsidP="00F87170">
            <w:pPr>
              <w:jc w:val="center"/>
              <w:rPr>
                <w:rFonts w:cs="Arial"/>
                <w:sz w:val="20"/>
                <w:szCs w:val="20"/>
              </w:rPr>
            </w:pPr>
            <w:r>
              <w:rPr>
                <w:rFonts w:cs="Arial"/>
                <w:sz w:val="20"/>
                <w:szCs w:val="20"/>
              </w:rPr>
              <w:t>0.00</w:t>
            </w:r>
            <w:r w:rsidR="00F87170">
              <w:rPr>
                <w:rFonts w:cs="Arial"/>
                <w:sz w:val="20"/>
                <w:szCs w:val="20"/>
              </w:rPr>
              <w:t>8</w:t>
            </w:r>
          </w:p>
        </w:tc>
        <w:tc>
          <w:tcPr>
            <w:tcW w:w="1199" w:type="pct"/>
            <w:tcBorders>
              <w:top w:val="nil"/>
              <w:bottom w:val="nil"/>
            </w:tcBorders>
            <w:vAlign w:val="center"/>
          </w:tcPr>
          <w:p w:rsidR="001B0C3D" w:rsidRDefault="001B0C3D">
            <w:pPr>
              <w:jc w:val="center"/>
              <w:rPr>
                <w:rFonts w:cs="Arial"/>
                <w:sz w:val="20"/>
                <w:szCs w:val="20"/>
              </w:rPr>
            </w:pPr>
            <w:r>
              <w:rPr>
                <w:rFonts w:cs="Arial"/>
                <w:sz w:val="20"/>
                <w:szCs w:val="20"/>
              </w:rPr>
              <w:t>325</w:t>
            </w:r>
          </w:p>
        </w:tc>
      </w:tr>
      <w:tr w:rsidR="001B0C3D" w:rsidRPr="0091453B" w:rsidTr="000A3CD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 change from previous week</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-13</w:t>
            </w:r>
          </w:p>
        </w:tc>
        <w:tc>
          <w:tcPr>
            <w:tcW w:w="1124" w:type="pct"/>
            <w:tcBorders>
              <w:top w:val="nil"/>
              <w:bottom w:val="nil"/>
            </w:tcBorders>
            <w:vAlign w:val="center"/>
          </w:tcPr>
          <w:p w:rsidR="001B0C3D" w:rsidRDefault="001B0C3D">
            <w:pPr>
              <w:jc w:val="center"/>
              <w:rPr>
                <w:rFonts w:cs="Arial"/>
                <w:sz w:val="20"/>
                <w:szCs w:val="20"/>
              </w:rPr>
            </w:pPr>
            <w:r>
              <w:rPr>
                <w:rFonts w:cs="Arial"/>
                <w:sz w:val="20"/>
                <w:szCs w:val="20"/>
              </w:rPr>
              <w:t>-</w:t>
            </w:r>
          </w:p>
        </w:tc>
        <w:tc>
          <w:tcPr>
            <w:tcW w:w="1199" w:type="pct"/>
            <w:tcBorders>
              <w:top w:val="nil"/>
              <w:bottom w:val="nil"/>
            </w:tcBorders>
            <w:vAlign w:val="center"/>
          </w:tcPr>
          <w:p w:rsidR="001B0C3D" w:rsidRDefault="001B0C3D">
            <w:pPr>
              <w:jc w:val="center"/>
              <w:rPr>
                <w:rFonts w:cs="Arial"/>
                <w:sz w:val="20"/>
                <w:szCs w:val="20"/>
              </w:rPr>
            </w:pPr>
            <w:r>
              <w:rPr>
                <w:rFonts w:cs="Arial"/>
                <w:sz w:val="20"/>
                <w:szCs w:val="20"/>
              </w:rPr>
              <w:t>2</w:t>
            </w:r>
          </w:p>
        </w:tc>
      </w:tr>
      <w:tr w:rsidR="001B0C3D" w:rsidRPr="0091453B" w:rsidTr="000A3CD3">
        <w:trPr>
          <w:trHeight w:val="510"/>
        </w:trPr>
        <w:tc>
          <w:tcPr>
            <w:tcW w:w="1928" w:type="pct"/>
            <w:tcBorders>
              <w:top w:val="nil"/>
              <w:bottom w:val="nil"/>
            </w:tcBorders>
            <w:vAlign w:val="center"/>
          </w:tcPr>
          <w:p w:rsidR="001B0C3D" w:rsidRDefault="001B0C3D">
            <w:pPr>
              <w:rPr>
                <w:rFonts w:cs="Arial"/>
                <w:sz w:val="20"/>
                <w:szCs w:val="20"/>
              </w:rPr>
            </w:pPr>
            <w:r>
              <w:rPr>
                <w:rFonts w:cs="Arial"/>
                <w:sz w:val="20"/>
                <w:szCs w:val="20"/>
              </w:rPr>
              <w:t>15-16 financial YTD</w:t>
            </w:r>
          </w:p>
        </w:tc>
        <w:tc>
          <w:tcPr>
            <w:tcW w:w="749" w:type="pct"/>
            <w:tcBorders>
              <w:top w:val="nil"/>
              <w:bottom w:val="nil"/>
            </w:tcBorders>
            <w:vAlign w:val="center"/>
          </w:tcPr>
          <w:p w:rsidR="001B0C3D" w:rsidRDefault="001B0C3D">
            <w:pPr>
              <w:jc w:val="center"/>
              <w:rPr>
                <w:rFonts w:cs="Arial"/>
                <w:sz w:val="20"/>
                <w:szCs w:val="20"/>
              </w:rPr>
            </w:pPr>
            <w:r>
              <w:rPr>
                <w:rFonts w:cs="Arial"/>
                <w:sz w:val="20"/>
                <w:szCs w:val="20"/>
              </w:rPr>
              <w:t>4.37</w:t>
            </w:r>
          </w:p>
        </w:tc>
        <w:tc>
          <w:tcPr>
            <w:tcW w:w="1124" w:type="pct"/>
            <w:tcBorders>
              <w:top w:val="nil"/>
              <w:bottom w:val="nil"/>
            </w:tcBorders>
            <w:vAlign w:val="center"/>
          </w:tcPr>
          <w:p w:rsidR="001B0C3D" w:rsidRDefault="001B0C3D">
            <w:pPr>
              <w:jc w:val="center"/>
              <w:rPr>
                <w:rFonts w:cs="Arial"/>
                <w:sz w:val="20"/>
                <w:szCs w:val="20"/>
              </w:rPr>
            </w:pPr>
            <w:r>
              <w:rPr>
                <w:rFonts w:cs="Arial"/>
                <w:sz w:val="20"/>
                <w:szCs w:val="20"/>
              </w:rPr>
              <w:t>-</w:t>
            </w:r>
          </w:p>
        </w:tc>
        <w:tc>
          <w:tcPr>
            <w:tcW w:w="1199" w:type="pct"/>
            <w:tcBorders>
              <w:top w:val="nil"/>
              <w:bottom w:val="nil"/>
            </w:tcBorders>
            <w:vAlign w:val="center"/>
          </w:tcPr>
          <w:p w:rsidR="001B0C3D" w:rsidRDefault="001B0C3D">
            <w:pPr>
              <w:jc w:val="center"/>
              <w:rPr>
                <w:rFonts w:cs="Arial"/>
                <w:sz w:val="20"/>
                <w:szCs w:val="20"/>
              </w:rPr>
            </w:pPr>
            <w:r>
              <w:rPr>
                <w:rFonts w:cs="Arial"/>
                <w:sz w:val="20"/>
                <w:szCs w:val="20"/>
              </w:rPr>
              <w:t>579</w:t>
            </w:r>
          </w:p>
        </w:tc>
      </w:tr>
      <w:tr w:rsidR="001B0C3D" w:rsidRPr="0091453B" w:rsidTr="000A3CD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1B0C3D" w:rsidRDefault="001B0C3D">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6</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1B0C3D" w:rsidRPr="00405CDE" w:rsidTr="00A03CAD">
        <w:trPr>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31 Jan - 06 Feb 2016</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4.36</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3.91</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18.03</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217</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215</w:t>
            </w:r>
          </w:p>
        </w:tc>
      </w:tr>
      <w:tr w:rsidR="001B0C3D" w:rsidRPr="00405CDE" w:rsidTr="00A03C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 change from previous week</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16</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21</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-33</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6</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8</w:t>
            </w:r>
          </w:p>
        </w:tc>
      </w:tr>
      <w:tr w:rsidR="001B0C3D" w:rsidRPr="00405CDE" w:rsidTr="00A03CAD">
        <w:trPr>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15-16 financial YTD</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4.61</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4.27</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31.03</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237</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231</w:t>
            </w:r>
          </w:p>
        </w:tc>
      </w:tr>
      <w:tr w:rsidR="001B0C3D" w:rsidRPr="00405CDE" w:rsidTr="00A03C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1B0C3D" w:rsidRDefault="001B0C3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42</w:t>
            </w:r>
          </w:p>
        </w:tc>
        <w:tc>
          <w:tcPr>
            <w:tcW w:w="758"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30</w:t>
            </w:r>
          </w:p>
        </w:tc>
        <w:tc>
          <w:tcPr>
            <w:tcW w:w="75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126</w:t>
            </w:r>
          </w:p>
        </w:tc>
        <w:tc>
          <w:tcPr>
            <w:tcW w:w="68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-5</w:t>
            </w:r>
          </w:p>
        </w:tc>
        <w:tc>
          <w:tcPr>
            <w:tcW w:w="608"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-8</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E275F6" w:rsidRPr="00405CDE" w:rsidTr="00D7624C">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E275F6" w:rsidRPr="00DC24BF" w:rsidRDefault="00E275F6" w:rsidP="00D7624C">
            <w:pPr>
              <w:pStyle w:val="TableHeading"/>
              <w:jc w:val="center"/>
              <w:rPr>
                <w:rFonts w:cs="Arial"/>
                <w:sz w:val="20"/>
                <w:szCs w:val="20"/>
              </w:rPr>
            </w:pPr>
          </w:p>
        </w:tc>
        <w:tc>
          <w:tcPr>
            <w:tcW w:w="759" w:type="pct"/>
            <w:tcBorders>
              <w:bottom w:val="nil"/>
            </w:tcBorders>
            <w:hideMark/>
          </w:tcPr>
          <w:p w:rsidR="00E275F6" w:rsidRPr="002861A9" w:rsidRDefault="00E275F6" w:rsidP="00D7624C">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E275F6" w:rsidRPr="002861A9" w:rsidRDefault="00E275F6" w:rsidP="00D7624C">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E275F6" w:rsidRPr="002861A9" w:rsidRDefault="00E275F6" w:rsidP="00D7624C">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E275F6" w:rsidRPr="002861A9" w:rsidRDefault="00E275F6" w:rsidP="00D7624C">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E275F6" w:rsidRPr="002861A9" w:rsidRDefault="00E275F6" w:rsidP="00D7624C">
            <w:pPr>
              <w:keepNext/>
              <w:spacing w:before="40" w:after="40"/>
              <w:jc w:val="center"/>
              <w:rPr>
                <w:rFonts w:cs="Arial"/>
                <w:b w:val="0"/>
                <w:bCs/>
                <w:sz w:val="20"/>
                <w:szCs w:val="20"/>
              </w:rPr>
            </w:pPr>
            <w:r w:rsidRPr="002861A9">
              <w:rPr>
                <w:rFonts w:cs="Arial"/>
                <w:bCs/>
                <w:sz w:val="20"/>
                <w:szCs w:val="20"/>
              </w:rPr>
              <w:t>Ex post quantity (TJ)</w:t>
            </w:r>
          </w:p>
        </w:tc>
      </w:tr>
      <w:tr w:rsidR="00E275F6" w:rsidRPr="00405CDE" w:rsidTr="00D7624C">
        <w:trPr>
          <w:trHeight w:val="510"/>
        </w:trPr>
        <w:tc>
          <w:tcPr>
            <w:tcW w:w="1430" w:type="pct"/>
            <w:tcBorders>
              <w:top w:val="nil"/>
              <w:bottom w:val="nil"/>
            </w:tcBorders>
            <w:vAlign w:val="center"/>
          </w:tcPr>
          <w:p w:rsidR="00E275F6" w:rsidRDefault="00E275F6" w:rsidP="00D7624C">
            <w:pPr>
              <w:rPr>
                <w:rFonts w:cs="Arial"/>
                <w:sz w:val="20"/>
                <w:szCs w:val="20"/>
              </w:rPr>
            </w:pPr>
            <w:r>
              <w:rPr>
                <w:rFonts w:cs="Arial"/>
                <w:sz w:val="20"/>
                <w:szCs w:val="20"/>
              </w:rPr>
              <w:t>31 Jan - 06 Feb 2016</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4.68</w:t>
            </w:r>
          </w:p>
        </w:tc>
        <w:tc>
          <w:tcPr>
            <w:tcW w:w="758" w:type="pct"/>
            <w:tcBorders>
              <w:top w:val="nil"/>
              <w:bottom w:val="nil"/>
            </w:tcBorders>
            <w:vAlign w:val="center"/>
          </w:tcPr>
          <w:p w:rsidR="00E275F6" w:rsidRDefault="00E275F6" w:rsidP="00D7624C">
            <w:pPr>
              <w:jc w:val="center"/>
              <w:rPr>
                <w:rFonts w:cs="Arial"/>
                <w:sz w:val="20"/>
                <w:szCs w:val="20"/>
              </w:rPr>
            </w:pPr>
            <w:r>
              <w:rPr>
                <w:rFonts w:cs="Arial"/>
                <w:sz w:val="20"/>
                <w:szCs w:val="20"/>
              </w:rPr>
              <w:t>4.83</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2.05</w:t>
            </w:r>
          </w:p>
        </w:tc>
        <w:tc>
          <w:tcPr>
            <w:tcW w:w="685" w:type="pct"/>
            <w:tcBorders>
              <w:top w:val="nil"/>
              <w:bottom w:val="nil"/>
            </w:tcBorders>
            <w:vAlign w:val="center"/>
          </w:tcPr>
          <w:p w:rsidR="00E275F6" w:rsidRDefault="00E275F6" w:rsidP="00D7624C">
            <w:pPr>
              <w:jc w:val="center"/>
              <w:rPr>
                <w:rFonts w:cs="Arial"/>
                <w:sz w:val="20"/>
                <w:szCs w:val="20"/>
              </w:rPr>
            </w:pPr>
            <w:r>
              <w:rPr>
                <w:rFonts w:cs="Arial"/>
                <w:sz w:val="20"/>
                <w:szCs w:val="20"/>
              </w:rPr>
              <w:t>47</w:t>
            </w:r>
          </w:p>
        </w:tc>
        <w:tc>
          <w:tcPr>
            <w:tcW w:w="608" w:type="pct"/>
            <w:tcBorders>
              <w:top w:val="nil"/>
              <w:bottom w:val="nil"/>
            </w:tcBorders>
            <w:vAlign w:val="center"/>
          </w:tcPr>
          <w:p w:rsidR="00E275F6" w:rsidRDefault="00E275F6" w:rsidP="00D7624C">
            <w:pPr>
              <w:jc w:val="center"/>
              <w:rPr>
                <w:rFonts w:cs="Arial"/>
                <w:sz w:val="20"/>
                <w:szCs w:val="20"/>
              </w:rPr>
            </w:pPr>
            <w:r>
              <w:rPr>
                <w:rFonts w:cs="Arial"/>
                <w:sz w:val="20"/>
                <w:szCs w:val="20"/>
              </w:rPr>
              <w:t>49</w:t>
            </w:r>
          </w:p>
        </w:tc>
      </w:tr>
      <w:tr w:rsidR="00E275F6" w:rsidRPr="00405CDE" w:rsidTr="00D7624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275F6" w:rsidRDefault="00E275F6" w:rsidP="00D7624C">
            <w:pPr>
              <w:rPr>
                <w:rFonts w:cs="Arial"/>
                <w:sz w:val="20"/>
                <w:szCs w:val="20"/>
              </w:rPr>
            </w:pPr>
            <w:r>
              <w:rPr>
                <w:rFonts w:cs="Arial"/>
                <w:sz w:val="20"/>
                <w:szCs w:val="20"/>
              </w:rPr>
              <w:t>% change from previous week</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-5</w:t>
            </w:r>
          </w:p>
        </w:tc>
        <w:tc>
          <w:tcPr>
            <w:tcW w:w="758" w:type="pct"/>
            <w:tcBorders>
              <w:top w:val="nil"/>
              <w:bottom w:val="nil"/>
            </w:tcBorders>
            <w:vAlign w:val="center"/>
          </w:tcPr>
          <w:p w:rsidR="00E275F6" w:rsidRDefault="00E275F6" w:rsidP="00D7624C">
            <w:pPr>
              <w:jc w:val="center"/>
              <w:rPr>
                <w:rFonts w:cs="Arial"/>
                <w:sz w:val="20"/>
                <w:szCs w:val="20"/>
              </w:rPr>
            </w:pPr>
            <w:r>
              <w:rPr>
                <w:rFonts w:cs="Arial"/>
                <w:sz w:val="20"/>
                <w:szCs w:val="20"/>
              </w:rPr>
              <w:t>2</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-82</w:t>
            </w:r>
          </w:p>
        </w:tc>
        <w:tc>
          <w:tcPr>
            <w:tcW w:w="685" w:type="pct"/>
            <w:tcBorders>
              <w:top w:val="nil"/>
              <w:bottom w:val="nil"/>
            </w:tcBorders>
            <w:vAlign w:val="center"/>
          </w:tcPr>
          <w:p w:rsidR="00E275F6" w:rsidRDefault="00E275F6" w:rsidP="00D7624C">
            <w:pPr>
              <w:jc w:val="center"/>
              <w:rPr>
                <w:rFonts w:cs="Arial"/>
                <w:sz w:val="20"/>
                <w:szCs w:val="20"/>
              </w:rPr>
            </w:pPr>
            <w:r>
              <w:rPr>
                <w:rFonts w:cs="Arial"/>
                <w:sz w:val="20"/>
                <w:szCs w:val="20"/>
              </w:rPr>
              <w:t>7</w:t>
            </w:r>
          </w:p>
        </w:tc>
        <w:tc>
          <w:tcPr>
            <w:tcW w:w="608" w:type="pct"/>
            <w:tcBorders>
              <w:top w:val="nil"/>
              <w:bottom w:val="nil"/>
            </w:tcBorders>
            <w:vAlign w:val="center"/>
          </w:tcPr>
          <w:p w:rsidR="00E275F6" w:rsidRDefault="00E275F6" w:rsidP="00D7624C">
            <w:pPr>
              <w:jc w:val="center"/>
              <w:rPr>
                <w:rFonts w:cs="Arial"/>
                <w:sz w:val="20"/>
                <w:szCs w:val="20"/>
              </w:rPr>
            </w:pPr>
            <w:r>
              <w:rPr>
                <w:rFonts w:cs="Arial"/>
                <w:sz w:val="20"/>
                <w:szCs w:val="20"/>
              </w:rPr>
              <w:t>18</w:t>
            </w:r>
          </w:p>
        </w:tc>
      </w:tr>
      <w:tr w:rsidR="00E275F6" w:rsidRPr="00405CDE" w:rsidTr="00D7624C">
        <w:trPr>
          <w:trHeight w:val="510"/>
        </w:trPr>
        <w:tc>
          <w:tcPr>
            <w:tcW w:w="1430" w:type="pct"/>
            <w:tcBorders>
              <w:top w:val="nil"/>
              <w:bottom w:val="nil"/>
            </w:tcBorders>
            <w:vAlign w:val="center"/>
          </w:tcPr>
          <w:p w:rsidR="00E275F6" w:rsidRDefault="00E275F6" w:rsidP="00D7624C">
            <w:pPr>
              <w:rPr>
                <w:rFonts w:cs="Arial"/>
                <w:sz w:val="20"/>
                <w:szCs w:val="20"/>
              </w:rPr>
            </w:pPr>
            <w:r>
              <w:rPr>
                <w:rFonts w:cs="Arial"/>
                <w:sz w:val="20"/>
                <w:szCs w:val="20"/>
              </w:rPr>
              <w:t>15-16 financial YTD</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5.18</w:t>
            </w:r>
          </w:p>
        </w:tc>
        <w:tc>
          <w:tcPr>
            <w:tcW w:w="758" w:type="pct"/>
            <w:tcBorders>
              <w:top w:val="nil"/>
              <w:bottom w:val="nil"/>
            </w:tcBorders>
            <w:vAlign w:val="center"/>
          </w:tcPr>
          <w:p w:rsidR="00E275F6" w:rsidRDefault="00E275F6" w:rsidP="00D7624C">
            <w:pPr>
              <w:jc w:val="center"/>
              <w:rPr>
                <w:rFonts w:cs="Arial"/>
                <w:sz w:val="20"/>
                <w:szCs w:val="20"/>
              </w:rPr>
            </w:pPr>
            <w:r>
              <w:rPr>
                <w:rFonts w:cs="Arial"/>
                <w:sz w:val="20"/>
                <w:szCs w:val="20"/>
              </w:rPr>
              <w:t>5.29</w:t>
            </w:r>
          </w:p>
        </w:tc>
        <w:tc>
          <w:tcPr>
            <w:tcW w:w="759" w:type="pct"/>
            <w:tcBorders>
              <w:top w:val="nil"/>
              <w:bottom w:val="nil"/>
            </w:tcBorders>
            <w:vAlign w:val="center"/>
          </w:tcPr>
          <w:p w:rsidR="00E275F6" w:rsidRDefault="00E275F6" w:rsidP="00D7624C">
            <w:pPr>
              <w:jc w:val="center"/>
              <w:rPr>
                <w:rFonts w:cs="Arial"/>
                <w:sz w:val="20"/>
                <w:szCs w:val="20"/>
              </w:rPr>
            </w:pPr>
            <w:r>
              <w:rPr>
                <w:rFonts w:cs="Arial"/>
                <w:sz w:val="20"/>
                <w:szCs w:val="20"/>
              </w:rPr>
              <w:t>8.63</w:t>
            </w:r>
          </w:p>
        </w:tc>
        <w:tc>
          <w:tcPr>
            <w:tcW w:w="685" w:type="pct"/>
            <w:tcBorders>
              <w:top w:val="nil"/>
              <w:bottom w:val="nil"/>
            </w:tcBorders>
            <w:vAlign w:val="center"/>
          </w:tcPr>
          <w:p w:rsidR="00E275F6" w:rsidRDefault="00E275F6" w:rsidP="00D7624C">
            <w:pPr>
              <w:jc w:val="center"/>
              <w:rPr>
                <w:rFonts w:cs="Arial"/>
                <w:sz w:val="20"/>
                <w:szCs w:val="20"/>
              </w:rPr>
            </w:pPr>
            <w:r>
              <w:rPr>
                <w:rFonts w:cs="Arial"/>
                <w:sz w:val="20"/>
                <w:szCs w:val="20"/>
              </w:rPr>
              <w:t>63</w:t>
            </w:r>
          </w:p>
        </w:tc>
        <w:tc>
          <w:tcPr>
            <w:tcW w:w="608" w:type="pct"/>
            <w:tcBorders>
              <w:top w:val="nil"/>
              <w:bottom w:val="nil"/>
            </w:tcBorders>
            <w:vAlign w:val="center"/>
          </w:tcPr>
          <w:p w:rsidR="00E275F6" w:rsidRDefault="00E275F6" w:rsidP="00D7624C">
            <w:pPr>
              <w:jc w:val="center"/>
              <w:rPr>
                <w:rFonts w:cs="Arial"/>
                <w:sz w:val="20"/>
                <w:szCs w:val="20"/>
              </w:rPr>
            </w:pPr>
            <w:r>
              <w:rPr>
                <w:rFonts w:cs="Arial"/>
                <w:sz w:val="20"/>
                <w:szCs w:val="20"/>
              </w:rPr>
              <w:t>64</w:t>
            </w:r>
          </w:p>
        </w:tc>
      </w:tr>
      <w:tr w:rsidR="00E275F6" w:rsidRPr="00405CDE" w:rsidTr="00D7624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275F6" w:rsidRDefault="00E275F6" w:rsidP="00D7624C">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275F6" w:rsidRDefault="00E275F6" w:rsidP="00D7624C">
            <w:pPr>
              <w:jc w:val="center"/>
              <w:rPr>
                <w:rFonts w:cs="Arial"/>
                <w:sz w:val="20"/>
                <w:szCs w:val="20"/>
              </w:rPr>
            </w:pPr>
            <w:r>
              <w:rPr>
                <w:rFonts w:cs="Arial"/>
                <w:sz w:val="20"/>
                <w:szCs w:val="20"/>
              </w:rPr>
              <w:t>44</w:t>
            </w:r>
          </w:p>
        </w:tc>
        <w:tc>
          <w:tcPr>
            <w:tcW w:w="758" w:type="pct"/>
            <w:tcBorders>
              <w:top w:val="nil"/>
              <w:bottom w:val="single" w:sz="4" w:space="0" w:color="auto"/>
            </w:tcBorders>
            <w:vAlign w:val="center"/>
          </w:tcPr>
          <w:p w:rsidR="00E275F6" w:rsidRDefault="00E275F6" w:rsidP="00D7624C">
            <w:pPr>
              <w:jc w:val="center"/>
              <w:rPr>
                <w:rFonts w:cs="Arial"/>
                <w:sz w:val="20"/>
                <w:szCs w:val="20"/>
              </w:rPr>
            </w:pPr>
            <w:r>
              <w:rPr>
                <w:rFonts w:cs="Arial"/>
                <w:sz w:val="20"/>
                <w:szCs w:val="20"/>
              </w:rPr>
              <w:t>49</w:t>
            </w:r>
          </w:p>
        </w:tc>
        <w:tc>
          <w:tcPr>
            <w:tcW w:w="759" w:type="pct"/>
            <w:tcBorders>
              <w:top w:val="nil"/>
              <w:bottom w:val="single" w:sz="4" w:space="0" w:color="auto"/>
            </w:tcBorders>
            <w:vAlign w:val="center"/>
          </w:tcPr>
          <w:p w:rsidR="00E275F6" w:rsidRDefault="00E275F6" w:rsidP="00D7624C">
            <w:pPr>
              <w:jc w:val="center"/>
              <w:rPr>
                <w:rFonts w:cs="Arial"/>
                <w:sz w:val="20"/>
                <w:szCs w:val="20"/>
              </w:rPr>
            </w:pPr>
            <w:r>
              <w:rPr>
                <w:rFonts w:cs="Arial"/>
                <w:sz w:val="20"/>
                <w:szCs w:val="20"/>
              </w:rPr>
              <w:t>-37</w:t>
            </w:r>
          </w:p>
        </w:tc>
        <w:tc>
          <w:tcPr>
            <w:tcW w:w="685" w:type="pct"/>
            <w:tcBorders>
              <w:top w:val="nil"/>
              <w:bottom w:val="single" w:sz="4" w:space="0" w:color="auto"/>
            </w:tcBorders>
            <w:vAlign w:val="center"/>
          </w:tcPr>
          <w:p w:rsidR="00E275F6" w:rsidRDefault="00E275F6" w:rsidP="00D7624C">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E275F6" w:rsidRDefault="00E275F6" w:rsidP="00D7624C">
            <w:pPr>
              <w:jc w:val="center"/>
              <w:rPr>
                <w:rFonts w:cs="Arial"/>
                <w:sz w:val="20"/>
                <w:szCs w:val="20"/>
              </w:rPr>
            </w:pPr>
            <w:r>
              <w:rPr>
                <w:rFonts w:cs="Arial"/>
                <w:sz w:val="20"/>
                <w:szCs w:val="20"/>
              </w:rPr>
              <w:t>2</w:t>
            </w:r>
          </w:p>
        </w:tc>
      </w:tr>
    </w:tbl>
    <w:p w:rsidR="00E275F6" w:rsidRDefault="00E275F6" w:rsidP="00E275F6"/>
    <w:p w:rsidR="00E275F6" w:rsidRDefault="00E275F6" w:rsidP="00E275F6"/>
    <w:p w:rsidR="00D01FE1" w:rsidRDefault="00D01FE1" w:rsidP="00E275F6"/>
    <w:p w:rsidR="00D01FE1" w:rsidRPr="00E275F6" w:rsidRDefault="00D01FE1" w:rsidP="00E275F6"/>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1B0C3D" w:rsidRPr="00405CDE" w:rsidTr="00C020C3">
        <w:trPr>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31 Jan - 06 Feb 2016</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4.56</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4.75</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1.29</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80</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83</w:t>
            </w:r>
          </w:p>
        </w:tc>
      </w:tr>
      <w:tr w:rsidR="001B0C3D" w:rsidRPr="00405CDE" w:rsidTr="00C020C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 change from previous week</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27</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36</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-43</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0</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4</w:t>
            </w:r>
          </w:p>
        </w:tc>
      </w:tr>
      <w:tr w:rsidR="001B0C3D" w:rsidRPr="00405CDE" w:rsidTr="00C020C3">
        <w:trPr>
          <w:trHeight w:val="510"/>
        </w:trPr>
        <w:tc>
          <w:tcPr>
            <w:tcW w:w="1430" w:type="pct"/>
            <w:tcBorders>
              <w:top w:val="nil"/>
              <w:bottom w:val="nil"/>
            </w:tcBorders>
            <w:vAlign w:val="center"/>
          </w:tcPr>
          <w:p w:rsidR="001B0C3D" w:rsidRDefault="001B0C3D">
            <w:pPr>
              <w:rPr>
                <w:rFonts w:cs="Arial"/>
                <w:sz w:val="20"/>
                <w:szCs w:val="20"/>
              </w:rPr>
            </w:pPr>
            <w:r>
              <w:rPr>
                <w:rFonts w:cs="Arial"/>
                <w:sz w:val="20"/>
                <w:szCs w:val="20"/>
              </w:rPr>
              <w:t>15-16 financial YTD</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3.88</w:t>
            </w:r>
          </w:p>
        </w:tc>
        <w:tc>
          <w:tcPr>
            <w:tcW w:w="758" w:type="pct"/>
            <w:tcBorders>
              <w:top w:val="nil"/>
              <w:bottom w:val="nil"/>
            </w:tcBorders>
            <w:vAlign w:val="center"/>
          </w:tcPr>
          <w:p w:rsidR="001B0C3D" w:rsidRDefault="001B0C3D">
            <w:pPr>
              <w:jc w:val="center"/>
              <w:rPr>
                <w:rFonts w:cs="Arial"/>
                <w:sz w:val="20"/>
                <w:szCs w:val="20"/>
              </w:rPr>
            </w:pPr>
            <w:r>
              <w:rPr>
                <w:rFonts w:cs="Arial"/>
                <w:sz w:val="20"/>
                <w:szCs w:val="20"/>
              </w:rPr>
              <w:t>3.88</w:t>
            </w:r>
          </w:p>
        </w:tc>
        <w:tc>
          <w:tcPr>
            <w:tcW w:w="759" w:type="pct"/>
            <w:tcBorders>
              <w:top w:val="nil"/>
              <w:bottom w:val="nil"/>
            </w:tcBorders>
            <w:vAlign w:val="center"/>
          </w:tcPr>
          <w:p w:rsidR="001B0C3D" w:rsidRDefault="001B0C3D">
            <w:pPr>
              <w:jc w:val="center"/>
              <w:rPr>
                <w:rFonts w:cs="Arial"/>
                <w:sz w:val="20"/>
                <w:szCs w:val="20"/>
              </w:rPr>
            </w:pPr>
            <w:r>
              <w:rPr>
                <w:rFonts w:cs="Arial"/>
                <w:sz w:val="20"/>
                <w:szCs w:val="20"/>
              </w:rPr>
              <w:t>1.61</w:t>
            </w:r>
          </w:p>
        </w:tc>
        <w:tc>
          <w:tcPr>
            <w:tcW w:w="685" w:type="pct"/>
            <w:tcBorders>
              <w:top w:val="nil"/>
              <w:bottom w:val="nil"/>
            </w:tcBorders>
            <w:vAlign w:val="center"/>
          </w:tcPr>
          <w:p w:rsidR="001B0C3D" w:rsidRDefault="001B0C3D">
            <w:pPr>
              <w:jc w:val="center"/>
              <w:rPr>
                <w:rFonts w:cs="Arial"/>
                <w:sz w:val="20"/>
                <w:szCs w:val="20"/>
              </w:rPr>
            </w:pPr>
            <w:r>
              <w:rPr>
                <w:rFonts w:cs="Arial"/>
                <w:sz w:val="20"/>
                <w:szCs w:val="20"/>
              </w:rPr>
              <w:t>88</w:t>
            </w:r>
          </w:p>
        </w:tc>
        <w:tc>
          <w:tcPr>
            <w:tcW w:w="608" w:type="pct"/>
            <w:tcBorders>
              <w:top w:val="nil"/>
              <w:bottom w:val="nil"/>
            </w:tcBorders>
            <w:vAlign w:val="center"/>
          </w:tcPr>
          <w:p w:rsidR="001B0C3D" w:rsidRDefault="001B0C3D">
            <w:pPr>
              <w:jc w:val="center"/>
              <w:rPr>
                <w:rFonts w:cs="Arial"/>
                <w:sz w:val="20"/>
                <w:szCs w:val="20"/>
              </w:rPr>
            </w:pPr>
            <w:r>
              <w:rPr>
                <w:rFonts w:cs="Arial"/>
                <w:sz w:val="20"/>
                <w:szCs w:val="20"/>
              </w:rPr>
              <w:t>87</w:t>
            </w:r>
          </w:p>
        </w:tc>
      </w:tr>
      <w:tr w:rsidR="001B0C3D" w:rsidRPr="00405CDE" w:rsidTr="00C020C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1B0C3D" w:rsidRDefault="001B0C3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73</w:t>
            </w:r>
          </w:p>
        </w:tc>
        <w:tc>
          <w:tcPr>
            <w:tcW w:w="758"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90</w:t>
            </w:r>
          </w:p>
        </w:tc>
        <w:tc>
          <w:tcPr>
            <w:tcW w:w="759"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7</w:t>
            </w:r>
          </w:p>
        </w:tc>
        <w:tc>
          <w:tcPr>
            <w:tcW w:w="68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6E54B9" w:rsidRPr="001E6DBD" w:rsidRDefault="00FE30E3" w:rsidP="001E6DBD">
      <w:pPr>
        <w:pStyle w:val="Heading1"/>
        <w:numPr>
          <w:ilvl w:val="0"/>
          <w:numId w:val="0"/>
        </w:numPr>
        <w:rPr>
          <w:color w:val="2272A3"/>
        </w:rPr>
      </w:pPr>
      <w:r>
        <w:rPr>
          <w:color w:val="2272A3"/>
        </w:rPr>
        <w:t>Detailed market analysis</w:t>
      </w:r>
    </w:p>
    <w:p w:rsidR="00C24CF3" w:rsidRDefault="00BB4092" w:rsidP="00852C31">
      <w:pPr>
        <w:jc w:val="both"/>
        <w:rPr>
          <w:rFonts w:eastAsia="MS Mincho"/>
        </w:rPr>
      </w:pPr>
      <w:r>
        <w:rPr>
          <w:rFonts w:eastAsia="MS Mincho"/>
        </w:rPr>
        <w:t xml:space="preserve">On 2 February in </w:t>
      </w:r>
      <w:r w:rsidR="00C24CF3">
        <w:rPr>
          <w:rFonts w:eastAsia="MS Mincho"/>
        </w:rPr>
        <w:t xml:space="preserve">the </w:t>
      </w:r>
      <w:r>
        <w:rPr>
          <w:rFonts w:eastAsia="MS Mincho"/>
        </w:rPr>
        <w:t>Sydney</w:t>
      </w:r>
      <w:r w:rsidR="00C24CF3">
        <w:rPr>
          <w:rFonts w:eastAsia="MS Mincho"/>
        </w:rPr>
        <w:t xml:space="preserve"> STTM</w:t>
      </w:r>
      <w:r>
        <w:rPr>
          <w:rFonts w:eastAsia="MS Mincho"/>
        </w:rPr>
        <w:t xml:space="preserve">, </w:t>
      </w:r>
      <w:r w:rsidR="00C24CF3">
        <w:rPr>
          <w:rFonts w:eastAsia="MS Mincho"/>
        </w:rPr>
        <w:t xml:space="preserve">the total MOS requirement was 23.9 TJ. This amount was made up by 7.4 TJ of decrease MOS from the Eastern Gas pipeline (EGP), and 16.6 TJ of increase MOS from the Moomba to Sydney pipeline (MSP). The total MOS requirement was significantly higher than the financial year-to-date average of 9.3 TJ. </w:t>
      </w:r>
    </w:p>
    <w:p w:rsidR="00C24CF3" w:rsidRDefault="00BB4092" w:rsidP="00852C31">
      <w:pPr>
        <w:jc w:val="both"/>
        <w:rPr>
          <w:rFonts w:eastAsia="MS Mincho"/>
        </w:rPr>
      </w:pPr>
      <w:r>
        <w:rPr>
          <w:rFonts w:eastAsia="MS Mincho"/>
        </w:rPr>
        <w:t>The net MOS requirement</w:t>
      </w:r>
      <w:r w:rsidR="00C24CF3">
        <w:rPr>
          <w:rFonts w:eastAsia="MS Mincho"/>
        </w:rPr>
        <w:t xml:space="preserve"> (the increase MOS quantity less the decrease MOS quantity) </w:t>
      </w:r>
      <w:r>
        <w:rPr>
          <w:rFonts w:eastAsia="MS Mincho"/>
        </w:rPr>
        <w:t>was 9.3 TJ of increase MOS</w:t>
      </w:r>
      <w:r w:rsidR="00C24CF3">
        <w:rPr>
          <w:rFonts w:eastAsia="MS Mincho"/>
        </w:rPr>
        <w:t>. This resulted from a combination of under forecast demand and under supply of around 3 TJ.</w:t>
      </w:r>
      <w:r w:rsidR="00C24CF3" w:rsidRPr="00C24CF3">
        <w:rPr>
          <w:rFonts w:eastAsia="MS Mincho"/>
        </w:rPr>
        <w:t xml:space="preserve"> </w:t>
      </w:r>
      <w:r w:rsidR="00CF1DB0">
        <w:rPr>
          <w:rFonts w:eastAsia="MS Mincho"/>
        </w:rPr>
        <w:t xml:space="preserve">MOS service payments, which relate to the provision of the MOS service but not the physical gas, were $76 564 for the day. </w:t>
      </w:r>
      <w:r w:rsidR="00C24CF3">
        <w:rPr>
          <w:rFonts w:eastAsia="MS Mincho"/>
        </w:rPr>
        <w:t>Figure 2.4 on page 7 illustrates the MOS requirements for the day.</w:t>
      </w:r>
    </w:p>
    <w:p w:rsidR="00CF1DB0" w:rsidRDefault="0027633C" w:rsidP="00852C31">
      <w:pPr>
        <w:jc w:val="both"/>
        <w:rPr>
          <w:rFonts w:eastAsia="MS Mincho"/>
        </w:rPr>
      </w:pPr>
      <w:r w:rsidRPr="0027633C">
        <w:rPr>
          <w:rFonts w:eastAsia="MS Mincho"/>
        </w:rPr>
        <w:t>On 6 February, demand in the Sydney STTM was 16.7 TJ below forecast</w:t>
      </w:r>
      <w:r w:rsidR="00015CE5">
        <w:rPr>
          <w:rFonts w:eastAsia="MS Mincho"/>
        </w:rPr>
        <w:t xml:space="preserve"> which le</w:t>
      </w:r>
      <w:r w:rsidR="00CF1DB0">
        <w:rPr>
          <w:rFonts w:eastAsia="MS Mincho"/>
        </w:rPr>
        <w:t>d to the ex post price falling to $0.02/GJ.</w:t>
      </w:r>
      <w:r w:rsidRPr="0027633C">
        <w:rPr>
          <w:rFonts w:eastAsia="MS Mincho"/>
        </w:rPr>
        <w:t xml:space="preserve"> Supply also fell by an equivalent amount</w:t>
      </w:r>
      <w:r w:rsidR="00CF1DB0">
        <w:rPr>
          <w:rFonts w:eastAsia="MS Mincho"/>
        </w:rPr>
        <w:t>, which</w:t>
      </w:r>
      <w:r w:rsidRPr="0027633C">
        <w:rPr>
          <w:rFonts w:eastAsia="MS Mincho"/>
        </w:rPr>
        <w:t xml:space="preserve"> result</w:t>
      </w:r>
      <w:r w:rsidR="00CF1DB0">
        <w:rPr>
          <w:rFonts w:eastAsia="MS Mincho"/>
        </w:rPr>
        <w:t>ed</w:t>
      </w:r>
      <w:r w:rsidRPr="0027633C">
        <w:rPr>
          <w:rFonts w:eastAsia="MS Mincho"/>
        </w:rPr>
        <w:t xml:space="preserve"> in minimal MOS requirements </w:t>
      </w:r>
      <w:r w:rsidR="00CF1DB0">
        <w:rPr>
          <w:rFonts w:eastAsia="MS Mincho"/>
        </w:rPr>
        <w:t>on</w:t>
      </w:r>
      <w:r w:rsidRPr="0027633C">
        <w:rPr>
          <w:rFonts w:eastAsia="MS Mincho"/>
        </w:rPr>
        <w:t xml:space="preserve"> the day. </w:t>
      </w:r>
    </w:p>
    <w:p w:rsidR="001E6DBD" w:rsidRPr="004D6947" w:rsidRDefault="00015CE5" w:rsidP="001B3823">
      <w:pPr>
        <w:jc w:val="both"/>
        <w:rPr>
          <w:rFonts w:eastAsia="MS Mincho"/>
          <w:color w:val="000000" w:themeColor="text1"/>
        </w:rPr>
      </w:pPr>
      <w:r>
        <w:rPr>
          <w:rFonts w:eastAsia="MS Mincho"/>
        </w:rPr>
        <w:t>Net</w:t>
      </w:r>
      <w:r w:rsidR="00852C31">
        <w:rPr>
          <w:rFonts w:eastAsia="MS Mincho"/>
        </w:rPr>
        <w:t xml:space="preserve"> supply to the hub was largely met by offers on the EGP, with zero net deliveries</w:t>
      </w:r>
      <w:r w:rsidR="005B04BC">
        <w:rPr>
          <w:rFonts w:eastAsia="MS Mincho"/>
        </w:rPr>
        <w:t xml:space="preserve"> to the hub</w:t>
      </w:r>
      <w:r w:rsidR="00852C31">
        <w:rPr>
          <w:rFonts w:eastAsia="MS Mincho"/>
        </w:rPr>
        <w:t xml:space="preserve"> on the MSP.</w:t>
      </w:r>
      <w:r>
        <w:rPr>
          <w:rStyle w:val="FootnoteReference"/>
          <w:rFonts w:eastAsia="MS Mincho"/>
        </w:rPr>
        <w:footnoteReference w:id="2"/>
      </w:r>
      <w:r w:rsidR="005D78D5">
        <w:rPr>
          <w:rFonts w:eastAsia="MS Mincho"/>
        </w:rPr>
        <w:t xml:space="preserve"> </w:t>
      </w:r>
      <w:r w:rsidR="00852C31">
        <w:rPr>
          <w:rFonts w:eastAsia="MS Mincho"/>
        </w:rPr>
        <w:t>This led to a Pipeline Flow Direction Constraint (PFDC) price of $0.66/GJ on the MSP, with a total of 15 TJ of back haul cleared for the gas day. The PFDC mechanism allows additional forward haul to be scheduled on the pipeline to economically supply back haul bids.</w:t>
      </w:r>
      <w:r w:rsidR="004D6947">
        <w:rPr>
          <w:rFonts w:eastAsia="MS Mincho"/>
          <w:color w:val="000000" w:themeColor="text1"/>
        </w:rPr>
        <w:t xml:space="preserve"> </w:t>
      </w:r>
      <w:r w:rsidRPr="006D4577">
        <w:rPr>
          <w:color w:val="000000" w:themeColor="text1"/>
        </w:rPr>
        <w:t xml:space="preserve">Figure 2.1 on page </w:t>
      </w:r>
      <w:r w:rsidR="004D6947" w:rsidRPr="006D4577">
        <w:rPr>
          <w:color w:val="000000" w:themeColor="text1"/>
        </w:rPr>
        <w:t>6</w:t>
      </w:r>
      <w:r w:rsidRPr="006D4577">
        <w:rPr>
          <w:color w:val="000000" w:themeColor="text1"/>
        </w:rPr>
        <w:t xml:space="preserve"> and figures 2.3 and 2.4 on page 7 illustrate the events on the gas day.</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144A4">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C144A4">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EC52A7" w:rsidP="004420C4">
      <w:pPr>
        <w:pStyle w:val="Heading2"/>
        <w:numPr>
          <w:ilvl w:val="0"/>
          <w:numId w:val="0"/>
        </w:numPr>
        <w:rPr>
          <w:i w:val="0"/>
        </w:rPr>
      </w:pPr>
      <w:r>
        <w:rPr>
          <w:i w:val="0"/>
          <w:sz w:val="36"/>
          <w:szCs w:val="36"/>
        </w:rPr>
        <w:t>31 January – 6 February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BF6D0F"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F6D0F" w:rsidP="00362B9A">
      <w:r>
        <w:pict>
          <v:shape id="_x0000_i1026" type="#_x0000_t75" alt="Figure 1.2 shows the demand forecast used to calculate the five daily schedule prices for this week. For a more detailed description of this figure, please refer to the user guide."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BF6D0F" w:rsidP="00362B9A">
      <w:r>
        <w:pict>
          <v:shape id="_x0000_i1027" type="#_x0000_t75" alt="Figure 1.3 shows the injection bids within certain price bands for each trading interval in Victoria this week. For a more detailed description of this figure, please refer to the user guide."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BF6D0F" w:rsidP="00362B9A">
      <w:r>
        <w:pict>
          <v:shape id="_x0000_i1028" type="#_x0000_t75" alt="Figure 1.4 shows the withdrawal bids within certain price bands for each trading interval in Victoria this week. For a more detailed description of this figure, please refer to the user guide."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BF6D0F" w:rsidP="00BC18FB">
      <w:r>
        <w:pict>
          <v:shape id="_x0000_i1029" type="#_x0000_t75" alt="Figure 1.5 shows the metered injections sorted by facility for each 4 hour interval in Victoria this week. For a more detailed description of this figure, please refer to the user guide."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Pr="00C6526A" w:rsidRDefault="00362B9A" w:rsidP="00362B9A">
      <w:pPr>
        <w:pStyle w:val="Heading4"/>
        <w:ind w:left="340" w:hanging="340"/>
        <w:rPr>
          <w:color w:val="2272A3"/>
          <w:sz w:val="24"/>
          <w:szCs w:val="24"/>
        </w:rPr>
      </w:pPr>
      <w:r w:rsidRPr="00C6526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B0C3D" w:rsidRPr="00405CDE" w:rsidTr="00F114D5">
        <w:trPr>
          <w:trHeight w:val="510"/>
        </w:trPr>
        <w:tc>
          <w:tcPr>
            <w:tcW w:w="1100" w:type="pct"/>
            <w:tcBorders>
              <w:top w:val="nil"/>
              <w:bottom w:val="nil"/>
            </w:tcBorders>
            <w:vAlign w:val="center"/>
          </w:tcPr>
          <w:p w:rsidR="001B0C3D" w:rsidRDefault="001B0C3D">
            <w:pPr>
              <w:rPr>
                <w:rFonts w:cs="Arial"/>
                <w:sz w:val="20"/>
                <w:szCs w:val="20"/>
              </w:rPr>
            </w:pPr>
            <w:r>
              <w:rPr>
                <w:rFonts w:cs="Arial"/>
                <w:sz w:val="20"/>
                <w:szCs w:val="20"/>
              </w:rPr>
              <w:t>Ex ante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4.03</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4.74</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5.13</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5.13</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5.09</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3.52</w:t>
            </w:r>
          </w:p>
        </w:tc>
        <w:tc>
          <w:tcPr>
            <w:tcW w:w="595" w:type="pct"/>
            <w:tcBorders>
              <w:top w:val="nil"/>
              <w:bottom w:val="nil"/>
            </w:tcBorders>
            <w:vAlign w:val="center"/>
          </w:tcPr>
          <w:p w:rsidR="001B0C3D" w:rsidRPr="00C6526A" w:rsidRDefault="001B0C3D">
            <w:pPr>
              <w:jc w:val="center"/>
              <w:rPr>
                <w:rFonts w:cs="Arial"/>
                <w:sz w:val="20"/>
                <w:szCs w:val="20"/>
              </w:rPr>
            </w:pPr>
            <w:r w:rsidRPr="00C6526A">
              <w:rPr>
                <w:rFonts w:cs="Arial"/>
                <w:sz w:val="20"/>
                <w:szCs w:val="20"/>
              </w:rPr>
              <w:t>2.90</w:t>
            </w:r>
          </w:p>
        </w:tc>
      </w:tr>
      <w:tr w:rsidR="001B0C3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B0C3D" w:rsidRDefault="001B0C3D">
            <w:pPr>
              <w:rPr>
                <w:rFonts w:cs="Arial"/>
                <w:sz w:val="20"/>
                <w:szCs w:val="20"/>
              </w:rPr>
            </w:pPr>
            <w:r>
              <w:rPr>
                <w:rFonts w:cs="Arial"/>
                <w:sz w:val="20"/>
                <w:szCs w:val="20"/>
              </w:rPr>
              <w:t>Ex ante quantity (TJ)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189</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223</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226</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237</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229</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220</w:t>
            </w:r>
          </w:p>
        </w:tc>
        <w:tc>
          <w:tcPr>
            <w:tcW w:w="595" w:type="pct"/>
            <w:tcBorders>
              <w:top w:val="nil"/>
              <w:bottom w:val="nil"/>
            </w:tcBorders>
            <w:vAlign w:val="center"/>
          </w:tcPr>
          <w:p w:rsidR="001B0C3D" w:rsidRPr="00C6526A" w:rsidRDefault="001B0C3D">
            <w:pPr>
              <w:jc w:val="center"/>
              <w:rPr>
                <w:rFonts w:cs="Arial"/>
                <w:sz w:val="20"/>
                <w:szCs w:val="20"/>
              </w:rPr>
            </w:pPr>
            <w:r w:rsidRPr="00C6526A">
              <w:rPr>
                <w:rFonts w:cs="Arial"/>
                <w:sz w:val="20"/>
                <w:szCs w:val="20"/>
              </w:rPr>
              <w:t>198</w:t>
            </w:r>
          </w:p>
        </w:tc>
      </w:tr>
      <w:tr w:rsidR="001B0C3D" w:rsidRPr="00405CDE" w:rsidTr="00C6526A">
        <w:trPr>
          <w:trHeight w:val="80"/>
        </w:trPr>
        <w:tc>
          <w:tcPr>
            <w:tcW w:w="1100" w:type="pct"/>
            <w:tcBorders>
              <w:top w:val="nil"/>
              <w:bottom w:val="nil"/>
            </w:tcBorders>
            <w:vAlign w:val="center"/>
          </w:tcPr>
          <w:p w:rsidR="001B0C3D" w:rsidRDefault="001B0C3D">
            <w:pPr>
              <w:rPr>
                <w:rFonts w:cs="Arial"/>
                <w:sz w:val="20"/>
                <w:szCs w:val="20"/>
              </w:rPr>
            </w:pPr>
            <w:r>
              <w:rPr>
                <w:rFonts w:cs="Arial"/>
                <w:sz w:val="20"/>
                <w:szCs w:val="20"/>
              </w:rPr>
              <w:t>Ex post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4.03</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4.74</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5.15</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4.76</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5.13</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3.52</w:t>
            </w:r>
          </w:p>
        </w:tc>
        <w:tc>
          <w:tcPr>
            <w:tcW w:w="595" w:type="pct"/>
            <w:tcBorders>
              <w:top w:val="nil"/>
              <w:bottom w:val="nil"/>
            </w:tcBorders>
            <w:vAlign w:val="center"/>
          </w:tcPr>
          <w:p w:rsidR="001B0C3D" w:rsidRPr="00C6526A" w:rsidRDefault="001B0C3D">
            <w:pPr>
              <w:jc w:val="center"/>
              <w:rPr>
                <w:rFonts w:cs="Arial"/>
                <w:sz w:val="20"/>
                <w:szCs w:val="20"/>
              </w:rPr>
            </w:pPr>
            <w:r w:rsidRPr="00C6526A">
              <w:rPr>
                <w:rFonts w:cs="Arial"/>
                <w:sz w:val="20"/>
                <w:szCs w:val="20"/>
              </w:rPr>
              <w:t>0.02</w:t>
            </w:r>
          </w:p>
        </w:tc>
      </w:tr>
      <w:tr w:rsidR="001B0C3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B0C3D" w:rsidRDefault="001B0C3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185</w:t>
            </w:r>
          </w:p>
        </w:tc>
        <w:tc>
          <w:tcPr>
            <w:tcW w:w="523"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223</w:t>
            </w:r>
          </w:p>
        </w:tc>
        <w:tc>
          <w:tcPr>
            <w:tcW w:w="606"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232</w:t>
            </w:r>
          </w:p>
        </w:tc>
        <w:tc>
          <w:tcPr>
            <w:tcW w:w="53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233</w:t>
            </w:r>
          </w:p>
        </w:tc>
        <w:tc>
          <w:tcPr>
            <w:tcW w:w="52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233</w:t>
            </w:r>
          </w:p>
        </w:tc>
        <w:tc>
          <w:tcPr>
            <w:tcW w:w="52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217</w:t>
            </w:r>
          </w:p>
        </w:tc>
        <w:tc>
          <w:tcPr>
            <w:tcW w:w="59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182</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BF6D0F"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BF6D0F" w:rsidP="00362B9A">
      <w:r>
        <w:pict>
          <v:shape id="_x0000_i1031" type="#_x0000_t75" alt="Figure 2.3 shows the daily scheduled and allocated quantities sorted by facility for Sydney this week. For a more detailed description of this figure, please refer to the user guide." style="width:477.75pt;height:213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BF6D0F"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B0C3D" w:rsidRPr="00405CDE" w:rsidTr="006C5082">
        <w:trPr>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3.91</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4.62</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5.69</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5.70</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4.72</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4.22</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3.90</w:t>
            </w:r>
          </w:p>
        </w:tc>
      </w:tr>
      <w:tr w:rsidR="001B0C3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37</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50</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49</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52</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52</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49</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38</w:t>
            </w:r>
          </w:p>
        </w:tc>
      </w:tr>
      <w:tr w:rsidR="001B0C3D" w:rsidRPr="00405CDE" w:rsidTr="006C5082">
        <w:trPr>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4.27</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4.29</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6.25</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5.70</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5.22</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4.20</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3.90</w:t>
            </w:r>
          </w:p>
        </w:tc>
      </w:tr>
      <w:tr w:rsidR="001B0C3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B0C3D" w:rsidRPr="00442756" w:rsidRDefault="001B0C3D"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43</w:t>
            </w:r>
          </w:p>
        </w:tc>
        <w:tc>
          <w:tcPr>
            <w:tcW w:w="523"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47</w:t>
            </w:r>
          </w:p>
        </w:tc>
        <w:tc>
          <w:tcPr>
            <w:tcW w:w="606"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58</w:t>
            </w:r>
          </w:p>
        </w:tc>
        <w:tc>
          <w:tcPr>
            <w:tcW w:w="53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52</w:t>
            </w:r>
          </w:p>
        </w:tc>
        <w:tc>
          <w:tcPr>
            <w:tcW w:w="52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55</w:t>
            </w:r>
          </w:p>
        </w:tc>
        <w:tc>
          <w:tcPr>
            <w:tcW w:w="52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48</w:t>
            </w:r>
          </w:p>
        </w:tc>
        <w:tc>
          <w:tcPr>
            <w:tcW w:w="59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39</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BF6D0F"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25pt;mso-position-vertical:absolute">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BF6D0F" w:rsidP="00362B9A">
      <w:r>
        <w:pict>
          <v:shape id="_x0000_i1034" type="#_x0000_t75" alt="Figure 3.3 shows the daily scheduled and allocated quantities sorted by facility for Adelaide this week. For a more detailed description of this figure, please refer to the user guide." style="width:477.75pt;height:105.75pt;mso-position-vertical:absolute">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BF6D0F"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25pt;height:150pt;mso-position-vertical:absolute">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B0C3D" w:rsidRPr="00405CDE" w:rsidTr="006C5082">
        <w:trPr>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4.84</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4.49</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5.00</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4.48</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4.42</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4.49</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4.19</w:t>
            </w:r>
          </w:p>
        </w:tc>
      </w:tr>
      <w:tr w:rsidR="001B0C3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70</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86</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91</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85</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84</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79</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69</w:t>
            </w:r>
          </w:p>
        </w:tc>
      </w:tr>
      <w:tr w:rsidR="001B0C3D" w:rsidRPr="00405CDE" w:rsidTr="006C5082">
        <w:trPr>
          <w:trHeight w:val="510"/>
        </w:trPr>
        <w:tc>
          <w:tcPr>
            <w:tcW w:w="1100" w:type="pct"/>
            <w:tcBorders>
              <w:top w:val="nil"/>
              <w:bottom w:val="nil"/>
            </w:tcBorders>
            <w:vAlign w:val="center"/>
          </w:tcPr>
          <w:p w:rsidR="001B0C3D" w:rsidRPr="00442756" w:rsidRDefault="001B0C3D"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1B0C3D" w:rsidRDefault="001B0C3D">
            <w:pPr>
              <w:jc w:val="center"/>
              <w:rPr>
                <w:rFonts w:cs="Arial"/>
                <w:sz w:val="20"/>
                <w:szCs w:val="20"/>
              </w:rPr>
            </w:pPr>
            <w:r>
              <w:rPr>
                <w:rFonts w:cs="Arial"/>
                <w:sz w:val="20"/>
                <w:szCs w:val="20"/>
              </w:rPr>
              <w:t>4.84</w:t>
            </w:r>
          </w:p>
        </w:tc>
        <w:tc>
          <w:tcPr>
            <w:tcW w:w="523" w:type="pct"/>
            <w:tcBorders>
              <w:top w:val="nil"/>
              <w:bottom w:val="nil"/>
            </w:tcBorders>
            <w:vAlign w:val="center"/>
          </w:tcPr>
          <w:p w:rsidR="001B0C3D" w:rsidRDefault="001B0C3D">
            <w:pPr>
              <w:jc w:val="center"/>
              <w:rPr>
                <w:rFonts w:cs="Arial"/>
                <w:sz w:val="20"/>
                <w:szCs w:val="20"/>
              </w:rPr>
            </w:pPr>
            <w:r>
              <w:rPr>
                <w:rFonts w:cs="Arial"/>
                <w:sz w:val="20"/>
                <w:szCs w:val="20"/>
              </w:rPr>
              <w:t>4.49</w:t>
            </w:r>
          </w:p>
        </w:tc>
        <w:tc>
          <w:tcPr>
            <w:tcW w:w="606" w:type="pct"/>
            <w:tcBorders>
              <w:top w:val="nil"/>
              <w:bottom w:val="nil"/>
            </w:tcBorders>
            <w:vAlign w:val="center"/>
          </w:tcPr>
          <w:p w:rsidR="001B0C3D" w:rsidRDefault="001B0C3D">
            <w:pPr>
              <w:jc w:val="center"/>
              <w:rPr>
                <w:rFonts w:cs="Arial"/>
                <w:sz w:val="20"/>
                <w:szCs w:val="20"/>
              </w:rPr>
            </w:pPr>
            <w:r>
              <w:rPr>
                <w:rFonts w:cs="Arial"/>
                <w:sz w:val="20"/>
                <w:szCs w:val="20"/>
              </w:rPr>
              <w:t>5.00</w:t>
            </w:r>
          </w:p>
        </w:tc>
        <w:tc>
          <w:tcPr>
            <w:tcW w:w="532" w:type="pct"/>
            <w:tcBorders>
              <w:top w:val="nil"/>
              <w:bottom w:val="nil"/>
            </w:tcBorders>
            <w:vAlign w:val="center"/>
          </w:tcPr>
          <w:p w:rsidR="001B0C3D" w:rsidRDefault="001B0C3D">
            <w:pPr>
              <w:jc w:val="center"/>
              <w:rPr>
                <w:rFonts w:cs="Arial"/>
                <w:sz w:val="20"/>
                <w:szCs w:val="20"/>
              </w:rPr>
            </w:pPr>
            <w:r>
              <w:rPr>
                <w:rFonts w:cs="Arial"/>
                <w:sz w:val="20"/>
                <w:szCs w:val="20"/>
              </w:rPr>
              <w:t>4.48</w:t>
            </w:r>
          </w:p>
        </w:tc>
        <w:tc>
          <w:tcPr>
            <w:tcW w:w="525" w:type="pct"/>
            <w:tcBorders>
              <w:top w:val="nil"/>
              <w:bottom w:val="nil"/>
            </w:tcBorders>
            <w:vAlign w:val="center"/>
          </w:tcPr>
          <w:p w:rsidR="001B0C3D" w:rsidRDefault="001B0C3D">
            <w:pPr>
              <w:jc w:val="center"/>
              <w:rPr>
                <w:rFonts w:cs="Arial"/>
                <w:sz w:val="20"/>
                <w:szCs w:val="20"/>
              </w:rPr>
            </w:pPr>
            <w:r>
              <w:rPr>
                <w:rFonts w:cs="Arial"/>
                <w:sz w:val="20"/>
                <w:szCs w:val="20"/>
              </w:rPr>
              <w:t>4.45</w:t>
            </w:r>
          </w:p>
        </w:tc>
        <w:tc>
          <w:tcPr>
            <w:tcW w:w="522" w:type="pct"/>
            <w:tcBorders>
              <w:top w:val="nil"/>
              <w:bottom w:val="nil"/>
            </w:tcBorders>
            <w:vAlign w:val="center"/>
          </w:tcPr>
          <w:p w:rsidR="001B0C3D" w:rsidRDefault="001B0C3D">
            <w:pPr>
              <w:jc w:val="center"/>
              <w:rPr>
                <w:rFonts w:cs="Arial"/>
                <w:sz w:val="20"/>
                <w:szCs w:val="20"/>
              </w:rPr>
            </w:pPr>
            <w:r>
              <w:rPr>
                <w:rFonts w:cs="Arial"/>
                <w:sz w:val="20"/>
                <w:szCs w:val="20"/>
              </w:rPr>
              <w:t>5.45</w:t>
            </w:r>
          </w:p>
        </w:tc>
        <w:tc>
          <w:tcPr>
            <w:tcW w:w="595" w:type="pct"/>
            <w:tcBorders>
              <w:top w:val="nil"/>
              <w:bottom w:val="nil"/>
            </w:tcBorders>
            <w:vAlign w:val="center"/>
          </w:tcPr>
          <w:p w:rsidR="001B0C3D" w:rsidRDefault="001B0C3D">
            <w:pPr>
              <w:jc w:val="center"/>
              <w:rPr>
                <w:rFonts w:cs="Arial"/>
                <w:sz w:val="20"/>
                <w:szCs w:val="20"/>
              </w:rPr>
            </w:pPr>
            <w:r>
              <w:rPr>
                <w:rFonts w:cs="Arial"/>
                <w:sz w:val="20"/>
                <w:szCs w:val="20"/>
              </w:rPr>
              <w:t>4.50</w:t>
            </w:r>
          </w:p>
        </w:tc>
      </w:tr>
      <w:tr w:rsidR="001B0C3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B0C3D" w:rsidRPr="00442756" w:rsidRDefault="001B0C3D"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72</w:t>
            </w:r>
          </w:p>
        </w:tc>
        <w:tc>
          <w:tcPr>
            <w:tcW w:w="523"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88</w:t>
            </w:r>
          </w:p>
        </w:tc>
        <w:tc>
          <w:tcPr>
            <w:tcW w:w="606"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93</w:t>
            </w:r>
          </w:p>
        </w:tc>
        <w:tc>
          <w:tcPr>
            <w:tcW w:w="53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86</w:t>
            </w:r>
          </w:p>
        </w:tc>
        <w:tc>
          <w:tcPr>
            <w:tcW w:w="52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86</w:t>
            </w:r>
          </w:p>
        </w:tc>
        <w:tc>
          <w:tcPr>
            <w:tcW w:w="522"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81</w:t>
            </w:r>
          </w:p>
        </w:tc>
        <w:tc>
          <w:tcPr>
            <w:tcW w:w="595" w:type="pct"/>
            <w:tcBorders>
              <w:top w:val="nil"/>
              <w:bottom w:val="single" w:sz="4" w:space="0" w:color="auto"/>
            </w:tcBorders>
            <w:vAlign w:val="center"/>
          </w:tcPr>
          <w:p w:rsidR="001B0C3D" w:rsidRDefault="001B0C3D">
            <w:pPr>
              <w:jc w:val="center"/>
              <w:rPr>
                <w:rFonts w:cs="Arial"/>
                <w:sz w:val="20"/>
                <w:szCs w:val="20"/>
              </w:rPr>
            </w:pPr>
            <w:r>
              <w:rPr>
                <w:rFonts w:cs="Arial"/>
                <w:sz w:val="20"/>
                <w:szCs w:val="20"/>
              </w:rPr>
              <w:t>73</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BF6D0F"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BF6D0F" w:rsidP="00362B9A">
      <w:r>
        <w:pict>
          <v:shape id="_x0000_i1037" type="#_x0000_t75" alt="Figure 4.3 shows the daily scheduled and allocated quantities sorted by facility for Brisbane this week. For a more detailed description of this figure, please refer to the user guide." style="width:477.75pt;height:99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BF6D0F"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9"/>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BF6D0F" w:rsidP="00FB3934">
      <w: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10;      &#10;      &#10;      &#10;" style="width:374.25pt;height:542.25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EC52A7" w:rsidRDefault="00EC52A7" w:rsidP="00345444">
      <w:pPr>
        <w:jc w:val="both"/>
        <w:rPr>
          <w:rFonts w:eastAsia="MS Mincho"/>
        </w:rPr>
      </w:pPr>
      <w:r w:rsidRPr="00EC52A7">
        <w:rPr>
          <w:rFonts w:eastAsia="MS Mincho"/>
        </w:rPr>
        <w:t>There were 12 trades at a volume weighted price of $3.64/GJ.</w:t>
      </w:r>
      <w:r>
        <w:rPr>
          <w:rFonts w:eastAsia="MS Mincho"/>
        </w:rPr>
        <w:t xml:space="preserve"> This consisted of </w:t>
      </w:r>
      <w:r w:rsidRPr="00EC52A7">
        <w:rPr>
          <w:rFonts w:eastAsia="MS Mincho"/>
        </w:rPr>
        <w:t>7 balance of day and 3 day ahead trades on the RBP</w:t>
      </w:r>
      <w:r>
        <w:rPr>
          <w:rFonts w:eastAsia="MS Mincho"/>
        </w:rPr>
        <w:t xml:space="preserve"> for 67.4TJ ($3.76/GJ)</w:t>
      </w:r>
      <w:r w:rsidRPr="00EC52A7">
        <w:rPr>
          <w:rFonts w:eastAsia="MS Mincho"/>
        </w:rPr>
        <w:t>, and 1 balance of day and 1 day ahead trade on the SWQP</w:t>
      </w:r>
      <w:r>
        <w:rPr>
          <w:rFonts w:eastAsia="MS Mincho"/>
        </w:rPr>
        <w:t xml:space="preserve"> for 33TJ ($3.41/GJ)</w:t>
      </w:r>
      <w:r w:rsidRPr="00EC52A7">
        <w:rPr>
          <w:rFonts w:eastAsia="MS Mincho"/>
        </w:rPr>
        <w:t>.</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1"/>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BF6D0F"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C144A4">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C144A4">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E834AA">
      <w:rPr>
        <w:rFonts w:cs="Arial"/>
        <w:i/>
      </w:rPr>
      <w:t>1</w:t>
    </w:r>
    <w:r w:rsidR="006D4577">
      <w:rPr>
        <w:rFonts w:cs="Arial"/>
        <w:i/>
      </w:rPr>
      <w:t>6990</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015CE5" w:rsidRDefault="00015CE5" w:rsidP="00015CE5">
      <w:pPr>
        <w:pStyle w:val="FootnoteText"/>
        <w:jc w:val="both"/>
      </w:pPr>
      <w:r>
        <w:rPr>
          <w:rStyle w:val="FootnoteReference"/>
        </w:rPr>
        <w:footnoteRef/>
      </w:r>
      <w:r>
        <w:t xml:space="preserve"> </w:t>
      </w:r>
      <w:r>
        <w:tab/>
      </w:r>
      <w:r>
        <w:rPr>
          <w:rFonts w:eastAsia="MS Mincho"/>
        </w:rPr>
        <w:t xml:space="preserve">The MSP has only had zero net deliveries into Sydney once before. </w:t>
      </w:r>
      <w:r>
        <w:t xml:space="preserve">On 23 January, no gas was nominated by participants to flow gas into the Sydney distribution network via the MSP, as reported in the AER weekly report for 17 – 23 January 2016. </w:t>
      </w:r>
    </w:p>
  </w:footnote>
  <w:footnote w:id="3">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4">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5">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6">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7">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9">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685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9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31 January – 6 February 2016.docx"/>
  </w:docVars>
  <w:rsids>
    <w:rsidRoot w:val="005F18AD"/>
    <w:rsid w:val="000013C1"/>
    <w:rsid w:val="00001BFB"/>
    <w:rsid w:val="00002313"/>
    <w:rsid w:val="00004A63"/>
    <w:rsid w:val="00010025"/>
    <w:rsid w:val="000123CA"/>
    <w:rsid w:val="00015CE5"/>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0C98"/>
    <w:rsid w:val="000B4A1F"/>
    <w:rsid w:val="000B6397"/>
    <w:rsid w:val="000B69E0"/>
    <w:rsid w:val="000B7FAF"/>
    <w:rsid w:val="000D1FEB"/>
    <w:rsid w:val="000E1F9A"/>
    <w:rsid w:val="000F0BBB"/>
    <w:rsid w:val="000F2287"/>
    <w:rsid w:val="000F3B46"/>
    <w:rsid w:val="000F59F8"/>
    <w:rsid w:val="000F5F5E"/>
    <w:rsid w:val="000F6D05"/>
    <w:rsid w:val="0010295E"/>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0C3D"/>
    <w:rsid w:val="001B294E"/>
    <w:rsid w:val="001B2ADA"/>
    <w:rsid w:val="001B3823"/>
    <w:rsid w:val="001C006C"/>
    <w:rsid w:val="001C5A74"/>
    <w:rsid w:val="001D2B31"/>
    <w:rsid w:val="001E6DBD"/>
    <w:rsid w:val="001E79FF"/>
    <w:rsid w:val="001F0F9B"/>
    <w:rsid w:val="002052B6"/>
    <w:rsid w:val="00206559"/>
    <w:rsid w:val="002168D4"/>
    <w:rsid w:val="00227AFC"/>
    <w:rsid w:val="002312F5"/>
    <w:rsid w:val="00231B0A"/>
    <w:rsid w:val="00233988"/>
    <w:rsid w:val="00234764"/>
    <w:rsid w:val="00252A22"/>
    <w:rsid w:val="00254746"/>
    <w:rsid w:val="002556DB"/>
    <w:rsid w:val="00260185"/>
    <w:rsid w:val="00266CA5"/>
    <w:rsid w:val="0026725A"/>
    <w:rsid w:val="0026764C"/>
    <w:rsid w:val="00270B82"/>
    <w:rsid w:val="0027633C"/>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0718D"/>
    <w:rsid w:val="00311A09"/>
    <w:rsid w:val="00314A8B"/>
    <w:rsid w:val="0032174C"/>
    <w:rsid w:val="00323327"/>
    <w:rsid w:val="00330B70"/>
    <w:rsid w:val="00330DD9"/>
    <w:rsid w:val="003348F7"/>
    <w:rsid w:val="00336E8E"/>
    <w:rsid w:val="003410C4"/>
    <w:rsid w:val="00345444"/>
    <w:rsid w:val="00347FBB"/>
    <w:rsid w:val="003548AA"/>
    <w:rsid w:val="0035758F"/>
    <w:rsid w:val="00357C72"/>
    <w:rsid w:val="003625A6"/>
    <w:rsid w:val="00362B9A"/>
    <w:rsid w:val="003632A4"/>
    <w:rsid w:val="003664D0"/>
    <w:rsid w:val="00366BDF"/>
    <w:rsid w:val="0037057E"/>
    <w:rsid w:val="00372976"/>
    <w:rsid w:val="00374CF9"/>
    <w:rsid w:val="003800B4"/>
    <w:rsid w:val="00387B66"/>
    <w:rsid w:val="00394613"/>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1B4E"/>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D6947"/>
    <w:rsid w:val="004E20BF"/>
    <w:rsid w:val="004F3D13"/>
    <w:rsid w:val="004F6D9C"/>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B04BC"/>
    <w:rsid w:val="005C4B8B"/>
    <w:rsid w:val="005C68CE"/>
    <w:rsid w:val="005D1037"/>
    <w:rsid w:val="005D14EB"/>
    <w:rsid w:val="005D4097"/>
    <w:rsid w:val="005D6652"/>
    <w:rsid w:val="005D78D5"/>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4577"/>
    <w:rsid w:val="006D6E0B"/>
    <w:rsid w:val="006E1063"/>
    <w:rsid w:val="006E312B"/>
    <w:rsid w:val="006E40BD"/>
    <w:rsid w:val="006E54B9"/>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51E88"/>
    <w:rsid w:val="00763150"/>
    <w:rsid w:val="0076429B"/>
    <w:rsid w:val="00767397"/>
    <w:rsid w:val="00773AE0"/>
    <w:rsid w:val="00776BBA"/>
    <w:rsid w:val="00781A4A"/>
    <w:rsid w:val="00791198"/>
    <w:rsid w:val="007941C2"/>
    <w:rsid w:val="00795966"/>
    <w:rsid w:val="007966A5"/>
    <w:rsid w:val="007A12DE"/>
    <w:rsid w:val="007A1659"/>
    <w:rsid w:val="007A24B5"/>
    <w:rsid w:val="007A51E1"/>
    <w:rsid w:val="007A7E7A"/>
    <w:rsid w:val="007B7771"/>
    <w:rsid w:val="007C5749"/>
    <w:rsid w:val="007D470C"/>
    <w:rsid w:val="007D4B14"/>
    <w:rsid w:val="007D4F53"/>
    <w:rsid w:val="007E52F7"/>
    <w:rsid w:val="007E5F68"/>
    <w:rsid w:val="0080456D"/>
    <w:rsid w:val="00811D1C"/>
    <w:rsid w:val="008133CF"/>
    <w:rsid w:val="008170C0"/>
    <w:rsid w:val="008344A6"/>
    <w:rsid w:val="00852C31"/>
    <w:rsid w:val="00860FAF"/>
    <w:rsid w:val="00875D0C"/>
    <w:rsid w:val="008776EF"/>
    <w:rsid w:val="00882958"/>
    <w:rsid w:val="0089335D"/>
    <w:rsid w:val="008936C5"/>
    <w:rsid w:val="00895965"/>
    <w:rsid w:val="008A5A6C"/>
    <w:rsid w:val="008A6DB5"/>
    <w:rsid w:val="008B4A16"/>
    <w:rsid w:val="008B7161"/>
    <w:rsid w:val="008C0EC8"/>
    <w:rsid w:val="008C268E"/>
    <w:rsid w:val="008C7F3A"/>
    <w:rsid w:val="008D39F4"/>
    <w:rsid w:val="008D4DAB"/>
    <w:rsid w:val="008D70A4"/>
    <w:rsid w:val="008D78B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A508E"/>
    <w:rsid w:val="00AC106A"/>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5436"/>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B4092"/>
    <w:rsid w:val="00BC18FB"/>
    <w:rsid w:val="00BC21AB"/>
    <w:rsid w:val="00BC254C"/>
    <w:rsid w:val="00BC4C5B"/>
    <w:rsid w:val="00BC71E0"/>
    <w:rsid w:val="00BC77F9"/>
    <w:rsid w:val="00BD3A40"/>
    <w:rsid w:val="00BD60AA"/>
    <w:rsid w:val="00BE18D0"/>
    <w:rsid w:val="00BE240C"/>
    <w:rsid w:val="00BE4577"/>
    <w:rsid w:val="00BF1D01"/>
    <w:rsid w:val="00BF3080"/>
    <w:rsid w:val="00BF6869"/>
    <w:rsid w:val="00BF6D0F"/>
    <w:rsid w:val="00C144A4"/>
    <w:rsid w:val="00C21D81"/>
    <w:rsid w:val="00C24460"/>
    <w:rsid w:val="00C24CF3"/>
    <w:rsid w:val="00C26B1D"/>
    <w:rsid w:val="00C26E38"/>
    <w:rsid w:val="00C3163F"/>
    <w:rsid w:val="00C560C2"/>
    <w:rsid w:val="00C57372"/>
    <w:rsid w:val="00C60857"/>
    <w:rsid w:val="00C6526A"/>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1DB0"/>
    <w:rsid w:val="00CF32A8"/>
    <w:rsid w:val="00CF53CA"/>
    <w:rsid w:val="00CF5471"/>
    <w:rsid w:val="00D01FE1"/>
    <w:rsid w:val="00D10FA6"/>
    <w:rsid w:val="00D11DDB"/>
    <w:rsid w:val="00D161D7"/>
    <w:rsid w:val="00D1641C"/>
    <w:rsid w:val="00D16FE8"/>
    <w:rsid w:val="00D22793"/>
    <w:rsid w:val="00D3140B"/>
    <w:rsid w:val="00D329E0"/>
    <w:rsid w:val="00D40430"/>
    <w:rsid w:val="00D41D64"/>
    <w:rsid w:val="00D50980"/>
    <w:rsid w:val="00D60D45"/>
    <w:rsid w:val="00D635F1"/>
    <w:rsid w:val="00D65627"/>
    <w:rsid w:val="00D67440"/>
    <w:rsid w:val="00D71951"/>
    <w:rsid w:val="00D76436"/>
    <w:rsid w:val="00D84A8C"/>
    <w:rsid w:val="00DA0113"/>
    <w:rsid w:val="00DA1969"/>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5F6"/>
    <w:rsid w:val="00E27FEA"/>
    <w:rsid w:val="00E37A86"/>
    <w:rsid w:val="00E40361"/>
    <w:rsid w:val="00E41452"/>
    <w:rsid w:val="00E524B2"/>
    <w:rsid w:val="00E52E2A"/>
    <w:rsid w:val="00E74D68"/>
    <w:rsid w:val="00E7639D"/>
    <w:rsid w:val="00E77449"/>
    <w:rsid w:val="00E7755A"/>
    <w:rsid w:val="00E834AA"/>
    <w:rsid w:val="00E8378F"/>
    <w:rsid w:val="00E86AAA"/>
    <w:rsid w:val="00E92E1D"/>
    <w:rsid w:val="00E93C7C"/>
    <w:rsid w:val="00E94C7D"/>
    <w:rsid w:val="00EA2F65"/>
    <w:rsid w:val="00EA4813"/>
    <w:rsid w:val="00EA6E29"/>
    <w:rsid w:val="00EC52A7"/>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047A"/>
    <w:rsid w:val="00F63042"/>
    <w:rsid w:val="00F645EC"/>
    <w:rsid w:val="00F67024"/>
    <w:rsid w:val="00F67559"/>
    <w:rsid w:val="00F71200"/>
    <w:rsid w:val="00F73DCA"/>
    <w:rsid w:val="00F76C75"/>
    <w:rsid w:val="00F77722"/>
    <w:rsid w:val="00F803DE"/>
    <w:rsid w:val="00F87170"/>
    <w:rsid w:val="00F96C04"/>
    <w:rsid w:val="00F976F4"/>
    <w:rsid w:val="00FB1C53"/>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ind w:left="338"/>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159C3-53D4-4A1F-845B-39A55F5F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13C45718.dotm</Template>
  <TotalTime>0</TotalTime>
  <Pages>11</Pages>
  <Words>1881</Words>
  <Characters>8698</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10558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2016-02-23T06:04:00Z</dcterms:created>
  <dcterms:modified xsi:type="dcterms:W3CDTF">2016-02-23T06:05:00Z</dcterms:modified>
</cp:coreProperties>
</file>