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2C6868" w:rsidP="00AF2164">
      <w:pPr>
        <w:pStyle w:val="Heading1"/>
        <w:numPr>
          <w:ilvl w:val="0"/>
          <w:numId w:val="0"/>
        </w:numPr>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80.3pt;z-index:251658240;mso-position-horizontal-relative:text;mso-position-vertical-relative:text" filled="f" stroked="f">
            <v:textbox style="mso-next-textbox:#_x0000_s1032">
              <w:txbxContent>
                <w:p w:rsidR="00FF0D8A" w:rsidRDefault="00FF0D8A" w:rsidP="00557332">
                  <w:pPr>
                    <w:pStyle w:val="Title"/>
                    <w:spacing w:after="120" w:afterAutospacing="0"/>
                  </w:pPr>
                  <w:r w:rsidRPr="00231B0A">
                    <w:t xml:space="preserve">Weekly Gas </w:t>
                  </w:r>
                  <w:r>
                    <w:t>M</w:t>
                  </w:r>
                  <w:r w:rsidRPr="00231B0A">
                    <w:t xml:space="preserve">arket Report </w:t>
                  </w:r>
                </w:p>
                <w:p w:rsidR="00FF0D8A" w:rsidRPr="00A65EC8" w:rsidRDefault="00557332" w:rsidP="00ED4099">
                  <w:pPr>
                    <w:pStyle w:val="Title"/>
                    <w:spacing w:before="0" w:beforeAutospacing="0"/>
                  </w:pPr>
                  <w:r>
                    <w:t>30</w:t>
                  </w:r>
                  <w:r w:rsidR="00195E49">
                    <w:t xml:space="preserve"> August </w:t>
                  </w:r>
                  <w:r>
                    <w:t xml:space="preserve">– 5 September </w:t>
                  </w:r>
                  <w:r w:rsidR="00195E49">
                    <w:t>2015</w:t>
                  </w:r>
                </w:p>
                <w:p w:rsidR="00FF0D8A" w:rsidRPr="00231B0A" w:rsidRDefault="00FF0D8A" w:rsidP="00231B0A">
                  <w:pPr>
                    <w:pStyle w:val="Subtitle"/>
                  </w:pP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pt" o:allowoverlap="f">
            <v:imagedata r:id="rId9" o:title=""/>
          </v:shape>
        </w:pict>
      </w:r>
      <w:r>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10"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B436D2" w:rsidRPr="00B436D2" w:rsidRDefault="00B436D2" w:rsidP="00B436D2">
      <w:pPr>
        <w:pStyle w:val="AERunnumberedheading3"/>
        <w:spacing w:before="120"/>
        <w:jc w:val="both"/>
        <w:rPr>
          <w:b w:val="0"/>
          <w:bCs w:val="0"/>
          <w:color w:val="auto"/>
          <w:sz w:val="22"/>
          <w:szCs w:val="24"/>
        </w:rPr>
      </w:pPr>
      <w:r w:rsidRPr="00B436D2">
        <w:rPr>
          <w:b w:val="0"/>
          <w:bCs w:val="0"/>
          <w:color w:val="auto"/>
          <w:sz w:val="22"/>
          <w:szCs w:val="24"/>
        </w:rPr>
        <w:t xml:space="preserve">Prices increased </w:t>
      </w:r>
      <w:r w:rsidR="00F77814">
        <w:rPr>
          <w:b w:val="0"/>
          <w:bCs w:val="0"/>
          <w:color w:val="auto"/>
          <w:sz w:val="22"/>
          <w:szCs w:val="24"/>
        </w:rPr>
        <w:t xml:space="preserve">in all regions this week </w:t>
      </w:r>
      <w:r w:rsidRPr="00B436D2">
        <w:rPr>
          <w:b w:val="0"/>
          <w:bCs w:val="0"/>
          <w:color w:val="auto"/>
          <w:sz w:val="22"/>
          <w:szCs w:val="24"/>
        </w:rPr>
        <w:t xml:space="preserve">following the </w:t>
      </w:r>
      <w:r w:rsidR="00F77814">
        <w:rPr>
          <w:b w:val="0"/>
          <w:bCs w:val="0"/>
          <w:color w:val="auto"/>
          <w:sz w:val="22"/>
          <w:szCs w:val="24"/>
        </w:rPr>
        <w:t xml:space="preserve">relatively </w:t>
      </w:r>
      <w:r w:rsidRPr="00B436D2">
        <w:rPr>
          <w:b w:val="0"/>
          <w:bCs w:val="0"/>
          <w:color w:val="auto"/>
          <w:sz w:val="22"/>
          <w:szCs w:val="24"/>
        </w:rPr>
        <w:t xml:space="preserve">low prices observed during the previous week. A new APLNG production facility at </w:t>
      </w:r>
      <w:proofErr w:type="spellStart"/>
      <w:r w:rsidRPr="00B436D2">
        <w:rPr>
          <w:b w:val="0"/>
          <w:bCs w:val="0"/>
          <w:color w:val="auto"/>
          <w:sz w:val="22"/>
          <w:szCs w:val="24"/>
        </w:rPr>
        <w:t>Combabula</w:t>
      </w:r>
      <w:proofErr w:type="spellEnd"/>
      <w:r w:rsidRPr="00B436D2">
        <w:rPr>
          <w:b w:val="0"/>
          <w:bCs w:val="0"/>
          <w:color w:val="auto"/>
          <w:sz w:val="22"/>
          <w:szCs w:val="24"/>
        </w:rPr>
        <w:t xml:space="preserve"> in Roma was registered on the Bulletin Board on 3 September and began reporting flows around 90 – 100 TJ/day.</w:t>
      </w:r>
    </w:p>
    <w:p w:rsidR="00B436D2" w:rsidRPr="00B436D2" w:rsidRDefault="00F77814" w:rsidP="00B436D2">
      <w:pPr>
        <w:jc w:val="both"/>
        <w:rPr>
          <w:lang w:eastAsia="en-US"/>
        </w:rPr>
      </w:pPr>
      <w:r>
        <w:rPr>
          <w:lang w:eastAsia="en-US"/>
        </w:rPr>
        <w:t xml:space="preserve">From 1 September the </w:t>
      </w:r>
      <w:r w:rsidR="00B436D2" w:rsidRPr="00B436D2">
        <w:rPr>
          <w:lang w:eastAsia="en-US"/>
        </w:rPr>
        <w:t xml:space="preserve">Moomba to Sydney Pipeline (MSP) </w:t>
      </w:r>
      <w:r>
        <w:rPr>
          <w:lang w:eastAsia="en-US"/>
        </w:rPr>
        <w:t xml:space="preserve">was </w:t>
      </w:r>
      <w:r w:rsidR="00B436D2" w:rsidRPr="00B436D2">
        <w:rPr>
          <w:lang w:eastAsia="en-US"/>
        </w:rPr>
        <w:t xml:space="preserve">configured to </w:t>
      </w:r>
      <w:r>
        <w:rPr>
          <w:lang w:eastAsia="en-US"/>
        </w:rPr>
        <w:t xml:space="preserve">enable </w:t>
      </w:r>
      <w:r w:rsidR="00B436D2" w:rsidRPr="00B436D2">
        <w:rPr>
          <w:lang w:eastAsia="en-US"/>
        </w:rPr>
        <w:t>deliver</w:t>
      </w:r>
      <w:r>
        <w:rPr>
          <w:lang w:eastAsia="en-US"/>
        </w:rPr>
        <w:t>y</w:t>
      </w:r>
      <w:r w:rsidR="00B436D2" w:rsidRPr="00B436D2">
        <w:rPr>
          <w:lang w:eastAsia="en-US"/>
        </w:rPr>
        <w:t xml:space="preserve"> gas to Moomba</w:t>
      </w:r>
      <w:r>
        <w:rPr>
          <w:lang w:eastAsia="en-US"/>
        </w:rPr>
        <w:t xml:space="preserve">. Flows into the Moomba zone from the MSP are now reported </w:t>
      </w:r>
      <w:r w:rsidR="00B436D2" w:rsidRPr="00B436D2">
        <w:rPr>
          <w:lang w:eastAsia="en-US"/>
        </w:rPr>
        <w:t>on the Bulletin Board. The Standing Capacity has been set at 381 TJ/day (compared to 439 TJ/day towards Sydney).</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EA5097" w:rsidRPr="00936A7B" w:rsidTr="005C780D">
        <w:trPr>
          <w:trHeight w:val="382"/>
        </w:trPr>
        <w:tc>
          <w:tcPr>
            <w:tcW w:w="3710" w:type="dxa"/>
            <w:noWrap/>
            <w:vAlign w:val="center"/>
          </w:tcPr>
          <w:p w:rsidR="00EA5097" w:rsidRDefault="00EA5097" w:rsidP="001F0CD4">
            <w:pPr>
              <w:spacing w:before="0"/>
              <w:rPr>
                <w:rFonts w:cs="Arial"/>
                <w:sz w:val="20"/>
                <w:szCs w:val="20"/>
              </w:rPr>
            </w:pPr>
            <w:r>
              <w:rPr>
                <w:rFonts w:cs="Arial"/>
                <w:sz w:val="20"/>
                <w:szCs w:val="20"/>
              </w:rPr>
              <w:t>30 Aug - 05 Sep 2015</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4.51</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4.79</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5.86</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2.70</w:t>
            </w:r>
          </w:p>
        </w:tc>
      </w:tr>
      <w:tr w:rsidR="00EA5097" w:rsidRPr="00936A7B" w:rsidTr="005C780D">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EA5097" w:rsidRDefault="00EA5097" w:rsidP="001F0CD4">
            <w:pPr>
              <w:spacing w:before="0"/>
              <w:rPr>
                <w:rFonts w:cs="Arial"/>
                <w:sz w:val="20"/>
                <w:szCs w:val="20"/>
              </w:rPr>
            </w:pPr>
            <w:r>
              <w:rPr>
                <w:rFonts w:cs="Arial"/>
                <w:sz w:val="20"/>
                <w:szCs w:val="20"/>
              </w:rPr>
              <w:t>% change from previous week</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14</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16</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12</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12</w:t>
            </w:r>
          </w:p>
        </w:tc>
      </w:tr>
      <w:tr w:rsidR="00EA5097" w:rsidRPr="00936A7B" w:rsidTr="005C780D">
        <w:trPr>
          <w:trHeight w:val="382"/>
        </w:trPr>
        <w:tc>
          <w:tcPr>
            <w:tcW w:w="3710" w:type="dxa"/>
            <w:noWrap/>
            <w:vAlign w:val="center"/>
          </w:tcPr>
          <w:p w:rsidR="00EA5097" w:rsidRDefault="00EA5097" w:rsidP="001F0CD4">
            <w:pPr>
              <w:spacing w:before="0"/>
              <w:rPr>
                <w:rFonts w:cs="Arial"/>
                <w:sz w:val="20"/>
                <w:szCs w:val="20"/>
              </w:rPr>
            </w:pPr>
            <w:r>
              <w:rPr>
                <w:rFonts w:cs="Arial"/>
                <w:sz w:val="20"/>
                <w:szCs w:val="20"/>
              </w:rPr>
              <w:t>15-16 financial YTD</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4.79</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5.04</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5.95</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4.24</w:t>
            </w:r>
          </w:p>
        </w:tc>
      </w:tr>
      <w:tr w:rsidR="00EA5097" w:rsidRPr="00936A7B" w:rsidTr="005C780D">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EA5097" w:rsidRDefault="00EA5097" w:rsidP="001F0CD4">
            <w:pPr>
              <w:spacing w:before="0"/>
              <w:rPr>
                <w:rFonts w:cs="Arial"/>
                <w:sz w:val="20"/>
                <w:szCs w:val="20"/>
              </w:rPr>
            </w:pPr>
            <w:r>
              <w:rPr>
                <w:rFonts w:cs="Arial"/>
                <w:sz w:val="20"/>
                <w:szCs w:val="20"/>
              </w:rPr>
              <w:t>% change from previous financial YTD</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30</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29</w:t>
            </w:r>
          </w:p>
        </w:tc>
        <w:tc>
          <w:tcPr>
            <w:tcW w:w="1439" w:type="dxa"/>
            <w:noWrap/>
            <w:vAlign w:val="center"/>
          </w:tcPr>
          <w:p w:rsidR="00EA5097" w:rsidRDefault="00EA5097" w:rsidP="001F0CD4">
            <w:pPr>
              <w:spacing w:before="0"/>
              <w:jc w:val="center"/>
              <w:rPr>
                <w:rFonts w:cs="Arial"/>
                <w:sz w:val="20"/>
                <w:szCs w:val="20"/>
              </w:rPr>
            </w:pPr>
            <w:r>
              <w:rPr>
                <w:rFonts w:cs="Arial"/>
                <w:sz w:val="20"/>
                <w:szCs w:val="20"/>
              </w:rPr>
              <w:t>51</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78</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B436D2" w:rsidP="00D1641C">
      <w:pPr>
        <w:pStyle w:val="Heading2"/>
        <w:ind w:firstLine="0"/>
        <w:rPr>
          <w:i w:val="0"/>
          <w:color w:val="2272A3"/>
          <w:sz w:val="24"/>
          <w:szCs w:val="24"/>
        </w:rPr>
      </w:pPr>
      <w:r>
        <w:rPr>
          <w:i w:val="0"/>
          <w:color w:val="2272A3"/>
          <w:sz w:val="24"/>
          <w:szCs w:val="24"/>
        </w:rPr>
        <w:br w:type="page"/>
      </w:r>
      <w:r w:rsidR="00FF0D8A" w:rsidRPr="006E7E57">
        <w:rPr>
          <w:i w:val="0"/>
          <w:color w:val="2272A3"/>
          <w:sz w:val="24"/>
          <w:szCs w:val="24"/>
        </w:rPr>
        <w:lastRenderedPageBreak/>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EA5097" w:rsidRPr="006376D7" w:rsidTr="005C7C99">
        <w:trPr>
          <w:trHeight w:val="382"/>
        </w:trPr>
        <w:tc>
          <w:tcPr>
            <w:tcW w:w="3708" w:type="dxa"/>
            <w:noWrap/>
            <w:vAlign w:val="center"/>
          </w:tcPr>
          <w:p w:rsidR="00EA5097" w:rsidRDefault="00EA5097" w:rsidP="001F0CD4">
            <w:pPr>
              <w:spacing w:before="0"/>
              <w:rPr>
                <w:rFonts w:cs="Arial"/>
                <w:sz w:val="20"/>
                <w:szCs w:val="20"/>
              </w:rPr>
            </w:pPr>
            <w:r>
              <w:rPr>
                <w:rFonts w:cs="Arial"/>
                <w:sz w:val="20"/>
                <w:szCs w:val="20"/>
              </w:rPr>
              <w:t>30 Aug - 05 Sep 2015</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4.51</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871</w:t>
            </w:r>
          </w:p>
        </w:tc>
      </w:tr>
      <w:tr w:rsidR="00EA5097" w:rsidRPr="006376D7" w:rsidTr="005C7C99">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EA5097" w:rsidRDefault="00EA5097" w:rsidP="001F0CD4">
            <w:pPr>
              <w:spacing w:before="0"/>
              <w:rPr>
                <w:rFonts w:cs="Arial"/>
                <w:sz w:val="20"/>
                <w:szCs w:val="20"/>
              </w:rPr>
            </w:pPr>
            <w:r>
              <w:rPr>
                <w:rFonts w:cs="Arial"/>
                <w:sz w:val="20"/>
                <w:szCs w:val="20"/>
              </w:rPr>
              <w:t>% change from previous week</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14</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-1</w:t>
            </w:r>
          </w:p>
        </w:tc>
      </w:tr>
      <w:tr w:rsidR="00EA5097" w:rsidRPr="006376D7" w:rsidTr="005C7C99">
        <w:trPr>
          <w:trHeight w:val="382"/>
        </w:trPr>
        <w:tc>
          <w:tcPr>
            <w:tcW w:w="3708" w:type="dxa"/>
            <w:noWrap/>
            <w:vAlign w:val="center"/>
          </w:tcPr>
          <w:p w:rsidR="00EA5097" w:rsidRDefault="00EA5097" w:rsidP="001F0CD4">
            <w:pPr>
              <w:spacing w:before="0"/>
              <w:rPr>
                <w:rFonts w:cs="Arial"/>
                <w:sz w:val="20"/>
                <w:szCs w:val="20"/>
              </w:rPr>
            </w:pPr>
            <w:r>
              <w:rPr>
                <w:rFonts w:cs="Arial"/>
                <w:sz w:val="20"/>
                <w:szCs w:val="20"/>
              </w:rPr>
              <w:t>15-16 financial YTD</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4.79</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958</w:t>
            </w:r>
          </w:p>
        </w:tc>
      </w:tr>
      <w:tr w:rsidR="00EA5097" w:rsidRPr="006376D7" w:rsidTr="005C7C99">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EA5097" w:rsidRDefault="00EA5097" w:rsidP="001F0CD4">
            <w:pPr>
              <w:spacing w:before="0"/>
              <w:rPr>
                <w:rFonts w:cs="Arial"/>
                <w:sz w:val="20"/>
                <w:szCs w:val="20"/>
              </w:rPr>
            </w:pPr>
            <w:r>
              <w:rPr>
                <w:rFonts w:cs="Arial"/>
                <w:sz w:val="20"/>
                <w:szCs w:val="20"/>
              </w:rPr>
              <w:t xml:space="preserve">% change from previous financial YTD </w:t>
            </w:r>
          </w:p>
        </w:tc>
        <w:tc>
          <w:tcPr>
            <w:tcW w:w="1440" w:type="dxa"/>
            <w:noWrap/>
            <w:vAlign w:val="center"/>
          </w:tcPr>
          <w:p w:rsidR="00EA5097" w:rsidRDefault="00EA5097" w:rsidP="001F0CD4">
            <w:pPr>
              <w:spacing w:before="0"/>
              <w:jc w:val="center"/>
              <w:rPr>
                <w:rFonts w:cs="Arial"/>
                <w:sz w:val="20"/>
                <w:szCs w:val="20"/>
              </w:rPr>
            </w:pPr>
            <w:r>
              <w:rPr>
                <w:rFonts w:cs="Arial"/>
                <w:sz w:val="20"/>
                <w:szCs w:val="20"/>
              </w:rPr>
              <w:t>30</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w:t>
            </w:r>
          </w:p>
        </w:tc>
        <w:tc>
          <w:tcPr>
            <w:tcW w:w="2160" w:type="dxa"/>
            <w:noWrap/>
            <w:vAlign w:val="center"/>
          </w:tcPr>
          <w:p w:rsidR="00EA5097" w:rsidRDefault="00EA5097" w:rsidP="001F0CD4">
            <w:pPr>
              <w:spacing w:before="0"/>
              <w:jc w:val="center"/>
              <w:rPr>
                <w:rFonts w:cs="Arial"/>
                <w:sz w:val="20"/>
                <w:szCs w:val="20"/>
              </w:rPr>
            </w:pPr>
            <w:r>
              <w:rPr>
                <w:rFonts w:cs="Arial"/>
                <w:sz w:val="20"/>
                <w:szCs w:val="20"/>
              </w:rPr>
              <w:t>10</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EA5097" w:rsidRPr="002861A9" w:rsidTr="004575EE">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30 Aug - 05 Sep 2015</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4.79</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4.41</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13.59</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268</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261</w:t>
            </w:r>
          </w:p>
        </w:tc>
      </w:tr>
      <w:tr w:rsidR="00EA5097" w:rsidRPr="002861A9" w:rsidTr="004575EE">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week</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16</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15</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-35</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4</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3</w:t>
            </w:r>
          </w:p>
        </w:tc>
      </w:tr>
      <w:tr w:rsidR="00EA5097" w:rsidRPr="002861A9" w:rsidTr="004575EE">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15-16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5.04</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4.87</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29.37</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285</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281</w:t>
            </w:r>
          </w:p>
        </w:tc>
      </w:tr>
      <w:tr w:rsidR="00EA5097" w:rsidRPr="002861A9" w:rsidTr="004575EE">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29</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20</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48</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-3</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-6</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EA5097" w:rsidRPr="002861A9" w:rsidTr="00AA1030">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30 Aug - 05 Sep 2015</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5.86</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6.11</w:t>
            </w:r>
          </w:p>
        </w:tc>
        <w:tc>
          <w:tcPr>
            <w:tcW w:w="1379" w:type="dxa"/>
            <w:noWrap/>
            <w:vAlign w:val="center"/>
          </w:tcPr>
          <w:p w:rsidR="00EA5097" w:rsidRDefault="00EA5097" w:rsidP="001F0CD4">
            <w:pPr>
              <w:spacing w:before="0"/>
              <w:jc w:val="center"/>
              <w:rPr>
                <w:rFonts w:cs="Arial"/>
                <w:sz w:val="20"/>
                <w:szCs w:val="20"/>
              </w:rPr>
            </w:pPr>
            <w:r>
              <w:rPr>
                <w:rFonts w:cs="Arial"/>
                <w:sz w:val="20"/>
                <w:szCs w:val="20"/>
              </w:rPr>
              <w:t>12.96</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83</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82</w:t>
            </w:r>
          </w:p>
        </w:tc>
      </w:tr>
      <w:tr w:rsidR="00EA5097" w:rsidRPr="002861A9" w:rsidTr="00AA103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week</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12</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20</w:t>
            </w:r>
          </w:p>
        </w:tc>
        <w:tc>
          <w:tcPr>
            <w:tcW w:w="1379" w:type="dxa"/>
            <w:noWrap/>
            <w:vAlign w:val="center"/>
          </w:tcPr>
          <w:p w:rsidR="00EA5097" w:rsidRDefault="00EA5097" w:rsidP="001F0CD4">
            <w:pPr>
              <w:spacing w:before="0"/>
              <w:jc w:val="center"/>
              <w:rPr>
                <w:rFonts w:cs="Arial"/>
                <w:sz w:val="20"/>
                <w:szCs w:val="20"/>
              </w:rPr>
            </w:pPr>
            <w:r>
              <w:rPr>
                <w:rFonts w:cs="Arial"/>
                <w:sz w:val="20"/>
                <w:szCs w:val="20"/>
              </w:rPr>
              <w:t>37</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-6</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-4</w:t>
            </w:r>
          </w:p>
        </w:tc>
      </w:tr>
      <w:tr w:rsidR="00EA5097" w:rsidRPr="002861A9" w:rsidTr="00AA1030">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15-16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5.95</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6.04</w:t>
            </w:r>
          </w:p>
        </w:tc>
        <w:tc>
          <w:tcPr>
            <w:tcW w:w="1379" w:type="dxa"/>
            <w:noWrap/>
            <w:vAlign w:val="center"/>
          </w:tcPr>
          <w:p w:rsidR="00EA5097" w:rsidRDefault="00EA5097" w:rsidP="001F0CD4">
            <w:pPr>
              <w:spacing w:before="0"/>
              <w:jc w:val="center"/>
              <w:rPr>
                <w:rFonts w:cs="Arial"/>
                <w:sz w:val="20"/>
                <w:szCs w:val="20"/>
              </w:rPr>
            </w:pPr>
            <w:r>
              <w:rPr>
                <w:rFonts w:cs="Arial"/>
                <w:sz w:val="20"/>
                <w:szCs w:val="20"/>
              </w:rPr>
              <w:t>12.83</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89</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88</w:t>
            </w:r>
          </w:p>
        </w:tc>
      </w:tr>
      <w:tr w:rsidR="00EA5097" w:rsidRPr="002861A9" w:rsidTr="00AA103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51</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56</w:t>
            </w:r>
          </w:p>
        </w:tc>
        <w:tc>
          <w:tcPr>
            <w:tcW w:w="1379" w:type="dxa"/>
            <w:noWrap/>
            <w:vAlign w:val="center"/>
          </w:tcPr>
          <w:p w:rsidR="00EA5097" w:rsidRDefault="00EA5097" w:rsidP="001F0CD4">
            <w:pPr>
              <w:spacing w:before="0"/>
              <w:jc w:val="center"/>
              <w:rPr>
                <w:rFonts w:cs="Arial"/>
                <w:sz w:val="20"/>
                <w:szCs w:val="20"/>
              </w:rPr>
            </w:pPr>
            <w:r>
              <w:rPr>
                <w:rFonts w:cs="Arial"/>
                <w:sz w:val="20"/>
                <w:szCs w:val="20"/>
              </w:rPr>
              <w:t>-15</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0</w:t>
            </w:r>
          </w:p>
        </w:tc>
        <w:tc>
          <w:tcPr>
            <w:tcW w:w="1260" w:type="dxa"/>
            <w:noWrap/>
            <w:vAlign w:val="center"/>
          </w:tcPr>
          <w:p w:rsidR="00EA5097" w:rsidRDefault="00EA5097" w:rsidP="001F0CD4">
            <w:pPr>
              <w:spacing w:before="0"/>
              <w:jc w:val="center"/>
              <w:rPr>
                <w:rFonts w:cs="Arial"/>
                <w:sz w:val="20"/>
                <w:szCs w:val="20"/>
              </w:rPr>
            </w:pPr>
            <w:r>
              <w:rPr>
                <w:rFonts w:cs="Arial"/>
                <w:sz w:val="20"/>
                <w:szCs w:val="20"/>
              </w:rPr>
              <w:t>0</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EA5097" w:rsidRPr="002861A9" w:rsidTr="00CF3E9A">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30 Aug - 05 Sep 2015</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2.70</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2.79</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1.03</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94</w:t>
            </w:r>
          </w:p>
        </w:tc>
        <w:tc>
          <w:tcPr>
            <w:tcW w:w="1180" w:type="dxa"/>
            <w:noWrap/>
            <w:vAlign w:val="center"/>
          </w:tcPr>
          <w:p w:rsidR="00EA5097" w:rsidRDefault="00EA5097" w:rsidP="001F0CD4">
            <w:pPr>
              <w:spacing w:before="0"/>
              <w:jc w:val="center"/>
              <w:rPr>
                <w:rFonts w:cs="Arial"/>
                <w:sz w:val="20"/>
                <w:szCs w:val="20"/>
              </w:rPr>
            </w:pPr>
            <w:r>
              <w:rPr>
                <w:rFonts w:cs="Arial"/>
                <w:sz w:val="20"/>
                <w:szCs w:val="20"/>
              </w:rPr>
              <w:t>93</w:t>
            </w:r>
          </w:p>
        </w:tc>
      </w:tr>
      <w:tr w:rsidR="00EA5097" w:rsidRPr="002861A9" w:rsidTr="00CF3E9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week</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12</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24</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-9</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4</w:t>
            </w:r>
          </w:p>
        </w:tc>
        <w:tc>
          <w:tcPr>
            <w:tcW w:w="1180" w:type="dxa"/>
            <w:noWrap/>
            <w:vAlign w:val="center"/>
          </w:tcPr>
          <w:p w:rsidR="00EA5097" w:rsidRDefault="00EA5097" w:rsidP="001F0CD4">
            <w:pPr>
              <w:spacing w:before="0"/>
              <w:jc w:val="center"/>
              <w:rPr>
                <w:rFonts w:cs="Arial"/>
                <w:sz w:val="20"/>
                <w:szCs w:val="20"/>
              </w:rPr>
            </w:pPr>
            <w:r>
              <w:rPr>
                <w:rFonts w:cs="Arial"/>
                <w:sz w:val="20"/>
                <w:szCs w:val="20"/>
              </w:rPr>
              <w:t>2</w:t>
            </w:r>
          </w:p>
        </w:tc>
      </w:tr>
      <w:tr w:rsidR="00EA5097" w:rsidRPr="002861A9" w:rsidTr="00CF3E9A">
        <w:trPr>
          <w:trHeight w:val="382"/>
        </w:trPr>
        <w:tc>
          <w:tcPr>
            <w:tcW w:w="2670" w:type="dxa"/>
            <w:noWrap/>
            <w:vAlign w:val="center"/>
          </w:tcPr>
          <w:p w:rsidR="00EA5097" w:rsidRDefault="00EA5097" w:rsidP="001F0CD4">
            <w:pPr>
              <w:spacing w:before="0"/>
              <w:rPr>
                <w:rFonts w:cs="Arial"/>
                <w:sz w:val="20"/>
                <w:szCs w:val="20"/>
              </w:rPr>
            </w:pPr>
            <w:r>
              <w:rPr>
                <w:rFonts w:cs="Arial"/>
                <w:sz w:val="20"/>
                <w:szCs w:val="20"/>
              </w:rPr>
              <w:t>15-16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4.24</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4.10</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1.44</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97</w:t>
            </w:r>
          </w:p>
        </w:tc>
        <w:tc>
          <w:tcPr>
            <w:tcW w:w="1180" w:type="dxa"/>
            <w:noWrap/>
            <w:vAlign w:val="center"/>
          </w:tcPr>
          <w:p w:rsidR="00EA5097" w:rsidRDefault="00EA5097" w:rsidP="001F0CD4">
            <w:pPr>
              <w:spacing w:before="0"/>
              <w:jc w:val="center"/>
              <w:rPr>
                <w:rFonts w:cs="Arial"/>
                <w:sz w:val="20"/>
                <w:szCs w:val="20"/>
              </w:rPr>
            </w:pPr>
            <w:r>
              <w:rPr>
                <w:rFonts w:cs="Arial"/>
                <w:sz w:val="20"/>
                <w:szCs w:val="20"/>
              </w:rPr>
              <w:t>96</w:t>
            </w:r>
          </w:p>
        </w:tc>
      </w:tr>
      <w:tr w:rsidR="00EA5097" w:rsidRPr="002861A9" w:rsidTr="00CF3E9A">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EA5097" w:rsidRDefault="00EA5097" w:rsidP="001F0CD4">
            <w:pPr>
              <w:spacing w:before="0"/>
              <w:rPr>
                <w:rFonts w:cs="Arial"/>
                <w:sz w:val="20"/>
                <w:szCs w:val="20"/>
              </w:rPr>
            </w:pPr>
            <w:r>
              <w:rPr>
                <w:rFonts w:cs="Arial"/>
                <w:sz w:val="20"/>
                <w:szCs w:val="20"/>
              </w:rPr>
              <w:t>% change from previous financial YTD</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78</w:t>
            </w:r>
          </w:p>
        </w:tc>
        <w:tc>
          <w:tcPr>
            <w:tcW w:w="1360" w:type="dxa"/>
            <w:noWrap/>
            <w:vAlign w:val="center"/>
          </w:tcPr>
          <w:p w:rsidR="00EA5097" w:rsidRDefault="00EA5097" w:rsidP="001F0CD4">
            <w:pPr>
              <w:spacing w:before="0"/>
              <w:jc w:val="center"/>
              <w:rPr>
                <w:rFonts w:cs="Arial"/>
                <w:sz w:val="20"/>
                <w:szCs w:val="20"/>
              </w:rPr>
            </w:pPr>
            <w:r>
              <w:rPr>
                <w:rFonts w:cs="Arial"/>
                <w:sz w:val="20"/>
                <w:szCs w:val="20"/>
              </w:rPr>
              <w:t>72</w:t>
            </w:r>
          </w:p>
        </w:tc>
        <w:tc>
          <w:tcPr>
            <w:tcW w:w="1359" w:type="dxa"/>
            <w:noWrap/>
            <w:vAlign w:val="center"/>
          </w:tcPr>
          <w:p w:rsidR="00EA5097" w:rsidRDefault="00EA5097" w:rsidP="001F0CD4">
            <w:pPr>
              <w:spacing w:before="0"/>
              <w:jc w:val="center"/>
              <w:rPr>
                <w:rFonts w:cs="Arial"/>
                <w:sz w:val="20"/>
                <w:szCs w:val="20"/>
              </w:rPr>
            </w:pPr>
            <w:r>
              <w:rPr>
                <w:rFonts w:cs="Arial"/>
                <w:sz w:val="20"/>
                <w:szCs w:val="20"/>
              </w:rPr>
              <w:t>40</w:t>
            </w:r>
          </w:p>
        </w:tc>
        <w:tc>
          <w:tcPr>
            <w:tcW w:w="1280" w:type="dxa"/>
            <w:noWrap/>
            <w:vAlign w:val="center"/>
          </w:tcPr>
          <w:p w:rsidR="00EA5097" w:rsidRDefault="00EA5097" w:rsidP="001F0CD4">
            <w:pPr>
              <w:spacing w:before="0"/>
              <w:jc w:val="center"/>
              <w:rPr>
                <w:rFonts w:cs="Arial"/>
                <w:sz w:val="20"/>
                <w:szCs w:val="20"/>
              </w:rPr>
            </w:pPr>
            <w:r>
              <w:rPr>
                <w:rFonts w:cs="Arial"/>
                <w:sz w:val="20"/>
                <w:szCs w:val="20"/>
              </w:rPr>
              <w:t>-41</w:t>
            </w:r>
          </w:p>
        </w:tc>
        <w:tc>
          <w:tcPr>
            <w:tcW w:w="1180" w:type="dxa"/>
            <w:noWrap/>
            <w:vAlign w:val="center"/>
          </w:tcPr>
          <w:p w:rsidR="00EA5097" w:rsidRDefault="00EA5097" w:rsidP="001F0CD4">
            <w:pPr>
              <w:spacing w:before="0"/>
              <w:jc w:val="center"/>
              <w:rPr>
                <w:rFonts w:cs="Arial"/>
                <w:sz w:val="20"/>
                <w:szCs w:val="20"/>
              </w:rPr>
            </w:pPr>
            <w:r>
              <w:rPr>
                <w:rFonts w:cs="Arial"/>
                <w:sz w:val="20"/>
                <w:szCs w:val="20"/>
              </w:rPr>
              <w:t>-41</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lastRenderedPageBreak/>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t>Significant</w:t>
      </w:r>
      <w:r w:rsidR="006E7E57">
        <w:rPr>
          <w:color w:val="2272A3"/>
        </w:rPr>
        <w:t xml:space="preserve"> Market Events or Issues this week</w:t>
      </w:r>
    </w:p>
    <w:p w:rsidR="00B436D2" w:rsidRDefault="00B436D2" w:rsidP="00B436D2">
      <w:pPr>
        <w:autoSpaceDE w:val="0"/>
        <w:autoSpaceDN w:val="0"/>
        <w:adjustRightInd w:val="0"/>
        <w:jc w:val="both"/>
        <w:rPr>
          <w:rFonts w:eastAsia="MS Mincho"/>
        </w:rPr>
      </w:pPr>
      <w:r>
        <w:rPr>
          <w:rFonts w:eastAsia="MS Mincho"/>
        </w:rPr>
        <w:t xml:space="preserve">On 30 August, a significant quantity of decrease MOS </w:t>
      </w:r>
      <w:r w:rsidR="00A86DC4">
        <w:rPr>
          <w:rFonts w:eastAsia="MS Mincho"/>
        </w:rPr>
        <w:t xml:space="preserve">(about </w:t>
      </w:r>
      <w:r w:rsidR="000A5751">
        <w:rPr>
          <w:rFonts w:eastAsia="MS Mincho"/>
        </w:rPr>
        <w:t>15.4</w:t>
      </w:r>
      <w:r w:rsidR="00A86DC4">
        <w:rPr>
          <w:rFonts w:eastAsia="MS Mincho"/>
        </w:rPr>
        <w:t xml:space="preserve"> TJ) was required </w:t>
      </w:r>
      <w:r>
        <w:rPr>
          <w:rFonts w:eastAsia="MS Mincho"/>
        </w:rPr>
        <w:t>in the Sydney hub. This was due to participants’ over forecasting</w:t>
      </w:r>
      <w:r w:rsidR="00A86DC4">
        <w:rPr>
          <w:rFonts w:eastAsia="MS Mincho"/>
        </w:rPr>
        <w:t>.</w:t>
      </w:r>
      <w:r w:rsidR="000A5751">
        <w:rPr>
          <w:rFonts w:eastAsia="MS Mincho"/>
        </w:rPr>
        <w:t xml:space="preserve"> Renomination of pipeline flows led to a reduction in supply on the EGP of 7.3 TJ, which would have assisted in decreasing the net quantity of MOS required on the day.</w:t>
      </w:r>
      <w:r>
        <w:rPr>
          <w:rFonts w:eastAsia="MS Mincho"/>
        </w:rPr>
        <w:t xml:space="preserve"> </w:t>
      </w:r>
    </w:p>
    <w:p w:rsidR="00B436D2" w:rsidRDefault="00B436D2" w:rsidP="00B436D2">
      <w:pPr>
        <w:autoSpaceDE w:val="0"/>
        <w:autoSpaceDN w:val="0"/>
        <w:adjustRightInd w:val="0"/>
        <w:jc w:val="both"/>
        <w:rPr>
          <w:rFonts w:eastAsia="MS Mincho"/>
        </w:rPr>
      </w:pPr>
      <w:r>
        <w:rPr>
          <w:rFonts w:eastAsia="MS Mincho"/>
        </w:rPr>
        <w:t>On 30 and 31 August, over forecasting in Adelaide led to decrease MOS requirements, with additional unscheduled supply also contributing to the requirement on 30 August.</w:t>
      </w:r>
    </w:p>
    <w:p w:rsidR="00B436D2" w:rsidRDefault="00B436D2" w:rsidP="00B436D2">
      <w:pPr>
        <w:autoSpaceDE w:val="0"/>
        <w:autoSpaceDN w:val="0"/>
        <w:adjustRightInd w:val="0"/>
        <w:jc w:val="both"/>
      </w:pPr>
      <w:r>
        <w:t xml:space="preserve">The Bulletin Board AMBER </w:t>
      </w:r>
      <w:proofErr w:type="spellStart"/>
      <w:r>
        <w:t>Linepack</w:t>
      </w:r>
      <w:proofErr w:type="spellEnd"/>
      <w:r>
        <w:t xml:space="preserve"> Capacity Adequacy (LCA) flag</w:t>
      </w:r>
      <w:r>
        <w:rPr>
          <w:rStyle w:val="FootnoteReference"/>
        </w:rPr>
        <w:footnoteReference w:id="2"/>
      </w:r>
      <w:r>
        <w:t xml:space="preserve"> on the </w:t>
      </w:r>
      <w:proofErr w:type="spellStart"/>
      <w:r>
        <w:t>SEAGas</w:t>
      </w:r>
      <w:proofErr w:type="spellEnd"/>
      <w:r>
        <w:t xml:space="preserve"> pipeline was removed from 3 September following the completion of planned maintenance.</w:t>
      </w:r>
    </w:p>
    <w:p w:rsidR="00B436D2" w:rsidRPr="004C1815" w:rsidRDefault="00B436D2" w:rsidP="00B436D2">
      <w:pPr>
        <w:jc w:val="both"/>
      </w:pPr>
      <w:r>
        <w:t>Flows on the South West pipeline reversed on 5 September, flowing from Melbourne towards South Australia. There were also reduced flows towards Melbourne the following day. This coincided with decreased supply from Iona and Minerva from 4 September.</w:t>
      </w:r>
    </w:p>
    <w:p w:rsidR="006E7E57" w:rsidRPr="00004A63" w:rsidRDefault="006E7E57" w:rsidP="00004A63">
      <w:pPr>
        <w:jc w:val="both"/>
        <w:rPr>
          <w:b/>
          <w:szCs w:val="22"/>
        </w:rPr>
      </w:pPr>
      <w:r>
        <w:rPr>
          <w:color w:val="2272A3"/>
        </w:rPr>
        <w:br w:type="page"/>
      </w:r>
      <w:r w:rsidR="00E053AE">
        <w:lastRenderedPageBreak/>
        <w:pict>
          <v:shape id="_x0000_i1026" type="#_x0000_t75" style="width:503.25pt;height:1in" o:allowoverlap="f">
            <v:imagedata r:id="rId9" o:title="" cropbottom="17873f" cropright="30275f"/>
          </v:shape>
        </w:pict>
      </w:r>
    </w:p>
    <w:p w:rsidR="00BC18FB" w:rsidRDefault="002C6868"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82.75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ED4099" w:rsidP="00004A63">
                  <w:pPr>
                    <w:pStyle w:val="Title"/>
                  </w:pPr>
                  <w:r>
                    <w:t>30</w:t>
                  </w:r>
                  <w:r w:rsidR="00195E49">
                    <w:t xml:space="preserve"> August </w:t>
                  </w:r>
                  <w:r>
                    <w:t xml:space="preserve">– 5 September </w:t>
                  </w:r>
                  <w:r w:rsidR="00195E49">
                    <w:t>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E053AE" w:rsidP="00362B9A">
      <w:r>
        <w:pict>
          <v:shape id="_x0000_i1027" type="#_x0000_t75" style="width:476.25pt;height:137.25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E053AE" w:rsidP="00362B9A">
      <w:r>
        <w:pict>
          <v:shape id="_x0000_i1028" type="#_x0000_t75" style="width:476.25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E053AE" w:rsidP="00362B9A">
      <w:r>
        <w:pict>
          <v:shape id="_x0000_i1029" type="#_x0000_t75" style="width:476.25pt;height:206.2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E053AE" w:rsidP="00362B9A">
      <w:r>
        <w:pict>
          <v:shape id="_x0000_i1030" type="#_x0000_t75" style="width:476.25pt;height:162.75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E053AE" w:rsidP="00BC18FB">
      <w:r>
        <w:pict>
          <v:shape id="_x0000_i1031" type="#_x0000_t75"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ante price ($/GJ)</w:t>
            </w:r>
          </w:p>
        </w:tc>
        <w:tc>
          <w:tcPr>
            <w:tcW w:w="1028" w:type="dxa"/>
            <w:noWrap/>
            <w:vAlign w:val="center"/>
          </w:tcPr>
          <w:p w:rsidR="00F51680" w:rsidRDefault="00F51680">
            <w:pPr>
              <w:jc w:val="center"/>
              <w:rPr>
                <w:rFonts w:cs="Arial"/>
                <w:sz w:val="20"/>
                <w:szCs w:val="20"/>
              </w:rPr>
            </w:pPr>
            <w:r>
              <w:rPr>
                <w:rFonts w:cs="Arial"/>
                <w:sz w:val="20"/>
                <w:szCs w:val="20"/>
              </w:rPr>
              <w:t>4.94</w:t>
            </w:r>
          </w:p>
        </w:tc>
        <w:tc>
          <w:tcPr>
            <w:tcW w:w="1029" w:type="dxa"/>
            <w:noWrap/>
            <w:vAlign w:val="center"/>
          </w:tcPr>
          <w:p w:rsidR="00F51680" w:rsidRDefault="00F51680">
            <w:pPr>
              <w:jc w:val="center"/>
              <w:rPr>
                <w:rFonts w:cs="Arial"/>
                <w:sz w:val="20"/>
                <w:szCs w:val="20"/>
              </w:rPr>
            </w:pPr>
            <w:r>
              <w:rPr>
                <w:rFonts w:cs="Arial"/>
                <w:sz w:val="20"/>
                <w:szCs w:val="20"/>
              </w:rPr>
              <w:t>3.40</w:t>
            </w:r>
          </w:p>
        </w:tc>
        <w:tc>
          <w:tcPr>
            <w:tcW w:w="1028" w:type="dxa"/>
            <w:noWrap/>
            <w:vAlign w:val="center"/>
          </w:tcPr>
          <w:p w:rsidR="00F51680" w:rsidRDefault="00F51680">
            <w:pPr>
              <w:jc w:val="center"/>
              <w:rPr>
                <w:rFonts w:cs="Arial"/>
                <w:sz w:val="20"/>
                <w:szCs w:val="20"/>
              </w:rPr>
            </w:pPr>
            <w:r>
              <w:rPr>
                <w:rFonts w:cs="Arial"/>
                <w:sz w:val="20"/>
                <w:szCs w:val="20"/>
              </w:rPr>
              <w:t>4.92</w:t>
            </w:r>
          </w:p>
        </w:tc>
        <w:tc>
          <w:tcPr>
            <w:tcW w:w="1029" w:type="dxa"/>
            <w:noWrap/>
            <w:vAlign w:val="center"/>
          </w:tcPr>
          <w:p w:rsidR="00F51680" w:rsidRDefault="00F51680">
            <w:pPr>
              <w:jc w:val="center"/>
              <w:rPr>
                <w:rFonts w:cs="Arial"/>
                <w:sz w:val="20"/>
                <w:szCs w:val="20"/>
              </w:rPr>
            </w:pPr>
            <w:r>
              <w:rPr>
                <w:rFonts w:cs="Arial"/>
                <w:sz w:val="20"/>
                <w:szCs w:val="20"/>
              </w:rPr>
              <w:t>5.10</w:t>
            </w:r>
          </w:p>
        </w:tc>
        <w:tc>
          <w:tcPr>
            <w:tcW w:w="1028" w:type="dxa"/>
            <w:noWrap/>
            <w:vAlign w:val="center"/>
          </w:tcPr>
          <w:p w:rsidR="00F51680" w:rsidRDefault="00F51680">
            <w:pPr>
              <w:jc w:val="center"/>
              <w:rPr>
                <w:rFonts w:cs="Arial"/>
                <w:sz w:val="20"/>
                <w:szCs w:val="20"/>
              </w:rPr>
            </w:pPr>
            <w:r>
              <w:rPr>
                <w:rFonts w:cs="Arial"/>
                <w:sz w:val="20"/>
                <w:szCs w:val="20"/>
              </w:rPr>
              <w:t>5.10</w:t>
            </w:r>
          </w:p>
        </w:tc>
        <w:tc>
          <w:tcPr>
            <w:tcW w:w="1029" w:type="dxa"/>
            <w:noWrap/>
            <w:vAlign w:val="center"/>
          </w:tcPr>
          <w:p w:rsidR="00F51680" w:rsidRDefault="00F51680">
            <w:pPr>
              <w:jc w:val="center"/>
              <w:rPr>
                <w:rFonts w:cs="Arial"/>
                <w:sz w:val="20"/>
                <w:szCs w:val="20"/>
              </w:rPr>
            </w:pPr>
            <w:r>
              <w:rPr>
                <w:rFonts w:cs="Arial"/>
                <w:sz w:val="20"/>
                <w:szCs w:val="20"/>
              </w:rPr>
              <w:t>5.10</w:t>
            </w:r>
          </w:p>
        </w:tc>
        <w:tc>
          <w:tcPr>
            <w:tcW w:w="1029" w:type="dxa"/>
            <w:noWrap/>
            <w:vAlign w:val="center"/>
          </w:tcPr>
          <w:p w:rsidR="00F51680" w:rsidRDefault="00F51680">
            <w:pPr>
              <w:jc w:val="center"/>
              <w:rPr>
                <w:rFonts w:cs="Arial"/>
                <w:sz w:val="20"/>
                <w:szCs w:val="20"/>
              </w:rPr>
            </w:pPr>
            <w:r>
              <w:rPr>
                <w:rFonts w:cs="Arial"/>
                <w:sz w:val="20"/>
                <w:szCs w:val="20"/>
              </w:rPr>
              <w:t>5.00</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ante quantity (TJ)</w:t>
            </w:r>
          </w:p>
        </w:tc>
        <w:tc>
          <w:tcPr>
            <w:tcW w:w="1028" w:type="dxa"/>
            <w:noWrap/>
            <w:vAlign w:val="center"/>
          </w:tcPr>
          <w:p w:rsidR="00F51680" w:rsidRDefault="00F51680">
            <w:pPr>
              <w:jc w:val="center"/>
              <w:rPr>
                <w:rFonts w:cs="Arial"/>
                <w:sz w:val="20"/>
                <w:szCs w:val="20"/>
              </w:rPr>
            </w:pPr>
            <w:r>
              <w:rPr>
                <w:rFonts w:cs="Arial"/>
                <w:sz w:val="20"/>
                <w:szCs w:val="20"/>
              </w:rPr>
              <w:t>255</w:t>
            </w:r>
          </w:p>
        </w:tc>
        <w:tc>
          <w:tcPr>
            <w:tcW w:w="1029" w:type="dxa"/>
            <w:noWrap/>
            <w:vAlign w:val="center"/>
          </w:tcPr>
          <w:p w:rsidR="00F51680" w:rsidRDefault="00F51680">
            <w:pPr>
              <w:jc w:val="center"/>
              <w:rPr>
                <w:rFonts w:cs="Arial"/>
                <w:sz w:val="20"/>
                <w:szCs w:val="20"/>
              </w:rPr>
            </w:pPr>
            <w:r>
              <w:rPr>
                <w:rFonts w:cs="Arial"/>
                <w:sz w:val="20"/>
                <w:szCs w:val="20"/>
              </w:rPr>
              <w:t>285</w:t>
            </w:r>
          </w:p>
        </w:tc>
        <w:tc>
          <w:tcPr>
            <w:tcW w:w="1028" w:type="dxa"/>
            <w:noWrap/>
            <w:vAlign w:val="center"/>
          </w:tcPr>
          <w:p w:rsidR="00F51680" w:rsidRDefault="00F51680">
            <w:pPr>
              <w:jc w:val="center"/>
              <w:rPr>
                <w:rFonts w:cs="Arial"/>
                <w:sz w:val="20"/>
                <w:szCs w:val="20"/>
              </w:rPr>
            </w:pPr>
            <w:r>
              <w:rPr>
                <w:rFonts w:cs="Arial"/>
                <w:sz w:val="20"/>
                <w:szCs w:val="20"/>
              </w:rPr>
              <w:t>282</w:t>
            </w:r>
          </w:p>
        </w:tc>
        <w:tc>
          <w:tcPr>
            <w:tcW w:w="1029" w:type="dxa"/>
            <w:noWrap/>
            <w:vAlign w:val="center"/>
          </w:tcPr>
          <w:p w:rsidR="00F51680" w:rsidRDefault="00F51680">
            <w:pPr>
              <w:jc w:val="center"/>
              <w:rPr>
                <w:rFonts w:cs="Arial"/>
                <w:sz w:val="20"/>
                <w:szCs w:val="20"/>
              </w:rPr>
            </w:pPr>
            <w:r>
              <w:rPr>
                <w:rFonts w:cs="Arial"/>
                <w:sz w:val="20"/>
                <w:szCs w:val="20"/>
              </w:rPr>
              <w:t>284</w:t>
            </w:r>
          </w:p>
        </w:tc>
        <w:tc>
          <w:tcPr>
            <w:tcW w:w="1028" w:type="dxa"/>
            <w:noWrap/>
            <w:vAlign w:val="center"/>
          </w:tcPr>
          <w:p w:rsidR="00F51680" w:rsidRDefault="00F51680">
            <w:pPr>
              <w:jc w:val="center"/>
              <w:rPr>
                <w:rFonts w:cs="Arial"/>
                <w:sz w:val="20"/>
                <w:szCs w:val="20"/>
              </w:rPr>
            </w:pPr>
            <w:r>
              <w:rPr>
                <w:rFonts w:cs="Arial"/>
                <w:sz w:val="20"/>
                <w:szCs w:val="20"/>
              </w:rPr>
              <w:t>270</w:t>
            </w:r>
          </w:p>
        </w:tc>
        <w:tc>
          <w:tcPr>
            <w:tcW w:w="1029" w:type="dxa"/>
            <w:noWrap/>
            <w:vAlign w:val="center"/>
          </w:tcPr>
          <w:p w:rsidR="00F51680" w:rsidRDefault="00F51680">
            <w:pPr>
              <w:jc w:val="center"/>
              <w:rPr>
                <w:rFonts w:cs="Arial"/>
                <w:sz w:val="20"/>
                <w:szCs w:val="20"/>
              </w:rPr>
            </w:pPr>
            <w:r>
              <w:rPr>
                <w:rFonts w:cs="Arial"/>
                <w:sz w:val="20"/>
                <w:szCs w:val="20"/>
              </w:rPr>
              <w:t>274</w:t>
            </w:r>
          </w:p>
        </w:tc>
        <w:tc>
          <w:tcPr>
            <w:tcW w:w="1029" w:type="dxa"/>
            <w:noWrap/>
            <w:vAlign w:val="center"/>
          </w:tcPr>
          <w:p w:rsidR="00F51680" w:rsidRDefault="00F51680">
            <w:pPr>
              <w:jc w:val="center"/>
              <w:rPr>
                <w:rFonts w:cs="Arial"/>
                <w:sz w:val="20"/>
                <w:szCs w:val="20"/>
              </w:rPr>
            </w:pPr>
            <w:r>
              <w:rPr>
                <w:rFonts w:cs="Arial"/>
                <w:sz w:val="20"/>
                <w:szCs w:val="20"/>
              </w:rPr>
              <w:t>229</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post price ($/GJ)</w:t>
            </w:r>
          </w:p>
        </w:tc>
        <w:tc>
          <w:tcPr>
            <w:tcW w:w="1028" w:type="dxa"/>
            <w:noWrap/>
            <w:vAlign w:val="center"/>
          </w:tcPr>
          <w:p w:rsidR="00F51680" w:rsidRDefault="00F51680">
            <w:pPr>
              <w:jc w:val="center"/>
              <w:rPr>
                <w:rFonts w:cs="Arial"/>
                <w:sz w:val="20"/>
                <w:szCs w:val="20"/>
              </w:rPr>
            </w:pPr>
            <w:r>
              <w:rPr>
                <w:rFonts w:cs="Arial"/>
                <w:sz w:val="20"/>
                <w:szCs w:val="20"/>
              </w:rPr>
              <w:t>3.40</w:t>
            </w:r>
          </w:p>
        </w:tc>
        <w:tc>
          <w:tcPr>
            <w:tcW w:w="1029" w:type="dxa"/>
            <w:noWrap/>
            <w:vAlign w:val="center"/>
          </w:tcPr>
          <w:p w:rsidR="00F51680" w:rsidRDefault="00F51680">
            <w:pPr>
              <w:jc w:val="center"/>
              <w:rPr>
                <w:rFonts w:cs="Arial"/>
                <w:sz w:val="20"/>
                <w:szCs w:val="20"/>
              </w:rPr>
            </w:pPr>
            <w:r>
              <w:rPr>
                <w:rFonts w:cs="Arial"/>
                <w:sz w:val="20"/>
                <w:szCs w:val="20"/>
              </w:rPr>
              <w:t>2.55</w:t>
            </w:r>
          </w:p>
        </w:tc>
        <w:tc>
          <w:tcPr>
            <w:tcW w:w="1028" w:type="dxa"/>
            <w:noWrap/>
            <w:vAlign w:val="center"/>
          </w:tcPr>
          <w:p w:rsidR="00F51680" w:rsidRDefault="00F51680">
            <w:pPr>
              <w:jc w:val="center"/>
              <w:rPr>
                <w:rFonts w:cs="Arial"/>
                <w:sz w:val="20"/>
                <w:szCs w:val="20"/>
              </w:rPr>
            </w:pPr>
            <w:r>
              <w:rPr>
                <w:rFonts w:cs="Arial"/>
                <w:sz w:val="20"/>
                <w:szCs w:val="20"/>
              </w:rPr>
              <w:t>4.92</w:t>
            </w:r>
          </w:p>
        </w:tc>
        <w:tc>
          <w:tcPr>
            <w:tcW w:w="1029" w:type="dxa"/>
            <w:noWrap/>
            <w:vAlign w:val="center"/>
          </w:tcPr>
          <w:p w:rsidR="00F51680" w:rsidRDefault="00F51680">
            <w:pPr>
              <w:jc w:val="center"/>
              <w:rPr>
                <w:rFonts w:cs="Arial"/>
                <w:sz w:val="20"/>
                <w:szCs w:val="20"/>
              </w:rPr>
            </w:pPr>
            <w:r>
              <w:rPr>
                <w:rFonts w:cs="Arial"/>
                <w:sz w:val="20"/>
                <w:szCs w:val="20"/>
              </w:rPr>
              <w:t>5.04</w:t>
            </w:r>
          </w:p>
        </w:tc>
        <w:tc>
          <w:tcPr>
            <w:tcW w:w="1028" w:type="dxa"/>
            <w:noWrap/>
            <w:vAlign w:val="center"/>
          </w:tcPr>
          <w:p w:rsidR="00F51680" w:rsidRDefault="00F51680">
            <w:pPr>
              <w:jc w:val="center"/>
              <w:rPr>
                <w:rFonts w:cs="Arial"/>
                <w:sz w:val="20"/>
                <w:szCs w:val="20"/>
              </w:rPr>
            </w:pPr>
            <w:r>
              <w:rPr>
                <w:rFonts w:cs="Arial"/>
                <w:sz w:val="20"/>
                <w:szCs w:val="20"/>
              </w:rPr>
              <w:t>5.04</w:t>
            </w:r>
          </w:p>
        </w:tc>
        <w:tc>
          <w:tcPr>
            <w:tcW w:w="1029" w:type="dxa"/>
            <w:noWrap/>
            <w:vAlign w:val="center"/>
          </w:tcPr>
          <w:p w:rsidR="00F51680" w:rsidRDefault="00F51680">
            <w:pPr>
              <w:jc w:val="center"/>
              <w:rPr>
                <w:rFonts w:cs="Arial"/>
                <w:sz w:val="20"/>
                <w:szCs w:val="20"/>
              </w:rPr>
            </w:pPr>
            <w:r>
              <w:rPr>
                <w:rFonts w:cs="Arial"/>
                <w:sz w:val="20"/>
                <w:szCs w:val="20"/>
              </w:rPr>
              <w:t>4.92</w:t>
            </w:r>
          </w:p>
        </w:tc>
        <w:tc>
          <w:tcPr>
            <w:tcW w:w="1029" w:type="dxa"/>
            <w:noWrap/>
            <w:vAlign w:val="center"/>
          </w:tcPr>
          <w:p w:rsidR="00F51680" w:rsidRDefault="00F51680">
            <w:pPr>
              <w:jc w:val="center"/>
              <w:rPr>
                <w:rFonts w:cs="Arial"/>
                <w:sz w:val="20"/>
                <w:szCs w:val="20"/>
              </w:rPr>
            </w:pPr>
            <w:r>
              <w:rPr>
                <w:rFonts w:cs="Arial"/>
                <w:sz w:val="20"/>
                <w:szCs w:val="20"/>
              </w:rPr>
              <w:t>5.00</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post quantity (TJ)</w:t>
            </w:r>
          </w:p>
        </w:tc>
        <w:tc>
          <w:tcPr>
            <w:tcW w:w="1028" w:type="dxa"/>
            <w:noWrap/>
            <w:vAlign w:val="center"/>
          </w:tcPr>
          <w:p w:rsidR="00F51680" w:rsidRDefault="00F51680">
            <w:pPr>
              <w:jc w:val="center"/>
              <w:rPr>
                <w:rFonts w:cs="Arial"/>
                <w:sz w:val="20"/>
                <w:szCs w:val="20"/>
              </w:rPr>
            </w:pPr>
            <w:r>
              <w:rPr>
                <w:rFonts w:cs="Arial"/>
                <w:sz w:val="20"/>
                <w:szCs w:val="20"/>
              </w:rPr>
              <w:t>232</w:t>
            </w:r>
          </w:p>
        </w:tc>
        <w:tc>
          <w:tcPr>
            <w:tcW w:w="1029" w:type="dxa"/>
            <w:noWrap/>
            <w:vAlign w:val="center"/>
          </w:tcPr>
          <w:p w:rsidR="00F51680" w:rsidRDefault="00F51680">
            <w:pPr>
              <w:jc w:val="center"/>
              <w:rPr>
                <w:rFonts w:cs="Arial"/>
                <w:sz w:val="20"/>
                <w:szCs w:val="20"/>
              </w:rPr>
            </w:pPr>
            <w:r>
              <w:rPr>
                <w:rFonts w:cs="Arial"/>
                <w:sz w:val="20"/>
                <w:szCs w:val="20"/>
              </w:rPr>
              <w:t>279</w:t>
            </w:r>
          </w:p>
        </w:tc>
        <w:tc>
          <w:tcPr>
            <w:tcW w:w="1028" w:type="dxa"/>
            <w:noWrap/>
            <w:vAlign w:val="center"/>
          </w:tcPr>
          <w:p w:rsidR="00F51680" w:rsidRDefault="00F51680">
            <w:pPr>
              <w:jc w:val="center"/>
              <w:rPr>
                <w:rFonts w:cs="Arial"/>
                <w:sz w:val="20"/>
                <w:szCs w:val="20"/>
              </w:rPr>
            </w:pPr>
            <w:r>
              <w:rPr>
                <w:rFonts w:cs="Arial"/>
                <w:sz w:val="20"/>
                <w:szCs w:val="20"/>
              </w:rPr>
              <w:t>280</w:t>
            </w:r>
          </w:p>
        </w:tc>
        <w:tc>
          <w:tcPr>
            <w:tcW w:w="1029" w:type="dxa"/>
            <w:noWrap/>
            <w:vAlign w:val="center"/>
          </w:tcPr>
          <w:p w:rsidR="00F51680" w:rsidRDefault="00F51680">
            <w:pPr>
              <w:jc w:val="center"/>
              <w:rPr>
                <w:rFonts w:cs="Arial"/>
                <w:sz w:val="20"/>
                <w:szCs w:val="20"/>
              </w:rPr>
            </w:pPr>
            <w:r>
              <w:rPr>
                <w:rFonts w:cs="Arial"/>
                <w:sz w:val="20"/>
                <w:szCs w:val="20"/>
              </w:rPr>
              <w:t>277</w:t>
            </w:r>
          </w:p>
        </w:tc>
        <w:tc>
          <w:tcPr>
            <w:tcW w:w="1028" w:type="dxa"/>
            <w:noWrap/>
            <w:vAlign w:val="center"/>
          </w:tcPr>
          <w:p w:rsidR="00F51680" w:rsidRDefault="00F51680">
            <w:pPr>
              <w:jc w:val="center"/>
              <w:rPr>
                <w:rFonts w:cs="Arial"/>
                <w:sz w:val="20"/>
                <w:szCs w:val="20"/>
              </w:rPr>
            </w:pPr>
            <w:r>
              <w:rPr>
                <w:rFonts w:cs="Arial"/>
                <w:sz w:val="20"/>
                <w:szCs w:val="20"/>
              </w:rPr>
              <w:t>265</w:t>
            </w:r>
          </w:p>
        </w:tc>
        <w:tc>
          <w:tcPr>
            <w:tcW w:w="1029" w:type="dxa"/>
            <w:noWrap/>
            <w:vAlign w:val="center"/>
          </w:tcPr>
          <w:p w:rsidR="00F51680" w:rsidRDefault="00F51680">
            <w:pPr>
              <w:jc w:val="center"/>
              <w:rPr>
                <w:rFonts w:cs="Arial"/>
                <w:sz w:val="20"/>
                <w:szCs w:val="20"/>
              </w:rPr>
            </w:pPr>
            <w:r>
              <w:rPr>
                <w:rFonts w:cs="Arial"/>
                <w:sz w:val="20"/>
                <w:szCs w:val="20"/>
              </w:rPr>
              <w:t>264</w:t>
            </w:r>
          </w:p>
        </w:tc>
        <w:tc>
          <w:tcPr>
            <w:tcW w:w="1029" w:type="dxa"/>
            <w:noWrap/>
            <w:vAlign w:val="center"/>
          </w:tcPr>
          <w:p w:rsidR="00F51680" w:rsidRDefault="00F51680">
            <w:pPr>
              <w:jc w:val="center"/>
              <w:rPr>
                <w:rFonts w:cs="Arial"/>
                <w:sz w:val="20"/>
                <w:szCs w:val="20"/>
              </w:rPr>
            </w:pPr>
            <w:r>
              <w:rPr>
                <w:rFonts w:cs="Arial"/>
                <w:sz w:val="20"/>
                <w:szCs w:val="20"/>
              </w:rPr>
              <w:t>226</w:t>
            </w:r>
          </w:p>
        </w:tc>
      </w:tr>
    </w:tbl>
    <w:p w:rsidR="00362B9A" w:rsidRPr="00362B9A" w:rsidRDefault="00362B9A" w:rsidP="00362B9A"/>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E053AE" w:rsidP="00362B9A">
      <w:r>
        <w:pict>
          <v:shape id="_x0000_i1032" type="#_x0000_t75" style="width:475.5pt;height:171.7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E053AE" w:rsidP="00362B9A">
      <w:r>
        <w:pict>
          <v:shape id="_x0000_i1033" type="#_x0000_t75" style="width:477.75pt;height:213pt">
            <v:imagedata r:id="rId20" o:title=""/>
          </v:shape>
        </w:pict>
      </w:r>
    </w:p>
    <w:p w:rsidR="00BC18FB" w:rsidRPr="00DD0358" w:rsidRDefault="00362B9A" w:rsidP="00FF0D8A">
      <w:pPr>
        <w:pStyle w:val="Heading4"/>
        <w:ind w:hanging="338"/>
        <w:rPr>
          <w:color w:val="2272A3"/>
          <w:sz w:val="24"/>
          <w:szCs w:val="24"/>
        </w:rPr>
      </w:pPr>
      <w:r w:rsidRPr="00DD0358">
        <w:rPr>
          <w:color w:val="2272A3"/>
          <w:sz w:val="24"/>
          <w:szCs w:val="24"/>
        </w:rPr>
        <w:t>SYD MOS allocations (TJ), service payments and commodity payments/charges ($000)</w:t>
      </w:r>
    </w:p>
    <w:p w:rsidR="00362B9A" w:rsidRDefault="00E053AE" w:rsidP="00362B9A">
      <w:r>
        <w:pict>
          <v:shape id="_x0000_i1034" type="#_x0000_t75" style="width:475.5pt;height:180.7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ante price ($/GJ)</w:t>
            </w:r>
          </w:p>
        </w:tc>
        <w:tc>
          <w:tcPr>
            <w:tcW w:w="1028" w:type="dxa"/>
            <w:noWrap/>
            <w:vAlign w:val="center"/>
          </w:tcPr>
          <w:p w:rsidR="00F51680" w:rsidRDefault="00F51680">
            <w:pPr>
              <w:jc w:val="center"/>
              <w:rPr>
                <w:rFonts w:cs="Arial"/>
                <w:sz w:val="20"/>
                <w:szCs w:val="20"/>
              </w:rPr>
            </w:pPr>
            <w:r>
              <w:rPr>
                <w:rFonts w:cs="Arial"/>
                <w:sz w:val="20"/>
                <w:szCs w:val="20"/>
              </w:rPr>
              <w:t>5.40</w:t>
            </w:r>
          </w:p>
        </w:tc>
        <w:tc>
          <w:tcPr>
            <w:tcW w:w="1029" w:type="dxa"/>
            <w:noWrap/>
            <w:vAlign w:val="center"/>
          </w:tcPr>
          <w:p w:rsidR="00F51680" w:rsidRDefault="00F51680">
            <w:pPr>
              <w:jc w:val="center"/>
              <w:rPr>
                <w:rFonts w:cs="Arial"/>
                <w:sz w:val="20"/>
                <w:szCs w:val="20"/>
              </w:rPr>
            </w:pPr>
            <w:r>
              <w:rPr>
                <w:rFonts w:cs="Arial"/>
                <w:sz w:val="20"/>
                <w:szCs w:val="20"/>
              </w:rPr>
              <w:t>5.75</w:t>
            </w:r>
          </w:p>
        </w:tc>
        <w:tc>
          <w:tcPr>
            <w:tcW w:w="1028" w:type="dxa"/>
            <w:noWrap/>
            <w:vAlign w:val="center"/>
          </w:tcPr>
          <w:p w:rsidR="00F51680" w:rsidRDefault="00F51680">
            <w:pPr>
              <w:jc w:val="center"/>
              <w:rPr>
                <w:rFonts w:cs="Arial"/>
                <w:sz w:val="20"/>
                <w:szCs w:val="20"/>
              </w:rPr>
            </w:pPr>
            <w:r>
              <w:rPr>
                <w:rFonts w:cs="Arial"/>
                <w:sz w:val="20"/>
                <w:szCs w:val="20"/>
              </w:rPr>
              <w:t>5.67</w:t>
            </w:r>
          </w:p>
        </w:tc>
        <w:tc>
          <w:tcPr>
            <w:tcW w:w="1029" w:type="dxa"/>
            <w:noWrap/>
            <w:vAlign w:val="center"/>
          </w:tcPr>
          <w:p w:rsidR="00F51680" w:rsidRDefault="00F51680">
            <w:pPr>
              <w:jc w:val="center"/>
              <w:rPr>
                <w:rFonts w:cs="Arial"/>
                <w:sz w:val="20"/>
                <w:szCs w:val="20"/>
              </w:rPr>
            </w:pPr>
            <w:r>
              <w:rPr>
                <w:rFonts w:cs="Arial"/>
                <w:sz w:val="20"/>
                <w:szCs w:val="20"/>
              </w:rPr>
              <w:t>5.74</w:t>
            </w:r>
          </w:p>
        </w:tc>
        <w:tc>
          <w:tcPr>
            <w:tcW w:w="1028" w:type="dxa"/>
            <w:noWrap/>
            <w:vAlign w:val="center"/>
          </w:tcPr>
          <w:p w:rsidR="00F51680" w:rsidRDefault="00F51680">
            <w:pPr>
              <w:jc w:val="center"/>
              <w:rPr>
                <w:rFonts w:cs="Arial"/>
                <w:sz w:val="20"/>
                <w:szCs w:val="20"/>
              </w:rPr>
            </w:pPr>
            <w:r>
              <w:rPr>
                <w:rFonts w:cs="Arial"/>
                <w:sz w:val="20"/>
                <w:szCs w:val="20"/>
              </w:rPr>
              <w:t>5.74</w:t>
            </w:r>
          </w:p>
        </w:tc>
        <w:tc>
          <w:tcPr>
            <w:tcW w:w="1029" w:type="dxa"/>
            <w:noWrap/>
            <w:vAlign w:val="center"/>
          </w:tcPr>
          <w:p w:rsidR="00F51680" w:rsidRDefault="00F51680">
            <w:pPr>
              <w:jc w:val="center"/>
              <w:rPr>
                <w:rFonts w:cs="Arial"/>
                <w:sz w:val="20"/>
                <w:szCs w:val="20"/>
              </w:rPr>
            </w:pPr>
            <w:r>
              <w:rPr>
                <w:rFonts w:cs="Arial"/>
                <w:sz w:val="20"/>
                <w:szCs w:val="20"/>
              </w:rPr>
              <w:t>6.35</w:t>
            </w:r>
          </w:p>
        </w:tc>
        <w:tc>
          <w:tcPr>
            <w:tcW w:w="1029" w:type="dxa"/>
            <w:noWrap/>
            <w:vAlign w:val="center"/>
          </w:tcPr>
          <w:p w:rsidR="00F51680" w:rsidRDefault="00F51680">
            <w:pPr>
              <w:jc w:val="center"/>
              <w:rPr>
                <w:rFonts w:cs="Arial"/>
                <w:sz w:val="20"/>
                <w:szCs w:val="20"/>
              </w:rPr>
            </w:pPr>
            <w:r>
              <w:rPr>
                <w:rFonts w:cs="Arial"/>
                <w:sz w:val="20"/>
                <w:szCs w:val="20"/>
              </w:rPr>
              <w:t>6.37</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ante quantity (TJ)</w:t>
            </w:r>
          </w:p>
        </w:tc>
        <w:tc>
          <w:tcPr>
            <w:tcW w:w="1028" w:type="dxa"/>
            <w:noWrap/>
            <w:vAlign w:val="center"/>
          </w:tcPr>
          <w:p w:rsidR="00F51680" w:rsidRDefault="00F51680">
            <w:pPr>
              <w:jc w:val="center"/>
              <w:rPr>
                <w:rFonts w:cs="Arial"/>
                <w:sz w:val="20"/>
                <w:szCs w:val="20"/>
              </w:rPr>
            </w:pPr>
            <w:r>
              <w:rPr>
                <w:rFonts w:cs="Arial"/>
                <w:sz w:val="20"/>
                <w:szCs w:val="20"/>
              </w:rPr>
              <w:t>81</w:t>
            </w:r>
          </w:p>
        </w:tc>
        <w:tc>
          <w:tcPr>
            <w:tcW w:w="1029" w:type="dxa"/>
            <w:noWrap/>
            <w:vAlign w:val="center"/>
          </w:tcPr>
          <w:p w:rsidR="00F51680" w:rsidRDefault="00F51680">
            <w:pPr>
              <w:jc w:val="center"/>
              <w:rPr>
                <w:rFonts w:cs="Arial"/>
                <w:sz w:val="20"/>
                <w:szCs w:val="20"/>
              </w:rPr>
            </w:pPr>
            <w:r>
              <w:rPr>
                <w:rFonts w:cs="Arial"/>
                <w:sz w:val="20"/>
                <w:szCs w:val="20"/>
              </w:rPr>
              <w:t>85</w:t>
            </w:r>
          </w:p>
        </w:tc>
        <w:tc>
          <w:tcPr>
            <w:tcW w:w="1028" w:type="dxa"/>
            <w:noWrap/>
            <w:vAlign w:val="center"/>
          </w:tcPr>
          <w:p w:rsidR="00F51680" w:rsidRDefault="00F51680">
            <w:pPr>
              <w:jc w:val="center"/>
              <w:rPr>
                <w:rFonts w:cs="Arial"/>
                <w:sz w:val="20"/>
                <w:szCs w:val="20"/>
              </w:rPr>
            </w:pPr>
            <w:r>
              <w:rPr>
                <w:rFonts w:cs="Arial"/>
                <w:sz w:val="20"/>
                <w:szCs w:val="20"/>
              </w:rPr>
              <w:t>78</w:t>
            </w:r>
          </w:p>
        </w:tc>
        <w:tc>
          <w:tcPr>
            <w:tcW w:w="1029" w:type="dxa"/>
            <w:noWrap/>
            <w:vAlign w:val="center"/>
          </w:tcPr>
          <w:p w:rsidR="00F51680" w:rsidRDefault="00F51680">
            <w:pPr>
              <w:jc w:val="center"/>
              <w:rPr>
                <w:rFonts w:cs="Arial"/>
                <w:sz w:val="20"/>
                <w:szCs w:val="20"/>
              </w:rPr>
            </w:pPr>
            <w:r>
              <w:rPr>
                <w:rFonts w:cs="Arial"/>
                <w:sz w:val="20"/>
                <w:szCs w:val="20"/>
              </w:rPr>
              <w:t>84</w:t>
            </w:r>
          </w:p>
        </w:tc>
        <w:tc>
          <w:tcPr>
            <w:tcW w:w="1028" w:type="dxa"/>
            <w:noWrap/>
            <w:vAlign w:val="center"/>
          </w:tcPr>
          <w:p w:rsidR="00F51680" w:rsidRDefault="00F51680">
            <w:pPr>
              <w:jc w:val="center"/>
              <w:rPr>
                <w:rFonts w:cs="Arial"/>
                <w:sz w:val="20"/>
                <w:szCs w:val="20"/>
              </w:rPr>
            </w:pPr>
            <w:r>
              <w:rPr>
                <w:rFonts w:cs="Arial"/>
                <w:sz w:val="20"/>
                <w:szCs w:val="20"/>
              </w:rPr>
              <w:t>86</w:t>
            </w:r>
          </w:p>
        </w:tc>
        <w:tc>
          <w:tcPr>
            <w:tcW w:w="1029" w:type="dxa"/>
            <w:noWrap/>
            <w:vAlign w:val="center"/>
          </w:tcPr>
          <w:p w:rsidR="00F51680" w:rsidRDefault="00F51680">
            <w:pPr>
              <w:jc w:val="center"/>
              <w:rPr>
                <w:rFonts w:cs="Arial"/>
                <w:sz w:val="20"/>
                <w:szCs w:val="20"/>
              </w:rPr>
            </w:pPr>
            <w:r>
              <w:rPr>
                <w:rFonts w:cs="Arial"/>
                <w:sz w:val="20"/>
                <w:szCs w:val="20"/>
              </w:rPr>
              <w:t>92</w:t>
            </w:r>
          </w:p>
        </w:tc>
        <w:tc>
          <w:tcPr>
            <w:tcW w:w="1029" w:type="dxa"/>
            <w:noWrap/>
            <w:vAlign w:val="center"/>
          </w:tcPr>
          <w:p w:rsidR="00F51680" w:rsidRDefault="00F51680">
            <w:pPr>
              <w:jc w:val="center"/>
              <w:rPr>
                <w:rFonts w:cs="Arial"/>
                <w:sz w:val="20"/>
                <w:szCs w:val="20"/>
              </w:rPr>
            </w:pPr>
            <w:r>
              <w:rPr>
                <w:rFonts w:cs="Arial"/>
                <w:sz w:val="20"/>
                <w:szCs w:val="20"/>
              </w:rPr>
              <w:t>74</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post price ($/GJ)</w:t>
            </w:r>
          </w:p>
        </w:tc>
        <w:tc>
          <w:tcPr>
            <w:tcW w:w="1028" w:type="dxa"/>
            <w:noWrap/>
            <w:vAlign w:val="center"/>
          </w:tcPr>
          <w:p w:rsidR="00F51680" w:rsidRDefault="00F51680">
            <w:pPr>
              <w:jc w:val="center"/>
              <w:rPr>
                <w:rFonts w:cs="Arial"/>
                <w:sz w:val="20"/>
                <w:szCs w:val="20"/>
              </w:rPr>
            </w:pPr>
            <w:r>
              <w:rPr>
                <w:rFonts w:cs="Arial"/>
                <w:sz w:val="20"/>
                <w:szCs w:val="20"/>
              </w:rPr>
              <w:t>5.40</w:t>
            </w:r>
          </w:p>
        </w:tc>
        <w:tc>
          <w:tcPr>
            <w:tcW w:w="1029" w:type="dxa"/>
            <w:noWrap/>
            <w:vAlign w:val="center"/>
          </w:tcPr>
          <w:p w:rsidR="00F51680" w:rsidRDefault="00F51680">
            <w:pPr>
              <w:jc w:val="center"/>
              <w:rPr>
                <w:rFonts w:cs="Arial"/>
                <w:sz w:val="20"/>
                <w:szCs w:val="20"/>
              </w:rPr>
            </w:pPr>
            <w:r>
              <w:rPr>
                <w:rFonts w:cs="Arial"/>
                <w:sz w:val="20"/>
                <w:szCs w:val="20"/>
              </w:rPr>
              <w:t>5.25</w:t>
            </w:r>
          </w:p>
        </w:tc>
        <w:tc>
          <w:tcPr>
            <w:tcW w:w="1028" w:type="dxa"/>
            <w:noWrap/>
            <w:vAlign w:val="center"/>
          </w:tcPr>
          <w:p w:rsidR="00F51680" w:rsidRDefault="00F51680">
            <w:pPr>
              <w:jc w:val="center"/>
              <w:rPr>
                <w:rFonts w:cs="Arial"/>
                <w:sz w:val="20"/>
                <w:szCs w:val="20"/>
              </w:rPr>
            </w:pPr>
            <w:r>
              <w:rPr>
                <w:rFonts w:cs="Arial"/>
                <w:sz w:val="20"/>
                <w:szCs w:val="20"/>
              </w:rPr>
              <w:t>5.46</w:t>
            </w:r>
          </w:p>
        </w:tc>
        <w:tc>
          <w:tcPr>
            <w:tcW w:w="1029" w:type="dxa"/>
            <w:noWrap/>
            <w:vAlign w:val="center"/>
          </w:tcPr>
          <w:p w:rsidR="00F51680" w:rsidRDefault="00F51680">
            <w:pPr>
              <w:jc w:val="center"/>
              <w:rPr>
                <w:rFonts w:cs="Arial"/>
                <w:sz w:val="20"/>
                <w:szCs w:val="20"/>
              </w:rPr>
            </w:pPr>
            <w:r>
              <w:rPr>
                <w:rFonts w:cs="Arial"/>
                <w:sz w:val="20"/>
                <w:szCs w:val="20"/>
              </w:rPr>
              <w:t>7.19</w:t>
            </w:r>
          </w:p>
        </w:tc>
        <w:tc>
          <w:tcPr>
            <w:tcW w:w="1028" w:type="dxa"/>
            <w:noWrap/>
            <w:vAlign w:val="center"/>
          </w:tcPr>
          <w:p w:rsidR="00F51680" w:rsidRDefault="00F51680">
            <w:pPr>
              <w:jc w:val="center"/>
              <w:rPr>
                <w:rFonts w:cs="Arial"/>
                <w:sz w:val="20"/>
                <w:szCs w:val="20"/>
              </w:rPr>
            </w:pPr>
            <w:r>
              <w:rPr>
                <w:rFonts w:cs="Arial"/>
                <w:sz w:val="20"/>
                <w:szCs w:val="20"/>
              </w:rPr>
              <w:t>6.88</w:t>
            </w:r>
          </w:p>
        </w:tc>
        <w:tc>
          <w:tcPr>
            <w:tcW w:w="1029" w:type="dxa"/>
            <w:noWrap/>
            <w:vAlign w:val="center"/>
          </w:tcPr>
          <w:p w:rsidR="00F51680" w:rsidRDefault="00F51680">
            <w:pPr>
              <w:jc w:val="center"/>
              <w:rPr>
                <w:rFonts w:cs="Arial"/>
                <w:sz w:val="20"/>
                <w:szCs w:val="20"/>
              </w:rPr>
            </w:pPr>
            <w:r>
              <w:rPr>
                <w:rFonts w:cs="Arial"/>
                <w:sz w:val="20"/>
                <w:szCs w:val="20"/>
              </w:rPr>
              <w:t>6.35</w:t>
            </w:r>
          </w:p>
        </w:tc>
        <w:tc>
          <w:tcPr>
            <w:tcW w:w="1029" w:type="dxa"/>
            <w:noWrap/>
            <w:vAlign w:val="center"/>
          </w:tcPr>
          <w:p w:rsidR="00F51680" w:rsidRDefault="00F51680">
            <w:pPr>
              <w:jc w:val="center"/>
              <w:rPr>
                <w:rFonts w:cs="Arial"/>
                <w:sz w:val="20"/>
                <w:szCs w:val="20"/>
              </w:rPr>
            </w:pPr>
            <w:r>
              <w:rPr>
                <w:rFonts w:cs="Arial"/>
                <w:sz w:val="20"/>
                <w:szCs w:val="20"/>
              </w:rPr>
              <w:t>6.25</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post quantity (TJ)</w:t>
            </w:r>
          </w:p>
        </w:tc>
        <w:tc>
          <w:tcPr>
            <w:tcW w:w="1028" w:type="dxa"/>
            <w:noWrap/>
            <w:vAlign w:val="center"/>
          </w:tcPr>
          <w:p w:rsidR="00F51680" w:rsidRDefault="00F51680">
            <w:pPr>
              <w:jc w:val="center"/>
              <w:rPr>
                <w:rFonts w:cs="Arial"/>
                <w:sz w:val="20"/>
                <w:szCs w:val="20"/>
              </w:rPr>
            </w:pPr>
            <w:r>
              <w:rPr>
                <w:rFonts w:cs="Arial"/>
                <w:sz w:val="20"/>
                <w:szCs w:val="20"/>
              </w:rPr>
              <w:t>78</w:t>
            </w:r>
          </w:p>
        </w:tc>
        <w:tc>
          <w:tcPr>
            <w:tcW w:w="1029" w:type="dxa"/>
            <w:noWrap/>
            <w:vAlign w:val="center"/>
          </w:tcPr>
          <w:p w:rsidR="00F51680" w:rsidRDefault="00F51680">
            <w:pPr>
              <w:jc w:val="center"/>
              <w:rPr>
                <w:rFonts w:cs="Arial"/>
                <w:sz w:val="20"/>
                <w:szCs w:val="20"/>
              </w:rPr>
            </w:pPr>
            <w:r>
              <w:rPr>
                <w:rFonts w:cs="Arial"/>
                <w:sz w:val="20"/>
                <w:szCs w:val="20"/>
              </w:rPr>
              <w:t>77</w:t>
            </w:r>
          </w:p>
        </w:tc>
        <w:tc>
          <w:tcPr>
            <w:tcW w:w="1028" w:type="dxa"/>
            <w:noWrap/>
            <w:vAlign w:val="center"/>
          </w:tcPr>
          <w:p w:rsidR="00F51680" w:rsidRDefault="00F51680">
            <w:pPr>
              <w:jc w:val="center"/>
              <w:rPr>
                <w:rFonts w:cs="Arial"/>
                <w:sz w:val="20"/>
                <w:szCs w:val="20"/>
              </w:rPr>
            </w:pPr>
            <w:r>
              <w:rPr>
                <w:rFonts w:cs="Arial"/>
                <w:sz w:val="20"/>
                <w:szCs w:val="20"/>
              </w:rPr>
              <w:t>76</w:t>
            </w:r>
          </w:p>
        </w:tc>
        <w:tc>
          <w:tcPr>
            <w:tcW w:w="1029" w:type="dxa"/>
            <w:noWrap/>
            <w:vAlign w:val="center"/>
          </w:tcPr>
          <w:p w:rsidR="00F51680" w:rsidRDefault="00F51680">
            <w:pPr>
              <w:jc w:val="center"/>
              <w:rPr>
                <w:rFonts w:cs="Arial"/>
                <w:sz w:val="20"/>
                <w:szCs w:val="20"/>
              </w:rPr>
            </w:pPr>
            <w:r>
              <w:rPr>
                <w:rFonts w:cs="Arial"/>
                <w:sz w:val="20"/>
                <w:szCs w:val="20"/>
              </w:rPr>
              <w:t>94</w:t>
            </w:r>
          </w:p>
        </w:tc>
        <w:tc>
          <w:tcPr>
            <w:tcW w:w="1028" w:type="dxa"/>
            <w:noWrap/>
            <w:vAlign w:val="center"/>
          </w:tcPr>
          <w:p w:rsidR="00F51680" w:rsidRDefault="00F51680">
            <w:pPr>
              <w:jc w:val="center"/>
              <w:rPr>
                <w:rFonts w:cs="Arial"/>
                <w:sz w:val="20"/>
                <w:szCs w:val="20"/>
              </w:rPr>
            </w:pPr>
            <w:r>
              <w:rPr>
                <w:rFonts w:cs="Arial"/>
                <w:sz w:val="20"/>
                <w:szCs w:val="20"/>
              </w:rPr>
              <w:t>91</w:t>
            </w:r>
          </w:p>
        </w:tc>
        <w:tc>
          <w:tcPr>
            <w:tcW w:w="1029" w:type="dxa"/>
            <w:noWrap/>
            <w:vAlign w:val="center"/>
          </w:tcPr>
          <w:p w:rsidR="00F51680" w:rsidRDefault="00F51680">
            <w:pPr>
              <w:jc w:val="center"/>
              <w:rPr>
                <w:rFonts w:cs="Arial"/>
                <w:sz w:val="20"/>
                <w:szCs w:val="20"/>
              </w:rPr>
            </w:pPr>
            <w:r>
              <w:rPr>
                <w:rFonts w:cs="Arial"/>
                <w:sz w:val="20"/>
                <w:szCs w:val="20"/>
              </w:rPr>
              <w:t>91</w:t>
            </w:r>
          </w:p>
        </w:tc>
        <w:tc>
          <w:tcPr>
            <w:tcW w:w="1029" w:type="dxa"/>
            <w:noWrap/>
            <w:vAlign w:val="center"/>
          </w:tcPr>
          <w:p w:rsidR="00F51680" w:rsidRDefault="00F51680">
            <w:pPr>
              <w:jc w:val="center"/>
              <w:rPr>
                <w:rFonts w:cs="Arial"/>
                <w:sz w:val="20"/>
                <w:szCs w:val="20"/>
              </w:rPr>
            </w:pPr>
            <w:r>
              <w:rPr>
                <w:rFonts w:cs="Arial"/>
                <w:sz w:val="20"/>
                <w:szCs w:val="20"/>
              </w:rPr>
              <w:t>69</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E053AE" w:rsidP="00362B9A">
      <w:r>
        <w:pict>
          <v:shape id="_x0000_i1035" type="#_x0000_t75" style="width:475.5pt;height:171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E053AE" w:rsidP="00362B9A">
      <w:r>
        <w:pict>
          <v:shape id="_x0000_i1036" type="#_x0000_t75" style="width:477.75pt;height:117pt">
            <v:imagedata r:id="rId23" o:title=""/>
          </v:shape>
        </w:pict>
      </w:r>
    </w:p>
    <w:p w:rsidR="00BC18FB" w:rsidRPr="00DD0358" w:rsidRDefault="004560B0" w:rsidP="003625A6">
      <w:pPr>
        <w:pStyle w:val="Heading4"/>
        <w:ind w:hanging="338"/>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E053AE" w:rsidP="00362B9A">
      <w:r>
        <w:pict>
          <v:shape id="_x0000_i1037" type="#_x0000_t75" style="width:476.25pt;height:147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ante price ($/GJ)</w:t>
            </w:r>
          </w:p>
        </w:tc>
        <w:tc>
          <w:tcPr>
            <w:tcW w:w="1028" w:type="dxa"/>
            <w:noWrap/>
            <w:vAlign w:val="center"/>
          </w:tcPr>
          <w:p w:rsidR="00F51680" w:rsidRDefault="00F51680">
            <w:pPr>
              <w:jc w:val="center"/>
              <w:rPr>
                <w:rFonts w:cs="Arial"/>
                <w:sz w:val="20"/>
                <w:szCs w:val="20"/>
              </w:rPr>
            </w:pPr>
            <w:r>
              <w:rPr>
                <w:rFonts w:cs="Arial"/>
                <w:sz w:val="20"/>
                <w:szCs w:val="20"/>
              </w:rPr>
              <w:t>1.78</w:t>
            </w:r>
          </w:p>
        </w:tc>
        <w:tc>
          <w:tcPr>
            <w:tcW w:w="1029" w:type="dxa"/>
            <w:noWrap/>
            <w:vAlign w:val="center"/>
          </w:tcPr>
          <w:p w:rsidR="00F51680" w:rsidRDefault="00F51680">
            <w:pPr>
              <w:jc w:val="center"/>
              <w:rPr>
                <w:rFonts w:cs="Arial"/>
                <w:sz w:val="20"/>
                <w:szCs w:val="20"/>
              </w:rPr>
            </w:pPr>
            <w:r>
              <w:rPr>
                <w:rFonts w:cs="Arial"/>
                <w:sz w:val="20"/>
                <w:szCs w:val="20"/>
              </w:rPr>
              <w:t>1.91</w:t>
            </w:r>
          </w:p>
        </w:tc>
        <w:tc>
          <w:tcPr>
            <w:tcW w:w="1028" w:type="dxa"/>
            <w:noWrap/>
            <w:vAlign w:val="center"/>
          </w:tcPr>
          <w:p w:rsidR="00F51680" w:rsidRDefault="00F51680">
            <w:pPr>
              <w:jc w:val="center"/>
              <w:rPr>
                <w:rFonts w:cs="Arial"/>
                <w:sz w:val="20"/>
                <w:szCs w:val="20"/>
              </w:rPr>
            </w:pPr>
            <w:r>
              <w:rPr>
                <w:rFonts w:cs="Arial"/>
                <w:sz w:val="20"/>
                <w:szCs w:val="20"/>
              </w:rPr>
              <w:t>1.80</w:t>
            </w:r>
          </w:p>
        </w:tc>
        <w:tc>
          <w:tcPr>
            <w:tcW w:w="1029" w:type="dxa"/>
            <w:noWrap/>
            <w:vAlign w:val="center"/>
          </w:tcPr>
          <w:p w:rsidR="00F51680" w:rsidRDefault="00F51680">
            <w:pPr>
              <w:jc w:val="center"/>
              <w:rPr>
                <w:rFonts w:cs="Arial"/>
                <w:sz w:val="20"/>
                <w:szCs w:val="20"/>
              </w:rPr>
            </w:pPr>
            <w:r>
              <w:rPr>
                <w:rFonts w:cs="Arial"/>
                <w:sz w:val="20"/>
                <w:szCs w:val="20"/>
              </w:rPr>
              <w:t>3.66</w:t>
            </w:r>
          </w:p>
        </w:tc>
        <w:tc>
          <w:tcPr>
            <w:tcW w:w="1028" w:type="dxa"/>
            <w:noWrap/>
            <w:vAlign w:val="center"/>
          </w:tcPr>
          <w:p w:rsidR="00F51680" w:rsidRDefault="00F51680">
            <w:pPr>
              <w:jc w:val="center"/>
              <w:rPr>
                <w:rFonts w:cs="Arial"/>
                <w:sz w:val="20"/>
                <w:szCs w:val="20"/>
              </w:rPr>
            </w:pPr>
            <w:r>
              <w:rPr>
                <w:rFonts w:cs="Arial"/>
                <w:sz w:val="20"/>
                <w:szCs w:val="20"/>
              </w:rPr>
              <w:t>4.00</w:t>
            </w:r>
          </w:p>
        </w:tc>
        <w:tc>
          <w:tcPr>
            <w:tcW w:w="1029" w:type="dxa"/>
            <w:noWrap/>
            <w:vAlign w:val="center"/>
          </w:tcPr>
          <w:p w:rsidR="00F51680" w:rsidRDefault="00F51680">
            <w:pPr>
              <w:jc w:val="center"/>
              <w:rPr>
                <w:rFonts w:cs="Arial"/>
                <w:sz w:val="20"/>
                <w:szCs w:val="20"/>
              </w:rPr>
            </w:pPr>
            <w:r>
              <w:rPr>
                <w:rFonts w:cs="Arial"/>
                <w:sz w:val="20"/>
                <w:szCs w:val="20"/>
              </w:rPr>
              <w:t>3.64</w:t>
            </w:r>
          </w:p>
        </w:tc>
        <w:tc>
          <w:tcPr>
            <w:tcW w:w="1029" w:type="dxa"/>
            <w:noWrap/>
            <w:vAlign w:val="center"/>
          </w:tcPr>
          <w:p w:rsidR="00F51680" w:rsidRDefault="00F51680">
            <w:pPr>
              <w:jc w:val="center"/>
              <w:rPr>
                <w:rFonts w:cs="Arial"/>
                <w:sz w:val="20"/>
                <w:szCs w:val="20"/>
              </w:rPr>
            </w:pPr>
            <w:r>
              <w:rPr>
                <w:rFonts w:cs="Arial"/>
                <w:sz w:val="20"/>
                <w:szCs w:val="20"/>
              </w:rPr>
              <w:t>2.10</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ante quantity (TJ)</w:t>
            </w:r>
          </w:p>
        </w:tc>
        <w:tc>
          <w:tcPr>
            <w:tcW w:w="1028" w:type="dxa"/>
            <w:noWrap/>
            <w:vAlign w:val="center"/>
          </w:tcPr>
          <w:p w:rsidR="00F51680" w:rsidRDefault="00F51680">
            <w:pPr>
              <w:jc w:val="center"/>
              <w:rPr>
                <w:rFonts w:cs="Arial"/>
                <w:sz w:val="20"/>
                <w:szCs w:val="20"/>
              </w:rPr>
            </w:pPr>
            <w:r>
              <w:rPr>
                <w:rFonts w:cs="Arial"/>
                <w:sz w:val="20"/>
                <w:szCs w:val="20"/>
              </w:rPr>
              <w:t>87</w:t>
            </w:r>
          </w:p>
        </w:tc>
        <w:tc>
          <w:tcPr>
            <w:tcW w:w="1029" w:type="dxa"/>
            <w:noWrap/>
            <w:vAlign w:val="center"/>
          </w:tcPr>
          <w:p w:rsidR="00F51680" w:rsidRDefault="00F51680">
            <w:pPr>
              <w:jc w:val="center"/>
              <w:rPr>
                <w:rFonts w:cs="Arial"/>
                <w:sz w:val="20"/>
                <w:szCs w:val="20"/>
              </w:rPr>
            </w:pPr>
            <w:r>
              <w:rPr>
                <w:rFonts w:cs="Arial"/>
                <w:sz w:val="20"/>
                <w:szCs w:val="20"/>
              </w:rPr>
              <w:t>100</w:t>
            </w:r>
          </w:p>
        </w:tc>
        <w:tc>
          <w:tcPr>
            <w:tcW w:w="1028" w:type="dxa"/>
            <w:noWrap/>
            <w:vAlign w:val="center"/>
          </w:tcPr>
          <w:p w:rsidR="00F51680" w:rsidRDefault="00F51680">
            <w:pPr>
              <w:jc w:val="center"/>
              <w:rPr>
                <w:rFonts w:cs="Arial"/>
                <w:sz w:val="20"/>
                <w:szCs w:val="20"/>
              </w:rPr>
            </w:pPr>
            <w:r>
              <w:rPr>
                <w:rFonts w:cs="Arial"/>
                <w:sz w:val="20"/>
                <w:szCs w:val="20"/>
              </w:rPr>
              <w:t>103</w:t>
            </w:r>
          </w:p>
        </w:tc>
        <w:tc>
          <w:tcPr>
            <w:tcW w:w="1029" w:type="dxa"/>
            <w:noWrap/>
            <w:vAlign w:val="center"/>
          </w:tcPr>
          <w:p w:rsidR="00F51680" w:rsidRDefault="00F51680">
            <w:pPr>
              <w:jc w:val="center"/>
              <w:rPr>
                <w:rFonts w:cs="Arial"/>
                <w:sz w:val="20"/>
                <w:szCs w:val="20"/>
              </w:rPr>
            </w:pPr>
            <w:r>
              <w:rPr>
                <w:rFonts w:cs="Arial"/>
                <w:sz w:val="20"/>
                <w:szCs w:val="20"/>
              </w:rPr>
              <w:t>96</w:t>
            </w:r>
          </w:p>
        </w:tc>
        <w:tc>
          <w:tcPr>
            <w:tcW w:w="1028" w:type="dxa"/>
            <w:noWrap/>
            <w:vAlign w:val="center"/>
          </w:tcPr>
          <w:p w:rsidR="00F51680" w:rsidRDefault="00F51680">
            <w:pPr>
              <w:jc w:val="center"/>
              <w:rPr>
                <w:rFonts w:cs="Arial"/>
                <w:sz w:val="20"/>
                <w:szCs w:val="20"/>
              </w:rPr>
            </w:pPr>
            <w:r>
              <w:rPr>
                <w:rFonts w:cs="Arial"/>
                <w:sz w:val="20"/>
                <w:szCs w:val="20"/>
              </w:rPr>
              <w:t>99</w:t>
            </w:r>
          </w:p>
        </w:tc>
        <w:tc>
          <w:tcPr>
            <w:tcW w:w="1029" w:type="dxa"/>
            <w:noWrap/>
            <w:vAlign w:val="center"/>
          </w:tcPr>
          <w:p w:rsidR="00F51680" w:rsidRDefault="00F51680">
            <w:pPr>
              <w:jc w:val="center"/>
              <w:rPr>
                <w:rFonts w:cs="Arial"/>
                <w:sz w:val="20"/>
                <w:szCs w:val="20"/>
              </w:rPr>
            </w:pPr>
            <w:r>
              <w:rPr>
                <w:rFonts w:cs="Arial"/>
                <w:sz w:val="20"/>
                <w:szCs w:val="20"/>
              </w:rPr>
              <w:t>93</w:t>
            </w:r>
          </w:p>
        </w:tc>
        <w:tc>
          <w:tcPr>
            <w:tcW w:w="1029" w:type="dxa"/>
            <w:noWrap/>
            <w:vAlign w:val="center"/>
          </w:tcPr>
          <w:p w:rsidR="00F51680" w:rsidRDefault="00F51680">
            <w:pPr>
              <w:jc w:val="center"/>
              <w:rPr>
                <w:rFonts w:cs="Arial"/>
                <w:sz w:val="20"/>
                <w:szCs w:val="20"/>
              </w:rPr>
            </w:pPr>
            <w:r>
              <w:rPr>
                <w:rFonts w:cs="Arial"/>
                <w:sz w:val="20"/>
                <w:szCs w:val="20"/>
              </w:rPr>
              <w:t>81</w:t>
            </w:r>
          </w:p>
        </w:tc>
      </w:tr>
      <w:tr w:rsidR="00F51680" w:rsidRPr="00442756" w:rsidTr="00B71928">
        <w:trPr>
          <w:trHeight w:val="255"/>
        </w:trPr>
        <w:tc>
          <w:tcPr>
            <w:tcW w:w="2160" w:type="dxa"/>
            <w:noWrap/>
            <w:vAlign w:val="center"/>
          </w:tcPr>
          <w:p w:rsidR="00F51680" w:rsidRDefault="00F51680">
            <w:pPr>
              <w:rPr>
                <w:rFonts w:cs="Arial"/>
                <w:sz w:val="20"/>
                <w:szCs w:val="20"/>
              </w:rPr>
            </w:pPr>
            <w:r>
              <w:rPr>
                <w:rFonts w:cs="Arial"/>
                <w:sz w:val="20"/>
                <w:szCs w:val="20"/>
              </w:rPr>
              <w:t>Ex post price ($/GJ)</w:t>
            </w:r>
          </w:p>
        </w:tc>
        <w:tc>
          <w:tcPr>
            <w:tcW w:w="1028" w:type="dxa"/>
            <w:noWrap/>
            <w:vAlign w:val="center"/>
          </w:tcPr>
          <w:p w:rsidR="00F51680" w:rsidRDefault="00F51680">
            <w:pPr>
              <w:jc w:val="center"/>
              <w:rPr>
                <w:rFonts w:cs="Arial"/>
                <w:sz w:val="20"/>
                <w:szCs w:val="20"/>
              </w:rPr>
            </w:pPr>
            <w:r>
              <w:rPr>
                <w:rFonts w:cs="Arial"/>
                <w:sz w:val="20"/>
                <w:szCs w:val="20"/>
              </w:rPr>
              <w:t>1.78</w:t>
            </w:r>
          </w:p>
        </w:tc>
        <w:tc>
          <w:tcPr>
            <w:tcW w:w="1029" w:type="dxa"/>
            <w:noWrap/>
            <w:vAlign w:val="center"/>
          </w:tcPr>
          <w:p w:rsidR="00F51680" w:rsidRDefault="00F51680">
            <w:pPr>
              <w:jc w:val="center"/>
              <w:rPr>
                <w:rFonts w:cs="Arial"/>
                <w:sz w:val="20"/>
                <w:szCs w:val="20"/>
              </w:rPr>
            </w:pPr>
            <w:r>
              <w:rPr>
                <w:rFonts w:cs="Arial"/>
                <w:sz w:val="20"/>
                <w:szCs w:val="20"/>
              </w:rPr>
              <w:t>1.80</w:t>
            </w:r>
          </w:p>
        </w:tc>
        <w:tc>
          <w:tcPr>
            <w:tcW w:w="1028" w:type="dxa"/>
            <w:noWrap/>
            <w:vAlign w:val="center"/>
          </w:tcPr>
          <w:p w:rsidR="00F51680" w:rsidRDefault="00F51680">
            <w:pPr>
              <w:jc w:val="center"/>
              <w:rPr>
                <w:rFonts w:cs="Arial"/>
                <w:sz w:val="20"/>
                <w:szCs w:val="20"/>
              </w:rPr>
            </w:pPr>
            <w:r>
              <w:rPr>
                <w:rFonts w:cs="Arial"/>
                <w:sz w:val="20"/>
                <w:szCs w:val="20"/>
              </w:rPr>
              <w:t>1.79</w:t>
            </w:r>
          </w:p>
        </w:tc>
        <w:tc>
          <w:tcPr>
            <w:tcW w:w="1029" w:type="dxa"/>
            <w:noWrap/>
            <w:vAlign w:val="center"/>
          </w:tcPr>
          <w:p w:rsidR="00F51680" w:rsidRDefault="00F51680">
            <w:pPr>
              <w:jc w:val="center"/>
              <w:rPr>
                <w:rFonts w:cs="Arial"/>
                <w:sz w:val="20"/>
                <w:szCs w:val="20"/>
              </w:rPr>
            </w:pPr>
            <w:r>
              <w:rPr>
                <w:rFonts w:cs="Arial"/>
                <w:sz w:val="20"/>
                <w:szCs w:val="20"/>
              </w:rPr>
              <w:t>4.45</w:t>
            </w:r>
          </w:p>
        </w:tc>
        <w:tc>
          <w:tcPr>
            <w:tcW w:w="1028" w:type="dxa"/>
            <w:noWrap/>
            <w:vAlign w:val="center"/>
          </w:tcPr>
          <w:p w:rsidR="00F51680" w:rsidRDefault="00F51680">
            <w:pPr>
              <w:jc w:val="center"/>
              <w:rPr>
                <w:rFonts w:cs="Arial"/>
                <w:sz w:val="20"/>
                <w:szCs w:val="20"/>
              </w:rPr>
            </w:pPr>
            <w:r>
              <w:rPr>
                <w:rFonts w:cs="Arial"/>
                <w:sz w:val="20"/>
                <w:szCs w:val="20"/>
              </w:rPr>
              <w:t>4.00</w:t>
            </w:r>
          </w:p>
        </w:tc>
        <w:tc>
          <w:tcPr>
            <w:tcW w:w="1029" w:type="dxa"/>
            <w:noWrap/>
            <w:vAlign w:val="center"/>
          </w:tcPr>
          <w:p w:rsidR="00F51680" w:rsidRDefault="00F51680">
            <w:pPr>
              <w:jc w:val="center"/>
              <w:rPr>
                <w:rFonts w:cs="Arial"/>
                <w:sz w:val="20"/>
                <w:szCs w:val="20"/>
              </w:rPr>
            </w:pPr>
            <w:r>
              <w:rPr>
                <w:rFonts w:cs="Arial"/>
                <w:sz w:val="20"/>
                <w:szCs w:val="20"/>
              </w:rPr>
              <w:t>3.64</w:t>
            </w:r>
          </w:p>
        </w:tc>
        <w:tc>
          <w:tcPr>
            <w:tcW w:w="1029" w:type="dxa"/>
            <w:noWrap/>
            <w:vAlign w:val="center"/>
          </w:tcPr>
          <w:p w:rsidR="00F51680" w:rsidRDefault="00F51680">
            <w:pPr>
              <w:jc w:val="center"/>
              <w:rPr>
                <w:rFonts w:cs="Arial"/>
                <w:sz w:val="20"/>
                <w:szCs w:val="20"/>
              </w:rPr>
            </w:pPr>
            <w:r>
              <w:rPr>
                <w:rFonts w:cs="Arial"/>
                <w:sz w:val="20"/>
                <w:szCs w:val="20"/>
              </w:rPr>
              <w:t>2.10</w:t>
            </w:r>
          </w:p>
        </w:tc>
      </w:tr>
      <w:tr w:rsidR="00F51680"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F51680" w:rsidRDefault="00F51680">
            <w:pPr>
              <w:rPr>
                <w:rFonts w:cs="Arial"/>
                <w:sz w:val="20"/>
                <w:szCs w:val="20"/>
              </w:rPr>
            </w:pPr>
            <w:r>
              <w:rPr>
                <w:rFonts w:cs="Arial"/>
                <w:sz w:val="20"/>
                <w:szCs w:val="20"/>
              </w:rPr>
              <w:t>Ex post quantity (TJ)</w:t>
            </w:r>
          </w:p>
        </w:tc>
        <w:tc>
          <w:tcPr>
            <w:tcW w:w="1028" w:type="dxa"/>
            <w:noWrap/>
            <w:vAlign w:val="center"/>
          </w:tcPr>
          <w:p w:rsidR="00F51680" w:rsidRDefault="00F51680">
            <w:pPr>
              <w:jc w:val="center"/>
              <w:rPr>
                <w:rFonts w:cs="Arial"/>
                <w:sz w:val="20"/>
                <w:szCs w:val="20"/>
              </w:rPr>
            </w:pPr>
            <w:r>
              <w:rPr>
                <w:rFonts w:cs="Arial"/>
                <w:sz w:val="20"/>
                <w:szCs w:val="20"/>
              </w:rPr>
              <w:t>85</w:t>
            </w:r>
          </w:p>
        </w:tc>
        <w:tc>
          <w:tcPr>
            <w:tcW w:w="1029" w:type="dxa"/>
            <w:noWrap/>
            <w:vAlign w:val="center"/>
          </w:tcPr>
          <w:p w:rsidR="00F51680" w:rsidRDefault="00F51680">
            <w:pPr>
              <w:jc w:val="center"/>
              <w:rPr>
                <w:rFonts w:cs="Arial"/>
                <w:sz w:val="20"/>
                <w:szCs w:val="20"/>
              </w:rPr>
            </w:pPr>
            <w:r>
              <w:rPr>
                <w:rFonts w:cs="Arial"/>
                <w:sz w:val="20"/>
                <w:szCs w:val="20"/>
              </w:rPr>
              <w:t>95</w:t>
            </w:r>
          </w:p>
        </w:tc>
        <w:tc>
          <w:tcPr>
            <w:tcW w:w="1028" w:type="dxa"/>
            <w:noWrap/>
            <w:vAlign w:val="center"/>
          </w:tcPr>
          <w:p w:rsidR="00F51680" w:rsidRDefault="00F51680">
            <w:pPr>
              <w:jc w:val="center"/>
              <w:rPr>
                <w:rFonts w:cs="Arial"/>
                <w:sz w:val="20"/>
                <w:szCs w:val="20"/>
              </w:rPr>
            </w:pPr>
            <w:r>
              <w:rPr>
                <w:rFonts w:cs="Arial"/>
                <w:sz w:val="20"/>
                <w:szCs w:val="20"/>
              </w:rPr>
              <w:t>100</w:t>
            </w:r>
          </w:p>
        </w:tc>
        <w:tc>
          <w:tcPr>
            <w:tcW w:w="1029" w:type="dxa"/>
            <w:noWrap/>
            <w:vAlign w:val="center"/>
          </w:tcPr>
          <w:p w:rsidR="00F51680" w:rsidRDefault="00F51680">
            <w:pPr>
              <w:jc w:val="center"/>
              <w:rPr>
                <w:rFonts w:cs="Arial"/>
                <w:sz w:val="20"/>
                <w:szCs w:val="20"/>
              </w:rPr>
            </w:pPr>
            <w:r>
              <w:rPr>
                <w:rFonts w:cs="Arial"/>
                <w:sz w:val="20"/>
                <w:szCs w:val="20"/>
              </w:rPr>
              <w:t>99</w:t>
            </w:r>
          </w:p>
        </w:tc>
        <w:tc>
          <w:tcPr>
            <w:tcW w:w="1028" w:type="dxa"/>
            <w:noWrap/>
            <w:vAlign w:val="center"/>
          </w:tcPr>
          <w:p w:rsidR="00F51680" w:rsidRDefault="00F51680">
            <w:pPr>
              <w:jc w:val="center"/>
              <w:rPr>
                <w:rFonts w:cs="Arial"/>
                <w:sz w:val="20"/>
                <w:szCs w:val="20"/>
              </w:rPr>
            </w:pPr>
            <w:r>
              <w:rPr>
                <w:rFonts w:cs="Arial"/>
                <w:sz w:val="20"/>
                <w:szCs w:val="20"/>
              </w:rPr>
              <w:t>99</w:t>
            </w:r>
          </w:p>
        </w:tc>
        <w:tc>
          <w:tcPr>
            <w:tcW w:w="1029" w:type="dxa"/>
            <w:noWrap/>
            <w:vAlign w:val="center"/>
          </w:tcPr>
          <w:p w:rsidR="00F51680" w:rsidRDefault="00F51680">
            <w:pPr>
              <w:jc w:val="center"/>
              <w:rPr>
                <w:rFonts w:cs="Arial"/>
                <w:sz w:val="20"/>
                <w:szCs w:val="20"/>
              </w:rPr>
            </w:pPr>
            <w:r>
              <w:rPr>
                <w:rFonts w:cs="Arial"/>
                <w:sz w:val="20"/>
                <w:szCs w:val="20"/>
              </w:rPr>
              <w:t>94</w:t>
            </w:r>
          </w:p>
        </w:tc>
        <w:tc>
          <w:tcPr>
            <w:tcW w:w="1029" w:type="dxa"/>
            <w:noWrap/>
            <w:vAlign w:val="center"/>
          </w:tcPr>
          <w:p w:rsidR="00F51680" w:rsidRDefault="00F51680">
            <w:pPr>
              <w:jc w:val="center"/>
              <w:rPr>
                <w:rFonts w:cs="Arial"/>
                <w:sz w:val="20"/>
                <w:szCs w:val="20"/>
              </w:rPr>
            </w:pPr>
            <w:r>
              <w:rPr>
                <w:rFonts w:cs="Arial"/>
                <w:sz w:val="20"/>
                <w:szCs w:val="20"/>
              </w:rPr>
              <w:t>81</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E053AE" w:rsidP="00362B9A">
      <w:r>
        <w:pict>
          <v:shape id="_x0000_i1038" type="#_x0000_t75" style="width:465.75pt;height:167.25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E053AE" w:rsidP="00362B9A">
      <w:r>
        <w:pict>
          <v:shape id="_x0000_i1039" type="#_x0000_t75" style="width:477.75pt;height:113.25pt">
            <v:imagedata r:id="rId26" o:title=""/>
          </v:shape>
        </w:pict>
      </w:r>
    </w:p>
    <w:p w:rsidR="00BC18FB" w:rsidRPr="00DD0358" w:rsidRDefault="004560B0" w:rsidP="004560B0">
      <w:pPr>
        <w:pStyle w:val="Heading4"/>
        <w:ind w:hanging="338"/>
        <w:rPr>
          <w:color w:val="2272A3"/>
          <w:sz w:val="24"/>
          <w:szCs w:val="24"/>
        </w:rPr>
      </w:pPr>
      <w:r w:rsidRPr="00DD0358">
        <w:rPr>
          <w:color w:val="2272A3"/>
          <w:sz w:val="24"/>
          <w:szCs w:val="24"/>
        </w:rPr>
        <w:t>BRI MOS allocations (TJ), service payments and commodity payments/charges ($000)</w:t>
      </w:r>
    </w:p>
    <w:p w:rsidR="004560B0" w:rsidRPr="00362B9A" w:rsidRDefault="00E053AE" w:rsidP="00362B9A">
      <w:r>
        <w:pict>
          <v:shape id="_x0000_i1040" type="#_x0000_t75" style="width:461.25pt;height:153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9"/>
      </w:r>
      <w:r>
        <w:t xml:space="preserve"> for each gas market.</w:t>
      </w:r>
    </w:p>
    <w:p w:rsidR="00BC18FB" w:rsidRPr="00DD0358" w:rsidRDefault="004560B0" w:rsidP="00FF0D8A">
      <w:pPr>
        <w:pStyle w:val="Heading4"/>
        <w:ind w:hanging="338"/>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E053AE" w:rsidP="00362B9A">
      <w:r>
        <w:pict>
          <v:shape id="_x0000_i1047" type="#_x0000_t75" style="width:413.25pt;height:534.7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Pr="006A3F43"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10"/>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w:t>
      </w:r>
      <w:r w:rsidRPr="006A3F43">
        <w:t>y, day-ahead, balance-of-day and weekly).</w:t>
      </w:r>
    </w:p>
    <w:p w:rsidR="006A3F43" w:rsidRPr="006A3F43" w:rsidRDefault="006A3F43" w:rsidP="00F51680">
      <w:pPr>
        <w:jc w:val="both"/>
        <w:rPr>
          <w:rFonts w:cs="Arial"/>
          <w:szCs w:val="22"/>
        </w:rPr>
      </w:pPr>
      <w:r w:rsidRPr="006A3F43">
        <w:rPr>
          <w:rFonts w:eastAsia="MS Mincho"/>
        </w:rPr>
        <w:t>At Wallumbilla this week there were 15 trades for 117 TJ of gas at a volume weighted price of $3.66/GJ. This consisted of 1 balance of day, 4 daily and 2 day-ahead trades on the RBP at a volume weighted price of $3.35/GJ, as well as 6 daily and 2 day-ahead trades on the SWQP at a volume weighted price of $3.84/GJ.</w:t>
      </w:r>
      <w:r w:rsidRPr="006A3F43">
        <w:rPr>
          <w:rFonts w:cs="Arial"/>
          <w:szCs w:val="22"/>
        </w:rPr>
        <w:t xml:space="preserve"> </w:t>
      </w:r>
      <w:bookmarkStart w:id="2" w:name="_GoBack"/>
      <w:bookmarkEnd w:id="2"/>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1"/>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E053AE" w:rsidP="00E37A86">
      <w:r>
        <w:rPr>
          <w:rFonts w:eastAsia="MS Mincho"/>
        </w:rPr>
        <w:pict>
          <v:shape id="_x0000_i1042" type="#_x0000_t75" style="width:475.5pt;height:201.7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2C6868">
      <w:rPr>
        <w:noProof/>
      </w:rPr>
      <w:t>11</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2C6868">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175516">
      <w:rPr>
        <w:rFonts w:cs="Arial"/>
        <w:i/>
      </w:rPr>
      <w:t>138304</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B436D2" w:rsidRDefault="00B436D2" w:rsidP="000A5751">
      <w:pPr>
        <w:pStyle w:val="FootnoteText"/>
        <w:jc w:val="both"/>
      </w:pPr>
      <w:r w:rsidRPr="00B436D2">
        <w:rPr>
          <w:rStyle w:val="FootnoteReference"/>
          <w:rFonts w:ascii="Calibri" w:hAnsi="Calibri"/>
        </w:rPr>
        <w:footnoteRef/>
      </w:r>
      <w:r w:rsidRPr="00B436D2">
        <w:rPr>
          <w:rFonts w:ascii="Calibri" w:hAnsi="Calibri"/>
        </w:rPr>
        <w:t xml:space="preserve"> </w:t>
      </w:r>
      <w:r w:rsidRPr="00B436D2">
        <w:rPr>
          <w:rFonts w:ascii="Calibri" w:hAnsi="Calibri"/>
        </w:rPr>
        <w:tab/>
      </w:r>
      <w:r w:rsidRPr="00B436D2">
        <w:rPr>
          <w:rFonts w:ascii="Calibri" w:hAnsi="Calibri"/>
          <w:sz w:val="18"/>
          <w:szCs w:val="18"/>
        </w:rPr>
        <w:t xml:space="preserve">The AMBER LCA flag for the </w:t>
      </w:r>
      <w:proofErr w:type="spellStart"/>
      <w:r w:rsidRPr="00B436D2">
        <w:rPr>
          <w:rFonts w:ascii="Calibri" w:hAnsi="Calibri"/>
          <w:sz w:val="18"/>
          <w:szCs w:val="18"/>
        </w:rPr>
        <w:t>SEAGas</w:t>
      </w:r>
      <w:proofErr w:type="spellEnd"/>
      <w:r w:rsidRPr="00B436D2">
        <w:rPr>
          <w:rFonts w:ascii="Calibri" w:hAnsi="Calibri"/>
          <w:sz w:val="18"/>
          <w:szCs w:val="18"/>
        </w:rPr>
        <w:t xml:space="preserve"> facility on the Bulletin Board indicated reduced capacity and the </w:t>
      </w:r>
      <w:r w:rsidRPr="00B436D2">
        <w:rPr>
          <w:rStyle w:val="a504"/>
          <w:rFonts w:ascii="Calibri" w:hAnsi="Calibri"/>
          <w:lang w:val="en-US"/>
        </w:rPr>
        <w:t xml:space="preserve">likelihood of voluntary/contractual load shedding, related to </w:t>
      </w:r>
      <w:proofErr w:type="gramStart"/>
      <w:r w:rsidRPr="00B436D2">
        <w:rPr>
          <w:rFonts w:ascii="Calibri" w:hAnsi="Calibri"/>
          <w:sz w:val="18"/>
          <w:szCs w:val="18"/>
        </w:rPr>
        <w:t>planned</w:t>
      </w:r>
      <w:proofErr w:type="gramEnd"/>
      <w:r w:rsidRPr="00B436D2">
        <w:rPr>
          <w:rFonts w:ascii="Calibri" w:hAnsi="Calibri"/>
          <w:sz w:val="18"/>
          <w:szCs w:val="18"/>
        </w:rPr>
        <w:t xml:space="preserve"> compressor valve maintenance</w:t>
      </w:r>
      <w:r w:rsidRPr="00B436D2">
        <w:rPr>
          <w:rStyle w:val="a504"/>
          <w:rFonts w:ascii="Calibri" w:hAnsi="Calibri"/>
          <w:lang w:val="en-US"/>
        </w:rPr>
        <w:t xml:space="preserve"> from 24 August to 3 September 2015.</w:t>
      </w:r>
    </w:p>
  </w:footnote>
  <w:footnote w:id="3">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4">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5">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6">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7">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9">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10">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430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30 August – 5 September 2015.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5092"/>
    <w:rsid w:val="000876E7"/>
    <w:rsid w:val="00093854"/>
    <w:rsid w:val="000974A2"/>
    <w:rsid w:val="00097D40"/>
    <w:rsid w:val="000A5751"/>
    <w:rsid w:val="000B4A1F"/>
    <w:rsid w:val="000B6397"/>
    <w:rsid w:val="000B69E0"/>
    <w:rsid w:val="000B7FAF"/>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AFD"/>
    <w:rsid w:val="001608BE"/>
    <w:rsid w:val="00171BD5"/>
    <w:rsid w:val="00175516"/>
    <w:rsid w:val="00181F4A"/>
    <w:rsid w:val="001831BF"/>
    <w:rsid w:val="00183D85"/>
    <w:rsid w:val="00193ECC"/>
    <w:rsid w:val="00195E49"/>
    <w:rsid w:val="001A41B4"/>
    <w:rsid w:val="001A5893"/>
    <w:rsid w:val="001A5B94"/>
    <w:rsid w:val="001A5C1A"/>
    <w:rsid w:val="001A765F"/>
    <w:rsid w:val="001B294E"/>
    <w:rsid w:val="001B2ADA"/>
    <w:rsid w:val="001C006C"/>
    <w:rsid w:val="001C5A74"/>
    <w:rsid w:val="001E79FF"/>
    <w:rsid w:val="001F0CD4"/>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C6868"/>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A1649"/>
    <w:rsid w:val="004B068E"/>
    <w:rsid w:val="004B18D8"/>
    <w:rsid w:val="004B2256"/>
    <w:rsid w:val="004B2A1A"/>
    <w:rsid w:val="004B6D60"/>
    <w:rsid w:val="004D09C9"/>
    <w:rsid w:val="004D1EBF"/>
    <w:rsid w:val="004D3B99"/>
    <w:rsid w:val="004D3E78"/>
    <w:rsid w:val="004F3D13"/>
    <w:rsid w:val="004F7611"/>
    <w:rsid w:val="00502181"/>
    <w:rsid w:val="00505139"/>
    <w:rsid w:val="00514A82"/>
    <w:rsid w:val="005157B0"/>
    <w:rsid w:val="005178FC"/>
    <w:rsid w:val="00522E00"/>
    <w:rsid w:val="005244DA"/>
    <w:rsid w:val="0053609E"/>
    <w:rsid w:val="00541108"/>
    <w:rsid w:val="00547827"/>
    <w:rsid w:val="00552073"/>
    <w:rsid w:val="00557332"/>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86F6E"/>
    <w:rsid w:val="00697E41"/>
    <w:rsid w:val="006A3F43"/>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7E6F29"/>
    <w:rsid w:val="0080456D"/>
    <w:rsid w:val="00811D1C"/>
    <w:rsid w:val="008133CF"/>
    <w:rsid w:val="008170C0"/>
    <w:rsid w:val="008344A6"/>
    <w:rsid w:val="00875D0C"/>
    <w:rsid w:val="008776EF"/>
    <w:rsid w:val="00882958"/>
    <w:rsid w:val="00890603"/>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3574C"/>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6259"/>
    <w:rsid w:val="009B77E9"/>
    <w:rsid w:val="009B7937"/>
    <w:rsid w:val="009C268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86DC4"/>
    <w:rsid w:val="00A91C53"/>
    <w:rsid w:val="00A936AE"/>
    <w:rsid w:val="00AA1D87"/>
    <w:rsid w:val="00AD3EBD"/>
    <w:rsid w:val="00AE03A4"/>
    <w:rsid w:val="00AE309F"/>
    <w:rsid w:val="00AE4633"/>
    <w:rsid w:val="00AE748C"/>
    <w:rsid w:val="00AF2164"/>
    <w:rsid w:val="00AF2281"/>
    <w:rsid w:val="00B00058"/>
    <w:rsid w:val="00B1081E"/>
    <w:rsid w:val="00B142AE"/>
    <w:rsid w:val="00B16118"/>
    <w:rsid w:val="00B17A8A"/>
    <w:rsid w:val="00B24A61"/>
    <w:rsid w:val="00B254F8"/>
    <w:rsid w:val="00B30EB3"/>
    <w:rsid w:val="00B3322A"/>
    <w:rsid w:val="00B33F8C"/>
    <w:rsid w:val="00B4302A"/>
    <w:rsid w:val="00B436D2"/>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E01475"/>
    <w:rsid w:val="00E032F3"/>
    <w:rsid w:val="00E053AE"/>
    <w:rsid w:val="00E16C03"/>
    <w:rsid w:val="00E2040E"/>
    <w:rsid w:val="00E2256B"/>
    <w:rsid w:val="00E27FEA"/>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5097"/>
    <w:rsid w:val="00EA6E29"/>
    <w:rsid w:val="00ED4099"/>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5024F"/>
    <w:rsid w:val="00F50297"/>
    <w:rsid w:val="00F51680"/>
    <w:rsid w:val="00F51FA1"/>
    <w:rsid w:val="00F5594F"/>
    <w:rsid w:val="00F55D61"/>
    <w:rsid w:val="00F63042"/>
    <w:rsid w:val="00F645EC"/>
    <w:rsid w:val="00F67024"/>
    <w:rsid w:val="00F67559"/>
    <w:rsid w:val="00F71200"/>
    <w:rsid w:val="00F73DCA"/>
    <w:rsid w:val="00F76C75"/>
    <w:rsid w:val="00F77722"/>
    <w:rsid w:val="00F77814"/>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note text"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rsid w:val="005F18AD"/>
    <w:rPr>
      <w:vertAlign w:val="superscript"/>
    </w:rPr>
  </w:style>
  <w:style w:type="paragraph" w:styleId="FootnoteText">
    <w:name w:val="footnote text"/>
    <w:aliases w:val="Footnote Text Char1 Char,Footnote Text Char Char Char,Footnote Text Char2 Char Char Char,ALTS FOOTNOTE Char2 Char Char Char,Footnote Text Char1 Char1 Char Char Char,Footnote Text Char Char Char1 Char Char Char,Footnote Text2,Footnote Text1"/>
    <w:basedOn w:val="Normal"/>
    <w:link w:val="FootnoteTextChar"/>
    <w:qFormat/>
    <w:rsid w:val="005F18AD"/>
    <w:pPr>
      <w:ind w:left="340" w:hanging="340"/>
    </w:pPr>
    <w:rPr>
      <w:sz w:val="20"/>
      <w:szCs w:val="20"/>
      <w:lang w:eastAsia="en-US"/>
    </w:rPr>
  </w:style>
  <w:style w:type="character" w:customStyle="1" w:styleId="FootnoteTextChar">
    <w:name w:val="Footnote Text Char"/>
    <w:aliases w:val="Footnote Text Char1 Char Char,Footnote Text Char Char Char Char,Footnote Text Char2 Char Char Char Char,ALTS FOOTNOTE Char2 Char Char Char Char,Footnote Text Char1 Char1 Char Char Char Char,Footnote Text2 Char,Footnote Text1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character" w:customStyle="1" w:styleId="a504">
    <w:name w:val="a504"/>
    <w:rsid w:val="00B436D2"/>
    <w:rPr>
      <w:rFonts w:ascii="Arial" w:hAnsi="Arial" w:cs="Arial" w:hint="default"/>
      <w:b w:val="0"/>
      <w:bCs w:val="0"/>
      <w:i w:val="0"/>
      <w:iCs w:val="0"/>
      <w:strike w:val="0"/>
      <w:dstrike w:val="0"/>
      <w:color w:val="000000"/>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1700B4-C6BF-4781-84A7-CC0E6635A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743B8B91.dotm</Template>
  <TotalTime>0</TotalTime>
  <Pages>11</Pages>
  <Words>1824</Words>
  <Characters>8576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10380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2015-09-22T06:43:00Z</dcterms:created>
  <dcterms:modified xsi:type="dcterms:W3CDTF">2015-09-22T06:43:00Z</dcterms:modified>
</cp:coreProperties>
</file>