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191B73" w:rsidP="004420C4">
      <w:pPr>
        <w:pStyle w:val="Heading1"/>
        <w:numPr>
          <w:ilvl w:val="0"/>
          <w:numId w:val="0"/>
        </w:numPr>
        <w:spacing w:before="120" w:after="0"/>
        <w:ind w:left="142"/>
        <w:rPr>
          <w:color w:val="FFFFFF"/>
          <w:sz w:val="36"/>
        </w:rPr>
      </w:pPr>
      <w:bookmarkStart w:id="0" w:name="OLE_LINK66"/>
      <w:bookmarkStart w:id="1" w:name="OLE_LINK67"/>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9"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10"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FD29E2" w:rsidP="004420C4">
      <w:pPr>
        <w:pStyle w:val="Heading2"/>
        <w:numPr>
          <w:ilvl w:val="0"/>
          <w:numId w:val="0"/>
        </w:numPr>
        <w:rPr>
          <w:i w:val="0"/>
        </w:rPr>
      </w:pPr>
      <w:r>
        <w:rPr>
          <w:i w:val="0"/>
          <w:sz w:val="36"/>
          <w:szCs w:val="36"/>
        </w:rPr>
        <w:t>3 – 9 April 2016</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466F34" w:rsidRDefault="006F7626" w:rsidP="00345444">
      <w:pPr>
        <w:pStyle w:val="AERbodytext"/>
        <w:spacing w:line="240" w:lineRule="auto"/>
        <w:jc w:val="both"/>
      </w:pPr>
      <w:r w:rsidRPr="005E4E2B">
        <w:t>Average prices in Adelaide remained high from the previous week</w:t>
      </w:r>
      <w:r w:rsidR="006C33C0">
        <w:t>,</w:t>
      </w:r>
      <w:r w:rsidR="005E4E2B" w:rsidRPr="005E4E2B">
        <w:t xml:space="preserve"> </w:t>
      </w:r>
      <w:r w:rsidR="006C33C0">
        <w:t>in line with</w:t>
      </w:r>
      <w:r w:rsidR="006C33C0" w:rsidRPr="005E4E2B">
        <w:t xml:space="preserve"> </w:t>
      </w:r>
      <w:r w:rsidR="005E4E2B" w:rsidRPr="005E4E2B">
        <w:t>higher demand</w:t>
      </w:r>
      <w:r w:rsidR="006C33C0">
        <w:t>.</w:t>
      </w:r>
      <w:r w:rsidRPr="005E4E2B">
        <w:t xml:space="preserve"> </w:t>
      </w:r>
      <w:r w:rsidR="006C33C0">
        <w:t>P</w:t>
      </w:r>
      <w:r w:rsidRPr="005E4E2B">
        <w:t>rices in</w:t>
      </w:r>
      <w:r w:rsidR="006C33C0">
        <w:t xml:space="preserve"> the</w:t>
      </w:r>
      <w:r w:rsidRPr="005E4E2B">
        <w:t xml:space="preserve"> other markets increased.</w:t>
      </w:r>
      <w:r w:rsidR="005E4E2B" w:rsidRPr="005E4E2B">
        <w:t xml:space="preserve"> Figure 5.1</w:t>
      </w:r>
      <w:r w:rsidR="005E4E2B">
        <w:rPr>
          <w:color w:val="FF0000"/>
        </w:rPr>
        <w:t xml:space="preserve"> </w:t>
      </w:r>
      <w:r w:rsidR="005E4E2B" w:rsidRPr="003F64CA">
        <w:t>on page 10</w:t>
      </w:r>
      <w:r w:rsidR="005E4E2B" w:rsidRPr="005E4E2B">
        <w:t xml:space="preserve"> shows increase</w:t>
      </w:r>
      <w:r w:rsidR="006C33C0">
        <w:t>s in</w:t>
      </w:r>
      <w:r w:rsidR="005E4E2B" w:rsidRPr="005E4E2B">
        <w:t xml:space="preserve"> gas usage for</w:t>
      </w:r>
      <w:r w:rsidR="006C33C0">
        <w:t xml:space="preserve"> gas powered generation (</w:t>
      </w:r>
      <w:r w:rsidR="005E4E2B" w:rsidRPr="005E4E2B">
        <w:t>GPG</w:t>
      </w:r>
      <w:r w:rsidR="006C33C0">
        <w:t>)</w:t>
      </w:r>
      <w:r w:rsidR="005E4E2B" w:rsidRPr="005E4E2B">
        <w:t xml:space="preserve"> across all markets, </w:t>
      </w:r>
      <w:r w:rsidR="006C33C0">
        <w:t>which may have contributed to higher</w:t>
      </w:r>
      <w:r w:rsidR="005E4E2B" w:rsidRPr="005E4E2B">
        <w:t xml:space="preserve"> prices.</w:t>
      </w:r>
    </w:p>
    <w:p w:rsidR="005E4E2B" w:rsidRPr="005E4E2B" w:rsidRDefault="005E4E2B" w:rsidP="00345444">
      <w:pPr>
        <w:pStyle w:val="AERbodytext"/>
        <w:spacing w:line="240" w:lineRule="auto"/>
        <w:jc w:val="both"/>
      </w:pPr>
      <w:r>
        <w:t xml:space="preserve">In Victoria, </w:t>
      </w:r>
      <w:r w:rsidR="006C33C0">
        <w:t xml:space="preserve">the </w:t>
      </w:r>
      <w:r>
        <w:t>Iona</w:t>
      </w:r>
      <w:r w:rsidR="006C33C0">
        <w:t xml:space="preserve"> underground gas storage facility</w:t>
      </w:r>
      <w:r>
        <w:t xml:space="preserve"> came back online following a maintenance shutdown (from 2</w:t>
      </w:r>
      <w:r w:rsidR="006C33C0">
        <w:t>–</w:t>
      </w:r>
      <w:r>
        <w:t>6 April)</w:t>
      </w:r>
      <w:r w:rsidR="006C33C0">
        <w:t>. This resulted</w:t>
      </w:r>
      <w:r w:rsidR="007A50F6">
        <w:t xml:space="preserve"> in higher demand due to increased withdrawals</w:t>
      </w:r>
      <w:r w:rsidR="006C33C0">
        <w:t xml:space="preserve"> into the facility</w:t>
      </w:r>
      <w:r w:rsidR="007A50F6">
        <w:t>. Constrained injections and under forecasting also affected prices on 8 April.</w:t>
      </w:r>
    </w:p>
    <w:p w:rsidR="00AF2164" w:rsidRDefault="00FD29E2" w:rsidP="00345444">
      <w:pPr>
        <w:pStyle w:val="AERbodytext"/>
        <w:spacing w:line="240" w:lineRule="auto"/>
        <w:jc w:val="both"/>
      </w:pPr>
      <w:r w:rsidRPr="00466F34">
        <w:t>On 4 April, GoEnergy’s gas retailer authorisation was revoked by the AER and the participant was suspended from the STTM</w:t>
      </w:r>
      <w:r w:rsidR="00112727" w:rsidRPr="00466F34">
        <w:t xml:space="preserve"> Sydney and Brisbane hubs by AEMO.</w:t>
      </w:r>
      <w:r w:rsidR="00112727" w:rsidRPr="00466F34">
        <w:rPr>
          <w:rStyle w:val="FootnoteReference"/>
        </w:rPr>
        <w:footnoteReference w:id="1"/>
      </w:r>
      <w:r w:rsidR="00112727" w:rsidRPr="00466F34">
        <w:t xml:space="preserve"> </w:t>
      </w:r>
      <w:r w:rsidR="00F72708" w:rsidRPr="00466F34">
        <w:t xml:space="preserve">An amended notice was published designating </w:t>
      </w:r>
      <w:r w:rsidR="00466F34" w:rsidRPr="00466F34">
        <w:t>default retailers for its customers within New South Wales and Queensland.</w:t>
      </w:r>
      <w:r w:rsidR="00466F34" w:rsidRPr="00466F34">
        <w:rPr>
          <w:rStyle w:val="FootnoteReference"/>
        </w:rPr>
        <w:footnoteReference w:id="2"/>
      </w:r>
      <w:r w:rsidR="00466F34" w:rsidRPr="00466F34">
        <w:t xml:space="preserve"> </w:t>
      </w:r>
      <w:bookmarkStart w:id="2" w:name="_GoBack"/>
      <w:bookmarkEnd w:id="2"/>
    </w:p>
    <w:p w:rsidR="009378F0" w:rsidRPr="00466F34" w:rsidRDefault="009378F0" w:rsidP="00345444">
      <w:pPr>
        <w:pStyle w:val="AERbodytext"/>
        <w:spacing w:line="240" w:lineRule="auto"/>
        <w:jc w:val="both"/>
      </w:pPr>
      <w:r>
        <w:t>On 4 April in Adelaide, MOS costs were just over $49 500 for increase requirements on the MAP of 7.8 TJ of gas.</w:t>
      </w:r>
      <w:r w:rsidR="00152919">
        <w:t xml:space="preserve"> This was related to lower quantities of MOS being offered below $10/GJ in April (6.5 TJ as opposed to 13.5 TJ for the previous month).</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9378F0" w:rsidRDefault="009378F0" w:rsidP="00FF0D8A">
      <w:pPr>
        <w:jc w:val="both"/>
        <w:rPr>
          <w:szCs w:val="22"/>
        </w:rPr>
      </w:pPr>
    </w:p>
    <w:p w:rsidR="009378F0" w:rsidRDefault="009378F0" w:rsidP="00FF0D8A">
      <w:pPr>
        <w:jc w:val="both"/>
        <w:rPr>
          <w:szCs w:val="22"/>
        </w:rPr>
      </w:pPr>
    </w:p>
    <w:p w:rsidR="009378F0" w:rsidRDefault="009378F0" w:rsidP="00FF0D8A">
      <w:pPr>
        <w:jc w:val="both"/>
        <w:rPr>
          <w:szCs w:val="22"/>
        </w:rPr>
      </w:pPr>
    </w:p>
    <w:p w:rsidR="009378F0" w:rsidRDefault="009378F0" w:rsidP="00FF0D8A">
      <w:pPr>
        <w:jc w:val="both"/>
        <w:rPr>
          <w:szCs w:val="22"/>
        </w:rPr>
      </w:pPr>
    </w:p>
    <w:p w:rsidR="009378F0" w:rsidRDefault="009378F0" w:rsidP="00FF0D8A">
      <w:pPr>
        <w:jc w:val="both"/>
        <w:rPr>
          <w:szCs w:val="22"/>
        </w:rPr>
      </w:pP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3"/>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6C5082">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6C5082">
            <w:pPr>
              <w:jc w:val="center"/>
              <w:rPr>
                <w:sz w:val="20"/>
              </w:rPr>
            </w:pPr>
            <w:r w:rsidRPr="00936A7B">
              <w:rPr>
                <w:sz w:val="20"/>
              </w:rPr>
              <w:t>Victoria</w:t>
            </w:r>
          </w:p>
        </w:tc>
        <w:tc>
          <w:tcPr>
            <w:tcW w:w="749" w:type="pct"/>
            <w:tcBorders>
              <w:bottom w:val="nil"/>
            </w:tcBorders>
            <w:hideMark/>
          </w:tcPr>
          <w:p w:rsidR="003F44B7" w:rsidRPr="00936A7B" w:rsidRDefault="003F44B7" w:rsidP="006C5082">
            <w:pPr>
              <w:jc w:val="center"/>
              <w:rPr>
                <w:sz w:val="20"/>
              </w:rPr>
            </w:pPr>
            <w:r w:rsidRPr="00936A7B">
              <w:rPr>
                <w:sz w:val="20"/>
              </w:rPr>
              <w:t>Sydney</w:t>
            </w:r>
          </w:p>
        </w:tc>
        <w:tc>
          <w:tcPr>
            <w:tcW w:w="749" w:type="pct"/>
            <w:tcBorders>
              <w:bottom w:val="nil"/>
            </w:tcBorders>
            <w:hideMark/>
          </w:tcPr>
          <w:p w:rsidR="003F44B7" w:rsidRPr="00936A7B" w:rsidRDefault="003F44B7" w:rsidP="006C5082">
            <w:pPr>
              <w:jc w:val="center"/>
              <w:rPr>
                <w:sz w:val="20"/>
              </w:rPr>
            </w:pPr>
            <w:r w:rsidRPr="00936A7B">
              <w:rPr>
                <w:sz w:val="20"/>
              </w:rPr>
              <w:t>Adelaide</w:t>
            </w:r>
          </w:p>
        </w:tc>
        <w:tc>
          <w:tcPr>
            <w:tcW w:w="823" w:type="pct"/>
            <w:tcBorders>
              <w:bottom w:val="nil"/>
            </w:tcBorders>
            <w:hideMark/>
          </w:tcPr>
          <w:p w:rsidR="003F44B7" w:rsidRPr="00936A7B" w:rsidRDefault="003F44B7" w:rsidP="006C5082">
            <w:pPr>
              <w:jc w:val="center"/>
              <w:rPr>
                <w:sz w:val="20"/>
              </w:rPr>
            </w:pPr>
            <w:r w:rsidRPr="00936A7B">
              <w:rPr>
                <w:sz w:val="20"/>
              </w:rPr>
              <w:t>Brisbane</w:t>
            </w:r>
          </w:p>
        </w:tc>
      </w:tr>
      <w:tr w:rsidR="00466F34" w:rsidRPr="0091453B" w:rsidTr="00305B20">
        <w:trPr>
          <w:trHeight w:val="510"/>
        </w:trPr>
        <w:tc>
          <w:tcPr>
            <w:tcW w:w="1928" w:type="pct"/>
            <w:tcBorders>
              <w:top w:val="nil"/>
              <w:bottom w:val="nil"/>
            </w:tcBorders>
            <w:vAlign w:val="center"/>
          </w:tcPr>
          <w:p w:rsidR="00466F34" w:rsidRDefault="00466F34">
            <w:pPr>
              <w:rPr>
                <w:rFonts w:cs="Arial"/>
                <w:sz w:val="20"/>
                <w:szCs w:val="20"/>
              </w:rPr>
            </w:pPr>
            <w:r>
              <w:rPr>
                <w:rFonts w:cs="Arial"/>
                <w:sz w:val="20"/>
                <w:szCs w:val="20"/>
              </w:rPr>
              <w:t>03 Apr - 09 Apr 2016</w:t>
            </w:r>
          </w:p>
        </w:tc>
        <w:tc>
          <w:tcPr>
            <w:tcW w:w="750" w:type="pct"/>
            <w:tcBorders>
              <w:top w:val="nil"/>
              <w:bottom w:val="nil"/>
            </w:tcBorders>
            <w:vAlign w:val="center"/>
          </w:tcPr>
          <w:p w:rsidR="00466F34" w:rsidRDefault="00466F34">
            <w:pPr>
              <w:jc w:val="center"/>
              <w:rPr>
                <w:rFonts w:cs="Arial"/>
                <w:sz w:val="20"/>
                <w:szCs w:val="20"/>
              </w:rPr>
            </w:pPr>
            <w:r>
              <w:rPr>
                <w:rFonts w:cs="Arial"/>
                <w:sz w:val="20"/>
                <w:szCs w:val="20"/>
              </w:rPr>
              <w:t>5.01</w:t>
            </w:r>
          </w:p>
        </w:tc>
        <w:tc>
          <w:tcPr>
            <w:tcW w:w="749" w:type="pct"/>
            <w:tcBorders>
              <w:top w:val="nil"/>
              <w:bottom w:val="nil"/>
            </w:tcBorders>
            <w:vAlign w:val="center"/>
          </w:tcPr>
          <w:p w:rsidR="00466F34" w:rsidRDefault="00466F34">
            <w:pPr>
              <w:jc w:val="center"/>
              <w:rPr>
                <w:rFonts w:cs="Arial"/>
                <w:sz w:val="20"/>
                <w:szCs w:val="20"/>
              </w:rPr>
            </w:pPr>
            <w:r>
              <w:rPr>
                <w:rFonts w:cs="Arial"/>
                <w:sz w:val="20"/>
                <w:szCs w:val="20"/>
              </w:rPr>
              <w:t>4.79</w:t>
            </w:r>
          </w:p>
        </w:tc>
        <w:tc>
          <w:tcPr>
            <w:tcW w:w="749" w:type="pct"/>
            <w:tcBorders>
              <w:top w:val="nil"/>
              <w:bottom w:val="nil"/>
            </w:tcBorders>
            <w:vAlign w:val="center"/>
          </w:tcPr>
          <w:p w:rsidR="00466F34" w:rsidRDefault="00466F34">
            <w:pPr>
              <w:jc w:val="center"/>
              <w:rPr>
                <w:rFonts w:cs="Arial"/>
                <w:sz w:val="20"/>
                <w:szCs w:val="20"/>
              </w:rPr>
            </w:pPr>
            <w:r>
              <w:rPr>
                <w:rFonts w:cs="Arial"/>
                <w:sz w:val="20"/>
                <w:szCs w:val="20"/>
              </w:rPr>
              <w:t>5.73</w:t>
            </w:r>
          </w:p>
        </w:tc>
        <w:tc>
          <w:tcPr>
            <w:tcW w:w="823" w:type="pct"/>
            <w:tcBorders>
              <w:top w:val="nil"/>
              <w:bottom w:val="nil"/>
            </w:tcBorders>
            <w:vAlign w:val="center"/>
          </w:tcPr>
          <w:p w:rsidR="00466F34" w:rsidRDefault="00466F34">
            <w:pPr>
              <w:jc w:val="center"/>
              <w:rPr>
                <w:rFonts w:cs="Arial"/>
                <w:sz w:val="20"/>
                <w:szCs w:val="20"/>
              </w:rPr>
            </w:pPr>
            <w:r>
              <w:rPr>
                <w:rFonts w:cs="Arial"/>
                <w:sz w:val="20"/>
                <w:szCs w:val="20"/>
              </w:rPr>
              <w:t>5.01</w:t>
            </w:r>
          </w:p>
        </w:tc>
      </w:tr>
      <w:tr w:rsidR="00466F34" w:rsidRPr="0091453B" w:rsidTr="00305B20">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466F34" w:rsidRDefault="00466F34">
            <w:pPr>
              <w:rPr>
                <w:rFonts w:cs="Arial"/>
                <w:sz w:val="20"/>
                <w:szCs w:val="20"/>
              </w:rPr>
            </w:pPr>
            <w:r>
              <w:rPr>
                <w:rFonts w:cs="Arial"/>
                <w:sz w:val="20"/>
                <w:szCs w:val="20"/>
              </w:rPr>
              <w:t>% change from previous week</w:t>
            </w:r>
          </w:p>
        </w:tc>
        <w:tc>
          <w:tcPr>
            <w:tcW w:w="750" w:type="pct"/>
            <w:tcBorders>
              <w:top w:val="nil"/>
              <w:bottom w:val="nil"/>
            </w:tcBorders>
            <w:vAlign w:val="center"/>
          </w:tcPr>
          <w:p w:rsidR="00466F34" w:rsidRDefault="00466F34">
            <w:pPr>
              <w:jc w:val="center"/>
              <w:rPr>
                <w:rFonts w:cs="Arial"/>
                <w:sz w:val="20"/>
                <w:szCs w:val="20"/>
              </w:rPr>
            </w:pPr>
            <w:r>
              <w:rPr>
                <w:rFonts w:cs="Arial"/>
                <w:sz w:val="20"/>
                <w:szCs w:val="20"/>
              </w:rPr>
              <w:t>9</w:t>
            </w:r>
          </w:p>
        </w:tc>
        <w:tc>
          <w:tcPr>
            <w:tcW w:w="749" w:type="pct"/>
            <w:tcBorders>
              <w:top w:val="nil"/>
              <w:bottom w:val="nil"/>
            </w:tcBorders>
            <w:vAlign w:val="center"/>
          </w:tcPr>
          <w:p w:rsidR="00466F34" w:rsidRDefault="00466F34">
            <w:pPr>
              <w:jc w:val="center"/>
              <w:rPr>
                <w:rFonts w:cs="Arial"/>
                <w:sz w:val="20"/>
                <w:szCs w:val="20"/>
              </w:rPr>
            </w:pPr>
            <w:r>
              <w:rPr>
                <w:rFonts w:cs="Arial"/>
                <w:sz w:val="20"/>
                <w:szCs w:val="20"/>
              </w:rPr>
              <w:t>11</w:t>
            </w:r>
          </w:p>
        </w:tc>
        <w:tc>
          <w:tcPr>
            <w:tcW w:w="749" w:type="pct"/>
            <w:tcBorders>
              <w:top w:val="nil"/>
              <w:bottom w:val="nil"/>
            </w:tcBorders>
            <w:vAlign w:val="center"/>
          </w:tcPr>
          <w:p w:rsidR="00466F34" w:rsidRDefault="00466F34">
            <w:pPr>
              <w:jc w:val="center"/>
              <w:rPr>
                <w:rFonts w:cs="Arial"/>
                <w:sz w:val="20"/>
                <w:szCs w:val="20"/>
              </w:rPr>
            </w:pPr>
            <w:r>
              <w:rPr>
                <w:rFonts w:cs="Arial"/>
                <w:sz w:val="20"/>
                <w:szCs w:val="20"/>
              </w:rPr>
              <w:t>-1</w:t>
            </w:r>
          </w:p>
        </w:tc>
        <w:tc>
          <w:tcPr>
            <w:tcW w:w="823" w:type="pct"/>
            <w:tcBorders>
              <w:top w:val="nil"/>
              <w:bottom w:val="nil"/>
            </w:tcBorders>
            <w:vAlign w:val="center"/>
          </w:tcPr>
          <w:p w:rsidR="00466F34" w:rsidRDefault="00466F34">
            <w:pPr>
              <w:jc w:val="center"/>
              <w:rPr>
                <w:rFonts w:cs="Arial"/>
                <w:sz w:val="20"/>
                <w:szCs w:val="20"/>
              </w:rPr>
            </w:pPr>
            <w:r>
              <w:rPr>
                <w:rFonts w:cs="Arial"/>
                <w:sz w:val="20"/>
                <w:szCs w:val="20"/>
              </w:rPr>
              <w:t>6</w:t>
            </w:r>
          </w:p>
        </w:tc>
      </w:tr>
      <w:tr w:rsidR="00466F34" w:rsidRPr="0091453B" w:rsidTr="00305B20">
        <w:trPr>
          <w:trHeight w:val="510"/>
        </w:trPr>
        <w:tc>
          <w:tcPr>
            <w:tcW w:w="1928" w:type="pct"/>
            <w:tcBorders>
              <w:top w:val="nil"/>
              <w:bottom w:val="nil"/>
            </w:tcBorders>
            <w:vAlign w:val="center"/>
          </w:tcPr>
          <w:p w:rsidR="00466F34" w:rsidRDefault="00466F34">
            <w:pPr>
              <w:rPr>
                <w:rFonts w:cs="Arial"/>
                <w:sz w:val="20"/>
                <w:szCs w:val="20"/>
              </w:rPr>
            </w:pPr>
            <w:r>
              <w:rPr>
                <w:rFonts w:cs="Arial"/>
                <w:sz w:val="20"/>
                <w:szCs w:val="20"/>
              </w:rPr>
              <w:t>15-16 financial YTD</w:t>
            </w:r>
          </w:p>
        </w:tc>
        <w:tc>
          <w:tcPr>
            <w:tcW w:w="750" w:type="pct"/>
            <w:tcBorders>
              <w:top w:val="nil"/>
              <w:bottom w:val="nil"/>
            </w:tcBorders>
            <w:vAlign w:val="center"/>
          </w:tcPr>
          <w:p w:rsidR="00466F34" w:rsidRDefault="00466F34">
            <w:pPr>
              <w:jc w:val="center"/>
              <w:rPr>
                <w:rFonts w:cs="Arial"/>
                <w:sz w:val="20"/>
                <w:szCs w:val="20"/>
              </w:rPr>
            </w:pPr>
            <w:r>
              <w:rPr>
                <w:rFonts w:cs="Arial"/>
                <w:sz w:val="20"/>
                <w:szCs w:val="20"/>
              </w:rPr>
              <w:t>4.43</w:t>
            </w:r>
          </w:p>
        </w:tc>
        <w:tc>
          <w:tcPr>
            <w:tcW w:w="749" w:type="pct"/>
            <w:tcBorders>
              <w:top w:val="nil"/>
              <w:bottom w:val="nil"/>
            </w:tcBorders>
            <w:vAlign w:val="center"/>
          </w:tcPr>
          <w:p w:rsidR="00466F34" w:rsidRDefault="00466F34">
            <w:pPr>
              <w:jc w:val="center"/>
              <w:rPr>
                <w:rFonts w:cs="Arial"/>
                <w:sz w:val="20"/>
                <w:szCs w:val="20"/>
              </w:rPr>
            </w:pPr>
            <w:r>
              <w:rPr>
                <w:rFonts w:cs="Arial"/>
                <w:sz w:val="20"/>
                <w:szCs w:val="20"/>
              </w:rPr>
              <w:t>4.58</w:t>
            </w:r>
          </w:p>
        </w:tc>
        <w:tc>
          <w:tcPr>
            <w:tcW w:w="749" w:type="pct"/>
            <w:tcBorders>
              <w:top w:val="nil"/>
              <w:bottom w:val="nil"/>
            </w:tcBorders>
            <w:vAlign w:val="center"/>
          </w:tcPr>
          <w:p w:rsidR="00466F34" w:rsidRDefault="00466F34">
            <w:pPr>
              <w:jc w:val="center"/>
              <w:rPr>
                <w:rFonts w:cs="Arial"/>
                <w:sz w:val="20"/>
                <w:szCs w:val="20"/>
              </w:rPr>
            </w:pPr>
            <w:r>
              <w:rPr>
                <w:rFonts w:cs="Arial"/>
                <w:sz w:val="20"/>
                <w:szCs w:val="20"/>
              </w:rPr>
              <w:t>5.17</w:t>
            </w:r>
          </w:p>
        </w:tc>
        <w:tc>
          <w:tcPr>
            <w:tcW w:w="823" w:type="pct"/>
            <w:tcBorders>
              <w:top w:val="nil"/>
              <w:bottom w:val="nil"/>
            </w:tcBorders>
            <w:vAlign w:val="center"/>
          </w:tcPr>
          <w:p w:rsidR="00466F34" w:rsidRDefault="00466F34">
            <w:pPr>
              <w:jc w:val="center"/>
              <w:rPr>
                <w:rFonts w:cs="Arial"/>
                <w:sz w:val="20"/>
                <w:szCs w:val="20"/>
              </w:rPr>
            </w:pPr>
            <w:r>
              <w:rPr>
                <w:rFonts w:cs="Arial"/>
                <w:sz w:val="20"/>
                <w:szCs w:val="20"/>
              </w:rPr>
              <w:t>4.16</w:t>
            </w:r>
          </w:p>
        </w:tc>
      </w:tr>
      <w:tr w:rsidR="00466F34" w:rsidRPr="0091453B" w:rsidTr="00305B20">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466F34" w:rsidRDefault="00466F34">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466F34" w:rsidRDefault="00466F34">
            <w:pPr>
              <w:jc w:val="center"/>
              <w:rPr>
                <w:rFonts w:cs="Arial"/>
                <w:sz w:val="20"/>
                <w:szCs w:val="20"/>
              </w:rPr>
            </w:pPr>
            <w:r>
              <w:rPr>
                <w:rFonts w:cs="Arial"/>
                <w:sz w:val="20"/>
                <w:szCs w:val="20"/>
              </w:rPr>
              <w:t>27</w:t>
            </w:r>
          </w:p>
        </w:tc>
        <w:tc>
          <w:tcPr>
            <w:tcW w:w="749" w:type="pct"/>
            <w:tcBorders>
              <w:top w:val="nil"/>
              <w:bottom w:val="single" w:sz="4" w:space="0" w:color="auto"/>
            </w:tcBorders>
            <w:vAlign w:val="center"/>
          </w:tcPr>
          <w:p w:rsidR="00466F34" w:rsidRDefault="00466F34">
            <w:pPr>
              <w:jc w:val="center"/>
              <w:rPr>
                <w:rFonts w:cs="Arial"/>
                <w:sz w:val="20"/>
                <w:szCs w:val="20"/>
              </w:rPr>
            </w:pPr>
            <w:r>
              <w:rPr>
                <w:rFonts w:cs="Arial"/>
                <w:sz w:val="20"/>
                <w:szCs w:val="20"/>
              </w:rPr>
              <w:t>38</w:t>
            </w:r>
          </w:p>
        </w:tc>
        <w:tc>
          <w:tcPr>
            <w:tcW w:w="749" w:type="pct"/>
            <w:tcBorders>
              <w:top w:val="nil"/>
              <w:bottom w:val="single" w:sz="4" w:space="0" w:color="auto"/>
            </w:tcBorders>
            <w:vAlign w:val="center"/>
          </w:tcPr>
          <w:p w:rsidR="00466F34" w:rsidRDefault="00466F34">
            <w:pPr>
              <w:jc w:val="center"/>
              <w:rPr>
                <w:rFonts w:cs="Arial"/>
                <w:sz w:val="20"/>
                <w:szCs w:val="20"/>
              </w:rPr>
            </w:pPr>
            <w:r>
              <w:rPr>
                <w:rFonts w:cs="Arial"/>
                <w:sz w:val="20"/>
                <w:szCs w:val="20"/>
              </w:rPr>
              <w:t>42</w:t>
            </w:r>
          </w:p>
        </w:tc>
        <w:tc>
          <w:tcPr>
            <w:tcW w:w="823" w:type="pct"/>
            <w:tcBorders>
              <w:top w:val="nil"/>
              <w:bottom w:val="single" w:sz="4" w:space="0" w:color="auto"/>
            </w:tcBorders>
            <w:vAlign w:val="center"/>
          </w:tcPr>
          <w:p w:rsidR="00466F34" w:rsidRDefault="00466F34">
            <w:pPr>
              <w:jc w:val="center"/>
              <w:rPr>
                <w:rFonts w:cs="Arial"/>
                <w:sz w:val="20"/>
                <w:szCs w:val="20"/>
              </w:rPr>
            </w:pPr>
            <w:r>
              <w:rPr>
                <w:rFonts w:cs="Arial"/>
                <w:sz w:val="20"/>
                <w:szCs w:val="20"/>
              </w:rPr>
              <w:t>74</w:t>
            </w:r>
          </w:p>
        </w:tc>
      </w:tr>
    </w:tbl>
    <w:p w:rsidR="00FF0D8A" w:rsidRPr="008D4DA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Default="00FF0D8A" w:rsidP="00D1641C">
      <w:pPr>
        <w:pStyle w:val="Heading2"/>
        <w:ind w:firstLine="0"/>
        <w:rPr>
          <w:i w:val="0"/>
          <w:color w:val="2272A3"/>
          <w:sz w:val="24"/>
          <w:szCs w:val="24"/>
        </w:rPr>
      </w:pPr>
      <w:r w:rsidRPr="006E7E57">
        <w:rPr>
          <w:i w:val="0"/>
          <w:color w:val="2272A3"/>
          <w:sz w:val="24"/>
          <w:szCs w:val="24"/>
        </w:rPr>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6C5082">
            <w:pPr>
              <w:pStyle w:val="TableHeading"/>
              <w:jc w:val="center"/>
              <w:rPr>
                <w:rFonts w:cs="Arial"/>
                <w:sz w:val="20"/>
                <w:szCs w:val="20"/>
              </w:rPr>
            </w:pPr>
          </w:p>
        </w:tc>
        <w:tc>
          <w:tcPr>
            <w:tcW w:w="74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BOD forecast demand quantity (TJ)</w:t>
            </w:r>
          </w:p>
        </w:tc>
      </w:tr>
      <w:tr w:rsidR="00466F34" w:rsidRPr="0091453B" w:rsidTr="00300B1F">
        <w:trPr>
          <w:trHeight w:val="510"/>
        </w:trPr>
        <w:tc>
          <w:tcPr>
            <w:tcW w:w="1928" w:type="pct"/>
            <w:tcBorders>
              <w:top w:val="nil"/>
              <w:bottom w:val="nil"/>
            </w:tcBorders>
            <w:vAlign w:val="center"/>
          </w:tcPr>
          <w:p w:rsidR="00466F34" w:rsidRDefault="00466F34">
            <w:pPr>
              <w:rPr>
                <w:rFonts w:cs="Arial"/>
                <w:sz w:val="20"/>
                <w:szCs w:val="20"/>
              </w:rPr>
            </w:pPr>
            <w:r>
              <w:rPr>
                <w:rFonts w:cs="Arial"/>
                <w:sz w:val="20"/>
                <w:szCs w:val="20"/>
              </w:rPr>
              <w:t>03 Apr - 09 Apr 2016</w:t>
            </w:r>
          </w:p>
        </w:tc>
        <w:tc>
          <w:tcPr>
            <w:tcW w:w="749" w:type="pct"/>
            <w:tcBorders>
              <w:top w:val="nil"/>
              <w:bottom w:val="nil"/>
            </w:tcBorders>
            <w:vAlign w:val="center"/>
          </w:tcPr>
          <w:p w:rsidR="00466F34" w:rsidRDefault="00466F34">
            <w:pPr>
              <w:jc w:val="center"/>
              <w:rPr>
                <w:rFonts w:cs="Arial"/>
                <w:sz w:val="20"/>
                <w:szCs w:val="20"/>
              </w:rPr>
            </w:pPr>
            <w:r>
              <w:rPr>
                <w:rFonts w:cs="Arial"/>
                <w:sz w:val="20"/>
                <w:szCs w:val="20"/>
              </w:rPr>
              <w:t>5.01</w:t>
            </w:r>
          </w:p>
        </w:tc>
        <w:tc>
          <w:tcPr>
            <w:tcW w:w="1124" w:type="pct"/>
            <w:tcBorders>
              <w:top w:val="nil"/>
              <w:bottom w:val="nil"/>
            </w:tcBorders>
            <w:vAlign w:val="center"/>
          </w:tcPr>
          <w:p w:rsidR="00466F34" w:rsidRDefault="00466F34">
            <w:pPr>
              <w:jc w:val="center"/>
              <w:rPr>
                <w:rFonts w:cs="Arial"/>
                <w:sz w:val="20"/>
                <w:szCs w:val="20"/>
              </w:rPr>
            </w:pPr>
            <w:r>
              <w:rPr>
                <w:rFonts w:cs="Arial"/>
                <w:sz w:val="20"/>
                <w:szCs w:val="20"/>
              </w:rPr>
              <w:t>-</w:t>
            </w:r>
          </w:p>
        </w:tc>
        <w:tc>
          <w:tcPr>
            <w:tcW w:w="1199" w:type="pct"/>
            <w:tcBorders>
              <w:top w:val="nil"/>
              <w:bottom w:val="nil"/>
            </w:tcBorders>
            <w:vAlign w:val="center"/>
          </w:tcPr>
          <w:p w:rsidR="00466F34" w:rsidRDefault="00466F34">
            <w:pPr>
              <w:jc w:val="center"/>
              <w:rPr>
                <w:rFonts w:cs="Arial"/>
                <w:sz w:val="20"/>
                <w:szCs w:val="20"/>
              </w:rPr>
            </w:pPr>
            <w:r>
              <w:rPr>
                <w:rFonts w:cs="Arial"/>
                <w:sz w:val="20"/>
                <w:szCs w:val="20"/>
              </w:rPr>
              <w:t>418</w:t>
            </w:r>
          </w:p>
        </w:tc>
      </w:tr>
      <w:tr w:rsidR="00466F34" w:rsidRPr="0091453B" w:rsidTr="00300B1F">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466F34" w:rsidRDefault="00466F34">
            <w:pPr>
              <w:rPr>
                <w:rFonts w:cs="Arial"/>
                <w:sz w:val="20"/>
                <w:szCs w:val="20"/>
              </w:rPr>
            </w:pPr>
            <w:r>
              <w:rPr>
                <w:rFonts w:cs="Arial"/>
                <w:sz w:val="20"/>
                <w:szCs w:val="20"/>
              </w:rPr>
              <w:t>% change from previous week</w:t>
            </w:r>
          </w:p>
        </w:tc>
        <w:tc>
          <w:tcPr>
            <w:tcW w:w="749" w:type="pct"/>
            <w:tcBorders>
              <w:top w:val="nil"/>
              <w:bottom w:val="nil"/>
            </w:tcBorders>
            <w:vAlign w:val="center"/>
          </w:tcPr>
          <w:p w:rsidR="00466F34" w:rsidRDefault="00466F34">
            <w:pPr>
              <w:jc w:val="center"/>
              <w:rPr>
                <w:rFonts w:cs="Arial"/>
                <w:sz w:val="20"/>
                <w:szCs w:val="20"/>
              </w:rPr>
            </w:pPr>
            <w:r>
              <w:rPr>
                <w:rFonts w:cs="Arial"/>
                <w:sz w:val="20"/>
                <w:szCs w:val="20"/>
              </w:rPr>
              <w:t>9</w:t>
            </w:r>
          </w:p>
        </w:tc>
        <w:tc>
          <w:tcPr>
            <w:tcW w:w="1124" w:type="pct"/>
            <w:tcBorders>
              <w:top w:val="nil"/>
              <w:bottom w:val="nil"/>
            </w:tcBorders>
            <w:vAlign w:val="center"/>
          </w:tcPr>
          <w:p w:rsidR="00466F34" w:rsidRDefault="00466F34">
            <w:pPr>
              <w:jc w:val="center"/>
              <w:rPr>
                <w:rFonts w:cs="Arial"/>
                <w:sz w:val="20"/>
                <w:szCs w:val="20"/>
              </w:rPr>
            </w:pPr>
            <w:r>
              <w:rPr>
                <w:rFonts w:cs="Arial"/>
                <w:sz w:val="20"/>
                <w:szCs w:val="20"/>
              </w:rPr>
              <w:t>-</w:t>
            </w:r>
          </w:p>
        </w:tc>
        <w:tc>
          <w:tcPr>
            <w:tcW w:w="1199" w:type="pct"/>
            <w:tcBorders>
              <w:top w:val="nil"/>
              <w:bottom w:val="nil"/>
            </w:tcBorders>
            <w:vAlign w:val="center"/>
          </w:tcPr>
          <w:p w:rsidR="00466F34" w:rsidRDefault="00466F34">
            <w:pPr>
              <w:jc w:val="center"/>
              <w:rPr>
                <w:rFonts w:cs="Arial"/>
                <w:sz w:val="20"/>
                <w:szCs w:val="20"/>
              </w:rPr>
            </w:pPr>
            <w:r>
              <w:rPr>
                <w:rFonts w:cs="Arial"/>
                <w:sz w:val="20"/>
                <w:szCs w:val="20"/>
              </w:rPr>
              <w:t>13</w:t>
            </w:r>
          </w:p>
        </w:tc>
      </w:tr>
      <w:tr w:rsidR="00466F34" w:rsidRPr="0091453B" w:rsidTr="00300B1F">
        <w:trPr>
          <w:trHeight w:val="510"/>
        </w:trPr>
        <w:tc>
          <w:tcPr>
            <w:tcW w:w="1928" w:type="pct"/>
            <w:tcBorders>
              <w:top w:val="nil"/>
              <w:bottom w:val="nil"/>
            </w:tcBorders>
            <w:vAlign w:val="center"/>
          </w:tcPr>
          <w:p w:rsidR="00466F34" w:rsidRDefault="00466F34">
            <w:pPr>
              <w:rPr>
                <w:rFonts w:cs="Arial"/>
                <w:sz w:val="20"/>
                <w:szCs w:val="20"/>
              </w:rPr>
            </w:pPr>
            <w:r>
              <w:rPr>
                <w:rFonts w:cs="Arial"/>
                <w:sz w:val="20"/>
                <w:szCs w:val="20"/>
              </w:rPr>
              <w:t>15-16 financial YTD</w:t>
            </w:r>
          </w:p>
        </w:tc>
        <w:tc>
          <w:tcPr>
            <w:tcW w:w="749" w:type="pct"/>
            <w:tcBorders>
              <w:top w:val="nil"/>
              <w:bottom w:val="nil"/>
            </w:tcBorders>
            <w:vAlign w:val="center"/>
          </w:tcPr>
          <w:p w:rsidR="00466F34" w:rsidRDefault="00466F34">
            <w:pPr>
              <w:jc w:val="center"/>
              <w:rPr>
                <w:rFonts w:cs="Arial"/>
                <w:sz w:val="20"/>
                <w:szCs w:val="20"/>
              </w:rPr>
            </w:pPr>
            <w:r>
              <w:rPr>
                <w:rFonts w:cs="Arial"/>
                <w:sz w:val="20"/>
                <w:szCs w:val="20"/>
              </w:rPr>
              <w:t>4.43</w:t>
            </w:r>
          </w:p>
        </w:tc>
        <w:tc>
          <w:tcPr>
            <w:tcW w:w="1124" w:type="pct"/>
            <w:tcBorders>
              <w:top w:val="nil"/>
              <w:bottom w:val="nil"/>
            </w:tcBorders>
            <w:vAlign w:val="center"/>
          </w:tcPr>
          <w:p w:rsidR="00466F34" w:rsidRDefault="00466F34">
            <w:pPr>
              <w:jc w:val="center"/>
              <w:rPr>
                <w:rFonts w:cs="Arial"/>
                <w:sz w:val="20"/>
                <w:szCs w:val="20"/>
              </w:rPr>
            </w:pPr>
            <w:r>
              <w:rPr>
                <w:rFonts w:cs="Arial"/>
                <w:sz w:val="20"/>
                <w:szCs w:val="20"/>
              </w:rPr>
              <w:t>-</w:t>
            </w:r>
          </w:p>
        </w:tc>
        <w:tc>
          <w:tcPr>
            <w:tcW w:w="1199" w:type="pct"/>
            <w:tcBorders>
              <w:top w:val="nil"/>
              <w:bottom w:val="nil"/>
            </w:tcBorders>
            <w:vAlign w:val="center"/>
          </w:tcPr>
          <w:p w:rsidR="00466F34" w:rsidRDefault="00466F34">
            <w:pPr>
              <w:jc w:val="center"/>
              <w:rPr>
                <w:rFonts w:cs="Arial"/>
                <w:sz w:val="20"/>
                <w:szCs w:val="20"/>
              </w:rPr>
            </w:pPr>
            <w:r>
              <w:rPr>
                <w:rFonts w:cs="Arial"/>
                <w:sz w:val="20"/>
                <w:szCs w:val="20"/>
              </w:rPr>
              <w:t>529</w:t>
            </w:r>
          </w:p>
        </w:tc>
      </w:tr>
      <w:tr w:rsidR="00466F34" w:rsidRPr="0091453B" w:rsidTr="00300B1F">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466F34" w:rsidRDefault="00466F34">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466F34" w:rsidRDefault="00466F34">
            <w:pPr>
              <w:jc w:val="center"/>
              <w:rPr>
                <w:rFonts w:cs="Arial"/>
                <w:sz w:val="20"/>
                <w:szCs w:val="20"/>
              </w:rPr>
            </w:pPr>
            <w:r>
              <w:rPr>
                <w:rFonts w:cs="Arial"/>
                <w:sz w:val="20"/>
                <w:szCs w:val="20"/>
              </w:rPr>
              <w:t>27</w:t>
            </w:r>
          </w:p>
        </w:tc>
        <w:tc>
          <w:tcPr>
            <w:tcW w:w="1124" w:type="pct"/>
            <w:tcBorders>
              <w:top w:val="nil"/>
              <w:bottom w:val="single" w:sz="4" w:space="0" w:color="auto"/>
            </w:tcBorders>
            <w:vAlign w:val="center"/>
          </w:tcPr>
          <w:p w:rsidR="00466F34" w:rsidRDefault="00466F34">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466F34" w:rsidRDefault="00466F34">
            <w:pPr>
              <w:jc w:val="center"/>
              <w:rPr>
                <w:rFonts w:cs="Arial"/>
                <w:sz w:val="20"/>
                <w:szCs w:val="20"/>
              </w:rPr>
            </w:pPr>
            <w:r>
              <w:rPr>
                <w:rFonts w:cs="Arial"/>
                <w:sz w:val="20"/>
                <w:szCs w:val="20"/>
              </w:rPr>
              <w:t>4</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9378F0" w:rsidRPr="00405CDE" w:rsidTr="00B513EF">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9378F0" w:rsidRPr="00DC24BF" w:rsidRDefault="009378F0" w:rsidP="00B513EF">
            <w:pPr>
              <w:pStyle w:val="TableHeading"/>
              <w:jc w:val="center"/>
              <w:rPr>
                <w:rFonts w:cs="Arial"/>
                <w:sz w:val="20"/>
                <w:szCs w:val="20"/>
              </w:rPr>
            </w:pPr>
          </w:p>
        </w:tc>
        <w:tc>
          <w:tcPr>
            <w:tcW w:w="759" w:type="pct"/>
            <w:tcBorders>
              <w:bottom w:val="nil"/>
            </w:tcBorders>
            <w:hideMark/>
          </w:tcPr>
          <w:p w:rsidR="009378F0" w:rsidRPr="002861A9" w:rsidRDefault="009378F0" w:rsidP="00B513EF">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9378F0" w:rsidRPr="002861A9" w:rsidRDefault="009378F0" w:rsidP="00B513EF">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9378F0" w:rsidRPr="002861A9" w:rsidRDefault="009378F0" w:rsidP="00B513EF">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9378F0" w:rsidRPr="002861A9" w:rsidRDefault="009378F0" w:rsidP="00B513EF">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9378F0" w:rsidRPr="002861A9" w:rsidRDefault="009378F0" w:rsidP="00B513EF">
            <w:pPr>
              <w:keepNext/>
              <w:spacing w:before="40" w:after="40"/>
              <w:jc w:val="center"/>
              <w:rPr>
                <w:rFonts w:cs="Arial"/>
                <w:b w:val="0"/>
                <w:bCs/>
                <w:sz w:val="20"/>
                <w:szCs w:val="20"/>
              </w:rPr>
            </w:pPr>
            <w:r w:rsidRPr="002861A9">
              <w:rPr>
                <w:rFonts w:cs="Arial"/>
                <w:bCs/>
                <w:sz w:val="20"/>
                <w:szCs w:val="20"/>
              </w:rPr>
              <w:t>Ex post quantity (TJ)</w:t>
            </w:r>
          </w:p>
        </w:tc>
      </w:tr>
      <w:tr w:rsidR="009378F0" w:rsidRPr="00405CDE" w:rsidTr="00B513EF">
        <w:trPr>
          <w:trHeight w:val="510"/>
        </w:trPr>
        <w:tc>
          <w:tcPr>
            <w:tcW w:w="1430" w:type="pct"/>
            <w:tcBorders>
              <w:top w:val="nil"/>
              <w:bottom w:val="nil"/>
            </w:tcBorders>
            <w:vAlign w:val="center"/>
          </w:tcPr>
          <w:p w:rsidR="009378F0" w:rsidRDefault="009378F0" w:rsidP="00B513EF">
            <w:pPr>
              <w:rPr>
                <w:rFonts w:cs="Arial"/>
                <w:sz w:val="20"/>
                <w:szCs w:val="20"/>
              </w:rPr>
            </w:pPr>
            <w:r>
              <w:rPr>
                <w:rFonts w:cs="Arial"/>
                <w:sz w:val="20"/>
                <w:szCs w:val="20"/>
              </w:rPr>
              <w:t>03 Apr - 09 Apr 2016</w:t>
            </w:r>
          </w:p>
        </w:tc>
        <w:tc>
          <w:tcPr>
            <w:tcW w:w="759" w:type="pct"/>
            <w:tcBorders>
              <w:top w:val="nil"/>
              <w:bottom w:val="nil"/>
            </w:tcBorders>
            <w:vAlign w:val="center"/>
          </w:tcPr>
          <w:p w:rsidR="009378F0" w:rsidRDefault="009378F0" w:rsidP="00B513EF">
            <w:pPr>
              <w:jc w:val="center"/>
              <w:rPr>
                <w:rFonts w:cs="Arial"/>
                <w:sz w:val="20"/>
                <w:szCs w:val="20"/>
              </w:rPr>
            </w:pPr>
            <w:r>
              <w:rPr>
                <w:rFonts w:cs="Arial"/>
                <w:sz w:val="20"/>
                <w:szCs w:val="20"/>
              </w:rPr>
              <w:t>4.79</w:t>
            </w:r>
          </w:p>
        </w:tc>
        <w:tc>
          <w:tcPr>
            <w:tcW w:w="758" w:type="pct"/>
            <w:tcBorders>
              <w:top w:val="nil"/>
              <w:bottom w:val="nil"/>
            </w:tcBorders>
            <w:vAlign w:val="center"/>
          </w:tcPr>
          <w:p w:rsidR="009378F0" w:rsidRDefault="009378F0" w:rsidP="00B513EF">
            <w:pPr>
              <w:jc w:val="center"/>
              <w:rPr>
                <w:rFonts w:cs="Arial"/>
                <w:sz w:val="20"/>
                <w:szCs w:val="20"/>
              </w:rPr>
            </w:pPr>
            <w:r>
              <w:rPr>
                <w:rFonts w:cs="Arial"/>
                <w:sz w:val="20"/>
                <w:szCs w:val="20"/>
              </w:rPr>
              <w:t>4.45</w:t>
            </w:r>
          </w:p>
        </w:tc>
        <w:tc>
          <w:tcPr>
            <w:tcW w:w="759" w:type="pct"/>
            <w:tcBorders>
              <w:top w:val="nil"/>
              <w:bottom w:val="nil"/>
            </w:tcBorders>
            <w:vAlign w:val="center"/>
          </w:tcPr>
          <w:p w:rsidR="009378F0" w:rsidRDefault="009378F0" w:rsidP="00B513EF">
            <w:pPr>
              <w:jc w:val="center"/>
              <w:rPr>
                <w:rFonts w:cs="Arial"/>
                <w:sz w:val="20"/>
                <w:szCs w:val="20"/>
              </w:rPr>
            </w:pPr>
            <w:r>
              <w:rPr>
                <w:rFonts w:cs="Arial"/>
                <w:sz w:val="20"/>
                <w:szCs w:val="20"/>
              </w:rPr>
              <w:t>11.71</w:t>
            </w:r>
          </w:p>
        </w:tc>
        <w:tc>
          <w:tcPr>
            <w:tcW w:w="685" w:type="pct"/>
            <w:tcBorders>
              <w:top w:val="nil"/>
              <w:bottom w:val="nil"/>
            </w:tcBorders>
            <w:vAlign w:val="center"/>
          </w:tcPr>
          <w:p w:rsidR="009378F0" w:rsidRDefault="009378F0" w:rsidP="00B513EF">
            <w:pPr>
              <w:jc w:val="center"/>
              <w:rPr>
                <w:rFonts w:cs="Arial"/>
                <w:sz w:val="20"/>
                <w:szCs w:val="20"/>
              </w:rPr>
            </w:pPr>
            <w:r>
              <w:rPr>
                <w:rFonts w:cs="Arial"/>
                <w:sz w:val="20"/>
                <w:szCs w:val="20"/>
              </w:rPr>
              <w:t>230</w:t>
            </w:r>
          </w:p>
        </w:tc>
        <w:tc>
          <w:tcPr>
            <w:tcW w:w="608" w:type="pct"/>
            <w:tcBorders>
              <w:top w:val="nil"/>
              <w:bottom w:val="nil"/>
            </w:tcBorders>
            <w:vAlign w:val="center"/>
          </w:tcPr>
          <w:p w:rsidR="009378F0" w:rsidRDefault="009378F0" w:rsidP="00B513EF">
            <w:pPr>
              <w:jc w:val="center"/>
              <w:rPr>
                <w:rFonts w:cs="Arial"/>
                <w:sz w:val="20"/>
                <w:szCs w:val="20"/>
              </w:rPr>
            </w:pPr>
            <w:r>
              <w:rPr>
                <w:rFonts w:cs="Arial"/>
                <w:sz w:val="20"/>
                <w:szCs w:val="20"/>
              </w:rPr>
              <w:t>225</w:t>
            </w:r>
          </w:p>
        </w:tc>
      </w:tr>
      <w:tr w:rsidR="009378F0" w:rsidRPr="00405CDE" w:rsidTr="00B513EF">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9378F0" w:rsidRDefault="009378F0" w:rsidP="00B513EF">
            <w:pPr>
              <w:rPr>
                <w:rFonts w:cs="Arial"/>
                <w:sz w:val="20"/>
                <w:szCs w:val="20"/>
              </w:rPr>
            </w:pPr>
            <w:r>
              <w:rPr>
                <w:rFonts w:cs="Arial"/>
                <w:sz w:val="20"/>
                <w:szCs w:val="20"/>
              </w:rPr>
              <w:t>% change from previous week</w:t>
            </w:r>
          </w:p>
        </w:tc>
        <w:tc>
          <w:tcPr>
            <w:tcW w:w="759" w:type="pct"/>
            <w:tcBorders>
              <w:top w:val="nil"/>
              <w:bottom w:val="nil"/>
            </w:tcBorders>
            <w:vAlign w:val="center"/>
          </w:tcPr>
          <w:p w:rsidR="009378F0" w:rsidRDefault="009378F0" w:rsidP="00B513EF">
            <w:pPr>
              <w:jc w:val="center"/>
              <w:rPr>
                <w:rFonts w:cs="Arial"/>
                <w:sz w:val="20"/>
                <w:szCs w:val="20"/>
              </w:rPr>
            </w:pPr>
            <w:r>
              <w:rPr>
                <w:rFonts w:cs="Arial"/>
                <w:sz w:val="20"/>
                <w:szCs w:val="20"/>
              </w:rPr>
              <w:t>11</w:t>
            </w:r>
          </w:p>
        </w:tc>
        <w:tc>
          <w:tcPr>
            <w:tcW w:w="758" w:type="pct"/>
            <w:tcBorders>
              <w:top w:val="nil"/>
              <w:bottom w:val="nil"/>
            </w:tcBorders>
            <w:vAlign w:val="center"/>
          </w:tcPr>
          <w:p w:rsidR="009378F0" w:rsidRDefault="009378F0" w:rsidP="00B513EF">
            <w:pPr>
              <w:jc w:val="center"/>
              <w:rPr>
                <w:rFonts w:cs="Arial"/>
                <w:sz w:val="20"/>
                <w:szCs w:val="20"/>
              </w:rPr>
            </w:pPr>
            <w:r>
              <w:rPr>
                <w:rFonts w:cs="Arial"/>
                <w:sz w:val="20"/>
                <w:szCs w:val="20"/>
              </w:rPr>
              <w:t>22</w:t>
            </w:r>
          </w:p>
        </w:tc>
        <w:tc>
          <w:tcPr>
            <w:tcW w:w="759" w:type="pct"/>
            <w:tcBorders>
              <w:top w:val="nil"/>
              <w:bottom w:val="nil"/>
            </w:tcBorders>
            <w:vAlign w:val="center"/>
          </w:tcPr>
          <w:p w:rsidR="009378F0" w:rsidRDefault="009378F0" w:rsidP="00B513EF">
            <w:pPr>
              <w:jc w:val="center"/>
              <w:rPr>
                <w:rFonts w:cs="Arial"/>
                <w:sz w:val="20"/>
                <w:szCs w:val="20"/>
              </w:rPr>
            </w:pPr>
            <w:r>
              <w:rPr>
                <w:rFonts w:cs="Arial"/>
                <w:sz w:val="20"/>
                <w:szCs w:val="20"/>
              </w:rPr>
              <w:t>-42</w:t>
            </w:r>
          </w:p>
        </w:tc>
        <w:tc>
          <w:tcPr>
            <w:tcW w:w="685" w:type="pct"/>
            <w:tcBorders>
              <w:top w:val="nil"/>
              <w:bottom w:val="nil"/>
            </w:tcBorders>
            <w:vAlign w:val="center"/>
          </w:tcPr>
          <w:p w:rsidR="009378F0" w:rsidRDefault="009378F0" w:rsidP="00B513EF">
            <w:pPr>
              <w:jc w:val="center"/>
              <w:rPr>
                <w:rFonts w:cs="Arial"/>
                <w:sz w:val="20"/>
                <w:szCs w:val="20"/>
              </w:rPr>
            </w:pPr>
            <w:r>
              <w:rPr>
                <w:rFonts w:cs="Arial"/>
                <w:sz w:val="20"/>
                <w:szCs w:val="20"/>
              </w:rPr>
              <w:t>6</w:t>
            </w:r>
          </w:p>
        </w:tc>
        <w:tc>
          <w:tcPr>
            <w:tcW w:w="608" w:type="pct"/>
            <w:tcBorders>
              <w:top w:val="nil"/>
              <w:bottom w:val="nil"/>
            </w:tcBorders>
            <w:vAlign w:val="center"/>
          </w:tcPr>
          <w:p w:rsidR="009378F0" w:rsidRDefault="009378F0" w:rsidP="00B513EF">
            <w:pPr>
              <w:jc w:val="center"/>
              <w:rPr>
                <w:rFonts w:cs="Arial"/>
                <w:sz w:val="20"/>
                <w:szCs w:val="20"/>
              </w:rPr>
            </w:pPr>
            <w:r>
              <w:rPr>
                <w:rFonts w:cs="Arial"/>
                <w:sz w:val="20"/>
                <w:szCs w:val="20"/>
              </w:rPr>
              <w:t>5</w:t>
            </w:r>
          </w:p>
        </w:tc>
      </w:tr>
      <w:tr w:rsidR="009378F0" w:rsidRPr="00405CDE" w:rsidTr="00B513EF">
        <w:trPr>
          <w:trHeight w:val="510"/>
        </w:trPr>
        <w:tc>
          <w:tcPr>
            <w:tcW w:w="1430" w:type="pct"/>
            <w:tcBorders>
              <w:top w:val="nil"/>
              <w:bottom w:val="nil"/>
            </w:tcBorders>
            <w:vAlign w:val="center"/>
          </w:tcPr>
          <w:p w:rsidR="009378F0" w:rsidRDefault="009378F0" w:rsidP="00B513EF">
            <w:pPr>
              <w:rPr>
                <w:rFonts w:cs="Arial"/>
                <w:sz w:val="20"/>
                <w:szCs w:val="20"/>
              </w:rPr>
            </w:pPr>
            <w:r>
              <w:rPr>
                <w:rFonts w:cs="Arial"/>
                <w:sz w:val="20"/>
                <w:szCs w:val="20"/>
              </w:rPr>
              <w:t>15-16 financial YTD</w:t>
            </w:r>
          </w:p>
        </w:tc>
        <w:tc>
          <w:tcPr>
            <w:tcW w:w="759" w:type="pct"/>
            <w:tcBorders>
              <w:top w:val="nil"/>
              <w:bottom w:val="nil"/>
            </w:tcBorders>
            <w:vAlign w:val="center"/>
          </w:tcPr>
          <w:p w:rsidR="009378F0" w:rsidRDefault="009378F0" w:rsidP="00B513EF">
            <w:pPr>
              <w:jc w:val="center"/>
              <w:rPr>
                <w:rFonts w:cs="Arial"/>
                <w:sz w:val="20"/>
                <w:szCs w:val="20"/>
              </w:rPr>
            </w:pPr>
            <w:r>
              <w:rPr>
                <w:rFonts w:cs="Arial"/>
                <w:sz w:val="20"/>
                <w:szCs w:val="20"/>
              </w:rPr>
              <w:t>4.58</w:t>
            </w:r>
          </w:p>
        </w:tc>
        <w:tc>
          <w:tcPr>
            <w:tcW w:w="758" w:type="pct"/>
            <w:tcBorders>
              <w:top w:val="nil"/>
              <w:bottom w:val="nil"/>
            </w:tcBorders>
            <w:vAlign w:val="center"/>
          </w:tcPr>
          <w:p w:rsidR="009378F0" w:rsidRDefault="009378F0" w:rsidP="00B513EF">
            <w:pPr>
              <w:jc w:val="center"/>
              <w:rPr>
                <w:rFonts w:cs="Arial"/>
                <w:sz w:val="20"/>
                <w:szCs w:val="20"/>
              </w:rPr>
            </w:pPr>
            <w:r>
              <w:rPr>
                <w:rFonts w:cs="Arial"/>
                <w:sz w:val="20"/>
                <w:szCs w:val="20"/>
              </w:rPr>
              <w:t>4.23</w:t>
            </w:r>
          </w:p>
        </w:tc>
        <w:tc>
          <w:tcPr>
            <w:tcW w:w="759" w:type="pct"/>
            <w:tcBorders>
              <w:top w:val="nil"/>
              <w:bottom w:val="nil"/>
            </w:tcBorders>
            <w:vAlign w:val="center"/>
          </w:tcPr>
          <w:p w:rsidR="009378F0" w:rsidRDefault="009378F0" w:rsidP="00B513EF">
            <w:pPr>
              <w:jc w:val="center"/>
              <w:rPr>
                <w:rFonts w:cs="Arial"/>
                <w:sz w:val="20"/>
                <w:szCs w:val="20"/>
              </w:rPr>
            </w:pPr>
            <w:r>
              <w:rPr>
                <w:rFonts w:cs="Arial"/>
                <w:sz w:val="20"/>
                <w:szCs w:val="20"/>
              </w:rPr>
              <w:t>29.46</w:t>
            </w:r>
          </w:p>
        </w:tc>
        <w:tc>
          <w:tcPr>
            <w:tcW w:w="685" w:type="pct"/>
            <w:tcBorders>
              <w:top w:val="nil"/>
              <w:bottom w:val="nil"/>
            </w:tcBorders>
            <w:vAlign w:val="center"/>
          </w:tcPr>
          <w:p w:rsidR="009378F0" w:rsidRDefault="009378F0" w:rsidP="00B513EF">
            <w:pPr>
              <w:jc w:val="center"/>
              <w:rPr>
                <w:rFonts w:cs="Arial"/>
                <w:sz w:val="20"/>
                <w:szCs w:val="20"/>
              </w:rPr>
            </w:pPr>
            <w:r>
              <w:rPr>
                <w:rFonts w:cs="Arial"/>
                <w:sz w:val="20"/>
                <w:szCs w:val="20"/>
              </w:rPr>
              <w:t>233</w:t>
            </w:r>
          </w:p>
        </w:tc>
        <w:tc>
          <w:tcPr>
            <w:tcW w:w="608" w:type="pct"/>
            <w:tcBorders>
              <w:top w:val="nil"/>
              <w:bottom w:val="nil"/>
            </w:tcBorders>
            <w:vAlign w:val="center"/>
          </w:tcPr>
          <w:p w:rsidR="009378F0" w:rsidRDefault="009378F0" w:rsidP="00B513EF">
            <w:pPr>
              <w:jc w:val="center"/>
              <w:rPr>
                <w:rFonts w:cs="Arial"/>
                <w:sz w:val="20"/>
                <w:szCs w:val="20"/>
              </w:rPr>
            </w:pPr>
            <w:r>
              <w:rPr>
                <w:rFonts w:cs="Arial"/>
                <w:sz w:val="20"/>
                <w:szCs w:val="20"/>
              </w:rPr>
              <w:t>227</w:t>
            </w:r>
          </w:p>
        </w:tc>
      </w:tr>
      <w:tr w:rsidR="009378F0" w:rsidRPr="00405CDE" w:rsidTr="00B513EF">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9378F0" w:rsidRDefault="009378F0" w:rsidP="00B513EF">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9378F0" w:rsidRDefault="009378F0" w:rsidP="00B513EF">
            <w:pPr>
              <w:jc w:val="center"/>
              <w:rPr>
                <w:rFonts w:cs="Arial"/>
                <w:sz w:val="20"/>
                <w:szCs w:val="20"/>
              </w:rPr>
            </w:pPr>
            <w:r>
              <w:rPr>
                <w:rFonts w:cs="Arial"/>
                <w:sz w:val="20"/>
                <w:szCs w:val="20"/>
              </w:rPr>
              <w:t>38</w:t>
            </w:r>
          </w:p>
        </w:tc>
        <w:tc>
          <w:tcPr>
            <w:tcW w:w="758" w:type="pct"/>
            <w:tcBorders>
              <w:top w:val="nil"/>
              <w:bottom w:val="single" w:sz="4" w:space="0" w:color="auto"/>
            </w:tcBorders>
            <w:vAlign w:val="center"/>
          </w:tcPr>
          <w:p w:rsidR="009378F0" w:rsidRDefault="009378F0" w:rsidP="00B513EF">
            <w:pPr>
              <w:jc w:val="center"/>
              <w:rPr>
                <w:rFonts w:cs="Arial"/>
                <w:sz w:val="20"/>
                <w:szCs w:val="20"/>
              </w:rPr>
            </w:pPr>
            <w:r>
              <w:rPr>
                <w:rFonts w:cs="Arial"/>
                <w:sz w:val="20"/>
                <w:szCs w:val="20"/>
              </w:rPr>
              <w:t>28</w:t>
            </w:r>
          </w:p>
        </w:tc>
        <w:tc>
          <w:tcPr>
            <w:tcW w:w="759" w:type="pct"/>
            <w:tcBorders>
              <w:top w:val="nil"/>
              <w:bottom w:val="single" w:sz="4" w:space="0" w:color="auto"/>
            </w:tcBorders>
            <w:vAlign w:val="center"/>
          </w:tcPr>
          <w:p w:rsidR="009378F0" w:rsidRDefault="009378F0" w:rsidP="00B513EF">
            <w:pPr>
              <w:jc w:val="center"/>
              <w:rPr>
                <w:rFonts w:cs="Arial"/>
                <w:sz w:val="20"/>
                <w:szCs w:val="20"/>
              </w:rPr>
            </w:pPr>
            <w:r>
              <w:rPr>
                <w:rFonts w:cs="Arial"/>
                <w:sz w:val="20"/>
                <w:szCs w:val="20"/>
              </w:rPr>
              <w:t>120</w:t>
            </w:r>
          </w:p>
        </w:tc>
        <w:tc>
          <w:tcPr>
            <w:tcW w:w="685" w:type="pct"/>
            <w:tcBorders>
              <w:top w:val="nil"/>
              <w:bottom w:val="single" w:sz="4" w:space="0" w:color="auto"/>
            </w:tcBorders>
            <w:vAlign w:val="center"/>
          </w:tcPr>
          <w:p w:rsidR="009378F0" w:rsidRDefault="009378F0" w:rsidP="00B513EF">
            <w:pPr>
              <w:jc w:val="center"/>
              <w:rPr>
                <w:rFonts w:cs="Arial"/>
                <w:sz w:val="20"/>
                <w:szCs w:val="20"/>
              </w:rPr>
            </w:pPr>
            <w:r>
              <w:rPr>
                <w:rFonts w:cs="Arial"/>
                <w:sz w:val="20"/>
                <w:szCs w:val="20"/>
              </w:rPr>
              <w:t>-2</w:t>
            </w:r>
          </w:p>
        </w:tc>
        <w:tc>
          <w:tcPr>
            <w:tcW w:w="608" w:type="pct"/>
            <w:tcBorders>
              <w:top w:val="nil"/>
              <w:bottom w:val="single" w:sz="4" w:space="0" w:color="auto"/>
            </w:tcBorders>
            <w:vAlign w:val="center"/>
          </w:tcPr>
          <w:p w:rsidR="009378F0" w:rsidRDefault="009378F0" w:rsidP="00B513EF">
            <w:pPr>
              <w:jc w:val="center"/>
              <w:rPr>
                <w:rFonts w:cs="Arial"/>
                <w:sz w:val="20"/>
                <w:szCs w:val="20"/>
              </w:rPr>
            </w:pPr>
            <w:r>
              <w:rPr>
                <w:rFonts w:cs="Arial"/>
                <w:sz w:val="20"/>
                <w:szCs w:val="20"/>
              </w:rPr>
              <w:t>-5</w:t>
            </w:r>
          </w:p>
        </w:tc>
      </w:tr>
    </w:tbl>
    <w:p w:rsidR="009378F0" w:rsidRDefault="009378F0" w:rsidP="009378F0"/>
    <w:p w:rsidR="009378F0" w:rsidRPr="009378F0" w:rsidRDefault="009378F0" w:rsidP="009378F0"/>
    <w:p w:rsidR="00D1641C" w:rsidRDefault="006E7E57" w:rsidP="00D1641C">
      <w:pPr>
        <w:pStyle w:val="Heading2"/>
        <w:ind w:firstLine="0"/>
        <w:rPr>
          <w:i w:val="0"/>
          <w:color w:val="2272A3"/>
          <w:sz w:val="24"/>
          <w:szCs w:val="24"/>
        </w:rPr>
      </w:pPr>
      <w:r>
        <w:rPr>
          <w:i w:val="0"/>
          <w:color w:val="2272A3"/>
          <w:sz w:val="24"/>
          <w:szCs w:val="24"/>
        </w:rPr>
        <w:lastRenderedPageBreak/>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466F34" w:rsidRPr="00405CDE" w:rsidTr="003A4C32">
        <w:trPr>
          <w:trHeight w:val="510"/>
        </w:trPr>
        <w:tc>
          <w:tcPr>
            <w:tcW w:w="1430" w:type="pct"/>
            <w:tcBorders>
              <w:top w:val="nil"/>
              <w:bottom w:val="nil"/>
            </w:tcBorders>
            <w:vAlign w:val="center"/>
          </w:tcPr>
          <w:p w:rsidR="00466F34" w:rsidRDefault="00466F34">
            <w:pPr>
              <w:rPr>
                <w:rFonts w:cs="Arial"/>
                <w:sz w:val="20"/>
                <w:szCs w:val="20"/>
              </w:rPr>
            </w:pPr>
            <w:r>
              <w:rPr>
                <w:rFonts w:cs="Arial"/>
                <w:sz w:val="20"/>
                <w:szCs w:val="20"/>
              </w:rPr>
              <w:t>03 Apr - 09 Apr 2016</w:t>
            </w:r>
          </w:p>
        </w:tc>
        <w:tc>
          <w:tcPr>
            <w:tcW w:w="759" w:type="pct"/>
            <w:tcBorders>
              <w:top w:val="nil"/>
              <w:bottom w:val="nil"/>
            </w:tcBorders>
            <w:vAlign w:val="center"/>
          </w:tcPr>
          <w:p w:rsidR="00466F34" w:rsidRDefault="00466F34">
            <w:pPr>
              <w:jc w:val="center"/>
              <w:rPr>
                <w:rFonts w:cs="Arial"/>
                <w:sz w:val="20"/>
                <w:szCs w:val="20"/>
              </w:rPr>
            </w:pPr>
            <w:r>
              <w:rPr>
                <w:rFonts w:cs="Arial"/>
                <w:sz w:val="20"/>
                <w:szCs w:val="20"/>
              </w:rPr>
              <w:t>5.73</w:t>
            </w:r>
          </w:p>
        </w:tc>
        <w:tc>
          <w:tcPr>
            <w:tcW w:w="758" w:type="pct"/>
            <w:tcBorders>
              <w:top w:val="nil"/>
              <w:bottom w:val="nil"/>
            </w:tcBorders>
            <w:vAlign w:val="center"/>
          </w:tcPr>
          <w:p w:rsidR="00466F34" w:rsidRDefault="00466F34">
            <w:pPr>
              <w:jc w:val="center"/>
              <w:rPr>
                <w:rFonts w:cs="Arial"/>
                <w:sz w:val="20"/>
                <w:szCs w:val="20"/>
              </w:rPr>
            </w:pPr>
            <w:r>
              <w:rPr>
                <w:rFonts w:cs="Arial"/>
                <w:sz w:val="20"/>
                <w:szCs w:val="20"/>
              </w:rPr>
              <w:t>6.05</w:t>
            </w:r>
          </w:p>
        </w:tc>
        <w:tc>
          <w:tcPr>
            <w:tcW w:w="759" w:type="pct"/>
            <w:tcBorders>
              <w:top w:val="nil"/>
              <w:bottom w:val="nil"/>
            </w:tcBorders>
            <w:vAlign w:val="center"/>
          </w:tcPr>
          <w:p w:rsidR="00466F34" w:rsidRDefault="00466F34">
            <w:pPr>
              <w:jc w:val="center"/>
              <w:rPr>
                <w:rFonts w:cs="Arial"/>
                <w:sz w:val="20"/>
                <w:szCs w:val="20"/>
              </w:rPr>
            </w:pPr>
            <w:r>
              <w:rPr>
                <w:rFonts w:cs="Arial"/>
                <w:sz w:val="20"/>
                <w:szCs w:val="20"/>
              </w:rPr>
              <w:t>13.29</w:t>
            </w:r>
          </w:p>
        </w:tc>
        <w:tc>
          <w:tcPr>
            <w:tcW w:w="685" w:type="pct"/>
            <w:tcBorders>
              <w:top w:val="nil"/>
              <w:bottom w:val="nil"/>
            </w:tcBorders>
            <w:vAlign w:val="center"/>
          </w:tcPr>
          <w:p w:rsidR="00466F34" w:rsidRDefault="00466F34">
            <w:pPr>
              <w:jc w:val="center"/>
              <w:rPr>
                <w:rFonts w:cs="Arial"/>
                <w:sz w:val="20"/>
                <w:szCs w:val="20"/>
              </w:rPr>
            </w:pPr>
            <w:r>
              <w:rPr>
                <w:rFonts w:cs="Arial"/>
                <w:sz w:val="20"/>
                <w:szCs w:val="20"/>
              </w:rPr>
              <w:t>51</w:t>
            </w:r>
          </w:p>
        </w:tc>
        <w:tc>
          <w:tcPr>
            <w:tcW w:w="608" w:type="pct"/>
            <w:tcBorders>
              <w:top w:val="nil"/>
              <w:bottom w:val="nil"/>
            </w:tcBorders>
            <w:vAlign w:val="center"/>
          </w:tcPr>
          <w:p w:rsidR="00466F34" w:rsidRDefault="00466F34">
            <w:pPr>
              <w:jc w:val="center"/>
              <w:rPr>
                <w:rFonts w:cs="Arial"/>
                <w:sz w:val="20"/>
                <w:szCs w:val="20"/>
              </w:rPr>
            </w:pPr>
            <w:r>
              <w:rPr>
                <w:rFonts w:cs="Arial"/>
                <w:sz w:val="20"/>
                <w:szCs w:val="20"/>
              </w:rPr>
              <w:t>56</w:t>
            </w:r>
          </w:p>
        </w:tc>
      </w:tr>
      <w:tr w:rsidR="00466F34" w:rsidRPr="00405CDE" w:rsidTr="003A4C32">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466F34" w:rsidRDefault="00466F34">
            <w:pPr>
              <w:rPr>
                <w:rFonts w:cs="Arial"/>
                <w:sz w:val="20"/>
                <w:szCs w:val="20"/>
              </w:rPr>
            </w:pPr>
            <w:r>
              <w:rPr>
                <w:rFonts w:cs="Arial"/>
                <w:sz w:val="20"/>
                <w:szCs w:val="20"/>
              </w:rPr>
              <w:t>% change from previous week</w:t>
            </w:r>
          </w:p>
        </w:tc>
        <w:tc>
          <w:tcPr>
            <w:tcW w:w="759" w:type="pct"/>
            <w:tcBorders>
              <w:top w:val="nil"/>
              <w:bottom w:val="nil"/>
            </w:tcBorders>
            <w:vAlign w:val="center"/>
          </w:tcPr>
          <w:p w:rsidR="00466F34" w:rsidRDefault="00466F34">
            <w:pPr>
              <w:jc w:val="center"/>
              <w:rPr>
                <w:rFonts w:cs="Arial"/>
                <w:sz w:val="20"/>
                <w:szCs w:val="20"/>
              </w:rPr>
            </w:pPr>
            <w:r>
              <w:rPr>
                <w:rFonts w:cs="Arial"/>
                <w:sz w:val="20"/>
                <w:szCs w:val="20"/>
              </w:rPr>
              <w:t>-1</w:t>
            </w:r>
          </w:p>
        </w:tc>
        <w:tc>
          <w:tcPr>
            <w:tcW w:w="758" w:type="pct"/>
            <w:tcBorders>
              <w:top w:val="nil"/>
              <w:bottom w:val="nil"/>
            </w:tcBorders>
            <w:vAlign w:val="center"/>
          </w:tcPr>
          <w:p w:rsidR="00466F34" w:rsidRDefault="00466F34">
            <w:pPr>
              <w:jc w:val="center"/>
              <w:rPr>
                <w:rFonts w:cs="Arial"/>
                <w:sz w:val="20"/>
                <w:szCs w:val="20"/>
              </w:rPr>
            </w:pPr>
            <w:r>
              <w:rPr>
                <w:rFonts w:cs="Arial"/>
                <w:sz w:val="20"/>
                <w:szCs w:val="20"/>
              </w:rPr>
              <w:t>6</w:t>
            </w:r>
          </w:p>
        </w:tc>
        <w:tc>
          <w:tcPr>
            <w:tcW w:w="759" w:type="pct"/>
            <w:tcBorders>
              <w:top w:val="nil"/>
              <w:bottom w:val="nil"/>
            </w:tcBorders>
            <w:vAlign w:val="center"/>
          </w:tcPr>
          <w:p w:rsidR="00466F34" w:rsidRDefault="00466F34">
            <w:pPr>
              <w:jc w:val="center"/>
              <w:rPr>
                <w:rFonts w:cs="Arial"/>
                <w:sz w:val="20"/>
                <w:szCs w:val="20"/>
              </w:rPr>
            </w:pPr>
            <w:r>
              <w:rPr>
                <w:rFonts w:cs="Arial"/>
                <w:sz w:val="20"/>
                <w:szCs w:val="20"/>
              </w:rPr>
              <w:t>192</w:t>
            </w:r>
          </w:p>
        </w:tc>
        <w:tc>
          <w:tcPr>
            <w:tcW w:w="685" w:type="pct"/>
            <w:tcBorders>
              <w:top w:val="nil"/>
              <w:bottom w:val="nil"/>
            </w:tcBorders>
            <w:vAlign w:val="center"/>
          </w:tcPr>
          <w:p w:rsidR="00466F34" w:rsidRDefault="00466F34">
            <w:pPr>
              <w:jc w:val="center"/>
              <w:rPr>
                <w:rFonts w:cs="Arial"/>
                <w:sz w:val="20"/>
                <w:szCs w:val="20"/>
              </w:rPr>
            </w:pPr>
            <w:r>
              <w:rPr>
                <w:rFonts w:cs="Arial"/>
                <w:sz w:val="20"/>
                <w:szCs w:val="20"/>
              </w:rPr>
              <w:t>6</w:t>
            </w:r>
          </w:p>
        </w:tc>
        <w:tc>
          <w:tcPr>
            <w:tcW w:w="608" w:type="pct"/>
            <w:tcBorders>
              <w:top w:val="nil"/>
              <w:bottom w:val="nil"/>
            </w:tcBorders>
            <w:vAlign w:val="center"/>
          </w:tcPr>
          <w:p w:rsidR="00466F34" w:rsidRDefault="00466F34">
            <w:pPr>
              <w:jc w:val="center"/>
              <w:rPr>
                <w:rFonts w:cs="Arial"/>
                <w:sz w:val="20"/>
                <w:szCs w:val="20"/>
              </w:rPr>
            </w:pPr>
            <w:r>
              <w:rPr>
                <w:rFonts w:cs="Arial"/>
                <w:sz w:val="20"/>
                <w:szCs w:val="20"/>
              </w:rPr>
              <w:t>13</w:t>
            </w:r>
          </w:p>
        </w:tc>
      </w:tr>
      <w:tr w:rsidR="00466F34" w:rsidRPr="00405CDE" w:rsidTr="003A4C32">
        <w:trPr>
          <w:trHeight w:val="510"/>
        </w:trPr>
        <w:tc>
          <w:tcPr>
            <w:tcW w:w="1430" w:type="pct"/>
            <w:tcBorders>
              <w:top w:val="nil"/>
              <w:bottom w:val="nil"/>
            </w:tcBorders>
            <w:vAlign w:val="center"/>
          </w:tcPr>
          <w:p w:rsidR="00466F34" w:rsidRDefault="00466F34">
            <w:pPr>
              <w:rPr>
                <w:rFonts w:cs="Arial"/>
                <w:sz w:val="20"/>
                <w:szCs w:val="20"/>
              </w:rPr>
            </w:pPr>
            <w:r>
              <w:rPr>
                <w:rFonts w:cs="Arial"/>
                <w:sz w:val="20"/>
                <w:szCs w:val="20"/>
              </w:rPr>
              <w:t>15-16 financial YTD</w:t>
            </w:r>
          </w:p>
        </w:tc>
        <w:tc>
          <w:tcPr>
            <w:tcW w:w="759" w:type="pct"/>
            <w:tcBorders>
              <w:top w:val="nil"/>
              <w:bottom w:val="nil"/>
            </w:tcBorders>
            <w:vAlign w:val="center"/>
          </w:tcPr>
          <w:p w:rsidR="00466F34" w:rsidRDefault="00466F34">
            <w:pPr>
              <w:jc w:val="center"/>
              <w:rPr>
                <w:rFonts w:cs="Arial"/>
                <w:sz w:val="20"/>
                <w:szCs w:val="20"/>
              </w:rPr>
            </w:pPr>
            <w:r>
              <w:rPr>
                <w:rFonts w:cs="Arial"/>
                <w:sz w:val="20"/>
                <w:szCs w:val="20"/>
              </w:rPr>
              <w:t>5.17</w:t>
            </w:r>
          </w:p>
        </w:tc>
        <w:tc>
          <w:tcPr>
            <w:tcW w:w="758" w:type="pct"/>
            <w:tcBorders>
              <w:top w:val="nil"/>
              <w:bottom w:val="nil"/>
            </w:tcBorders>
            <w:vAlign w:val="center"/>
          </w:tcPr>
          <w:p w:rsidR="00466F34" w:rsidRDefault="00466F34">
            <w:pPr>
              <w:jc w:val="center"/>
              <w:rPr>
                <w:rFonts w:cs="Arial"/>
                <w:sz w:val="20"/>
                <w:szCs w:val="20"/>
              </w:rPr>
            </w:pPr>
            <w:r>
              <w:rPr>
                <w:rFonts w:cs="Arial"/>
                <w:sz w:val="20"/>
                <w:szCs w:val="20"/>
              </w:rPr>
              <w:t>5.27</w:t>
            </w:r>
          </w:p>
        </w:tc>
        <w:tc>
          <w:tcPr>
            <w:tcW w:w="759" w:type="pct"/>
            <w:tcBorders>
              <w:top w:val="nil"/>
              <w:bottom w:val="nil"/>
            </w:tcBorders>
            <w:vAlign w:val="center"/>
          </w:tcPr>
          <w:p w:rsidR="00466F34" w:rsidRDefault="00466F34">
            <w:pPr>
              <w:jc w:val="center"/>
              <w:rPr>
                <w:rFonts w:cs="Arial"/>
                <w:sz w:val="20"/>
                <w:szCs w:val="20"/>
              </w:rPr>
            </w:pPr>
            <w:r>
              <w:rPr>
                <w:rFonts w:cs="Arial"/>
                <w:sz w:val="20"/>
                <w:szCs w:val="20"/>
              </w:rPr>
              <w:t>8.46</w:t>
            </w:r>
          </w:p>
        </w:tc>
        <w:tc>
          <w:tcPr>
            <w:tcW w:w="685" w:type="pct"/>
            <w:tcBorders>
              <w:top w:val="nil"/>
              <w:bottom w:val="nil"/>
            </w:tcBorders>
            <w:vAlign w:val="center"/>
          </w:tcPr>
          <w:p w:rsidR="00466F34" w:rsidRDefault="00466F34">
            <w:pPr>
              <w:jc w:val="center"/>
              <w:rPr>
                <w:rFonts w:cs="Arial"/>
                <w:sz w:val="20"/>
                <w:szCs w:val="20"/>
              </w:rPr>
            </w:pPr>
            <w:r>
              <w:rPr>
                <w:rFonts w:cs="Arial"/>
                <w:sz w:val="20"/>
                <w:szCs w:val="20"/>
              </w:rPr>
              <w:t>59</w:t>
            </w:r>
          </w:p>
        </w:tc>
        <w:tc>
          <w:tcPr>
            <w:tcW w:w="608" w:type="pct"/>
            <w:tcBorders>
              <w:top w:val="nil"/>
              <w:bottom w:val="nil"/>
            </w:tcBorders>
            <w:vAlign w:val="center"/>
          </w:tcPr>
          <w:p w:rsidR="00466F34" w:rsidRDefault="00466F34">
            <w:pPr>
              <w:jc w:val="center"/>
              <w:rPr>
                <w:rFonts w:cs="Arial"/>
                <w:sz w:val="20"/>
                <w:szCs w:val="20"/>
              </w:rPr>
            </w:pPr>
            <w:r>
              <w:rPr>
                <w:rFonts w:cs="Arial"/>
                <w:sz w:val="20"/>
                <w:szCs w:val="20"/>
              </w:rPr>
              <w:t>60</w:t>
            </w:r>
          </w:p>
        </w:tc>
      </w:tr>
      <w:tr w:rsidR="00466F34" w:rsidRPr="00405CDE" w:rsidTr="003A4C32">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466F34" w:rsidRDefault="00466F34">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466F34" w:rsidRDefault="00466F34">
            <w:pPr>
              <w:jc w:val="center"/>
              <w:rPr>
                <w:rFonts w:cs="Arial"/>
                <w:sz w:val="20"/>
                <w:szCs w:val="20"/>
              </w:rPr>
            </w:pPr>
            <w:r>
              <w:rPr>
                <w:rFonts w:cs="Arial"/>
                <w:sz w:val="20"/>
                <w:szCs w:val="20"/>
              </w:rPr>
              <w:t>42</w:t>
            </w:r>
          </w:p>
        </w:tc>
        <w:tc>
          <w:tcPr>
            <w:tcW w:w="758" w:type="pct"/>
            <w:tcBorders>
              <w:top w:val="nil"/>
              <w:bottom w:val="single" w:sz="4" w:space="0" w:color="auto"/>
            </w:tcBorders>
            <w:vAlign w:val="center"/>
          </w:tcPr>
          <w:p w:rsidR="00466F34" w:rsidRDefault="00466F34">
            <w:pPr>
              <w:jc w:val="center"/>
              <w:rPr>
                <w:rFonts w:cs="Arial"/>
                <w:sz w:val="20"/>
                <w:szCs w:val="20"/>
              </w:rPr>
            </w:pPr>
            <w:r>
              <w:rPr>
                <w:rFonts w:cs="Arial"/>
                <w:sz w:val="20"/>
                <w:szCs w:val="20"/>
              </w:rPr>
              <w:t>48</w:t>
            </w:r>
          </w:p>
        </w:tc>
        <w:tc>
          <w:tcPr>
            <w:tcW w:w="759" w:type="pct"/>
            <w:tcBorders>
              <w:top w:val="nil"/>
              <w:bottom w:val="single" w:sz="4" w:space="0" w:color="auto"/>
            </w:tcBorders>
            <w:vAlign w:val="center"/>
          </w:tcPr>
          <w:p w:rsidR="00466F34" w:rsidRDefault="00466F34">
            <w:pPr>
              <w:jc w:val="center"/>
              <w:rPr>
                <w:rFonts w:cs="Arial"/>
                <w:sz w:val="20"/>
                <w:szCs w:val="20"/>
              </w:rPr>
            </w:pPr>
            <w:r>
              <w:rPr>
                <w:rFonts w:cs="Arial"/>
                <w:sz w:val="20"/>
                <w:szCs w:val="20"/>
              </w:rPr>
              <w:t>-38</w:t>
            </w:r>
          </w:p>
        </w:tc>
        <w:tc>
          <w:tcPr>
            <w:tcW w:w="685" w:type="pct"/>
            <w:tcBorders>
              <w:top w:val="nil"/>
              <w:bottom w:val="single" w:sz="4" w:space="0" w:color="auto"/>
            </w:tcBorders>
            <w:vAlign w:val="center"/>
          </w:tcPr>
          <w:p w:rsidR="00466F34" w:rsidRDefault="00466F34">
            <w:pPr>
              <w:jc w:val="center"/>
              <w:rPr>
                <w:rFonts w:cs="Arial"/>
                <w:sz w:val="20"/>
                <w:szCs w:val="20"/>
              </w:rPr>
            </w:pPr>
            <w:r>
              <w:rPr>
                <w:rFonts w:cs="Arial"/>
                <w:sz w:val="20"/>
                <w:szCs w:val="20"/>
              </w:rPr>
              <w:t>-4</w:t>
            </w:r>
          </w:p>
        </w:tc>
        <w:tc>
          <w:tcPr>
            <w:tcW w:w="608" w:type="pct"/>
            <w:tcBorders>
              <w:top w:val="nil"/>
              <w:bottom w:val="single" w:sz="4" w:space="0" w:color="auto"/>
            </w:tcBorders>
            <w:vAlign w:val="center"/>
          </w:tcPr>
          <w:p w:rsidR="00466F34" w:rsidRDefault="00466F34">
            <w:pPr>
              <w:jc w:val="center"/>
              <w:rPr>
                <w:rFonts w:cs="Arial"/>
                <w:sz w:val="20"/>
                <w:szCs w:val="20"/>
              </w:rPr>
            </w:pPr>
            <w:r>
              <w:rPr>
                <w:rFonts w:cs="Arial"/>
                <w:sz w:val="20"/>
                <w:szCs w:val="20"/>
              </w:rPr>
              <w:t>-1</w:t>
            </w:r>
          </w:p>
        </w:tc>
      </w:tr>
    </w:tbl>
    <w:p w:rsidR="00D1641C" w:rsidRDefault="006E7E57" w:rsidP="00D1641C">
      <w:pPr>
        <w:pStyle w:val="Heading2"/>
        <w:ind w:firstLine="0"/>
        <w:rPr>
          <w:i w:val="0"/>
          <w:color w:val="2272A3"/>
          <w:sz w:val="24"/>
          <w:szCs w:val="24"/>
        </w:rPr>
      </w:pPr>
      <w:r>
        <w:rPr>
          <w:i w:val="0"/>
          <w:color w:val="2272A3"/>
          <w:sz w:val="24"/>
          <w:szCs w:val="24"/>
        </w:rPr>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466F34" w:rsidRPr="00405CDE" w:rsidTr="00EE1F44">
        <w:trPr>
          <w:trHeight w:val="510"/>
        </w:trPr>
        <w:tc>
          <w:tcPr>
            <w:tcW w:w="1430" w:type="pct"/>
            <w:tcBorders>
              <w:top w:val="nil"/>
              <w:bottom w:val="nil"/>
            </w:tcBorders>
            <w:vAlign w:val="center"/>
          </w:tcPr>
          <w:p w:rsidR="00466F34" w:rsidRDefault="00466F34">
            <w:pPr>
              <w:rPr>
                <w:rFonts w:cs="Arial"/>
                <w:sz w:val="20"/>
                <w:szCs w:val="20"/>
              </w:rPr>
            </w:pPr>
            <w:r>
              <w:rPr>
                <w:rFonts w:cs="Arial"/>
                <w:sz w:val="20"/>
                <w:szCs w:val="20"/>
              </w:rPr>
              <w:t>03 Apr - 09 Apr 2016</w:t>
            </w:r>
          </w:p>
        </w:tc>
        <w:tc>
          <w:tcPr>
            <w:tcW w:w="759" w:type="pct"/>
            <w:tcBorders>
              <w:top w:val="nil"/>
              <w:bottom w:val="nil"/>
            </w:tcBorders>
            <w:vAlign w:val="center"/>
          </w:tcPr>
          <w:p w:rsidR="00466F34" w:rsidRDefault="00466F34">
            <w:pPr>
              <w:jc w:val="center"/>
              <w:rPr>
                <w:rFonts w:cs="Arial"/>
                <w:sz w:val="20"/>
                <w:szCs w:val="20"/>
              </w:rPr>
            </w:pPr>
            <w:r>
              <w:rPr>
                <w:rFonts w:cs="Arial"/>
                <w:sz w:val="20"/>
                <w:szCs w:val="20"/>
              </w:rPr>
              <w:t>5.01</w:t>
            </w:r>
          </w:p>
        </w:tc>
        <w:tc>
          <w:tcPr>
            <w:tcW w:w="758" w:type="pct"/>
            <w:tcBorders>
              <w:top w:val="nil"/>
              <w:bottom w:val="nil"/>
            </w:tcBorders>
            <w:vAlign w:val="center"/>
          </w:tcPr>
          <w:p w:rsidR="00466F34" w:rsidRDefault="00466F34">
            <w:pPr>
              <w:jc w:val="center"/>
              <w:rPr>
                <w:rFonts w:cs="Arial"/>
                <w:sz w:val="20"/>
                <w:szCs w:val="20"/>
              </w:rPr>
            </w:pPr>
            <w:r>
              <w:rPr>
                <w:rFonts w:cs="Arial"/>
                <w:sz w:val="20"/>
                <w:szCs w:val="20"/>
              </w:rPr>
              <w:t>4.78</w:t>
            </w:r>
          </w:p>
        </w:tc>
        <w:tc>
          <w:tcPr>
            <w:tcW w:w="759" w:type="pct"/>
            <w:tcBorders>
              <w:top w:val="nil"/>
              <w:bottom w:val="nil"/>
            </w:tcBorders>
            <w:vAlign w:val="center"/>
          </w:tcPr>
          <w:p w:rsidR="00466F34" w:rsidRDefault="00466F34">
            <w:pPr>
              <w:jc w:val="center"/>
              <w:rPr>
                <w:rFonts w:cs="Arial"/>
                <w:sz w:val="20"/>
                <w:szCs w:val="20"/>
              </w:rPr>
            </w:pPr>
            <w:r>
              <w:rPr>
                <w:rFonts w:cs="Arial"/>
                <w:sz w:val="20"/>
                <w:szCs w:val="20"/>
              </w:rPr>
              <w:t>1.25</w:t>
            </w:r>
          </w:p>
        </w:tc>
        <w:tc>
          <w:tcPr>
            <w:tcW w:w="685" w:type="pct"/>
            <w:tcBorders>
              <w:top w:val="nil"/>
              <w:bottom w:val="nil"/>
            </w:tcBorders>
            <w:vAlign w:val="center"/>
          </w:tcPr>
          <w:p w:rsidR="00466F34" w:rsidRDefault="00466F34">
            <w:pPr>
              <w:jc w:val="center"/>
              <w:rPr>
                <w:rFonts w:cs="Arial"/>
                <w:sz w:val="20"/>
                <w:szCs w:val="20"/>
              </w:rPr>
            </w:pPr>
            <w:r>
              <w:rPr>
                <w:rFonts w:cs="Arial"/>
                <w:sz w:val="20"/>
                <w:szCs w:val="20"/>
              </w:rPr>
              <w:t>78</w:t>
            </w:r>
          </w:p>
        </w:tc>
        <w:tc>
          <w:tcPr>
            <w:tcW w:w="608" w:type="pct"/>
            <w:tcBorders>
              <w:top w:val="nil"/>
              <w:bottom w:val="nil"/>
            </w:tcBorders>
            <w:vAlign w:val="center"/>
          </w:tcPr>
          <w:p w:rsidR="00466F34" w:rsidRDefault="00466F34">
            <w:pPr>
              <w:jc w:val="center"/>
              <w:rPr>
                <w:rFonts w:cs="Arial"/>
                <w:sz w:val="20"/>
                <w:szCs w:val="20"/>
              </w:rPr>
            </w:pPr>
            <w:r>
              <w:rPr>
                <w:rFonts w:cs="Arial"/>
                <w:sz w:val="20"/>
                <w:szCs w:val="20"/>
              </w:rPr>
              <w:t>78</w:t>
            </w:r>
          </w:p>
        </w:tc>
      </w:tr>
      <w:tr w:rsidR="00466F34" w:rsidRPr="00405CDE" w:rsidTr="00EE1F44">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466F34" w:rsidRDefault="00466F34">
            <w:pPr>
              <w:rPr>
                <w:rFonts w:cs="Arial"/>
                <w:sz w:val="20"/>
                <w:szCs w:val="20"/>
              </w:rPr>
            </w:pPr>
            <w:r>
              <w:rPr>
                <w:rFonts w:cs="Arial"/>
                <w:sz w:val="20"/>
                <w:szCs w:val="20"/>
              </w:rPr>
              <w:t>% change from previous week</w:t>
            </w:r>
          </w:p>
        </w:tc>
        <w:tc>
          <w:tcPr>
            <w:tcW w:w="759" w:type="pct"/>
            <w:tcBorders>
              <w:top w:val="nil"/>
              <w:bottom w:val="nil"/>
            </w:tcBorders>
            <w:vAlign w:val="center"/>
          </w:tcPr>
          <w:p w:rsidR="00466F34" w:rsidRDefault="00466F34">
            <w:pPr>
              <w:jc w:val="center"/>
              <w:rPr>
                <w:rFonts w:cs="Arial"/>
                <w:sz w:val="20"/>
                <w:szCs w:val="20"/>
              </w:rPr>
            </w:pPr>
            <w:r>
              <w:rPr>
                <w:rFonts w:cs="Arial"/>
                <w:sz w:val="20"/>
                <w:szCs w:val="20"/>
              </w:rPr>
              <w:t>6</w:t>
            </w:r>
          </w:p>
        </w:tc>
        <w:tc>
          <w:tcPr>
            <w:tcW w:w="758" w:type="pct"/>
            <w:tcBorders>
              <w:top w:val="nil"/>
              <w:bottom w:val="nil"/>
            </w:tcBorders>
            <w:vAlign w:val="center"/>
          </w:tcPr>
          <w:p w:rsidR="00466F34" w:rsidRDefault="00466F34">
            <w:pPr>
              <w:jc w:val="center"/>
              <w:rPr>
                <w:rFonts w:cs="Arial"/>
                <w:sz w:val="20"/>
                <w:szCs w:val="20"/>
              </w:rPr>
            </w:pPr>
            <w:r>
              <w:rPr>
                <w:rFonts w:cs="Arial"/>
                <w:sz w:val="20"/>
                <w:szCs w:val="20"/>
              </w:rPr>
              <w:t>12</w:t>
            </w:r>
          </w:p>
        </w:tc>
        <w:tc>
          <w:tcPr>
            <w:tcW w:w="759" w:type="pct"/>
            <w:tcBorders>
              <w:top w:val="nil"/>
              <w:bottom w:val="nil"/>
            </w:tcBorders>
            <w:vAlign w:val="center"/>
          </w:tcPr>
          <w:p w:rsidR="00466F34" w:rsidRDefault="00466F34">
            <w:pPr>
              <w:jc w:val="center"/>
              <w:rPr>
                <w:rFonts w:cs="Arial"/>
                <w:sz w:val="20"/>
                <w:szCs w:val="20"/>
              </w:rPr>
            </w:pPr>
            <w:r>
              <w:rPr>
                <w:rFonts w:cs="Arial"/>
                <w:sz w:val="20"/>
                <w:szCs w:val="20"/>
              </w:rPr>
              <w:t>25</w:t>
            </w:r>
          </w:p>
        </w:tc>
        <w:tc>
          <w:tcPr>
            <w:tcW w:w="685" w:type="pct"/>
            <w:tcBorders>
              <w:top w:val="nil"/>
              <w:bottom w:val="nil"/>
            </w:tcBorders>
            <w:vAlign w:val="center"/>
          </w:tcPr>
          <w:p w:rsidR="00466F34" w:rsidRDefault="00466F34">
            <w:pPr>
              <w:jc w:val="center"/>
              <w:rPr>
                <w:rFonts w:cs="Arial"/>
                <w:sz w:val="20"/>
                <w:szCs w:val="20"/>
              </w:rPr>
            </w:pPr>
            <w:r>
              <w:rPr>
                <w:rFonts w:cs="Arial"/>
                <w:sz w:val="20"/>
                <w:szCs w:val="20"/>
              </w:rPr>
              <w:t>19</w:t>
            </w:r>
          </w:p>
        </w:tc>
        <w:tc>
          <w:tcPr>
            <w:tcW w:w="608" w:type="pct"/>
            <w:tcBorders>
              <w:top w:val="nil"/>
              <w:bottom w:val="nil"/>
            </w:tcBorders>
            <w:vAlign w:val="center"/>
          </w:tcPr>
          <w:p w:rsidR="00466F34" w:rsidRDefault="00466F34">
            <w:pPr>
              <w:jc w:val="center"/>
              <w:rPr>
                <w:rFonts w:cs="Arial"/>
                <w:sz w:val="20"/>
                <w:szCs w:val="20"/>
              </w:rPr>
            </w:pPr>
            <w:r>
              <w:rPr>
                <w:rFonts w:cs="Arial"/>
                <w:sz w:val="20"/>
                <w:szCs w:val="20"/>
              </w:rPr>
              <w:t>29</w:t>
            </w:r>
          </w:p>
        </w:tc>
      </w:tr>
      <w:tr w:rsidR="00466F34" w:rsidRPr="00405CDE" w:rsidTr="00EE1F44">
        <w:trPr>
          <w:trHeight w:val="510"/>
        </w:trPr>
        <w:tc>
          <w:tcPr>
            <w:tcW w:w="1430" w:type="pct"/>
            <w:tcBorders>
              <w:top w:val="nil"/>
              <w:bottom w:val="nil"/>
            </w:tcBorders>
            <w:vAlign w:val="center"/>
          </w:tcPr>
          <w:p w:rsidR="00466F34" w:rsidRDefault="00466F34">
            <w:pPr>
              <w:rPr>
                <w:rFonts w:cs="Arial"/>
                <w:sz w:val="20"/>
                <w:szCs w:val="20"/>
              </w:rPr>
            </w:pPr>
            <w:r>
              <w:rPr>
                <w:rFonts w:cs="Arial"/>
                <w:sz w:val="20"/>
                <w:szCs w:val="20"/>
              </w:rPr>
              <w:t>15-16 financial YTD</w:t>
            </w:r>
          </w:p>
        </w:tc>
        <w:tc>
          <w:tcPr>
            <w:tcW w:w="759" w:type="pct"/>
            <w:tcBorders>
              <w:top w:val="nil"/>
              <w:bottom w:val="nil"/>
            </w:tcBorders>
            <w:vAlign w:val="center"/>
          </w:tcPr>
          <w:p w:rsidR="00466F34" w:rsidRDefault="00466F34">
            <w:pPr>
              <w:jc w:val="center"/>
              <w:rPr>
                <w:rFonts w:cs="Arial"/>
                <w:sz w:val="20"/>
                <w:szCs w:val="20"/>
              </w:rPr>
            </w:pPr>
            <w:r>
              <w:rPr>
                <w:rFonts w:cs="Arial"/>
                <w:sz w:val="20"/>
                <w:szCs w:val="20"/>
              </w:rPr>
              <w:t>4.16</w:t>
            </w:r>
          </w:p>
        </w:tc>
        <w:tc>
          <w:tcPr>
            <w:tcW w:w="758" w:type="pct"/>
            <w:tcBorders>
              <w:top w:val="nil"/>
              <w:bottom w:val="nil"/>
            </w:tcBorders>
            <w:vAlign w:val="center"/>
          </w:tcPr>
          <w:p w:rsidR="00466F34" w:rsidRDefault="00466F34">
            <w:pPr>
              <w:jc w:val="center"/>
              <w:rPr>
                <w:rFonts w:cs="Arial"/>
                <w:sz w:val="20"/>
                <w:szCs w:val="20"/>
              </w:rPr>
            </w:pPr>
            <w:r>
              <w:rPr>
                <w:rFonts w:cs="Arial"/>
                <w:sz w:val="20"/>
                <w:szCs w:val="20"/>
              </w:rPr>
              <w:t>4.16</w:t>
            </w:r>
          </w:p>
        </w:tc>
        <w:tc>
          <w:tcPr>
            <w:tcW w:w="759" w:type="pct"/>
            <w:tcBorders>
              <w:top w:val="nil"/>
              <w:bottom w:val="nil"/>
            </w:tcBorders>
            <w:vAlign w:val="center"/>
          </w:tcPr>
          <w:p w:rsidR="00466F34" w:rsidRDefault="00466F34">
            <w:pPr>
              <w:jc w:val="center"/>
              <w:rPr>
                <w:rFonts w:cs="Arial"/>
                <w:sz w:val="20"/>
                <w:szCs w:val="20"/>
              </w:rPr>
            </w:pPr>
            <w:r>
              <w:rPr>
                <w:rFonts w:cs="Arial"/>
                <w:sz w:val="20"/>
                <w:szCs w:val="20"/>
              </w:rPr>
              <w:t>1.55</w:t>
            </w:r>
          </w:p>
        </w:tc>
        <w:tc>
          <w:tcPr>
            <w:tcW w:w="685" w:type="pct"/>
            <w:tcBorders>
              <w:top w:val="nil"/>
              <w:bottom w:val="nil"/>
            </w:tcBorders>
            <w:vAlign w:val="center"/>
          </w:tcPr>
          <w:p w:rsidR="00466F34" w:rsidRDefault="00466F34">
            <w:pPr>
              <w:jc w:val="center"/>
              <w:rPr>
                <w:rFonts w:cs="Arial"/>
                <w:sz w:val="20"/>
                <w:szCs w:val="20"/>
              </w:rPr>
            </w:pPr>
            <w:r>
              <w:rPr>
                <w:rFonts w:cs="Arial"/>
                <w:sz w:val="20"/>
                <w:szCs w:val="20"/>
              </w:rPr>
              <w:t>82</w:t>
            </w:r>
          </w:p>
        </w:tc>
        <w:tc>
          <w:tcPr>
            <w:tcW w:w="608" w:type="pct"/>
            <w:tcBorders>
              <w:top w:val="nil"/>
              <w:bottom w:val="nil"/>
            </w:tcBorders>
            <w:vAlign w:val="center"/>
          </w:tcPr>
          <w:p w:rsidR="00466F34" w:rsidRDefault="00466F34">
            <w:pPr>
              <w:jc w:val="center"/>
              <w:rPr>
                <w:rFonts w:cs="Arial"/>
                <w:sz w:val="20"/>
                <w:szCs w:val="20"/>
              </w:rPr>
            </w:pPr>
            <w:r>
              <w:rPr>
                <w:rFonts w:cs="Arial"/>
                <w:sz w:val="20"/>
                <w:szCs w:val="20"/>
              </w:rPr>
              <w:t>82</w:t>
            </w:r>
          </w:p>
        </w:tc>
      </w:tr>
      <w:tr w:rsidR="00466F34" w:rsidRPr="00405CDE" w:rsidTr="00EE1F44">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466F34" w:rsidRDefault="00466F34">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466F34" w:rsidRDefault="00466F34">
            <w:pPr>
              <w:jc w:val="center"/>
              <w:rPr>
                <w:rFonts w:cs="Arial"/>
                <w:sz w:val="20"/>
                <w:szCs w:val="20"/>
              </w:rPr>
            </w:pPr>
            <w:r>
              <w:rPr>
                <w:rFonts w:cs="Arial"/>
                <w:sz w:val="20"/>
                <w:szCs w:val="20"/>
              </w:rPr>
              <w:t>74</w:t>
            </w:r>
          </w:p>
        </w:tc>
        <w:tc>
          <w:tcPr>
            <w:tcW w:w="758" w:type="pct"/>
            <w:tcBorders>
              <w:top w:val="nil"/>
              <w:bottom w:val="single" w:sz="4" w:space="0" w:color="auto"/>
            </w:tcBorders>
            <w:vAlign w:val="center"/>
          </w:tcPr>
          <w:p w:rsidR="00466F34" w:rsidRDefault="00466F34">
            <w:pPr>
              <w:jc w:val="center"/>
              <w:rPr>
                <w:rFonts w:cs="Arial"/>
                <w:sz w:val="20"/>
                <w:szCs w:val="20"/>
              </w:rPr>
            </w:pPr>
            <w:r>
              <w:rPr>
                <w:rFonts w:cs="Arial"/>
                <w:sz w:val="20"/>
                <w:szCs w:val="20"/>
              </w:rPr>
              <w:t>85</w:t>
            </w:r>
          </w:p>
        </w:tc>
        <w:tc>
          <w:tcPr>
            <w:tcW w:w="759" w:type="pct"/>
            <w:tcBorders>
              <w:top w:val="nil"/>
              <w:bottom w:val="single" w:sz="4" w:space="0" w:color="auto"/>
            </w:tcBorders>
            <w:vAlign w:val="center"/>
          </w:tcPr>
          <w:p w:rsidR="00466F34" w:rsidRDefault="00466F34">
            <w:pPr>
              <w:jc w:val="center"/>
              <w:rPr>
                <w:rFonts w:cs="Arial"/>
                <w:sz w:val="20"/>
                <w:szCs w:val="20"/>
              </w:rPr>
            </w:pPr>
            <w:r>
              <w:rPr>
                <w:rFonts w:cs="Arial"/>
                <w:sz w:val="20"/>
                <w:szCs w:val="20"/>
              </w:rPr>
              <w:t>-4</w:t>
            </w:r>
          </w:p>
        </w:tc>
        <w:tc>
          <w:tcPr>
            <w:tcW w:w="685" w:type="pct"/>
            <w:tcBorders>
              <w:top w:val="nil"/>
              <w:bottom w:val="single" w:sz="4" w:space="0" w:color="auto"/>
            </w:tcBorders>
            <w:vAlign w:val="center"/>
          </w:tcPr>
          <w:p w:rsidR="00466F34" w:rsidRDefault="00466F34">
            <w:pPr>
              <w:jc w:val="center"/>
              <w:rPr>
                <w:rFonts w:cs="Arial"/>
                <w:sz w:val="20"/>
                <w:szCs w:val="20"/>
              </w:rPr>
            </w:pPr>
            <w:r>
              <w:rPr>
                <w:rFonts w:cs="Arial"/>
                <w:sz w:val="20"/>
                <w:szCs w:val="20"/>
              </w:rPr>
              <w:t>-40</w:t>
            </w:r>
          </w:p>
        </w:tc>
        <w:tc>
          <w:tcPr>
            <w:tcW w:w="608" w:type="pct"/>
            <w:tcBorders>
              <w:top w:val="nil"/>
              <w:bottom w:val="single" w:sz="4" w:space="0" w:color="auto"/>
            </w:tcBorders>
            <w:vAlign w:val="center"/>
          </w:tcPr>
          <w:p w:rsidR="00466F34" w:rsidRDefault="00466F34">
            <w:pPr>
              <w:jc w:val="center"/>
              <w:rPr>
                <w:rFonts w:cs="Arial"/>
                <w:sz w:val="20"/>
                <w:szCs w:val="20"/>
              </w:rPr>
            </w:pPr>
            <w:r>
              <w:rPr>
                <w:rFonts w:cs="Arial"/>
                <w:sz w:val="20"/>
                <w:szCs w:val="20"/>
              </w:rPr>
              <w:t>-40</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4420C4" w:rsidRPr="004420C4" w:rsidRDefault="0008491C" w:rsidP="004420C4">
      <w:pPr>
        <w:pStyle w:val="Heading1"/>
        <w:numPr>
          <w:ilvl w:val="0"/>
          <w:numId w:val="0"/>
        </w:numPr>
        <w:spacing w:before="120" w:after="0"/>
        <w:ind w:left="142"/>
        <w:rPr>
          <w:color w:val="FFFFFF"/>
          <w:sz w:val="36"/>
        </w:rPr>
      </w:pPr>
      <w:r>
        <w:rPr>
          <w:color w:val="FFFFFF" w:themeColor="background1"/>
          <w:sz w:val="36"/>
          <w:szCs w:val="36"/>
        </w:rPr>
        <w:br w:type="page"/>
      </w:r>
      <w:r w:rsidR="00191B73">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9" o:title="AER-header for report templates"/>
          </v:shape>
        </w:pict>
      </w:r>
      <w:r w:rsidR="00191B73">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10"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FD29E2" w:rsidP="004420C4">
      <w:pPr>
        <w:pStyle w:val="Heading2"/>
        <w:numPr>
          <w:ilvl w:val="0"/>
          <w:numId w:val="0"/>
        </w:numPr>
        <w:rPr>
          <w:i w:val="0"/>
        </w:rPr>
      </w:pPr>
      <w:r>
        <w:rPr>
          <w:i w:val="0"/>
          <w:sz w:val="36"/>
          <w:szCs w:val="36"/>
        </w:rPr>
        <w:t>3 – 9 April 2016</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4"/>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5"/>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6"/>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3F64CA" w:rsidP="00362B9A">
      <w:r>
        <w:pict>
          <v:shape id="_x0000_i1025" type="#_x0000_t75" alt="Figure 1.1 shows the five Victorian schedule prices for each day this week. The marker indicates the daily imbalance weighted average price for each day. For a more detailed description of this figure, please refer to the user guide." style="width:476.05pt;height:137pt">
            <v:imagedata r:id="rId13"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3F64CA" w:rsidP="00362B9A">
      <w:r>
        <w:pict>
          <v:shape id="_x0000_i1026" type="#_x0000_t75" alt="Figure 1.2 shows the demand forecast used to calculate the five daily schedule prices for this week. For a more detailed description of this figure, please refer to the user guide.&#10;" style="width:476.05pt;height:176.8pt">
            <v:imagedata r:id="rId14"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3F64CA" w:rsidP="00362B9A">
      <w:r>
        <w:pict>
          <v:shape id="_x0000_i1027" type="#_x0000_t75" alt="Figure 1.3 shows the injection bids within certain price bands for each trading interval in Victoria this week. For a more detailed description of this figure, please refer to the user guide." style="width:476.6pt;height:206.35pt">
            <v:imagedata r:id="rId15"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3F64CA" w:rsidP="00362B9A">
      <w:r>
        <w:pict>
          <v:shape id="_x0000_i1028" type="#_x0000_t75" alt="Figure 1.4 shows the withdrawal bids within certain price bands for each trading interval in Victoria this week. For a more detailed description of this figure, please refer to the user guide." style="width:476.6pt;height:162.8pt">
            <v:imagedata r:id="rId16"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3F64CA" w:rsidP="00BC18FB">
      <w:r>
        <w:pict>
          <v:shape id="_x0000_i1029" type="#_x0000_t75" alt="Figure 1.5 shows the metered injections sorted by facility for each 4 hour interval in Victoria this week. For a more detailed description of this figure, please refer to the user guide." style="width:476.05pt;height:177.85pt">
            <v:imagedata r:id="rId17"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7"/>
      </w:r>
      <w:r w:rsidRPr="00EF58A8">
        <w:t xml:space="preserve"> Divergences in ex ante and ex post prices for a gas day may occur due to differences in scheduled (forecast) and allocated (actual) quantities.</w:t>
      </w:r>
      <w:r>
        <w:t xml:space="preserve"> Pipeline acronyms are defined in the </w:t>
      </w:r>
      <w:hyperlink r:id="rId18"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8"/>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406D4F" w:rsidRPr="00405CDE" w:rsidTr="00F114D5">
        <w:trPr>
          <w:trHeight w:val="510"/>
        </w:trPr>
        <w:tc>
          <w:tcPr>
            <w:tcW w:w="1100" w:type="pct"/>
            <w:tcBorders>
              <w:top w:val="nil"/>
              <w:bottom w:val="nil"/>
            </w:tcBorders>
            <w:vAlign w:val="center"/>
          </w:tcPr>
          <w:p w:rsidR="00406D4F" w:rsidRDefault="00406D4F">
            <w:pPr>
              <w:rPr>
                <w:rFonts w:cs="Arial"/>
                <w:sz w:val="20"/>
                <w:szCs w:val="20"/>
              </w:rPr>
            </w:pPr>
            <w:r>
              <w:rPr>
                <w:rFonts w:cs="Arial"/>
                <w:sz w:val="20"/>
                <w:szCs w:val="20"/>
              </w:rPr>
              <w:t>Ex ante price ($/GJ)</w:t>
            </w:r>
          </w:p>
        </w:tc>
        <w:tc>
          <w:tcPr>
            <w:tcW w:w="597" w:type="pct"/>
            <w:tcBorders>
              <w:top w:val="nil"/>
              <w:bottom w:val="nil"/>
            </w:tcBorders>
            <w:vAlign w:val="center"/>
          </w:tcPr>
          <w:p w:rsidR="00406D4F" w:rsidRDefault="00406D4F">
            <w:pPr>
              <w:jc w:val="center"/>
              <w:rPr>
                <w:rFonts w:cs="Arial"/>
                <w:sz w:val="20"/>
                <w:szCs w:val="20"/>
              </w:rPr>
            </w:pPr>
            <w:r>
              <w:rPr>
                <w:rFonts w:cs="Arial"/>
                <w:sz w:val="20"/>
                <w:szCs w:val="20"/>
              </w:rPr>
              <w:t>4.08</w:t>
            </w:r>
          </w:p>
        </w:tc>
        <w:tc>
          <w:tcPr>
            <w:tcW w:w="523" w:type="pct"/>
            <w:tcBorders>
              <w:top w:val="nil"/>
              <w:bottom w:val="nil"/>
            </w:tcBorders>
            <w:vAlign w:val="center"/>
          </w:tcPr>
          <w:p w:rsidR="00406D4F" w:rsidRDefault="00406D4F">
            <w:pPr>
              <w:jc w:val="center"/>
              <w:rPr>
                <w:rFonts w:cs="Arial"/>
                <w:sz w:val="20"/>
                <w:szCs w:val="20"/>
              </w:rPr>
            </w:pPr>
            <w:r>
              <w:rPr>
                <w:rFonts w:cs="Arial"/>
                <w:sz w:val="20"/>
                <w:szCs w:val="20"/>
              </w:rPr>
              <w:t>4.85</w:t>
            </w:r>
          </w:p>
        </w:tc>
        <w:tc>
          <w:tcPr>
            <w:tcW w:w="606" w:type="pct"/>
            <w:tcBorders>
              <w:top w:val="nil"/>
              <w:bottom w:val="nil"/>
            </w:tcBorders>
            <w:vAlign w:val="center"/>
          </w:tcPr>
          <w:p w:rsidR="00406D4F" w:rsidRDefault="00406D4F">
            <w:pPr>
              <w:jc w:val="center"/>
              <w:rPr>
                <w:rFonts w:cs="Arial"/>
                <w:sz w:val="20"/>
                <w:szCs w:val="20"/>
              </w:rPr>
            </w:pPr>
            <w:r>
              <w:rPr>
                <w:rFonts w:cs="Arial"/>
                <w:sz w:val="20"/>
                <w:szCs w:val="20"/>
              </w:rPr>
              <w:t>4.14</w:t>
            </w:r>
          </w:p>
        </w:tc>
        <w:tc>
          <w:tcPr>
            <w:tcW w:w="532" w:type="pct"/>
            <w:tcBorders>
              <w:top w:val="nil"/>
              <w:bottom w:val="nil"/>
            </w:tcBorders>
            <w:vAlign w:val="center"/>
          </w:tcPr>
          <w:p w:rsidR="00406D4F" w:rsidRDefault="00406D4F">
            <w:pPr>
              <w:jc w:val="center"/>
              <w:rPr>
                <w:rFonts w:cs="Arial"/>
                <w:sz w:val="20"/>
                <w:szCs w:val="20"/>
              </w:rPr>
            </w:pPr>
            <w:r>
              <w:rPr>
                <w:rFonts w:cs="Arial"/>
                <w:sz w:val="20"/>
                <w:szCs w:val="20"/>
              </w:rPr>
              <w:t>5.00</w:t>
            </w:r>
          </w:p>
        </w:tc>
        <w:tc>
          <w:tcPr>
            <w:tcW w:w="525" w:type="pct"/>
            <w:tcBorders>
              <w:top w:val="nil"/>
              <w:bottom w:val="nil"/>
            </w:tcBorders>
            <w:vAlign w:val="center"/>
          </w:tcPr>
          <w:p w:rsidR="00406D4F" w:rsidRDefault="00406D4F">
            <w:pPr>
              <w:jc w:val="center"/>
              <w:rPr>
                <w:rFonts w:cs="Arial"/>
                <w:sz w:val="20"/>
                <w:szCs w:val="20"/>
              </w:rPr>
            </w:pPr>
            <w:r>
              <w:rPr>
                <w:rFonts w:cs="Arial"/>
                <w:sz w:val="20"/>
                <w:szCs w:val="20"/>
              </w:rPr>
              <w:t>4.85</w:t>
            </w:r>
          </w:p>
        </w:tc>
        <w:tc>
          <w:tcPr>
            <w:tcW w:w="522" w:type="pct"/>
            <w:tcBorders>
              <w:top w:val="nil"/>
              <w:bottom w:val="nil"/>
            </w:tcBorders>
            <w:vAlign w:val="center"/>
          </w:tcPr>
          <w:p w:rsidR="00406D4F" w:rsidRDefault="00406D4F">
            <w:pPr>
              <w:jc w:val="center"/>
              <w:rPr>
                <w:rFonts w:cs="Arial"/>
                <w:sz w:val="20"/>
                <w:szCs w:val="20"/>
              </w:rPr>
            </w:pPr>
            <w:r>
              <w:rPr>
                <w:rFonts w:cs="Arial"/>
                <w:sz w:val="20"/>
                <w:szCs w:val="20"/>
              </w:rPr>
              <w:t>5.75</w:t>
            </w:r>
          </w:p>
        </w:tc>
        <w:tc>
          <w:tcPr>
            <w:tcW w:w="595" w:type="pct"/>
            <w:tcBorders>
              <w:top w:val="nil"/>
              <w:bottom w:val="nil"/>
            </w:tcBorders>
            <w:vAlign w:val="center"/>
          </w:tcPr>
          <w:p w:rsidR="00406D4F" w:rsidRDefault="00406D4F">
            <w:pPr>
              <w:jc w:val="center"/>
              <w:rPr>
                <w:rFonts w:cs="Arial"/>
                <w:sz w:val="20"/>
                <w:szCs w:val="20"/>
              </w:rPr>
            </w:pPr>
            <w:r>
              <w:rPr>
                <w:rFonts w:cs="Arial"/>
                <w:sz w:val="20"/>
                <w:szCs w:val="20"/>
              </w:rPr>
              <w:t>4.85</w:t>
            </w:r>
          </w:p>
        </w:tc>
      </w:tr>
      <w:tr w:rsidR="00406D4F"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406D4F" w:rsidRDefault="00406D4F">
            <w:pPr>
              <w:rPr>
                <w:rFonts w:cs="Arial"/>
                <w:sz w:val="20"/>
                <w:szCs w:val="20"/>
              </w:rPr>
            </w:pPr>
            <w:r>
              <w:rPr>
                <w:rFonts w:cs="Arial"/>
                <w:sz w:val="20"/>
                <w:szCs w:val="20"/>
              </w:rPr>
              <w:t>Ex ante quantity (TJ)</w:t>
            </w:r>
          </w:p>
        </w:tc>
        <w:tc>
          <w:tcPr>
            <w:tcW w:w="597" w:type="pct"/>
            <w:tcBorders>
              <w:top w:val="nil"/>
              <w:bottom w:val="nil"/>
            </w:tcBorders>
            <w:vAlign w:val="center"/>
          </w:tcPr>
          <w:p w:rsidR="00406D4F" w:rsidRDefault="00406D4F">
            <w:pPr>
              <w:jc w:val="center"/>
              <w:rPr>
                <w:rFonts w:cs="Arial"/>
                <w:sz w:val="20"/>
                <w:szCs w:val="20"/>
              </w:rPr>
            </w:pPr>
            <w:r>
              <w:rPr>
                <w:rFonts w:cs="Arial"/>
                <w:sz w:val="20"/>
                <w:szCs w:val="20"/>
              </w:rPr>
              <w:t>195</w:t>
            </w:r>
          </w:p>
        </w:tc>
        <w:tc>
          <w:tcPr>
            <w:tcW w:w="523" w:type="pct"/>
            <w:tcBorders>
              <w:top w:val="nil"/>
              <w:bottom w:val="nil"/>
            </w:tcBorders>
            <w:vAlign w:val="center"/>
          </w:tcPr>
          <w:p w:rsidR="00406D4F" w:rsidRDefault="00406D4F">
            <w:pPr>
              <w:jc w:val="center"/>
              <w:rPr>
                <w:rFonts w:cs="Arial"/>
                <w:sz w:val="20"/>
                <w:szCs w:val="20"/>
              </w:rPr>
            </w:pPr>
            <w:r>
              <w:rPr>
                <w:rFonts w:cs="Arial"/>
                <w:sz w:val="20"/>
                <w:szCs w:val="20"/>
              </w:rPr>
              <w:t>238</w:t>
            </w:r>
          </w:p>
        </w:tc>
        <w:tc>
          <w:tcPr>
            <w:tcW w:w="606" w:type="pct"/>
            <w:tcBorders>
              <w:top w:val="nil"/>
              <w:bottom w:val="nil"/>
            </w:tcBorders>
            <w:vAlign w:val="center"/>
          </w:tcPr>
          <w:p w:rsidR="00406D4F" w:rsidRDefault="00406D4F">
            <w:pPr>
              <w:jc w:val="center"/>
              <w:rPr>
                <w:rFonts w:cs="Arial"/>
                <w:sz w:val="20"/>
                <w:szCs w:val="20"/>
              </w:rPr>
            </w:pPr>
            <w:r>
              <w:rPr>
                <w:rFonts w:cs="Arial"/>
                <w:sz w:val="20"/>
                <w:szCs w:val="20"/>
              </w:rPr>
              <w:t>245</w:t>
            </w:r>
          </w:p>
        </w:tc>
        <w:tc>
          <w:tcPr>
            <w:tcW w:w="532" w:type="pct"/>
            <w:tcBorders>
              <w:top w:val="nil"/>
              <w:bottom w:val="nil"/>
            </w:tcBorders>
            <w:vAlign w:val="center"/>
          </w:tcPr>
          <w:p w:rsidR="00406D4F" w:rsidRDefault="00406D4F">
            <w:pPr>
              <w:jc w:val="center"/>
              <w:rPr>
                <w:rFonts w:cs="Arial"/>
                <w:sz w:val="20"/>
                <w:szCs w:val="20"/>
              </w:rPr>
            </w:pPr>
            <w:r>
              <w:rPr>
                <w:rFonts w:cs="Arial"/>
                <w:sz w:val="20"/>
                <w:szCs w:val="20"/>
              </w:rPr>
              <w:t>246</w:t>
            </w:r>
          </w:p>
        </w:tc>
        <w:tc>
          <w:tcPr>
            <w:tcW w:w="525" w:type="pct"/>
            <w:tcBorders>
              <w:top w:val="nil"/>
              <w:bottom w:val="nil"/>
            </w:tcBorders>
            <w:vAlign w:val="center"/>
          </w:tcPr>
          <w:p w:rsidR="00406D4F" w:rsidRDefault="00406D4F">
            <w:pPr>
              <w:jc w:val="center"/>
              <w:rPr>
                <w:rFonts w:cs="Arial"/>
                <w:sz w:val="20"/>
                <w:szCs w:val="20"/>
              </w:rPr>
            </w:pPr>
            <w:r>
              <w:rPr>
                <w:rFonts w:cs="Arial"/>
                <w:sz w:val="20"/>
                <w:szCs w:val="20"/>
              </w:rPr>
              <w:t>236</w:t>
            </w:r>
          </w:p>
        </w:tc>
        <w:tc>
          <w:tcPr>
            <w:tcW w:w="522" w:type="pct"/>
            <w:tcBorders>
              <w:top w:val="nil"/>
              <w:bottom w:val="nil"/>
            </w:tcBorders>
            <w:vAlign w:val="center"/>
          </w:tcPr>
          <w:p w:rsidR="00406D4F" w:rsidRDefault="00406D4F">
            <w:pPr>
              <w:jc w:val="center"/>
              <w:rPr>
                <w:rFonts w:cs="Arial"/>
                <w:sz w:val="20"/>
                <w:szCs w:val="20"/>
              </w:rPr>
            </w:pPr>
            <w:r>
              <w:rPr>
                <w:rFonts w:cs="Arial"/>
                <w:sz w:val="20"/>
                <w:szCs w:val="20"/>
              </w:rPr>
              <w:t>232</w:t>
            </w:r>
          </w:p>
        </w:tc>
        <w:tc>
          <w:tcPr>
            <w:tcW w:w="595" w:type="pct"/>
            <w:tcBorders>
              <w:top w:val="nil"/>
              <w:bottom w:val="nil"/>
            </w:tcBorders>
            <w:vAlign w:val="center"/>
          </w:tcPr>
          <w:p w:rsidR="00406D4F" w:rsidRDefault="00406D4F">
            <w:pPr>
              <w:jc w:val="center"/>
              <w:rPr>
                <w:rFonts w:cs="Arial"/>
                <w:sz w:val="20"/>
                <w:szCs w:val="20"/>
              </w:rPr>
            </w:pPr>
            <w:r>
              <w:rPr>
                <w:rFonts w:cs="Arial"/>
                <w:sz w:val="20"/>
                <w:szCs w:val="20"/>
              </w:rPr>
              <w:t>216</w:t>
            </w:r>
          </w:p>
        </w:tc>
      </w:tr>
      <w:tr w:rsidR="00406D4F" w:rsidRPr="00405CDE" w:rsidTr="00F114D5">
        <w:trPr>
          <w:trHeight w:val="510"/>
        </w:trPr>
        <w:tc>
          <w:tcPr>
            <w:tcW w:w="1100" w:type="pct"/>
            <w:tcBorders>
              <w:top w:val="nil"/>
              <w:bottom w:val="nil"/>
            </w:tcBorders>
            <w:vAlign w:val="center"/>
          </w:tcPr>
          <w:p w:rsidR="00406D4F" w:rsidRDefault="00406D4F">
            <w:pPr>
              <w:rPr>
                <w:rFonts w:cs="Arial"/>
                <w:sz w:val="20"/>
                <w:szCs w:val="20"/>
              </w:rPr>
            </w:pPr>
            <w:r>
              <w:rPr>
                <w:rFonts w:cs="Arial"/>
                <w:sz w:val="20"/>
                <w:szCs w:val="20"/>
              </w:rPr>
              <w:t>Ex post price ($/GJ)</w:t>
            </w:r>
          </w:p>
        </w:tc>
        <w:tc>
          <w:tcPr>
            <w:tcW w:w="597" w:type="pct"/>
            <w:tcBorders>
              <w:top w:val="nil"/>
              <w:bottom w:val="nil"/>
            </w:tcBorders>
            <w:vAlign w:val="center"/>
          </w:tcPr>
          <w:p w:rsidR="00406D4F" w:rsidRDefault="00406D4F">
            <w:pPr>
              <w:jc w:val="center"/>
              <w:rPr>
                <w:rFonts w:cs="Arial"/>
                <w:sz w:val="20"/>
                <w:szCs w:val="20"/>
              </w:rPr>
            </w:pPr>
            <w:r>
              <w:rPr>
                <w:rFonts w:cs="Arial"/>
                <w:sz w:val="20"/>
                <w:szCs w:val="20"/>
              </w:rPr>
              <w:t>3.90</w:t>
            </w:r>
          </w:p>
        </w:tc>
        <w:tc>
          <w:tcPr>
            <w:tcW w:w="523" w:type="pct"/>
            <w:tcBorders>
              <w:top w:val="nil"/>
              <w:bottom w:val="nil"/>
            </w:tcBorders>
            <w:vAlign w:val="center"/>
          </w:tcPr>
          <w:p w:rsidR="00406D4F" w:rsidRDefault="00406D4F">
            <w:pPr>
              <w:jc w:val="center"/>
              <w:rPr>
                <w:rFonts w:cs="Arial"/>
                <w:sz w:val="20"/>
                <w:szCs w:val="20"/>
              </w:rPr>
            </w:pPr>
            <w:r>
              <w:rPr>
                <w:rFonts w:cs="Arial"/>
                <w:sz w:val="20"/>
                <w:szCs w:val="20"/>
              </w:rPr>
              <w:t>4.60</w:t>
            </w:r>
          </w:p>
        </w:tc>
        <w:tc>
          <w:tcPr>
            <w:tcW w:w="606" w:type="pct"/>
            <w:tcBorders>
              <w:top w:val="nil"/>
              <w:bottom w:val="nil"/>
            </w:tcBorders>
            <w:vAlign w:val="center"/>
          </w:tcPr>
          <w:p w:rsidR="00406D4F" w:rsidRDefault="00406D4F">
            <w:pPr>
              <w:jc w:val="center"/>
              <w:rPr>
                <w:rFonts w:cs="Arial"/>
                <w:sz w:val="20"/>
                <w:szCs w:val="20"/>
              </w:rPr>
            </w:pPr>
            <w:r>
              <w:rPr>
                <w:rFonts w:cs="Arial"/>
                <w:sz w:val="20"/>
                <w:szCs w:val="20"/>
              </w:rPr>
              <w:t>4.14</w:t>
            </w:r>
          </w:p>
        </w:tc>
        <w:tc>
          <w:tcPr>
            <w:tcW w:w="532" w:type="pct"/>
            <w:tcBorders>
              <w:top w:val="nil"/>
              <w:bottom w:val="nil"/>
            </w:tcBorders>
            <w:vAlign w:val="center"/>
          </w:tcPr>
          <w:p w:rsidR="00406D4F" w:rsidRDefault="00406D4F">
            <w:pPr>
              <w:jc w:val="center"/>
              <w:rPr>
                <w:rFonts w:cs="Arial"/>
                <w:sz w:val="20"/>
                <w:szCs w:val="20"/>
              </w:rPr>
            </w:pPr>
            <w:r>
              <w:rPr>
                <w:rFonts w:cs="Arial"/>
                <w:sz w:val="20"/>
                <w:szCs w:val="20"/>
              </w:rPr>
              <w:t>3.00</w:t>
            </w:r>
          </w:p>
        </w:tc>
        <w:tc>
          <w:tcPr>
            <w:tcW w:w="525" w:type="pct"/>
            <w:tcBorders>
              <w:top w:val="nil"/>
              <w:bottom w:val="nil"/>
            </w:tcBorders>
            <w:vAlign w:val="center"/>
          </w:tcPr>
          <w:p w:rsidR="00406D4F" w:rsidRDefault="00406D4F">
            <w:pPr>
              <w:jc w:val="center"/>
              <w:rPr>
                <w:rFonts w:cs="Arial"/>
                <w:sz w:val="20"/>
                <w:szCs w:val="20"/>
              </w:rPr>
            </w:pPr>
            <w:r>
              <w:rPr>
                <w:rFonts w:cs="Arial"/>
                <w:sz w:val="20"/>
                <w:szCs w:val="20"/>
              </w:rPr>
              <w:t>4.74</w:t>
            </w:r>
          </w:p>
        </w:tc>
        <w:tc>
          <w:tcPr>
            <w:tcW w:w="522" w:type="pct"/>
            <w:tcBorders>
              <w:top w:val="nil"/>
              <w:bottom w:val="nil"/>
            </w:tcBorders>
            <w:vAlign w:val="center"/>
          </w:tcPr>
          <w:p w:rsidR="00406D4F" w:rsidRDefault="00406D4F">
            <w:pPr>
              <w:jc w:val="center"/>
              <w:rPr>
                <w:rFonts w:cs="Arial"/>
                <w:sz w:val="20"/>
                <w:szCs w:val="20"/>
              </w:rPr>
            </w:pPr>
            <w:r>
              <w:rPr>
                <w:rFonts w:cs="Arial"/>
                <w:sz w:val="20"/>
                <w:szCs w:val="20"/>
              </w:rPr>
              <w:t>6.49</w:t>
            </w:r>
          </w:p>
        </w:tc>
        <w:tc>
          <w:tcPr>
            <w:tcW w:w="595" w:type="pct"/>
            <w:tcBorders>
              <w:top w:val="nil"/>
              <w:bottom w:val="nil"/>
            </w:tcBorders>
            <w:vAlign w:val="center"/>
          </w:tcPr>
          <w:p w:rsidR="00406D4F" w:rsidRDefault="00406D4F">
            <w:pPr>
              <w:jc w:val="center"/>
              <w:rPr>
                <w:rFonts w:cs="Arial"/>
                <w:sz w:val="20"/>
                <w:szCs w:val="20"/>
              </w:rPr>
            </w:pPr>
            <w:r>
              <w:rPr>
                <w:rFonts w:cs="Arial"/>
                <w:sz w:val="20"/>
                <w:szCs w:val="20"/>
              </w:rPr>
              <w:t>4.30</w:t>
            </w:r>
          </w:p>
        </w:tc>
      </w:tr>
      <w:tr w:rsidR="00406D4F"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406D4F" w:rsidRDefault="00406D4F">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406D4F" w:rsidRDefault="00406D4F">
            <w:pPr>
              <w:jc w:val="center"/>
              <w:rPr>
                <w:rFonts w:cs="Arial"/>
                <w:sz w:val="20"/>
                <w:szCs w:val="20"/>
              </w:rPr>
            </w:pPr>
            <w:r>
              <w:rPr>
                <w:rFonts w:cs="Arial"/>
                <w:sz w:val="20"/>
                <w:szCs w:val="20"/>
              </w:rPr>
              <w:t>189</w:t>
            </w:r>
          </w:p>
        </w:tc>
        <w:tc>
          <w:tcPr>
            <w:tcW w:w="523" w:type="pct"/>
            <w:tcBorders>
              <w:top w:val="nil"/>
              <w:bottom w:val="single" w:sz="4" w:space="0" w:color="auto"/>
            </w:tcBorders>
            <w:vAlign w:val="center"/>
          </w:tcPr>
          <w:p w:rsidR="00406D4F" w:rsidRDefault="00406D4F">
            <w:pPr>
              <w:jc w:val="center"/>
              <w:rPr>
                <w:rFonts w:cs="Arial"/>
                <w:sz w:val="20"/>
                <w:szCs w:val="20"/>
              </w:rPr>
            </w:pPr>
            <w:r>
              <w:rPr>
                <w:rFonts w:cs="Arial"/>
                <w:sz w:val="20"/>
                <w:szCs w:val="20"/>
              </w:rPr>
              <w:t>236</w:t>
            </w:r>
          </w:p>
        </w:tc>
        <w:tc>
          <w:tcPr>
            <w:tcW w:w="606" w:type="pct"/>
            <w:tcBorders>
              <w:top w:val="nil"/>
              <w:bottom w:val="single" w:sz="4" w:space="0" w:color="auto"/>
            </w:tcBorders>
            <w:vAlign w:val="center"/>
          </w:tcPr>
          <w:p w:rsidR="00406D4F" w:rsidRDefault="00406D4F">
            <w:pPr>
              <w:jc w:val="center"/>
              <w:rPr>
                <w:rFonts w:cs="Arial"/>
                <w:sz w:val="20"/>
                <w:szCs w:val="20"/>
              </w:rPr>
            </w:pPr>
            <w:r>
              <w:rPr>
                <w:rFonts w:cs="Arial"/>
                <w:sz w:val="20"/>
                <w:szCs w:val="20"/>
              </w:rPr>
              <w:t>242</w:t>
            </w:r>
          </w:p>
        </w:tc>
        <w:tc>
          <w:tcPr>
            <w:tcW w:w="532" w:type="pct"/>
            <w:tcBorders>
              <w:top w:val="nil"/>
              <w:bottom w:val="single" w:sz="4" w:space="0" w:color="auto"/>
            </w:tcBorders>
            <w:vAlign w:val="center"/>
          </w:tcPr>
          <w:p w:rsidR="00406D4F" w:rsidRDefault="00406D4F">
            <w:pPr>
              <w:jc w:val="center"/>
              <w:rPr>
                <w:rFonts w:cs="Arial"/>
                <w:sz w:val="20"/>
                <w:szCs w:val="20"/>
              </w:rPr>
            </w:pPr>
            <w:r>
              <w:rPr>
                <w:rFonts w:cs="Arial"/>
                <w:sz w:val="20"/>
                <w:szCs w:val="20"/>
              </w:rPr>
              <w:t>232</w:t>
            </w:r>
          </w:p>
        </w:tc>
        <w:tc>
          <w:tcPr>
            <w:tcW w:w="525" w:type="pct"/>
            <w:tcBorders>
              <w:top w:val="nil"/>
              <w:bottom w:val="single" w:sz="4" w:space="0" w:color="auto"/>
            </w:tcBorders>
            <w:vAlign w:val="center"/>
          </w:tcPr>
          <w:p w:rsidR="00406D4F" w:rsidRDefault="00406D4F">
            <w:pPr>
              <w:jc w:val="center"/>
              <w:rPr>
                <w:rFonts w:cs="Arial"/>
                <w:sz w:val="20"/>
                <w:szCs w:val="20"/>
              </w:rPr>
            </w:pPr>
            <w:r>
              <w:rPr>
                <w:rFonts w:cs="Arial"/>
                <w:sz w:val="20"/>
                <w:szCs w:val="20"/>
              </w:rPr>
              <w:t>233</w:t>
            </w:r>
          </w:p>
        </w:tc>
        <w:tc>
          <w:tcPr>
            <w:tcW w:w="522" w:type="pct"/>
            <w:tcBorders>
              <w:top w:val="nil"/>
              <w:bottom w:val="single" w:sz="4" w:space="0" w:color="auto"/>
            </w:tcBorders>
            <w:vAlign w:val="center"/>
          </w:tcPr>
          <w:p w:rsidR="00406D4F" w:rsidRDefault="00406D4F">
            <w:pPr>
              <w:jc w:val="center"/>
              <w:rPr>
                <w:rFonts w:cs="Arial"/>
                <w:sz w:val="20"/>
                <w:szCs w:val="20"/>
              </w:rPr>
            </w:pPr>
            <w:r>
              <w:rPr>
                <w:rFonts w:cs="Arial"/>
                <w:sz w:val="20"/>
                <w:szCs w:val="20"/>
              </w:rPr>
              <w:t>241</w:t>
            </w:r>
          </w:p>
        </w:tc>
        <w:tc>
          <w:tcPr>
            <w:tcW w:w="595" w:type="pct"/>
            <w:tcBorders>
              <w:top w:val="nil"/>
              <w:bottom w:val="single" w:sz="4" w:space="0" w:color="auto"/>
            </w:tcBorders>
            <w:vAlign w:val="center"/>
          </w:tcPr>
          <w:p w:rsidR="00406D4F" w:rsidRDefault="00406D4F">
            <w:pPr>
              <w:jc w:val="center"/>
              <w:rPr>
                <w:rFonts w:cs="Arial"/>
                <w:sz w:val="20"/>
                <w:szCs w:val="20"/>
              </w:rPr>
            </w:pPr>
            <w:r>
              <w:rPr>
                <w:rFonts w:cs="Arial"/>
                <w:sz w:val="20"/>
                <w:szCs w:val="20"/>
              </w:rPr>
              <w:t>200</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3F64CA" w:rsidP="00362B9A">
      <w:r>
        <w:pict>
          <v:shape id="_x0000_i1030" type="#_x0000_t75" alt="Figure 2.2 shows the daily hub offers and bid in within certain price bands in Sydney this week. The line indicates the scheduled quantity for each day. For a more detailed description of this figure, please refer to the user guide." style="width:476.05pt;height:170.35pt">
            <v:imagedata r:id="rId19"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3F64CA" w:rsidP="00362B9A">
      <w:r>
        <w:pict>
          <v:shape id="_x0000_i1031" type="#_x0000_t75" alt="Figure 2.3 shows the daily scheduled and allocated quantities sorted by facility for Sydney this week. For a more detailed description of this figure, please refer to the user guide." style="width:477.65pt;height:212.8pt">
            <v:imagedata r:id="rId20" o:title=""/>
          </v:shape>
        </w:pict>
      </w:r>
    </w:p>
    <w:p w:rsidR="00BC18FB" w:rsidRPr="00DD0358" w:rsidRDefault="00362B9A" w:rsidP="00560F2D">
      <w:pPr>
        <w:pStyle w:val="Heading4"/>
        <w:ind w:left="1440" w:hanging="1440"/>
        <w:rPr>
          <w:color w:val="2272A3"/>
          <w:sz w:val="24"/>
          <w:szCs w:val="24"/>
        </w:rPr>
      </w:pPr>
      <w:r w:rsidRPr="00DD0358">
        <w:rPr>
          <w:color w:val="2272A3"/>
          <w:sz w:val="24"/>
          <w:szCs w:val="24"/>
        </w:rPr>
        <w:t>SYD MOS allocations (TJ), service payments and commodity payments/charges ($000)</w:t>
      </w:r>
    </w:p>
    <w:p w:rsidR="00362B9A" w:rsidRDefault="003F64CA" w:rsidP="00362B9A">
      <w:r>
        <w:pict>
          <v:shape id="_x0000_i1032" type="#_x0000_t75" alt="Figure 2.4 shows the daily MOS allocations sorted by facility for each facility in Sydney this week. The figure also shows the daily breakdown of costs associated with the MOS provided. For a more detailed description of this figure, please refer to the user guide." style="width:476.05pt;height:180.55pt">
            <v:imagedata r:id="rId21"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406D4F" w:rsidRPr="00405CDE" w:rsidTr="006C5082">
        <w:trPr>
          <w:trHeight w:val="510"/>
        </w:trPr>
        <w:tc>
          <w:tcPr>
            <w:tcW w:w="1100" w:type="pct"/>
            <w:tcBorders>
              <w:top w:val="nil"/>
              <w:bottom w:val="nil"/>
            </w:tcBorders>
            <w:vAlign w:val="center"/>
          </w:tcPr>
          <w:p w:rsidR="00406D4F" w:rsidRDefault="00406D4F">
            <w:pPr>
              <w:rPr>
                <w:rFonts w:cs="Arial"/>
                <w:sz w:val="20"/>
                <w:szCs w:val="20"/>
              </w:rPr>
            </w:pPr>
            <w:r>
              <w:rPr>
                <w:rFonts w:cs="Arial"/>
                <w:sz w:val="20"/>
                <w:szCs w:val="20"/>
              </w:rPr>
              <w:t>Ex ante price ($/GJ)</w:t>
            </w:r>
          </w:p>
        </w:tc>
        <w:tc>
          <w:tcPr>
            <w:tcW w:w="597" w:type="pct"/>
            <w:tcBorders>
              <w:top w:val="nil"/>
              <w:bottom w:val="nil"/>
            </w:tcBorders>
            <w:vAlign w:val="center"/>
          </w:tcPr>
          <w:p w:rsidR="00406D4F" w:rsidRDefault="00406D4F">
            <w:pPr>
              <w:jc w:val="center"/>
              <w:rPr>
                <w:rFonts w:cs="Arial"/>
                <w:sz w:val="20"/>
                <w:szCs w:val="20"/>
              </w:rPr>
            </w:pPr>
            <w:r>
              <w:rPr>
                <w:rFonts w:cs="Arial"/>
                <w:sz w:val="20"/>
                <w:szCs w:val="20"/>
              </w:rPr>
              <w:t>5.63</w:t>
            </w:r>
          </w:p>
        </w:tc>
        <w:tc>
          <w:tcPr>
            <w:tcW w:w="523" w:type="pct"/>
            <w:tcBorders>
              <w:top w:val="nil"/>
              <w:bottom w:val="nil"/>
            </w:tcBorders>
            <w:vAlign w:val="center"/>
          </w:tcPr>
          <w:p w:rsidR="00406D4F" w:rsidRDefault="00406D4F">
            <w:pPr>
              <w:jc w:val="center"/>
              <w:rPr>
                <w:rFonts w:cs="Arial"/>
                <w:sz w:val="20"/>
                <w:szCs w:val="20"/>
              </w:rPr>
            </w:pPr>
            <w:r>
              <w:rPr>
                <w:rFonts w:cs="Arial"/>
                <w:sz w:val="20"/>
                <w:szCs w:val="20"/>
              </w:rPr>
              <w:t>5.25</w:t>
            </w:r>
          </w:p>
        </w:tc>
        <w:tc>
          <w:tcPr>
            <w:tcW w:w="606" w:type="pct"/>
            <w:tcBorders>
              <w:top w:val="nil"/>
              <w:bottom w:val="nil"/>
            </w:tcBorders>
            <w:vAlign w:val="center"/>
          </w:tcPr>
          <w:p w:rsidR="00406D4F" w:rsidRDefault="00406D4F">
            <w:pPr>
              <w:jc w:val="center"/>
              <w:rPr>
                <w:rFonts w:cs="Arial"/>
                <w:sz w:val="20"/>
                <w:szCs w:val="20"/>
              </w:rPr>
            </w:pPr>
            <w:r>
              <w:rPr>
                <w:rFonts w:cs="Arial"/>
                <w:sz w:val="20"/>
                <w:szCs w:val="20"/>
              </w:rPr>
              <w:t>5.05</w:t>
            </w:r>
          </w:p>
        </w:tc>
        <w:tc>
          <w:tcPr>
            <w:tcW w:w="532" w:type="pct"/>
            <w:tcBorders>
              <w:top w:val="nil"/>
              <w:bottom w:val="nil"/>
            </w:tcBorders>
            <w:vAlign w:val="center"/>
          </w:tcPr>
          <w:p w:rsidR="00406D4F" w:rsidRDefault="00406D4F">
            <w:pPr>
              <w:jc w:val="center"/>
              <w:rPr>
                <w:rFonts w:cs="Arial"/>
                <w:sz w:val="20"/>
                <w:szCs w:val="20"/>
              </w:rPr>
            </w:pPr>
            <w:r>
              <w:rPr>
                <w:rFonts w:cs="Arial"/>
                <w:sz w:val="20"/>
                <w:szCs w:val="20"/>
              </w:rPr>
              <w:t>6.12</w:t>
            </w:r>
          </w:p>
        </w:tc>
        <w:tc>
          <w:tcPr>
            <w:tcW w:w="525" w:type="pct"/>
            <w:tcBorders>
              <w:top w:val="nil"/>
              <w:bottom w:val="nil"/>
            </w:tcBorders>
            <w:vAlign w:val="center"/>
          </w:tcPr>
          <w:p w:rsidR="00406D4F" w:rsidRDefault="00406D4F">
            <w:pPr>
              <w:jc w:val="center"/>
              <w:rPr>
                <w:rFonts w:cs="Arial"/>
                <w:sz w:val="20"/>
                <w:szCs w:val="20"/>
              </w:rPr>
            </w:pPr>
            <w:r>
              <w:rPr>
                <w:rFonts w:cs="Arial"/>
                <w:sz w:val="20"/>
                <w:szCs w:val="20"/>
              </w:rPr>
              <w:t>5.80</w:t>
            </w:r>
          </w:p>
        </w:tc>
        <w:tc>
          <w:tcPr>
            <w:tcW w:w="522" w:type="pct"/>
            <w:tcBorders>
              <w:top w:val="nil"/>
              <w:bottom w:val="nil"/>
            </w:tcBorders>
            <w:vAlign w:val="center"/>
          </w:tcPr>
          <w:p w:rsidR="00406D4F" w:rsidRDefault="00406D4F">
            <w:pPr>
              <w:jc w:val="center"/>
              <w:rPr>
                <w:rFonts w:cs="Arial"/>
                <w:sz w:val="20"/>
                <w:szCs w:val="20"/>
              </w:rPr>
            </w:pPr>
            <w:r>
              <w:rPr>
                <w:rFonts w:cs="Arial"/>
                <w:sz w:val="20"/>
                <w:szCs w:val="20"/>
              </w:rPr>
              <w:t>5.90</w:t>
            </w:r>
          </w:p>
        </w:tc>
        <w:tc>
          <w:tcPr>
            <w:tcW w:w="595" w:type="pct"/>
            <w:tcBorders>
              <w:top w:val="nil"/>
              <w:bottom w:val="nil"/>
            </w:tcBorders>
            <w:vAlign w:val="center"/>
          </w:tcPr>
          <w:p w:rsidR="00406D4F" w:rsidRDefault="00406D4F">
            <w:pPr>
              <w:jc w:val="center"/>
              <w:rPr>
                <w:rFonts w:cs="Arial"/>
                <w:sz w:val="20"/>
                <w:szCs w:val="20"/>
              </w:rPr>
            </w:pPr>
            <w:r>
              <w:rPr>
                <w:rFonts w:cs="Arial"/>
                <w:sz w:val="20"/>
                <w:szCs w:val="20"/>
              </w:rPr>
              <w:t>6.34</w:t>
            </w:r>
          </w:p>
        </w:tc>
      </w:tr>
      <w:tr w:rsidR="00406D4F"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406D4F" w:rsidRDefault="00406D4F">
            <w:pPr>
              <w:rPr>
                <w:rFonts w:cs="Arial"/>
                <w:sz w:val="20"/>
                <w:szCs w:val="20"/>
              </w:rPr>
            </w:pPr>
            <w:r>
              <w:rPr>
                <w:rFonts w:cs="Arial"/>
                <w:sz w:val="20"/>
                <w:szCs w:val="20"/>
              </w:rPr>
              <w:t>Ex ante quantity (TJ)</w:t>
            </w:r>
          </w:p>
        </w:tc>
        <w:tc>
          <w:tcPr>
            <w:tcW w:w="597" w:type="pct"/>
            <w:tcBorders>
              <w:top w:val="nil"/>
              <w:bottom w:val="nil"/>
            </w:tcBorders>
            <w:vAlign w:val="center"/>
          </w:tcPr>
          <w:p w:rsidR="00406D4F" w:rsidRDefault="00406D4F">
            <w:pPr>
              <w:jc w:val="center"/>
              <w:rPr>
                <w:rFonts w:cs="Arial"/>
                <w:sz w:val="20"/>
                <w:szCs w:val="20"/>
              </w:rPr>
            </w:pPr>
            <w:r>
              <w:rPr>
                <w:rFonts w:cs="Arial"/>
                <w:sz w:val="20"/>
                <w:szCs w:val="20"/>
              </w:rPr>
              <w:t>41</w:t>
            </w:r>
          </w:p>
        </w:tc>
        <w:tc>
          <w:tcPr>
            <w:tcW w:w="523" w:type="pct"/>
            <w:tcBorders>
              <w:top w:val="nil"/>
              <w:bottom w:val="nil"/>
            </w:tcBorders>
            <w:vAlign w:val="center"/>
          </w:tcPr>
          <w:p w:rsidR="00406D4F" w:rsidRDefault="00406D4F">
            <w:pPr>
              <w:jc w:val="center"/>
              <w:rPr>
                <w:rFonts w:cs="Arial"/>
                <w:sz w:val="20"/>
                <w:szCs w:val="20"/>
              </w:rPr>
            </w:pPr>
            <w:r>
              <w:rPr>
                <w:rFonts w:cs="Arial"/>
                <w:sz w:val="20"/>
                <w:szCs w:val="20"/>
              </w:rPr>
              <w:t>47</w:t>
            </w:r>
          </w:p>
        </w:tc>
        <w:tc>
          <w:tcPr>
            <w:tcW w:w="606" w:type="pct"/>
            <w:tcBorders>
              <w:top w:val="nil"/>
              <w:bottom w:val="nil"/>
            </w:tcBorders>
            <w:vAlign w:val="center"/>
          </w:tcPr>
          <w:p w:rsidR="00406D4F" w:rsidRDefault="00406D4F">
            <w:pPr>
              <w:jc w:val="center"/>
              <w:rPr>
                <w:rFonts w:cs="Arial"/>
                <w:sz w:val="20"/>
                <w:szCs w:val="20"/>
              </w:rPr>
            </w:pPr>
            <w:r>
              <w:rPr>
                <w:rFonts w:cs="Arial"/>
                <w:sz w:val="20"/>
                <w:szCs w:val="20"/>
              </w:rPr>
              <w:t>52</w:t>
            </w:r>
          </w:p>
        </w:tc>
        <w:tc>
          <w:tcPr>
            <w:tcW w:w="532" w:type="pct"/>
            <w:tcBorders>
              <w:top w:val="nil"/>
              <w:bottom w:val="nil"/>
            </w:tcBorders>
            <w:vAlign w:val="center"/>
          </w:tcPr>
          <w:p w:rsidR="00406D4F" w:rsidRDefault="00406D4F">
            <w:pPr>
              <w:jc w:val="center"/>
              <w:rPr>
                <w:rFonts w:cs="Arial"/>
                <w:sz w:val="20"/>
                <w:szCs w:val="20"/>
              </w:rPr>
            </w:pPr>
            <w:r>
              <w:rPr>
                <w:rFonts w:cs="Arial"/>
                <w:sz w:val="20"/>
                <w:szCs w:val="20"/>
              </w:rPr>
              <w:t>57</w:t>
            </w:r>
          </w:p>
        </w:tc>
        <w:tc>
          <w:tcPr>
            <w:tcW w:w="525" w:type="pct"/>
            <w:tcBorders>
              <w:top w:val="nil"/>
              <w:bottom w:val="nil"/>
            </w:tcBorders>
            <w:vAlign w:val="center"/>
          </w:tcPr>
          <w:p w:rsidR="00406D4F" w:rsidRDefault="00406D4F">
            <w:pPr>
              <w:jc w:val="center"/>
              <w:rPr>
                <w:rFonts w:cs="Arial"/>
                <w:sz w:val="20"/>
                <w:szCs w:val="20"/>
              </w:rPr>
            </w:pPr>
            <w:r>
              <w:rPr>
                <w:rFonts w:cs="Arial"/>
                <w:sz w:val="20"/>
                <w:szCs w:val="20"/>
              </w:rPr>
              <w:t>59</w:t>
            </w:r>
          </w:p>
        </w:tc>
        <w:tc>
          <w:tcPr>
            <w:tcW w:w="522" w:type="pct"/>
            <w:tcBorders>
              <w:top w:val="nil"/>
              <w:bottom w:val="nil"/>
            </w:tcBorders>
            <w:vAlign w:val="center"/>
          </w:tcPr>
          <w:p w:rsidR="00406D4F" w:rsidRDefault="00406D4F">
            <w:pPr>
              <w:jc w:val="center"/>
              <w:rPr>
                <w:rFonts w:cs="Arial"/>
                <w:sz w:val="20"/>
                <w:szCs w:val="20"/>
              </w:rPr>
            </w:pPr>
            <w:r>
              <w:rPr>
                <w:rFonts w:cs="Arial"/>
                <w:sz w:val="20"/>
                <w:szCs w:val="20"/>
              </w:rPr>
              <w:t>57</w:t>
            </w:r>
          </w:p>
        </w:tc>
        <w:tc>
          <w:tcPr>
            <w:tcW w:w="595" w:type="pct"/>
            <w:tcBorders>
              <w:top w:val="nil"/>
              <w:bottom w:val="nil"/>
            </w:tcBorders>
            <w:vAlign w:val="center"/>
          </w:tcPr>
          <w:p w:rsidR="00406D4F" w:rsidRDefault="00406D4F">
            <w:pPr>
              <w:jc w:val="center"/>
              <w:rPr>
                <w:rFonts w:cs="Arial"/>
                <w:sz w:val="20"/>
                <w:szCs w:val="20"/>
              </w:rPr>
            </w:pPr>
            <w:r>
              <w:rPr>
                <w:rFonts w:cs="Arial"/>
                <w:sz w:val="20"/>
                <w:szCs w:val="20"/>
              </w:rPr>
              <w:t>47</w:t>
            </w:r>
          </w:p>
        </w:tc>
      </w:tr>
      <w:tr w:rsidR="00406D4F" w:rsidRPr="00405CDE" w:rsidTr="006C5082">
        <w:trPr>
          <w:trHeight w:val="510"/>
        </w:trPr>
        <w:tc>
          <w:tcPr>
            <w:tcW w:w="1100" w:type="pct"/>
            <w:tcBorders>
              <w:top w:val="nil"/>
              <w:bottom w:val="nil"/>
            </w:tcBorders>
            <w:vAlign w:val="center"/>
          </w:tcPr>
          <w:p w:rsidR="00406D4F" w:rsidRDefault="00406D4F">
            <w:pPr>
              <w:rPr>
                <w:rFonts w:cs="Arial"/>
                <w:sz w:val="20"/>
                <w:szCs w:val="20"/>
              </w:rPr>
            </w:pPr>
            <w:r>
              <w:rPr>
                <w:rFonts w:cs="Arial"/>
                <w:sz w:val="20"/>
                <w:szCs w:val="20"/>
              </w:rPr>
              <w:t>Ex post price ($/GJ)</w:t>
            </w:r>
          </w:p>
        </w:tc>
        <w:tc>
          <w:tcPr>
            <w:tcW w:w="597" w:type="pct"/>
            <w:tcBorders>
              <w:top w:val="nil"/>
              <w:bottom w:val="nil"/>
            </w:tcBorders>
            <w:vAlign w:val="center"/>
          </w:tcPr>
          <w:p w:rsidR="00406D4F" w:rsidRDefault="00406D4F">
            <w:pPr>
              <w:jc w:val="center"/>
              <w:rPr>
                <w:rFonts w:cs="Arial"/>
                <w:sz w:val="20"/>
                <w:szCs w:val="20"/>
              </w:rPr>
            </w:pPr>
            <w:r>
              <w:rPr>
                <w:rFonts w:cs="Arial"/>
                <w:sz w:val="20"/>
                <w:szCs w:val="20"/>
              </w:rPr>
              <w:t>5.97</w:t>
            </w:r>
          </w:p>
        </w:tc>
        <w:tc>
          <w:tcPr>
            <w:tcW w:w="523" w:type="pct"/>
            <w:tcBorders>
              <w:top w:val="nil"/>
              <w:bottom w:val="nil"/>
            </w:tcBorders>
            <w:vAlign w:val="center"/>
          </w:tcPr>
          <w:p w:rsidR="00406D4F" w:rsidRDefault="00406D4F">
            <w:pPr>
              <w:jc w:val="center"/>
              <w:rPr>
                <w:rFonts w:cs="Arial"/>
                <w:sz w:val="20"/>
                <w:szCs w:val="20"/>
              </w:rPr>
            </w:pPr>
            <w:r>
              <w:rPr>
                <w:rFonts w:cs="Arial"/>
                <w:sz w:val="20"/>
                <w:szCs w:val="20"/>
              </w:rPr>
              <w:t>5.80</w:t>
            </w:r>
          </w:p>
        </w:tc>
        <w:tc>
          <w:tcPr>
            <w:tcW w:w="606" w:type="pct"/>
            <w:tcBorders>
              <w:top w:val="nil"/>
              <w:bottom w:val="nil"/>
            </w:tcBorders>
            <w:vAlign w:val="center"/>
          </w:tcPr>
          <w:p w:rsidR="00406D4F" w:rsidRDefault="00406D4F">
            <w:pPr>
              <w:jc w:val="center"/>
              <w:rPr>
                <w:rFonts w:cs="Arial"/>
                <w:sz w:val="20"/>
                <w:szCs w:val="20"/>
              </w:rPr>
            </w:pPr>
            <w:r>
              <w:rPr>
                <w:rFonts w:cs="Arial"/>
                <w:sz w:val="20"/>
                <w:szCs w:val="20"/>
              </w:rPr>
              <w:t>5.15</w:t>
            </w:r>
          </w:p>
        </w:tc>
        <w:tc>
          <w:tcPr>
            <w:tcW w:w="532" w:type="pct"/>
            <w:tcBorders>
              <w:top w:val="nil"/>
              <w:bottom w:val="nil"/>
            </w:tcBorders>
            <w:vAlign w:val="center"/>
          </w:tcPr>
          <w:p w:rsidR="00406D4F" w:rsidRDefault="00406D4F">
            <w:pPr>
              <w:jc w:val="center"/>
              <w:rPr>
                <w:rFonts w:cs="Arial"/>
                <w:sz w:val="20"/>
                <w:szCs w:val="20"/>
              </w:rPr>
            </w:pPr>
            <w:r>
              <w:rPr>
                <w:rFonts w:cs="Arial"/>
                <w:sz w:val="20"/>
                <w:szCs w:val="20"/>
              </w:rPr>
              <w:t>6.12</w:t>
            </w:r>
          </w:p>
        </w:tc>
        <w:tc>
          <w:tcPr>
            <w:tcW w:w="525" w:type="pct"/>
            <w:tcBorders>
              <w:top w:val="nil"/>
              <w:bottom w:val="nil"/>
            </w:tcBorders>
            <w:vAlign w:val="center"/>
          </w:tcPr>
          <w:p w:rsidR="00406D4F" w:rsidRDefault="00406D4F">
            <w:pPr>
              <w:jc w:val="center"/>
              <w:rPr>
                <w:rFonts w:cs="Arial"/>
                <w:sz w:val="20"/>
                <w:szCs w:val="20"/>
              </w:rPr>
            </w:pPr>
            <w:r>
              <w:rPr>
                <w:rFonts w:cs="Arial"/>
                <w:sz w:val="20"/>
                <w:szCs w:val="20"/>
              </w:rPr>
              <w:t>6.36</w:t>
            </w:r>
          </w:p>
        </w:tc>
        <w:tc>
          <w:tcPr>
            <w:tcW w:w="522" w:type="pct"/>
            <w:tcBorders>
              <w:top w:val="nil"/>
              <w:bottom w:val="nil"/>
            </w:tcBorders>
            <w:vAlign w:val="center"/>
          </w:tcPr>
          <w:p w:rsidR="00406D4F" w:rsidRDefault="00406D4F">
            <w:pPr>
              <w:jc w:val="center"/>
              <w:rPr>
                <w:rFonts w:cs="Arial"/>
                <w:sz w:val="20"/>
                <w:szCs w:val="20"/>
              </w:rPr>
            </w:pPr>
            <w:r>
              <w:rPr>
                <w:rFonts w:cs="Arial"/>
                <w:sz w:val="20"/>
                <w:szCs w:val="20"/>
              </w:rPr>
              <w:t>6.48</w:t>
            </w:r>
          </w:p>
        </w:tc>
        <w:tc>
          <w:tcPr>
            <w:tcW w:w="595" w:type="pct"/>
            <w:tcBorders>
              <w:top w:val="nil"/>
              <w:bottom w:val="nil"/>
            </w:tcBorders>
            <w:vAlign w:val="center"/>
          </w:tcPr>
          <w:p w:rsidR="00406D4F" w:rsidRDefault="00406D4F">
            <w:pPr>
              <w:jc w:val="center"/>
              <w:rPr>
                <w:rFonts w:cs="Arial"/>
                <w:sz w:val="20"/>
                <w:szCs w:val="20"/>
              </w:rPr>
            </w:pPr>
            <w:r>
              <w:rPr>
                <w:rFonts w:cs="Arial"/>
                <w:sz w:val="20"/>
                <w:szCs w:val="20"/>
              </w:rPr>
              <w:t>6.48</w:t>
            </w:r>
          </w:p>
        </w:tc>
      </w:tr>
      <w:tr w:rsidR="00406D4F"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406D4F" w:rsidRDefault="00406D4F">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406D4F" w:rsidRDefault="00406D4F">
            <w:pPr>
              <w:jc w:val="center"/>
              <w:rPr>
                <w:rFonts w:cs="Arial"/>
                <w:sz w:val="20"/>
                <w:szCs w:val="20"/>
              </w:rPr>
            </w:pPr>
            <w:r>
              <w:rPr>
                <w:rFonts w:cs="Arial"/>
                <w:sz w:val="20"/>
                <w:szCs w:val="20"/>
              </w:rPr>
              <w:t>46</w:t>
            </w:r>
          </w:p>
        </w:tc>
        <w:tc>
          <w:tcPr>
            <w:tcW w:w="523" w:type="pct"/>
            <w:tcBorders>
              <w:top w:val="nil"/>
              <w:bottom w:val="single" w:sz="4" w:space="0" w:color="auto"/>
            </w:tcBorders>
            <w:vAlign w:val="center"/>
          </w:tcPr>
          <w:p w:rsidR="00406D4F" w:rsidRDefault="00406D4F">
            <w:pPr>
              <w:jc w:val="center"/>
              <w:rPr>
                <w:rFonts w:cs="Arial"/>
                <w:sz w:val="20"/>
                <w:szCs w:val="20"/>
              </w:rPr>
            </w:pPr>
            <w:r>
              <w:rPr>
                <w:rFonts w:cs="Arial"/>
                <w:sz w:val="20"/>
                <w:szCs w:val="20"/>
              </w:rPr>
              <w:t>55</w:t>
            </w:r>
          </w:p>
        </w:tc>
        <w:tc>
          <w:tcPr>
            <w:tcW w:w="606" w:type="pct"/>
            <w:tcBorders>
              <w:top w:val="nil"/>
              <w:bottom w:val="single" w:sz="4" w:space="0" w:color="auto"/>
            </w:tcBorders>
            <w:vAlign w:val="center"/>
          </w:tcPr>
          <w:p w:rsidR="00406D4F" w:rsidRDefault="00406D4F">
            <w:pPr>
              <w:jc w:val="center"/>
              <w:rPr>
                <w:rFonts w:cs="Arial"/>
                <w:sz w:val="20"/>
                <w:szCs w:val="20"/>
              </w:rPr>
            </w:pPr>
            <w:r>
              <w:rPr>
                <w:rFonts w:cs="Arial"/>
                <w:sz w:val="20"/>
                <w:szCs w:val="20"/>
              </w:rPr>
              <w:t>54</w:t>
            </w:r>
          </w:p>
        </w:tc>
        <w:tc>
          <w:tcPr>
            <w:tcW w:w="532" w:type="pct"/>
            <w:tcBorders>
              <w:top w:val="nil"/>
              <w:bottom w:val="single" w:sz="4" w:space="0" w:color="auto"/>
            </w:tcBorders>
            <w:vAlign w:val="center"/>
          </w:tcPr>
          <w:p w:rsidR="00406D4F" w:rsidRDefault="00406D4F">
            <w:pPr>
              <w:jc w:val="center"/>
              <w:rPr>
                <w:rFonts w:cs="Arial"/>
                <w:sz w:val="20"/>
                <w:szCs w:val="20"/>
              </w:rPr>
            </w:pPr>
            <w:r>
              <w:rPr>
                <w:rFonts w:cs="Arial"/>
                <w:sz w:val="20"/>
                <w:szCs w:val="20"/>
              </w:rPr>
              <w:t>59</w:t>
            </w:r>
          </w:p>
        </w:tc>
        <w:tc>
          <w:tcPr>
            <w:tcW w:w="525" w:type="pct"/>
            <w:tcBorders>
              <w:top w:val="nil"/>
              <w:bottom w:val="single" w:sz="4" w:space="0" w:color="auto"/>
            </w:tcBorders>
            <w:vAlign w:val="center"/>
          </w:tcPr>
          <w:p w:rsidR="00406D4F" w:rsidRDefault="00406D4F">
            <w:pPr>
              <w:jc w:val="center"/>
              <w:rPr>
                <w:rFonts w:cs="Arial"/>
                <w:sz w:val="20"/>
                <w:szCs w:val="20"/>
              </w:rPr>
            </w:pPr>
            <w:r>
              <w:rPr>
                <w:rFonts w:cs="Arial"/>
                <w:sz w:val="20"/>
                <w:szCs w:val="20"/>
              </w:rPr>
              <w:t>67</w:t>
            </w:r>
          </w:p>
        </w:tc>
        <w:tc>
          <w:tcPr>
            <w:tcW w:w="522" w:type="pct"/>
            <w:tcBorders>
              <w:top w:val="nil"/>
              <w:bottom w:val="single" w:sz="4" w:space="0" w:color="auto"/>
            </w:tcBorders>
            <w:vAlign w:val="center"/>
          </w:tcPr>
          <w:p w:rsidR="00406D4F" w:rsidRDefault="00406D4F">
            <w:pPr>
              <w:jc w:val="center"/>
              <w:rPr>
                <w:rFonts w:cs="Arial"/>
                <w:sz w:val="20"/>
                <w:szCs w:val="20"/>
              </w:rPr>
            </w:pPr>
            <w:r>
              <w:rPr>
                <w:rFonts w:cs="Arial"/>
                <w:sz w:val="20"/>
                <w:szCs w:val="20"/>
              </w:rPr>
              <w:t>65</w:t>
            </w:r>
          </w:p>
        </w:tc>
        <w:tc>
          <w:tcPr>
            <w:tcW w:w="595" w:type="pct"/>
            <w:tcBorders>
              <w:top w:val="nil"/>
              <w:bottom w:val="single" w:sz="4" w:space="0" w:color="auto"/>
            </w:tcBorders>
            <w:vAlign w:val="center"/>
          </w:tcPr>
          <w:p w:rsidR="00406D4F" w:rsidRDefault="00406D4F">
            <w:pPr>
              <w:jc w:val="center"/>
              <w:rPr>
                <w:rFonts w:cs="Arial"/>
                <w:sz w:val="20"/>
                <w:szCs w:val="20"/>
              </w:rPr>
            </w:pPr>
            <w:r>
              <w:rPr>
                <w:rFonts w:cs="Arial"/>
                <w:sz w:val="20"/>
                <w:szCs w:val="20"/>
              </w:rPr>
              <w:t>50</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3F64CA" w:rsidP="00362B9A">
      <w:r>
        <w:pict>
          <v:shape id="_x0000_i1033" type="#_x0000_t75" alt="Figure 3.2 shows the daily hub offers and bid in within certain price bands in Adelaide this week. The line indicates the scheduled quantity for each day. For a more detailed description of this figure, please refer to the user guide.&#10;" style="width:475.5pt;height:170.35pt;mso-position-vertical:absolute">
            <v:imagedata r:id="rId22"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3F64CA" w:rsidP="00362B9A">
      <w:r>
        <w:pict>
          <v:shape id="_x0000_i1034" type="#_x0000_t75" alt="Figure 3.3 shows the daily scheduled and allocated quantities sorted by facility for Adelaide this week. For a more detailed description of this figure, please refer to the user guide." style="width:477.65pt;height:105.85pt">
            <v:imagedata r:id="rId23"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3F64CA" w:rsidP="00362B9A">
      <w:r>
        <w:pict>
          <v:shape id="_x0000_i1035" type="#_x0000_t75" alt="Figure 3.4 shows the daily MOS allocations sorted by facility for each facility in Adelaide this week. The figure also shows the daily breakdown of costs associated with the MOS provided. For a more detailed description of this figure, please refer to the user guide." style="width:476.05pt;height:149.9pt">
            <v:imagedata r:id="rId24"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406D4F" w:rsidRPr="00405CDE" w:rsidTr="006C5082">
        <w:trPr>
          <w:trHeight w:val="510"/>
        </w:trPr>
        <w:tc>
          <w:tcPr>
            <w:tcW w:w="1100" w:type="pct"/>
            <w:tcBorders>
              <w:top w:val="nil"/>
              <w:bottom w:val="nil"/>
            </w:tcBorders>
            <w:vAlign w:val="center"/>
          </w:tcPr>
          <w:p w:rsidR="00406D4F" w:rsidRDefault="00406D4F">
            <w:pPr>
              <w:rPr>
                <w:rFonts w:cs="Arial"/>
                <w:sz w:val="20"/>
                <w:szCs w:val="20"/>
              </w:rPr>
            </w:pPr>
            <w:r>
              <w:rPr>
                <w:rFonts w:cs="Arial"/>
                <w:sz w:val="20"/>
                <w:szCs w:val="20"/>
              </w:rPr>
              <w:t>Ex ante price ($/GJ)</w:t>
            </w:r>
          </w:p>
        </w:tc>
        <w:tc>
          <w:tcPr>
            <w:tcW w:w="597" w:type="pct"/>
            <w:tcBorders>
              <w:top w:val="nil"/>
              <w:bottom w:val="nil"/>
            </w:tcBorders>
            <w:vAlign w:val="center"/>
          </w:tcPr>
          <w:p w:rsidR="00406D4F" w:rsidRDefault="00406D4F">
            <w:pPr>
              <w:jc w:val="center"/>
              <w:rPr>
                <w:rFonts w:cs="Arial"/>
                <w:sz w:val="20"/>
                <w:szCs w:val="20"/>
              </w:rPr>
            </w:pPr>
            <w:r>
              <w:rPr>
                <w:rFonts w:cs="Arial"/>
                <w:sz w:val="20"/>
                <w:szCs w:val="20"/>
              </w:rPr>
              <w:t>4.24</w:t>
            </w:r>
          </w:p>
        </w:tc>
        <w:tc>
          <w:tcPr>
            <w:tcW w:w="523" w:type="pct"/>
            <w:tcBorders>
              <w:top w:val="nil"/>
              <w:bottom w:val="nil"/>
            </w:tcBorders>
            <w:vAlign w:val="center"/>
          </w:tcPr>
          <w:p w:rsidR="00406D4F" w:rsidRDefault="00406D4F">
            <w:pPr>
              <w:jc w:val="center"/>
              <w:rPr>
                <w:rFonts w:cs="Arial"/>
                <w:sz w:val="20"/>
                <w:szCs w:val="20"/>
              </w:rPr>
            </w:pPr>
            <w:r>
              <w:rPr>
                <w:rFonts w:cs="Arial"/>
                <w:sz w:val="20"/>
                <w:szCs w:val="20"/>
              </w:rPr>
              <w:t>5.70</w:t>
            </w:r>
          </w:p>
        </w:tc>
        <w:tc>
          <w:tcPr>
            <w:tcW w:w="606" w:type="pct"/>
            <w:tcBorders>
              <w:top w:val="nil"/>
              <w:bottom w:val="nil"/>
            </w:tcBorders>
            <w:vAlign w:val="center"/>
          </w:tcPr>
          <w:p w:rsidR="00406D4F" w:rsidRDefault="00406D4F">
            <w:pPr>
              <w:jc w:val="center"/>
              <w:rPr>
                <w:rFonts w:cs="Arial"/>
                <w:sz w:val="20"/>
                <w:szCs w:val="20"/>
              </w:rPr>
            </w:pPr>
            <w:r>
              <w:rPr>
                <w:rFonts w:cs="Arial"/>
                <w:sz w:val="20"/>
                <w:szCs w:val="20"/>
              </w:rPr>
              <w:t>5.40</w:t>
            </w:r>
          </w:p>
        </w:tc>
        <w:tc>
          <w:tcPr>
            <w:tcW w:w="532" w:type="pct"/>
            <w:tcBorders>
              <w:top w:val="nil"/>
              <w:bottom w:val="nil"/>
            </w:tcBorders>
            <w:vAlign w:val="center"/>
          </w:tcPr>
          <w:p w:rsidR="00406D4F" w:rsidRDefault="00406D4F">
            <w:pPr>
              <w:jc w:val="center"/>
              <w:rPr>
                <w:rFonts w:cs="Arial"/>
                <w:sz w:val="20"/>
                <w:szCs w:val="20"/>
              </w:rPr>
            </w:pPr>
            <w:r>
              <w:rPr>
                <w:rFonts w:cs="Arial"/>
                <w:sz w:val="20"/>
                <w:szCs w:val="20"/>
              </w:rPr>
              <w:t>5.00</w:t>
            </w:r>
          </w:p>
        </w:tc>
        <w:tc>
          <w:tcPr>
            <w:tcW w:w="525" w:type="pct"/>
            <w:tcBorders>
              <w:top w:val="nil"/>
              <w:bottom w:val="nil"/>
            </w:tcBorders>
            <w:vAlign w:val="center"/>
          </w:tcPr>
          <w:p w:rsidR="00406D4F" w:rsidRDefault="00406D4F">
            <w:pPr>
              <w:jc w:val="center"/>
              <w:rPr>
                <w:rFonts w:cs="Arial"/>
                <w:sz w:val="20"/>
                <w:szCs w:val="20"/>
              </w:rPr>
            </w:pPr>
            <w:r>
              <w:rPr>
                <w:rFonts w:cs="Arial"/>
                <w:sz w:val="20"/>
                <w:szCs w:val="20"/>
              </w:rPr>
              <w:t>5.00</w:t>
            </w:r>
          </w:p>
        </w:tc>
        <w:tc>
          <w:tcPr>
            <w:tcW w:w="522" w:type="pct"/>
            <w:tcBorders>
              <w:top w:val="nil"/>
              <w:bottom w:val="nil"/>
            </w:tcBorders>
            <w:vAlign w:val="center"/>
          </w:tcPr>
          <w:p w:rsidR="00406D4F" w:rsidRDefault="00406D4F">
            <w:pPr>
              <w:jc w:val="center"/>
              <w:rPr>
                <w:rFonts w:cs="Arial"/>
                <w:sz w:val="20"/>
                <w:szCs w:val="20"/>
              </w:rPr>
            </w:pPr>
            <w:r>
              <w:rPr>
                <w:rFonts w:cs="Arial"/>
                <w:sz w:val="20"/>
                <w:szCs w:val="20"/>
              </w:rPr>
              <w:t>4.75</w:t>
            </w:r>
          </w:p>
        </w:tc>
        <w:tc>
          <w:tcPr>
            <w:tcW w:w="595" w:type="pct"/>
            <w:tcBorders>
              <w:top w:val="nil"/>
              <w:bottom w:val="nil"/>
            </w:tcBorders>
            <w:vAlign w:val="center"/>
          </w:tcPr>
          <w:p w:rsidR="00406D4F" w:rsidRDefault="00406D4F">
            <w:pPr>
              <w:jc w:val="center"/>
              <w:rPr>
                <w:rFonts w:cs="Arial"/>
                <w:sz w:val="20"/>
                <w:szCs w:val="20"/>
              </w:rPr>
            </w:pPr>
            <w:r>
              <w:rPr>
                <w:rFonts w:cs="Arial"/>
                <w:sz w:val="20"/>
                <w:szCs w:val="20"/>
              </w:rPr>
              <w:t>4.99</w:t>
            </w:r>
          </w:p>
        </w:tc>
      </w:tr>
      <w:tr w:rsidR="00406D4F"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406D4F" w:rsidRDefault="00406D4F">
            <w:pPr>
              <w:rPr>
                <w:rFonts w:cs="Arial"/>
                <w:sz w:val="20"/>
                <w:szCs w:val="20"/>
              </w:rPr>
            </w:pPr>
            <w:r>
              <w:rPr>
                <w:rFonts w:cs="Arial"/>
                <w:sz w:val="20"/>
                <w:szCs w:val="20"/>
              </w:rPr>
              <w:t>Ex ante quantity (TJ)</w:t>
            </w:r>
          </w:p>
        </w:tc>
        <w:tc>
          <w:tcPr>
            <w:tcW w:w="597" w:type="pct"/>
            <w:tcBorders>
              <w:top w:val="nil"/>
              <w:bottom w:val="nil"/>
            </w:tcBorders>
            <w:vAlign w:val="center"/>
          </w:tcPr>
          <w:p w:rsidR="00406D4F" w:rsidRDefault="00406D4F">
            <w:pPr>
              <w:jc w:val="center"/>
              <w:rPr>
                <w:rFonts w:cs="Arial"/>
                <w:sz w:val="20"/>
                <w:szCs w:val="20"/>
              </w:rPr>
            </w:pPr>
            <w:r>
              <w:rPr>
                <w:rFonts w:cs="Arial"/>
                <w:sz w:val="20"/>
                <w:szCs w:val="20"/>
              </w:rPr>
              <w:t>51</w:t>
            </w:r>
          </w:p>
        </w:tc>
        <w:tc>
          <w:tcPr>
            <w:tcW w:w="523" w:type="pct"/>
            <w:tcBorders>
              <w:top w:val="nil"/>
              <w:bottom w:val="nil"/>
            </w:tcBorders>
            <w:vAlign w:val="center"/>
          </w:tcPr>
          <w:p w:rsidR="00406D4F" w:rsidRDefault="00406D4F">
            <w:pPr>
              <w:jc w:val="center"/>
              <w:rPr>
                <w:rFonts w:cs="Arial"/>
                <w:sz w:val="20"/>
                <w:szCs w:val="20"/>
              </w:rPr>
            </w:pPr>
            <w:r>
              <w:rPr>
                <w:rFonts w:cs="Arial"/>
                <w:sz w:val="20"/>
                <w:szCs w:val="20"/>
              </w:rPr>
              <w:t>68</w:t>
            </w:r>
          </w:p>
        </w:tc>
        <w:tc>
          <w:tcPr>
            <w:tcW w:w="606" w:type="pct"/>
            <w:tcBorders>
              <w:top w:val="nil"/>
              <w:bottom w:val="nil"/>
            </w:tcBorders>
            <w:vAlign w:val="center"/>
          </w:tcPr>
          <w:p w:rsidR="00406D4F" w:rsidRDefault="00406D4F">
            <w:pPr>
              <w:jc w:val="center"/>
              <w:rPr>
                <w:rFonts w:cs="Arial"/>
                <w:sz w:val="20"/>
                <w:szCs w:val="20"/>
              </w:rPr>
            </w:pPr>
            <w:r>
              <w:rPr>
                <w:rFonts w:cs="Arial"/>
                <w:sz w:val="20"/>
                <w:szCs w:val="20"/>
              </w:rPr>
              <w:t>89</w:t>
            </w:r>
          </w:p>
        </w:tc>
        <w:tc>
          <w:tcPr>
            <w:tcW w:w="532" w:type="pct"/>
            <w:tcBorders>
              <w:top w:val="nil"/>
              <w:bottom w:val="nil"/>
            </w:tcBorders>
            <w:vAlign w:val="center"/>
          </w:tcPr>
          <w:p w:rsidR="00406D4F" w:rsidRDefault="00406D4F">
            <w:pPr>
              <w:jc w:val="center"/>
              <w:rPr>
                <w:rFonts w:cs="Arial"/>
                <w:sz w:val="20"/>
                <w:szCs w:val="20"/>
              </w:rPr>
            </w:pPr>
            <w:r>
              <w:rPr>
                <w:rFonts w:cs="Arial"/>
                <w:sz w:val="20"/>
                <w:szCs w:val="20"/>
              </w:rPr>
              <w:t>87</w:t>
            </w:r>
          </w:p>
        </w:tc>
        <w:tc>
          <w:tcPr>
            <w:tcW w:w="525" w:type="pct"/>
            <w:tcBorders>
              <w:top w:val="nil"/>
              <w:bottom w:val="nil"/>
            </w:tcBorders>
            <w:vAlign w:val="center"/>
          </w:tcPr>
          <w:p w:rsidR="00406D4F" w:rsidRDefault="00406D4F">
            <w:pPr>
              <w:jc w:val="center"/>
              <w:rPr>
                <w:rFonts w:cs="Arial"/>
                <w:sz w:val="20"/>
                <w:szCs w:val="20"/>
              </w:rPr>
            </w:pPr>
            <w:r>
              <w:rPr>
                <w:rFonts w:cs="Arial"/>
                <w:sz w:val="20"/>
                <w:szCs w:val="20"/>
              </w:rPr>
              <w:t>86</w:t>
            </w:r>
          </w:p>
        </w:tc>
        <w:tc>
          <w:tcPr>
            <w:tcW w:w="522" w:type="pct"/>
            <w:tcBorders>
              <w:top w:val="nil"/>
              <w:bottom w:val="nil"/>
            </w:tcBorders>
            <w:vAlign w:val="center"/>
          </w:tcPr>
          <w:p w:rsidR="00406D4F" w:rsidRDefault="00406D4F">
            <w:pPr>
              <w:jc w:val="center"/>
              <w:rPr>
                <w:rFonts w:cs="Arial"/>
                <w:sz w:val="20"/>
                <w:szCs w:val="20"/>
              </w:rPr>
            </w:pPr>
            <w:r>
              <w:rPr>
                <w:rFonts w:cs="Arial"/>
                <w:sz w:val="20"/>
                <w:szCs w:val="20"/>
              </w:rPr>
              <w:t>86</w:t>
            </w:r>
          </w:p>
        </w:tc>
        <w:tc>
          <w:tcPr>
            <w:tcW w:w="595" w:type="pct"/>
            <w:tcBorders>
              <w:top w:val="nil"/>
              <w:bottom w:val="nil"/>
            </w:tcBorders>
            <w:vAlign w:val="center"/>
          </w:tcPr>
          <w:p w:rsidR="00406D4F" w:rsidRDefault="00406D4F">
            <w:pPr>
              <w:jc w:val="center"/>
              <w:rPr>
                <w:rFonts w:cs="Arial"/>
                <w:sz w:val="20"/>
                <w:szCs w:val="20"/>
              </w:rPr>
            </w:pPr>
            <w:r>
              <w:rPr>
                <w:rFonts w:cs="Arial"/>
                <w:sz w:val="20"/>
                <w:szCs w:val="20"/>
              </w:rPr>
              <w:t>80</w:t>
            </w:r>
          </w:p>
        </w:tc>
      </w:tr>
      <w:tr w:rsidR="00406D4F" w:rsidRPr="00405CDE" w:rsidTr="006C5082">
        <w:trPr>
          <w:trHeight w:val="510"/>
        </w:trPr>
        <w:tc>
          <w:tcPr>
            <w:tcW w:w="1100" w:type="pct"/>
            <w:tcBorders>
              <w:top w:val="nil"/>
              <w:bottom w:val="nil"/>
            </w:tcBorders>
            <w:vAlign w:val="center"/>
          </w:tcPr>
          <w:p w:rsidR="00406D4F" w:rsidRDefault="00406D4F">
            <w:pPr>
              <w:rPr>
                <w:rFonts w:cs="Arial"/>
                <w:sz w:val="20"/>
                <w:szCs w:val="20"/>
              </w:rPr>
            </w:pPr>
            <w:r>
              <w:rPr>
                <w:rFonts w:cs="Arial"/>
                <w:sz w:val="20"/>
                <w:szCs w:val="20"/>
              </w:rPr>
              <w:t>Ex post price ($/GJ)</w:t>
            </w:r>
          </w:p>
        </w:tc>
        <w:tc>
          <w:tcPr>
            <w:tcW w:w="597" w:type="pct"/>
            <w:tcBorders>
              <w:top w:val="nil"/>
              <w:bottom w:val="nil"/>
            </w:tcBorders>
            <w:vAlign w:val="center"/>
          </w:tcPr>
          <w:p w:rsidR="00406D4F" w:rsidRDefault="00406D4F">
            <w:pPr>
              <w:jc w:val="center"/>
              <w:rPr>
                <w:rFonts w:cs="Arial"/>
                <w:sz w:val="20"/>
                <w:szCs w:val="20"/>
              </w:rPr>
            </w:pPr>
            <w:r>
              <w:rPr>
                <w:rFonts w:cs="Arial"/>
                <w:sz w:val="20"/>
                <w:szCs w:val="20"/>
              </w:rPr>
              <w:t>4.00</w:t>
            </w:r>
          </w:p>
        </w:tc>
        <w:tc>
          <w:tcPr>
            <w:tcW w:w="523" w:type="pct"/>
            <w:tcBorders>
              <w:top w:val="nil"/>
              <w:bottom w:val="nil"/>
            </w:tcBorders>
            <w:vAlign w:val="center"/>
          </w:tcPr>
          <w:p w:rsidR="00406D4F" w:rsidRDefault="00406D4F">
            <w:pPr>
              <w:jc w:val="center"/>
              <w:rPr>
                <w:rFonts w:cs="Arial"/>
                <w:sz w:val="20"/>
                <w:szCs w:val="20"/>
              </w:rPr>
            </w:pPr>
            <w:r>
              <w:rPr>
                <w:rFonts w:cs="Arial"/>
                <w:sz w:val="20"/>
                <w:szCs w:val="20"/>
              </w:rPr>
              <w:t>5.00</w:t>
            </w:r>
          </w:p>
        </w:tc>
        <w:tc>
          <w:tcPr>
            <w:tcW w:w="606" w:type="pct"/>
            <w:tcBorders>
              <w:top w:val="nil"/>
              <w:bottom w:val="nil"/>
            </w:tcBorders>
            <w:vAlign w:val="center"/>
          </w:tcPr>
          <w:p w:rsidR="00406D4F" w:rsidRDefault="00406D4F">
            <w:pPr>
              <w:jc w:val="center"/>
              <w:rPr>
                <w:rFonts w:cs="Arial"/>
                <w:sz w:val="20"/>
                <w:szCs w:val="20"/>
              </w:rPr>
            </w:pPr>
            <w:r>
              <w:rPr>
                <w:rFonts w:cs="Arial"/>
                <w:sz w:val="20"/>
                <w:szCs w:val="20"/>
              </w:rPr>
              <w:t>4.64</w:t>
            </w:r>
          </w:p>
        </w:tc>
        <w:tc>
          <w:tcPr>
            <w:tcW w:w="532" w:type="pct"/>
            <w:tcBorders>
              <w:top w:val="nil"/>
              <w:bottom w:val="nil"/>
            </w:tcBorders>
            <w:vAlign w:val="center"/>
          </w:tcPr>
          <w:p w:rsidR="00406D4F" w:rsidRDefault="00406D4F">
            <w:pPr>
              <w:jc w:val="center"/>
              <w:rPr>
                <w:rFonts w:cs="Arial"/>
                <w:sz w:val="20"/>
                <w:szCs w:val="20"/>
              </w:rPr>
            </w:pPr>
            <w:r>
              <w:rPr>
                <w:rFonts w:cs="Arial"/>
                <w:sz w:val="20"/>
                <w:szCs w:val="20"/>
              </w:rPr>
              <w:t>5.00</w:t>
            </w:r>
          </w:p>
        </w:tc>
        <w:tc>
          <w:tcPr>
            <w:tcW w:w="525" w:type="pct"/>
            <w:tcBorders>
              <w:top w:val="nil"/>
              <w:bottom w:val="nil"/>
            </w:tcBorders>
            <w:vAlign w:val="center"/>
          </w:tcPr>
          <w:p w:rsidR="00406D4F" w:rsidRDefault="00406D4F">
            <w:pPr>
              <w:jc w:val="center"/>
              <w:rPr>
                <w:rFonts w:cs="Arial"/>
                <w:sz w:val="20"/>
                <w:szCs w:val="20"/>
              </w:rPr>
            </w:pPr>
            <w:r>
              <w:rPr>
                <w:rFonts w:cs="Arial"/>
                <w:sz w:val="20"/>
                <w:szCs w:val="20"/>
              </w:rPr>
              <w:t>5.05</w:t>
            </w:r>
          </w:p>
        </w:tc>
        <w:tc>
          <w:tcPr>
            <w:tcW w:w="522" w:type="pct"/>
            <w:tcBorders>
              <w:top w:val="nil"/>
              <w:bottom w:val="nil"/>
            </w:tcBorders>
            <w:vAlign w:val="center"/>
          </w:tcPr>
          <w:p w:rsidR="00406D4F" w:rsidRDefault="00406D4F">
            <w:pPr>
              <w:jc w:val="center"/>
              <w:rPr>
                <w:rFonts w:cs="Arial"/>
                <w:sz w:val="20"/>
                <w:szCs w:val="20"/>
              </w:rPr>
            </w:pPr>
            <w:r>
              <w:rPr>
                <w:rFonts w:cs="Arial"/>
                <w:sz w:val="20"/>
                <w:szCs w:val="20"/>
              </w:rPr>
              <w:t>4.75</w:t>
            </w:r>
          </w:p>
        </w:tc>
        <w:tc>
          <w:tcPr>
            <w:tcW w:w="595" w:type="pct"/>
            <w:tcBorders>
              <w:top w:val="nil"/>
              <w:bottom w:val="nil"/>
            </w:tcBorders>
            <w:vAlign w:val="center"/>
          </w:tcPr>
          <w:p w:rsidR="00406D4F" w:rsidRDefault="00406D4F">
            <w:pPr>
              <w:jc w:val="center"/>
              <w:rPr>
                <w:rFonts w:cs="Arial"/>
                <w:sz w:val="20"/>
                <w:szCs w:val="20"/>
              </w:rPr>
            </w:pPr>
            <w:r>
              <w:rPr>
                <w:rFonts w:cs="Arial"/>
                <w:sz w:val="20"/>
                <w:szCs w:val="20"/>
              </w:rPr>
              <w:t>4.99</w:t>
            </w:r>
          </w:p>
        </w:tc>
      </w:tr>
      <w:tr w:rsidR="00406D4F"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406D4F" w:rsidRDefault="00406D4F">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406D4F" w:rsidRDefault="00406D4F">
            <w:pPr>
              <w:jc w:val="center"/>
              <w:rPr>
                <w:rFonts w:cs="Arial"/>
                <w:sz w:val="20"/>
                <w:szCs w:val="20"/>
              </w:rPr>
            </w:pPr>
            <w:r>
              <w:rPr>
                <w:rFonts w:cs="Arial"/>
                <w:sz w:val="20"/>
                <w:szCs w:val="20"/>
              </w:rPr>
              <w:t>51</w:t>
            </w:r>
          </w:p>
        </w:tc>
        <w:tc>
          <w:tcPr>
            <w:tcW w:w="523" w:type="pct"/>
            <w:tcBorders>
              <w:top w:val="nil"/>
              <w:bottom w:val="single" w:sz="4" w:space="0" w:color="auto"/>
            </w:tcBorders>
            <w:vAlign w:val="center"/>
          </w:tcPr>
          <w:p w:rsidR="00406D4F" w:rsidRDefault="00406D4F">
            <w:pPr>
              <w:jc w:val="center"/>
              <w:rPr>
                <w:rFonts w:cs="Arial"/>
                <w:sz w:val="20"/>
                <w:szCs w:val="20"/>
              </w:rPr>
            </w:pPr>
            <w:r>
              <w:rPr>
                <w:rFonts w:cs="Arial"/>
                <w:sz w:val="20"/>
                <w:szCs w:val="20"/>
              </w:rPr>
              <w:t>68</w:t>
            </w:r>
          </w:p>
        </w:tc>
        <w:tc>
          <w:tcPr>
            <w:tcW w:w="606" w:type="pct"/>
            <w:tcBorders>
              <w:top w:val="nil"/>
              <w:bottom w:val="single" w:sz="4" w:space="0" w:color="auto"/>
            </w:tcBorders>
            <w:vAlign w:val="center"/>
          </w:tcPr>
          <w:p w:rsidR="00406D4F" w:rsidRDefault="00406D4F">
            <w:pPr>
              <w:jc w:val="center"/>
              <w:rPr>
                <w:rFonts w:cs="Arial"/>
                <w:sz w:val="20"/>
                <w:szCs w:val="20"/>
              </w:rPr>
            </w:pPr>
            <w:r>
              <w:rPr>
                <w:rFonts w:cs="Arial"/>
                <w:sz w:val="20"/>
                <w:szCs w:val="20"/>
              </w:rPr>
              <w:t>85</w:t>
            </w:r>
          </w:p>
        </w:tc>
        <w:tc>
          <w:tcPr>
            <w:tcW w:w="532" w:type="pct"/>
            <w:tcBorders>
              <w:top w:val="nil"/>
              <w:bottom w:val="single" w:sz="4" w:space="0" w:color="auto"/>
            </w:tcBorders>
            <w:vAlign w:val="center"/>
          </w:tcPr>
          <w:p w:rsidR="00406D4F" w:rsidRDefault="00406D4F">
            <w:pPr>
              <w:jc w:val="center"/>
              <w:rPr>
                <w:rFonts w:cs="Arial"/>
                <w:sz w:val="20"/>
                <w:szCs w:val="20"/>
              </w:rPr>
            </w:pPr>
            <w:r>
              <w:rPr>
                <w:rFonts w:cs="Arial"/>
                <w:sz w:val="20"/>
                <w:szCs w:val="20"/>
              </w:rPr>
              <w:t>90</w:t>
            </w:r>
          </w:p>
        </w:tc>
        <w:tc>
          <w:tcPr>
            <w:tcW w:w="525" w:type="pct"/>
            <w:tcBorders>
              <w:top w:val="nil"/>
              <w:bottom w:val="single" w:sz="4" w:space="0" w:color="auto"/>
            </w:tcBorders>
            <w:vAlign w:val="center"/>
          </w:tcPr>
          <w:p w:rsidR="00406D4F" w:rsidRDefault="00406D4F">
            <w:pPr>
              <w:jc w:val="center"/>
              <w:rPr>
                <w:rFonts w:cs="Arial"/>
                <w:sz w:val="20"/>
                <w:szCs w:val="20"/>
              </w:rPr>
            </w:pPr>
            <w:r>
              <w:rPr>
                <w:rFonts w:cs="Arial"/>
                <w:sz w:val="20"/>
                <w:szCs w:val="20"/>
              </w:rPr>
              <w:t>93</w:t>
            </w:r>
          </w:p>
        </w:tc>
        <w:tc>
          <w:tcPr>
            <w:tcW w:w="522" w:type="pct"/>
            <w:tcBorders>
              <w:top w:val="nil"/>
              <w:bottom w:val="single" w:sz="4" w:space="0" w:color="auto"/>
            </w:tcBorders>
            <w:vAlign w:val="center"/>
          </w:tcPr>
          <w:p w:rsidR="00406D4F" w:rsidRDefault="00406D4F">
            <w:pPr>
              <w:jc w:val="center"/>
              <w:rPr>
                <w:rFonts w:cs="Arial"/>
                <w:sz w:val="20"/>
                <w:szCs w:val="20"/>
              </w:rPr>
            </w:pPr>
            <w:r>
              <w:rPr>
                <w:rFonts w:cs="Arial"/>
                <w:sz w:val="20"/>
                <w:szCs w:val="20"/>
              </w:rPr>
              <w:t>84</w:t>
            </w:r>
          </w:p>
        </w:tc>
        <w:tc>
          <w:tcPr>
            <w:tcW w:w="595" w:type="pct"/>
            <w:tcBorders>
              <w:top w:val="nil"/>
              <w:bottom w:val="single" w:sz="4" w:space="0" w:color="auto"/>
            </w:tcBorders>
            <w:vAlign w:val="center"/>
          </w:tcPr>
          <w:p w:rsidR="00406D4F" w:rsidRDefault="00406D4F">
            <w:pPr>
              <w:jc w:val="center"/>
              <w:rPr>
                <w:rFonts w:cs="Arial"/>
                <w:sz w:val="20"/>
                <w:szCs w:val="20"/>
              </w:rPr>
            </w:pPr>
            <w:r>
              <w:rPr>
                <w:rFonts w:cs="Arial"/>
                <w:sz w:val="20"/>
                <w:szCs w:val="20"/>
              </w:rPr>
              <w:t>78</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3F64CA" w:rsidP="00362B9A">
      <w:r>
        <w:pict>
          <v:shape id="_x0000_i1036" type="#_x0000_t75" alt="Figure 4.2 shows the daily hub offers and bid in within certain price bands in Brisbane this week. The line indicates the scheduled quantity for each day. For a more detailed description of this figure, please refer to the user guide.&#10;" style="width:475.5pt;height:170.85pt;mso-position-vertical:absolute">
            <v:imagedata r:id="rId25"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3F64CA" w:rsidP="00362B9A">
      <w:r>
        <w:pict>
          <v:shape id="_x0000_i1037" type="#_x0000_t75" alt="Figure 4.3 shows the daily scheduled and allocated quantities sorted by facility for Brisbane this week. For a more detailed description of this figure, please refer to the user guide.&#10;" style="width:477.65pt;height:98.85pt">
            <v:imagedata r:id="rId26"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BRI MOS allocations (TJ), service payments and commodity payments/charges ($000)</w:t>
      </w:r>
    </w:p>
    <w:p w:rsidR="004560B0" w:rsidRPr="00362B9A" w:rsidRDefault="003F64CA" w:rsidP="00362B9A">
      <w:r>
        <w:pict>
          <v:shape id="_x0000_i1038" type="#_x0000_t75" alt="Figure 4.4 shows the daily MOS allocations sorted by facility for each facility in Brisbane this week. The figure also shows the daily breakdown of costs associated with the MOS provided. For a more detailed description of this figure, please refer to the user guide." style="width:476.05pt;height:155.8pt">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rsidR="004E20BF">
        <w:t>A</w:t>
      </w:r>
      <w:r>
        <w:t>verage daily scheduled volumes and prices</w:t>
      </w:r>
      <w:r>
        <w:rPr>
          <w:rStyle w:val="FootnoteReference"/>
        </w:rPr>
        <w:footnoteReference w:id="10"/>
      </w:r>
      <w:r>
        <w:t xml:space="preserve"> </w:t>
      </w:r>
      <w:r w:rsidR="004E20BF">
        <w:t xml:space="preserve">are provided </w:t>
      </w:r>
      <w:r w:rsidR="00A270DD">
        <w:t xml:space="preserve">for </w:t>
      </w:r>
      <w:r w:rsidR="004E20BF">
        <w:t>gas markets and gas powered generation for each region.</w:t>
      </w:r>
    </w:p>
    <w:p w:rsidR="00BC18FB" w:rsidRPr="00DD0358" w:rsidRDefault="004560B0" w:rsidP="00560F2D">
      <w:pPr>
        <w:pStyle w:val="Heading4"/>
        <w:ind w:left="1440" w:hanging="1440"/>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3F64CA" w:rsidP="00FB3934">
      <w:r>
        <w:rPr>
          <w:noProof/>
        </w:rPr>
        <w:pict>
          <v:shape id="_x0000_i1039" type="#_x0000_t75" alt="Figure 5.1 shows the average daily Bulletin Board flows for this week compared to the previous week. It includes price and demand data for gas markets across the east coast of Australia and gas powered generation usage estimates for each state. For a more detailed description of this figure, please refer to the user guide." style="width:378.25pt;height:546.45pt;mso-position-vertical:absolute">
            <v:imagedata r:id="rId28"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1"/>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FD29E2" w:rsidRDefault="00FD29E2" w:rsidP="00345444">
      <w:pPr>
        <w:jc w:val="both"/>
        <w:rPr>
          <w:rFonts w:eastAsia="MS Mincho"/>
        </w:rPr>
      </w:pPr>
      <w:r w:rsidRPr="00FD29E2">
        <w:rPr>
          <w:rFonts w:eastAsia="MS Mincho"/>
        </w:rPr>
        <w:t>There were 4 trades on 9 April for 18 TJ of gas at a volume weighted price of $4.33/GJ. Three of these trades were for daily products on the SWQP ($4.30/GJ for 15 TJ) and the remaining trade on the RBP was balance-of-day ($4.50/GJ).</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2"/>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3F64CA" w:rsidP="00E37A86">
      <w:r>
        <w:rPr>
          <w:rFonts w:eastAsia="MS Mincho"/>
        </w:rPr>
        <w:pict>
          <v:shape id="_x0000_i1040" type="#_x0000_t75" alt="Figure 6.1 shows the daily volume of gas traded on each pipeline in the Wallumbilla Gas Supply Hub. The quantities displayed are shown for both the day the gas is traded over the current week and the gas day on which gas has been shipped." style="width:475.5pt;height:201.5pt">
            <v:imagedata r:id="rId29" o:title=""/>
          </v:shape>
        </w:pict>
      </w:r>
      <w:r w:rsidR="00E37A86" w:rsidRPr="006520EE">
        <w:t xml:space="preserve"> </w:t>
      </w:r>
    </w:p>
    <w:sectPr w:rsidR="009E74E3" w:rsidRPr="006520EE" w:rsidSect="00D635F1">
      <w:footerReference w:type="default" r:id="rId30"/>
      <w:footerReference w:type="first" r:id="rId31"/>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53B" w:rsidRDefault="0091453B">
      <w:r>
        <w:separator/>
      </w:r>
    </w:p>
  </w:endnote>
  <w:endnote w:type="continuationSeparator" w:id="0">
    <w:p w:rsidR="0091453B" w:rsidRDefault="0091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D22793">
    <w:pPr>
      <w:pBdr>
        <w:top w:val="single" w:sz="4" w:space="0" w:color="auto"/>
      </w:pBdr>
      <w:ind w:left="-284" w:right="-329" w:firstLine="284"/>
      <w:jc w:val="center"/>
      <w:rPr>
        <w:i/>
        <w:sz w:val="16"/>
        <w:szCs w:val="16"/>
      </w:rPr>
    </w:pPr>
    <w:r>
      <w:rPr>
        <w:i/>
        <w:sz w:val="20"/>
      </w:rPr>
      <w:t>© Commonwealth of Australia.</w:t>
    </w:r>
  </w:p>
  <w:p w:rsidR="0091453B" w:rsidRDefault="0091453B" w:rsidP="005A77AC">
    <w:pPr>
      <w:jc w:val="center"/>
    </w:pPr>
    <w:r>
      <w:fldChar w:fldCharType="begin"/>
    </w:r>
    <w:r>
      <w:instrText xml:space="preserve"> PAGE  \* MERGEFORMAT </w:instrText>
    </w:r>
    <w:r>
      <w:fldChar w:fldCharType="separate"/>
    </w:r>
    <w:r w:rsidR="00191B73">
      <w:rPr>
        <w:noProof/>
      </w:rPr>
      <w:t>4</w:t>
    </w:r>
    <w:r>
      <w:fldChar w:fldCharType="end"/>
    </w:r>
  </w:p>
  <w:p w:rsidR="0091453B" w:rsidRDefault="0091453B"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491029">
    <w:pPr>
      <w:pBdr>
        <w:top w:val="single" w:sz="4" w:space="0" w:color="auto"/>
      </w:pBdr>
      <w:ind w:left="-284" w:right="-329" w:firstLine="284"/>
      <w:jc w:val="center"/>
      <w:rPr>
        <w:i/>
        <w:sz w:val="20"/>
      </w:rPr>
    </w:pPr>
    <w:r>
      <w:rPr>
        <w:i/>
        <w:sz w:val="20"/>
      </w:rPr>
      <w:t>© Commonwealth of Australia.</w:t>
    </w:r>
  </w:p>
  <w:p w:rsidR="0091453B" w:rsidRPr="002D773A" w:rsidRDefault="0091453B" w:rsidP="00491029">
    <w:pPr>
      <w:jc w:val="center"/>
    </w:pPr>
    <w:r>
      <w:fldChar w:fldCharType="begin"/>
    </w:r>
    <w:r>
      <w:instrText xml:space="preserve"> PAGE  \* MERGEFORMAT </w:instrText>
    </w:r>
    <w:r>
      <w:fldChar w:fldCharType="separate"/>
    </w:r>
    <w:r w:rsidR="003F64CA">
      <w:rPr>
        <w:noProof/>
      </w:rPr>
      <w:t>1</w:t>
    </w:r>
    <w:r>
      <w:fldChar w:fldCharType="end"/>
    </w:r>
  </w:p>
  <w:p w:rsidR="0091453B" w:rsidRDefault="0091453B" w:rsidP="00491029">
    <w:pPr>
      <w:pStyle w:val="Footer"/>
      <w:jc w:val="right"/>
    </w:pPr>
    <w:r w:rsidRPr="00F52F00">
      <w:rPr>
        <w:rFonts w:cs="Arial"/>
        <w:i/>
      </w:rPr>
      <w:t>AER reference: 392</w:t>
    </w:r>
    <w:r>
      <w:rPr>
        <w:rFonts w:cs="Arial"/>
        <w:i/>
      </w:rPr>
      <w:t>7</w:t>
    </w:r>
    <w:r w:rsidRPr="00F52F00">
      <w:rPr>
        <w:rFonts w:cs="Arial"/>
        <w:i/>
      </w:rPr>
      <w:t xml:space="preserve">0 – </w:t>
    </w:r>
    <w:r w:rsidRPr="004718E5">
      <w:rPr>
        <w:rFonts w:cs="Arial"/>
        <w:i/>
      </w:rPr>
      <w:t>D1</w:t>
    </w:r>
    <w:r w:rsidR="004718E5" w:rsidRPr="004718E5">
      <w:rPr>
        <w:rFonts w:cs="Arial"/>
        <w:i/>
      </w:rPr>
      <w:t>6</w:t>
    </w:r>
    <w:r w:rsidRPr="004718E5">
      <w:rPr>
        <w:rFonts w:cs="Arial"/>
        <w:i/>
      </w:rPr>
      <w:t>/</w:t>
    </w:r>
    <w:r w:rsidR="00FD29E2">
      <w:rPr>
        <w:rFonts w:cs="Arial"/>
        <w:i/>
      </w:rPr>
      <w:t>48573</w:t>
    </w:r>
  </w:p>
  <w:p w:rsidR="0091453B" w:rsidRDefault="009145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53B" w:rsidRDefault="0091453B">
      <w:r>
        <w:separator/>
      </w:r>
    </w:p>
  </w:footnote>
  <w:footnote w:type="continuationSeparator" w:id="0">
    <w:p w:rsidR="0091453B" w:rsidRDefault="0091453B">
      <w:r>
        <w:continuationSeparator/>
      </w:r>
    </w:p>
  </w:footnote>
  <w:footnote w:id="1">
    <w:p w:rsidR="00112727" w:rsidRDefault="00112727" w:rsidP="00112727">
      <w:pPr>
        <w:pStyle w:val="FootnoteText"/>
        <w:jc w:val="both"/>
      </w:pPr>
      <w:r>
        <w:rPr>
          <w:rStyle w:val="FootnoteReference"/>
        </w:rPr>
        <w:footnoteRef/>
      </w:r>
      <w:r>
        <w:t xml:space="preserve"> </w:t>
      </w:r>
      <w:r>
        <w:tab/>
      </w:r>
      <w:r w:rsidRPr="00112727">
        <w:rPr>
          <w:sz w:val="18"/>
        </w:rPr>
        <w:t xml:space="preserve">The suspension followed the appointment of an external administrator on 1 April, which triggered a Retailer of Last Resort (RoLR) event under the Retail Law. This resulted in GoEnergy being suspended from the National Electricity Market and the revocation of its electricity retailer authorisation on Saturday 2 April. The </w:t>
      </w:r>
      <w:hyperlink r:id="rId1" w:history="1">
        <w:r w:rsidRPr="00E61DFF">
          <w:rPr>
            <w:rStyle w:val="Hyperlink"/>
            <w:sz w:val="18"/>
          </w:rPr>
          <w:t>revocation notice</w:t>
        </w:r>
      </w:hyperlink>
      <w:r>
        <w:rPr>
          <w:sz w:val="18"/>
        </w:rPr>
        <w:t xml:space="preserve"> for suspension from the STTM</w:t>
      </w:r>
      <w:r w:rsidRPr="00112727">
        <w:rPr>
          <w:sz w:val="18"/>
        </w:rPr>
        <w:t xml:space="preserve"> was published on the AER website</w:t>
      </w:r>
      <w:r>
        <w:rPr>
          <w:sz w:val="18"/>
        </w:rPr>
        <w:t xml:space="preserve"> on 4 April</w:t>
      </w:r>
      <w:r w:rsidRPr="00112727">
        <w:rPr>
          <w:sz w:val="18"/>
        </w:rPr>
        <w:t>.</w:t>
      </w:r>
    </w:p>
  </w:footnote>
  <w:footnote w:id="2">
    <w:p w:rsidR="00466F34" w:rsidRPr="00466F34" w:rsidRDefault="00466F34" w:rsidP="00466F34">
      <w:pPr>
        <w:pStyle w:val="FootnoteText"/>
        <w:jc w:val="both"/>
        <w:rPr>
          <w:sz w:val="18"/>
        </w:rPr>
      </w:pPr>
      <w:r>
        <w:rPr>
          <w:rStyle w:val="FootnoteReference"/>
        </w:rPr>
        <w:footnoteRef/>
      </w:r>
      <w:r>
        <w:t xml:space="preserve"> </w:t>
      </w:r>
      <w:r>
        <w:tab/>
      </w:r>
      <w:r w:rsidRPr="00466F34">
        <w:rPr>
          <w:sz w:val="18"/>
        </w:rPr>
        <w:t>AGL was appointed as the default RoLR for Sydney customers on the JGN distribution network and Queensland/NSW customers on the Allgas Energy distribution network, while Origin Energy was appointed for NSW customers on the Central Ranges Pipeline distribution network.</w:t>
      </w:r>
    </w:p>
  </w:footnote>
  <w:footnote w:id="3">
    <w:p w:rsidR="0091453B" w:rsidRPr="00942640" w:rsidRDefault="0091453B"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4">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5">
    <w:p w:rsidR="0091453B" w:rsidRPr="00EF58A8" w:rsidRDefault="0091453B"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6">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7">
    <w:p w:rsidR="0091453B" w:rsidRPr="00362B9A" w:rsidRDefault="0091453B"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8">
    <w:p w:rsidR="0091453B" w:rsidRDefault="0091453B"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9">
    <w:p w:rsidR="0091453B" w:rsidRPr="002E7E9E" w:rsidRDefault="0091453B"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Gas </w:t>
      </w:r>
      <w:r w:rsidR="004E20BF">
        <w:rPr>
          <w:sz w:val="18"/>
          <w:szCs w:val="18"/>
        </w:rPr>
        <w:t>f</w:t>
      </w:r>
      <w:r w:rsidRPr="002E7E9E">
        <w:rPr>
          <w:sz w:val="18"/>
          <w:szCs w:val="18"/>
        </w:rPr>
        <w:t>lows</w:t>
      </w:r>
      <w:r w:rsidR="004E20BF">
        <w:rPr>
          <w:sz w:val="18"/>
          <w:szCs w:val="18"/>
        </w:rPr>
        <w:t xml:space="preserve"> shown under regional headings</w:t>
      </w:r>
      <w:r w:rsidRPr="002E7E9E">
        <w:rPr>
          <w:sz w:val="18"/>
          <w:szCs w:val="18"/>
        </w:rPr>
        <w:t xml:space="preserve">: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91453B" w:rsidRDefault="0091453B"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91453B" w:rsidRDefault="0091453B"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2B1803" w:rsidRPr="002E7E9E" w:rsidRDefault="002B1803" w:rsidP="004560B0">
      <w:pPr>
        <w:pStyle w:val="FootnoteText"/>
        <w:spacing w:before="0" w:after="0"/>
        <w:ind w:firstLine="0"/>
        <w:rPr>
          <w:sz w:val="18"/>
          <w:szCs w:val="18"/>
        </w:rPr>
      </w:pPr>
      <w:r>
        <w:rPr>
          <w:sz w:val="18"/>
          <w:szCs w:val="18"/>
        </w:rPr>
        <w:t>Roma included export LNG production from October 2014 and LNG pipeline flows are shown from October 2015.</w:t>
      </w:r>
    </w:p>
  </w:footnote>
  <w:footnote w:id="10">
    <w:p w:rsidR="0091453B" w:rsidRDefault="0091453B"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1">
    <w:p w:rsidR="0091453B" w:rsidRPr="009E74E3" w:rsidRDefault="0091453B"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2">
    <w:p w:rsidR="0091453B" w:rsidRPr="007300C3" w:rsidRDefault="0091453B" w:rsidP="00DE5B7B">
      <w:pPr>
        <w:pStyle w:val="FootnoteText"/>
        <w:spacing w:before="0" w:after="0"/>
        <w:ind w:left="284" w:hanging="284"/>
        <w:jc w:val="both"/>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markup="0"/>
  <w:doNotTrackMoves/>
  <w:defaultTabStop w:val="720"/>
  <w:characterSpacingControl w:val="doNotCompress"/>
  <w:hdrShapeDefaults>
    <o:shapedefaults v:ext="edit" spidmax="634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wvosp\20160403 - 20160409 gas weekly report (D2016-00048573).docx"/>
  </w:docVars>
  <w:rsids>
    <w:rsidRoot w:val="005F18AD"/>
    <w:rsid w:val="000013C1"/>
    <w:rsid w:val="00001BFB"/>
    <w:rsid w:val="00002313"/>
    <w:rsid w:val="00004A63"/>
    <w:rsid w:val="00010025"/>
    <w:rsid w:val="000123CA"/>
    <w:rsid w:val="00020978"/>
    <w:rsid w:val="0002268D"/>
    <w:rsid w:val="00027115"/>
    <w:rsid w:val="000323BA"/>
    <w:rsid w:val="00033456"/>
    <w:rsid w:val="00040F6B"/>
    <w:rsid w:val="000552AF"/>
    <w:rsid w:val="00055584"/>
    <w:rsid w:val="00061656"/>
    <w:rsid w:val="0006609A"/>
    <w:rsid w:val="00073D01"/>
    <w:rsid w:val="00076046"/>
    <w:rsid w:val="000813BF"/>
    <w:rsid w:val="0008491C"/>
    <w:rsid w:val="00085092"/>
    <w:rsid w:val="000876E7"/>
    <w:rsid w:val="00093854"/>
    <w:rsid w:val="000974A2"/>
    <w:rsid w:val="00097D40"/>
    <w:rsid w:val="000B4A1F"/>
    <w:rsid w:val="000B6397"/>
    <w:rsid w:val="000B69E0"/>
    <w:rsid w:val="000B7FAF"/>
    <w:rsid w:val="000D1FEB"/>
    <w:rsid w:val="000E1F9A"/>
    <w:rsid w:val="000F0BBB"/>
    <w:rsid w:val="000F2287"/>
    <w:rsid w:val="000F3B46"/>
    <w:rsid w:val="000F59F8"/>
    <w:rsid w:val="000F5F5E"/>
    <w:rsid w:val="000F6D05"/>
    <w:rsid w:val="00112727"/>
    <w:rsid w:val="00113D67"/>
    <w:rsid w:val="00117C98"/>
    <w:rsid w:val="00125818"/>
    <w:rsid w:val="001420EB"/>
    <w:rsid w:val="001452B3"/>
    <w:rsid w:val="00150A19"/>
    <w:rsid w:val="00152919"/>
    <w:rsid w:val="00153729"/>
    <w:rsid w:val="00157AFD"/>
    <w:rsid w:val="001608BE"/>
    <w:rsid w:val="00171BD5"/>
    <w:rsid w:val="00181F4A"/>
    <w:rsid w:val="001831BF"/>
    <w:rsid w:val="001835B2"/>
    <w:rsid w:val="00183D85"/>
    <w:rsid w:val="00191B73"/>
    <w:rsid w:val="00193ECC"/>
    <w:rsid w:val="001A41B4"/>
    <w:rsid w:val="001A5893"/>
    <w:rsid w:val="001A5B94"/>
    <w:rsid w:val="001A5C1A"/>
    <w:rsid w:val="001A765F"/>
    <w:rsid w:val="001B294E"/>
    <w:rsid w:val="001B2ADA"/>
    <w:rsid w:val="001B3823"/>
    <w:rsid w:val="001C006C"/>
    <w:rsid w:val="001C5A74"/>
    <w:rsid w:val="001E79FF"/>
    <w:rsid w:val="001F0F9B"/>
    <w:rsid w:val="002052B6"/>
    <w:rsid w:val="00206559"/>
    <w:rsid w:val="002168D4"/>
    <w:rsid w:val="002312F5"/>
    <w:rsid w:val="00231B0A"/>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1803"/>
    <w:rsid w:val="002B3D3C"/>
    <w:rsid w:val="002B4D21"/>
    <w:rsid w:val="002C0499"/>
    <w:rsid w:val="002C2576"/>
    <w:rsid w:val="002D0C16"/>
    <w:rsid w:val="002D59B3"/>
    <w:rsid w:val="002D5CEC"/>
    <w:rsid w:val="002D61ED"/>
    <w:rsid w:val="002E0688"/>
    <w:rsid w:val="002E2C96"/>
    <w:rsid w:val="002E2E46"/>
    <w:rsid w:val="002E7E9E"/>
    <w:rsid w:val="002F0AE7"/>
    <w:rsid w:val="002F139A"/>
    <w:rsid w:val="002F4250"/>
    <w:rsid w:val="0030240F"/>
    <w:rsid w:val="00311A09"/>
    <w:rsid w:val="00314A8B"/>
    <w:rsid w:val="0032174C"/>
    <w:rsid w:val="00323327"/>
    <w:rsid w:val="00330B70"/>
    <w:rsid w:val="003348F7"/>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977B4"/>
    <w:rsid w:val="003B0AAD"/>
    <w:rsid w:val="003B65E0"/>
    <w:rsid w:val="003C5272"/>
    <w:rsid w:val="003C5482"/>
    <w:rsid w:val="003D59BF"/>
    <w:rsid w:val="003E313D"/>
    <w:rsid w:val="003F3391"/>
    <w:rsid w:val="003F44AD"/>
    <w:rsid w:val="003F44B7"/>
    <w:rsid w:val="003F51E6"/>
    <w:rsid w:val="003F64CA"/>
    <w:rsid w:val="003F7FD2"/>
    <w:rsid w:val="0040076C"/>
    <w:rsid w:val="004055AC"/>
    <w:rsid w:val="00406D4F"/>
    <w:rsid w:val="00411C3F"/>
    <w:rsid w:val="004149DB"/>
    <w:rsid w:val="00421FFF"/>
    <w:rsid w:val="00433231"/>
    <w:rsid w:val="00434FC1"/>
    <w:rsid w:val="004420C4"/>
    <w:rsid w:val="00442756"/>
    <w:rsid w:val="00445D38"/>
    <w:rsid w:val="00447C09"/>
    <w:rsid w:val="004505EA"/>
    <w:rsid w:val="0045204B"/>
    <w:rsid w:val="00452149"/>
    <w:rsid w:val="00452AAD"/>
    <w:rsid w:val="004560B0"/>
    <w:rsid w:val="00460629"/>
    <w:rsid w:val="00463EFA"/>
    <w:rsid w:val="00466F34"/>
    <w:rsid w:val="004718E5"/>
    <w:rsid w:val="004777B8"/>
    <w:rsid w:val="00483EDA"/>
    <w:rsid w:val="00491029"/>
    <w:rsid w:val="00492501"/>
    <w:rsid w:val="00496CEF"/>
    <w:rsid w:val="004A09D6"/>
    <w:rsid w:val="004A10A7"/>
    <w:rsid w:val="004B068E"/>
    <w:rsid w:val="004B18D8"/>
    <w:rsid w:val="004B2256"/>
    <w:rsid w:val="004B2A1A"/>
    <w:rsid w:val="004B6D60"/>
    <w:rsid w:val="004D09C9"/>
    <w:rsid w:val="004D1EBF"/>
    <w:rsid w:val="004D3B99"/>
    <w:rsid w:val="004D3E78"/>
    <w:rsid w:val="004E20BF"/>
    <w:rsid w:val="004F3D13"/>
    <w:rsid w:val="00502181"/>
    <w:rsid w:val="00505139"/>
    <w:rsid w:val="00514A82"/>
    <w:rsid w:val="005157B0"/>
    <w:rsid w:val="005178FC"/>
    <w:rsid w:val="00522E00"/>
    <w:rsid w:val="005244DA"/>
    <w:rsid w:val="0053609E"/>
    <w:rsid w:val="00541108"/>
    <w:rsid w:val="00547827"/>
    <w:rsid w:val="00560F2D"/>
    <w:rsid w:val="00563C94"/>
    <w:rsid w:val="00564C71"/>
    <w:rsid w:val="0056618C"/>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E3DFB"/>
    <w:rsid w:val="005E4C48"/>
    <w:rsid w:val="005E4E2B"/>
    <w:rsid w:val="005F18AD"/>
    <w:rsid w:val="005F31D0"/>
    <w:rsid w:val="00601A25"/>
    <w:rsid w:val="00601C18"/>
    <w:rsid w:val="00601E71"/>
    <w:rsid w:val="0060661E"/>
    <w:rsid w:val="00612663"/>
    <w:rsid w:val="00645036"/>
    <w:rsid w:val="00647DD2"/>
    <w:rsid w:val="006520EE"/>
    <w:rsid w:val="00652A42"/>
    <w:rsid w:val="006540A8"/>
    <w:rsid w:val="006705A4"/>
    <w:rsid w:val="006722EB"/>
    <w:rsid w:val="00686F6E"/>
    <w:rsid w:val="00697E41"/>
    <w:rsid w:val="006A5317"/>
    <w:rsid w:val="006A7228"/>
    <w:rsid w:val="006B004C"/>
    <w:rsid w:val="006C1858"/>
    <w:rsid w:val="006C242A"/>
    <w:rsid w:val="006C2B2B"/>
    <w:rsid w:val="006C33C0"/>
    <w:rsid w:val="006C57B2"/>
    <w:rsid w:val="006C5A2C"/>
    <w:rsid w:val="006C6D60"/>
    <w:rsid w:val="006D6E0B"/>
    <w:rsid w:val="006E1063"/>
    <w:rsid w:val="006E312B"/>
    <w:rsid w:val="006E40BD"/>
    <w:rsid w:val="006E7E57"/>
    <w:rsid w:val="006F4169"/>
    <w:rsid w:val="006F7626"/>
    <w:rsid w:val="007001FF"/>
    <w:rsid w:val="007059A9"/>
    <w:rsid w:val="00706720"/>
    <w:rsid w:val="00710600"/>
    <w:rsid w:val="0071106C"/>
    <w:rsid w:val="00715BED"/>
    <w:rsid w:val="00716B82"/>
    <w:rsid w:val="007201F8"/>
    <w:rsid w:val="007209C0"/>
    <w:rsid w:val="00722B62"/>
    <w:rsid w:val="0072650E"/>
    <w:rsid w:val="007306EC"/>
    <w:rsid w:val="00740EE4"/>
    <w:rsid w:val="00747724"/>
    <w:rsid w:val="00750C0F"/>
    <w:rsid w:val="00763150"/>
    <w:rsid w:val="0076429B"/>
    <w:rsid w:val="00767397"/>
    <w:rsid w:val="00773AE0"/>
    <w:rsid w:val="00776BBA"/>
    <w:rsid w:val="00781A4A"/>
    <w:rsid w:val="00791198"/>
    <w:rsid w:val="007941C2"/>
    <w:rsid w:val="00795966"/>
    <w:rsid w:val="007966A5"/>
    <w:rsid w:val="007A12DE"/>
    <w:rsid w:val="007A24B5"/>
    <w:rsid w:val="007A50F6"/>
    <w:rsid w:val="007A51E1"/>
    <w:rsid w:val="007A7E7A"/>
    <w:rsid w:val="007B7771"/>
    <w:rsid w:val="007D470C"/>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4A16"/>
    <w:rsid w:val="008B7161"/>
    <w:rsid w:val="008C0EC8"/>
    <w:rsid w:val="008C268E"/>
    <w:rsid w:val="008C7F3A"/>
    <w:rsid w:val="008D39F4"/>
    <w:rsid w:val="008D4DAB"/>
    <w:rsid w:val="008D70A4"/>
    <w:rsid w:val="008E2239"/>
    <w:rsid w:val="008E24DA"/>
    <w:rsid w:val="008F4BF5"/>
    <w:rsid w:val="008F4EAE"/>
    <w:rsid w:val="008F5409"/>
    <w:rsid w:val="00900CEB"/>
    <w:rsid w:val="00903620"/>
    <w:rsid w:val="009136B3"/>
    <w:rsid w:val="009143E0"/>
    <w:rsid w:val="0091453B"/>
    <w:rsid w:val="00936A7B"/>
    <w:rsid w:val="00937543"/>
    <w:rsid w:val="009378F0"/>
    <w:rsid w:val="00942622"/>
    <w:rsid w:val="00942640"/>
    <w:rsid w:val="00950C55"/>
    <w:rsid w:val="00951926"/>
    <w:rsid w:val="00956CE9"/>
    <w:rsid w:val="009629B5"/>
    <w:rsid w:val="00976584"/>
    <w:rsid w:val="00987973"/>
    <w:rsid w:val="00990F83"/>
    <w:rsid w:val="009962A0"/>
    <w:rsid w:val="009A04DD"/>
    <w:rsid w:val="009B2F99"/>
    <w:rsid w:val="009B4053"/>
    <w:rsid w:val="009B48FB"/>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270DD"/>
    <w:rsid w:val="00A324A8"/>
    <w:rsid w:val="00A349B0"/>
    <w:rsid w:val="00A475A2"/>
    <w:rsid w:val="00A51DDD"/>
    <w:rsid w:val="00A55660"/>
    <w:rsid w:val="00A55C96"/>
    <w:rsid w:val="00A642B8"/>
    <w:rsid w:val="00A66FD2"/>
    <w:rsid w:val="00A67716"/>
    <w:rsid w:val="00A677D8"/>
    <w:rsid w:val="00A834DF"/>
    <w:rsid w:val="00A91C53"/>
    <w:rsid w:val="00A936AE"/>
    <w:rsid w:val="00AA1D87"/>
    <w:rsid w:val="00AD3EBD"/>
    <w:rsid w:val="00AE03A4"/>
    <w:rsid w:val="00AE309F"/>
    <w:rsid w:val="00AE4633"/>
    <w:rsid w:val="00AE748C"/>
    <w:rsid w:val="00AF2164"/>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C18FB"/>
    <w:rsid w:val="00BC21AB"/>
    <w:rsid w:val="00BC254C"/>
    <w:rsid w:val="00BC4C5B"/>
    <w:rsid w:val="00BC77F9"/>
    <w:rsid w:val="00BD3A40"/>
    <w:rsid w:val="00BD60AA"/>
    <w:rsid w:val="00BE18D0"/>
    <w:rsid w:val="00BE240C"/>
    <w:rsid w:val="00BE4577"/>
    <w:rsid w:val="00BF1D01"/>
    <w:rsid w:val="00BF3080"/>
    <w:rsid w:val="00C21D81"/>
    <w:rsid w:val="00C26B1D"/>
    <w:rsid w:val="00C26E38"/>
    <w:rsid w:val="00C3163F"/>
    <w:rsid w:val="00C40E6B"/>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1DDB"/>
    <w:rsid w:val="00D161D7"/>
    <w:rsid w:val="00D1641C"/>
    <w:rsid w:val="00D16FE8"/>
    <w:rsid w:val="00D22793"/>
    <w:rsid w:val="00D329E0"/>
    <w:rsid w:val="00D40430"/>
    <w:rsid w:val="00D41D64"/>
    <w:rsid w:val="00D50980"/>
    <w:rsid w:val="00D60D45"/>
    <w:rsid w:val="00D635F1"/>
    <w:rsid w:val="00D67440"/>
    <w:rsid w:val="00D71951"/>
    <w:rsid w:val="00D76436"/>
    <w:rsid w:val="00D8407A"/>
    <w:rsid w:val="00D84A8C"/>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DE5B7B"/>
    <w:rsid w:val="00E01475"/>
    <w:rsid w:val="00E032F3"/>
    <w:rsid w:val="00E16C03"/>
    <w:rsid w:val="00E2040E"/>
    <w:rsid w:val="00E2256B"/>
    <w:rsid w:val="00E27FEA"/>
    <w:rsid w:val="00E37A86"/>
    <w:rsid w:val="00E40361"/>
    <w:rsid w:val="00E41452"/>
    <w:rsid w:val="00E524B2"/>
    <w:rsid w:val="00E52E2A"/>
    <w:rsid w:val="00E74D68"/>
    <w:rsid w:val="00E7639D"/>
    <w:rsid w:val="00E77449"/>
    <w:rsid w:val="00E7755A"/>
    <w:rsid w:val="00E8378F"/>
    <w:rsid w:val="00E86AAA"/>
    <w:rsid w:val="00E92C22"/>
    <w:rsid w:val="00E92E1D"/>
    <w:rsid w:val="00E93C7C"/>
    <w:rsid w:val="00E94C7D"/>
    <w:rsid w:val="00EA2F65"/>
    <w:rsid w:val="00EA4813"/>
    <w:rsid w:val="00EA6E29"/>
    <w:rsid w:val="00ED5E08"/>
    <w:rsid w:val="00EE2B5F"/>
    <w:rsid w:val="00EE51D2"/>
    <w:rsid w:val="00EE6F2C"/>
    <w:rsid w:val="00EF4E45"/>
    <w:rsid w:val="00EF58A8"/>
    <w:rsid w:val="00EF5A5D"/>
    <w:rsid w:val="00EF6B0C"/>
    <w:rsid w:val="00F01843"/>
    <w:rsid w:val="00F02D8D"/>
    <w:rsid w:val="00F114D5"/>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71200"/>
    <w:rsid w:val="00F72708"/>
    <w:rsid w:val="00F73DCA"/>
    <w:rsid w:val="00F76C75"/>
    <w:rsid w:val="00F77722"/>
    <w:rsid w:val="00F803DE"/>
    <w:rsid w:val="00F96C04"/>
    <w:rsid w:val="00F976F4"/>
    <w:rsid w:val="00FB3934"/>
    <w:rsid w:val="00FB594A"/>
    <w:rsid w:val="00FB7DD0"/>
    <w:rsid w:val="00FC4B88"/>
    <w:rsid w:val="00FD08B1"/>
    <w:rsid w:val="00FD29E2"/>
    <w:rsid w:val="00FD7009"/>
    <w:rsid w:val="00FD7231"/>
    <w:rsid w:val="00FE0150"/>
    <w:rsid w:val="00FE30E3"/>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aer.gov.au/node/451"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aer.gov.au/news-release/go-energy-gas-authorisation-revocation%20not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D719C4-A9CB-4D32-8ECB-65ADEBEF2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5F4938B</Template>
  <TotalTime>0</TotalTime>
  <Pages>11</Pages>
  <Words>1478</Words>
  <Characters>8428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9887</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2016-04-27T06:46:00Z</dcterms:created>
  <dcterms:modified xsi:type="dcterms:W3CDTF">2016-04-27T06:46:00Z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\\cdchnas-evs02\home$\wvosp\20160403 - 20160409 gas weekly report (D2016-00048573).docx</vt:lpwstr>
  </property>
</Properties>
</file>