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B0795A"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8"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9"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180340" w:rsidP="004420C4">
      <w:pPr>
        <w:pStyle w:val="Heading2"/>
        <w:numPr>
          <w:ilvl w:val="0"/>
          <w:numId w:val="0"/>
        </w:numPr>
        <w:rPr>
          <w:i w:val="0"/>
        </w:rPr>
      </w:pPr>
      <w:r>
        <w:rPr>
          <w:i w:val="0"/>
          <w:sz w:val="36"/>
          <w:szCs w:val="36"/>
        </w:rPr>
        <w:t>29 November – 5 December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9178A1" w:rsidRDefault="009178A1" w:rsidP="00345444">
      <w:pPr>
        <w:pStyle w:val="AERbodytext"/>
        <w:spacing w:line="240" w:lineRule="auto"/>
        <w:jc w:val="both"/>
      </w:pPr>
      <w:r>
        <w:t xml:space="preserve">Average prices in Adelaide increased by 4 per cent from the previous week. In the other markets average prices decreased, with the largest fall in Brisbane where prices were down </w:t>
      </w:r>
      <w:r w:rsidR="005A4751">
        <w:t xml:space="preserve">by </w:t>
      </w:r>
      <w:r>
        <w:t>20</w:t>
      </w:r>
      <w:r w:rsidR="005A4751">
        <w:t> </w:t>
      </w:r>
      <w:r>
        <w:t xml:space="preserve">per cent. </w:t>
      </w:r>
      <w:r w:rsidR="0044493C">
        <w:t>This is a ch</w:t>
      </w:r>
      <w:bookmarkStart w:id="2" w:name="_GoBack"/>
      <w:bookmarkEnd w:id="2"/>
      <w:r w:rsidR="0044493C">
        <w:t xml:space="preserve">ange from </w:t>
      </w:r>
      <w:r w:rsidR="005A4751">
        <w:t>the previous two weekly reports</w:t>
      </w:r>
      <w:r w:rsidR="00DE7D62">
        <w:t xml:space="preserve"> </w:t>
      </w:r>
      <w:r w:rsidR="0044493C">
        <w:t xml:space="preserve">where prices </w:t>
      </w:r>
      <w:r w:rsidR="005A4751">
        <w:t xml:space="preserve">increased </w:t>
      </w:r>
      <w:r w:rsidR="0044493C">
        <w:t>across all markets</w:t>
      </w:r>
      <w:r w:rsidR="005A4751">
        <w:t>.</w:t>
      </w:r>
      <w:r w:rsidR="0044493C">
        <w:t xml:space="preserve"> </w:t>
      </w:r>
      <w:r w:rsidR="008F5134">
        <w:t xml:space="preserve">Queensland’s LNG export projects may have put downward pressure on </w:t>
      </w:r>
      <w:r w:rsidR="0044493C">
        <w:t>prices in Brisbane and Wallumbilla</w:t>
      </w:r>
      <w:r w:rsidR="008F5134">
        <w:t>,</w:t>
      </w:r>
      <w:r w:rsidR="0044493C">
        <w:t xml:space="preserve"> </w:t>
      </w:r>
      <w:r w:rsidR="008F5134">
        <w:t>as discussed</w:t>
      </w:r>
      <w:r w:rsidR="0044493C">
        <w:t xml:space="preserve"> </w:t>
      </w:r>
      <w:r w:rsidR="00EE257B">
        <w:t xml:space="preserve">later in the report </w:t>
      </w:r>
      <w:r w:rsidR="0044493C">
        <w:t xml:space="preserve">in </w:t>
      </w:r>
      <w:r w:rsidR="003C26A7">
        <w:t xml:space="preserve">the </w:t>
      </w:r>
      <w:r w:rsidR="0044493C">
        <w:t>‘</w:t>
      </w:r>
      <w:r w:rsidR="00D65ED6">
        <w:t>Detailed m</w:t>
      </w:r>
      <w:r w:rsidR="00EE257B">
        <w:t>arket analysis</w:t>
      </w:r>
      <w:r w:rsidR="0044493C">
        <w:t>’</w:t>
      </w:r>
      <w:r w:rsidR="003C26A7">
        <w:t xml:space="preserve"> section</w:t>
      </w:r>
      <w:r w:rsidR="0044493C">
        <w:t>.</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EF7ADF" w:rsidRPr="0091453B" w:rsidTr="00AC0390">
        <w:trPr>
          <w:trHeight w:val="510"/>
        </w:trPr>
        <w:tc>
          <w:tcPr>
            <w:tcW w:w="1928" w:type="pct"/>
            <w:tcBorders>
              <w:top w:val="nil"/>
              <w:bottom w:val="nil"/>
            </w:tcBorders>
            <w:vAlign w:val="center"/>
          </w:tcPr>
          <w:p w:rsidR="00EF7ADF" w:rsidRDefault="00EF7ADF">
            <w:pPr>
              <w:rPr>
                <w:rFonts w:cs="Arial"/>
                <w:sz w:val="20"/>
                <w:szCs w:val="20"/>
              </w:rPr>
            </w:pPr>
            <w:r>
              <w:rPr>
                <w:rFonts w:cs="Arial"/>
                <w:sz w:val="20"/>
                <w:szCs w:val="20"/>
              </w:rPr>
              <w:t>29 Nov - 05 Dec 2015</w:t>
            </w:r>
          </w:p>
        </w:tc>
        <w:tc>
          <w:tcPr>
            <w:tcW w:w="750" w:type="pct"/>
            <w:tcBorders>
              <w:top w:val="nil"/>
              <w:bottom w:val="nil"/>
            </w:tcBorders>
            <w:vAlign w:val="center"/>
          </w:tcPr>
          <w:p w:rsidR="00EF7ADF" w:rsidRDefault="00EF7ADF">
            <w:pPr>
              <w:jc w:val="center"/>
              <w:rPr>
                <w:rFonts w:cs="Arial"/>
                <w:sz w:val="20"/>
                <w:szCs w:val="20"/>
              </w:rPr>
            </w:pPr>
            <w:r>
              <w:rPr>
                <w:rFonts w:cs="Arial"/>
                <w:sz w:val="20"/>
                <w:szCs w:val="20"/>
              </w:rPr>
              <w:t>4.29</w:t>
            </w:r>
          </w:p>
        </w:tc>
        <w:tc>
          <w:tcPr>
            <w:tcW w:w="749" w:type="pct"/>
            <w:tcBorders>
              <w:top w:val="nil"/>
              <w:bottom w:val="nil"/>
            </w:tcBorders>
            <w:vAlign w:val="center"/>
          </w:tcPr>
          <w:p w:rsidR="00EF7ADF" w:rsidRDefault="00EF7ADF">
            <w:pPr>
              <w:jc w:val="center"/>
              <w:rPr>
                <w:rFonts w:cs="Arial"/>
                <w:sz w:val="20"/>
                <w:szCs w:val="20"/>
              </w:rPr>
            </w:pPr>
            <w:r>
              <w:rPr>
                <w:rFonts w:cs="Arial"/>
                <w:sz w:val="20"/>
                <w:szCs w:val="20"/>
              </w:rPr>
              <w:t>3.92</w:t>
            </w:r>
          </w:p>
        </w:tc>
        <w:tc>
          <w:tcPr>
            <w:tcW w:w="749" w:type="pct"/>
            <w:tcBorders>
              <w:top w:val="nil"/>
              <w:bottom w:val="nil"/>
            </w:tcBorders>
            <w:vAlign w:val="center"/>
          </w:tcPr>
          <w:p w:rsidR="00EF7ADF" w:rsidRDefault="00EF7ADF">
            <w:pPr>
              <w:jc w:val="center"/>
              <w:rPr>
                <w:rFonts w:cs="Arial"/>
                <w:sz w:val="20"/>
                <w:szCs w:val="20"/>
              </w:rPr>
            </w:pPr>
            <w:r>
              <w:rPr>
                <w:rFonts w:cs="Arial"/>
                <w:sz w:val="20"/>
                <w:szCs w:val="20"/>
              </w:rPr>
              <w:t>4.50</w:t>
            </w:r>
          </w:p>
        </w:tc>
        <w:tc>
          <w:tcPr>
            <w:tcW w:w="823" w:type="pct"/>
            <w:tcBorders>
              <w:top w:val="nil"/>
              <w:bottom w:val="nil"/>
            </w:tcBorders>
            <w:vAlign w:val="center"/>
          </w:tcPr>
          <w:p w:rsidR="00EF7ADF" w:rsidRDefault="00EF7ADF">
            <w:pPr>
              <w:jc w:val="center"/>
              <w:rPr>
                <w:rFonts w:cs="Arial"/>
                <w:sz w:val="20"/>
                <w:szCs w:val="20"/>
              </w:rPr>
            </w:pPr>
            <w:r>
              <w:rPr>
                <w:rFonts w:cs="Arial"/>
                <w:sz w:val="20"/>
                <w:szCs w:val="20"/>
              </w:rPr>
              <w:t>2.84</w:t>
            </w:r>
          </w:p>
        </w:tc>
      </w:tr>
      <w:tr w:rsidR="00EF7ADF" w:rsidRPr="0091453B" w:rsidTr="00AC039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EF7ADF" w:rsidRDefault="00EF7ADF">
            <w:pPr>
              <w:rPr>
                <w:rFonts w:cs="Arial"/>
                <w:sz w:val="20"/>
                <w:szCs w:val="20"/>
              </w:rPr>
            </w:pPr>
            <w:r>
              <w:rPr>
                <w:rFonts w:cs="Arial"/>
                <w:sz w:val="20"/>
                <w:szCs w:val="20"/>
              </w:rPr>
              <w:t>% change from previous week</w:t>
            </w:r>
          </w:p>
        </w:tc>
        <w:tc>
          <w:tcPr>
            <w:tcW w:w="750" w:type="pct"/>
            <w:tcBorders>
              <w:top w:val="nil"/>
              <w:bottom w:val="nil"/>
            </w:tcBorders>
            <w:vAlign w:val="center"/>
          </w:tcPr>
          <w:p w:rsidR="00EF7ADF" w:rsidRDefault="00EF7ADF">
            <w:pPr>
              <w:jc w:val="center"/>
              <w:rPr>
                <w:rFonts w:cs="Arial"/>
                <w:sz w:val="20"/>
                <w:szCs w:val="20"/>
              </w:rPr>
            </w:pPr>
            <w:r>
              <w:rPr>
                <w:rFonts w:cs="Arial"/>
                <w:sz w:val="20"/>
                <w:szCs w:val="20"/>
              </w:rPr>
              <w:t>-6</w:t>
            </w:r>
          </w:p>
        </w:tc>
        <w:tc>
          <w:tcPr>
            <w:tcW w:w="749" w:type="pct"/>
            <w:tcBorders>
              <w:top w:val="nil"/>
              <w:bottom w:val="nil"/>
            </w:tcBorders>
            <w:vAlign w:val="center"/>
          </w:tcPr>
          <w:p w:rsidR="00EF7ADF" w:rsidRDefault="00EF7ADF">
            <w:pPr>
              <w:jc w:val="center"/>
              <w:rPr>
                <w:rFonts w:cs="Arial"/>
                <w:sz w:val="20"/>
                <w:szCs w:val="20"/>
              </w:rPr>
            </w:pPr>
            <w:r>
              <w:rPr>
                <w:rFonts w:cs="Arial"/>
                <w:sz w:val="20"/>
                <w:szCs w:val="20"/>
              </w:rPr>
              <w:t>-11</w:t>
            </w:r>
          </w:p>
        </w:tc>
        <w:tc>
          <w:tcPr>
            <w:tcW w:w="749" w:type="pct"/>
            <w:tcBorders>
              <w:top w:val="nil"/>
              <w:bottom w:val="nil"/>
            </w:tcBorders>
            <w:vAlign w:val="center"/>
          </w:tcPr>
          <w:p w:rsidR="00EF7ADF" w:rsidRDefault="00EF7ADF">
            <w:pPr>
              <w:jc w:val="center"/>
              <w:rPr>
                <w:rFonts w:cs="Arial"/>
                <w:sz w:val="20"/>
                <w:szCs w:val="20"/>
              </w:rPr>
            </w:pPr>
            <w:r>
              <w:rPr>
                <w:rFonts w:cs="Arial"/>
                <w:sz w:val="20"/>
                <w:szCs w:val="20"/>
              </w:rPr>
              <w:t>4</w:t>
            </w:r>
          </w:p>
        </w:tc>
        <w:tc>
          <w:tcPr>
            <w:tcW w:w="823" w:type="pct"/>
            <w:tcBorders>
              <w:top w:val="nil"/>
              <w:bottom w:val="nil"/>
            </w:tcBorders>
            <w:vAlign w:val="center"/>
          </w:tcPr>
          <w:p w:rsidR="00EF7ADF" w:rsidRDefault="00EF7ADF">
            <w:pPr>
              <w:jc w:val="center"/>
              <w:rPr>
                <w:rFonts w:cs="Arial"/>
                <w:sz w:val="20"/>
                <w:szCs w:val="20"/>
              </w:rPr>
            </w:pPr>
            <w:r>
              <w:rPr>
                <w:rFonts w:cs="Arial"/>
                <w:sz w:val="20"/>
                <w:szCs w:val="20"/>
              </w:rPr>
              <w:t>-20</w:t>
            </w:r>
          </w:p>
        </w:tc>
      </w:tr>
      <w:tr w:rsidR="00EF7ADF" w:rsidRPr="0091453B" w:rsidTr="00AC0390">
        <w:trPr>
          <w:trHeight w:val="510"/>
        </w:trPr>
        <w:tc>
          <w:tcPr>
            <w:tcW w:w="1928" w:type="pct"/>
            <w:tcBorders>
              <w:top w:val="nil"/>
              <w:bottom w:val="nil"/>
            </w:tcBorders>
            <w:vAlign w:val="center"/>
          </w:tcPr>
          <w:p w:rsidR="00EF7ADF" w:rsidRDefault="00EF7ADF">
            <w:pPr>
              <w:rPr>
                <w:rFonts w:cs="Arial"/>
                <w:sz w:val="20"/>
                <w:szCs w:val="20"/>
              </w:rPr>
            </w:pPr>
            <w:r>
              <w:rPr>
                <w:rFonts w:cs="Arial"/>
                <w:sz w:val="20"/>
                <w:szCs w:val="20"/>
              </w:rPr>
              <w:t>15-16 financial YTD</w:t>
            </w:r>
          </w:p>
        </w:tc>
        <w:tc>
          <w:tcPr>
            <w:tcW w:w="750" w:type="pct"/>
            <w:tcBorders>
              <w:top w:val="nil"/>
              <w:bottom w:val="nil"/>
            </w:tcBorders>
            <w:vAlign w:val="center"/>
          </w:tcPr>
          <w:p w:rsidR="00EF7ADF" w:rsidRDefault="00EF7ADF">
            <w:pPr>
              <w:jc w:val="center"/>
              <w:rPr>
                <w:rFonts w:cs="Arial"/>
                <w:sz w:val="20"/>
                <w:szCs w:val="20"/>
              </w:rPr>
            </w:pPr>
            <w:r>
              <w:rPr>
                <w:rFonts w:cs="Arial"/>
                <w:sz w:val="20"/>
                <w:szCs w:val="20"/>
              </w:rPr>
              <w:t>4.42</w:t>
            </w:r>
          </w:p>
        </w:tc>
        <w:tc>
          <w:tcPr>
            <w:tcW w:w="749" w:type="pct"/>
            <w:tcBorders>
              <w:top w:val="nil"/>
              <w:bottom w:val="nil"/>
            </w:tcBorders>
            <w:vAlign w:val="center"/>
          </w:tcPr>
          <w:p w:rsidR="00EF7ADF" w:rsidRDefault="00EF7ADF">
            <w:pPr>
              <w:jc w:val="center"/>
              <w:rPr>
                <w:rFonts w:cs="Arial"/>
                <w:sz w:val="20"/>
                <w:szCs w:val="20"/>
              </w:rPr>
            </w:pPr>
            <w:r>
              <w:rPr>
                <w:rFonts w:cs="Arial"/>
                <w:sz w:val="20"/>
                <w:szCs w:val="20"/>
              </w:rPr>
              <w:t>4.63</w:t>
            </w:r>
          </w:p>
        </w:tc>
        <w:tc>
          <w:tcPr>
            <w:tcW w:w="749" w:type="pct"/>
            <w:tcBorders>
              <w:top w:val="nil"/>
              <w:bottom w:val="nil"/>
            </w:tcBorders>
            <w:vAlign w:val="center"/>
          </w:tcPr>
          <w:p w:rsidR="00EF7ADF" w:rsidRDefault="00EF7ADF">
            <w:pPr>
              <w:jc w:val="center"/>
              <w:rPr>
                <w:rFonts w:cs="Arial"/>
                <w:sz w:val="20"/>
                <w:szCs w:val="20"/>
              </w:rPr>
            </w:pPr>
            <w:r>
              <w:rPr>
                <w:rFonts w:cs="Arial"/>
                <w:sz w:val="20"/>
                <w:szCs w:val="20"/>
              </w:rPr>
              <w:t>5.01</w:t>
            </w:r>
          </w:p>
        </w:tc>
        <w:tc>
          <w:tcPr>
            <w:tcW w:w="823" w:type="pct"/>
            <w:tcBorders>
              <w:top w:val="nil"/>
              <w:bottom w:val="nil"/>
            </w:tcBorders>
            <w:vAlign w:val="center"/>
          </w:tcPr>
          <w:p w:rsidR="00EF7ADF" w:rsidRDefault="00EF7ADF">
            <w:pPr>
              <w:jc w:val="center"/>
              <w:rPr>
                <w:rFonts w:cs="Arial"/>
                <w:sz w:val="20"/>
                <w:szCs w:val="20"/>
              </w:rPr>
            </w:pPr>
            <w:r>
              <w:rPr>
                <w:rFonts w:cs="Arial"/>
                <w:sz w:val="20"/>
                <w:szCs w:val="20"/>
              </w:rPr>
              <w:t>3.70</w:t>
            </w:r>
          </w:p>
        </w:tc>
      </w:tr>
      <w:tr w:rsidR="00EF7ADF" w:rsidRPr="0091453B" w:rsidTr="00AC039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EF7ADF" w:rsidRDefault="00EF7ADF">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28</w:t>
            </w:r>
          </w:p>
        </w:tc>
        <w:tc>
          <w:tcPr>
            <w:tcW w:w="749"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46</w:t>
            </w:r>
          </w:p>
        </w:tc>
        <w:tc>
          <w:tcPr>
            <w:tcW w:w="749"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43</w:t>
            </w:r>
          </w:p>
        </w:tc>
        <w:tc>
          <w:tcPr>
            <w:tcW w:w="823"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109</w:t>
            </w:r>
          </w:p>
        </w:tc>
      </w:tr>
    </w:tbl>
    <w:p w:rsidR="00EE257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FF0D8A" w:rsidRDefault="00EE257B" w:rsidP="00FF0D8A">
      <w:pPr>
        <w:pStyle w:val="AERbodytext"/>
        <w:spacing w:before="120" w:after="120"/>
        <w:jc w:val="both"/>
      </w:pPr>
      <w:r>
        <w:br w:type="page"/>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EF7ADF" w:rsidRPr="0091453B" w:rsidTr="00D71906">
        <w:trPr>
          <w:trHeight w:val="510"/>
        </w:trPr>
        <w:tc>
          <w:tcPr>
            <w:tcW w:w="1928" w:type="pct"/>
            <w:tcBorders>
              <w:top w:val="nil"/>
              <w:bottom w:val="nil"/>
            </w:tcBorders>
            <w:vAlign w:val="center"/>
          </w:tcPr>
          <w:p w:rsidR="00EF7ADF" w:rsidRDefault="00EF7ADF">
            <w:pPr>
              <w:rPr>
                <w:rFonts w:cs="Arial"/>
                <w:sz w:val="20"/>
                <w:szCs w:val="20"/>
              </w:rPr>
            </w:pPr>
            <w:r>
              <w:rPr>
                <w:rFonts w:cs="Arial"/>
                <w:sz w:val="20"/>
                <w:szCs w:val="20"/>
              </w:rPr>
              <w:t>29 Nov - 05 Dec 2015</w:t>
            </w:r>
          </w:p>
        </w:tc>
        <w:tc>
          <w:tcPr>
            <w:tcW w:w="749" w:type="pct"/>
            <w:tcBorders>
              <w:top w:val="nil"/>
              <w:bottom w:val="nil"/>
            </w:tcBorders>
            <w:vAlign w:val="center"/>
          </w:tcPr>
          <w:p w:rsidR="00EF7ADF" w:rsidRDefault="00EF7ADF">
            <w:pPr>
              <w:jc w:val="center"/>
              <w:rPr>
                <w:rFonts w:cs="Arial"/>
                <w:sz w:val="20"/>
                <w:szCs w:val="20"/>
              </w:rPr>
            </w:pPr>
            <w:r>
              <w:rPr>
                <w:rFonts w:cs="Arial"/>
                <w:sz w:val="20"/>
                <w:szCs w:val="20"/>
              </w:rPr>
              <w:t>4.29</w:t>
            </w:r>
          </w:p>
        </w:tc>
        <w:tc>
          <w:tcPr>
            <w:tcW w:w="1124" w:type="pct"/>
            <w:tcBorders>
              <w:top w:val="nil"/>
              <w:bottom w:val="nil"/>
            </w:tcBorders>
            <w:vAlign w:val="center"/>
          </w:tcPr>
          <w:p w:rsidR="00EF7ADF" w:rsidRDefault="00EF7ADF">
            <w:pPr>
              <w:jc w:val="center"/>
              <w:rPr>
                <w:rFonts w:cs="Arial"/>
                <w:sz w:val="20"/>
                <w:szCs w:val="20"/>
              </w:rPr>
            </w:pPr>
            <w:r>
              <w:rPr>
                <w:rFonts w:cs="Arial"/>
                <w:sz w:val="20"/>
                <w:szCs w:val="20"/>
              </w:rPr>
              <w:t>-</w:t>
            </w:r>
          </w:p>
        </w:tc>
        <w:tc>
          <w:tcPr>
            <w:tcW w:w="1199" w:type="pct"/>
            <w:tcBorders>
              <w:top w:val="nil"/>
              <w:bottom w:val="nil"/>
            </w:tcBorders>
            <w:vAlign w:val="center"/>
          </w:tcPr>
          <w:p w:rsidR="00EF7ADF" w:rsidRDefault="00EF7ADF">
            <w:pPr>
              <w:jc w:val="center"/>
              <w:rPr>
                <w:rFonts w:cs="Arial"/>
                <w:sz w:val="20"/>
                <w:szCs w:val="20"/>
              </w:rPr>
            </w:pPr>
            <w:r>
              <w:rPr>
                <w:rFonts w:cs="Arial"/>
                <w:sz w:val="20"/>
                <w:szCs w:val="20"/>
              </w:rPr>
              <w:t>374</w:t>
            </w:r>
          </w:p>
        </w:tc>
      </w:tr>
      <w:tr w:rsidR="00EF7ADF" w:rsidRPr="0091453B" w:rsidTr="00D71906">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EF7ADF" w:rsidRDefault="00EF7ADF">
            <w:pPr>
              <w:rPr>
                <w:rFonts w:cs="Arial"/>
                <w:sz w:val="20"/>
                <w:szCs w:val="20"/>
              </w:rPr>
            </w:pPr>
            <w:r>
              <w:rPr>
                <w:rFonts w:cs="Arial"/>
                <w:sz w:val="20"/>
                <w:szCs w:val="20"/>
              </w:rPr>
              <w:t>% change from previous week</w:t>
            </w:r>
          </w:p>
        </w:tc>
        <w:tc>
          <w:tcPr>
            <w:tcW w:w="749" w:type="pct"/>
            <w:tcBorders>
              <w:top w:val="nil"/>
              <w:bottom w:val="nil"/>
            </w:tcBorders>
            <w:vAlign w:val="center"/>
          </w:tcPr>
          <w:p w:rsidR="00EF7ADF" w:rsidRDefault="00EF7ADF">
            <w:pPr>
              <w:jc w:val="center"/>
              <w:rPr>
                <w:rFonts w:cs="Arial"/>
                <w:sz w:val="20"/>
                <w:szCs w:val="20"/>
              </w:rPr>
            </w:pPr>
            <w:r>
              <w:rPr>
                <w:rFonts w:cs="Arial"/>
                <w:sz w:val="20"/>
                <w:szCs w:val="20"/>
              </w:rPr>
              <w:t>-6</w:t>
            </w:r>
          </w:p>
        </w:tc>
        <w:tc>
          <w:tcPr>
            <w:tcW w:w="1124" w:type="pct"/>
            <w:tcBorders>
              <w:top w:val="nil"/>
              <w:bottom w:val="nil"/>
            </w:tcBorders>
            <w:vAlign w:val="center"/>
          </w:tcPr>
          <w:p w:rsidR="00EF7ADF" w:rsidRDefault="00EF7ADF">
            <w:pPr>
              <w:jc w:val="center"/>
              <w:rPr>
                <w:rFonts w:cs="Arial"/>
                <w:sz w:val="20"/>
                <w:szCs w:val="20"/>
              </w:rPr>
            </w:pPr>
            <w:r>
              <w:rPr>
                <w:rFonts w:cs="Arial"/>
                <w:sz w:val="20"/>
                <w:szCs w:val="20"/>
              </w:rPr>
              <w:t>-</w:t>
            </w:r>
          </w:p>
        </w:tc>
        <w:tc>
          <w:tcPr>
            <w:tcW w:w="1199" w:type="pct"/>
            <w:tcBorders>
              <w:top w:val="nil"/>
              <w:bottom w:val="nil"/>
            </w:tcBorders>
            <w:vAlign w:val="center"/>
          </w:tcPr>
          <w:p w:rsidR="00EF7ADF" w:rsidRDefault="00EF7ADF">
            <w:pPr>
              <w:jc w:val="center"/>
              <w:rPr>
                <w:rFonts w:cs="Arial"/>
                <w:sz w:val="20"/>
                <w:szCs w:val="20"/>
              </w:rPr>
            </w:pPr>
            <w:r>
              <w:rPr>
                <w:rFonts w:cs="Arial"/>
                <w:sz w:val="20"/>
                <w:szCs w:val="20"/>
              </w:rPr>
              <w:t>-8</w:t>
            </w:r>
          </w:p>
        </w:tc>
      </w:tr>
      <w:tr w:rsidR="00EF7ADF" w:rsidRPr="0091453B" w:rsidTr="00D71906">
        <w:trPr>
          <w:trHeight w:val="510"/>
        </w:trPr>
        <w:tc>
          <w:tcPr>
            <w:tcW w:w="1928" w:type="pct"/>
            <w:tcBorders>
              <w:top w:val="nil"/>
              <w:bottom w:val="nil"/>
            </w:tcBorders>
            <w:vAlign w:val="center"/>
          </w:tcPr>
          <w:p w:rsidR="00EF7ADF" w:rsidRDefault="00EF7ADF">
            <w:pPr>
              <w:rPr>
                <w:rFonts w:cs="Arial"/>
                <w:sz w:val="20"/>
                <w:szCs w:val="20"/>
              </w:rPr>
            </w:pPr>
            <w:r>
              <w:rPr>
                <w:rFonts w:cs="Arial"/>
                <w:sz w:val="20"/>
                <w:szCs w:val="20"/>
              </w:rPr>
              <w:t>15-16 financial YTD</w:t>
            </w:r>
          </w:p>
        </w:tc>
        <w:tc>
          <w:tcPr>
            <w:tcW w:w="749" w:type="pct"/>
            <w:tcBorders>
              <w:top w:val="nil"/>
              <w:bottom w:val="nil"/>
            </w:tcBorders>
            <w:vAlign w:val="center"/>
          </w:tcPr>
          <w:p w:rsidR="00EF7ADF" w:rsidRDefault="00EF7ADF">
            <w:pPr>
              <w:jc w:val="center"/>
              <w:rPr>
                <w:rFonts w:cs="Arial"/>
                <w:sz w:val="20"/>
                <w:szCs w:val="20"/>
              </w:rPr>
            </w:pPr>
            <w:r>
              <w:rPr>
                <w:rFonts w:cs="Arial"/>
                <w:sz w:val="20"/>
                <w:szCs w:val="20"/>
              </w:rPr>
              <w:t>4.42</w:t>
            </w:r>
          </w:p>
        </w:tc>
        <w:tc>
          <w:tcPr>
            <w:tcW w:w="1124" w:type="pct"/>
            <w:tcBorders>
              <w:top w:val="nil"/>
              <w:bottom w:val="nil"/>
            </w:tcBorders>
            <w:vAlign w:val="center"/>
          </w:tcPr>
          <w:p w:rsidR="00EF7ADF" w:rsidRDefault="00EF7ADF">
            <w:pPr>
              <w:jc w:val="center"/>
              <w:rPr>
                <w:rFonts w:cs="Arial"/>
                <w:sz w:val="20"/>
                <w:szCs w:val="20"/>
              </w:rPr>
            </w:pPr>
            <w:r>
              <w:rPr>
                <w:rFonts w:cs="Arial"/>
                <w:sz w:val="20"/>
                <w:szCs w:val="20"/>
              </w:rPr>
              <w:t>-</w:t>
            </w:r>
          </w:p>
        </w:tc>
        <w:tc>
          <w:tcPr>
            <w:tcW w:w="1199" w:type="pct"/>
            <w:tcBorders>
              <w:top w:val="nil"/>
              <w:bottom w:val="nil"/>
            </w:tcBorders>
            <w:vAlign w:val="center"/>
          </w:tcPr>
          <w:p w:rsidR="00EF7ADF" w:rsidRDefault="00EF7ADF">
            <w:pPr>
              <w:jc w:val="center"/>
              <w:rPr>
                <w:rFonts w:cs="Arial"/>
                <w:sz w:val="20"/>
                <w:szCs w:val="20"/>
              </w:rPr>
            </w:pPr>
            <w:r>
              <w:rPr>
                <w:rFonts w:cs="Arial"/>
                <w:sz w:val="20"/>
                <w:szCs w:val="20"/>
              </w:rPr>
              <w:t>679</w:t>
            </w:r>
          </w:p>
        </w:tc>
      </w:tr>
      <w:tr w:rsidR="00EF7ADF" w:rsidRPr="0091453B" w:rsidTr="00D71906">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EF7ADF" w:rsidRDefault="00EF7ADF">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28</w:t>
            </w:r>
          </w:p>
        </w:tc>
        <w:tc>
          <w:tcPr>
            <w:tcW w:w="1124"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7</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EF7ADF" w:rsidRPr="00405CDE" w:rsidTr="00DD4D62">
        <w:trPr>
          <w:trHeight w:val="510"/>
        </w:trPr>
        <w:tc>
          <w:tcPr>
            <w:tcW w:w="1430" w:type="pct"/>
            <w:tcBorders>
              <w:top w:val="nil"/>
              <w:bottom w:val="nil"/>
            </w:tcBorders>
            <w:vAlign w:val="center"/>
          </w:tcPr>
          <w:p w:rsidR="00EF7ADF" w:rsidRDefault="00EF7ADF">
            <w:pPr>
              <w:rPr>
                <w:rFonts w:cs="Arial"/>
                <w:sz w:val="20"/>
                <w:szCs w:val="20"/>
              </w:rPr>
            </w:pPr>
            <w:r>
              <w:rPr>
                <w:rFonts w:cs="Arial"/>
                <w:sz w:val="20"/>
                <w:szCs w:val="20"/>
              </w:rPr>
              <w:t>29 Nov - 05 Dec 2015</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3.92</w:t>
            </w:r>
          </w:p>
        </w:tc>
        <w:tc>
          <w:tcPr>
            <w:tcW w:w="758" w:type="pct"/>
            <w:tcBorders>
              <w:top w:val="nil"/>
              <w:bottom w:val="nil"/>
            </w:tcBorders>
            <w:vAlign w:val="center"/>
          </w:tcPr>
          <w:p w:rsidR="00EF7ADF" w:rsidRDefault="00EF7ADF">
            <w:pPr>
              <w:jc w:val="center"/>
              <w:rPr>
                <w:rFonts w:cs="Arial"/>
                <w:sz w:val="20"/>
                <w:szCs w:val="20"/>
              </w:rPr>
            </w:pPr>
            <w:r>
              <w:rPr>
                <w:rFonts w:cs="Arial"/>
                <w:sz w:val="20"/>
                <w:szCs w:val="20"/>
              </w:rPr>
              <w:t>3.17</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22.41</w:t>
            </w:r>
          </w:p>
        </w:tc>
        <w:tc>
          <w:tcPr>
            <w:tcW w:w="685" w:type="pct"/>
            <w:tcBorders>
              <w:top w:val="nil"/>
              <w:bottom w:val="nil"/>
            </w:tcBorders>
            <w:vAlign w:val="center"/>
          </w:tcPr>
          <w:p w:rsidR="00EF7ADF" w:rsidRDefault="00EF7ADF">
            <w:pPr>
              <w:jc w:val="center"/>
              <w:rPr>
                <w:rFonts w:cs="Arial"/>
                <w:sz w:val="20"/>
                <w:szCs w:val="20"/>
              </w:rPr>
            </w:pPr>
            <w:r>
              <w:rPr>
                <w:rFonts w:cs="Arial"/>
                <w:sz w:val="20"/>
                <w:szCs w:val="20"/>
              </w:rPr>
              <w:t>212</w:t>
            </w:r>
          </w:p>
        </w:tc>
        <w:tc>
          <w:tcPr>
            <w:tcW w:w="608" w:type="pct"/>
            <w:tcBorders>
              <w:top w:val="nil"/>
              <w:bottom w:val="nil"/>
            </w:tcBorders>
            <w:vAlign w:val="center"/>
          </w:tcPr>
          <w:p w:rsidR="00EF7ADF" w:rsidRDefault="00EF7ADF">
            <w:pPr>
              <w:jc w:val="center"/>
              <w:rPr>
                <w:rFonts w:cs="Arial"/>
                <w:sz w:val="20"/>
                <w:szCs w:val="20"/>
              </w:rPr>
            </w:pPr>
            <w:r>
              <w:rPr>
                <w:rFonts w:cs="Arial"/>
                <w:sz w:val="20"/>
                <w:szCs w:val="20"/>
              </w:rPr>
              <w:t>203</w:t>
            </w:r>
          </w:p>
        </w:tc>
      </w:tr>
      <w:tr w:rsidR="00EF7ADF" w:rsidRPr="00405CDE" w:rsidTr="00DD4D6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F7ADF" w:rsidRDefault="00EF7ADF">
            <w:pPr>
              <w:rPr>
                <w:rFonts w:cs="Arial"/>
                <w:sz w:val="20"/>
                <w:szCs w:val="20"/>
              </w:rPr>
            </w:pPr>
            <w:r>
              <w:rPr>
                <w:rFonts w:cs="Arial"/>
                <w:sz w:val="20"/>
                <w:szCs w:val="20"/>
              </w:rPr>
              <w:t>% change from previous week</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-11</w:t>
            </w:r>
          </w:p>
        </w:tc>
        <w:tc>
          <w:tcPr>
            <w:tcW w:w="758" w:type="pct"/>
            <w:tcBorders>
              <w:top w:val="nil"/>
              <w:bottom w:val="nil"/>
            </w:tcBorders>
            <w:vAlign w:val="center"/>
          </w:tcPr>
          <w:p w:rsidR="00EF7ADF" w:rsidRDefault="00EF7ADF">
            <w:pPr>
              <w:jc w:val="center"/>
              <w:rPr>
                <w:rFonts w:cs="Arial"/>
                <w:sz w:val="20"/>
                <w:szCs w:val="20"/>
              </w:rPr>
            </w:pPr>
            <w:r>
              <w:rPr>
                <w:rFonts w:cs="Arial"/>
                <w:sz w:val="20"/>
                <w:szCs w:val="20"/>
              </w:rPr>
              <w:t>-22</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0</w:t>
            </w:r>
          </w:p>
        </w:tc>
        <w:tc>
          <w:tcPr>
            <w:tcW w:w="685" w:type="pct"/>
            <w:tcBorders>
              <w:top w:val="nil"/>
              <w:bottom w:val="nil"/>
            </w:tcBorders>
            <w:vAlign w:val="center"/>
          </w:tcPr>
          <w:p w:rsidR="00EF7ADF" w:rsidRDefault="00EF7ADF">
            <w:pPr>
              <w:jc w:val="center"/>
              <w:rPr>
                <w:rFonts w:cs="Arial"/>
                <w:sz w:val="20"/>
                <w:szCs w:val="20"/>
              </w:rPr>
            </w:pPr>
            <w:r>
              <w:rPr>
                <w:rFonts w:cs="Arial"/>
                <w:sz w:val="20"/>
                <w:szCs w:val="20"/>
              </w:rPr>
              <w:t>-1</w:t>
            </w:r>
          </w:p>
        </w:tc>
        <w:tc>
          <w:tcPr>
            <w:tcW w:w="608" w:type="pct"/>
            <w:tcBorders>
              <w:top w:val="nil"/>
              <w:bottom w:val="nil"/>
            </w:tcBorders>
            <w:vAlign w:val="center"/>
          </w:tcPr>
          <w:p w:rsidR="00EF7ADF" w:rsidRDefault="00EF7ADF">
            <w:pPr>
              <w:jc w:val="center"/>
              <w:rPr>
                <w:rFonts w:cs="Arial"/>
                <w:sz w:val="20"/>
                <w:szCs w:val="20"/>
              </w:rPr>
            </w:pPr>
            <w:r>
              <w:rPr>
                <w:rFonts w:cs="Arial"/>
                <w:sz w:val="20"/>
                <w:szCs w:val="20"/>
              </w:rPr>
              <w:t>-1</w:t>
            </w:r>
          </w:p>
        </w:tc>
      </w:tr>
      <w:tr w:rsidR="00EF7ADF" w:rsidRPr="00405CDE" w:rsidTr="00DD4D62">
        <w:trPr>
          <w:trHeight w:val="510"/>
        </w:trPr>
        <w:tc>
          <w:tcPr>
            <w:tcW w:w="1430" w:type="pct"/>
            <w:tcBorders>
              <w:top w:val="nil"/>
              <w:bottom w:val="nil"/>
            </w:tcBorders>
            <w:vAlign w:val="center"/>
          </w:tcPr>
          <w:p w:rsidR="00EF7ADF" w:rsidRDefault="00EF7ADF">
            <w:pPr>
              <w:rPr>
                <w:rFonts w:cs="Arial"/>
                <w:sz w:val="20"/>
                <w:szCs w:val="20"/>
              </w:rPr>
            </w:pPr>
            <w:r>
              <w:rPr>
                <w:rFonts w:cs="Arial"/>
                <w:sz w:val="20"/>
                <w:szCs w:val="20"/>
              </w:rPr>
              <w:t>15-16 financial YTD</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4.63</w:t>
            </w:r>
          </w:p>
        </w:tc>
        <w:tc>
          <w:tcPr>
            <w:tcW w:w="758" w:type="pct"/>
            <w:tcBorders>
              <w:top w:val="nil"/>
              <w:bottom w:val="nil"/>
            </w:tcBorders>
            <w:vAlign w:val="center"/>
          </w:tcPr>
          <w:p w:rsidR="00EF7ADF" w:rsidRDefault="00EF7ADF">
            <w:pPr>
              <w:jc w:val="center"/>
              <w:rPr>
                <w:rFonts w:cs="Arial"/>
                <w:sz w:val="20"/>
                <w:szCs w:val="20"/>
              </w:rPr>
            </w:pPr>
            <w:r>
              <w:rPr>
                <w:rFonts w:cs="Arial"/>
                <w:sz w:val="20"/>
                <w:szCs w:val="20"/>
              </w:rPr>
              <w:t>4.37</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22.88</w:t>
            </w:r>
          </w:p>
        </w:tc>
        <w:tc>
          <w:tcPr>
            <w:tcW w:w="685" w:type="pct"/>
            <w:tcBorders>
              <w:top w:val="nil"/>
              <w:bottom w:val="nil"/>
            </w:tcBorders>
            <w:vAlign w:val="center"/>
          </w:tcPr>
          <w:p w:rsidR="00EF7ADF" w:rsidRDefault="00EF7ADF">
            <w:pPr>
              <w:jc w:val="center"/>
              <w:rPr>
                <w:rFonts w:cs="Arial"/>
                <w:sz w:val="20"/>
                <w:szCs w:val="20"/>
              </w:rPr>
            </w:pPr>
            <w:r>
              <w:rPr>
                <w:rFonts w:cs="Arial"/>
                <w:sz w:val="20"/>
                <w:szCs w:val="20"/>
              </w:rPr>
              <w:t>248</w:t>
            </w:r>
          </w:p>
        </w:tc>
        <w:tc>
          <w:tcPr>
            <w:tcW w:w="608" w:type="pct"/>
            <w:tcBorders>
              <w:top w:val="nil"/>
              <w:bottom w:val="nil"/>
            </w:tcBorders>
            <w:vAlign w:val="center"/>
          </w:tcPr>
          <w:p w:rsidR="00EF7ADF" w:rsidRDefault="00EF7ADF">
            <w:pPr>
              <w:jc w:val="center"/>
              <w:rPr>
                <w:rFonts w:cs="Arial"/>
                <w:sz w:val="20"/>
                <w:szCs w:val="20"/>
              </w:rPr>
            </w:pPr>
            <w:r>
              <w:rPr>
                <w:rFonts w:cs="Arial"/>
                <w:sz w:val="20"/>
                <w:szCs w:val="20"/>
              </w:rPr>
              <w:t>243</w:t>
            </w:r>
          </w:p>
        </w:tc>
      </w:tr>
      <w:tr w:rsidR="00EF7ADF" w:rsidRPr="00405CDE" w:rsidTr="00DD4D6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F7ADF" w:rsidRDefault="00EF7AD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46</w:t>
            </w:r>
          </w:p>
        </w:tc>
        <w:tc>
          <w:tcPr>
            <w:tcW w:w="758"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35</w:t>
            </w:r>
          </w:p>
        </w:tc>
        <w:tc>
          <w:tcPr>
            <w:tcW w:w="759"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56</w:t>
            </w:r>
          </w:p>
        </w:tc>
        <w:tc>
          <w:tcPr>
            <w:tcW w:w="685"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-6</w:t>
            </w:r>
          </w:p>
        </w:tc>
        <w:tc>
          <w:tcPr>
            <w:tcW w:w="608"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-9</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667050" w:rsidRPr="00405CDE" w:rsidTr="00D053A0">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667050" w:rsidRPr="00DC24BF" w:rsidRDefault="00667050" w:rsidP="00D053A0">
            <w:pPr>
              <w:pStyle w:val="TableHeading"/>
              <w:jc w:val="center"/>
              <w:rPr>
                <w:rFonts w:cs="Arial"/>
                <w:sz w:val="20"/>
                <w:szCs w:val="20"/>
              </w:rPr>
            </w:pPr>
          </w:p>
        </w:tc>
        <w:tc>
          <w:tcPr>
            <w:tcW w:w="759" w:type="pct"/>
            <w:tcBorders>
              <w:bottom w:val="nil"/>
            </w:tcBorders>
            <w:hideMark/>
          </w:tcPr>
          <w:p w:rsidR="00667050" w:rsidRPr="002861A9" w:rsidRDefault="00667050" w:rsidP="00D053A0">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667050" w:rsidRPr="002861A9" w:rsidRDefault="00667050" w:rsidP="00D053A0">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667050" w:rsidRPr="002861A9" w:rsidRDefault="00667050" w:rsidP="00D053A0">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667050" w:rsidRPr="002861A9" w:rsidRDefault="00667050" w:rsidP="00D053A0">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667050" w:rsidRPr="002861A9" w:rsidRDefault="00667050" w:rsidP="00D053A0">
            <w:pPr>
              <w:keepNext/>
              <w:spacing w:before="40" w:after="40"/>
              <w:jc w:val="center"/>
              <w:rPr>
                <w:rFonts w:cs="Arial"/>
                <w:b w:val="0"/>
                <w:bCs/>
                <w:sz w:val="20"/>
                <w:szCs w:val="20"/>
              </w:rPr>
            </w:pPr>
            <w:r w:rsidRPr="002861A9">
              <w:rPr>
                <w:rFonts w:cs="Arial"/>
                <w:bCs/>
                <w:sz w:val="20"/>
                <w:szCs w:val="20"/>
              </w:rPr>
              <w:t>Ex post quantity (TJ)</w:t>
            </w:r>
          </w:p>
        </w:tc>
      </w:tr>
      <w:tr w:rsidR="00667050" w:rsidRPr="00405CDE" w:rsidTr="00D053A0">
        <w:trPr>
          <w:trHeight w:val="510"/>
        </w:trPr>
        <w:tc>
          <w:tcPr>
            <w:tcW w:w="1430" w:type="pct"/>
            <w:tcBorders>
              <w:top w:val="nil"/>
              <w:bottom w:val="nil"/>
            </w:tcBorders>
            <w:vAlign w:val="center"/>
          </w:tcPr>
          <w:p w:rsidR="00667050" w:rsidRDefault="00667050" w:rsidP="00D053A0">
            <w:pPr>
              <w:rPr>
                <w:rFonts w:cs="Arial"/>
                <w:sz w:val="20"/>
                <w:szCs w:val="20"/>
              </w:rPr>
            </w:pPr>
            <w:r>
              <w:rPr>
                <w:rFonts w:cs="Arial"/>
                <w:sz w:val="20"/>
                <w:szCs w:val="20"/>
              </w:rPr>
              <w:t>29 Nov - 05 Dec 2015</w:t>
            </w:r>
          </w:p>
        </w:tc>
        <w:tc>
          <w:tcPr>
            <w:tcW w:w="759" w:type="pct"/>
            <w:tcBorders>
              <w:top w:val="nil"/>
              <w:bottom w:val="nil"/>
            </w:tcBorders>
            <w:vAlign w:val="center"/>
          </w:tcPr>
          <w:p w:rsidR="00667050" w:rsidRDefault="00667050" w:rsidP="00D053A0">
            <w:pPr>
              <w:jc w:val="center"/>
              <w:rPr>
                <w:rFonts w:cs="Arial"/>
                <w:sz w:val="20"/>
                <w:szCs w:val="20"/>
              </w:rPr>
            </w:pPr>
            <w:r>
              <w:rPr>
                <w:rFonts w:cs="Arial"/>
                <w:sz w:val="20"/>
                <w:szCs w:val="20"/>
              </w:rPr>
              <w:t>4.50</w:t>
            </w:r>
          </w:p>
        </w:tc>
        <w:tc>
          <w:tcPr>
            <w:tcW w:w="758" w:type="pct"/>
            <w:tcBorders>
              <w:top w:val="nil"/>
              <w:bottom w:val="nil"/>
            </w:tcBorders>
            <w:vAlign w:val="center"/>
          </w:tcPr>
          <w:p w:rsidR="00667050" w:rsidRDefault="00667050" w:rsidP="00D053A0">
            <w:pPr>
              <w:jc w:val="center"/>
              <w:rPr>
                <w:rFonts w:cs="Arial"/>
                <w:sz w:val="20"/>
                <w:szCs w:val="20"/>
              </w:rPr>
            </w:pPr>
            <w:r>
              <w:rPr>
                <w:rFonts w:cs="Arial"/>
                <w:sz w:val="20"/>
                <w:szCs w:val="20"/>
              </w:rPr>
              <w:t>4.72</w:t>
            </w:r>
          </w:p>
        </w:tc>
        <w:tc>
          <w:tcPr>
            <w:tcW w:w="759" w:type="pct"/>
            <w:tcBorders>
              <w:top w:val="nil"/>
              <w:bottom w:val="nil"/>
            </w:tcBorders>
            <w:vAlign w:val="center"/>
          </w:tcPr>
          <w:p w:rsidR="00667050" w:rsidRDefault="00667050" w:rsidP="00D053A0">
            <w:pPr>
              <w:jc w:val="center"/>
              <w:rPr>
                <w:rFonts w:cs="Arial"/>
                <w:sz w:val="20"/>
                <w:szCs w:val="20"/>
              </w:rPr>
            </w:pPr>
            <w:r>
              <w:rPr>
                <w:rFonts w:cs="Arial"/>
                <w:sz w:val="20"/>
                <w:szCs w:val="20"/>
              </w:rPr>
              <w:t>7.98</w:t>
            </w:r>
          </w:p>
        </w:tc>
        <w:tc>
          <w:tcPr>
            <w:tcW w:w="685" w:type="pct"/>
            <w:tcBorders>
              <w:top w:val="nil"/>
              <w:bottom w:val="nil"/>
            </w:tcBorders>
            <w:vAlign w:val="center"/>
          </w:tcPr>
          <w:p w:rsidR="00667050" w:rsidRDefault="00667050" w:rsidP="00D053A0">
            <w:pPr>
              <w:jc w:val="center"/>
              <w:rPr>
                <w:rFonts w:cs="Arial"/>
                <w:sz w:val="20"/>
                <w:szCs w:val="20"/>
              </w:rPr>
            </w:pPr>
            <w:r>
              <w:rPr>
                <w:rFonts w:cs="Arial"/>
                <w:sz w:val="20"/>
                <w:szCs w:val="20"/>
              </w:rPr>
              <w:t>47</w:t>
            </w:r>
          </w:p>
        </w:tc>
        <w:tc>
          <w:tcPr>
            <w:tcW w:w="608" w:type="pct"/>
            <w:tcBorders>
              <w:top w:val="nil"/>
              <w:bottom w:val="nil"/>
            </w:tcBorders>
            <w:vAlign w:val="center"/>
          </w:tcPr>
          <w:p w:rsidR="00667050" w:rsidRDefault="00667050" w:rsidP="00D053A0">
            <w:pPr>
              <w:jc w:val="center"/>
              <w:rPr>
                <w:rFonts w:cs="Arial"/>
                <w:sz w:val="20"/>
                <w:szCs w:val="20"/>
              </w:rPr>
            </w:pPr>
            <w:r>
              <w:rPr>
                <w:rFonts w:cs="Arial"/>
                <w:sz w:val="20"/>
                <w:szCs w:val="20"/>
              </w:rPr>
              <w:t>52</w:t>
            </w:r>
          </w:p>
        </w:tc>
      </w:tr>
      <w:tr w:rsidR="00667050" w:rsidRPr="00405CDE" w:rsidTr="00D053A0">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667050" w:rsidRDefault="00667050" w:rsidP="00D053A0">
            <w:pPr>
              <w:rPr>
                <w:rFonts w:cs="Arial"/>
                <w:sz w:val="20"/>
                <w:szCs w:val="20"/>
              </w:rPr>
            </w:pPr>
            <w:r>
              <w:rPr>
                <w:rFonts w:cs="Arial"/>
                <w:sz w:val="20"/>
                <w:szCs w:val="20"/>
              </w:rPr>
              <w:t>% change from previous week</w:t>
            </w:r>
          </w:p>
        </w:tc>
        <w:tc>
          <w:tcPr>
            <w:tcW w:w="759" w:type="pct"/>
            <w:tcBorders>
              <w:top w:val="nil"/>
              <w:bottom w:val="nil"/>
            </w:tcBorders>
            <w:vAlign w:val="center"/>
          </w:tcPr>
          <w:p w:rsidR="00667050" w:rsidRDefault="00667050" w:rsidP="00D053A0">
            <w:pPr>
              <w:jc w:val="center"/>
              <w:rPr>
                <w:rFonts w:cs="Arial"/>
                <w:sz w:val="20"/>
                <w:szCs w:val="20"/>
              </w:rPr>
            </w:pPr>
            <w:r>
              <w:rPr>
                <w:rFonts w:cs="Arial"/>
                <w:sz w:val="20"/>
                <w:szCs w:val="20"/>
              </w:rPr>
              <w:t>4</w:t>
            </w:r>
          </w:p>
        </w:tc>
        <w:tc>
          <w:tcPr>
            <w:tcW w:w="758" w:type="pct"/>
            <w:tcBorders>
              <w:top w:val="nil"/>
              <w:bottom w:val="nil"/>
            </w:tcBorders>
            <w:vAlign w:val="center"/>
          </w:tcPr>
          <w:p w:rsidR="00667050" w:rsidRDefault="00667050" w:rsidP="00D053A0">
            <w:pPr>
              <w:jc w:val="center"/>
              <w:rPr>
                <w:rFonts w:cs="Arial"/>
                <w:sz w:val="20"/>
                <w:szCs w:val="20"/>
              </w:rPr>
            </w:pPr>
            <w:r>
              <w:rPr>
                <w:rFonts w:cs="Arial"/>
                <w:sz w:val="20"/>
                <w:szCs w:val="20"/>
              </w:rPr>
              <w:t>3</w:t>
            </w:r>
          </w:p>
        </w:tc>
        <w:tc>
          <w:tcPr>
            <w:tcW w:w="759" w:type="pct"/>
            <w:tcBorders>
              <w:top w:val="nil"/>
              <w:bottom w:val="nil"/>
            </w:tcBorders>
            <w:vAlign w:val="center"/>
          </w:tcPr>
          <w:p w:rsidR="00667050" w:rsidRDefault="00667050" w:rsidP="00D053A0">
            <w:pPr>
              <w:jc w:val="center"/>
              <w:rPr>
                <w:rFonts w:cs="Arial"/>
                <w:sz w:val="20"/>
                <w:szCs w:val="20"/>
              </w:rPr>
            </w:pPr>
            <w:r>
              <w:rPr>
                <w:rFonts w:cs="Arial"/>
                <w:sz w:val="20"/>
                <w:szCs w:val="20"/>
              </w:rPr>
              <w:t>40</w:t>
            </w:r>
          </w:p>
        </w:tc>
        <w:tc>
          <w:tcPr>
            <w:tcW w:w="685" w:type="pct"/>
            <w:tcBorders>
              <w:top w:val="nil"/>
              <w:bottom w:val="nil"/>
            </w:tcBorders>
            <w:vAlign w:val="center"/>
          </w:tcPr>
          <w:p w:rsidR="00667050" w:rsidRDefault="00667050" w:rsidP="00D053A0">
            <w:pPr>
              <w:jc w:val="center"/>
              <w:rPr>
                <w:rFonts w:cs="Arial"/>
                <w:sz w:val="20"/>
                <w:szCs w:val="20"/>
              </w:rPr>
            </w:pPr>
            <w:r>
              <w:rPr>
                <w:rFonts w:cs="Arial"/>
                <w:sz w:val="20"/>
                <w:szCs w:val="20"/>
              </w:rPr>
              <w:t>-8</w:t>
            </w:r>
          </w:p>
        </w:tc>
        <w:tc>
          <w:tcPr>
            <w:tcW w:w="608" w:type="pct"/>
            <w:tcBorders>
              <w:top w:val="nil"/>
              <w:bottom w:val="nil"/>
            </w:tcBorders>
            <w:vAlign w:val="center"/>
          </w:tcPr>
          <w:p w:rsidR="00667050" w:rsidRDefault="00667050" w:rsidP="00D053A0">
            <w:pPr>
              <w:jc w:val="center"/>
              <w:rPr>
                <w:rFonts w:cs="Arial"/>
                <w:sz w:val="20"/>
                <w:szCs w:val="20"/>
              </w:rPr>
            </w:pPr>
            <w:r>
              <w:rPr>
                <w:rFonts w:cs="Arial"/>
                <w:sz w:val="20"/>
                <w:szCs w:val="20"/>
              </w:rPr>
              <w:t>-9</w:t>
            </w:r>
          </w:p>
        </w:tc>
      </w:tr>
      <w:tr w:rsidR="00667050" w:rsidRPr="00405CDE" w:rsidTr="00D053A0">
        <w:trPr>
          <w:trHeight w:val="510"/>
        </w:trPr>
        <w:tc>
          <w:tcPr>
            <w:tcW w:w="1430" w:type="pct"/>
            <w:tcBorders>
              <w:top w:val="nil"/>
              <w:bottom w:val="nil"/>
            </w:tcBorders>
            <w:vAlign w:val="center"/>
          </w:tcPr>
          <w:p w:rsidR="00667050" w:rsidRDefault="00667050" w:rsidP="00D053A0">
            <w:pPr>
              <w:rPr>
                <w:rFonts w:cs="Arial"/>
                <w:sz w:val="20"/>
                <w:szCs w:val="20"/>
              </w:rPr>
            </w:pPr>
            <w:r>
              <w:rPr>
                <w:rFonts w:cs="Arial"/>
                <w:sz w:val="20"/>
                <w:szCs w:val="20"/>
              </w:rPr>
              <w:t>15-16 financial YTD</w:t>
            </w:r>
          </w:p>
        </w:tc>
        <w:tc>
          <w:tcPr>
            <w:tcW w:w="759" w:type="pct"/>
            <w:tcBorders>
              <w:top w:val="nil"/>
              <w:bottom w:val="nil"/>
            </w:tcBorders>
            <w:vAlign w:val="center"/>
          </w:tcPr>
          <w:p w:rsidR="00667050" w:rsidRDefault="00667050" w:rsidP="00D053A0">
            <w:pPr>
              <w:jc w:val="center"/>
              <w:rPr>
                <w:rFonts w:cs="Arial"/>
                <w:sz w:val="20"/>
                <w:szCs w:val="20"/>
              </w:rPr>
            </w:pPr>
            <w:r>
              <w:rPr>
                <w:rFonts w:cs="Arial"/>
                <w:sz w:val="20"/>
                <w:szCs w:val="20"/>
              </w:rPr>
              <w:t>5.01</w:t>
            </w:r>
          </w:p>
        </w:tc>
        <w:tc>
          <w:tcPr>
            <w:tcW w:w="758" w:type="pct"/>
            <w:tcBorders>
              <w:top w:val="nil"/>
              <w:bottom w:val="nil"/>
            </w:tcBorders>
            <w:vAlign w:val="center"/>
          </w:tcPr>
          <w:p w:rsidR="00667050" w:rsidRDefault="00667050" w:rsidP="00D053A0">
            <w:pPr>
              <w:jc w:val="center"/>
              <w:rPr>
                <w:rFonts w:cs="Arial"/>
                <w:sz w:val="20"/>
                <w:szCs w:val="20"/>
              </w:rPr>
            </w:pPr>
            <w:r>
              <w:rPr>
                <w:rFonts w:cs="Arial"/>
                <w:sz w:val="20"/>
                <w:szCs w:val="20"/>
              </w:rPr>
              <w:t>5.10</w:t>
            </w:r>
          </w:p>
        </w:tc>
        <w:tc>
          <w:tcPr>
            <w:tcW w:w="759" w:type="pct"/>
            <w:tcBorders>
              <w:top w:val="nil"/>
              <w:bottom w:val="nil"/>
            </w:tcBorders>
            <w:vAlign w:val="center"/>
          </w:tcPr>
          <w:p w:rsidR="00667050" w:rsidRDefault="00667050" w:rsidP="00D053A0">
            <w:pPr>
              <w:jc w:val="center"/>
              <w:rPr>
                <w:rFonts w:cs="Arial"/>
                <w:sz w:val="20"/>
                <w:szCs w:val="20"/>
              </w:rPr>
            </w:pPr>
            <w:r>
              <w:rPr>
                <w:rFonts w:cs="Arial"/>
                <w:sz w:val="20"/>
                <w:szCs w:val="20"/>
              </w:rPr>
              <w:t>9.75</w:t>
            </w:r>
          </w:p>
        </w:tc>
        <w:tc>
          <w:tcPr>
            <w:tcW w:w="685" w:type="pct"/>
            <w:tcBorders>
              <w:top w:val="nil"/>
              <w:bottom w:val="nil"/>
            </w:tcBorders>
            <w:vAlign w:val="center"/>
          </w:tcPr>
          <w:p w:rsidR="00667050" w:rsidRDefault="00667050" w:rsidP="00D053A0">
            <w:pPr>
              <w:jc w:val="center"/>
              <w:rPr>
                <w:rFonts w:cs="Arial"/>
                <w:sz w:val="20"/>
                <w:szCs w:val="20"/>
              </w:rPr>
            </w:pPr>
            <w:r>
              <w:rPr>
                <w:rFonts w:cs="Arial"/>
                <w:sz w:val="20"/>
                <w:szCs w:val="20"/>
              </w:rPr>
              <w:t>70</w:t>
            </w:r>
          </w:p>
        </w:tc>
        <w:tc>
          <w:tcPr>
            <w:tcW w:w="608" w:type="pct"/>
            <w:tcBorders>
              <w:top w:val="nil"/>
              <w:bottom w:val="nil"/>
            </w:tcBorders>
            <w:vAlign w:val="center"/>
          </w:tcPr>
          <w:p w:rsidR="00667050" w:rsidRDefault="00667050" w:rsidP="00D053A0">
            <w:pPr>
              <w:jc w:val="center"/>
              <w:rPr>
                <w:rFonts w:cs="Arial"/>
                <w:sz w:val="20"/>
                <w:szCs w:val="20"/>
              </w:rPr>
            </w:pPr>
            <w:r>
              <w:rPr>
                <w:rFonts w:cs="Arial"/>
                <w:sz w:val="20"/>
                <w:szCs w:val="20"/>
              </w:rPr>
              <w:t>71</w:t>
            </w:r>
          </w:p>
        </w:tc>
      </w:tr>
      <w:tr w:rsidR="00667050" w:rsidRPr="00405CDE" w:rsidTr="00D053A0">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667050" w:rsidRDefault="00667050" w:rsidP="00D053A0">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667050" w:rsidRDefault="00667050" w:rsidP="00D053A0">
            <w:pPr>
              <w:jc w:val="center"/>
              <w:rPr>
                <w:rFonts w:cs="Arial"/>
                <w:sz w:val="20"/>
                <w:szCs w:val="20"/>
              </w:rPr>
            </w:pPr>
            <w:r>
              <w:rPr>
                <w:rFonts w:cs="Arial"/>
                <w:sz w:val="20"/>
                <w:szCs w:val="20"/>
              </w:rPr>
              <w:t>43</w:t>
            </w:r>
          </w:p>
        </w:tc>
        <w:tc>
          <w:tcPr>
            <w:tcW w:w="758" w:type="pct"/>
            <w:tcBorders>
              <w:top w:val="nil"/>
              <w:bottom w:val="single" w:sz="4" w:space="0" w:color="auto"/>
            </w:tcBorders>
            <w:vAlign w:val="center"/>
          </w:tcPr>
          <w:p w:rsidR="00667050" w:rsidRDefault="00667050" w:rsidP="00D053A0">
            <w:pPr>
              <w:jc w:val="center"/>
              <w:rPr>
                <w:rFonts w:cs="Arial"/>
                <w:sz w:val="20"/>
                <w:szCs w:val="20"/>
              </w:rPr>
            </w:pPr>
            <w:r>
              <w:rPr>
                <w:rFonts w:cs="Arial"/>
                <w:sz w:val="20"/>
                <w:szCs w:val="20"/>
              </w:rPr>
              <w:t>47</w:t>
            </w:r>
          </w:p>
        </w:tc>
        <w:tc>
          <w:tcPr>
            <w:tcW w:w="759" w:type="pct"/>
            <w:tcBorders>
              <w:top w:val="nil"/>
              <w:bottom w:val="single" w:sz="4" w:space="0" w:color="auto"/>
            </w:tcBorders>
            <w:vAlign w:val="center"/>
          </w:tcPr>
          <w:p w:rsidR="00667050" w:rsidRDefault="00667050" w:rsidP="00D053A0">
            <w:pPr>
              <w:jc w:val="center"/>
              <w:rPr>
                <w:rFonts w:cs="Arial"/>
                <w:sz w:val="20"/>
                <w:szCs w:val="20"/>
              </w:rPr>
            </w:pPr>
            <w:r>
              <w:rPr>
                <w:rFonts w:cs="Arial"/>
                <w:sz w:val="20"/>
                <w:szCs w:val="20"/>
              </w:rPr>
              <w:t>-22</w:t>
            </w:r>
          </w:p>
        </w:tc>
        <w:tc>
          <w:tcPr>
            <w:tcW w:w="685" w:type="pct"/>
            <w:tcBorders>
              <w:top w:val="nil"/>
              <w:bottom w:val="single" w:sz="4" w:space="0" w:color="auto"/>
            </w:tcBorders>
            <w:vAlign w:val="center"/>
          </w:tcPr>
          <w:p w:rsidR="00667050" w:rsidRDefault="00667050" w:rsidP="00D053A0">
            <w:pPr>
              <w:jc w:val="center"/>
              <w:rPr>
                <w:rFonts w:cs="Arial"/>
                <w:sz w:val="20"/>
                <w:szCs w:val="20"/>
              </w:rPr>
            </w:pPr>
            <w:r>
              <w:rPr>
                <w:rFonts w:cs="Arial"/>
                <w:sz w:val="20"/>
                <w:szCs w:val="20"/>
              </w:rPr>
              <w:t>-1</w:t>
            </w:r>
          </w:p>
        </w:tc>
        <w:tc>
          <w:tcPr>
            <w:tcW w:w="608" w:type="pct"/>
            <w:tcBorders>
              <w:top w:val="nil"/>
              <w:bottom w:val="single" w:sz="4" w:space="0" w:color="auto"/>
            </w:tcBorders>
            <w:vAlign w:val="center"/>
          </w:tcPr>
          <w:p w:rsidR="00667050" w:rsidRDefault="00667050" w:rsidP="00D053A0">
            <w:pPr>
              <w:jc w:val="center"/>
              <w:rPr>
                <w:rFonts w:cs="Arial"/>
                <w:sz w:val="20"/>
                <w:szCs w:val="20"/>
              </w:rPr>
            </w:pPr>
            <w:r>
              <w:rPr>
                <w:rFonts w:cs="Arial"/>
                <w:sz w:val="20"/>
                <w:szCs w:val="20"/>
              </w:rPr>
              <w:t>1</w:t>
            </w:r>
          </w:p>
        </w:tc>
      </w:tr>
    </w:tbl>
    <w:p w:rsidR="00EE257B" w:rsidRPr="00EE257B" w:rsidRDefault="00EE257B" w:rsidP="00EE257B">
      <w:r>
        <w:br w:type="page"/>
      </w:r>
    </w:p>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EF7ADF" w:rsidRPr="00405CDE" w:rsidTr="00CE113B">
        <w:trPr>
          <w:trHeight w:val="510"/>
        </w:trPr>
        <w:tc>
          <w:tcPr>
            <w:tcW w:w="1430" w:type="pct"/>
            <w:tcBorders>
              <w:top w:val="nil"/>
              <w:bottom w:val="nil"/>
            </w:tcBorders>
            <w:vAlign w:val="center"/>
          </w:tcPr>
          <w:p w:rsidR="00EF7ADF" w:rsidRDefault="00EF7ADF">
            <w:pPr>
              <w:rPr>
                <w:rFonts w:cs="Arial"/>
                <w:sz w:val="20"/>
                <w:szCs w:val="20"/>
              </w:rPr>
            </w:pPr>
            <w:r>
              <w:rPr>
                <w:rFonts w:cs="Arial"/>
                <w:sz w:val="20"/>
                <w:szCs w:val="20"/>
              </w:rPr>
              <w:t>29 Nov - 05 Dec 2015</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2.84</w:t>
            </w:r>
          </w:p>
        </w:tc>
        <w:tc>
          <w:tcPr>
            <w:tcW w:w="758" w:type="pct"/>
            <w:tcBorders>
              <w:top w:val="nil"/>
              <w:bottom w:val="nil"/>
            </w:tcBorders>
            <w:vAlign w:val="center"/>
          </w:tcPr>
          <w:p w:rsidR="00EF7ADF" w:rsidRDefault="00EF7ADF">
            <w:pPr>
              <w:jc w:val="center"/>
              <w:rPr>
                <w:rFonts w:cs="Arial"/>
                <w:sz w:val="20"/>
                <w:szCs w:val="20"/>
              </w:rPr>
            </w:pPr>
            <w:r>
              <w:rPr>
                <w:rFonts w:cs="Arial"/>
                <w:sz w:val="20"/>
                <w:szCs w:val="20"/>
              </w:rPr>
              <w:t>2.83</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1.48</w:t>
            </w:r>
          </w:p>
        </w:tc>
        <w:tc>
          <w:tcPr>
            <w:tcW w:w="685" w:type="pct"/>
            <w:tcBorders>
              <w:top w:val="nil"/>
              <w:bottom w:val="nil"/>
            </w:tcBorders>
            <w:vAlign w:val="center"/>
          </w:tcPr>
          <w:p w:rsidR="00EF7ADF" w:rsidRDefault="00EF7ADF">
            <w:pPr>
              <w:jc w:val="center"/>
              <w:rPr>
                <w:rFonts w:cs="Arial"/>
                <w:sz w:val="20"/>
                <w:szCs w:val="20"/>
              </w:rPr>
            </w:pPr>
            <w:r>
              <w:rPr>
                <w:rFonts w:cs="Arial"/>
                <w:sz w:val="20"/>
                <w:szCs w:val="20"/>
              </w:rPr>
              <w:t>86</w:t>
            </w:r>
          </w:p>
        </w:tc>
        <w:tc>
          <w:tcPr>
            <w:tcW w:w="608" w:type="pct"/>
            <w:tcBorders>
              <w:top w:val="nil"/>
              <w:bottom w:val="nil"/>
            </w:tcBorders>
            <w:vAlign w:val="center"/>
          </w:tcPr>
          <w:p w:rsidR="00EF7ADF" w:rsidRDefault="00EF7ADF">
            <w:pPr>
              <w:jc w:val="center"/>
              <w:rPr>
                <w:rFonts w:cs="Arial"/>
                <w:sz w:val="20"/>
                <w:szCs w:val="20"/>
              </w:rPr>
            </w:pPr>
            <w:r>
              <w:rPr>
                <w:rFonts w:cs="Arial"/>
                <w:sz w:val="20"/>
                <w:szCs w:val="20"/>
              </w:rPr>
              <w:t>84</w:t>
            </w:r>
          </w:p>
        </w:tc>
      </w:tr>
      <w:tr w:rsidR="00EF7ADF" w:rsidRPr="00405CDE" w:rsidTr="00CE113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F7ADF" w:rsidRDefault="00EF7ADF">
            <w:pPr>
              <w:rPr>
                <w:rFonts w:cs="Arial"/>
                <w:sz w:val="20"/>
                <w:szCs w:val="20"/>
              </w:rPr>
            </w:pPr>
            <w:r>
              <w:rPr>
                <w:rFonts w:cs="Arial"/>
                <w:sz w:val="20"/>
                <w:szCs w:val="20"/>
              </w:rPr>
              <w:t>% change from previous week</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-20</w:t>
            </w:r>
          </w:p>
        </w:tc>
        <w:tc>
          <w:tcPr>
            <w:tcW w:w="758" w:type="pct"/>
            <w:tcBorders>
              <w:top w:val="nil"/>
              <w:bottom w:val="nil"/>
            </w:tcBorders>
            <w:vAlign w:val="center"/>
          </w:tcPr>
          <w:p w:rsidR="00EF7ADF" w:rsidRDefault="00EF7ADF">
            <w:pPr>
              <w:jc w:val="center"/>
              <w:rPr>
                <w:rFonts w:cs="Arial"/>
                <w:sz w:val="20"/>
                <w:szCs w:val="20"/>
              </w:rPr>
            </w:pPr>
            <w:r>
              <w:rPr>
                <w:rFonts w:cs="Arial"/>
                <w:sz w:val="20"/>
                <w:szCs w:val="20"/>
              </w:rPr>
              <w:t>-16</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-6</w:t>
            </w:r>
          </w:p>
        </w:tc>
        <w:tc>
          <w:tcPr>
            <w:tcW w:w="685" w:type="pct"/>
            <w:tcBorders>
              <w:top w:val="nil"/>
              <w:bottom w:val="nil"/>
            </w:tcBorders>
            <w:vAlign w:val="center"/>
          </w:tcPr>
          <w:p w:rsidR="00EF7ADF" w:rsidRDefault="00EF7ADF">
            <w:pPr>
              <w:jc w:val="center"/>
              <w:rPr>
                <w:rFonts w:cs="Arial"/>
                <w:sz w:val="20"/>
                <w:szCs w:val="20"/>
              </w:rPr>
            </w:pPr>
            <w:r>
              <w:rPr>
                <w:rFonts w:cs="Arial"/>
                <w:sz w:val="20"/>
                <w:szCs w:val="20"/>
              </w:rPr>
              <w:t>7</w:t>
            </w:r>
          </w:p>
        </w:tc>
        <w:tc>
          <w:tcPr>
            <w:tcW w:w="608" w:type="pct"/>
            <w:tcBorders>
              <w:top w:val="nil"/>
              <w:bottom w:val="nil"/>
            </w:tcBorders>
            <w:vAlign w:val="center"/>
          </w:tcPr>
          <w:p w:rsidR="00EF7ADF" w:rsidRDefault="00EF7ADF">
            <w:pPr>
              <w:jc w:val="center"/>
              <w:rPr>
                <w:rFonts w:cs="Arial"/>
                <w:sz w:val="20"/>
                <w:szCs w:val="20"/>
              </w:rPr>
            </w:pPr>
            <w:r>
              <w:rPr>
                <w:rFonts w:cs="Arial"/>
                <w:sz w:val="20"/>
                <w:szCs w:val="20"/>
              </w:rPr>
              <w:t>9</w:t>
            </w:r>
          </w:p>
        </w:tc>
      </w:tr>
      <w:tr w:rsidR="00EF7ADF" w:rsidRPr="00405CDE" w:rsidTr="00CE113B">
        <w:trPr>
          <w:trHeight w:val="510"/>
        </w:trPr>
        <w:tc>
          <w:tcPr>
            <w:tcW w:w="1430" w:type="pct"/>
            <w:tcBorders>
              <w:top w:val="nil"/>
              <w:bottom w:val="nil"/>
            </w:tcBorders>
            <w:vAlign w:val="center"/>
          </w:tcPr>
          <w:p w:rsidR="00EF7ADF" w:rsidRDefault="00EF7ADF">
            <w:pPr>
              <w:rPr>
                <w:rFonts w:cs="Arial"/>
                <w:sz w:val="20"/>
                <w:szCs w:val="20"/>
              </w:rPr>
            </w:pPr>
            <w:r>
              <w:rPr>
                <w:rFonts w:cs="Arial"/>
                <w:sz w:val="20"/>
                <w:szCs w:val="20"/>
              </w:rPr>
              <w:t>15-16 financial YTD</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3.70</w:t>
            </w:r>
          </w:p>
        </w:tc>
        <w:tc>
          <w:tcPr>
            <w:tcW w:w="758" w:type="pct"/>
            <w:tcBorders>
              <w:top w:val="nil"/>
              <w:bottom w:val="nil"/>
            </w:tcBorders>
            <w:vAlign w:val="center"/>
          </w:tcPr>
          <w:p w:rsidR="00EF7ADF" w:rsidRDefault="00EF7ADF">
            <w:pPr>
              <w:jc w:val="center"/>
              <w:rPr>
                <w:rFonts w:cs="Arial"/>
                <w:sz w:val="20"/>
                <w:szCs w:val="20"/>
              </w:rPr>
            </w:pPr>
            <w:r>
              <w:rPr>
                <w:rFonts w:cs="Arial"/>
                <w:sz w:val="20"/>
                <w:szCs w:val="20"/>
              </w:rPr>
              <w:t>3.65</w:t>
            </w:r>
          </w:p>
        </w:tc>
        <w:tc>
          <w:tcPr>
            <w:tcW w:w="759" w:type="pct"/>
            <w:tcBorders>
              <w:top w:val="nil"/>
              <w:bottom w:val="nil"/>
            </w:tcBorders>
            <w:vAlign w:val="center"/>
          </w:tcPr>
          <w:p w:rsidR="00EF7ADF" w:rsidRDefault="00EF7ADF">
            <w:pPr>
              <w:jc w:val="center"/>
              <w:rPr>
                <w:rFonts w:cs="Arial"/>
                <w:sz w:val="20"/>
                <w:szCs w:val="20"/>
              </w:rPr>
            </w:pPr>
            <w:r>
              <w:rPr>
                <w:rFonts w:cs="Arial"/>
                <w:sz w:val="20"/>
                <w:szCs w:val="20"/>
              </w:rPr>
              <w:t>1.34</w:t>
            </w:r>
          </w:p>
        </w:tc>
        <w:tc>
          <w:tcPr>
            <w:tcW w:w="685" w:type="pct"/>
            <w:tcBorders>
              <w:top w:val="nil"/>
              <w:bottom w:val="nil"/>
            </w:tcBorders>
            <w:vAlign w:val="center"/>
          </w:tcPr>
          <w:p w:rsidR="00EF7ADF" w:rsidRDefault="00EF7ADF">
            <w:pPr>
              <w:jc w:val="center"/>
              <w:rPr>
                <w:rFonts w:cs="Arial"/>
                <w:sz w:val="20"/>
                <w:szCs w:val="20"/>
              </w:rPr>
            </w:pPr>
            <w:r>
              <w:rPr>
                <w:rFonts w:cs="Arial"/>
                <w:sz w:val="20"/>
                <w:szCs w:val="20"/>
              </w:rPr>
              <w:t>91</w:t>
            </w:r>
          </w:p>
        </w:tc>
        <w:tc>
          <w:tcPr>
            <w:tcW w:w="608" w:type="pct"/>
            <w:tcBorders>
              <w:top w:val="nil"/>
              <w:bottom w:val="nil"/>
            </w:tcBorders>
            <w:vAlign w:val="center"/>
          </w:tcPr>
          <w:p w:rsidR="00EF7ADF" w:rsidRDefault="00EF7ADF">
            <w:pPr>
              <w:jc w:val="center"/>
              <w:rPr>
                <w:rFonts w:cs="Arial"/>
                <w:sz w:val="20"/>
                <w:szCs w:val="20"/>
              </w:rPr>
            </w:pPr>
            <w:r>
              <w:rPr>
                <w:rFonts w:cs="Arial"/>
                <w:sz w:val="20"/>
                <w:szCs w:val="20"/>
              </w:rPr>
              <w:t>90</w:t>
            </w:r>
          </w:p>
        </w:tc>
      </w:tr>
      <w:tr w:rsidR="00EF7ADF" w:rsidRPr="00405CDE" w:rsidTr="00CE113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F7ADF" w:rsidRDefault="00EF7AD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109</w:t>
            </w:r>
          </w:p>
        </w:tc>
        <w:tc>
          <w:tcPr>
            <w:tcW w:w="758"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137</w:t>
            </w:r>
          </w:p>
        </w:tc>
        <w:tc>
          <w:tcPr>
            <w:tcW w:w="759"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14</w:t>
            </w:r>
          </w:p>
        </w:tc>
        <w:tc>
          <w:tcPr>
            <w:tcW w:w="685"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-43</w:t>
            </w:r>
          </w:p>
        </w:tc>
        <w:tc>
          <w:tcPr>
            <w:tcW w:w="608" w:type="pct"/>
            <w:tcBorders>
              <w:top w:val="nil"/>
              <w:bottom w:val="single" w:sz="4" w:space="0" w:color="auto"/>
            </w:tcBorders>
            <w:vAlign w:val="center"/>
          </w:tcPr>
          <w:p w:rsidR="00EF7ADF" w:rsidRDefault="00EF7ADF">
            <w:pPr>
              <w:jc w:val="center"/>
              <w:rPr>
                <w:rFonts w:cs="Arial"/>
                <w:sz w:val="20"/>
                <w:szCs w:val="20"/>
              </w:rPr>
            </w:pPr>
            <w:r>
              <w:rPr>
                <w:rFonts w:cs="Arial"/>
                <w:sz w:val="20"/>
                <w:szCs w:val="20"/>
              </w:rPr>
              <w:t>-43</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991A36" w:rsidP="00BC18FB">
      <w:pPr>
        <w:pStyle w:val="Heading1"/>
        <w:numPr>
          <w:ilvl w:val="0"/>
          <w:numId w:val="0"/>
        </w:numPr>
        <w:rPr>
          <w:color w:val="2272A3"/>
        </w:rPr>
      </w:pPr>
      <w:r>
        <w:rPr>
          <w:color w:val="2272A3"/>
        </w:rPr>
        <w:t>Detailed m</w:t>
      </w:r>
      <w:r w:rsidR="00EE257B">
        <w:rPr>
          <w:color w:val="2272A3"/>
        </w:rPr>
        <w:t>arket analysis</w:t>
      </w:r>
    </w:p>
    <w:p w:rsidR="009E6F4A" w:rsidRPr="00667050" w:rsidRDefault="009E6F4A" w:rsidP="001B3823">
      <w:pPr>
        <w:jc w:val="both"/>
        <w:rPr>
          <w:rFonts w:eastAsia="MS Mincho"/>
          <w:i/>
        </w:rPr>
      </w:pPr>
      <w:r w:rsidRPr="00667050">
        <w:rPr>
          <w:rFonts w:eastAsia="MS Mincho"/>
          <w:i/>
        </w:rPr>
        <w:t>Prices and flows in Queensland</w:t>
      </w:r>
    </w:p>
    <w:p w:rsidR="00657BD3" w:rsidRDefault="00FA124F" w:rsidP="001B3823">
      <w:pPr>
        <w:jc w:val="both"/>
      </w:pPr>
      <w:r>
        <w:t xml:space="preserve">Figure </w:t>
      </w:r>
      <w:r w:rsidR="00A01F03">
        <w:t>6</w:t>
      </w:r>
      <w:r>
        <w:t xml:space="preserve"> </w:t>
      </w:r>
      <w:r w:rsidR="00A01F03">
        <w:t>shows</w:t>
      </w:r>
      <w:r>
        <w:t xml:space="preserve"> that around late November to early December, production </w:t>
      </w:r>
      <w:r w:rsidR="0030385A">
        <w:t xml:space="preserve">levels </w:t>
      </w:r>
      <w:r w:rsidR="00501C37">
        <w:t xml:space="preserve">reduced </w:t>
      </w:r>
      <w:r>
        <w:t>at Queensland Curtis LNG’s (QCLNG) and Gladstone LNG’s (GLNG) production facilities</w:t>
      </w:r>
      <w:r w:rsidR="000919C4">
        <w:t>.</w:t>
      </w:r>
      <w:r w:rsidR="00657BD3">
        <w:rPr>
          <w:rStyle w:val="FootnoteReference"/>
        </w:rPr>
        <w:footnoteReference w:id="2"/>
      </w:r>
      <w:r w:rsidR="000919C4">
        <w:t xml:space="preserve"> The production facilities </w:t>
      </w:r>
      <w:r w:rsidR="00501C37">
        <w:t>source</w:t>
      </w:r>
      <w:r w:rsidR="000919C4">
        <w:t xml:space="preserve"> gas from numerous wells</w:t>
      </w:r>
      <w:r w:rsidR="00501C37">
        <w:t xml:space="preserve"> and</w:t>
      </w:r>
      <w:r w:rsidR="000919C4">
        <w:t xml:space="preserve"> prepare </w:t>
      </w:r>
      <w:r w:rsidR="00501C37">
        <w:t xml:space="preserve">it </w:t>
      </w:r>
      <w:r w:rsidR="00B93B05">
        <w:t>for</w:t>
      </w:r>
      <w:r w:rsidR="000919C4">
        <w:t xml:space="preserve"> transport</w:t>
      </w:r>
      <w:r w:rsidR="001C0F9F">
        <w:t>ation</w:t>
      </w:r>
      <w:r w:rsidR="000919C4">
        <w:t xml:space="preserve"> to the respective processing facilities where the gas is liquefied </w:t>
      </w:r>
      <w:r w:rsidR="00501C37">
        <w:t xml:space="preserve">ready </w:t>
      </w:r>
      <w:r w:rsidR="000919C4">
        <w:t xml:space="preserve">for export. </w:t>
      </w:r>
    </w:p>
    <w:p w:rsidR="00A01F03" w:rsidRDefault="00A01F03" w:rsidP="00A01F03">
      <w:pPr>
        <w:pStyle w:val="Heading2"/>
        <w:ind w:firstLine="0"/>
        <w:rPr>
          <w:i w:val="0"/>
          <w:color w:val="2272A3"/>
          <w:sz w:val="24"/>
          <w:szCs w:val="24"/>
        </w:rPr>
      </w:pPr>
      <w:r>
        <w:rPr>
          <w:i w:val="0"/>
          <w:color w:val="2272A3"/>
          <w:sz w:val="24"/>
          <w:szCs w:val="24"/>
        </w:rPr>
        <w:t xml:space="preserve">Queensland Gas Powered Generation (GPG) and Roma production </w:t>
      </w:r>
    </w:p>
    <w:p w:rsidR="00A01F03" w:rsidRDefault="00B0795A" w:rsidP="00A01F03">
      <w:pPr>
        <w:jc w:val="both"/>
        <w:rPr>
          <w:rFonts w:eastAsia="MS Mincho"/>
        </w:rPr>
      </w:pPr>
      <w:r>
        <w:rPr>
          <w:rFonts w:eastAsia="MS Mincho"/>
        </w:rPr>
        <w:pict>
          <v:shape id="_x0000_i1025" type="#_x0000_t75" alt="Figure 7 shows production output at of Roma facilities against the left y-axis. The chart also shows estimated gas usage from Gas Powered Generation (GPG) in the Queensland region against the right y-axis. GPG estimates utilise the same methodology as that of figure 5.1." style="width:442.5pt;height:222.75pt">
            <v:imagedata r:id="rId12" o:title=""/>
          </v:shape>
        </w:pict>
      </w:r>
    </w:p>
    <w:p w:rsidR="00EE257B" w:rsidRDefault="00EE257B" w:rsidP="00A01F03">
      <w:pPr>
        <w:jc w:val="both"/>
        <w:rPr>
          <w:rFonts w:eastAsia="MS Mincho"/>
        </w:rPr>
      </w:pPr>
    </w:p>
    <w:p w:rsidR="00EE257B" w:rsidRDefault="00C14652" w:rsidP="00EE257B">
      <w:pPr>
        <w:jc w:val="both"/>
      </w:pPr>
      <w:r>
        <w:lastRenderedPageBreak/>
        <w:t xml:space="preserve">Figure 7 shows reduced flows on QCLNG’s and GLNG’s pipelines which coincided with the decreased production. </w:t>
      </w:r>
      <w:r w:rsidR="002F4DEB">
        <w:t>The fall in production output occurred to a</w:t>
      </w:r>
      <w:r>
        <w:t xml:space="preserve"> lesser extent than the decrease</w:t>
      </w:r>
      <w:r w:rsidR="002F4DEB">
        <w:t>d</w:t>
      </w:r>
      <w:r>
        <w:t xml:space="preserve"> </w:t>
      </w:r>
      <w:r w:rsidR="002F4DEB">
        <w:t>pipeline</w:t>
      </w:r>
      <w:r>
        <w:t xml:space="preserve"> flows to </w:t>
      </w:r>
      <w:r w:rsidR="002F4DEB">
        <w:t xml:space="preserve">Curtis Island </w:t>
      </w:r>
      <w:r>
        <w:t xml:space="preserve">export facilities, resulting in </w:t>
      </w:r>
      <w:r w:rsidR="002F4DEB">
        <w:t>a surplus of gas being produced.</w:t>
      </w:r>
      <w:r w:rsidR="00EE257B">
        <w:rPr>
          <w:rStyle w:val="FootnoteReference"/>
        </w:rPr>
        <w:footnoteReference w:id="3"/>
      </w:r>
      <w:r w:rsidR="00EE257B">
        <w:t xml:space="preserve"> Falls in prices in Brisbane and Wallumbilla suggest that the surplus gas may have been directed to these hubs. Lower prices coincided with an increase in generation at the Braemar and Oakey gas fired power stations. </w:t>
      </w:r>
    </w:p>
    <w:p w:rsidR="0033722C" w:rsidRDefault="00667050" w:rsidP="000B255F">
      <w:pPr>
        <w:pStyle w:val="Heading2"/>
        <w:ind w:firstLine="0"/>
        <w:rPr>
          <w:i w:val="0"/>
          <w:color w:val="2272A3"/>
          <w:sz w:val="24"/>
          <w:szCs w:val="24"/>
        </w:rPr>
      </w:pPr>
      <w:r>
        <w:rPr>
          <w:i w:val="0"/>
          <w:color w:val="2272A3"/>
          <w:sz w:val="24"/>
          <w:szCs w:val="24"/>
        </w:rPr>
        <w:t>Queensland LNG pipeline flows and gas market prices</w:t>
      </w:r>
    </w:p>
    <w:p w:rsidR="00667050" w:rsidRPr="00667050" w:rsidRDefault="00B0795A" w:rsidP="00667050">
      <w:r>
        <w:pict>
          <v:shape id="_x0000_i1026" type="#_x0000_t75" alt="Figure 6 shows pipeline flows from Roma to Curtis Island against the left y-axis. The chart also shows the prices in the Brisbane Short Term Trading Market (STTM) and Wallumbilla Gas Supply Hub (GSH) against the right y-axis." style="width:444pt;height:193.5pt">
            <v:imagedata r:id="rId13" o:title=""/>
          </v:shape>
        </w:pict>
      </w:r>
    </w:p>
    <w:p w:rsidR="009E6F4A" w:rsidRPr="000C564F" w:rsidRDefault="009E6F4A" w:rsidP="001B3823">
      <w:pPr>
        <w:jc w:val="both"/>
        <w:rPr>
          <w:rFonts w:eastAsia="MS Mincho"/>
          <w:i/>
        </w:rPr>
      </w:pPr>
      <w:r w:rsidRPr="000C564F">
        <w:rPr>
          <w:rFonts w:eastAsia="MS Mincho"/>
          <w:i/>
        </w:rPr>
        <w:t>Low schedule price in Victoria</w:t>
      </w:r>
    </w:p>
    <w:p w:rsidR="003D07DC" w:rsidRDefault="007F0280" w:rsidP="001B3823">
      <w:pPr>
        <w:jc w:val="both"/>
        <w:rPr>
          <w:rFonts w:eastAsia="MS Mincho"/>
        </w:rPr>
      </w:pPr>
      <w:r w:rsidRPr="000C564F">
        <w:rPr>
          <w:rFonts w:eastAsia="MS Mincho"/>
        </w:rPr>
        <w:t>On Wednesday 2 December,</w:t>
      </w:r>
      <w:r w:rsidR="00417EC5" w:rsidRPr="000C564F">
        <w:rPr>
          <w:rFonts w:eastAsia="MS Mincho"/>
        </w:rPr>
        <w:t xml:space="preserve"> the 10 pm schedule price in Victoria </w:t>
      </w:r>
      <w:r w:rsidR="00AE2D5A">
        <w:rPr>
          <w:rFonts w:eastAsia="MS Mincho"/>
        </w:rPr>
        <w:t xml:space="preserve">was </w:t>
      </w:r>
      <w:r w:rsidR="00417EC5" w:rsidRPr="000C564F">
        <w:rPr>
          <w:rFonts w:eastAsia="MS Mincho"/>
        </w:rPr>
        <w:t>close to zero</w:t>
      </w:r>
      <w:r w:rsidR="003D07DC">
        <w:rPr>
          <w:rFonts w:eastAsia="MS Mincho"/>
        </w:rPr>
        <w:t xml:space="preserve"> (see figure 1.1). Over</w:t>
      </w:r>
      <w:r w:rsidR="00150EA4">
        <w:rPr>
          <w:rFonts w:eastAsia="MS Mincho"/>
        </w:rPr>
        <w:t>-</w:t>
      </w:r>
      <w:r w:rsidR="003D07DC">
        <w:rPr>
          <w:rFonts w:eastAsia="MS Mincho"/>
        </w:rPr>
        <w:t>forecasting and rebidding into lower prices contributed.</w:t>
      </w:r>
    </w:p>
    <w:p w:rsidR="009E6F4A" w:rsidRPr="000C564F" w:rsidRDefault="009E6F4A" w:rsidP="001B3823">
      <w:pPr>
        <w:jc w:val="both"/>
        <w:rPr>
          <w:rFonts w:eastAsia="MS Mincho"/>
          <w:i/>
        </w:rPr>
      </w:pPr>
      <w:r w:rsidRPr="000C564F">
        <w:rPr>
          <w:rFonts w:eastAsia="MS Mincho"/>
          <w:i/>
        </w:rPr>
        <w:t>MOS in Sydney</w:t>
      </w:r>
    </w:p>
    <w:p w:rsidR="009E6F4A" w:rsidRPr="000C564F" w:rsidRDefault="00732886" w:rsidP="001B3823">
      <w:pPr>
        <w:jc w:val="both"/>
        <w:rPr>
          <w:rFonts w:eastAsia="MS Mincho"/>
        </w:rPr>
      </w:pPr>
      <w:r>
        <w:rPr>
          <w:rFonts w:eastAsia="MS Mincho"/>
        </w:rPr>
        <w:t>On 29 November and 4 December, net MOS requirements in Sydney exceeded 10 TJ. This was due to over</w:t>
      </w:r>
      <w:r w:rsidR="00EE257B">
        <w:rPr>
          <w:rFonts w:eastAsia="MS Mincho"/>
        </w:rPr>
        <w:t>-</w:t>
      </w:r>
      <w:r>
        <w:rPr>
          <w:rFonts w:eastAsia="MS Mincho"/>
        </w:rPr>
        <w:t>forecasting</w:t>
      </w:r>
      <w:r w:rsidR="000E4F28">
        <w:rPr>
          <w:rFonts w:eastAsia="MS Mincho"/>
        </w:rPr>
        <w:t xml:space="preserve"> (see figure 2.1)</w:t>
      </w:r>
      <w:r>
        <w:rPr>
          <w:rFonts w:eastAsia="MS Mincho"/>
        </w:rPr>
        <w:t>,</w:t>
      </w:r>
      <w:r w:rsidR="000E4F28">
        <w:rPr>
          <w:rFonts w:eastAsia="MS Mincho"/>
        </w:rPr>
        <w:t xml:space="preserve"> while reduced supply on the MSP had the effect of lowering the requirements (see figure 2.3).</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B0795A">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8" o:title="AER-header for report templates"/>
          </v:shape>
        </w:pict>
      </w:r>
      <w:r w:rsidR="00B0795A">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9"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180340" w:rsidP="004420C4">
      <w:pPr>
        <w:pStyle w:val="Heading2"/>
        <w:numPr>
          <w:ilvl w:val="0"/>
          <w:numId w:val="0"/>
        </w:numPr>
        <w:rPr>
          <w:i w:val="0"/>
        </w:rPr>
      </w:pPr>
      <w:r>
        <w:rPr>
          <w:i w:val="0"/>
          <w:sz w:val="36"/>
          <w:szCs w:val="36"/>
        </w:rPr>
        <w:t>29 November – 5 December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B0795A" w:rsidP="00362B9A">
      <w:r>
        <w:pict>
          <v:shape id="_x0000_i1027" type="#_x0000_t75" alt="Figure 1.1 shows the five Victorian schedule prices for each day this week. The marker indicates the daily imbalance weighted average price for each day. For a more detailed description of this figure, please refer to the user guide." style="width:476.25pt;height:137.25pt">
            <v:imagedata r:id="rId14"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B0795A" w:rsidP="00362B9A">
      <w:r>
        <w:pict>
          <v:shape id="_x0000_i1028" type="#_x0000_t75" alt="Figure 1.2 shows the demand forecast used to calculate the five daily schedule prices for this week. For a more detailed description of this figure, please refer to the user guide." style="width:476.25pt;height:176.25pt">
            <v:imagedata r:id="rId15"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B0795A" w:rsidP="00362B9A">
      <w:r>
        <w:pict>
          <v:shape id="_x0000_i1029" type="#_x0000_t75" alt="Figure 1.3 shows the injection bids within certain price bands for each trading interval in Victoria this week. For a more detailed description of this figure, please refer to the user guide." style="width:476.25pt;height:205.5pt">
            <v:imagedata r:id="rId16"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B0795A" w:rsidP="00362B9A">
      <w:r>
        <w:pict>
          <v:shape id="_x0000_i1030" type="#_x0000_t75" alt="Figure 1.4 shows the withdrawal bids within certain price bands for each trading interval in Victoria this week. For a more detailed description of this figure, please refer to the user guide.&#10;" style="width:477pt;height:162.75pt">
            <v:imagedata r:id="rId17"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B0795A" w:rsidP="00BC18FB">
      <w:r>
        <w:pict>
          <v:shape id="_x0000_i1031" type="#_x0000_t75" alt="Figure 1.5 shows the metered injections sorted by facility for each 4 hour interval in Victoria this week. For a more detailed description of this figure, please refer to the user guide." style="width:476.25pt;height:177.75pt">
            <v:imagedata r:id="rId18"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19"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3B7F49" w:rsidRPr="00405CDE" w:rsidTr="00F114D5">
        <w:trPr>
          <w:trHeight w:val="510"/>
        </w:trPr>
        <w:tc>
          <w:tcPr>
            <w:tcW w:w="1100" w:type="pct"/>
            <w:tcBorders>
              <w:top w:val="nil"/>
              <w:bottom w:val="nil"/>
            </w:tcBorders>
            <w:vAlign w:val="center"/>
          </w:tcPr>
          <w:p w:rsidR="003B7F49" w:rsidRDefault="003B7F49">
            <w:pPr>
              <w:rPr>
                <w:rFonts w:cs="Arial"/>
                <w:sz w:val="20"/>
                <w:szCs w:val="20"/>
              </w:rPr>
            </w:pPr>
            <w:r>
              <w:rPr>
                <w:rFonts w:cs="Arial"/>
                <w:sz w:val="20"/>
                <w:szCs w:val="20"/>
              </w:rPr>
              <w:t>Ex ante price ($/GJ)</w:t>
            </w:r>
          </w:p>
        </w:tc>
        <w:tc>
          <w:tcPr>
            <w:tcW w:w="597" w:type="pct"/>
            <w:tcBorders>
              <w:top w:val="nil"/>
              <w:bottom w:val="nil"/>
            </w:tcBorders>
            <w:vAlign w:val="center"/>
          </w:tcPr>
          <w:p w:rsidR="003B7F49" w:rsidRDefault="003B7F49">
            <w:pPr>
              <w:jc w:val="center"/>
              <w:rPr>
                <w:rFonts w:cs="Arial"/>
                <w:sz w:val="20"/>
                <w:szCs w:val="20"/>
              </w:rPr>
            </w:pPr>
            <w:r>
              <w:rPr>
                <w:rFonts w:cs="Arial"/>
                <w:sz w:val="20"/>
                <w:szCs w:val="20"/>
              </w:rPr>
              <w:t>3.00</w:t>
            </w:r>
          </w:p>
        </w:tc>
        <w:tc>
          <w:tcPr>
            <w:tcW w:w="523" w:type="pct"/>
            <w:tcBorders>
              <w:top w:val="nil"/>
              <w:bottom w:val="nil"/>
            </w:tcBorders>
            <w:vAlign w:val="center"/>
          </w:tcPr>
          <w:p w:rsidR="003B7F49" w:rsidRDefault="003B7F49">
            <w:pPr>
              <w:jc w:val="center"/>
              <w:rPr>
                <w:rFonts w:cs="Arial"/>
                <w:sz w:val="20"/>
                <w:szCs w:val="20"/>
              </w:rPr>
            </w:pPr>
            <w:r>
              <w:rPr>
                <w:rFonts w:cs="Arial"/>
                <w:sz w:val="20"/>
                <w:szCs w:val="20"/>
              </w:rPr>
              <w:t>4.30</w:t>
            </w:r>
          </w:p>
        </w:tc>
        <w:tc>
          <w:tcPr>
            <w:tcW w:w="606" w:type="pct"/>
            <w:tcBorders>
              <w:top w:val="nil"/>
              <w:bottom w:val="nil"/>
            </w:tcBorders>
            <w:vAlign w:val="center"/>
          </w:tcPr>
          <w:p w:rsidR="003B7F49" w:rsidRDefault="003B7F49">
            <w:pPr>
              <w:jc w:val="center"/>
              <w:rPr>
                <w:rFonts w:cs="Arial"/>
                <w:sz w:val="20"/>
                <w:szCs w:val="20"/>
              </w:rPr>
            </w:pPr>
            <w:r>
              <w:rPr>
                <w:rFonts w:cs="Arial"/>
                <w:sz w:val="20"/>
                <w:szCs w:val="20"/>
              </w:rPr>
              <w:t>3.15</w:t>
            </w:r>
          </w:p>
        </w:tc>
        <w:tc>
          <w:tcPr>
            <w:tcW w:w="532" w:type="pct"/>
            <w:tcBorders>
              <w:top w:val="nil"/>
              <w:bottom w:val="nil"/>
            </w:tcBorders>
            <w:vAlign w:val="center"/>
          </w:tcPr>
          <w:p w:rsidR="003B7F49" w:rsidRDefault="003B7F49">
            <w:pPr>
              <w:jc w:val="center"/>
              <w:rPr>
                <w:rFonts w:cs="Arial"/>
                <w:sz w:val="20"/>
                <w:szCs w:val="20"/>
              </w:rPr>
            </w:pPr>
            <w:r>
              <w:rPr>
                <w:rFonts w:cs="Arial"/>
                <w:sz w:val="20"/>
                <w:szCs w:val="20"/>
              </w:rPr>
              <w:t>4.28</w:t>
            </w:r>
          </w:p>
        </w:tc>
        <w:tc>
          <w:tcPr>
            <w:tcW w:w="525" w:type="pct"/>
            <w:tcBorders>
              <w:top w:val="nil"/>
              <w:bottom w:val="nil"/>
            </w:tcBorders>
            <w:vAlign w:val="center"/>
          </w:tcPr>
          <w:p w:rsidR="003B7F49" w:rsidRDefault="003B7F49">
            <w:pPr>
              <w:jc w:val="center"/>
              <w:rPr>
                <w:rFonts w:cs="Arial"/>
                <w:sz w:val="20"/>
                <w:szCs w:val="20"/>
              </w:rPr>
            </w:pPr>
            <w:r>
              <w:rPr>
                <w:rFonts w:cs="Arial"/>
                <w:sz w:val="20"/>
                <w:szCs w:val="20"/>
              </w:rPr>
              <w:t>4.47</w:t>
            </w:r>
          </w:p>
        </w:tc>
        <w:tc>
          <w:tcPr>
            <w:tcW w:w="522" w:type="pct"/>
            <w:tcBorders>
              <w:top w:val="nil"/>
              <w:bottom w:val="nil"/>
            </w:tcBorders>
            <w:vAlign w:val="center"/>
          </w:tcPr>
          <w:p w:rsidR="003B7F49" w:rsidRDefault="003B7F49">
            <w:pPr>
              <w:jc w:val="center"/>
              <w:rPr>
                <w:rFonts w:cs="Arial"/>
                <w:sz w:val="20"/>
                <w:szCs w:val="20"/>
              </w:rPr>
            </w:pPr>
            <w:r>
              <w:rPr>
                <w:rFonts w:cs="Arial"/>
                <w:sz w:val="20"/>
                <w:szCs w:val="20"/>
              </w:rPr>
              <w:t>4.85</w:t>
            </w:r>
          </w:p>
        </w:tc>
        <w:tc>
          <w:tcPr>
            <w:tcW w:w="595" w:type="pct"/>
            <w:tcBorders>
              <w:top w:val="nil"/>
              <w:bottom w:val="nil"/>
            </w:tcBorders>
            <w:vAlign w:val="center"/>
          </w:tcPr>
          <w:p w:rsidR="003B7F49" w:rsidRDefault="003B7F49">
            <w:pPr>
              <w:jc w:val="center"/>
              <w:rPr>
                <w:rFonts w:cs="Arial"/>
                <w:sz w:val="20"/>
                <w:szCs w:val="20"/>
              </w:rPr>
            </w:pPr>
            <w:r>
              <w:rPr>
                <w:rFonts w:cs="Arial"/>
                <w:sz w:val="20"/>
                <w:szCs w:val="20"/>
              </w:rPr>
              <w:t>3.40</w:t>
            </w:r>
          </w:p>
        </w:tc>
      </w:tr>
      <w:tr w:rsidR="003B7F49"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3B7F49" w:rsidRDefault="003B7F49">
            <w:pPr>
              <w:rPr>
                <w:rFonts w:cs="Arial"/>
                <w:sz w:val="20"/>
                <w:szCs w:val="20"/>
              </w:rPr>
            </w:pPr>
            <w:r>
              <w:rPr>
                <w:rFonts w:cs="Arial"/>
                <w:sz w:val="20"/>
                <w:szCs w:val="20"/>
              </w:rPr>
              <w:t>Ex ante quantity (TJ)</w:t>
            </w:r>
          </w:p>
        </w:tc>
        <w:tc>
          <w:tcPr>
            <w:tcW w:w="597" w:type="pct"/>
            <w:tcBorders>
              <w:top w:val="nil"/>
              <w:bottom w:val="nil"/>
            </w:tcBorders>
            <w:vAlign w:val="center"/>
          </w:tcPr>
          <w:p w:rsidR="003B7F49" w:rsidRDefault="003B7F49">
            <w:pPr>
              <w:jc w:val="center"/>
              <w:rPr>
                <w:rFonts w:cs="Arial"/>
                <w:sz w:val="20"/>
                <w:szCs w:val="20"/>
              </w:rPr>
            </w:pPr>
            <w:r>
              <w:rPr>
                <w:rFonts w:cs="Arial"/>
                <w:sz w:val="20"/>
                <w:szCs w:val="20"/>
              </w:rPr>
              <w:t>194</w:t>
            </w:r>
          </w:p>
        </w:tc>
        <w:tc>
          <w:tcPr>
            <w:tcW w:w="523" w:type="pct"/>
            <w:tcBorders>
              <w:top w:val="nil"/>
              <w:bottom w:val="nil"/>
            </w:tcBorders>
            <w:vAlign w:val="center"/>
          </w:tcPr>
          <w:p w:rsidR="003B7F49" w:rsidRDefault="003B7F49">
            <w:pPr>
              <w:jc w:val="center"/>
              <w:rPr>
                <w:rFonts w:cs="Arial"/>
                <w:sz w:val="20"/>
                <w:szCs w:val="20"/>
              </w:rPr>
            </w:pPr>
            <w:r>
              <w:rPr>
                <w:rFonts w:cs="Arial"/>
                <w:sz w:val="20"/>
                <w:szCs w:val="20"/>
              </w:rPr>
              <w:t>222</w:t>
            </w:r>
          </w:p>
        </w:tc>
        <w:tc>
          <w:tcPr>
            <w:tcW w:w="606" w:type="pct"/>
            <w:tcBorders>
              <w:top w:val="nil"/>
              <w:bottom w:val="nil"/>
            </w:tcBorders>
            <w:vAlign w:val="center"/>
          </w:tcPr>
          <w:p w:rsidR="003B7F49" w:rsidRDefault="003B7F49">
            <w:pPr>
              <w:jc w:val="center"/>
              <w:rPr>
                <w:rFonts w:cs="Arial"/>
                <w:sz w:val="20"/>
                <w:szCs w:val="20"/>
              </w:rPr>
            </w:pPr>
            <w:r>
              <w:rPr>
                <w:rFonts w:cs="Arial"/>
                <w:sz w:val="20"/>
                <w:szCs w:val="20"/>
              </w:rPr>
              <w:t>219</w:t>
            </w:r>
          </w:p>
        </w:tc>
        <w:tc>
          <w:tcPr>
            <w:tcW w:w="532" w:type="pct"/>
            <w:tcBorders>
              <w:top w:val="nil"/>
              <w:bottom w:val="nil"/>
            </w:tcBorders>
            <w:vAlign w:val="center"/>
          </w:tcPr>
          <w:p w:rsidR="003B7F49" w:rsidRDefault="003B7F49">
            <w:pPr>
              <w:jc w:val="center"/>
              <w:rPr>
                <w:rFonts w:cs="Arial"/>
                <w:sz w:val="20"/>
                <w:szCs w:val="20"/>
              </w:rPr>
            </w:pPr>
            <w:r>
              <w:rPr>
                <w:rFonts w:cs="Arial"/>
                <w:sz w:val="20"/>
                <w:szCs w:val="20"/>
              </w:rPr>
              <w:t>211</w:t>
            </w:r>
          </w:p>
        </w:tc>
        <w:tc>
          <w:tcPr>
            <w:tcW w:w="525" w:type="pct"/>
            <w:tcBorders>
              <w:top w:val="nil"/>
              <w:bottom w:val="nil"/>
            </w:tcBorders>
            <w:vAlign w:val="center"/>
          </w:tcPr>
          <w:p w:rsidR="003B7F49" w:rsidRDefault="003B7F49">
            <w:pPr>
              <w:jc w:val="center"/>
              <w:rPr>
                <w:rFonts w:cs="Arial"/>
                <w:sz w:val="20"/>
                <w:szCs w:val="20"/>
              </w:rPr>
            </w:pPr>
            <w:r>
              <w:rPr>
                <w:rFonts w:cs="Arial"/>
                <w:sz w:val="20"/>
                <w:szCs w:val="20"/>
              </w:rPr>
              <w:t>221</w:t>
            </w:r>
          </w:p>
        </w:tc>
        <w:tc>
          <w:tcPr>
            <w:tcW w:w="522" w:type="pct"/>
            <w:tcBorders>
              <w:top w:val="nil"/>
              <w:bottom w:val="nil"/>
            </w:tcBorders>
            <w:vAlign w:val="center"/>
          </w:tcPr>
          <w:p w:rsidR="003B7F49" w:rsidRDefault="003B7F49">
            <w:pPr>
              <w:jc w:val="center"/>
              <w:rPr>
                <w:rFonts w:cs="Arial"/>
                <w:sz w:val="20"/>
                <w:szCs w:val="20"/>
              </w:rPr>
            </w:pPr>
            <w:r>
              <w:rPr>
                <w:rFonts w:cs="Arial"/>
                <w:sz w:val="20"/>
                <w:szCs w:val="20"/>
              </w:rPr>
              <w:t>218</w:t>
            </w:r>
          </w:p>
        </w:tc>
        <w:tc>
          <w:tcPr>
            <w:tcW w:w="595" w:type="pct"/>
            <w:tcBorders>
              <w:top w:val="nil"/>
              <w:bottom w:val="nil"/>
            </w:tcBorders>
            <w:vAlign w:val="center"/>
          </w:tcPr>
          <w:p w:rsidR="003B7F49" w:rsidRDefault="003B7F49">
            <w:pPr>
              <w:jc w:val="center"/>
              <w:rPr>
                <w:rFonts w:cs="Arial"/>
                <w:sz w:val="20"/>
                <w:szCs w:val="20"/>
              </w:rPr>
            </w:pPr>
            <w:r>
              <w:rPr>
                <w:rFonts w:cs="Arial"/>
                <w:sz w:val="20"/>
                <w:szCs w:val="20"/>
              </w:rPr>
              <w:t>202</w:t>
            </w:r>
          </w:p>
        </w:tc>
      </w:tr>
      <w:tr w:rsidR="003B7F49" w:rsidRPr="00405CDE" w:rsidTr="00F114D5">
        <w:trPr>
          <w:trHeight w:val="510"/>
        </w:trPr>
        <w:tc>
          <w:tcPr>
            <w:tcW w:w="1100" w:type="pct"/>
            <w:tcBorders>
              <w:top w:val="nil"/>
              <w:bottom w:val="nil"/>
            </w:tcBorders>
            <w:vAlign w:val="center"/>
          </w:tcPr>
          <w:p w:rsidR="003B7F49" w:rsidRDefault="003B7F49">
            <w:pPr>
              <w:rPr>
                <w:rFonts w:cs="Arial"/>
                <w:sz w:val="20"/>
                <w:szCs w:val="20"/>
              </w:rPr>
            </w:pPr>
            <w:r>
              <w:rPr>
                <w:rFonts w:cs="Arial"/>
                <w:sz w:val="20"/>
                <w:szCs w:val="20"/>
              </w:rPr>
              <w:t>Ex post price ($/GJ)</w:t>
            </w:r>
          </w:p>
        </w:tc>
        <w:tc>
          <w:tcPr>
            <w:tcW w:w="597" w:type="pct"/>
            <w:tcBorders>
              <w:top w:val="nil"/>
              <w:bottom w:val="nil"/>
            </w:tcBorders>
            <w:vAlign w:val="center"/>
          </w:tcPr>
          <w:p w:rsidR="003B7F49" w:rsidRDefault="003B7F49">
            <w:pPr>
              <w:jc w:val="center"/>
              <w:rPr>
                <w:rFonts w:cs="Arial"/>
                <w:sz w:val="20"/>
                <w:szCs w:val="20"/>
              </w:rPr>
            </w:pPr>
            <w:r>
              <w:rPr>
                <w:rFonts w:cs="Arial"/>
                <w:sz w:val="20"/>
                <w:szCs w:val="20"/>
              </w:rPr>
              <w:t>2.15</w:t>
            </w:r>
          </w:p>
        </w:tc>
        <w:tc>
          <w:tcPr>
            <w:tcW w:w="523" w:type="pct"/>
            <w:tcBorders>
              <w:top w:val="nil"/>
              <w:bottom w:val="nil"/>
            </w:tcBorders>
            <w:vAlign w:val="center"/>
          </w:tcPr>
          <w:p w:rsidR="003B7F49" w:rsidRDefault="003B7F49">
            <w:pPr>
              <w:jc w:val="center"/>
              <w:rPr>
                <w:rFonts w:cs="Arial"/>
                <w:sz w:val="20"/>
                <w:szCs w:val="20"/>
              </w:rPr>
            </w:pPr>
            <w:r>
              <w:rPr>
                <w:rFonts w:cs="Arial"/>
                <w:sz w:val="20"/>
                <w:szCs w:val="20"/>
              </w:rPr>
              <w:t>3.00</w:t>
            </w:r>
          </w:p>
        </w:tc>
        <w:tc>
          <w:tcPr>
            <w:tcW w:w="606" w:type="pct"/>
            <w:tcBorders>
              <w:top w:val="nil"/>
              <w:bottom w:val="nil"/>
            </w:tcBorders>
            <w:vAlign w:val="center"/>
          </w:tcPr>
          <w:p w:rsidR="003B7F49" w:rsidRDefault="003B7F49">
            <w:pPr>
              <w:jc w:val="center"/>
              <w:rPr>
                <w:rFonts w:cs="Arial"/>
                <w:sz w:val="20"/>
                <w:szCs w:val="20"/>
              </w:rPr>
            </w:pPr>
            <w:r>
              <w:rPr>
                <w:rFonts w:cs="Arial"/>
                <w:sz w:val="20"/>
                <w:szCs w:val="20"/>
              </w:rPr>
              <w:t>2.20</w:t>
            </w:r>
          </w:p>
        </w:tc>
        <w:tc>
          <w:tcPr>
            <w:tcW w:w="532" w:type="pct"/>
            <w:tcBorders>
              <w:top w:val="nil"/>
              <w:bottom w:val="nil"/>
            </w:tcBorders>
            <w:vAlign w:val="center"/>
          </w:tcPr>
          <w:p w:rsidR="003B7F49" w:rsidRDefault="003B7F49">
            <w:pPr>
              <w:jc w:val="center"/>
              <w:rPr>
                <w:rFonts w:cs="Arial"/>
                <w:sz w:val="20"/>
                <w:szCs w:val="20"/>
              </w:rPr>
            </w:pPr>
            <w:r>
              <w:rPr>
                <w:rFonts w:cs="Arial"/>
                <w:sz w:val="20"/>
                <w:szCs w:val="20"/>
              </w:rPr>
              <w:t>4.28</w:t>
            </w:r>
          </w:p>
        </w:tc>
        <w:tc>
          <w:tcPr>
            <w:tcW w:w="525" w:type="pct"/>
            <w:tcBorders>
              <w:top w:val="nil"/>
              <w:bottom w:val="nil"/>
            </w:tcBorders>
            <w:vAlign w:val="center"/>
          </w:tcPr>
          <w:p w:rsidR="003B7F49" w:rsidRDefault="003B7F49">
            <w:pPr>
              <w:jc w:val="center"/>
              <w:rPr>
                <w:rFonts w:cs="Arial"/>
                <w:sz w:val="20"/>
                <w:szCs w:val="20"/>
              </w:rPr>
            </w:pPr>
            <w:r>
              <w:rPr>
                <w:rFonts w:cs="Arial"/>
                <w:sz w:val="20"/>
                <w:szCs w:val="20"/>
              </w:rPr>
              <w:t>4.30</w:t>
            </w:r>
          </w:p>
        </w:tc>
        <w:tc>
          <w:tcPr>
            <w:tcW w:w="522" w:type="pct"/>
            <w:tcBorders>
              <w:top w:val="nil"/>
              <w:bottom w:val="nil"/>
            </w:tcBorders>
            <w:vAlign w:val="center"/>
          </w:tcPr>
          <w:p w:rsidR="003B7F49" w:rsidRDefault="003B7F49">
            <w:pPr>
              <w:jc w:val="center"/>
              <w:rPr>
                <w:rFonts w:cs="Arial"/>
                <w:sz w:val="20"/>
                <w:szCs w:val="20"/>
              </w:rPr>
            </w:pPr>
            <w:r>
              <w:rPr>
                <w:rFonts w:cs="Arial"/>
                <w:sz w:val="20"/>
                <w:szCs w:val="20"/>
              </w:rPr>
              <w:t>3.23</w:t>
            </w:r>
          </w:p>
        </w:tc>
        <w:tc>
          <w:tcPr>
            <w:tcW w:w="595" w:type="pct"/>
            <w:tcBorders>
              <w:top w:val="nil"/>
              <w:bottom w:val="nil"/>
            </w:tcBorders>
            <w:vAlign w:val="center"/>
          </w:tcPr>
          <w:p w:rsidR="003B7F49" w:rsidRDefault="003B7F49">
            <w:pPr>
              <w:jc w:val="center"/>
              <w:rPr>
                <w:rFonts w:cs="Arial"/>
                <w:sz w:val="20"/>
                <w:szCs w:val="20"/>
              </w:rPr>
            </w:pPr>
            <w:r>
              <w:rPr>
                <w:rFonts w:cs="Arial"/>
                <w:sz w:val="20"/>
                <w:szCs w:val="20"/>
              </w:rPr>
              <w:t>3.01</w:t>
            </w:r>
          </w:p>
        </w:tc>
      </w:tr>
      <w:tr w:rsidR="003B7F49"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3B7F49" w:rsidRDefault="003B7F4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177</w:t>
            </w:r>
          </w:p>
        </w:tc>
        <w:tc>
          <w:tcPr>
            <w:tcW w:w="523"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213</w:t>
            </w:r>
          </w:p>
        </w:tc>
        <w:tc>
          <w:tcPr>
            <w:tcW w:w="606"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208</w:t>
            </w:r>
          </w:p>
        </w:tc>
        <w:tc>
          <w:tcPr>
            <w:tcW w:w="532"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213</w:t>
            </w:r>
          </w:p>
        </w:tc>
        <w:tc>
          <w:tcPr>
            <w:tcW w:w="525"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215</w:t>
            </w:r>
          </w:p>
        </w:tc>
        <w:tc>
          <w:tcPr>
            <w:tcW w:w="522"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201</w:t>
            </w:r>
          </w:p>
        </w:tc>
        <w:tc>
          <w:tcPr>
            <w:tcW w:w="595"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197</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B0795A" w:rsidP="00362B9A">
      <w:r>
        <w:pict>
          <v:shape id="_x0000_i1032" type="#_x0000_t75" alt="Figure 2.2 shows the daily hub offers and bid in within certain price bands in Sydney this week. The line indicates the scheduled quantity for each day. For a more detailed description of this figure, please refer to the user guide.&#10;" style="width:475.5pt;height:171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B0795A" w:rsidP="00362B9A">
      <w:r>
        <w:pict>
          <v:shape id="_x0000_i1033" type="#_x0000_t75" alt="Figure 2.3 shows the daily scheduled and allocated quantities sorted by facility for Sydney this week. For a more detailed description of this figure, please refer to the user guide." style="width:477.75pt;height:212.25pt">
            <v:imagedata r:id="rId21"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B0795A" w:rsidP="00362B9A">
      <w:r>
        <w:pict>
          <v:shape id="_x0000_i1034"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5pt;height:180.75pt">
            <v:imagedata r:id="rId22"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3B7F49" w:rsidRPr="00405CDE" w:rsidTr="006C5082">
        <w:trPr>
          <w:trHeight w:val="510"/>
        </w:trPr>
        <w:tc>
          <w:tcPr>
            <w:tcW w:w="1100" w:type="pct"/>
            <w:tcBorders>
              <w:top w:val="nil"/>
              <w:bottom w:val="nil"/>
            </w:tcBorders>
            <w:vAlign w:val="center"/>
          </w:tcPr>
          <w:p w:rsidR="003B7F49" w:rsidRDefault="003B7F49">
            <w:pPr>
              <w:rPr>
                <w:rFonts w:cs="Arial"/>
                <w:sz w:val="20"/>
                <w:szCs w:val="20"/>
              </w:rPr>
            </w:pPr>
            <w:r>
              <w:rPr>
                <w:rFonts w:cs="Arial"/>
                <w:sz w:val="20"/>
                <w:szCs w:val="20"/>
              </w:rPr>
              <w:t>Ex ante price ($/GJ)</w:t>
            </w:r>
          </w:p>
        </w:tc>
        <w:tc>
          <w:tcPr>
            <w:tcW w:w="597" w:type="pct"/>
            <w:tcBorders>
              <w:top w:val="nil"/>
              <w:bottom w:val="nil"/>
            </w:tcBorders>
            <w:vAlign w:val="center"/>
          </w:tcPr>
          <w:p w:rsidR="003B7F49" w:rsidRDefault="003B7F49">
            <w:pPr>
              <w:jc w:val="center"/>
              <w:rPr>
                <w:rFonts w:cs="Arial"/>
                <w:sz w:val="20"/>
                <w:szCs w:val="20"/>
              </w:rPr>
            </w:pPr>
            <w:r>
              <w:rPr>
                <w:rFonts w:cs="Arial"/>
                <w:sz w:val="20"/>
                <w:szCs w:val="20"/>
              </w:rPr>
              <w:t>4.50</w:t>
            </w:r>
          </w:p>
        </w:tc>
        <w:tc>
          <w:tcPr>
            <w:tcW w:w="523" w:type="pct"/>
            <w:tcBorders>
              <w:top w:val="nil"/>
              <w:bottom w:val="nil"/>
            </w:tcBorders>
            <w:vAlign w:val="center"/>
          </w:tcPr>
          <w:p w:rsidR="003B7F49" w:rsidRDefault="003B7F49">
            <w:pPr>
              <w:jc w:val="center"/>
              <w:rPr>
                <w:rFonts w:cs="Arial"/>
                <w:sz w:val="20"/>
                <w:szCs w:val="20"/>
              </w:rPr>
            </w:pPr>
            <w:r>
              <w:rPr>
                <w:rFonts w:cs="Arial"/>
                <w:sz w:val="20"/>
                <w:szCs w:val="20"/>
              </w:rPr>
              <w:t>4.80</w:t>
            </w:r>
          </w:p>
        </w:tc>
        <w:tc>
          <w:tcPr>
            <w:tcW w:w="606" w:type="pct"/>
            <w:tcBorders>
              <w:top w:val="nil"/>
              <w:bottom w:val="nil"/>
            </w:tcBorders>
            <w:vAlign w:val="center"/>
          </w:tcPr>
          <w:p w:rsidR="003B7F49" w:rsidRDefault="003B7F49">
            <w:pPr>
              <w:jc w:val="center"/>
              <w:rPr>
                <w:rFonts w:cs="Arial"/>
                <w:sz w:val="20"/>
                <w:szCs w:val="20"/>
              </w:rPr>
            </w:pPr>
            <w:r>
              <w:rPr>
                <w:rFonts w:cs="Arial"/>
                <w:sz w:val="20"/>
                <w:szCs w:val="20"/>
              </w:rPr>
              <w:t>4.48</w:t>
            </w:r>
          </w:p>
        </w:tc>
        <w:tc>
          <w:tcPr>
            <w:tcW w:w="532" w:type="pct"/>
            <w:tcBorders>
              <w:top w:val="nil"/>
              <w:bottom w:val="nil"/>
            </w:tcBorders>
            <w:vAlign w:val="center"/>
          </w:tcPr>
          <w:p w:rsidR="003B7F49" w:rsidRDefault="003B7F49">
            <w:pPr>
              <w:jc w:val="center"/>
              <w:rPr>
                <w:rFonts w:cs="Arial"/>
                <w:sz w:val="20"/>
                <w:szCs w:val="20"/>
              </w:rPr>
            </w:pPr>
            <w:r>
              <w:rPr>
                <w:rFonts w:cs="Arial"/>
                <w:sz w:val="20"/>
                <w:szCs w:val="20"/>
              </w:rPr>
              <w:t>3.79</w:t>
            </w:r>
          </w:p>
        </w:tc>
        <w:tc>
          <w:tcPr>
            <w:tcW w:w="525" w:type="pct"/>
            <w:tcBorders>
              <w:top w:val="nil"/>
              <w:bottom w:val="nil"/>
            </w:tcBorders>
            <w:vAlign w:val="center"/>
          </w:tcPr>
          <w:p w:rsidR="003B7F49" w:rsidRDefault="003B7F49">
            <w:pPr>
              <w:jc w:val="center"/>
              <w:rPr>
                <w:rFonts w:cs="Arial"/>
                <w:sz w:val="20"/>
                <w:szCs w:val="20"/>
              </w:rPr>
            </w:pPr>
            <w:r>
              <w:rPr>
                <w:rFonts w:cs="Arial"/>
                <w:sz w:val="20"/>
                <w:szCs w:val="20"/>
              </w:rPr>
              <w:t>4.46</w:t>
            </w:r>
          </w:p>
        </w:tc>
        <w:tc>
          <w:tcPr>
            <w:tcW w:w="522" w:type="pct"/>
            <w:tcBorders>
              <w:top w:val="nil"/>
              <w:bottom w:val="nil"/>
            </w:tcBorders>
            <w:vAlign w:val="center"/>
          </w:tcPr>
          <w:p w:rsidR="003B7F49" w:rsidRDefault="003B7F49">
            <w:pPr>
              <w:jc w:val="center"/>
              <w:rPr>
                <w:rFonts w:cs="Arial"/>
                <w:sz w:val="20"/>
                <w:szCs w:val="20"/>
              </w:rPr>
            </w:pPr>
            <w:r>
              <w:rPr>
                <w:rFonts w:cs="Arial"/>
                <w:sz w:val="20"/>
                <w:szCs w:val="20"/>
              </w:rPr>
              <w:t>5.05</w:t>
            </w:r>
          </w:p>
        </w:tc>
        <w:tc>
          <w:tcPr>
            <w:tcW w:w="595" w:type="pct"/>
            <w:tcBorders>
              <w:top w:val="nil"/>
              <w:bottom w:val="nil"/>
            </w:tcBorders>
            <w:vAlign w:val="center"/>
          </w:tcPr>
          <w:p w:rsidR="003B7F49" w:rsidRDefault="003B7F49">
            <w:pPr>
              <w:jc w:val="center"/>
              <w:rPr>
                <w:rFonts w:cs="Arial"/>
                <w:sz w:val="20"/>
                <w:szCs w:val="20"/>
              </w:rPr>
            </w:pPr>
            <w:r>
              <w:rPr>
                <w:rFonts w:cs="Arial"/>
                <w:sz w:val="20"/>
                <w:szCs w:val="20"/>
              </w:rPr>
              <w:t>4.40</w:t>
            </w:r>
          </w:p>
        </w:tc>
      </w:tr>
      <w:tr w:rsidR="003B7F4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3B7F49" w:rsidRDefault="003B7F49">
            <w:pPr>
              <w:rPr>
                <w:rFonts w:cs="Arial"/>
                <w:sz w:val="20"/>
                <w:szCs w:val="20"/>
              </w:rPr>
            </w:pPr>
            <w:r>
              <w:rPr>
                <w:rFonts w:cs="Arial"/>
                <w:sz w:val="20"/>
                <w:szCs w:val="20"/>
              </w:rPr>
              <w:t>Ex ante quantity (TJ)</w:t>
            </w:r>
          </w:p>
        </w:tc>
        <w:tc>
          <w:tcPr>
            <w:tcW w:w="597" w:type="pct"/>
            <w:tcBorders>
              <w:top w:val="nil"/>
              <w:bottom w:val="nil"/>
            </w:tcBorders>
            <w:vAlign w:val="center"/>
          </w:tcPr>
          <w:p w:rsidR="003B7F49" w:rsidRDefault="003B7F49">
            <w:pPr>
              <w:jc w:val="center"/>
              <w:rPr>
                <w:rFonts w:cs="Arial"/>
                <w:sz w:val="20"/>
                <w:szCs w:val="20"/>
              </w:rPr>
            </w:pPr>
            <w:r>
              <w:rPr>
                <w:rFonts w:cs="Arial"/>
                <w:sz w:val="20"/>
                <w:szCs w:val="20"/>
              </w:rPr>
              <w:t>43</w:t>
            </w:r>
          </w:p>
        </w:tc>
        <w:tc>
          <w:tcPr>
            <w:tcW w:w="523" w:type="pct"/>
            <w:tcBorders>
              <w:top w:val="nil"/>
              <w:bottom w:val="nil"/>
            </w:tcBorders>
            <w:vAlign w:val="center"/>
          </w:tcPr>
          <w:p w:rsidR="003B7F49" w:rsidRDefault="003B7F49">
            <w:pPr>
              <w:jc w:val="center"/>
              <w:rPr>
                <w:rFonts w:cs="Arial"/>
                <w:sz w:val="20"/>
                <w:szCs w:val="20"/>
              </w:rPr>
            </w:pPr>
            <w:r>
              <w:rPr>
                <w:rFonts w:cs="Arial"/>
                <w:sz w:val="20"/>
                <w:szCs w:val="20"/>
              </w:rPr>
              <w:t>52</w:t>
            </w:r>
          </w:p>
        </w:tc>
        <w:tc>
          <w:tcPr>
            <w:tcW w:w="606" w:type="pct"/>
            <w:tcBorders>
              <w:top w:val="nil"/>
              <w:bottom w:val="nil"/>
            </w:tcBorders>
            <w:vAlign w:val="center"/>
          </w:tcPr>
          <w:p w:rsidR="003B7F49" w:rsidRDefault="003B7F49">
            <w:pPr>
              <w:jc w:val="center"/>
              <w:rPr>
                <w:rFonts w:cs="Arial"/>
                <w:sz w:val="20"/>
                <w:szCs w:val="20"/>
              </w:rPr>
            </w:pPr>
            <w:r>
              <w:rPr>
                <w:rFonts w:cs="Arial"/>
                <w:sz w:val="20"/>
                <w:szCs w:val="20"/>
              </w:rPr>
              <w:t>45</w:t>
            </w:r>
          </w:p>
        </w:tc>
        <w:tc>
          <w:tcPr>
            <w:tcW w:w="532" w:type="pct"/>
            <w:tcBorders>
              <w:top w:val="nil"/>
              <w:bottom w:val="nil"/>
            </w:tcBorders>
            <w:vAlign w:val="center"/>
          </w:tcPr>
          <w:p w:rsidR="003B7F49" w:rsidRDefault="003B7F49">
            <w:pPr>
              <w:jc w:val="center"/>
              <w:rPr>
                <w:rFonts w:cs="Arial"/>
                <w:sz w:val="20"/>
                <w:szCs w:val="20"/>
              </w:rPr>
            </w:pPr>
            <w:r>
              <w:rPr>
                <w:rFonts w:cs="Arial"/>
                <w:sz w:val="20"/>
                <w:szCs w:val="20"/>
              </w:rPr>
              <w:t>52</w:t>
            </w:r>
          </w:p>
        </w:tc>
        <w:tc>
          <w:tcPr>
            <w:tcW w:w="525" w:type="pct"/>
            <w:tcBorders>
              <w:top w:val="nil"/>
              <w:bottom w:val="nil"/>
            </w:tcBorders>
            <w:vAlign w:val="center"/>
          </w:tcPr>
          <w:p w:rsidR="003B7F49" w:rsidRDefault="003B7F49">
            <w:pPr>
              <w:jc w:val="center"/>
              <w:rPr>
                <w:rFonts w:cs="Arial"/>
                <w:sz w:val="20"/>
                <w:szCs w:val="20"/>
              </w:rPr>
            </w:pPr>
            <w:r>
              <w:rPr>
                <w:rFonts w:cs="Arial"/>
                <w:sz w:val="20"/>
                <w:szCs w:val="20"/>
              </w:rPr>
              <w:t>54</w:t>
            </w:r>
          </w:p>
        </w:tc>
        <w:tc>
          <w:tcPr>
            <w:tcW w:w="522" w:type="pct"/>
            <w:tcBorders>
              <w:top w:val="nil"/>
              <w:bottom w:val="nil"/>
            </w:tcBorders>
            <w:vAlign w:val="center"/>
          </w:tcPr>
          <w:p w:rsidR="003B7F49" w:rsidRDefault="003B7F49">
            <w:pPr>
              <w:jc w:val="center"/>
              <w:rPr>
                <w:rFonts w:cs="Arial"/>
                <w:sz w:val="20"/>
                <w:szCs w:val="20"/>
              </w:rPr>
            </w:pPr>
            <w:r>
              <w:rPr>
                <w:rFonts w:cs="Arial"/>
                <w:sz w:val="20"/>
                <w:szCs w:val="20"/>
              </w:rPr>
              <w:t>49</w:t>
            </w:r>
          </w:p>
        </w:tc>
        <w:tc>
          <w:tcPr>
            <w:tcW w:w="595" w:type="pct"/>
            <w:tcBorders>
              <w:top w:val="nil"/>
              <w:bottom w:val="nil"/>
            </w:tcBorders>
            <w:vAlign w:val="center"/>
          </w:tcPr>
          <w:p w:rsidR="003B7F49" w:rsidRDefault="003B7F49">
            <w:pPr>
              <w:jc w:val="center"/>
              <w:rPr>
                <w:rFonts w:cs="Arial"/>
                <w:sz w:val="20"/>
                <w:szCs w:val="20"/>
              </w:rPr>
            </w:pPr>
            <w:r>
              <w:rPr>
                <w:rFonts w:cs="Arial"/>
                <w:sz w:val="20"/>
                <w:szCs w:val="20"/>
              </w:rPr>
              <w:t>37</w:t>
            </w:r>
          </w:p>
        </w:tc>
      </w:tr>
      <w:tr w:rsidR="003B7F49" w:rsidRPr="00405CDE" w:rsidTr="006C5082">
        <w:trPr>
          <w:trHeight w:val="510"/>
        </w:trPr>
        <w:tc>
          <w:tcPr>
            <w:tcW w:w="1100" w:type="pct"/>
            <w:tcBorders>
              <w:top w:val="nil"/>
              <w:bottom w:val="nil"/>
            </w:tcBorders>
            <w:vAlign w:val="center"/>
          </w:tcPr>
          <w:p w:rsidR="003B7F49" w:rsidRDefault="003B7F49">
            <w:pPr>
              <w:rPr>
                <w:rFonts w:cs="Arial"/>
                <w:sz w:val="20"/>
                <w:szCs w:val="20"/>
              </w:rPr>
            </w:pPr>
            <w:r>
              <w:rPr>
                <w:rFonts w:cs="Arial"/>
                <w:sz w:val="20"/>
                <w:szCs w:val="20"/>
              </w:rPr>
              <w:t>Ex post price ($/GJ)</w:t>
            </w:r>
          </w:p>
        </w:tc>
        <w:tc>
          <w:tcPr>
            <w:tcW w:w="597" w:type="pct"/>
            <w:tcBorders>
              <w:top w:val="nil"/>
              <w:bottom w:val="nil"/>
            </w:tcBorders>
            <w:vAlign w:val="center"/>
          </w:tcPr>
          <w:p w:rsidR="003B7F49" w:rsidRDefault="003B7F49">
            <w:pPr>
              <w:jc w:val="center"/>
              <w:rPr>
                <w:rFonts w:cs="Arial"/>
                <w:sz w:val="20"/>
                <w:szCs w:val="20"/>
              </w:rPr>
            </w:pPr>
            <w:r>
              <w:rPr>
                <w:rFonts w:cs="Arial"/>
                <w:sz w:val="20"/>
                <w:szCs w:val="20"/>
              </w:rPr>
              <w:t>4.93</w:t>
            </w:r>
          </w:p>
        </w:tc>
        <w:tc>
          <w:tcPr>
            <w:tcW w:w="523" w:type="pct"/>
            <w:tcBorders>
              <w:top w:val="nil"/>
              <w:bottom w:val="nil"/>
            </w:tcBorders>
            <w:vAlign w:val="center"/>
          </w:tcPr>
          <w:p w:rsidR="003B7F49" w:rsidRDefault="003B7F49">
            <w:pPr>
              <w:jc w:val="center"/>
              <w:rPr>
                <w:rFonts w:cs="Arial"/>
                <w:sz w:val="20"/>
                <w:szCs w:val="20"/>
              </w:rPr>
            </w:pPr>
            <w:r>
              <w:rPr>
                <w:rFonts w:cs="Arial"/>
                <w:sz w:val="20"/>
                <w:szCs w:val="20"/>
              </w:rPr>
              <w:t>4.96</w:t>
            </w:r>
          </w:p>
        </w:tc>
        <w:tc>
          <w:tcPr>
            <w:tcW w:w="606" w:type="pct"/>
            <w:tcBorders>
              <w:top w:val="nil"/>
              <w:bottom w:val="nil"/>
            </w:tcBorders>
            <w:vAlign w:val="center"/>
          </w:tcPr>
          <w:p w:rsidR="003B7F49" w:rsidRDefault="003B7F49">
            <w:pPr>
              <w:jc w:val="center"/>
              <w:rPr>
                <w:rFonts w:cs="Arial"/>
                <w:sz w:val="20"/>
                <w:szCs w:val="20"/>
              </w:rPr>
            </w:pPr>
            <w:r>
              <w:rPr>
                <w:rFonts w:cs="Arial"/>
                <w:sz w:val="20"/>
                <w:szCs w:val="20"/>
              </w:rPr>
              <w:t>4.83</w:t>
            </w:r>
          </w:p>
        </w:tc>
        <w:tc>
          <w:tcPr>
            <w:tcW w:w="532" w:type="pct"/>
            <w:tcBorders>
              <w:top w:val="nil"/>
              <w:bottom w:val="nil"/>
            </w:tcBorders>
            <w:vAlign w:val="center"/>
          </w:tcPr>
          <w:p w:rsidR="003B7F49" w:rsidRDefault="003B7F49">
            <w:pPr>
              <w:jc w:val="center"/>
              <w:rPr>
                <w:rFonts w:cs="Arial"/>
                <w:sz w:val="20"/>
                <w:szCs w:val="20"/>
              </w:rPr>
            </w:pPr>
            <w:r>
              <w:rPr>
                <w:rFonts w:cs="Arial"/>
                <w:sz w:val="20"/>
                <w:szCs w:val="20"/>
              </w:rPr>
              <w:t>3.75</w:t>
            </w:r>
          </w:p>
        </w:tc>
        <w:tc>
          <w:tcPr>
            <w:tcW w:w="525" w:type="pct"/>
            <w:tcBorders>
              <w:top w:val="nil"/>
              <w:bottom w:val="nil"/>
            </w:tcBorders>
            <w:vAlign w:val="center"/>
          </w:tcPr>
          <w:p w:rsidR="003B7F49" w:rsidRDefault="003B7F49">
            <w:pPr>
              <w:jc w:val="center"/>
              <w:rPr>
                <w:rFonts w:cs="Arial"/>
                <w:sz w:val="20"/>
                <w:szCs w:val="20"/>
              </w:rPr>
            </w:pPr>
            <w:r>
              <w:rPr>
                <w:rFonts w:cs="Arial"/>
                <w:sz w:val="20"/>
                <w:szCs w:val="20"/>
              </w:rPr>
              <w:t>4.46</w:t>
            </w:r>
          </w:p>
        </w:tc>
        <w:tc>
          <w:tcPr>
            <w:tcW w:w="522" w:type="pct"/>
            <w:tcBorders>
              <w:top w:val="nil"/>
              <w:bottom w:val="nil"/>
            </w:tcBorders>
            <w:vAlign w:val="center"/>
          </w:tcPr>
          <w:p w:rsidR="003B7F49" w:rsidRDefault="003B7F49">
            <w:pPr>
              <w:jc w:val="center"/>
              <w:rPr>
                <w:rFonts w:cs="Arial"/>
                <w:sz w:val="20"/>
                <w:szCs w:val="20"/>
              </w:rPr>
            </w:pPr>
            <w:r>
              <w:rPr>
                <w:rFonts w:cs="Arial"/>
                <w:sz w:val="20"/>
                <w:szCs w:val="20"/>
              </w:rPr>
              <w:t>5.08</w:t>
            </w:r>
          </w:p>
        </w:tc>
        <w:tc>
          <w:tcPr>
            <w:tcW w:w="595" w:type="pct"/>
            <w:tcBorders>
              <w:top w:val="nil"/>
              <w:bottom w:val="nil"/>
            </w:tcBorders>
            <w:vAlign w:val="center"/>
          </w:tcPr>
          <w:p w:rsidR="003B7F49" w:rsidRDefault="003B7F49">
            <w:pPr>
              <w:jc w:val="center"/>
              <w:rPr>
                <w:rFonts w:cs="Arial"/>
                <w:sz w:val="20"/>
                <w:szCs w:val="20"/>
              </w:rPr>
            </w:pPr>
            <w:r>
              <w:rPr>
                <w:rFonts w:cs="Arial"/>
                <w:sz w:val="20"/>
                <w:szCs w:val="20"/>
              </w:rPr>
              <w:t>5.02</w:t>
            </w:r>
          </w:p>
        </w:tc>
      </w:tr>
      <w:tr w:rsidR="003B7F4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3B7F49" w:rsidRDefault="003B7F4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52</w:t>
            </w:r>
          </w:p>
        </w:tc>
        <w:tc>
          <w:tcPr>
            <w:tcW w:w="523"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60</w:t>
            </w:r>
          </w:p>
        </w:tc>
        <w:tc>
          <w:tcPr>
            <w:tcW w:w="606"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51</w:t>
            </w:r>
          </w:p>
        </w:tc>
        <w:tc>
          <w:tcPr>
            <w:tcW w:w="532"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46</w:t>
            </w:r>
          </w:p>
        </w:tc>
        <w:tc>
          <w:tcPr>
            <w:tcW w:w="525"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53</w:t>
            </w:r>
          </w:p>
        </w:tc>
        <w:tc>
          <w:tcPr>
            <w:tcW w:w="522"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54</w:t>
            </w:r>
          </w:p>
        </w:tc>
        <w:tc>
          <w:tcPr>
            <w:tcW w:w="595"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47</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B0795A" w:rsidP="00362B9A">
      <w:r>
        <w:pict>
          <v:shape id="_x0000_i1035" type="#_x0000_t75" alt="Figure 3.2 shows the daily hub offers and bid in within certain price bands in Adelaide this week. The line indicates the scheduled quantity for each day. For a more detailed description of this figure, please refer to the user guide." style="width:475.5pt;height:170.25pt;mso-position-vertical:absolute">
            <v:imagedata r:id="rId23"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B0795A" w:rsidP="00362B9A">
      <w:r>
        <w:pict>
          <v:shape id="_x0000_i1036" type="#_x0000_t75" alt="Figure 3.3 shows the daily scheduled and allocated quantities sorted by facility for Adelaide this week. For a more detailed description of this figure, please refer to the user guide." style="width:477.75pt;height:105.75pt">
            <v:imagedata r:id="rId24"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B0795A" w:rsidP="00362B9A">
      <w:r>
        <w:pict>
          <v:shape id="_x0000_i1037"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25pt;height:150pt">
            <v:imagedata r:id="rId25"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3B7F49" w:rsidRPr="00405CDE" w:rsidTr="006C5082">
        <w:trPr>
          <w:trHeight w:val="510"/>
        </w:trPr>
        <w:tc>
          <w:tcPr>
            <w:tcW w:w="1100" w:type="pct"/>
            <w:tcBorders>
              <w:top w:val="nil"/>
              <w:bottom w:val="nil"/>
            </w:tcBorders>
            <w:vAlign w:val="center"/>
          </w:tcPr>
          <w:p w:rsidR="003B7F49" w:rsidRDefault="003B7F49">
            <w:pPr>
              <w:rPr>
                <w:rFonts w:cs="Arial"/>
                <w:sz w:val="20"/>
                <w:szCs w:val="20"/>
              </w:rPr>
            </w:pPr>
            <w:r>
              <w:rPr>
                <w:rFonts w:cs="Arial"/>
                <w:sz w:val="20"/>
                <w:szCs w:val="20"/>
              </w:rPr>
              <w:t>Ex ante price ($/GJ)</w:t>
            </w:r>
          </w:p>
        </w:tc>
        <w:tc>
          <w:tcPr>
            <w:tcW w:w="597" w:type="pct"/>
            <w:tcBorders>
              <w:top w:val="nil"/>
              <w:bottom w:val="nil"/>
            </w:tcBorders>
            <w:vAlign w:val="center"/>
          </w:tcPr>
          <w:p w:rsidR="003B7F49" w:rsidRDefault="003B7F49">
            <w:pPr>
              <w:jc w:val="center"/>
              <w:rPr>
                <w:rFonts w:cs="Arial"/>
                <w:sz w:val="20"/>
                <w:szCs w:val="20"/>
              </w:rPr>
            </w:pPr>
            <w:r>
              <w:rPr>
                <w:rFonts w:cs="Arial"/>
                <w:sz w:val="20"/>
                <w:szCs w:val="20"/>
              </w:rPr>
              <w:t>3.53</w:t>
            </w:r>
          </w:p>
        </w:tc>
        <w:tc>
          <w:tcPr>
            <w:tcW w:w="523" w:type="pct"/>
            <w:tcBorders>
              <w:top w:val="nil"/>
              <w:bottom w:val="nil"/>
            </w:tcBorders>
            <w:vAlign w:val="center"/>
          </w:tcPr>
          <w:p w:rsidR="003B7F49" w:rsidRDefault="003B7F49">
            <w:pPr>
              <w:jc w:val="center"/>
              <w:rPr>
                <w:rFonts w:cs="Arial"/>
                <w:sz w:val="20"/>
                <w:szCs w:val="20"/>
              </w:rPr>
            </w:pPr>
            <w:r>
              <w:rPr>
                <w:rFonts w:cs="Arial"/>
                <w:sz w:val="20"/>
                <w:szCs w:val="20"/>
              </w:rPr>
              <w:t>3.00</w:t>
            </w:r>
          </w:p>
        </w:tc>
        <w:tc>
          <w:tcPr>
            <w:tcW w:w="606" w:type="pct"/>
            <w:tcBorders>
              <w:top w:val="nil"/>
              <w:bottom w:val="nil"/>
            </w:tcBorders>
            <w:vAlign w:val="center"/>
          </w:tcPr>
          <w:p w:rsidR="003B7F49" w:rsidRDefault="003B7F49">
            <w:pPr>
              <w:jc w:val="center"/>
              <w:rPr>
                <w:rFonts w:cs="Arial"/>
                <w:sz w:val="20"/>
                <w:szCs w:val="20"/>
              </w:rPr>
            </w:pPr>
            <w:r>
              <w:rPr>
                <w:rFonts w:cs="Arial"/>
                <w:sz w:val="20"/>
                <w:szCs w:val="20"/>
              </w:rPr>
              <w:t>2.76</w:t>
            </w:r>
          </w:p>
        </w:tc>
        <w:tc>
          <w:tcPr>
            <w:tcW w:w="532" w:type="pct"/>
            <w:tcBorders>
              <w:top w:val="nil"/>
              <w:bottom w:val="nil"/>
            </w:tcBorders>
            <w:vAlign w:val="center"/>
          </w:tcPr>
          <w:p w:rsidR="003B7F49" w:rsidRDefault="003B7F49">
            <w:pPr>
              <w:jc w:val="center"/>
              <w:rPr>
                <w:rFonts w:cs="Arial"/>
                <w:sz w:val="20"/>
                <w:szCs w:val="20"/>
              </w:rPr>
            </w:pPr>
            <w:r>
              <w:rPr>
                <w:rFonts w:cs="Arial"/>
                <w:sz w:val="20"/>
                <w:szCs w:val="20"/>
              </w:rPr>
              <w:t>3.46</w:t>
            </w:r>
          </w:p>
        </w:tc>
        <w:tc>
          <w:tcPr>
            <w:tcW w:w="525" w:type="pct"/>
            <w:tcBorders>
              <w:top w:val="nil"/>
              <w:bottom w:val="nil"/>
            </w:tcBorders>
            <w:vAlign w:val="center"/>
          </w:tcPr>
          <w:p w:rsidR="003B7F49" w:rsidRDefault="003B7F49">
            <w:pPr>
              <w:jc w:val="center"/>
              <w:rPr>
                <w:rFonts w:cs="Arial"/>
                <w:sz w:val="20"/>
                <w:szCs w:val="20"/>
              </w:rPr>
            </w:pPr>
            <w:r>
              <w:rPr>
                <w:rFonts w:cs="Arial"/>
                <w:sz w:val="20"/>
                <w:szCs w:val="20"/>
              </w:rPr>
              <w:t>2.46</w:t>
            </w:r>
          </w:p>
        </w:tc>
        <w:tc>
          <w:tcPr>
            <w:tcW w:w="522" w:type="pct"/>
            <w:tcBorders>
              <w:top w:val="nil"/>
              <w:bottom w:val="nil"/>
            </w:tcBorders>
            <w:vAlign w:val="center"/>
          </w:tcPr>
          <w:p w:rsidR="003B7F49" w:rsidRDefault="003B7F49">
            <w:pPr>
              <w:jc w:val="center"/>
              <w:rPr>
                <w:rFonts w:cs="Arial"/>
                <w:sz w:val="20"/>
                <w:szCs w:val="20"/>
              </w:rPr>
            </w:pPr>
            <w:r>
              <w:rPr>
                <w:rFonts w:cs="Arial"/>
                <w:sz w:val="20"/>
                <w:szCs w:val="20"/>
              </w:rPr>
              <w:t>2.56</w:t>
            </w:r>
          </w:p>
        </w:tc>
        <w:tc>
          <w:tcPr>
            <w:tcW w:w="595" w:type="pct"/>
            <w:tcBorders>
              <w:top w:val="nil"/>
              <w:bottom w:val="nil"/>
            </w:tcBorders>
            <w:vAlign w:val="center"/>
          </w:tcPr>
          <w:p w:rsidR="003B7F49" w:rsidRDefault="003B7F49">
            <w:pPr>
              <w:jc w:val="center"/>
              <w:rPr>
                <w:rFonts w:cs="Arial"/>
                <w:sz w:val="20"/>
                <w:szCs w:val="20"/>
              </w:rPr>
            </w:pPr>
            <w:r>
              <w:rPr>
                <w:rFonts w:cs="Arial"/>
                <w:sz w:val="20"/>
                <w:szCs w:val="20"/>
              </w:rPr>
              <w:t>2.10</w:t>
            </w:r>
          </w:p>
        </w:tc>
      </w:tr>
      <w:tr w:rsidR="003B7F4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3B7F49" w:rsidRDefault="003B7F49">
            <w:pPr>
              <w:rPr>
                <w:rFonts w:cs="Arial"/>
                <w:sz w:val="20"/>
                <w:szCs w:val="20"/>
              </w:rPr>
            </w:pPr>
            <w:r>
              <w:rPr>
                <w:rFonts w:cs="Arial"/>
                <w:sz w:val="20"/>
                <w:szCs w:val="20"/>
              </w:rPr>
              <w:t>Ex ante quantity (TJ)</w:t>
            </w:r>
          </w:p>
        </w:tc>
        <w:tc>
          <w:tcPr>
            <w:tcW w:w="597" w:type="pct"/>
            <w:tcBorders>
              <w:top w:val="nil"/>
              <w:bottom w:val="nil"/>
            </w:tcBorders>
            <w:vAlign w:val="center"/>
          </w:tcPr>
          <w:p w:rsidR="003B7F49" w:rsidRDefault="003B7F49">
            <w:pPr>
              <w:jc w:val="center"/>
              <w:rPr>
                <w:rFonts w:cs="Arial"/>
                <w:sz w:val="20"/>
                <w:szCs w:val="20"/>
              </w:rPr>
            </w:pPr>
            <w:r>
              <w:rPr>
                <w:rFonts w:cs="Arial"/>
                <w:sz w:val="20"/>
                <w:szCs w:val="20"/>
              </w:rPr>
              <w:t>77</w:t>
            </w:r>
          </w:p>
        </w:tc>
        <w:tc>
          <w:tcPr>
            <w:tcW w:w="523" w:type="pct"/>
            <w:tcBorders>
              <w:top w:val="nil"/>
              <w:bottom w:val="nil"/>
            </w:tcBorders>
            <w:vAlign w:val="center"/>
          </w:tcPr>
          <w:p w:rsidR="003B7F49" w:rsidRDefault="003B7F49">
            <w:pPr>
              <w:jc w:val="center"/>
              <w:rPr>
                <w:rFonts w:cs="Arial"/>
                <w:sz w:val="20"/>
                <w:szCs w:val="20"/>
              </w:rPr>
            </w:pPr>
            <w:r>
              <w:rPr>
                <w:rFonts w:cs="Arial"/>
                <w:sz w:val="20"/>
                <w:szCs w:val="20"/>
              </w:rPr>
              <w:t>94</w:t>
            </w:r>
          </w:p>
        </w:tc>
        <w:tc>
          <w:tcPr>
            <w:tcW w:w="606" w:type="pct"/>
            <w:tcBorders>
              <w:top w:val="nil"/>
              <w:bottom w:val="nil"/>
            </w:tcBorders>
            <w:vAlign w:val="center"/>
          </w:tcPr>
          <w:p w:rsidR="003B7F49" w:rsidRDefault="003B7F49">
            <w:pPr>
              <w:jc w:val="center"/>
              <w:rPr>
                <w:rFonts w:cs="Arial"/>
                <w:sz w:val="20"/>
                <w:szCs w:val="20"/>
              </w:rPr>
            </w:pPr>
            <w:r>
              <w:rPr>
                <w:rFonts w:cs="Arial"/>
                <w:sz w:val="20"/>
                <w:szCs w:val="20"/>
              </w:rPr>
              <w:t>94</w:t>
            </w:r>
          </w:p>
        </w:tc>
        <w:tc>
          <w:tcPr>
            <w:tcW w:w="532" w:type="pct"/>
            <w:tcBorders>
              <w:top w:val="nil"/>
              <w:bottom w:val="nil"/>
            </w:tcBorders>
            <w:vAlign w:val="center"/>
          </w:tcPr>
          <w:p w:rsidR="003B7F49" w:rsidRDefault="003B7F49">
            <w:pPr>
              <w:jc w:val="center"/>
              <w:rPr>
                <w:rFonts w:cs="Arial"/>
                <w:sz w:val="20"/>
                <w:szCs w:val="20"/>
              </w:rPr>
            </w:pPr>
            <w:r>
              <w:rPr>
                <w:rFonts w:cs="Arial"/>
                <w:sz w:val="20"/>
                <w:szCs w:val="20"/>
              </w:rPr>
              <w:t>90</w:t>
            </w:r>
          </w:p>
        </w:tc>
        <w:tc>
          <w:tcPr>
            <w:tcW w:w="525" w:type="pct"/>
            <w:tcBorders>
              <w:top w:val="nil"/>
              <w:bottom w:val="nil"/>
            </w:tcBorders>
            <w:vAlign w:val="center"/>
          </w:tcPr>
          <w:p w:rsidR="003B7F49" w:rsidRDefault="003B7F49">
            <w:pPr>
              <w:jc w:val="center"/>
              <w:rPr>
                <w:rFonts w:cs="Arial"/>
                <w:sz w:val="20"/>
                <w:szCs w:val="20"/>
              </w:rPr>
            </w:pPr>
            <w:r>
              <w:rPr>
                <w:rFonts w:cs="Arial"/>
                <w:sz w:val="20"/>
                <w:szCs w:val="20"/>
              </w:rPr>
              <w:t>89</w:t>
            </w:r>
          </w:p>
        </w:tc>
        <w:tc>
          <w:tcPr>
            <w:tcW w:w="522" w:type="pct"/>
            <w:tcBorders>
              <w:top w:val="nil"/>
              <w:bottom w:val="nil"/>
            </w:tcBorders>
            <w:vAlign w:val="center"/>
          </w:tcPr>
          <w:p w:rsidR="003B7F49" w:rsidRDefault="003B7F49">
            <w:pPr>
              <w:jc w:val="center"/>
              <w:rPr>
                <w:rFonts w:cs="Arial"/>
                <w:sz w:val="20"/>
                <w:szCs w:val="20"/>
              </w:rPr>
            </w:pPr>
            <w:r>
              <w:rPr>
                <w:rFonts w:cs="Arial"/>
                <w:sz w:val="20"/>
                <w:szCs w:val="20"/>
              </w:rPr>
              <w:t>84</w:t>
            </w:r>
          </w:p>
        </w:tc>
        <w:tc>
          <w:tcPr>
            <w:tcW w:w="595" w:type="pct"/>
            <w:tcBorders>
              <w:top w:val="nil"/>
              <w:bottom w:val="nil"/>
            </w:tcBorders>
            <w:vAlign w:val="center"/>
          </w:tcPr>
          <w:p w:rsidR="003B7F49" w:rsidRDefault="003B7F49">
            <w:pPr>
              <w:jc w:val="center"/>
              <w:rPr>
                <w:rFonts w:cs="Arial"/>
                <w:sz w:val="20"/>
                <w:szCs w:val="20"/>
              </w:rPr>
            </w:pPr>
            <w:r>
              <w:rPr>
                <w:rFonts w:cs="Arial"/>
                <w:sz w:val="20"/>
                <w:szCs w:val="20"/>
              </w:rPr>
              <w:t>72</w:t>
            </w:r>
          </w:p>
        </w:tc>
      </w:tr>
      <w:tr w:rsidR="003B7F49" w:rsidRPr="00405CDE" w:rsidTr="006C5082">
        <w:trPr>
          <w:trHeight w:val="510"/>
        </w:trPr>
        <w:tc>
          <w:tcPr>
            <w:tcW w:w="1100" w:type="pct"/>
            <w:tcBorders>
              <w:top w:val="nil"/>
              <w:bottom w:val="nil"/>
            </w:tcBorders>
            <w:vAlign w:val="center"/>
          </w:tcPr>
          <w:p w:rsidR="003B7F49" w:rsidRDefault="003B7F49">
            <w:pPr>
              <w:rPr>
                <w:rFonts w:cs="Arial"/>
                <w:sz w:val="20"/>
                <w:szCs w:val="20"/>
              </w:rPr>
            </w:pPr>
            <w:r>
              <w:rPr>
                <w:rFonts w:cs="Arial"/>
                <w:sz w:val="20"/>
                <w:szCs w:val="20"/>
              </w:rPr>
              <w:t>Ex post price ($/GJ)</w:t>
            </w:r>
          </w:p>
        </w:tc>
        <w:tc>
          <w:tcPr>
            <w:tcW w:w="597" w:type="pct"/>
            <w:tcBorders>
              <w:top w:val="nil"/>
              <w:bottom w:val="nil"/>
            </w:tcBorders>
            <w:vAlign w:val="center"/>
          </w:tcPr>
          <w:p w:rsidR="003B7F49" w:rsidRDefault="003B7F49">
            <w:pPr>
              <w:jc w:val="center"/>
              <w:rPr>
                <w:rFonts w:cs="Arial"/>
                <w:sz w:val="20"/>
                <w:szCs w:val="20"/>
              </w:rPr>
            </w:pPr>
            <w:r>
              <w:rPr>
                <w:rFonts w:cs="Arial"/>
                <w:sz w:val="20"/>
                <w:szCs w:val="20"/>
              </w:rPr>
              <w:t>3.45</w:t>
            </w:r>
          </w:p>
        </w:tc>
        <w:tc>
          <w:tcPr>
            <w:tcW w:w="523" w:type="pct"/>
            <w:tcBorders>
              <w:top w:val="nil"/>
              <w:bottom w:val="nil"/>
            </w:tcBorders>
            <w:vAlign w:val="center"/>
          </w:tcPr>
          <w:p w:rsidR="003B7F49" w:rsidRDefault="003B7F49">
            <w:pPr>
              <w:jc w:val="center"/>
              <w:rPr>
                <w:rFonts w:cs="Arial"/>
                <w:sz w:val="20"/>
                <w:szCs w:val="20"/>
              </w:rPr>
            </w:pPr>
            <w:r>
              <w:rPr>
                <w:rFonts w:cs="Arial"/>
                <w:sz w:val="20"/>
                <w:szCs w:val="20"/>
              </w:rPr>
              <w:t>2.76</w:t>
            </w:r>
          </w:p>
        </w:tc>
        <w:tc>
          <w:tcPr>
            <w:tcW w:w="606" w:type="pct"/>
            <w:tcBorders>
              <w:top w:val="nil"/>
              <w:bottom w:val="nil"/>
            </w:tcBorders>
            <w:vAlign w:val="center"/>
          </w:tcPr>
          <w:p w:rsidR="003B7F49" w:rsidRDefault="003B7F49">
            <w:pPr>
              <w:jc w:val="center"/>
              <w:rPr>
                <w:rFonts w:cs="Arial"/>
                <w:sz w:val="20"/>
                <w:szCs w:val="20"/>
              </w:rPr>
            </w:pPr>
            <w:r>
              <w:rPr>
                <w:rFonts w:cs="Arial"/>
                <w:sz w:val="20"/>
                <w:szCs w:val="20"/>
              </w:rPr>
              <w:t>2.15</w:t>
            </w:r>
          </w:p>
        </w:tc>
        <w:tc>
          <w:tcPr>
            <w:tcW w:w="532" w:type="pct"/>
            <w:tcBorders>
              <w:top w:val="nil"/>
              <w:bottom w:val="nil"/>
            </w:tcBorders>
            <w:vAlign w:val="center"/>
          </w:tcPr>
          <w:p w:rsidR="003B7F49" w:rsidRDefault="003B7F49">
            <w:pPr>
              <w:jc w:val="center"/>
              <w:rPr>
                <w:rFonts w:cs="Arial"/>
                <w:sz w:val="20"/>
                <w:szCs w:val="20"/>
              </w:rPr>
            </w:pPr>
            <w:r>
              <w:rPr>
                <w:rFonts w:cs="Arial"/>
                <w:sz w:val="20"/>
                <w:szCs w:val="20"/>
              </w:rPr>
              <w:t>3.01</w:t>
            </w:r>
          </w:p>
        </w:tc>
        <w:tc>
          <w:tcPr>
            <w:tcW w:w="525" w:type="pct"/>
            <w:tcBorders>
              <w:top w:val="nil"/>
              <w:bottom w:val="nil"/>
            </w:tcBorders>
            <w:vAlign w:val="center"/>
          </w:tcPr>
          <w:p w:rsidR="003B7F49" w:rsidRDefault="003B7F49">
            <w:pPr>
              <w:jc w:val="center"/>
              <w:rPr>
                <w:rFonts w:cs="Arial"/>
                <w:sz w:val="20"/>
                <w:szCs w:val="20"/>
              </w:rPr>
            </w:pPr>
            <w:r>
              <w:rPr>
                <w:rFonts w:cs="Arial"/>
                <w:sz w:val="20"/>
                <w:szCs w:val="20"/>
              </w:rPr>
              <w:t>2.46</w:t>
            </w:r>
          </w:p>
        </w:tc>
        <w:tc>
          <w:tcPr>
            <w:tcW w:w="522" w:type="pct"/>
            <w:tcBorders>
              <w:top w:val="nil"/>
              <w:bottom w:val="nil"/>
            </w:tcBorders>
            <w:vAlign w:val="center"/>
          </w:tcPr>
          <w:p w:rsidR="003B7F49" w:rsidRDefault="003B7F49">
            <w:pPr>
              <w:jc w:val="center"/>
              <w:rPr>
                <w:rFonts w:cs="Arial"/>
                <w:sz w:val="20"/>
                <w:szCs w:val="20"/>
              </w:rPr>
            </w:pPr>
            <w:r>
              <w:rPr>
                <w:rFonts w:cs="Arial"/>
                <w:sz w:val="20"/>
                <w:szCs w:val="20"/>
              </w:rPr>
              <w:t>2.56</w:t>
            </w:r>
          </w:p>
        </w:tc>
        <w:tc>
          <w:tcPr>
            <w:tcW w:w="595" w:type="pct"/>
            <w:tcBorders>
              <w:top w:val="nil"/>
              <w:bottom w:val="nil"/>
            </w:tcBorders>
            <w:vAlign w:val="center"/>
          </w:tcPr>
          <w:p w:rsidR="003B7F49" w:rsidRDefault="003B7F49">
            <w:pPr>
              <w:jc w:val="center"/>
              <w:rPr>
                <w:rFonts w:cs="Arial"/>
                <w:sz w:val="20"/>
                <w:szCs w:val="20"/>
              </w:rPr>
            </w:pPr>
            <w:r>
              <w:rPr>
                <w:rFonts w:cs="Arial"/>
                <w:sz w:val="20"/>
                <w:szCs w:val="20"/>
              </w:rPr>
              <w:t>3.44</w:t>
            </w:r>
          </w:p>
        </w:tc>
      </w:tr>
      <w:tr w:rsidR="003B7F4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3B7F49" w:rsidRDefault="003B7F4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74</w:t>
            </w:r>
          </w:p>
        </w:tc>
        <w:tc>
          <w:tcPr>
            <w:tcW w:w="523"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88</w:t>
            </w:r>
          </w:p>
        </w:tc>
        <w:tc>
          <w:tcPr>
            <w:tcW w:w="606"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87</w:t>
            </w:r>
          </w:p>
        </w:tc>
        <w:tc>
          <w:tcPr>
            <w:tcW w:w="532"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89</w:t>
            </w:r>
          </w:p>
        </w:tc>
        <w:tc>
          <w:tcPr>
            <w:tcW w:w="525"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89</w:t>
            </w:r>
          </w:p>
        </w:tc>
        <w:tc>
          <w:tcPr>
            <w:tcW w:w="522"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86</w:t>
            </w:r>
          </w:p>
        </w:tc>
        <w:tc>
          <w:tcPr>
            <w:tcW w:w="595" w:type="pct"/>
            <w:tcBorders>
              <w:top w:val="nil"/>
              <w:bottom w:val="single" w:sz="4" w:space="0" w:color="auto"/>
            </w:tcBorders>
            <w:vAlign w:val="center"/>
          </w:tcPr>
          <w:p w:rsidR="003B7F49" w:rsidRDefault="003B7F49">
            <w:pPr>
              <w:jc w:val="center"/>
              <w:rPr>
                <w:rFonts w:cs="Arial"/>
                <w:sz w:val="20"/>
                <w:szCs w:val="20"/>
              </w:rPr>
            </w:pPr>
            <w:r>
              <w:rPr>
                <w:rFonts w:cs="Arial"/>
                <w:sz w:val="20"/>
                <w:szCs w:val="20"/>
              </w:rPr>
              <w:t>77</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B0795A" w:rsidP="00362B9A">
      <w:r>
        <w:pict>
          <v:shape id="_x0000_i1038" type="#_x0000_t75" alt="Figure 4.2 shows the daily hub offers and bid in within certain price bands in Brisbane this week. The line indicates the scheduled quantity for each day. For a more detailed description of this figure, please refer to the user guide." style="width:475.5pt;height:170.25pt;mso-position-vertical:absolute">
            <v:imagedata r:id="rId26"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B0795A" w:rsidP="00362B9A">
      <w:r>
        <w:pict>
          <v:shape id="_x0000_i1039" type="#_x0000_t75" alt="Figure 4.3 shows the daily scheduled and allocated quantities sorted by facility for Brisbane this week. For a more detailed description of this figure, please refer to the user guide." style="width:478.5pt;height:98.25pt">
            <v:imagedata r:id="rId27"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B0795A" w:rsidP="00362B9A">
      <w:r>
        <w:pict>
          <v:shape id="_x0000_i1040"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5pt;height:155.2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0"/>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B0795A" w:rsidP="00FB3934">
      <w:r>
        <w:rPr>
          <w:noProof/>
        </w:rPr>
        <w:pict>
          <v:shape id="_x0000_i1041"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5.75pt;height:544.5pt;mso-position-vertical:absolute">
            <v:imagedata r:id="rId29"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817E48" w:rsidRDefault="00817E48" w:rsidP="00345444">
      <w:pPr>
        <w:jc w:val="both"/>
        <w:rPr>
          <w:rFonts w:eastAsia="MS Mincho"/>
        </w:rPr>
      </w:pPr>
      <w:r w:rsidRPr="00817E48">
        <w:rPr>
          <w:rFonts w:eastAsia="MS Mincho"/>
        </w:rPr>
        <w:t>There were 16 trades this week for 146 TJ of gas at a volume weighted average price of $2.60/GJ (30 TJ on SWQP at $2.57/GJ, 116 TJ on RBP at $2.60/GJ including 3 weekly trades).</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2"/>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B0795A" w:rsidP="00E37A86">
      <w:r>
        <w:rPr>
          <w:rFonts w:eastAsia="MS Mincho"/>
        </w:rPr>
        <w:pict>
          <v:shape id="_x0000_i1042" type="#_x0000_t75" alt="Figure 6.1 shows the daily volume of gas traded on each pipeline in the Wallumbilla Gas Supply Hub. The quantities displayed are shown for both the day the gas is traded over the current week and the gas day on which gas has been shipped." style="width:475.5pt;height:201pt">
            <v:imagedata r:id="rId30" o:title=""/>
          </v:shape>
        </w:pict>
      </w:r>
      <w:r w:rsidR="00E37A86" w:rsidRPr="006520EE">
        <w:t xml:space="preserve"> </w:t>
      </w:r>
    </w:p>
    <w:sectPr w:rsidR="009E74E3" w:rsidRPr="006520EE" w:rsidSect="00D635F1">
      <w:footerReference w:type="default" r:id="rId31"/>
      <w:footerReference w:type="first" r:id="rId3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B0795A">
      <w:rPr>
        <w:noProof/>
      </w:rPr>
      <w:t>2</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B0795A">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EF7ADF">
      <w:rPr>
        <w:rFonts w:cs="Arial"/>
        <w:i/>
      </w:rPr>
      <w:t>D15/</w:t>
    </w:r>
    <w:r w:rsidR="00EF7ADF" w:rsidRPr="00EF7ADF">
      <w:rPr>
        <w:rFonts w:cs="Arial"/>
        <w:i/>
      </w:rPr>
      <w:t>186496</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657BD3" w:rsidRDefault="00657BD3" w:rsidP="00DF6B00">
      <w:pPr>
        <w:pStyle w:val="FootnoteText"/>
        <w:jc w:val="both"/>
      </w:pPr>
      <w:r>
        <w:rPr>
          <w:rStyle w:val="FootnoteReference"/>
        </w:rPr>
        <w:footnoteRef/>
      </w:r>
      <w:r>
        <w:tab/>
      </w:r>
      <w:r w:rsidRPr="009D5FAF">
        <w:rPr>
          <w:sz w:val="18"/>
        </w:rPr>
        <w:t>Production at Bellevue (QCLNG) was suspended, decreasing gas supply by around 190 TJ. Production at Fairview (GLNG) decreased by around 200 TJ from 30 November, before gradually ramping up again by the end of the week as GLNG pipeline flows increased.</w:t>
      </w:r>
    </w:p>
  </w:footnote>
  <w:footnote w:id="3">
    <w:p w:rsidR="00EE257B" w:rsidRDefault="00EE257B" w:rsidP="00EE257B">
      <w:pPr>
        <w:pStyle w:val="FootnoteText"/>
        <w:jc w:val="both"/>
      </w:pPr>
      <w:r>
        <w:rPr>
          <w:rStyle w:val="FootnoteReference"/>
        </w:rPr>
        <w:footnoteRef/>
      </w:r>
      <w:r>
        <w:tab/>
      </w:r>
      <w:r w:rsidRPr="001C0854">
        <w:rPr>
          <w:sz w:val="18"/>
        </w:rPr>
        <w:t xml:space="preserve">QCLNG flows on the Wallumbilla to Gladstone Pipeline halved, decreasing to around 750 TJ/day from 1 December. </w:t>
      </w:r>
      <w:r>
        <w:rPr>
          <w:sz w:val="18"/>
        </w:rPr>
        <w:t>F</w:t>
      </w:r>
      <w:r w:rsidRPr="001C0854">
        <w:rPr>
          <w:sz w:val="18"/>
        </w:rPr>
        <w:t xml:space="preserve">lows on the GLNG Gas Transmission Pipeline decreased briefly, falling from around 650 TJ on 30 Nov to around 200 TJ on 2 Dec, before ramping up again by the end of the week. </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5">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6">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7">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8">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0">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91453B" w:rsidRPr="007300C3" w:rsidRDefault="0091453B"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79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9 November – 5 December 2015.docx"/>
  </w:docVars>
  <w:rsids>
    <w:rsidRoot w:val="005F18AD"/>
    <w:rsid w:val="000013C1"/>
    <w:rsid w:val="00001BFB"/>
    <w:rsid w:val="00002313"/>
    <w:rsid w:val="00004A63"/>
    <w:rsid w:val="00010025"/>
    <w:rsid w:val="000123CA"/>
    <w:rsid w:val="00020978"/>
    <w:rsid w:val="0002268D"/>
    <w:rsid w:val="00023457"/>
    <w:rsid w:val="00027115"/>
    <w:rsid w:val="000323BA"/>
    <w:rsid w:val="00033456"/>
    <w:rsid w:val="00040F6B"/>
    <w:rsid w:val="000552AF"/>
    <w:rsid w:val="00055584"/>
    <w:rsid w:val="000611F2"/>
    <w:rsid w:val="00061656"/>
    <w:rsid w:val="0006609A"/>
    <w:rsid w:val="00073D01"/>
    <w:rsid w:val="00076046"/>
    <w:rsid w:val="000813BF"/>
    <w:rsid w:val="0008491C"/>
    <w:rsid w:val="00085092"/>
    <w:rsid w:val="00086406"/>
    <w:rsid w:val="000876E7"/>
    <w:rsid w:val="000919C4"/>
    <w:rsid w:val="00093854"/>
    <w:rsid w:val="00097297"/>
    <w:rsid w:val="000974A2"/>
    <w:rsid w:val="00097D40"/>
    <w:rsid w:val="000B255F"/>
    <w:rsid w:val="000B4A1F"/>
    <w:rsid w:val="000B6397"/>
    <w:rsid w:val="000B69E0"/>
    <w:rsid w:val="000B7FAF"/>
    <w:rsid w:val="000C564F"/>
    <w:rsid w:val="000D1FEB"/>
    <w:rsid w:val="000E1F9A"/>
    <w:rsid w:val="000E4F28"/>
    <w:rsid w:val="000F0BBB"/>
    <w:rsid w:val="000F2287"/>
    <w:rsid w:val="000F3B46"/>
    <w:rsid w:val="000F59F8"/>
    <w:rsid w:val="000F5F5E"/>
    <w:rsid w:val="000F6D05"/>
    <w:rsid w:val="00113D67"/>
    <w:rsid w:val="00117C98"/>
    <w:rsid w:val="00125818"/>
    <w:rsid w:val="001420EB"/>
    <w:rsid w:val="001452B3"/>
    <w:rsid w:val="00150A19"/>
    <w:rsid w:val="00150EA4"/>
    <w:rsid w:val="00153729"/>
    <w:rsid w:val="00157AFD"/>
    <w:rsid w:val="001608BE"/>
    <w:rsid w:val="00170DE1"/>
    <w:rsid w:val="00171BD5"/>
    <w:rsid w:val="0017667C"/>
    <w:rsid w:val="00180340"/>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0854"/>
    <w:rsid w:val="001C0F9F"/>
    <w:rsid w:val="001C5A74"/>
    <w:rsid w:val="001E79FF"/>
    <w:rsid w:val="001F0F9B"/>
    <w:rsid w:val="002052B6"/>
    <w:rsid w:val="00206559"/>
    <w:rsid w:val="002168D4"/>
    <w:rsid w:val="00223B23"/>
    <w:rsid w:val="00224CC2"/>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2F4DEB"/>
    <w:rsid w:val="0030240F"/>
    <w:rsid w:val="0030385A"/>
    <w:rsid w:val="00311A09"/>
    <w:rsid w:val="00314A8B"/>
    <w:rsid w:val="0032174C"/>
    <w:rsid w:val="00323327"/>
    <w:rsid w:val="00330B70"/>
    <w:rsid w:val="003330C6"/>
    <w:rsid w:val="003348F7"/>
    <w:rsid w:val="00336E8E"/>
    <w:rsid w:val="0033722C"/>
    <w:rsid w:val="00340A49"/>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B7F49"/>
    <w:rsid w:val="003C26A7"/>
    <w:rsid w:val="003C5272"/>
    <w:rsid w:val="003C5482"/>
    <w:rsid w:val="003D07DC"/>
    <w:rsid w:val="003D59BF"/>
    <w:rsid w:val="003E313D"/>
    <w:rsid w:val="003F3391"/>
    <w:rsid w:val="003F44AD"/>
    <w:rsid w:val="003F44B7"/>
    <w:rsid w:val="003F51E6"/>
    <w:rsid w:val="003F7FD2"/>
    <w:rsid w:val="0040076C"/>
    <w:rsid w:val="004055AC"/>
    <w:rsid w:val="00411C3F"/>
    <w:rsid w:val="004149DB"/>
    <w:rsid w:val="00417EC5"/>
    <w:rsid w:val="00421FFF"/>
    <w:rsid w:val="00433231"/>
    <w:rsid w:val="00434FC1"/>
    <w:rsid w:val="004420C4"/>
    <w:rsid w:val="00442756"/>
    <w:rsid w:val="0044493C"/>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A2AE8"/>
    <w:rsid w:val="004B068E"/>
    <w:rsid w:val="004B18D8"/>
    <w:rsid w:val="004B2256"/>
    <w:rsid w:val="004B2A1A"/>
    <w:rsid w:val="004B6D60"/>
    <w:rsid w:val="004D09C9"/>
    <w:rsid w:val="004D0D0D"/>
    <w:rsid w:val="004D1EBF"/>
    <w:rsid w:val="004D3B99"/>
    <w:rsid w:val="004D3E78"/>
    <w:rsid w:val="004E20BF"/>
    <w:rsid w:val="004F3D13"/>
    <w:rsid w:val="00501C37"/>
    <w:rsid w:val="00502181"/>
    <w:rsid w:val="00502C09"/>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A1650"/>
    <w:rsid w:val="005A4569"/>
    <w:rsid w:val="005A4751"/>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27701"/>
    <w:rsid w:val="00645036"/>
    <w:rsid w:val="00647DD2"/>
    <w:rsid w:val="006520EE"/>
    <w:rsid w:val="00652A42"/>
    <w:rsid w:val="006540A8"/>
    <w:rsid w:val="00657BD3"/>
    <w:rsid w:val="00667050"/>
    <w:rsid w:val="006705A4"/>
    <w:rsid w:val="006722EB"/>
    <w:rsid w:val="00686F6E"/>
    <w:rsid w:val="00697E41"/>
    <w:rsid w:val="006A5317"/>
    <w:rsid w:val="006A7228"/>
    <w:rsid w:val="006B004C"/>
    <w:rsid w:val="006C1858"/>
    <w:rsid w:val="006C242A"/>
    <w:rsid w:val="006C2B2B"/>
    <w:rsid w:val="006C4950"/>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32886"/>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19BB"/>
    <w:rsid w:val="007A1CF6"/>
    <w:rsid w:val="007A24B5"/>
    <w:rsid w:val="007A51E1"/>
    <w:rsid w:val="007A7E7A"/>
    <w:rsid w:val="007B7771"/>
    <w:rsid w:val="007D470C"/>
    <w:rsid w:val="007D4B14"/>
    <w:rsid w:val="007D4F53"/>
    <w:rsid w:val="007E52F7"/>
    <w:rsid w:val="007E5F68"/>
    <w:rsid w:val="007F0280"/>
    <w:rsid w:val="007F09A8"/>
    <w:rsid w:val="0080456D"/>
    <w:rsid w:val="00811D1C"/>
    <w:rsid w:val="008133CF"/>
    <w:rsid w:val="008170C0"/>
    <w:rsid w:val="00817E48"/>
    <w:rsid w:val="00822990"/>
    <w:rsid w:val="00827B09"/>
    <w:rsid w:val="008344A6"/>
    <w:rsid w:val="00875D0C"/>
    <w:rsid w:val="008776EF"/>
    <w:rsid w:val="00882958"/>
    <w:rsid w:val="008936C5"/>
    <w:rsid w:val="00895965"/>
    <w:rsid w:val="008A6DB5"/>
    <w:rsid w:val="008B4A16"/>
    <w:rsid w:val="008B7161"/>
    <w:rsid w:val="008B7507"/>
    <w:rsid w:val="008C0EC8"/>
    <w:rsid w:val="008C268E"/>
    <w:rsid w:val="008C7F3A"/>
    <w:rsid w:val="008D39F4"/>
    <w:rsid w:val="008D4DAB"/>
    <w:rsid w:val="008D70A4"/>
    <w:rsid w:val="008E2239"/>
    <w:rsid w:val="008E24DA"/>
    <w:rsid w:val="008E38C3"/>
    <w:rsid w:val="008F4BF5"/>
    <w:rsid w:val="008F4EAE"/>
    <w:rsid w:val="008F5134"/>
    <w:rsid w:val="008F5409"/>
    <w:rsid w:val="00900CEB"/>
    <w:rsid w:val="00903620"/>
    <w:rsid w:val="009136B3"/>
    <w:rsid w:val="009143E0"/>
    <w:rsid w:val="0091453B"/>
    <w:rsid w:val="009178A1"/>
    <w:rsid w:val="00936A7B"/>
    <w:rsid w:val="00937543"/>
    <w:rsid w:val="00942622"/>
    <w:rsid w:val="00942640"/>
    <w:rsid w:val="00950C55"/>
    <w:rsid w:val="00951926"/>
    <w:rsid w:val="00956CE9"/>
    <w:rsid w:val="009629B5"/>
    <w:rsid w:val="00976584"/>
    <w:rsid w:val="00987973"/>
    <w:rsid w:val="00990F83"/>
    <w:rsid w:val="00991A36"/>
    <w:rsid w:val="009962A0"/>
    <w:rsid w:val="009A04DD"/>
    <w:rsid w:val="009B2F99"/>
    <w:rsid w:val="009B4053"/>
    <w:rsid w:val="009B48FB"/>
    <w:rsid w:val="009B6259"/>
    <w:rsid w:val="009B77E9"/>
    <w:rsid w:val="009B7937"/>
    <w:rsid w:val="009C2C0E"/>
    <w:rsid w:val="009C30E2"/>
    <w:rsid w:val="009C4CBD"/>
    <w:rsid w:val="009C7F8C"/>
    <w:rsid w:val="009D2B17"/>
    <w:rsid w:val="009D5FAF"/>
    <w:rsid w:val="009D7763"/>
    <w:rsid w:val="009D7D0F"/>
    <w:rsid w:val="009E18FE"/>
    <w:rsid w:val="009E6F4A"/>
    <w:rsid w:val="009E74E3"/>
    <w:rsid w:val="009F43B1"/>
    <w:rsid w:val="009F4655"/>
    <w:rsid w:val="009F4DF7"/>
    <w:rsid w:val="009F6FA3"/>
    <w:rsid w:val="00A006EC"/>
    <w:rsid w:val="00A01F03"/>
    <w:rsid w:val="00A0223D"/>
    <w:rsid w:val="00A074CC"/>
    <w:rsid w:val="00A13F97"/>
    <w:rsid w:val="00A156EE"/>
    <w:rsid w:val="00A200D0"/>
    <w:rsid w:val="00A26940"/>
    <w:rsid w:val="00A270DD"/>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D3EBD"/>
    <w:rsid w:val="00AE03A4"/>
    <w:rsid w:val="00AE2D5A"/>
    <w:rsid w:val="00AE309F"/>
    <w:rsid w:val="00AE4633"/>
    <w:rsid w:val="00AE748C"/>
    <w:rsid w:val="00AF191C"/>
    <w:rsid w:val="00AF2164"/>
    <w:rsid w:val="00AF2281"/>
    <w:rsid w:val="00B00058"/>
    <w:rsid w:val="00B0795A"/>
    <w:rsid w:val="00B1081E"/>
    <w:rsid w:val="00B16118"/>
    <w:rsid w:val="00B1788D"/>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3B05"/>
    <w:rsid w:val="00B947DF"/>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E6523"/>
    <w:rsid w:val="00BE76B0"/>
    <w:rsid w:val="00BF1D01"/>
    <w:rsid w:val="00BF3080"/>
    <w:rsid w:val="00C14652"/>
    <w:rsid w:val="00C21D81"/>
    <w:rsid w:val="00C26B1D"/>
    <w:rsid w:val="00C26E38"/>
    <w:rsid w:val="00C3163F"/>
    <w:rsid w:val="00C35403"/>
    <w:rsid w:val="00C560C2"/>
    <w:rsid w:val="00C60857"/>
    <w:rsid w:val="00C71E13"/>
    <w:rsid w:val="00C75920"/>
    <w:rsid w:val="00C80FD8"/>
    <w:rsid w:val="00C83657"/>
    <w:rsid w:val="00C859CC"/>
    <w:rsid w:val="00C94431"/>
    <w:rsid w:val="00C9498F"/>
    <w:rsid w:val="00CA0EE1"/>
    <w:rsid w:val="00CB0C0E"/>
    <w:rsid w:val="00CC300D"/>
    <w:rsid w:val="00CC385B"/>
    <w:rsid w:val="00CC4A35"/>
    <w:rsid w:val="00CD2051"/>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5ED6"/>
    <w:rsid w:val="00D67440"/>
    <w:rsid w:val="00D71951"/>
    <w:rsid w:val="00D76436"/>
    <w:rsid w:val="00D76CFD"/>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7D62"/>
    <w:rsid w:val="00DF6B00"/>
    <w:rsid w:val="00E01475"/>
    <w:rsid w:val="00E032F3"/>
    <w:rsid w:val="00E16C03"/>
    <w:rsid w:val="00E2040E"/>
    <w:rsid w:val="00E2256B"/>
    <w:rsid w:val="00E27FEA"/>
    <w:rsid w:val="00E31F5E"/>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4A92"/>
    <w:rsid w:val="00EA6E29"/>
    <w:rsid w:val="00EB0E81"/>
    <w:rsid w:val="00ED5E08"/>
    <w:rsid w:val="00EE257B"/>
    <w:rsid w:val="00EE2B5F"/>
    <w:rsid w:val="00EE51D2"/>
    <w:rsid w:val="00EE6F2C"/>
    <w:rsid w:val="00EF1711"/>
    <w:rsid w:val="00EF4E45"/>
    <w:rsid w:val="00EF58A8"/>
    <w:rsid w:val="00EF5A5D"/>
    <w:rsid w:val="00EF6B0C"/>
    <w:rsid w:val="00EF7ADF"/>
    <w:rsid w:val="00F01843"/>
    <w:rsid w:val="00F02D8D"/>
    <w:rsid w:val="00F114D5"/>
    <w:rsid w:val="00F16C55"/>
    <w:rsid w:val="00F25FA8"/>
    <w:rsid w:val="00F3007C"/>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A124F"/>
    <w:rsid w:val="00FB3934"/>
    <w:rsid w:val="00FB594A"/>
    <w:rsid w:val="00FB7DD0"/>
    <w:rsid w:val="00FC4B88"/>
    <w:rsid w:val="00FD08B1"/>
    <w:rsid w:val="00FD7009"/>
    <w:rsid w:val="00FD7231"/>
    <w:rsid w:val="00FE0150"/>
    <w:rsid w:val="00FE69CC"/>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hyperlink" Target="http://www.aer.gov.au/node/45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92F546B.dotm</Template>
  <TotalTime>0</TotalTime>
  <Pages>12</Pages>
  <Words>1862</Words>
  <Characters>8855</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10696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2015-12-21T05:52:00Z</dcterms:created>
  <dcterms:modified xsi:type="dcterms:W3CDTF">2015-12-21T06:05:00Z</dcterms:modified>
</cp:coreProperties>
</file>