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0C4" w:rsidRPr="004420C4" w:rsidRDefault="005F3BF2" w:rsidP="004420C4">
      <w:pPr>
        <w:pStyle w:val="Heading1"/>
        <w:numPr>
          <w:ilvl w:val="0"/>
          <w:numId w:val="0"/>
        </w:numPr>
        <w:spacing w:before="120" w:after="0"/>
        <w:ind w:left="142"/>
        <w:rPr>
          <w:color w:val="FFFFFF"/>
          <w:sz w:val="36"/>
        </w:rPr>
      </w:pPr>
      <w:bookmarkStart w:id="0" w:name="OLE_LINK66"/>
      <w:bookmarkStart w:id="1" w:name="OLE_LINK67"/>
      <w:r>
        <w:rPr>
          <w:noProof/>
          <w:color w:va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4" type="#_x0000_t75" alt="Australian Energy Regulator logo" style="position:absolute;left:0;text-align:left;margin-left:-.55pt;margin-top:5.5pt;width:476.25pt;height:77.25pt;z-index:-251649024;mso-position-horizontal-relative:text;mso-position-vertical-relative:text">
            <v:imagedata r:id="rId9" o:title="AER-header for report templates"/>
          </v:shape>
        </w:pict>
      </w:r>
      <w:r>
        <w:rPr>
          <w:noProof/>
          <w:color w:val="FFFFFF"/>
          <w:sz w:val="36"/>
        </w:rPr>
        <w:pict>
          <v:shape id="_x0000_s1093" type="#_x0000_t75" style="position:absolute;left:0;text-align:left;margin-left:720.75pt;margin-top:282.05pt;width:386.3pt;height:299.3pt;z-index:251666432;mso-position-horizontal-relative:text;mso-position-vertical-relative:text" fillcolor="black" strokecolor="white" strokeweight="3e-5mm">
            <v:imagedata r:id="rId10" o:title=""/>
            <o:lock v:ext="edit" rotation="t"/>
          </v:shape>
        </w:pict>
      </w:r>
      <w:r w:rsidR="004420C4" w:rsidRPr="004420C4">
        <w:rPr>
          <w:color w:val="FFFFFF"/>
          <w:sz w:val="36"/>
        </w:rPr>
        <w:t>Gas Market Report</w:t>
      </w:r>
    </w:p>
    <w:p w:rsidR="004420C4" w:rsidRDefault="004420C4" w:rsidP="004420C4"/>
    <w:p w:rsidR="004420C4" w:rsidRDefault="004420C4" w:rsidP="004420C4"/>
    <w:p w:rsidR="004420C4" w:rsidRDefault="004420C4" w:rsidP="004420C4"/>
    <w:p w:rsidR="004420C4" w:rsidRPr="00AC3047" w:rsidRDefault="00DE51DF" w:rsidP="004420C4">
      <w:pPr>
        <w:pStyle w:val="Heading2"/>
        <w:numPr>
          <w:ilvl w:val="0"/>
          <w:numId w:val="0"/>
        </w:numPr>
        <w:rPr>
          <w:i w:val="0"/>
        </w:rPr>
      </w:pPr>
      <w:r>
        <w:rPr>
          <w:i w:val="0"/>
          <w:sz w:val="36"/>
          <w:szCs w:val="36"/>
        </w:rPr>
        <w:t>29 May – 4 June 2016</w:t>
      </w:r>
    </w:p>
    <w:p w:rsidR="00A67716" w:rsidRDefault="00A67716" w:rsidP="00D1641C">
      <w:pPr>
        <w:pStyle w:val="Heading1"/>
        <w:numPr>
          <w:ilvl w:val="0"/>
          <w:numId w:val="0"/>
        </w:numPr>
        <w:spacing w:before="0" w:after="120"/>
        <w:rPr>
          <w:rFonts w:cs="Times New Roman"/>
          <w:noProof/>
          <w:color w:val="2272A3"/>
          <w:kern w:val="0"/>
          <w:szCs w:val="20"/>
          <w:lang w:eastAsia="en-US"/>
        </w:rPr>
      </w:pPr>
      <w:r w:rsidRPr="00AF2164">
        <w:rPr>
          <w:rFonts w:cs="Times New Roman"/>
          <w:noProof/>
          <w:color w:val="2272A3"/>
          <w:kern w:val="0"/>
          <w:szCs w:val="20"/>
          <w:lang w:eastAsia="en-US"/>
        </w:rPr>
        <w:t>Wee</w:t>
      </w:r>
      <w:r w:rsidR="00AF2164" w:rsidRPr="00AF2164">
        <w:rPr>
          <w:rFonts w:cs="Times New Roman"/>
          <w:noProof/>
          <w:color w:val="2272A3"/>
          <w:kern w:val="0"/>
          <w:szCs w:val="20"/>
          <w:lang w:eastAsia="en-US"/>
        </w:rPr>
        <w:t>kly summary</w:t>
      </w:r>
    </w:p>
    <w:p w:rsidR="00D276BC" w:rsidRDefault="00902CFF" w:rsidP="00345444">
      <w:pPr>
        <w:pStyle w:val="AERbodytext"/>
        <w:spacing w:line="240" w:lineRule="auto"/>
        <w:jc w:val="both"/>
        <w:rPr>
          <w:color w:val="FF0000"/>
        </w:rPr>
      </w:pPr>
      <w:r w:rsidRPr="00463C71">
        <w:t>Following high prices in all markets last week, average prices increased this week in all regions. The most significant increase</w:t>
      </w:r>
      <w:r w:rsidR="00207E40">
        <w:t>s</w:t>
      </w:r>
      <w:r w:rsidRPr="00463C71">
        <w:t xml:space="preserve"> occurred</w:t>
      </w:r>
      <w:r w:rsidR="00463C71" w:rsidRPr="00463C71">
        <w:t xml:space="preserve"> in Victoria and Brisbane </w:t>
      </w:r>
      <w:r w:rsidR="003D744E">
        <w:t xml:space="preserve">where gas prices were </w:t>
      </w:r>
      <w:r w:rsidR="00463C71" w:rsidRPr="00463C71">
        <w:t>31 per cent and 26 per cent higher.</w:t>
      </w:r>
      <w:r w:rsidR="00463C71">
        <w:rPr>
          <w:color w:val="FF0000"/>
        </w:rPr>
        <w:t xml:space="preserve"> </w:t>
      </w:r>
    </w:p>
    <w:p w:rsidR="00AF2164" w:rsidRPr="00A35D90" w:rsidRDefault="00463C71" w:rsidP="00345444">
      <w:pPr>
        <w:pStyle w:val="AERbodytext"/>
        <w:spacing w:line="240" w:lineRule="auto"/>
        <w:jc w:val="both"/>
      </w:pPr>
      <w:r w:rsidRPr="00A35D90">
        <w:t xml:space="preserve">In addition to higher market demand influencing price increases, higher GPG output in Victoria and Brisbane (and continued high output in Adelaide) occurred across the week. This </w:t>
      </w:r>
      <w:r w:rsidR="00A35D90">
        <w:t>coincided with</w:t>
      </w:r>
      <w:r w:rsidRPr="00A35D90">
        <w:t xml:space="preserve"> a number of baseload generation outages in the National Electricity Market (NEM). Low temperatures would have </w:t>
      </w:r>
      <w:r w:rsidR="00A35D90">
        <w:t xml:space="preserve">further </w:t>
      </w:r>
      <w:r w:rsidR="00A6674A" w:rsidRPr="00A35D90">
        <w:t>contributed to</w:t>
      </w:r>
      <w:r w:rsidRPr="00A35D90">
        <w:t xml:space="preserve"> higher </w:t>
      </w:r>
      <w:r w:rsidR="00A6674A" w:rsidRPr="00A35D90">
        <w:t xml:space="preserve">gas </w:t>
      </w:r>
      <w:r w:rsidRPr="00A35D90">
        <w:t>market demand in the southern regions.</w:t>
      </w:r>
    </w:p>
    <w:p w:rsidR="00D276BC" w:rsidRPr="00A35D90" w:rsidRDefault="00A35D90" w:rsidP="00D276BC">
      <w:pPr>
        <w:jc w:val="both"/>
      </w:pPr>
      <w:r w:rsidRPr="00A35D90">
        <w:t xml:space="preserve">There </w:t>
      </w:r>
      <w:r>
        <w:t>have also been recent</w:t>
      </w:r>
      <w:r w:rsidRPr="00A35D90">
        <w:t xml:space="preserve"> increase</w:t>
      </w:r>
      <w:r>
        <w:t>s</w:t>
      </w:r>
      <w:r w:rsidRPr="00A35D90">
        <w:t xml:space="preserve"> </w:t>
      </w:r>
      <w:r>
        <w:t>to</w:t>
      </w:r>
      <w:r w:rsidRPr="00A35D90">
        <w:t xml:space="preserve"> flows on the LNG export pipelines</w:t>
      </w:r>
      <w:r>
        <w:t>.</w:t>
      </w:r>
      <w:r w:rsidR="00D276BC" w:rsidRPr="00A35D90">
        <w:t xml:space="preserve"> GLNG</w:t>
      </w:r>
      <w:r>
        <w:t>’s 2</w:t>
      </w:r>
      <w:r w:rsidRPr="00A35D90">
        <w:rPr>
          <w:vertAlign w:val="superscript"/>
        </w:rPr>
        <w:t>nd</w:t>
      </w:r>
      <w:r>
        <w:t xml:space="preserve"> </w:t>
      </w:r>
      <w:r w:rsidR="00D276BC" w:rsidRPr="00A35D90">
        <w:t>train c</w:t>
      </w:r>
      <w:r>
        <w:t>a</w:t>
      </w:r>
      <w:r w:rsidR="00D276BC" w:rsidRPr="00A35D90">
        <w:t>m</w:t>
      </w:r>
      <w:r>
        <w:t xml:space="preserve">e </w:t>
      </w:r>
      <w:r w:rsidR="00D276BC" w:rsidRPr="00A35D90">
        <w:t>online in the previous week</w:t>
      </w:r>
      <w:r w:rsidRPr="00A35D90">
        <w:t>,</w:t>
      </w:r>
      <w:r w:rsidR="00D276BC" w:rsidRPr="00A35D90">
        <w:t xml:space="preserve"> and the conclusion of an outage on an APLNG train</w:t>
      </w:r>
      <w:r w:rsidRPr="00A35D90">
        <w:t>,</w:t>
      </w:r>
      <w:r w:rsidR="00D276BC" w:rsidRPr="00A35D90">
        <w:t xml:space="preserve"> influenc</w:t>
      </w:r>
      <w:r w:rsidRPr="00A35D90">
        <w:t>ed</w:t>
      </w:r>
      <w:r w:rsidR="00D276BC" w:rsidRPr="00A35D90">
        <w:t xml:space="preserve"> higher export demand over the past fortnight.</w:t>
      </w:r>
      <w:r w:rsidR="00316208" w:rsidRPr="00A35D90">
        <w:t xml:space="preserve"> Figure 5.1 shows the large increase in average daily production at Roma coinciding with the higher export levels</w:t>
      </w:r>
      <w:r>
        <w:t xml:space="preserve"> and GPG demand</w:t>
      </w:r>
      <w:r w:rsidR="00316208" w:rsidRPr="00A35D90">
        <w:t>.</w:t>
      </w:r>
    </w:p>
    <w:p w:rsidR="00D276BC" w:rsidRPr="00A35D90" w:rsidRDefault="00A35D90" w:rsidP="00D276BC">
      <w:pPr>
        <w:jc w:val="both"/>
      </w:pPr>
      <w:r>
        <w:t>Following a lull in trades at Wallumbilla across May, there was an i</w:t>
      </w:r>
      <w:r w:rsidR="00BA1185">
        <w:t>ncrease</w:t>
      </w:r>
      <w:r w:rsidR="00D276BC" w:rsidRPr="00A35D90">
        <w:t xml:space="preserve"> </w:t>
      </w:r>
      <w:r w:rsidR="00BA1185">
        <w:t>in traded quantities this week with a number of trades on the RBP matched at $7/GJ or higher.</w:t>
      </w:r>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AF2164">
        <w:rPr>
          <w:rFonts w:cs="Times New Roman"/>
          <w:noProof/>
          <w:color w:val="2272A3"/>
          <w:kern w:val="0"/>
          <w:szCs w:val="20"/>
          <w:lang w:eastAsia="en-US"/>
        </w:rPr>
        <w:t>Long term statistics and explanatory mate</w:t>
      </w:r>
      <w:r w:rsidR="007D470C">
        <w:rPr>
          <w:rFonts w:cs="Times New Roman"/>
          <w:noProof/>
          <w:color w:val="2272A3"/>
          <w:kern w:val="0"/>
          <w:szCs w:val="20"/>
          <w:lang w:eastAsia="en-US"/>
        </w:rPr>
        <w:t>rial</w:t>
      </w:r>
    </w:p>
    <w:p w:rsidR="00AF2164" w:rsidRPr="00AF2164" w:rsidRDefault="00AF2164" w:rsidP="00FF0D8A">
      <w:pPr>
        <w:jc w:val="both"/>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D1641C">
        <w:rPr>
          <w:rFonts w:cs="Times New Roman"/>
          <w:noProof/>
          <w:color w:val="2272A3"/>
          <w:kern w:val="0"/>
          <w:szCs w:val="20"/>
          <w:lang w:eastAsia="en-US"/>
        </w:rPr>
        <w:t>Market overview</w:t>
      </w:r>
    </w:p>
    <w:p w:rsidR="00D1641C" w:rsidRDefault="00D1641C" w:rsidP="00FF0D8A">
      <w:pPr>
        <w:jc w:val="both"/>
        <w:rPr>
          <w:szCs w:val="22"/>
        </w:rPr>
      </w:pPr>
      <w:r w:rsidRPr="008D4DAB">
        <w:t xml:space="preserve">Figure 1 sets out the average daily prices ($/GJ) in the Victorian Declared Wholesale Market </w:t>
      </w:r>
      <w:r w:rsidRPr="000F2287">
        <w:rPr>
          <w:b/>
          <w:szCs w:val="22"/>
        </w:rPr>
        <w:t>(VGM or Victorian gas market)</w:t>
      </w:r>
      <w:r w:rsidRPr="000F2287">
        <w:rPr>
          <w:szCs w:val="22"/>
        </w:rPr>
        <w:t xml:space="preserve"> and for the Sydney </w:t>
      </w:r>
      <w:r w:rsidRPr="000F2287">
        <w:rPr>
          <w:b/>
          <w:szCs w:val="22"/>
        </w:rPr>
        <w:t>(SYD)</w:t>
      </w:r>
      <w:r w:rsidRPr="000F2287">
        <w:rPr>
          <w:szCs w:val="22"/>
        </w:rPr>
        <w:t xml:space="preserve">, Adelaide </w:t>
      </w:r>
      <w:r w:rsidRPr="000F2287">
        <w:rPr>
          <w:b/>
          <w:szCs w:val="22"/>
        </w:rPr>
        <w:t xml:space="preserve">(ADL) </w:t>
      </w:r>
      <w:r w:rsidRPr="000F2287">
        <w:rPr>
          <w:szCs w:val="22"/>
        </w:rPr>
        <w:t xml:space="preserve">and Brisbane </w:t>
      </w:r>
      <w:r w:rsidRPr="000F2287">
        <w:rPr>
          <w:b/>
          <w:szCs w:val="22"/>
        </w:rPr>
        <w:t xml:space="preserve">(BRI) </w:t>
      </w:r>
      <w:r w:rsidRPr="000F2287">
        <w:rPr>
          <w:szCs w:val="22"/>
        </w:rPr>
        <w:t xml:space="preserve">Short Term Trading Market hubs </w:t>
      </w:r>
      <w:r w:rsidRPr="000F2287">
        <w:rPr>
          <w:b/>
          <w:szCs w:val="22"/>
        </w:rPr>
        <w:t>(STTM)</w:t>
      </w:r>
      <w:r w:rsidRPr="000F2287">
        <w:rPr>
          <w:szCs w:val="22"/>
        </w:rPr>
        <w:t xml:space="preserve"> for the current week compared to historical averages.</w:t>
      </w:r>
    </w:p>
    <w:p w:rsidR="00D1641C" w:rsidRDefault="00D1641C" w:rsidP="006E7E57">
      <w:pPr>
        <w:pStyle w:val="Heading2"/>
        <w:ind w:firstLine="0"/>
        <w:rPr>
          <w:i w:val="0"/>
          <w:color w:val="2272A3"/>
          <w:sz w:val="24"/>
          <w:szCs w:val="24"/>
        </w:rPr>
      </w:pPr>
      <w:r w:rsidRPr="006E7E57">
        <w:rPr>
          <w:i w:val="0"/>
          <w:color w:val="2272A3"/>
          <w:sz w:val="24"/>
          <w:szCs w:val="24"/>
        </w:rPr>
        <w:t>Average daily prices – all markets ($/GJ)</w:t>
      </w:r>
      <w:r w:rsidRPr="006E7E57">
        <w:rPr>
          <w:i w:val="0"/>
          <w:color w:val="2272A3"/>
          <w:sz w:val="24"/>
          <w:szCs w:val="24"/>
          <w:vertAlign w:val="superscript"/>
        </w:rPr>
        <w:footnoteReference w:id="1"/>
      </w:r>
    </w:p>
    <w:tbl>
      <w:tblPr>
        <w:tblStyle w:val="AERTable-Text0"/>
        <w:tblW w:w="4858" w:type="pct"/>
        <w:tblLook w:val="04A0" w:firstRow="1" w:lastRow="0" w:firstColumn="1" w:lastColumn="0" w:noHBand="0" w:noVBand="1"/>
      </w:tblPr>
      <w:tblGrid>
        <w:gridCol w:w="3650"/>
        <w:gridCol w:w="1420"/>
        <w:gridCol w:w="1418"/>
        <w:gridCol w:w="1418"/>
        <w:gridCol w:w="1558"/>
      </w:tblGrid>
      <w:tr w:rsidR="003F44B7" w:rsidRPr="00DC24BF" w:rsidTr="003F44B7">
        <w:trPr>
          <w:cnfStyle w:val="100000000000" w:firstRow="1" w:lastRow="0" w:firstColumn="0" w:lastColumn="0" w:oddVBand="0" w:evenVBand="0" w:oddHBand="0" w:evenHBand="0" w:firstRowFirstColumn="0" w:firstRowLastColumn="0" w:lastRowFirstColumn="0" w:lastRowLastColumn="0"/>
          <w:tblHeader/>
        </w:trPr>
        <w:tc>
          <w:tcPr>
            <w:tcW w:w="1928" w:type="pct"/>
            <w:tcBorders>
              <w:bottom w:val="nil"/>
            </w:tcBorders>
            <w:hideMark/>
          </w:tcPr>
          <w:p w:rsidR="003F44B7" w:rsidRPr="00DC24BF" w:rsidRDefault="003F44B7" w:rsidP="00EE2945">
            <w:pPr>
              <w:pStyle w:val="TableHeading"/>
              <w:jc w:val="center"/>
              <w:rPr>
                <w:rFonts w:cs="Arial"/>
                <w:sz w:val="20"/>
                <w:szCs w:val="20"/>
              </w:rPr>
            </w:pPr>
            <w:r>
              <w:rPr>
                <w:rFonts w:cs="Arial"/>
                <w:sz w:val="20"/>
                <w:szCs w:val="20"/>
              </w:rPr>
              <w:t>Region</w:t>
            </w:r>
          </w:p>
        </w:tc>
        <w:tc>
          <w:tcPr>
            <w:tcW w:w="750" w:type="pct"/>
            <w:tcBorders>
              <w:bottom w:val="nil"/>
            </w:tcBorders>
          </w:tcPr>
          <w:p w:rsidR="003F44B7" w:rsidRPr="00936A7B" w:rsidRDefault="003F44B7" w:rsidP="00EE2945">
            <w:pPr>
              <w:jc w:val="center"/>
              <w:rPr>
                <w:sz w:val="20"/>
              </w:rPr>
            </w:pPr>
            <w:r w:rsidRPr="00936A7B">
              <w:rPr>
                <w:sz w:val="20"/>
              </w:rPr>
              <w:t>Victoria</w:t>
            </w:r>
          </w:p>
        </w:tc>
        <w:tc>
          <w:tcPr>
            <w:tcW w:w="749" w:type="pct"/>
            <w:tcBorders>
              <w:bottom w:val="nil"/>
            </w:tcBorders>
            <w:hideMark/>
          </w:tcPr>
          <w:p w:rsidR="003F44B7" w:rsidRPr="00936A7B" w:rsidRDefault="003F44B7" w:rsidP="00EE2945">
            <w:pPr>
              <w:jc w:val="center"/>
              <w:rPr>
                <w:sz w:val="20"/>
              </w:rPr>
            </w:pPr>
            <w:r w:rsidRPr="00936A7B">
              <w:rPr>
                <w:sz w:val="20"/>
              </w:rPr>
              <w:t>Sydney</w:t>
            </w:r>
          </w:p>
        </w:tc>
        <w:tc>
          <w:tcPr>
            <w:tcW w:w="749" w:type="pct"/>
            <w:tcBorders>
              <w:bottom w:val="nil"/>
            </w:tcBorders>
            <w:hideMark/>
          </w:tcPr>
          <w:p w:rsidR="003F44B7" w:rsidRPr="00936A7B" w:rsidRDefault="003F44B7" w:rsidP="00EE2945">
            <w:pPr>
              <w:jc w:val="center"/>
              <w:rPr>
                <w:sz w:val="20"/>
              </w:rPr>
            </w:pPr>
            <w:r w:rsidRPr="00936A7B">
              <w:rPr>
                <w:sz w:val="20"/>
              </w:rPr>
              <w:t>Adelaide</w:t>
            </w:r>
          </w:p>
        </w:tc>
        <w:tc>
          <w:tcPr>
            <w:tcW w:w="823" w:type="pct"/>
            <w:tcBorders>
              <w:bottom w:val="nil"/>
            </w:tcBorders>
            <w:hideMark/>
          </w:tcPr>
          <w:p w:rsidR="003F44B7" w:rsidRPr="00936A7B" w:rsidRDefault="003F44B7" w:rsidP="00EE2945">
            <w:pPr>
              <w:jc w:val="center"/>
              <w:rPr>
                <w:sz w:val="20"/>
              </w:rPr>
            </w:pPr>
            <w:r w:rsidRPr="00936A7B">
              <w:rPr>
                <w:sz w:val="20"/>
              </w:rPr>
              <w:t>Brisbane</w:t>
            </w:r>
          </w:p>
        </w:tc>
      </w:tr>
      <w:tr w:rsidR="00011210" w:rsidRPr="0091453B" w:rsidTr="00EE2945">
        <w:trPr>
          <w:trHeight w:val="510"/>
        </w:trPr>
        <w:tc>
          <w:tcPr>
            <w:tcW w:w="1928" w:type="pct"/>
            <w:tcBorders>
              <w:top w:val="nil"/>
              <w:bottom w:val="nil"/>
            </w:tcBorders>
            <w:vAlign w:val="center"/>
          </w:tcPr>
          <w:p w:rsidR="00011210" w:rsidRDefault="00011210">
            <w:pPr>
              <w:rPr>
                <w:rFonts w:cs="Arial"/>
                <w:sz w:val="20"/>
                <w:szCs w:val="20"/>
              </w:rPr>
            </w:pPr>
            <w:r>
              <w:rPr>
                <w:rFonts w:cs="Arial"/>
                <w:sz w:val="20"/>
                <w:szCs w:val="20"/>
              </w:rPr>
              <w:t>29 May - 04 Jun 2016</w:t>
            </w:r>
          </w:p>
        </w:tc>
        <w:tc>
          <w:tcPr>
            <w:tcW w:w="750" w:type="pct"/>
            <w:tcBorders>
              <w:top w:val="nil"/>
              <w:bottom w:val="nil"/>
            </w:tcBorders>
            <w:vAlign w:val="center"/>
          </w:tcPr>
          <w:p w:rsidR="00011210" w:rsidRDefault="00011210">
            <w:pPr>
              <w:jc w:val="center"/>
              <w:rPr>
                <w:rFonts w:cs="Arial"/>
                <w:sz w:val="20"/>
                <w:szCs w:val="20"/>
              </w:rPr>
            </w:pPr>
            <w:r>
              <w:rPr>
                <w:rFonts w:cs="Arial"/>
                <w:sz w:val="20"/>
                <w:szCs w:val="20"/>
              </w:rPr>
              <w:t>7.48</w:t>
            </w:r>
          </w:p>
        </w:tc>
        <w:tc>
          <w:tcPr>
            <w:tcW w:w="749" w:type="pct"/>
            <w:tcBorders>
              <w:top w:val="nil"/>
              <w:bottom w:val="nil"/>
            </w:tcBorders>
            <w:vAlign w:val="center"/>
          </w:tcPr>
          <w:p w:rsidR="00011210" w:rsidRDefault="00011210">
            <w:pPr>
              <w:jc w:val="center"/>
              <w:rPr>
                <w:rFonts w:cs="Arial"/>
                <w:sz w:val="20"/>
                <w:szCs w:val="20"/>
              </w:rPr>
            </w:pPr>
            <w:r>
              <w:rPr>
                <w:rFonts w:cs="Arial"/>
                <w:sz w:val="20"/>
                <w:szCs w:val="20"/>
              </w:rPr>
              <w:t>7.57</w:t>
            </w:r>
          </w:p>
        </w:tc>
        <w:tc>
          <w:tcPr>
            <w:tcW w:w="749" w:type="pct"/>
            <w:tcBorders>
              <w:top w:val="nil"/>
              <w:bottom w:val="nil"/>
            </w:tcBorders>
            <w:vAlign w:val="center"/>
          </w:tcPr>
          <w:p w:rsidR="00011210" w:rsidRDefault="00011210">
            <w:pPr>
              <w:jc w:val="center"/>
              <w:rPr>
                <w:rFonts w:cs="Arial"/>
                <w:sz w:val="20"/>
                <w:szCs w:val="20"/>
              </w:rPr>
            </w:pPr>
            <w:r>
              <w:rPr>
                <w:rFonts w:cs="Arial"/>
                <w:sz w:val="20"/>
                <w:szCs w:val="20"/>
              </w:rPr>
              <w:t>8.31</w:t>
            </w:r>
          </w:p>
        </w:tc>
        <w:tc>
          <w:tcPr>
            <w:tcW w:w="823" w:type="pct"/>
            <w:tcBorders>
              <w:top w:val="nil"/>
              <w:bottom w:val="nil"/>
            </w:tcBorders>
            <w:vAlign w:val="center"/>
          </w:tcPr>
          <w:p w:rsidR="00011210" w:rsidRDefault="00011210">
            <w:pPr>
              <w:jc w:val="center"/>
              <w:rPr>
                <w:rFonts w:cs="Arial"/>
                <w:sz w:val="20"/>
                <w:szCs w:val="20"/>
              </w:rPr>
            </w:pPr>
            <w:r>
              <w:rPr>
                <w:rFonts w:cs="Arial"/>
                <w:sz w:val="20"/>
                <w:szCs w:val="20"/>
              </w:rPr>
              <w:t>6.99</w:t>
            </w:r>
          </w:p>
        </w:tc>
      </w:tr>
      <w:tr w:rsidR="00011210" w:rsidRPr="0091453B" w:rsidTr="00EE2945">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nil"/>
            </w:tcBorders>
            <w:vAlign w:val="center"/>
          </w:tcPr>
          <w:p w:rsidR="00011210" w:rsidRDefault="00011210">
            <w:pPr>
              <w:rPr>
                <w:rFonts w:cs="Arial"/>
                <w:sz w:val="20"/>
                <w:szCs w:val="20"/>
              </w:rPr>
            </w:pPr>
            <w:r>
              <w:rPr>
                <w:rFonts w:cs="Arial"/>
                <w:sz w:val="20"/>
                <w:szCs w:val="20"/>
              </w:rPr>
              <w:t>% change from previous week</w:t>
            </w:r>
          </w:p>
        </w:tc>
        <w:tc>
          <w:tcPr>
            <w:tcW w:w="750" w:type="pct"/>
            <w:tcBorders>
              <w:top w:val="nil"/>
              <w:bottom w:val="nil"/>
            </w:tcBorders>
            <w:vAlign w:val="center"/>
          </w:tcPr>
          <w:p w:rsidR="00011210" w:rsidRDefault="00011210">
            <w:pPr>
              <w:jc w:val="center"/>
              <w:rPr>
                <w:rFonts w:cs="Arial"/>
                <w:sz w:val="20"/>
                <w:szCs w:val="20"/>
              </w:rPr>
            </w:pPr>
            <w:r>
              <w:rPr>
                <w:rFonts w:cs="Arial"/>
                <w:sz w:val="20"/>
                <w:szCs w:val="20"/>
              </w:rPr>
              <w:t>31</w:t>
            </w:r>
          </w:p>
        </w:tc>
        <w:tc>
          <w:tcPr>
            <w:tcW w:w="749" w:type="pct"/>
            <w:tcBorders>
              <w:top w:val="nil"/>
              <w:bottom w:val="nil"/>
            </w:tcBorders>
            <w:vAlign w:val="center"/>
          </w:tcPr>
          <w:p w:rsidR="00011210" w:rsidRDefault="00011210">
            <w:pPr>
              <w:jc w:val="center"/>
              <w:rPr>
                <w:rFonts w:cs="Arial"/>
                <w:sz w:val="20"/>
                <w:szCs w:val="20"/>
              </w:rPr>
            </w:pPr>
            <w:r>
              <w:rPr>
                <w:rFonts w:cs="Arial"/>
                <w:sz w:val="20"/>
                <w:szCs w:val="20"/>
              </w:rPr>
              <w:t>13</w:t>
            </w:r>
          </w:p>
        </w:tc>
        <w:tc>
          <w:tcPr>
            <w:tcW w:w="749" w:type="pct"/>
            <w:tcBorders>
              <w:top w:val="nil"/>
              <w:bottom w:val="nil"/>
            </w:tcBorders>
            <w:vAlign w:val="center"/>
          </w:tcPr>
          <w:p w:rsidR="00011210" w:rsidRDefault="00011210">
            <w:pPr>
              <w:jc w:val="center"/>
              <w:rPr>
                <w:rFonts w:cs="Arial"/>
                <w:sz w:val="20"/>
                <w:szCs w:val="20"/>
              </w:rPr>
            </w:pPr>
            <w:r>
              <w:rPr>
                <w:rFonts w:cs="Arial"/>
                <w:sz w:val="20"/>
                <w:szCs w:val="20"/>
              </w:rPr>
              <w:t>13</w:t>
            </w:r>
          </w:p>
        </w:tc>
        <w:tc>
          <w:tcPr>
            <w:tcW w:w="823" w:type="pct"/>
            <w:tcBorders>
              <w:top w:val="nil"/>
              <w:bottom w:val="nil"/>
            </w:tcBorders>
            <w:vAlign w:val="center"/>
          </w:tcPr>
          <w:p w:rsidR="00011210" w:rsidRDefault="00011210">
            <w:pPr>
              <w:jc w:val="center"/>
              <w:rPr>
                <w:rFonts w:cs="Arial"/>
                <w:sz w:val="20"/>
                <w:szCs w:val="20"/>
              </w:rPr>
            </w:pPr>
            <w:r>
              <w:rPr>
                <w:rFonts w:cs="Arial"/>
                <w:sz w:val="20"/>
                <w:szCs w:val="20"/>
              </w:rPr>
              <w:t>26</w:t>
            </w:r>
          </w:p>
        </w:tc>
      </w:tr>
      <w:tr w:rsidR="00011210" w:rsidRPr="0091453B" w:rsidTr="00EE2945">
        <w:trPr>
          <w:trHeight w:val="510"/>
        </w:trPr>
        <w:tc>
          <w:tcPr>
            <w:tcW w:w="1928" w:type="pct"/>
            <w:tcBorders>
              <w:top w:val="nil"/>
              <w:bottom w:val="nil"/>
            </w:tcBorders>
            <w:vAlign w:val="center"/>
          </w:tcPr>
          <w:p w:rsidR="00011210" w:rsidRDefault="00011210">
            <w:pPr>
              <w:rPr>
                <w:rFonts w:cs="Arial"/>
                <w:sz w:val="20"/>
                <w:szCs w:val="20"/>
              </w:rPr>
            </w:pPr>
            <w:r>
              <w:rPr>
                <w:rFonts w:cs="Arial"/>
                <w:sz w:val="20"/>
                <w:szCs w:val="20"/>
              </w:rPr>
              <w:t>15-16 financial YTD</w:t>
            </w:r>
          </w:p>
        </w:tc>
        <w:tc>
          <w:tcPr>
            <w:tcW w:w="750" w:type="pct"/>
            <w:tcBorders>
              <w:top w:val="nil"/>
              <w:bottom w:val="nil"/>
            </w:tcBorders>
            <w:vAlign w:val="center"/>
          </w:tcPr>
          <w:p w:rsidR="00011210" w:rsidRDefault="00011210">
            <w:pPr>
              <w:jc w:val="center"/>
              <w:rPr>
                <w:rFonts w:cs="Arial"/>
                <w:sz w:val="20"/>
                <w:szCs w:val="20"/>
              </w:rPr>
            </w:pPr>
            <w:r>
              <w:rPr>
                <w:rFonts w:cs="Arial"/>
                <w:sz w:val="20"/>
                <w:szCs w:val="20"/>
              </w:rPr>
              <w:t>4.60</w:t>
            </w:r>
          </w:p>
        </w:tc>
        <w:tc>
          <w:tcPr>
            <w:tcW w:w="749" w:type="pct"/>
            <w:tcBorders>
              <w:top w:val="nil"/>
              <w:bottom w:val="nil"/>
            </w:tcBorders>
            <w:vAlign w:val="center"/>
          </w:tcPr>
          <w:p w:rsidR="00011210" w:rsidRDefault="00011210">
            <w:pPr>
              <w:jc w:val="center"/>
              <w:rPr>
                <w:rFonts w:cs="Arial"/>
                <w:sz w:val="20"/>
                <w:szCs w:val="20"/>
              </w:rPr>
            </w:pPr>
            <w:r>
              <w:rPr>
                <w:rFonts w:cs="Arial"/>
                <w:sz w:val="20"/>
                <w:szCs w:val="20"/>
              </w:rPr>
              <w:t>4.74</w:t>
            </w:r>
          </w:p>
        </w:tc>
        <w:tc>
          <w:tcPr>
            <w:tcW w:w="749" w:type="pct"/>
            <w:tcBorders>
              <w:top w:val="nil"/>
              <w:bottom w:val="nil"/>
            </w:tcBorders>
            <w:vAlign w:val="center"/>
          </w:tcPr>
          <w:p w:rsidR="00011210" w:rsidRDefault="00011210">
            <w:pPr>
              <w:jc w:val="center"/>
              <w:rPr>
                <w:rFonts w:cs="Arial"/>
                <w:sz w:val="20"/>
                <w:szCs w:val="20"/>
              </w:rPr>
            </w:pPr>
            <w:r>
              <w:rPr>
                <w:rFonts w:cs="Arial"/>
                <w:sz w:val="20"/>
                <w:szCs w:val="20"/>
              </w:rPr>
              <w:t>5.46</w:t>
            </w:r>
          </w:p>
        </w:tc>
        <w:tc>
          <w:tcPr>
            <w:tcW w:w="823" w:type="pct"/>
            <w:tcBorders>
              <w:top w:val="nil"/>
              <w:bottom w:val="nil"/>
            </w:tcBorders>
            <w:vAlign w:val="center"/>
          </w:tcPr>
          <w:p w:rsidR="00011210" w:rsidRDefault="00011210">
            <w:pPr>
              <w:jc w:val="center"/>
              <w:rPr>
                <w:rFonts w:cs="Arial"/>
                <w:sz w:val="20"/>
                <w:szCs w:val="20"/>
              </w:rPr>
            </w:pPr>
            <w:r>
              <w:rPr>
                <w:rFonts w:cs="Arial"/>
                <w:sz w:val="20"/>
                <w:szCs w:val="20"/>
              </w:rPr>
              <w:t>4.39</w:t>
            </w:r>
          </w:p>
        </w:tc>
      </w:tr>
      <w:tr w:rsidR="00011210" w:rsidRPr="0091453B" w:rsidTr="00EE2945">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single" w:sz="4" w:space="0" w:color="auto"/>
            </w:tcBorders>
            <w:vAlign w:val="center"/>
          </w:tcPr>
          <w:p w:rsidR="00011210" w:rsidRDefault="00011210">
            <w:pPr>
              <w:rPr>
                <w:rFonts w:cs="Arial"/>
                <w:sz w:val="20"/>
                <w:szCs w:val="20"/>
              </w:rPr>
            </w:pPr>
            <w:r>
              <w:rPr>
                <w:rFonts w:cs="Arial"/>
                <w:sz w:val="20"/>
                <w:szCs w:val="20"/>
              </w:rPr>
              <w:t>% change from previous financial YTD</w:t>
            </w:r>
          </w:p>
        </w:tc>
        <w:tc>
          <w:tcPr>
            <w:tcW w:w="750" w:type="pct"/>
            <w:tcBorders>
              <w:top w:val="nil"/>
              <w:bottom w:val="single" w:sz="4" w:space="0" w:color="auto"/>
            </w:tcBorders>
            <w:vAlign w:val="center"/>
          </w:tcPr>
          <w:p w:rsidR="00011210" w:rsidRDefault="00011210">
            <w:pPr>
              <w:jc w:val="center"/>
              <w:rPr>
                <w:rFonts w:cs="Arial"/>
                <w:sz w:val="20"/>
                <w:szCs w:val="20"/>
              </w:rPr>
            </w:pPr>
            <w:r>
              <w:rPr>
                <w:rFonts w:cs="Arial"/>
                <w:sz w:val="20"/>
                <w:szCs w:val="20"/>
              </w:rPr>
              <w:t>28</w:t>
            </w:r>
          </w:p>
        </w:tc>
        <w:tc>
          <w:tcPr>
            <w:tcW w:w="749" w:type="pct"/>
            <w:tcBorders>
              <w:top w:val="nil"/>
              <w:bottom w:val="single" w:sz="4" w:space="0" w:color="auto"/>
            </w:tcBorders>
            <w:vAlign w:val="center"/>
          </w:tcPr>
          <w:p w:rsidR="00011210" w:rsidRDefault="00011210">
            <w:pPr>
              <w:jc w:val="center"/>
              <w:rPr>
                <w:rFonts w:cs="Arial"/>
                <w:sz w:val="20"/>
                <w:szCs w:val="20"/>
              </w:rPr>
            </w:pPr>
            <w:r>
              <w:rPr>
                <w:rFonts w:cs="Arial"/>
                <w:sz w:val="20"/>
                <w:szCs w:val="20"/>
              </w:rPr>
              <w:t>40</w:t>
            </w:r>
          </w:p>
        </w:tc>
        <w:tc>
          <w:tcPr>
            <w:tcW w:w="749" w:type="pct"/>
            <w:tcBorders>
              <w:top w:val="nil"/>
              <w:bottom w:val="single" w:sz="4" w:space="0" w:color="auto"/>
            </w:tcBorders>
            <w:vAlign w:val="center"/>
          </w:tcPr>
          <w:p w:rsidR="00011210" w:rsidRDefault="00011210">
            <w:pPr>
              <w:jc w:val="center"/>
              <w:rPr>
                <w:rFonts w:cs="Arial"/>
                <w:sz w:val="20"/>
                <w:szCs w:val="20"/>
              </w:rPr>
            </w:pPr>
            <w:r>
              <w:rPr>
                <w:rFonts w:cs="Arial"/>
                <w:sz w:val="20"/>
                <w:szCs w:val="20"/>
              </w:rPr>
              <w:t>47</w:t>
            </w:r>
          </w:p>
        </w:tc>
        <w:tc>
          <w:tcPr>
            <w:tcW w:w="823" w:type="pct"/>
            <w:tcBorders>
              <w:top w:val="nil"/>
              <w:bottom w:val="single" w:sz="4" w:space="0" w:color="auto"/>
            </w:tcBorders>
            <w:vAlign w:val="center"/>
          </w:tcPr>
          <w:p w:rsidR="00011210" w:rsidRDefault="00011210">
            <w:pPr>
              <w:jc w:val="center"/>
              <w:rPr>
                <w:rFonts w:cs="Arial"/>
                <w:sz w:val="20"/>
                <w:szCs w:val="20"/>
              </w:rPr>
            </w:pPr>
            <w:r>
              <w:rPr>
                <w:rFonts w:cs="Arial"/>
                <w:sz w:val="20"/>
                <w:szCs w:val="20"/>
              </w:rPr>
              <w:t>88</w:t>
            </w:r>
          </w:p>
        </w:tc>
      </w:tr>
    </w:tbl>
    <w:p w:rsidR="00FF0D8A" w:rsidRDefault="00FF0D8A" w:rsidP="00FF0D8A">
      <w:pPr>
        <w:pStyle w:val="AERbodytext"/>
        <w:spacing w:before="120" w:after="120"/>
        <w:jc w:val="both"/>
      </w:pPr>
      <w:r>
        <w:lastRenderedPageBreak/>
        <w:t>Figure</w:t>
      </w:r>
      <w:r w:rsidRPr="008D4DAB">
        <w:t xml:space="preserve"> 2 compare</w:t>
      </w:r>
      <w:r>
        <w:t>s</w:t>
      </w:r>
      <w:r w:rsidRPr="008D4DAB">
        <w:t xml:space="preserve"> average weekly gas prices, ancillary market payments and </w:t>
      </w:r>
      <w:r>
        <w:t>scheduled</w:t>
      </w:r>
      <w:r w:rsidRPr="008D4DAB">
        <w:t xml:space="preserve"> </w:t>
      </w:r>
      <w:r>
        <w:t>injections</w:t>
      </w:r>
      <w:r w:rsidRPr="008D4DAB">
        <w:t xml:space="preserve"> against historical averages for the </w:t>
      </w:r>
      <w:r>
        <w:t xml:space="preserve">Victorian </w:t>
      </w:r>
      <w:r w:rsidRPr="008D4DAB">
        <w:t>gas market.</w:t>
      </w:r>
    </w:p>
    <w:p w:rsidR="00D1641C" w:rsidRDefault="00FF0D8A" w:rsidP="00D1641C">
      <w:pPr>
        <w:pStyle w:val="Heading2"/>
        <w:ind w:firstLine="0"/>
        <w:rPr>
          <w:i w:val="0"/>
          <w:color w:val="2272A3"/>
          <w:sz w:val="24"/>
          <w:szCs w:val="24"/>
        </w:rPr>
      </w:pPr>
      <w:r w:rsidRPr="006E7E57">
        <w:rPr>
          <w:i w:val="0"/>
          <w:color w:val="2272A3"/>
          <w:sz w:val="24"/>
          <w:szCs w:val="24"/>
        </w:rPr>
        <w:t>Victorian Gas Market</w:t>
      </w:r>
    </w:p>
    <w:tbl>
      <w:tblPr>
        <w:tblStyle w:val="AERTable-Text0"/>
        <w:tblW w:w="4858" w:type="pct"/>
        <w:tblLook w:val="04A0" w:firstRow="1" w:lastRow="0" w:firstColumn="1" w:lastColumn="0" w:noHBand="0" w:noVBand="1"/>
      </w:tblPr>
      <w:tblGrid>
        <w:gridCol w:w="3649"/>
        <w:gridCol w:w="1418"/>
        <w:gridCol w:w="2128"/>
        <w:gridCol w:w="2269"/>
      </w:tblGrid>
      <w:tr w:rsidR="00F114D5" w:rsidRPr="00DC24BF" w:rsidTr="00F114D5">
        <w:trPr>
          <w:cnfStyle w:val="100000000000" w:firstRow="1" w:lastRow="0" w:firstColumn="0" w:lastColumn="0" w:oddVBand="0" w:evenVBand="0" w:oddHBand="0" w:evenHBand="0" w:firstRowFirstColumn="0" w:firstRowLastColumn="0" w:lastRowFirstColumn="0" w:lastRowLastColumn="0"/>
          <w:tblHeader/>
        </w:trPr>
        <w:tc>
          <w:tcPr>
            <w:tcW w:w="1928" w:type="pct"/>
            <w:tcBorders>
              <w:bottom w:val="nil"/>
            </w:tcBorders>
            <w:hideMark/>
          </w:tcPr>
          <w:p w:rsidR="00F114D5" w:rsidRPr="00DC24BF" w:rsidRDefault="00F114D5" w:rsidP="00EE2945">
            <w:pPr>
              <w:pStyle w:val="TableHeading"/>
              <w:jc w:val="center"/>
              <w:rPr>
                <w:rFonts w:cs="Arial"/>
                <w:sz w:val="20"/>
                <w:szCs w:val="20"/>
              </w:rPr>
            </w:pPr>
          </w:p>
        </w:tc>
        <w:tc>
          <w:tcPr>
            <w:tcW w:w="749" w:type="pct"/>
            <w:tcBorders>
              <w:bottom w:val="nil"/>
            </w:tcBorders>
            <w:hideMark/>
          </w:tcPr>
          <w:p w:rsidR="00F114D5" w:rsidRPr="002861A9" w:rsidRDefault="00F114D5" w:rsidP="00EE2945">
            <w:pPr>
              <w:keepNext/>
              <w:spacing w:before="40" w:after="40"/>
              <w:jc w:val="center"/>
              <w:rPr>
                <w:rFonts w:cs="Arial"/>
                <w:b w:val="0"/>
                <w:bCs/>
                <w:sz w:val="20"/>
                <w:szCs w:val="20"/>
              </w:rPr>
            </w:pPr>
            <w:r w:rsidRPr="002861A9">
              <w:rPr>
                <w:rFonts w:cs="Arial"/>
                <w:bCs/>
                <w:sz w:val="20"/>
                <w:szCs w:val="20"/>
              </w:rPr>
              <w:t>Price ($/GJ)</w:t>
            </w:r>
          </w:p>
        </w:tc>
        <w:tc>
          <w:tcPr>
            <w:tcW w:w="1124" w:type="pct"/>
            <w:tcBorders>
              <w:bottom w:val="nil"/>
            </w:tcBorders>
            <w:hideMark/>
          </w:tcPr>
          <w:p w:rsidR="00F114D5" w:rsidRPr="002861A9" w:rsidRDefault="00F114D5" w:rsidP="00EE2945">
            <w:pPr>
              <w:keepNext/>
              <w:spacing w:before="40" w:after="40"/>
              <w:jc w:val="center"/>
              <w:rPr>
                <w:rFonts w:cs="Arial"/>
                <w:b w:val="0"/>
                <w:bCs/>
                <w:sz w:val="20"/>
                <w:szCs w:val="20"/>
              </w:rPr>
            </w:pPr>
            <w:r w:rsidRPr="002861A9">
              <w:rPr>
                <w:rFonts w:cs="Arial"/>
                <w:bCs/>
                <w:sz w:val="20"/>
                <w:szCs w:val="20"/>
              </w:rPr>
              <w:t>Ancillary payments ($000)</w:t>
            </w:r>
            <w:r>
              <w:rPr>
                <w:rFonts w:cs="Arial"/>
                <w:bCs/>
                <w:sz w:val="20"/>
                <w:szCs w:val="20"/>
              </w:rPr>
              <w:t>*</w:t>
            </w:r>
          </w:p>
        </w:tc>
        <w:tc>
          <w:tcPr>
            <w:tcW w:w="1199" w:type="pct"/>
            <w:tcBorders>
              <w:bottom w:val="nil"/>
            </w:tcBorders>
            <w:hideMark/>
          </w:tcPr>
          <w:p w:rsidR="00F114D5" w:rsidRPr="002861A9" w:rsidRDefault="00F114D5" w:rsidP="00EE2945">
            <w:pPr>
              <w:keepNext/>
              <w:spacing w:before="40" w:after="40"/>
              <w:jc w:val="center"/>
              <w:rPr>
                <w:rFonts w:cs="Arial"/>
                <w:b w:val="0"/>
                <w:bCs/>
                <w:sz w:val="20"/>
                <w:szCs w:val="20"/>
              </w:rPr>
            </w:pPr>
            <w:r w:rsidRPr="002861A9">
              <w:rPr>
                <w:rFonts w:cs="Arial"/>
                <w:bCs/>
                <w:sz w:val="20"/>
                <w:szCs w:val="20"/>
              </w:rPr>
              <w:t>BOD forecast demand quantity (TJ)</w:t>
            </w:r>
          </w:p>
        </w:tc>
      </w:tr>
      <w:tr w:rsidR="00011210" w:rsidRPr="0091453B" w:rsidTr="00EE2945">
        <w:trPr>
          <w:trHeight w:val="510"/>
        </w:trPr>
        <w:tc>
          <w:tcPr>
            <w:tcW w:w="1928" w:type="pct"/>
            <w:tcBorders>
              <w:top w:val="nil"/>
              <w:bottom w:val="nil"/>
            </w:tcBorders>
            <w:vAlign w:val="center"/>
          </w:tcPr>
          <w:p w:rsidR="00011210" w:rsidRDefault="00011210">
            <w:pPr>
              <w:rPr>
                <w:rFonts w:cs="Arial"/>
                <w:sz w:val="20"/>
                <w:szCs w:val="20"/>
              </w:rPr>
            </w:pPr>
            <w:r>
              <w:rPr>
                <w:rFonts w:cs="Arial"/>
                <w:sz w:val="20"/>
                <w:szCs w:val="20"/>
              </w:rPr>
              <w:t>29 May - 04 Jun 2016</w:t>
            </w:r>
          </w:p>
        </w:tc>
        <w:tc>
          <w:tcPr>
            <w:tcW w:w="749" w:type="pct"/>
            <w:tcBorders>
              <w:top w:val="nil"/>
              <w:bottom w:val="nil"/>
            </w:tcBorders>
            <w:vAlign w:val="center"/>
          </w:tcPr>
          <w:p w:rsidR="00011210" w:rsidRDefault="00011210">
            <w:pPr>
              <w:jc w:val="center"/>
              <w:rPr>
                <w:rFonts w:cs="Arial"/>
                <w:sz w:val="20"/>
                <w:szCs w:val="20"/>
              </w:rPr>
            </w:pPr>
            <w:r>
              <w:rPr>
                <w:rFonts w:cs="Arial"/>
                <w:sz w:val="20"/>
                <w:szCs w:val="20"/>
              </w:rPr>
              <w:t>7.48</w:t>
            </w:r>
          </w:p>
        </w:tc>
        <w:tc>
          <w:tcPr>
            <w:tcW w:w="1124" w:type="pct"/>
            <w:tcBorders>
              <w:top w:val="nil"/>
              <w:bottom w:val="nil"/>
            </w:tcBorders>
            <w:vAlign w:val="center"/>
          </w:tcPr>
          <w:p w:rsidR="00011210" w:rsidRDefault="00011210">
            <w:pPr>
              <w:jc w:val="center"/>
              <w:rPr>
                <w:rFonts w:cs="Arial"/>
                <w:sz w:val="20"/>
                <w:szCs w:val="20"/>
              </w:rPr>
            </w:pPr>
            <w:r>
              <w:rPr>
                <w:rFonts w:cs="Arial"/>
                <w:sz w:val="20"/>
                <w:szCs w:val="20"/>
              </w:rPr>
              <w:t>-</w:t>
            </w:r>
          </w:p>
        </w:tc>
        <w:tc>
          <w:tcPr>
            <w:tcW w:w="1199" w:type="pct"/>
            <w:tcBorders>
              <w:top w:val="nil"/>
              <w:bottom w:val="nil"/>
            </w:tcBorders>
            <w:vAlign w:val="center"/>
          </w:tcPr>
          <w:p w:rsidR="00011210" w:rsidRDefault="00011210">
            <w:pPr>
              <w:jc w:val="center"/>
              <w:rPr>
                <w:rFonts w:cs="Arial"/>
                <w:sz w:val="20"/>
                <w:szCs w:val="20"/>
              </w:rPr>
            </w:pPr>
            <w:r>
              <w:rPr>
                <w:rFonts w:cs="Arial"/>
                <w:sz w:val="20"/>
                <w:szCs w:val="20"/>
              </w:rPr>
              <w:t>911</w:t>
            </w:r>
          </w:p>
        </w:tc>
      </w:tr>
      <w:tr w:rsidR="00011210" w:rsidRPr="0091453B" w:rsidTr="00EE2945">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nil"/>
            </w:tcBorders>
            <w:vAlign w:val="center"/>
          </w:tcPr>
          <w:p w:rsidR="00011210" w:rsidRDefault="00011210">
            <w:pPr>
              <w:rPr>
                <w:rFonts w:cs="Arial"/>
                <w:sz w:val="20"/>
                <w:szCs w:val="20"/>
              </w:rPr>
            </w:pPr>
            <w:r>
              <w:rPr>
                <w:rFonts w:cs="Arial"/>
                <w:sz w:val="20"/>
                <w:szCs w:val="20"/>
              </w:rPr>
              <w:t>% change from previous week</w:t>
            </w:r>
          </w:p>
        </w:tc>
        <w:tc>
          <w:tcPr>
            <w:tcW w:w="749" w:type="pct"/>
            <w:tcBorders>
              <w:top w:val="nil"/>
              <w:bottom w:val="nil"/>
            </w:tcBorders>
            <w:vAlign w:val="center"/>
          </w:tcPr>
          <w:p w:rsidR="00011210" w:rsidRDefault="00011210">
            <w:pPr>
              <w:jc w:val="center"/>
              <w:rPr>
                <w:rFonts w:cs="Arial"/>
                <w:sz w:val="20"/>
                <w:szCs w:val="20"/>
              </w:rPr>
            </w:pPr>
            <w:r>
              <w:rPr>
                <w:rFonts w:cs="Arial"/>
                <w:sz w:val="20"/>
                <w:szCs w:val="20"/>
              </w:rPr>
              <w:t>31</w:t>
            </w:r>
          </w:p>
        </w:tc>
        <w:tc>
          <w:tcPr>
            <w:tcW w:w="1124" w:type="pct"/>
            <w:tcBorders>
              <w:top w:val="nil"/>
              <w:bottom w:val="nil"/>
            </w:tcBorders>
            <w:vAlign w:val="center"/>
          </w:tcPr>
          <w:p w:rsidR="00011210" w:rsidRDefault="00011210">
            <w:pPr>
              <w:jc w:val="center"/>
              <w:rPr>
                <w:rFonts w:cs="Arial"/>
                <w:sz w:val="20"/>
                <w:szCs w:val="20"/>
              </w:rPr>
            </w:pPr>
            <w:r>
              <w:rPr>
                <w:rFonts w:cs="Arial"/>
                <w:sz w:val="20"/>
                <w:szCs w:val="20"/>
              </w:rPr>
              <w:t>-</w:t>
            </w:r>
          </w:p>
        </w:tc>
        <w:tc>
          <w:tcPr>
            <w:tcW w:w="1199" w:type="pct"/>
            <w:tcBorders>
              <w:top w:val="nil"/>
              <w:bottom w:val="nil"/>
            </w:tcBorders>
            <w:vAlign w:val="center"/>
          </w:tcPr>
          <w:p w:rsidR="00011210" w:rsidRDefault="00011210">
            <w:pPr>
              <w:jc w:val="center"/>
              <w:rPr>
                <w:rFonts w:cs="Arial"/>
                <w:sz w:val="20"/>
                <w:szCs w:val="20"/>
              </w:rPr>
            </w:pPr>
            <w:r>
              <w:rPr>
                <w:rFonts w:cs="Arial"/>
                <w:sz w:val="20"/>
                <w:szCs w:val="20"/>
              </w:rPr>
              <w:t>26</w:t>
            </w:r>
          </w:p>
        </w:tc>
      </w:tr>
      <w:tr w:rsidR="00011210" w:rsidRPr="0091453B" w:rsidTr="00EE2945">
        <w:trPr>
          <w:trHeight w:val="510"/>
        </w:trPr>
        <w:tc>
          <w:tcPr>
            <w:tcW w:w="1928" w:type="pct"/>
            <w:tcBorders>
              <w:top w:val="nil"/>
              <w:bottom w:val="nil"/>
            </w:tcBorders>
            <w:vAlign w:val="center"/>
          </w:tcPr>
          <w:p w:rsidR="00011210" w:rsidRDefault="00011210">
            <w:pPr>
              <w:rPr>
                <w:rFonts w:cs="Arial"/>
                <w:sz w:val="20"/>
                <w:szCs w:val="20"/>
              </w:rPr>
            </w:pPr>
            <w:r>
              <w:rPr>
                <w:rFonts w:cs="Arial"/>
                <w:sz w:val="20"/>
                <w:szCs w:val="20"/>
              </w:rPr>
              <w:t>15-16 financial YTD</w:t>
            </w:r>
          </w:p>
        </w:tc>
        <w:tc>
          <w:tcPr>
            <w:tcW w:w="749" w:type="pct"/>
            <w:tcBorders>
              <w:top w:val="nil"/>
              <w:bottom w:val="nil"/>
            </w:tcBorders>
            <w:vAlign w:val="center"/>
          </w:tcPr>
          <w:p w:rsidR="00011210" w:rsidRDefault="00011210">
            <w:pPr>
              <w:jc w:val="center"/>
              <w:rPr>
                <w:rFonts w:cs="Arial"/>
                <w:sz w:val="20"/>
                <w:szCs w:val="20"/>
              </w:rPr>
            </w:pPr>
            <w:r>
              <w:rPr>
                <w:rFonts w:cs="Arial"/>
                <w:sz w:val="20"/>
                <w:szCs w:val="20"/>
              </w:rPr>
              <w:t>4.60</w:t>
            </w:r>
          </w:p>
        </w:tc>
        <w:tc>
          <w:tcPr>
            <w:tcW w:w="1124" w:type="pct"/>
            <w:tcBorders>
              <w:top w:val="nil"/>
              <w:bottom w:val="nil"/>
            </w:tcBorders>
            <w:vAlign w:val="center"/>
          </w:tcPr>
          <w:p w:rsidR="00011210" w:rsidRDefault="00011210">
            <w:pPr>
              <w:jc w:val="center"/>
              <w:rPr>
                <w:rFonts w:cs="Arial"/>
                <w:sz w:val="20"/>
                <w:szCs w:val="20"/>
              </w:rPr>
            </w:pPr>
            <w:r>
              <w:rPr>
                <w:rFonts w:cs="Arial"/>
                <w:sz w:val="20"/>
                <w:szCs w:val="20"/>
              </w:rPr>
              <w:t>-</w:t>
            </w:r>
          </w:p>
        </w:tc>
        <w:tc>
          <w:tcPr>
            <w:tcW w:w="1199" w:type="pct"/>
            <w:tcBorders>
              <w:top w:val="nil"/>
              <w:bottom w:val="nil"/>
            </w:tcBorders>
            <w:vAlign w:val="center"/>
          </w:tcPr>
          <w:p w:rsidR="00011210" w:rsidRDefault="00011210">
            <w:pPr>
              <w:jc w:val="center"/>
              <w:rPr>
                <w:rFonts w:cs="Arial"/>
                <w:sz w:val="20"/>
                <w:szCs w:val="20"/>
              </w:rPr>
            </w:pPr>
            <w:r>
              <w:rPr>
                <w:rFonts w:cs="Arial"/>
                <w:sz w:val="20"/>
                <w:szCs w:val="20"/>
              </w:rPr>
              <w:t>531</w:t>
            </w:r>
          </w:p>
        </w:tc>
      </w:tr>
      <w:tr w:rsidR="00011210" w:rsidRPr="0091453B" w:rsidTr="00EE2945">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single" w:sz="4" w:space="0" w:color="auto"/>
            </w:tcBorders>
            <w:vAlign w:val="center"/>
          </w:tcPr>
          <w:p w:rsidR="00011210" w:rsidRDefault="00011210">
            <w:pPr>
              <w:rPr>
                <w:rFonts w:cs="Arial"/>
                <w:sz w:val="20"/>
                <w:szCs w:val="20"/>
              </w:rPr>
            </w:pPr>
            <w:r>
              <w:rPr>
                <w:rFonts w:cs="Arial"/>
                <w:sz w:val="20"/>
                <w:szCs w:val="20"/>
              </w:rPr>
              <w:t xml:space="preserve">% change from previous financial YTD </w:t>
            </w:r>
          </w:p>
        </w:tc>
        <w:tc>
          <w:tcPr>
            <w:tcW w:w="749" w:type="pct"/>
            <w:tcBorders>
              <w:top w:val="nil"/>
              <w:bottom w:val="single" w:sz="4" w:space="0" w:color="auto"/>
            </w:tcBorders>
            <w:vAlign w:val="center"/>
          </w:tcPr>
          <w:p w:rsidR="00011210" w:rsidRDefault="00011210">
            <w:pPr>
              <w:jc w:val="center"/>
              <w:rPr>
                <w:rFonts w:cs="Arial"/>
                <w:sz w:val="20"/>
                <w:szCs w:val="20"/>
              </w:rPr>
            </w:pPr>
            <w:r>
              <w:rPr>
                <w:rFonts w:cs="Arial"/>
                <w:sz w:val="20"/>
                <w:szCs w:val="20"/>
              </w:rPr>
              <w:t>28</w:t>
            </w:r>
          </w:p>
        </w:tc>
        <w:tc>
          <w:tcPr>
            <w:tcW w:w="1124" w:type="pct"/>
            <w:tcBorders>
              <w:top w:val="nil"/>
              <w:bottom w:val="single" w:sz="4" w:space="0" w:color="auto"/>
            </w:tcBorders>
            <w:vAlign w:val="center"/>
          </w:tcPr>
          <w:p w:rsidR="00011210" w:rsidRDefault="00011210">
            <w:pPr>
              <w:jc w:val="center"/>
              <w:rPr>
                <w:rFonts w:cs="Arial"/>
                <w:sz w:val="20"/>
                <w:szCs w:val="20"/>
              </w:rPr>
            </w:pPr>
            <w:r>
              <w:rPr>
                <w:rFonts w:cs="Arial"/>
                <w:sz w:val="20"/>
                <w:szCs w:val="20"/>
              </w:rPr>
              <w:t>-</w:t>
            </w:r>
          </w:p>
        </w:tc>
        <w:tc>
          <w:tcPr>
            <w:tcW w:w="1199" w:type="pct"/>
            <w:tcBorders>
              <w:top w:val="nil"/>
              <w:bottom w:val="single" w:sz="4" w:space="0" w:color="auto"/>
            </w:tcBorders>
            <w:vAlign w:val="center"/>
          </w:tcPr>
          <w:p w:rsidR="00011210" w:rsidRDefault="00011210">
            <w:pPr>
              <w:jc w:val="center"/>
              <w:rPr>
                <w:rFonts w:cs="Arial"/>
                <w:sz w:val="20"/>
                <w:szCs w:val="20"/>
              </w:rPr>
            </w:pPr>
            <w:r>
              <w:rPr>
                <w:rFonts w:cs="Arial"/>
                <w:sz w:val="20"/>
                <w:szCs w:val="20"/>
              </w:rPr>
              <w:t>0</w:t>
            </w:r>
          </w:p>
        </w:tc>
      </w:tr>
    </w:tbl>
    <w:p w:rsidR="00FF0D8A" w:rsidRDefault="00FF0D8A" w:rsidP="00FF0D8A">
      <w:pPr>
        <w:pStyle w:val="AERbodytext"/>
        <w:spacing w:before="120" w:after="120"/>
        <w:jc w:val="both"/>
      </w:pPr>
      <w:r w:rsidRPr="006619E5">
        <w:rPr>
          <w:sz w:val="20"/>
        </w:rPr>
        <w:t>*</w:t>
      </w:r>
      <w:r w:rsidRPr="001420EB">
        <w:rPr>
          <w:sz w:val="20"/>
        </w:rPr>
        <w:t xml:space="preserve"> </w:t>
      </w:r>
      <w:r w:rsidRPr="006619E5">
        <w:rPr>
          <w:sz w:val="20"/>
        </w:rPr>
        <w:t>Note: only positive ancillary payments, reflecting system con</w:t>
      </w:r>
      <w:r>
        <w:rPr>
          <w:sz w:val="20"/>
        </w:rPr>
        <w:t>straints will be shown here.</w:t>
      </w:r>
      <w:r>
        <w:t xml:space="preserve"> </w:t>
      </w:r>
    </w:p>
    <w:p w:rsidR="00FF0D8A" w:rsidRDefault="00FF0D8A" w:rsidP="00FF0D8A">
      <w:pPr>
        <w:pStyle w:val="AERbodytext"/>
        <w:spacing w:before="120" w:after="120"/>
        <w:jc w:val="both"/>
      </w:pPr>
      <w:r>
        <w:t>More</w:t>
      </w:r>
      <w:r w:rsidRPr="00D329E0">
        <w:t xml:space="preserve"> </w:t>
      </w:r>
      <w:r>
        <w:t xml:space="preserve">detailed </w:t>
      </w:r>
      <w:r w:rsidRPr="00D329E0">
        <w:t xml:space="preserve">analysis on the </w:t>
      </w:r>
      <w:r>
        <w:t>VGM is provided in section 1</w:t>
      </w:r>
      <w:r w:rsidRPr="00D329E0">
        <w:t xml:space="preserve">. </w:t>
      </w:r>
    </w:p>
    <w:p w:rsidR="00FF0D8A" w:rsidRPr="008D4DAB" w:rsidRDefault="00FF0D8A" w:rsidP="00FF0D8A">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Market Operator Service </w:t>
      </w:r>
      <w:r w:rsidRPr="00950C55">
        <w:rPr>
          <w:b/>
        </w:rPr>
        <w:t>(MOS)</w:t>
      </w:r>
      <w:r>
        <w:t xml:space="preserve"> balancing gas service payments together with the related daily</w:t>
      </w:r>
      <w:r w:rsidRPr="008D4DAB">
        <w:t xml:space="preserve"> demand </w:t>
      </w:r>
      <w:r>
        <w:t xml:space="preserve">quantities against </w:t>
      </w:r>
      <w:r w:rsidRPr="008D4DAB">
        <w:t xml:space="preserve">historical averages </w:t>
      </w:r>
      <w:r>
        <w:t>for the Sydney, Adelaide and Brisbane STTM hubs, respectively.</w:t>
      </w:r>
    </w:p>
    <w:p w:rsidR="00D1641C" w:rsidRDefault="006E7E57" w:rsidP="00D1641C">
      <w:pPr>
        <w:pStyle w:val="Heading2"/>
        <w:ind w:firstLine="0"/>
        <w:rPr>
          <w:i w:val="0"/>
          <w:color w:val="2272A3"/>
          <w:sz w:val="24"/>
          <w:szCs w:val="24"/>
        </w:rPr>
      </w:pPr>
      <w:r>
        <w:rPr>
          <w:i w:val="0"/>
          <w:color w:val="2272A3"/>
          <w:sz w:val="24"/>
          <w:szCs w:val="24"/>
        </w:rPr>
        <w:t>Sydney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F114D5" w:rsidRPr="00405CDE" w:rsidTr="00EE2945">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F114D5" w:rsidRPr="00DC24BF" w:rsidRDefault="00F114D5" w:rsidP="00EE2945">
            <w:pPr>
              <w:pStyle w:val="TableHeading"/>
              <w:jc w:val="center"/>
              <w:rPr>
                <w:rFonts w:cs="Arial"/>
                <w:sz w:val="20"/>
                <w:szCs w:val="20"/>
              </w:rPr>
            </w:pPr>
          </w:p>
        </w:tc>
        <w:tc>
          <w:tcPr>
            <w:tcW w:w="759" w:type="pct"/>
            <w:tcBorders>
              <w:bottom w:val="nil"/>
            </w:tcBorders>
            <w:hideMark/>
          </w:tcPr>
          <w:p w:rsidR="00F114D5" w:rsidRPr="002861A9" w:rsidRDefault="00F114D5" w:rsidP="00EE2945">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F114D5" w:rsidRPr="002861A9" w:rsidRDefault="00F114D5" w:rsidP="00EE2945">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F114D5" w:rsidRPr="002861A9" w:rsidRDefault="00F114D5" w:rsidP="00EE2945">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F114D5" w:rsidRPr="002861A9" w:rsidRDefault="00F114D5" w:rsidP="00EE2945">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F114D5" w:rsidRPr="002861A9" w:rsidRDefault="00F114D5" w:rsidP="00EE2945">
            <w:pPr>
              <w:keepNext/>
              <w:spacing w:before="40" w:after="40"/>
              <w:jc w:val="center"/>
              <w:rPr>
                <w:rFonts w:cs="Arial"/>
                <w:b w:val="0"/>
                <w:bCs/>
                <w:sz w:val="20"/>
                <w:szCs w:val="20"/>
              </w:rPr>
            </w:pPr>
            <w:r w:rsidRPr="002861A9">
              <w:rPr>
                <w:rFonts w:cs="Arial"/>
                <w:bCs/>
                <w:sz w:val="20"/>
                <w:szCs w:val="20"/>
              </w:rPr>
              <w:t>Ex post quantity (TJ)</w:t>
            </w:r>
          </w:p>
        </w:tc>
      </w:tr>
      <w:tr w:rsidR="00011210" w:rsidRPr="00405CDE" w:rsidTr="00EE2945">
        <w:trPr>
          <w:trHeight w:val="510"/>
        </w:trPr>
        <w:tc>
          <w:tcPr>
            <w:tcW w:w="1430" w:type="pct"/>
            <w:tcBorders>
              <w:top w:val="nil"/>
              <w:bottom w:val="nil"/>
            </w:tcBorders>
            <w:vAlign w:val="center"/>
          </w:tcPr>
          <w:p w:rsidR="00011210" w:rsidRDefault="00011210">
            <w:pPr>
              <w:rPr>
                <w:rFonts w:cs="Arial"/>
                <w:sz w:val="20"/>
                <w:szCs w:val="20"/>
              </w:rPr>
            </w:pPr>
            <w:r>
              <w:rPr>
                <w:rFonts w:cs="Arial"/>
                <w:sz w:val="20"/>
                <w:szCs w:val="20"/>
              </w:rPr>
              <w:t>29 May - 04 Jun 2016</w:t>
            </w:r>
          </w:p>
        </w:tc>
        <w:tc>
          <w:tcPr>
            <w:tcW w:w="759" w:type="pct"/>
            <w:tcBorders>
              <w:top w:val="nil"/>
              <w:bottom w:val="nil"/>
            </w:tcBorders>
            <w:vAlign w:val="center"/>
          </w:tcPr>
          <w:p w:rsidR="00011210" w:rsidRDefault="00011210">
            <w:pPr>
              <w:jc w:val="center"/>
              <w:rPr>
                <w:rFonts w:cs="Arial"/>
                <w:sz w:val="20"/>
                <w:szCs w:val="20"/>
              </w:rPr>
            </w:pPr>
            <w:r>
              <w:rPr>
                <w:rFonts w:cs="Arial"/>
                <w:sz w:val="20"/>
                <w:szCs w:val="20"/>
              </w:rPr>
              <w:t>7.57</w:t>
            </w:r>
          </w:p>
        </w:tc>
        <w:tc>
          <w:tcPr>
            <w:tcW w:w="758" w:type="pct"/>
            <w:tcBorders>
              <w:top w:val="nil"/>
              <w:bottom w:val="nil"/>
            </w:tcBorders>
            <w:vAlign w:val="center"/>
          </w:tcPr>
          <w:p w:rsidR="00011210" w:rsidRDefault="00011210">
            <w:pPr>
              <w:jc w:val="center"/>
              <w:rPr>
                <w:rFonts w:cs="Arial"/>
                <w:sz w:val="20"/>
                <w:szCs w:val="20"/>
              </w:rPr>
            </w:pPr>
            <w:r>
              <w:rPr>
                <w:rFonts w:cs="Arial"/>
                <w:sz w:val="20"/>
                <w:szCs w:val="20"/>
              </w:rPr>
              <w:t>7.65</w:t>
            </w:r>
          </w:p>
        </w:tc>
        <w:tc>
          <w:tcPr>
            <w:tcW w:w="759" w:type="pct"/>
            <w:tcBorders>
              <w:top w:val="nil"/>
              <w:bottom w:val="nil"/>
            </w:tcBorders>
            <w:vAlign w:val="center"/>
          </w:tcPr>
          <w:p w:rsidR="00011210" w:rsidRDefault="00011210">
            <w:pPr>
              <w:jc w:val="center"/>
              <w:rPr>
                <w:rFonts w:cs="Arial"/>
                <w:sz w:val="20"/>
                <w:szCs w:val="20"/>
              </w:rPr>
            </w:pPr>
            <w:r>
              <w:rPr>
                <w:rFonts w:cs="Arial"/>
                <w:sz w:val="20"/>
                <w:szCs w:val="20"/>
              </w:rPr>
              <w:t>28.81</w:t>
            </w:r>
          </w:p>
        </w:tc>
        <w:tc>
          <w:tcPr>
            <w:tcW w:w="685" w:type="pct"/>
            <w:tcBorders>
              <w:top w:val="nil"/>
              <w:bottom w:val="nil"/>
            </w:tcBorders>
            <w:vAlign w:val="center"/>
          </w:tcPr>
          <w:p w:rsidR="00011210" w:rsidRDefault="00011210">
            <w:pPr>
              <w:jc w:val="center"/>
              <w:rPr>
                <w:rFonts w:cs="Arial"/>
                <w:sz w:val="20"/>
                <w:szCs w:val="20"/>
              </w:rPr>
            </w:pPr>
            <w:r>
              <w:rPr>
                <w:rFonts w:cs="Arial"/>
                <w:sz w:val="20"/>
                <w:szCs w:val="20"/>
              </w:rPr>
              <w:t>266</w:t>
            </w:r>
          </w:p>
        </w:tc>
        <w:tc>
          <w:tcPr>
            <w:tcW w:w="608" w:type="pct"/>
            <w:tcBorders>
              <w:top w:val="nil"/>
              <w:bottom w:val="nil"/>
            </w:tcBorders>
            <w:vAlign w:val="center"/>
          </w:tcPr>
          <w:p w:rsidR="00011210" w:rsidRDefault="00011210">
            <w:pPr>
              <w:jc w:val="center"/>
              <w:rPr>
                <w:rFonts w:cs="Arial"/>
                <w:sz w:val="20"/>
                <w:szCs w:val="20"/>
              </w:rPr>
            </w:pPr>
            <w:r>
              <w:rPr>
                <w:rFonts w:cs="Arial"/>
                <w:sz w:val="20"/>
                <w:szCs w:val="20"/>
              </w:rPr>
              <w:t>269</w:t>
            </w:r>
          </w:p>
        </w:tc>
      </w:tr>
      <w:tr w:rsidR="00011210" w:rsidRPr="00405CDE" w:rsidTr="00EE2945">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011210" w:rsidRDefault="00011210">
            <w:pPr>
              <w:rPr>
                <w:rFonts w:cs="Arial"/>
                <w:sz w:val="20"/>
                <w:szCs w:val="20"/>
              </w:rPr>
            </w:pPr>
            <w:r>
              <w:rPr>
                <w:rFonts w:cs="Arial"/>
                <w:sz w:val="20"/>
                <w:szCs w:val="20"/>
              </w:rPr>
              <w:t>% change from previous week</w:t>
            </w:r>
          </w:p>
        </w:tc>
        <w:tc>
          <w:tcPr>
            <w:tcW w:w="759" w:type="pct"/>
            <w:tcBorders>
              <w:top w:val="nil"/>
              <w:bottom w:val="nil"/>
            </w:tcBorders>
            <w:vAlign w:val="center"/>
          </w:tcPr>
          <w:p w:rsidR="00011210" w:rsidRDefault="00011210">
            <w:pPr>
              <w:jc w:val="center"/>
              <w:rPr>
                <w:rFonts w:cs="Arial"/>
                <w:sz w:val="20"/>
                <w:szCs w:val="20"/>
              </w:rPr>
            </w:pPr>
            <w:r>
              <w:rPr>
                <w:rFonts w:cs="Arial"/>
                <w:sz w:val="20"/>
                <w:szCs w:val="20"/>
              </w:rPr>
              <w:t>13</w:t>
            </w:r>
          </w:p>
        </w:tc>
        <w:tc>
          <w:tcPr>
            <w:tcW w:w="758" w:type="pct"/>
            <w:tcBorders>
              <w:top w:val="nil"/>
              <w:bottom w:val="nil"/>
            </w:tcBorders>
            <w:vAlign w:val="center"/>
          </w:tcPr>
          <w:p w:rsidR="00011210" w:rsidRDefault="00011210">
            <w:pPr>
              <w:jc w:val="center"/>
              <w:rPr>
                <w:rFonts w:cs="Arial"/>
                <w:sz w:val="20"/>
                <w:szCs w:val="20"/>
              </w:rPr>
            </w:pPr>
            <w:r>
              <w:rPr>
                <w:rFonts w:cs="Arial"/>
                <w:sz w:val="20"/>
                <w:szCs w:val="20"/>
              </w:rPr>
              <w:t>23</w:t>
            </w:r>
          </w:p>
        </w:tc>
        <w:tc>
          <w:tcPr>
            <w:tcW w:w="759" w:type="pct"/>
            <w:tcBorders>
              <w:top w:val="nil"/>
              <w:bottom w:val="nil"/>
            </w:tcBorders>
            <w:vAlign w:val="center"/>
          </w:tcPr>
          <w:p w:rsidR="00011210" w:rsidRDefault="00011210">
            <w:pPr>
              <w:jc w:val="center"/>
              <w:rPr>
                <w:rFonts w:cs="Arial"/>
                <w:sz w:val="20"/>
                <w:szCs w:val="20"/>
              </w:rPr>
            </w:pPr>
            <w:r>
              <w:rPr>
                <w:rFonts w:cs="Arial"/>
                <w:sz w:val="20"/>
                <w:szCs w:val="20"/>
              </w:rPr>
              <w:t>-11</w:t>
            </w:r>
          </w:p>
        </w:tc>
        <w:tc>
          <w:tcPr>
            <w:tcW w:w="685" w:type="pct"/>
            <w:tcBorders>
              <w:top w:val="nil"/>
              <w:bottom w:val="nil"/>
            </w:tcBorders>
            <w:vAlign w:val="center"/>
          </w:tcPr>
          <w:p w:rsidR="00011210" w:rsidRDefault="00011210">
            <w:pPr>
              <w:jc w:val="center"/>
              <w:rPr>
                <w:rFonts w:cs="Arial"/>
                <w:sz w:val="20"/>
                <w:szCs w:val="20"/>
              </w:rPr>
            </w:pPr>
            <w:r>
              <w:rPr>
                <w:rFonts w:cs="Arial"/>
                <w:sz w:val="20"/>
                <w:szCs w:val="20"/>
              </w:rPr>
              <w:t>5</w:t>
            </w:r>
          </w:p>
        </w:tc>
        <w:tc>
          <w:tcPr>
            <w:tcW w:w="608" w:type="pct"/>
            <w:tcBorders>
              <w:top w:val="nil"/>
              <w:bottom w:val="nil"/>
            </w:tcBorders>
            <w:vAlign w:val="center"/>
          </w:tcPr>
          <w:p w:rsidR="00011210" w:rsidRDefault="00011210">
            <w:pPr>
              <w:jc w:val="center"/>
              <w:rPr>
                <w:rFonts w:cs="Arial"/>
                <w:sz w:val="20"/>
                <w:szCs w:val="20"/>
              </w:rPr>
            </w:pPr>
            <w:r>
              <w:rPr>
                <w:rFonts w:cs="Arial"/>
                <w:sz w:val="20"/>
                <w:szCs w:val="20"/>
              </w:rPr>
              <w:t>7</w:t>
            </w:r>
          </w:p>
        </w:tc>
      </w:tr>
      <w:tr w:rsidR="00011210" w:rsidRPr="00405CDE" w:rsidTr="00EE2945">
        <w:trPr>
          <w:trHeight w:val="510"/>
        </w:trPr>
        <w:tc>
          <w:tcPr>
            <w:tcW w:w="1430" w:type="pct"/>
            <w:tcBorders>
              <w:top w:val="nil"/>
              <w:bottom w:val="nil"/>
            </w:tcBorders>
            <w:vAlign w:val="center"/>
          </w:tcPr>
          <w:p w:rsidR="00011210" w:rsidRDefault="00011210">
            <w:pPr>
              <w:rPr>
                <w:rFonts w:cs="Arial"/>
                <w:sz w:val="20"/>
                <w:szCs w:val="20"/>
              </w:rPr>
            </w:pPr>
            <w:r>
              <w:rPr>
                <w:rFonts w:cs="Arial"/>
                <w:sz w:val="20"/>
                <w:szCs w:val="20"/>
              </w:rPr>
              <w:t>15-16 financial YTD</w:t>
            </w:r>
          </w:p>
        </w:tc>
        <w:tc>
          <w:tcPr>
            <w:tcW w:w="759" w:type="pct"/>
            <w:tcBorders>
              <w:top w:val="nil"/>
              <w:bottom w:val="nil"/>
            </w:tcBorders>
            <w:vAlign w:val="center"/>
          </w:tcPr>
          <w:p w:rsidR="00011210" w:rsidRDefault="00011210">
            <w:pPr>
              <w:jc w:val="center"/>
              <w:rPr>
                <w:rFonts w:cs="Arial"/>
                <w:sz w:val="20"/>
                <w:szCs w:val="20"/>
              </w:rPr>
            </w:pPr>
            <w:r>
              <w:rPr>
                <w:rFonts w:cs="Arial"/>
                <w:sz w:val="20"/>
                <w:szCs w:val="20"/>
              </w:rPr>
              <w:t>4.74</w:t>
            </w:r>
          </w:p>
        </w:tc>
        <w:tc>
          <w:tcPr>
            <w:tcW w:w="758" w:type="pct"/>
            <w:tcBorders>
              <w:top w:val="nil"/>
              <w:bottom w:val="nil"/>
            </w:tcBorders>
            <w:vAlign w:val="center"/>
          </w:tcPr>
          <w:p w:rsidR="00011210" w:rsidRDefault="00011210">
            <w:pPr>
              <w:jc w:val="center"/>
              <w:rPr>
                <w:rFonts w:cs="Arial"/>
                <w:sz w:val="20"/>
                <w:szCs w:val="20"/>
              </w:rPr>
            </w:pPr>
            <w:r>
              <w:rPr>
                <w:rFonts w:cs="Arial"/>
                <w:sz w:val="20"/>
                <w:szCs w:val="20"/>
              </w:rPr>
              <w:t>4.41</w:t>
            </w:r>
          </w:p>
        </w:tc>
        <w:tc>
          <w:tcPr>
            <w:tcW w:w="759" w:type="pct"/>
            <w:tcBorders>
              <w:top w:val="nil"/>
              <w:bottom w:val="nil"/>
            </w:tcBorders>
            <w:vAlign w:val="center"/>
          </w:tcPr>
          <w:p w:rsidR="00011210" w:rsidRDefault="00011210">
            <w:pPr>
              <w:jc w:val="center"/>
              <w:rPr>
                <w:rFonts w:cs="Arial"/>
                <w:sz w:val="20"/>
                <w:szCs w:val="20"/>
              </w:rPr>
            </w:pPr>
            <w:r>
              <w:rPr>
                <w:rFonts w:cs="Arial"/>
                <w:sz w:val="20"/>
                <w:szCs w:val="20"/>
              </w:rPr>
              <w:t>27.66</w:t>
            </w:r>
          </w:p>
        </w:tc>
        <w:tc>
          <w:tcPr>
            <w:tcW w:w="685" w:type="pct"/>
            <w:tcBorders>
              <w:top w:val="nil"/>
              <w:bottom w:val="nil"/>
            </w:tcBorders>
            <w:vAlign w:val="center"/>
          </w:tcPr>
          <w:p w:rsidR="00011210" w:rsidRDefault="00011210">
            <w:pPr>
              <w:jc w:val="center"/>
              <w:rPr>
                <w:rFonts w:cs="Arial"/>
                <w:sz w:val="20"/>
                <w:szCs w:val="20"/>
              </w:rPr>
            </w:pPr>
            <w:r>
              <w:rPr>
                <w:rFonts w:cs="Arial"/>
                <w:sz w:val="20"/>
                <w:szCs w:val="20"/>
              </w:rPr>
              <w:t>235</w:t>
            </w:r>
          </w:p>
        </w:tc>
        <w:tc>
          <w:tcPr>
            <w:tcW w:w="608" w:type="pct"/>
            <w:tcBorders>
              <w:top w:val="nil"/>
              <w:bottom w:val="nil"/>
            </w:tcBorders>
            <w:vAlign w:val="center"/>
          </w:tcPr>
          <w:p w:rsidR="00011210" w:rsidRDefault="00011210">
            <w:pPr>
              <w:jc w:val="center"/>
              <w:rPr>
                <w:rFonts w:cs="Arial"/>
                <w:sz w:val="20"/>
                <w:szCs w:val="20"/>
              </w:rPr>
            </w:pPr>
            <w:r>
              <w:rPr>
                <w:rFonts w:cs="Arial"/>
                <w:sz w:val="20"/>
                <w:szCs w:val="20"/>
              </w:rPr>
              <w:t>230</w:t>
            </w:r>
          </w:p>
        </w:tc>
      </w:tr>
      <w:tr w:rsidR="00011210" w:rsidRPr="00405CDE" w:rsidTr="00EE2945">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011210" w:rsidRDefault="00011210">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011210" w:rsidRDefault="00011210">
            <w:pPr>
              <w:jc w:val="center"/>
              <w:rPr>
                <w:rFonts w:cs="Arial"/>
                <w:sz w:val="20"/>
                <w:szCs w:val="20"/>
              </w:rPr>
            </w:pPr>
            <w:r>
              <w:rPr>
                <w:rFonts w:cs="Arial"/>
                <w:sz w:val="20"/>
                <w:szCs w:val="20"/>
              </w:rPr>
              <w:t>40</w:t>
            </w:r>
          </w:p>
        </w:tc>
        <w:tc>
          <w:tcPr>
            <w:tcW w:w="758" w:type="pct"/>
            <w:tcBorders>
              <w:top w:val="nil"/>
              <w:bottom w:val="single" w:sz="4" w:space="0" w:color="auto"/>
            </w:tcBorders>
            <w:vAlign w:val="center"/>
          </w:tcPr>
          <w:p w:rsidR="00011210" w:rsidRDefault="00011210">
            <w:pPr>
              <w:jc w:val="center"/>
              <w:rPr>
                <w:rFonts w:cs="Arial"/>
                <w:sz w:val="20"/>
                <w:szCs w:val="20"/>
              </w:rPr>
            </w:pPr>
            <w:r>
              <w:rPr>
                <w:rFonts w:cs="Arial"/>
                <w:sz w:val="20"/>
                <w:szCs w:val="20"/>
              </w:rPr>
              <w:t>30</w:t>
            </w:r>
          </w:p>
        </w:tc>
        <w:tc>
          <w:tcPr>
            <w:tcW w:w="759" w:type="pct"/>
            <w:tcBorders>
              <w:top w:val="nil"/>
              <w:bottom w:val="single" w:sz="4" w:space="0" w:color="auto"/>
            </w:tcBorders>
            <w:vAlign w:val="center"/>
          </w:tcPr>
          <w:p w:rsidR="00011210" w:rsidRDefault="00011210">
            <w:pPr>
              <w:jc w:val="center"/>
              <w:rPr>
                <w:rFonts w:cs="Arial"/>
                <w:sz w:val="20"/>
                <w:szCs w:val="20"/>
              </w:rPr>
            </w:pPr>
            <w:r>
              <w:rPr>
                <w:rFonts w:cs="Arial"/>
                <w:sz w:val="20"/>
                <w:szCs w:val="20"/>
              </w:rPr>
              <w:t>80</w:t>
            </w:r>
          </w:p>
        </w:tc>
        <w:tc>
          <w:tcPr>
            <w:tcW w:w="685" w:type="pct"/>
            <w:tcBorders>
              <w:top w:val="nil"/>
              <w:bottom w:val="single" w:sz="4" w:space="0" w:color="auto"/>
            </w:tcBorders>
            <w:vAlign w:val="center"/>
          </w:tcPr>
          <w:p w:rsidR="00011210" w:rsidRDefault="00011210">
            <w:pPr>
              <w:jc w:val="center"/>
              <w:rPr>
                <w:rFonts w:cs="Arial"/>
                <w:sz w:val="20"/>
                <w:szCs w:val="20"/>
              </w:rPr>
            </w:pPr>
            <w:r>
              <w:rPr>
                <w:rFonts w:cs="Arial"/>
                <w:sz w:val="20"/>
                <w:szCs w:val="20"/>
              </w:rPr>
              <w:t>-2</w:t>
            </w:r>
          </w:p>
        </w:tc>
        <w:tc>
          <w:tcPr>
            <w:tcW w:w="608" w:type="pct"/>
            <w:tcBorders>
              <w:top w:val="nil"/>
              <w:bottom w:val="single" w:sz="4" w:space="0" w:color="auto"/>
            </w:tcBorders>
            <w:vAlign w:val="center"/>
          </w:tcPr>
          <w:p w:rsidR="00011210" w:rsidRDefault="00011210">
            <w:pPr>
              <w:jc w:val="center"/>
              <w:rPr>
                <w:rFonts w:cs="Arial"/>
                <w:sz w:val="20"/>
                <w:szCs w:val="20"/>
              </w:rPr>
            </w:pPr>
            <w:r>
              <w:rPr>
                <w:rFonts w:cs="Arial"/>
                <w:sz w:val="20"/>
                <w:szCs w:val="20"/>
              </w:rPr>
              <w:t>-4</w:t>
            </w:r>
          </w:p>
        </w:tc>
      </w:tr>
    </w:tbl>
    <w:p w:rsidR="00D1641C" w:rsidRDefault="006E7E57" w:rsidP="00D1641C">
      <w:pPr>
        <w:pStyle w:val="Heading2"/>
        <w:ind w:firstLine="0"/>
        <w:rPr>
          <w:i w:val="0"/>
          <w:color w:val="2272A3"/>
          <w:sz w:val="24"/>
          <w:szCs w:val="24"/>
        </w:rPr>
      </w:pPr>
      <w:r>
        <w:rPr>
          <w:i w:val="0"/>
          <w:color w:val="2272A3"/>
          <w:sz w:val="24"/>
          <w:szCs w:val="24"/>
        </w:rPr>
        <w:t>Adelaide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A6674A" w:rsidRPr="00405CDE" w:rsidTr="00EE2945">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A6674A" w:rsidRPr="00DC24BF" w:rsidRDefault="00A6674A" w:rsidP="00EE2945">
            <w:pPr>
              <w:pStyle w:val="TableHeading"/>
              <w:jc w:val="center"/>
              <w:rPr>
                <w:rFonts w:cs="Arial"/>
                <w:sz w:val="20"/>
                <w:szCs w:val="20"/>
              </w:rPr>
            </w:pPr>
          </w:p>
        </w:tc>
        <w:tc>
          <w:tcPr>
            <w:tcW w:w="759" w:type="pct"/>
            <w:tcBorders>
              <w:bottom w:val="nil"/>
            </w:tcBorders>
            <w:hideMark/>
          </w:tcPr>
          <w:p w:rsidR="00A6674A" w:rsidRPr="002861A9" w:rsidRDefault="00A6674A" w:rsidP="00EE2945">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A6674A" w:rsidRPr="002861A9" w:rsidRDefault="00A6674A" w:rsidP="00EE2945">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A6674A" w:rsidRPr="002861A9" w:rsidRDefault="00A6674A" w:rsidP="00EE2945">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A6674A" w:rsidRPr="002861A9" w:rsidRDefault="00A6674A" w:rsidP="00EE2945">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A6674A" w:rsidRPr="002861A9" w:rsidRDefault="00A6674A" w:rsidP="00EE2945">
            <w:pPr>
              <w:keepNext/>
              <w:spacing w:before="40" w:after="40"/>
              <w:jc w:val="center"/>
              <w:rPr>
                <w:rFonts w:cs="Arial"/>
                <w:b w:val="0"/>
                <w:bCs/>
                <w:sz w:val="20"/>
                <w:szCs w:val="20"/>
              </w:rPr>
            </w:pPr>
            <w:r w:rsidRPr="002861A9">
              <w:rPr>
                <w:rFonts w:cs="Arial"/>
                <w:bCs/>
                <w:sz w:val="20"/>
                <w:szCs w:val="20"/>
              </w:rPr>
              <w:t>Ex post quantity (TJ)</w:t>
            </w:r>
          </w:p>
        </w:tc>
      </w:tr>
      <w:tr w:rsidR="00A6674A" w:rsidRPr="00405CDE" w:rsidTr="00EE2945">
        <w:trPr>
          <w:trHeight w:val="510"/>
        </w:trPr>
        <w:tc>
          <w:tcPr>
            <w:tcW w:w="1430" w:type="pct"/>
            <w:tcBorders>
              <w:top w:val="nil"/>
              <w:bottom w:val="nil"/>
            </w:tcBorders>
            <w:vAlign w:val="center"/>
          </w:tcPr>
          <w:p w:rsidR="00A6674A" w:rsidRDefault="00A6674A" w:rsidP="00EE2945">
            <w:pPr>
              <w:rPr>
                <w:rFonts w:cs="Arial"/>
                <w:sz w:val="20"/>
                <w:szCs w:val="20"/>
              </w:rPr>
            </w:pPr>
            <w:r>
              <w:rPr>
                <w:rFonts w:cs="Arial"/>
                <w:sz w:val="20"/>
                <w:szCs w:val="20"/>
              </w:rPr>
              <w:t>29 May - 04 Jun 2016</w:t>
            </w:r>
          </w:p>
        </w:tc>
        <w:tc>
          <w:tcPr>
            <w:tcW w:w="759" w:type="pct"/>
            <w:tcBorders>
              <w:top w:val="nil"/>
              <w:bottom w:val="nil"/>
            </w:tcBorders>
            <w:vAlign w:val="center"/>
          </w:tcPr>
          <w:p w:rsidR="00A6674A" w:rsidRDefault="00A6674A" w:rsidP="00EE2945">
            <w:pPr>
              <w:jc w:val="center"/>
              <w:rPr>
                <w:rFonts w:cs="Arial"/>
                <w:sz w:val="20"/>
                <w:szCs w:val="20"/>
              </w:rPr>
            </w:pPr>
            <w:r>
              <w:rPr>
                <w:rFonts w:cs="Arial"/>
                <w:sz w:val="20"/>
                <w:szCs w:val="20"/>
              </w:rPr>
              <w:t>8.31</w:t>
            </w:r>
          </w:p>
        </w:tc>
        <w:tc>
          <w:tcPr>
            <w:tcW w:w="758" w:type="pct"/>
            <w:tcBorders>
              <w:top w:val="nil"/>
              <w:bottom w:val="nil"/>
            </w:tcBorders>
            <w:vAlign w:val="center"/>
          </w:tcPr>
          <w:p w:rsidR="00A6674A" w:rsidRDefault="00A6674A" w:rsidP="00EE2945">
            <w:pPr>
              <w:jc w:val="center"/>
              <w:rPr>
                <w:rFonts w:cs="Arial"/>
                <w:sz w:val="20"/>
                <w:szCs w:val="20"/>
              </w:rPr>
            </w:pPr>
            <w:r>
              <w:rPr>
                <w:rFonts w:cs="Arial"/>
                <w:sz w:val="20"/>
                <w:szCs w:val="20"/>
              </w:rPr>
              <w:t>8.68</w:t>
            </w:r>
          </w:p>
        </w:tc>
        <w:tc>
          <w:tcPr>
            <w:tcW w:w="759" w:type="pct"/>
            <w:tcBorders>
              <w:top w:val="nil"/>
              <w:bottom w:val="nil"/>
            </w:tcBorders>
            <w:vAlign w:val="center"/>
          </w:tcPr>
          <w:p w:rsidR="00A6674A" w:rsidRDefault="00A6674A" w:rsidP="00EE2945">
            <w:pPr>
              <w:jc w:val="center"/>
              <w:rPr>
                <w:rFonts w:cs="Arial"/>
                <w:sz w:val="20"/>
                <w:szCs w:val="20"/>
              </w:rPr>
            </w:pPr>
            <w:r>
              <w:rPr>
                <w:rFonts w:cs="Arial"/>
                <w:sz w:val="20"/>
                <w:szCs w:val="20"/>
              </w:rPr>
              <w:t>33.82</w:t>
            </w:r>
          </w:p>
        </w:tc>
        <w:tc>
          <w:tcPr>
            <w:tcW w:w="685" w:type="pct"/>
            <w:tcBorders>
              <w:top w:val="nil"/>
              <w:bottom w:val="nil"/>
            </w:tcBorders>
            <w:vAlign w:val="center"/>
          </w:tcPr>
          <w:p w:rsidR="00A6674A" w:rsidRDefault="00A6674A" w:rsidP="00EE2945">
            <w:pPr>
              <w:jc w:val="center"/>
              <w:rPr>
                <w:rFonts w:cs="Arial"/>
                <w:sz w:val="20"/>
                <w:szCs w:val="20"/>
              </w:rPr>
            </w:pPr>
            <w:r>
              <w:rPr>
                <w:rFonts w:cs="Arial"/>
                <w:sz w:val="20"/>
                <w:szCs w:val="20"/>
              </w:rPr>
              <w:t>73</w:t>
            </w:r>
          </w:p>
        </w:tc>
        <w:tc>
          <w:tcPr>
            <w:tcW w:w="608" w:type="pct"/>
            <w:tcBorders>
              <w:top w:val="nil"/>
              <w:bottom w:val="nil"/>
            </w:tcBorders>
            <w:vAlign w:val="center"/>
          </w:tcPr>
          <w:p w:rsidR="00A6674A" w:rsidRDefault="00A6674A" w:rsidP="00EE2945">
            <w:pPr>
              <w:jc w:val="center"/>
              <w:rPr>
                <w:rFonts w:cs="Arial"/>
                <w:sz w:val="20"/>
                <w:szCs w:val="20"/>
              </w:rPr>
            </w:pPr>
            <w:r>
              <w:rPr>
                <w:rFonts w:cs="Arial"/>
                <w:sz w:val="20"/>
                <w:szCs w:val="20"/>
              </w:rPr>
              <w:t>74</w:t>
            </w:r>
          </w:p>
        </w:tc>
      </w:tr>
      <w:tr w:rsidR="00A6674A" w:rsidRPr="00405CDE" w:rsidTr="00EE2945">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A6674A" w:rsidRDefault="00A6674A" w:rsidP="00EE2945">
            <w:pPr>
              <w:rPr>
                <w:rFonts w:cs="Arial"/>
                <w:sz w:val="20"/>
                <w:szCs w:val="20"/>
              </w:rPr>
            </w:pPr>
            <w:r>
              <w:rPr>
                <w:rFonts w:cs="Arial"/>
                <w:sz w:val="20"/>
                <w:szCs w:val="20"/>
              </w:rPr>
              <w:t>% change from previous week</w:t>
            </w:r>
          </w:p>
        </w:tc>
        <w:tc>
          <w:tcPr>
            <w:tcW w:w="759" w:type="pct"/>
            <w:tcBorders>
              <w:top w:val="nil"/>
              <w:bottom w:val="nil"/>
            </w:tcBorders>
            <w:vAlign w:val="center"/>
          </w:tcPr>
          <w:p w:rsidR="00A6674A" w:rsidRDefault="00A6674A" w:rsidP="00EE2945">
            <w:pPr>
              <w:jc w:val="center"/>
              <w:rPr>
                <w:rFonts w:cs="Arial"/>
                <w:sz w:val="20"/>
                <w:szCs w:val="20"/>
              </w:rPr>
            </w:pPr>
            <w:r>
              <w:rPr>
                <w:rFonts w:cs="Arial"/>
                <w:sz w:val="20"/>
                <w:szCs w:val="20"/>
              </w:rPr>
              <w:t>13</w:t>
            </w:r>
          </w:p>
        </w:tc>
        <w:tc>
          <w:tcPr>
            <w:tcW w:w="758" w:type="pct"/>
            <w:tcBorders>
              <w:top w:val="nil"/>
              <w:bottom w:val="nil"/>
            </w:tcBorders>
            <w:vAlign w:val="center"/>
          </w:tcPr>
          <w:p w:rsidR="00A6674A" w:rsidRDefault="00A6674A" w:rsidP="00EE2945">
            <w:pPr>
              <w:jc w:val="center"/>
              <w:rPr>
                <w:rFonts w:cs="Arial"/>
                <w:sz w:val="20"/>
                <w:szCs w:val="20"/>
              </w:rPr>
            </w:pPr>
            <w:r>
              <w:rPr>
                <w:rFonts w:cs="Arial"/>
                <w:sz w:val="20"/>
                <w:szCs w:val="20"/>
              </w:rPr>
              <w:t>16</w:t>
            </w:r>
          </w:p>
        </w:tc>
        <w:tc>
          <w:tcPr>
            <w:tcW w:w="759" w:type="pct"/>
            <w:tcBorders>
              <w:top w:val="nil"/>
              <w:bottom w:val="nil"/>
            </w:tcBorders>
            <w:vAlign w:val="center"/>
          </w:tcPr>
          <w:p w:rsidR="00A6674A" w:rsidRDefault="00A6674A" w:rsidP="00EE2945">
            <w:pPr>
              <w:jc w:val="center"/>
              <w:rPr>
                <w:rFonts w:cs="Arial"/>
                <w:sz w:val="20"/>
                <w:szCs w:val="20"/>
              </w:rPr>
            </w:pPr>
            <w:r>
              <w:rPr>
                <w:rFonts w:cs="Arial"/>
                <w:sz w:val="20"/>
                <w:szCs w:val="20"/>
              </w:rPr>
              <w:t>243</w:t>
            </w:r>
          </w:p>
        </w:tc>
        <w:tc>
          <w:tcPr>
            <w:tcW w:w="685" w:type="pct"/>
            <w:tcBorders>
              <w:top w:val="nil"/>
              <w:bottom w:val="nil"/>
            </w:tcBorders>
            <w:vAlign w:val="center"/>
          </w:tcPr>
          <w:p w:rsidR="00A6674A" w:rsidRDefault="00A6674A" w:rsidP="00EE2945">
            <w:pPr>
              <w:jc w:val="center"/>
              <w:rPr>
                <w:rFonts w:cs="Arial"/>
                <w:sz w:val="20"/>
                <w:szCs w:val="20"/>
              </w:rPr>
            </w:pPr>
            <w:r>
              <w:rPr>
                <w:rFonts w:cs="Arial"/>
                <w:sz w:val="20"/>
                <w:szCs w:val="20"/>
              </w:rPr>
              <w:t>11</w:t>
            </w:r>
          </w:p>
        </w:tc>
        <w:tc>
          <w:tcPr>
            <w:tcW w:w="608" w:type="pct"/>
            <w:tcBorders>
              <w:top w:val="nil"/>
              <w:bottom w:val="nil"/>
            </w:tcBorders>
            <w:vAlign w:val="center"/>
          </w:tcPr>
          <w:p w:rsidR="00A6674A" w:rsidRDefault="00A6674A" w:rsidP="00EE2945">
            <w:pPr>
              <w:jc w:val="center"/>
              <w:rPr>
                <w:rFonts w:cs="Arial"/>
                <w:sz w:val="20"/>
                <w:szCs w:val="20"/>
              </w:rPr>
            </w:pPr>
            <w:r>
              <w:rPr>
                <w:rFonts w:cs="Arial"/>
                <w:sz w:val="20"/>
                <w:szCs w:val="20"/>
              </w:rPr>
              <w:t>11</w:t>
            </w:r>
          </w:p>
        </w:tc>
      </w:tr>
      <w:tr w:rsidR="00A6674A" w:rsidRPr="00405CDE" w:rsidTr="00EE2945">
        <w:trPr>
          <w:trHeight w:val="510"/>
        </w:trPr>
        <w:tc>
          <w:tcPr>
            <w:tcW w:w="1430" w:type="pct"/>
            <w:tcBorders>
              <w:top w:val="nil"/>
              <w:bottom w:val="nil"/>
            </w:tcBorders>
            <w:vAlign w:val="center"/>
          </w:tcPr>
          <w:p w:rsidR="00A6674A" w:rsidRDefault="00A6674A" w:rsidP="00EE2945">
            <w:pPr>
              <w:rPr>
                <w:rFonts w:cs="Arial"/>
                <w:sz w:val="20"/>
                <w:szCs w:val="20"/>
              </w:rPr>
            </w:pPr>
            <w:r>
              <w:rPr>
                <w:rFonts w:cs="Arial"/>
                <w:sz w:val="20"/>
                <w:szCs w:val="20"/>
              </w:rPr>
              <w:t>15-16 financial YTD</w:t>
            </w:r>
          </w:p>
        </w:tc>
        <w:tc>
          <w:tcPr>
            <w:tcW w:w="759" w:type="pct"/>
            <w:tcBorders>
              <w:top w:val="nil"/>
              <w:bottom w:val="nil"/>
            </w:tcBorders>
            <w:vAlign w:val="center"/>
          </w:tcPr>
          <w:p w:rsidR="00A6674A" w:rsidRDefault="00A6674A" w:rsidP="00EE2945">
            <w:pPr>
              <w:jc w:val="center"/>
              <w:rPr>
                <w:rFonts w:cs="Arial"/>
                <w:sz w:val="20"/>
                <w:szCs w:val="20"/>
              </w:rPr>
            </w:pPr>
            <w:r>
              <w:rPr>
                <w:rFonts w:cs="Arial"/>
                <w:sz w:val="20"/>
                <w:szCs w:val="20"/>
              </w:rPr>
              <w:t>5.46</w:t>
            </w:r>
          </w:p>
        </w:tc>
        <w:tc>
          <w:tcPr>
            <w:tcW w:w="758" w:type="pct"/>
            <w:tcBorders>
              <w:top w:val="nil"/>
              <w:bottom w:val="nil"/>
            </w:tcBorders>
            <w:vAlign w:val="center"/>
          </w:tcPr>
          <w:p w:rsidR="00A6674A" w:rsidRDefault="00A6674A" w:rsidP="00EE2945">
            <w:pPr>
              <w:jc w:val="center"/>
              <w:rPr>
                <w:rFonts w:cs="Arial"/>
                <w:sz w:val="20"/>
                <w:szCs w:val="20"/>
              </w:rPr>
            </w:pPr>
            <w:r>
              <w:rPr>
                <w:rFonts w:cs="Arial"/>
                <w:sz w:val="20"/>
                <w:szCs w:val="20"/>
              </w:rPr>
              <w:t>5.54</w:t>
            </w:r>
          </w:p>
        </w:tc>
        <w:tc>
          <w:tcPr>
            <w:tcW w:w="759" w:type="pct"/>
            <w:tcBorders>
              <w:top w:val="nil"/>
              <w:bottom w:val="nil"/>
            </w:tcBorders>
            <w:vAlign w:val="center"/>
          </w:tcPr>
          <w:p w:rsidR="00A6674A" w:rsidRDefault="00A6674A" w:rsidP="00EE2945">
            <w:pPr>
              <w:jc w:val="center"/>
              <w:rPr>
                <w:rFonts w:cs="Arial"/>
                <w:sz w:val="20"/>
                <w:szCs w:val="20"/>
              </w:rPr>
            </w:pPr>
            <w:r>
              <w:rPr>
                <w:rFonts w:cs="Arial"/>
                <w:sz w:val="20"/>
                <w:szCs w:val="20"/>
              </w:rPr>
              <w:t>9.47</w:t>
            </w:r>
          </w:p>
        </w:tc>
        <w:tc>
          <w:tcPr>
            <w:tcW w:w="685" w:type="pct"/>
            <w:tcBorders>
              <w:top w:val="nil"/>
              <w:bottom w:val="nil"/>
            </w:tcBorders>
            <w:vAlign w:val="center"/>
          </w:tcPr>
          <w:p w:rsidR="00A6674A" w:rsidRDefault="00A6674A" w:rsidP="00EE2945">
            <w:pPr>
              <w:jc w:val="center"/>
              <w:rPr>
                <w:rFonts w:cs="Arial"/>
                <w:sz w:val="20"/>
                <w:szCs w:val="20"/>
              </w:rPr>
            </w:pPr>
            <w:r>
              <w:rPr>
                <w:rFonts w:cs="Arial"/>
                <w:sz w:val="20"/>
                <w:szCs w:val="20"/>
              </w:rPr>
              <w:t>59</w:t>
            </w:r>
          </w:p>
        </w:tc>
        <w:tc>
          <w:tcPr>
            <w:tcW w:w="608" w:type="pct"/>
            <w:tcBorders>
              <w:top w:val="nil"/>
              <w:bottom w:val="nil"/>
            </w:tcBorders>
            <w:vAlign w:val="center"/>
          </w:tcPr>
          <w:p w:rsidR="00A6674A" w:rsidRDefault="00A6674A" w:rsidP="00EE2945">
            <w:pPr>
              <w:jc w:val="center"/>
              <w:rPr>
                <w:rFonts w:cs="Arial"/>
                <w:sz w:val="20"/>
                <w:szCs w:val="20"/>
              </w:rPr>
            </w:pPr>
            <w:r>
              <w:rPr>
                <w:rFonts w:cs="Arial"/>
                <w:sz w:val="20"/>
                <w:szCs w:val="20"/>
              </w:rPr>
              <w:t>60</w:t>
            </w:r>
          </w:p>
        </w:tc>
      </w:tr>
      <w:tr w:rsidR="00A6674A" w:rsidRPr="00405CDE" w:rsidTr="00EE2945">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A6674A" w:rsidRDefault="00A6674A" w:rsidP="00EE2945">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A6674A" w:rsidRDefault="00A6674A" w:rsidP="00EE2945">
            <w:pPr>
              <w:jc w:val="center"/>
              <w:rPr>
                <w:rFonts w:cs="Arial"/>
                <w:sz w:val="20"/>
                <w:szCs w:val="20"/>
              </w:rPr>
            </w:pPr>
            <w:r>
              <w:rPr>
                <w:rFonts w:cs="Arial"/>
                <w:sz w:val="20"/>
                <w:szCs w:val="20"/>
              </w:rPr>
              <w:t>47</w:t>
            </w:r>
          </w:p>
        </w:tc>
        <w:tc>
          <w:tcPr>
            <w:tcW w:w="758" w:type="pct"/>
            <w:tcBorders>
              <w:top w:val="nil"/>
              <w:bottom w:val="single" w:sz="4" w:space="0" w:color="auto"/>
            </w:tcBorders>
            <w:vAlign w:val="center"/>
          </w:tcPr>
          <w:p w:rsidR="00A6674A" w:rsidRDefault="00A6674A" w:rsidP="00EE2945">
            <w:pPr>
              <w:jc w:val="center"/>
              <w:rPr>
                <w:rFonts w:cs="Arial"/>
                <w:sz w:val="20"/>
                <w:szCs w:val="20"/>
              </w:rPr>
            </w:pPr>
            <w:r>
              <w:rPr>
                <w:rFonts w:cs="Arial"/>
                <w:sz w:val="20"/>
                <w:szCs w:val="20"/>
              </w:rPr>
              <w:t>52</w:t>
            </w:r>
          </w:p>
        </w:tc>
        <w:tc>
          <w:tcPr>
            <w:tcW w:w="759" w:type="pct"/>
            <w:tcBorders>
              <w:top w:val="nil"/>
              <w:bottom w:val="single" w:sz="4" w:space="0" w:color="auto"/>
            </w:tcBorders>
            <w:vAlign w:val="center"/>
          </w:tcPr>
          <w:p w:rsidR="00A6674A" w:rsidRDefault="00A6674A" w:rsidP="00EE2945">
            <w:pPr>
              <w:jc w:val="center"/>
              <w:rPr>
                <w:rFonts w:cs="Arial"/>
                <w:sz w:val="20"/>
                <w:szCs w:val="20"/>
              </w:rPr>
            </w:pPr>
            <w:r>
              <w:rPr>
                <w:rFonts w:cs="Arial"/>
                <w:sz w:val="20"/>
                <w:szCs w:val="20"/>
              </w:rPr>
              <w:t>-26</w:t>
            </w:r>
          </w:p>
        </w:tc>
        <w:tc>
          <w:tcPr>
            <w:tcW w:w="685" w:type="pct"/>
            <w:tcBorders>
              <w:top w:val="nil"/>
              <w:bottom w:val="single" w:sz="4" w:space="0" w:color="auto"/>
            </w:tcBorders>
            <w:vAlign w:val="center"/>
          </w:tcPr>
          <w:p w:rsidR="00A6674A" w:rsidRDefault="00A6674A" w:rsidP="00EE2945">
            <w:pPr>
              <w:jc w:val="center"/>
              <w:rPr>
                <w:rFonts w:cs="Arial"/>
                <w:sz w:val="20"/>
                <w:szCs w:val="20"/>
              </w:rPr>
            </w:pPr>
            <w:r>
              <w:rPr>
                <w:rFonts w:cs="Arial"/>
                <w:sz w:val="20"/>
                <w:szCs w:val="20"/>
              </w:rPr>
              <w:t>-4</w:t>
            </w:r>
          </w:p>
        </w:tc>
        <w:tc>
          <w:tcPr>
            <w:tcW w:w="608" w:type="pct"/>
            <w:tcBorders>
              <w:top w:val="nil"/>
              <w:bottom w:val="single" w:sz="4" w:space="0" w:color="auto"/>
            </w:tcBorders>
            <w:vAlign w:val="center"/>
          </w:tcPr>
          <w:p w:rsidR="00A6674A" w:rsidRDefault="00A6674A" w:rsidP="00EE2945">
            <w:pPr>
              <w:jc w:val="center"/>
              <w:rPr>
                <w:rFonts w:cs="Arial"/>
                <w:sz w:val="20"/>
                <w:szCs w:val="20"/>
              </w:rPr>
            </w:pPr>
            <w:r>
              <w:rPr>
                <w:rFonts w:cs="Arial"/>
                <w:sz w:val="20"/>
                <w:szCs w:val="20"/>
              </w:rPr>
              <w:t>-3</w:t>
            </w:r>
          </w:p>
        </w:tc>
      </w:tr>
    </w:tbl>
    <w:p w:rsidR="00A6674A" w:rsidRDefault="00A6674A" w:rsidP="00A6674A"/>
    <w:p w:rsidR="00A6674A" w:rsidRDefault="00A6674A" w:rsidP="00A6674A"/>
    <w:p w:rsidR="00A6674A" w:rsidRDefault="00A6674A" w:rsidP="00A6674A"/>
    <w:p w:rsidR="00A6674A" w:rsidRPr="00A6674A" w:rsidRDefault="00A6674A" w:rsidP="00A6674A"/>
    <w:p w:rsidR="00D1641C" w:rsidRDefault="006E7E57" w:rsidP="00D1641C">
      <w:pPr>
        <w:pStyle w:val="Heading2"/>
        <w:ind w:firstLine="0"/>
        <w:rPr>
          <w:i w:val="0"/>
          <w:color w:val="2272A3"/>
          <w:sz w:val="24"/>
          <w:szCs w:val="24"/>
        </w:rPr>
      </w:pPr>
      <w:r>
        <w:rPr>
          <w:i w:val="0"/>
          <w:color w:val="2272A3"/>
          <w:sz w:val="24"/>
          <w:szCs w:val="24"/>
        </w:rPr>
        <w:lastRenderedPageBreak/>
        <w:t>Brisbane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F114D5" w:rsidRPr="00405CDE" w:rsidTr="00F114D5">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F114D5" w:rsidRPr="00DC24BF" w:rsidRDefault="00F114D5" w:rsidP="0091453B">
            <w:pPr>
              <w:pStyle w:val="TableHeading"/>
              <w:jc w:val="center"/>
              <w:rPr>
                <w:rFonts w:cs="Arial"/>
                <w:sz w:val="20"/>
                <w:szCs w:val="20"/>
              </w:rPr>
            </w:pPr>
          </w:p>
        </w:tc>
        <w:tc>
          <w:tcPr>
            <w:tcW w:w="759" w:type="pct"/>
            <w:tcBorders>
              <w:bottom w:val="nil"/>
            </w:tcBorders>
            <w:hideMark/>
          </w:tcPr>
          <w:p w:rsidR="00F114D5" w:rsidRPr="002861A9" w:rsidRDefault="00F114D5" w:rsidP="00EE2945">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F114D5" w:rsidRPr="002861A9" w:rsidRDefault="00F114D5" w:rsidP="00EE2945">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F114D5" w:rsidRPr="002861A9" w:rsidRDefault="00F114D5" w:rsidP="00EE2945">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F114D5" w:rsidRPr="002861A9" w:rsidRDefault="00F114D5" w:rsidP="00EE2945">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F114D5" w:rsidRPr="002861A9" w:rsidRDefault="00F114D5" w:rsidP="00EE2945">
            <w:pPr>
              <w:keepNext/>
              <w:spacing w:before="40" w:after="40"/>
              <w:jc w:val="center"/>
              <w:rPr>
                <w:rFonts w:cs="Arial"/>
                <w:b w:val="0"/>
                <w:bCs/>
                <w:sz w:val="20"/>
                <w:szCs w:val="20"/>
              </w:rPr>
            </w:pPr>
            <w:r w:rsidRPr="002861A9">
              <w:rPr>
                <w:rFonts w:cs="Arial"/>
                <w:bCs/>
                <w:sz w:val="20"/>
                <w:szCs w:val="20"/>
              </w:rPr>
              <w:t>Ex post quantity (TJ)</w:t>
            </w:r>
          </w:p>
        </w:tc>
      </w:tr>
      <w:tr w:rsidR="00011210" w:rsidRPr="00405CDE" w:rsidTr="00EE2945">
        <w:trPr>
          <w:trHeight w:val="510"/>
        </w:trPr>
        <w:tc>
          <w:tcPr>
            <w:tcW w:w="1430" w:type="pct"/>
            <w:tcBorders>
              <w:top w:val="nil"/>
              <w:bottom w:val="nil"/>
            </w:tcBorders>
            <w:vAlign w:val="center"/>
          </w:tcPr>
          <w:p w:rsidR="00011210" w:rsidRDefault="00011210">
            <w:pPr>
              <w:rPr>
                <w:rFonts w:cs="Arial"/>
                <w:sz w:val="20"/>
                <w:szCs w:val="20"/>
              </w:rPr>
            </w:pPr>
            <w:r>
              <w:rPr>
                <w:rFonts w:cs="Arial"/>
                <w:sz w:val="20"/>
                <w:szCs w:val="20"/>
              </w:rPr>
              <w:t>29 May - 04 Jun 2016</w:t>
            </w:r>
          </w:p>
        </w:tc>
        <w:tc>
          <w:tcPr>
            <w:tcW w:w="759" w:type="pct"/>
            <w:tcBorders>
              <w:top w:val="nil"/>
              <w:bottom w:val="nil"/>
            </w:tcBorders>
            <w:vAlign w:val="center"/>
          </w:tcPr>
          <w:p w:rsidR="00011210" w:rsidRDefault="00011210">
            <w:pPr>
              <w:jc w:val="center"/>
              <w:rPr>
                <w:rFonts w:cs="Arial"/>
                <w:sz w:val="20"/>
                <w:szCs w:val="20"/>
              </w:rPr>
            </w:pPr>
            <w:r>
              <w:rPr>
                <w:rFonts w:cs="Arial"/>
                <w:sz w:val="20"/>
                <w:szCs w:val="20"/>
              </w:rPr>
              <w:t>6.99</w:t>
            </w:r>
          </w:p>
        </w:tc>
        <w:tc>
          <w:tcPr>
            <w:tcW w:w="758" w:type="pct"/>
            <w:tcBorders>
              <w:top w:val="nil"/>
              <w:bottom w:val="nil"/>
            </w:tcBorders>
            <w:vAlign w:val="center"/>
          </w:tcPr>
          <w:p w:rsidR="00011210" w:rsidRDefault="00011210">
            <w:pPr>
              <w:jc w:val="center"/>
              <w:rPr>
                <w:rFonts w:cs="Arial"/>
                <w:sz w:val="20"/>
                <w:szCs w:val="20"/>
              </w:rPr>
            </w:pPr>
            <w:r>
              <w:rPr>
                <w:rFonts w:cs="Arial"/>
                <w:sz w:val="20"/>
                <w:szCs w:val="20"/>
              </w:rPr>
              <w:t>7.13</w:t>
            </w:r>
          </w:p>
        </w:tc>
        <w:tc>
          <w:tcPr>
            <w:tcW w:w="759" w:type="pct"/>
            <w:tcBorders>
              <w:top w:val="nil"/>
              <w:bottom w:val="nil"/>
            </w:tcBorders>
            <w:vAlign w:val="center"/>
          </w:tcPr>
          <w:p w:rsidR="00011210" w:rsidRDefault="00011210">
            <w:pPr>
              <w:jc w:val="center"/>
              <w:rPr>
                <w:rFonts w:cs="Arial"/>
                <w:sz w:val="20"/>
                <w:szCs w:val="20"/>
              </w:rPr>
            </w:pPr>
            <w:r>
              <w:rPr>
                <w:rFonts w:cs="Arial"/>
                <w:sz w:val="20"/>
                <w:szCs w:val="20"/>
              </w:rPr>
              <w:t>1.24</w:t>
            </w:r>
          </w:p>
        </w:tc>
        <w:tc>
          <w:tcPr>
            <w:tcW w:w="685" w:type="pct"/>
            <w:tcBorders>
              <w:top w:val="nil"/>
              <w:bottom w:val="nil"/>
            </w:tcBorders>
            <w:vAlign w:val="center"/>
          </w:tcPr>
          <w:p w:rsidR="00011210" w:rsidRDefault="00011210">
            <w:pPr>
              <w:jc w:val="center"/>
              <w:rPr>
                <w:rFonts w:cs="Arial"/>
                <w:sz w:val="20"/>
                <w:szCs w:val="20"/>
              </w:rPr>
            </w:pPr>
            <w:r>
              <w:rPr>
                <w:rFonts w:cs="Arial"/>
                <w:sz w:val="20"/>
                <w:szCs w:val="20"/>
              </w:rPr>
              <w:t>89</w:t>
            </w:r>
          </w:p>
        </w:tc>
        <w:tc>
          <w:tcPr>
            <w:tcW w:w="608" w:type="pct"/>
            <w:tcBorders>
              <w:top w:val="nil"/>
              <w:bottom w:val="nil"/>
            </w:tcBorders>
            <w:vAlign w:val="center"/>
          </w:tcPr>
          <w:p w:rsidR="00011210" w:rsidRDefault="00011210">
            <w:pPr>
              <w:jc w:val="center"/>
              <w:rPr>
                <w:rFonts w:cs="Arial"/>
                <w:sz w:val="20"/>
                <w:szCs w:val="20"/>
              </w:rPr>
            </w:pPr>
            <w:r>
              <w:rPr>
                <w:rFonts w:cs="Arial"/>
                <w:sz w:val="20"/>
                <w:szCs w:val="20"/>
              </w:rPr>
              <w:t>90</w:t>
            </w:r>
          </w:p>
        </w:tc>
      </w:tr>
      <w:tr w:rsidR="00011210" w:rsidRPr="00405CDE" w:rsidTr="00EE2945">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011210" w:rsidRDefault="00011210">
            <w:pPr>
              <w:rPr>
                <w:rFonts w:cs="Arial"/>
                <w:sz w:val="20"/>
                <w:szCs w:val="20"/>
              </w:rPr>
            </w:pPr>
            <w:r>
              <w:rPr>
                <w:rFonts w:cs="Arial"/>
                <w:sz w:val="20"/>
                <w:szCs w:val="20"/>
              </w:rPr>
              <w:t>% change from previous week</w:t>
            </w:r>
          </w:p>
        </w:tc>
        <w:tc>
          <w:tcPr>
            <w:tcW w:w="759" w:type="pct"/>
            <w:tcBorders>
              <w:top w:val="nil"/>
              <w:bottom w:val="nil"/>
            </w:tcBorders>
            <w:vAlign w:val="center"/>
          </w:tcPr>
          <w:p w:rsidR="00011210" w:rsidRDefault="00011210">
            <w:pPr>
              <w:jc w:val="center"/>
              <w:rPr>
                <w:rFonts w:cs="Arial"/>
                <w:sz w:val="20"/>
                <w:szCs w:val="20"/>
              </w:rPr>
            </w:pPr>
            <w:r>
              <w:rPr>
                <w:rFonts w:cs="Arial"/>
                <w:sz w:val="20"/>
                <w:szCs w:val="20"/>
              </w:rPr>
              <w:t>26</w:t>
            </w:r>
          </w:p>
        </w:tc>
        <w:tc>
          <w:tcPr>
            <w:tcW w:w="758" w:type="pct"/>
            <w:tcBorders>
              <w:top w:val="nil"/>
              <w:bottom w:val="nil"/>
            </w:tcBorders>
            <w:vAlign w:val="center"/>
          </w:tcPr>
          <w:p w:rsidR="00011210" w:rsidRDefault="00011210">
            <w:pPr>
              <w:jc w:val="center"/>
              <w:rPr>
                <w:rFonts w:cs="Arial"/>
                <w:sz w:val="20"/>
                <w:szCs w:val="20"/>
              </w:rPr>
            </w:pPr>
            <w:r>
              <w:rPr>
                <w:rFonts w:cs="Arial"/>
                <w:sz w:val="20"/>
                <w:szCs w:val="20"/>
              </w:rPr>
              <w:t>31</w:t>
            </w:r>
          </w:p>
        </w:tc>
        <w:tc>
          <w:tcPr>
            <w:tcW w:w="759" w:type="pct"/>
            <w:tcBorders>
              <w:top w:val="nil"/>
              <w:bottom w:val="nil"/>
            </w:tcBorders>
            <w:vAlign w:val="center"/>
          </w:tcPr>
          <w:p w:rsidR="00011210" w:rsidRDefault="00011210">
            <w:pPr>
              <w:jc w:val="center"/>
              <w:rPr>
                <w:rFonts w:cs="Arial"/>
                <w:sz w:val="20"/>
                <w:szCs w:val="20"/>
              </w:rPr>
            </w:pPr>
            <w:r>
              <w:rPr>
                <w:rFonts w:cs="Arial"/>
                <w:sz w:val="20"/>
                <w:szCs w:val="20"/>
              </w:rPr>
              <w:t>-20</w:t>
            </w:r>
          </w:p>
        </w:tc>
        <w:tc>
          <w:tcPr>
            <w:tcW w:w="685" w:type="pct"/>
            <w:tcBorders>
              <w:top w:val="nil"/>
              <w:bottom w:val="nil"/>
            </w:tcBorders>
            <w:vAlign w:val="center"/>
          </w:tcPr>
          <w:p w:rsidR="00011210" w:rsidRDefault="00011210">
            <w:pPr>
              <w:jc w:val="center"/>
              <w:rPr>
                <w:rFonts w:cs="Arial"/>
                <w:sz w:val="20"/>
                <w:szCs w:val="20"/>
              </w:rPr>
            </w:pPr>
            <w:r>
              <w:rPr>
                <w:rFonts w:cs="Arial"/>
                <w:sz w:val="20"/>
                <w:szCs w:val="20"/>
              </w:rPr>
              <w:t>0</w:t>
            </w:r>
          </w:p>
        </w:tc>
        <w:tc>
          <w:tcPr>
            <w:tcW w:w="608" w:type="pct"/>
            <w:tcBorders>
              <w:top w:val="nil"/>
              <w:bottom w:val="nil"/>
            </w:tcBorders>
            <w:vAlign w:val="center"/>
          </w:tcPr>
          <w:p w:rsidR="00011210" w:rsidRDefault="00011210">
            <w:pPr>
              <w:jc w:val="center"/>
              <w:rPr>
                <w:rFonts w:cs="Arial"/>
                <w:sz w:val="20"/>
                <w:szCs w:val="20"/>
              </w:rPr>
            </w:pPr>
            <w:r>
              <w:rPr>
                <w:rFonts w:cs="Arial"/>
                <w:sz w:val="20"/>
                <w:szCs w:val="20"/>
              </w:rPr>
              <w:t>2</w:t>
            </w:r>
          </w:p>
        </w:tc>
      </w:tr>
      <w:tr w:rsidR="00011210" w:rsidRPr="00405CDE" w:rsidTr="00EE2945">
        <w:trPr>
          <w:trHeight w:val="510"/>
        </w:trPr>
        <w:tc>
          <w:tcPr>
            <w:tcW w:w="1430" w:type="pct"/>
            <w:tcBorders>
              <w:top w:val="nil"/>
              <w:bottom w:val="nil"/>
            </w:tcBorders>
            <w:vAlign w:val="center"/>
          </w:tcPr>
          <w:p w:rsidR="00011210" w:rsidRDefault="00011210">
            <w:pPr>
              <w:rPr>
                <w:rFonts w:cs="Arial"/>
                <w:sz w:val="20"/>
                <w:szCs w:val="20"/>
              </w:rPr>
            </w:pPr>
            <w:r>
              <w:rPr>
                <w:rFonts w:cs="Arial"/>
                <w:sz w:val="20"/>
                <w:szCs w:val="20"/>
              </w:rPr>
              <w:t>15-16 financial YTD</w:t>
            </w:r>
          </w:p>
        </w:tc>
        <w:tc>
          <w:tcPr>
            <w:tcW w:w="759" w:type="pct"/>
            <w:tcBorders>
              <w:top w:val="nil"/>
              <w:bottom w:val="nil"/>
            </w:tcBorders>
            <w:vAlign w:val="center"/>
          </w:tcPr>
          <w:p w:rsidR="00011210" w:rsidRDefault="00011210">
            <w:pPr>
              <w:jc w:val="center"/>
              <w:rPr>
                <w:rFonts w:cs="Arial"/>
                <w:sz w:val="20"/>
                <w:szCs w:val="20"/>
              </w:rPr>
            </w:pPr>
            <w:r>
              <w:rPr>
                <w:rFonts w:cs="Arial"/>
                <w:sz w:val="20"/>
                <w:szCs w:val="20"/>
              </w:rPr>
              <w:t>4.39</w:t>
            </w:r>
          </w:p>
        </w:tc>
        <w:tc>
          <w:tcPr>
            <w:tcW w:w="758" w:type="pct"/>
            <w:tcBorders>
              <w:top w:val="nil"/>
              <w:bottom w:val="nil"/>
            </w:tcBorders>
            <w:vAlign w:val="center"/>
          </w:tcPr>
          <w:p w:rsidR="00011210" w:rsidRDefault="00011210">
            <w:pPr>
              <w:jc w:val="center"/>
              <w:rPr>
                <w:rFonts w:cs="Arial"/>
                <w:sz w:val="20"/>
                <w:szCs w:val="20"/>
              </w:rPr>
            </w:pPr>
            <w:r>
              <w:rPr>
                <w:rFonts w:cs="Arial"/>
                <w:sz w:val="20"/>
                <w:szCs w:val="20"/>
              </w:rPr>
              <w:t>4.39</w:t>
            </w:r>
          </w:p>
        </w:tc>
        <w:tc>
          <w:tcPr>
            <w:tcW w:w="759" w:type="pct"/>
            <w:tcBorders>
              <w:top w:val="nil"/>
              <w:bottom w:val="nil"/>
            </w:tcBorders>
            <w:vAlign w:val="center"/>
          </w:tcPr>
          <w:p w:rsidR="00011210" w:rsidRDefault="00011210">
            <w:pPr>
              <w:jc w:val="center"/>
              <w:rPr>
                <w:rFonts w:cs="Arial"/>
                <w:sz w:val="20"/>
                <w:szCs w:val="20"/>
              </w:rPr>
            </w:pPr>
            <w:r>
              <w:rPr>
                <w:rFonts w:cs="Arial"/>
                <w:sz w:val="20"/>
                <w:szCs w:val="20"/>
              </w:rPr>
              <w:t>1.57</w:t>
            </w:r>
          </w:p>
        </w:tc>
        <w:tc>
          <w:tcPr>
            <w:tcW w:w="685" w:type="pct"/>
            <w:tcBorders>
              <w:top w:val="nil"/>
              <w:bottom w:val="nil"/>
            </w:tcBorders>
            <w:vAlign w:val="center"/>
          </w:tcPr>
          <w:p w:rsidR="00011210" w:rsidRDefault="00011210">
            <w:pPr>
              <w:jc w:val="center"/>
              <w:rPr>
                <w:rFonts w:cs="Arial"/>
                <w:sz w:val="20"/>
                <w:szCs w:val="20"/>
              </w:rPr>
            </w:pPr>
            <w:r>
              <w:rPr>
                <w:rFonts w:cs="Arial"/>
                <w:sz w:val="20"/>
                <w:szCs w:val="20"/>
              </w:rPr>
              <w:t>83</w:t>
            </w:r>
          </w:p>
        </w:tc>
        <w:tc>
          <w:tcPr>
            <w:tcW w:w="608" w:type="pct"/>
            <w:tcBorders>
              <w:top w:val="nil"/>
              <w:bottom w:val="nil"/>
            </w:tcBorders>
            <w:vAlign w:val="center"/>
          </w:tcPr>
          <w:p w:rsidR="00011210" w:rsidRDefault="00011210">
            <w:pPr>
              <w:jc w:val="center"/>
              <w:rPr>
                <w:rFonts w:cs="Arial"/>
                <w:sz w:val="20"/>
                <w:szCs w:val="20"/>
              </w:rPr>
            </w:pPr>
            <w:r>
              <w:rPr>
                <w:rFonts w:cs="Arial"/>
                <w:sz w:val="20"/>
                <w:szCs w:val="20"/>
              </w:rPr>
              <w:t>83</w:t>
            </w:r>
          </w:p>
        </w:tc>
      </w:tr>
      <w:tr w:rsidR="00011210" w:rsidRPr="00405CDE" w:rsidTr="00EE2945">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011210" w:rsidRDefault="00011210">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011210" w:rsidRDefault="00011210">
            <w:pPr>
              <w:jc w:val="center"/>
              <w:rPr>
                <w:rFonts w:cs="Arial"/>
                <w:sz w:val="20"/>
                <w:szCs w:val="20"/>
              </w:rPr>
            </w:pPr>
            <w:r>
              <w:rPr>
                <w:rFonts w:cs="Arial"/>
                <w:sz w:val="20"/>
                <w:szCs w:val="20"/>
              </w:rPr>
              <w:t>88</w:t>
            </w:r>
          </w:p>
        </w:tc>
        <w:tc>
          <w:tcPr>
            <w:tcW w:w="758" w:type="pct"/>
            <w:tcBorders>
              <w:top w:val="nil"/>
              <w:bottom w:val="single" w:sz="4" w:space="0" w:color="auto"/>
            </w:tcBorders>
            <w:vAlign w:val="center"/>
          </w:tcPr>
          <w:p w:rsidR="00011210" w:rsidRDefault="00011210">
            <w:pPr>
              <w:jc w:val="center"/>
              <w:rPr>
                <w:rFonts w:cs="Arial"/>
                <w:sz w:val="20"/>
                <w:szCs w:val="20"/>
              </w:rPr>
            </w:pPr>
            <w:r>
              <w:rPr>
                <w:rFonts w:cs="Arial"/>
                <w:sz w:val="20"/>
                <w:szCs w:val="20"/>
              </w:rPr>
              <w:t>99</w:t>
            </w:r>
          </w:p>
        </w:tc>
        <w:tc>
          <w:tcPr>
            <w:tcW w:w="759" w:type="pct"/>
            <w:tcBorders>
              <w:top w:val="nil"/>
              <w:bottom w:val="single" w:sz="4" w:space="0" w:color="auto"/>
            </w:tcBorders>
            <w:vAlign w:val="center"/>
          </w:tcPr>
          <w:p w:rsidR="00011210" w:rsidRDefault="00011210">
            <w:pPr>
              <w:jc w:val="center"/>
              <w:rPr>
                <w:rFonts w:cs="Arial"/>
                <w:sz w:val="20"/>
                <w:szCs w:val="20"/>
              </w:rPr>
            </w:pPr>
            <w:r>
              <w:rPr>
                <w:rFonts w:cs="Arial"/>
                <w:sz w:val="20"/>
                <w:szCs w:val="20"/>
              </w:rPr>
              <w:t>-8</w:t>
            </w:r>
          </w:p>
        </w:tc>
        <w:tc>
          <w:tcPr>
            <w:tcW w:w="685" w:type="pct"/>
            <w:tcBorders>
              <w:top w:val="nil"/>
              <w:bottom w:val="single" w:sz="4" w:space="0" w:color="auto"/>
            </w:tcBorders>
            <w:vAlign w:val="center"/>
          </w:tcPr>
          <w:p w:rsidR="00011210" w:rsidRDefault="00011210">
            <w:pPr>
              <w:jc w:val="center"/>
              <w:rPr>
                <w:rFonts w:cs="Arial"/>
                <w:sz w:val="20"/>
                <w:szCs w:val="20"/>
              </w:rPr>
            </w:pPr>
            <w:r>
              <w:rPr>
                <w:rFonts w:cs="Arial"/>
                <w:sz w:val="20"/>
                <w:szCs w:val="20"/>
              </w:rPr>
              <w:t>-37</w:t>
            </w:r>
          </w:p>
        </w:tc>
        <w:tc>
          <w:tcPr>
            <w:tcW w:w="608" w:type="pct"/>
            <w:tcBorders>
              <w:top w:val="nil"/>
              <w:bottom w:val="single" w:sz="4" w:space="0" w:color="auto"/>
            </w:tcBorders>
            <w:vAlign w:val="center"/>
          </w:tcPr>
          <w:p w:rsidR="00011210" w:rsidRDefault="00011210">
            <w:pPr>
              <w:jc w:val="center"/>
              <w:rPr>
                <w:rFonts w:cs="Arial"/>
                <w:sz w:val="20"/>
                <w:szCs w:val="20"/>
              </w:rPr>
            </w:pPr>
            <w:r>
              <w:rPr>
                <w:rFonts w:cs="Arial"/>
                <w:sz w:val="20"/>
                <w:szCs w:val="20"/>
              </w:rPr>
              <w:t>-37</w:t>
            </w:r>
          </w:p>
        </w:tc>
      </w:tr>
    </w:tbl>
    <w:p w:rsidR="006E7E57" w:rsidRPr="008D4DAB" w:rsidRDefault="006E7E57" w:rsidP="00345444">
      <w:pPr>
        <w:pStyle w:val="AERbodytext"/>
        <w:spacing w:before="120" w:after="120" w:line="240" w:lineRule="auto"/>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D1641C" w:rsidRPr="00D1641C" w:rsidRDefault="006E7E57" w:rsidP="009962A0">
      <w:pPr>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xml:space="preserve">, and section 6 provides information on the </w:t>
      </w:r>
      <w:r w:rsidR="009962A0">
        <w:t>G</w:t>
      </w:r>
      <w:r>
        <w:t xml:space="preserve">as </w:t>
      </w:r>
      <w:r w:rsidR="009962A0">
        <w:t>S</w:t>
      </w:r>
      <w:r>
        <w:t xml:space="preserve">upply </w:t>
      </w:r>
      <w:r w:rsidR="009962A0">
        <w:t>H</w:t>
      </w:r>
      <w:r>
        <w:t xml:space="preserve">ub </w:t>
      </w:r>
      <w:r w:rsidR="009962A0" w:rsidRPr="009962A0">
        <w:rPr>
          <w:b/>
        </w:rPr>
        <w:t>(GSH)</w:t>
      </w:r>
      <w:r w:rsidR="009962A0">
        <w:t xml:space="preserve"> </w:t>
      </w:r>
      <w:r>
        <w:t>at Wallumbilla</w:t>
      </w:r>
      <w:r w:rsidRPr="008D4DAB">
        <w:t>.</w:t>
      </w:r>
    </w:p>
    <w:p w:rsidR="00BC18FB" w:rsidRPr="006E7E57" w:rsidRDefault="00FE30E3" w:rsidP="00BC18FB">
      <w:pPr>
        <w:pStyle w:val="Heading1"/>
        <w:numPr>
          <w:ilvl w:val="0"/>
          <w:numId w:val="0"/>
        </w:numPr>
        <w:rPr>
          <w:color w:val="2272A3"/>
        </w:rPr>
      </w:pPr>
      <w:r>
        <w:rPr>
          <w:color w:val="2272A3"/>
        </w:rPr>
        <w:t>Detailed market analysis</w:t>
      </w:r>
    </w:p>
    <w:p w:rsidR="001637C6" w:rsidRPr="001637C6" w:rsidRDefault="001637C6" w:rsidP="001637C6">
      <w:pPr>
        <w:keepNext/>
        <w:jc w:val="both"/>
        <w:rPr>
          <w:i/>
        </w:rPr>
      </w:pPr>
      <w:r w:rsidRPr="001637C6">
        <w:rPr>
          <w:i/>
        </w:rPr>
        <w:t>High prices and gas demand</w:t>
      </w:r>
    </w:p>
    <w:p w:rsidR="00324CA9" w:rsidRPr="001637C6" w:rsidRDefault="00902CFF" w:rsidP="00902CFF">
      <w:pPr>
        <w:jc w:val="both"/>
      </w:pPr>
      <w:r w:rsidRPr="001637C6">
        <w:t xml:space="preserve">High </w:t>
      </w:r>
      <w:r w:rsidR="00A35D90" w:rsidRPr="001637C6">
        <w:t xml:space="preserve">market </w:t>
      </w:r>
      <w:r w:rsidRPr="001637C6">
        <w:t xml:space="preserve">demand </w:t>
      </w:r>
      <w:r w:rsidR="00A35D90" w:rsidRPr="001637C6">
        <w:t xml:space="preserve">drove </w:t>
      </w:r>
      <w:r w:rsidRPr="001637C6">
        <w:t>high</w:t>
      </w:r>
      <w:r w:rsidR="00A35D90" w:rsidRPr="001637C6">
        <w:t>er</w:t>
      </w:r>
      <w:r w:rsidRPr="001637C6">
        <w:t xml:space="preserve"> prices in all regions</w:t>
      </w:r>
      <w:r w:rsidR="00A35D90" w:rsidRPr="001637C6">
        <w:t xml:space="preserve"> this week</w:t>
      </w:r>
      <w:r w:rsidRPr="001637C6">
        <w:t>.</w:t>
      </w:r>
      <w:r w:rsidR="00324CA9" w:rsidRPr="001637C6">
        <w:t xml:space="preserve"> High GPG</w:t>
      </w:r>
      <w:r w:rsidR="00482F32" w:rsidRPr="001637C6">
        <w:t xml:space="preserve"> gas usage</w:t>
      </w:r>
      <w:r w:rsidR="00324CA9" w:rsidRPr="001637C6">
        <w:t xml:space="preserve"> also contributed to </w:t>
      </w:r>
      <w:r w:rsidR="00482F32" w:rsidRPr="001637C6">
        <w:t>d</w:t>
      </w:r>
      <w:r w:rsidR="00F15FDD" w:rsidRPr="001637C6">
        <w:t xml:space="preserve">riving higher prices. GPG levels increased most significantly in </w:t>
      </w:r>
      <w:r w:rsidR="00482F32" w:rsidRPr="001637C6">
        <w:t>Adelaide, Victoria and Brisbane</w:t>
      </w:r>
      <w:r w:rsidR="00F15FDD" w:rsidRPr="001637C6">
        <w:t>, while levels in Sydney were also relatively high at around 107 TJ/day</w:t>
      </w:r>
      <w:r w:rsidR="00482F32" w:rsidRPr="001637C6">
        <w:t>.</w:t>
      </w:r>
    </w:p>
    <w:p w:rsidR="00D9549D" w:rsidRPr="001637C6" w:rsidRDefault="00D9549D" w:rsidP="00902CFF">
      <w:pPr>
        <w:jc w:val="both"/>
      </w:pPr>
      <w:r w:rsidRPr="001637C6">
        <w:t>Figure 6 shows the increase in GPG gas usage levels compared to the previous fortnight in South Australia, Victoria and Queensland. These are compared against temperatures in Adelaide, Victoria and Brisbane</w:t>
      </w:r>
      <w:r w:rsidR="00D8760D" w:rsidRPr="001637C6">
        <w:t>,</w:t>
      </w:r>
      <w:r w:rsidR="00AF7E0A" w:rsidRPr="001637C6">
        <w:t xml:space="preserve"> and gas prices in each market.</w:t>
      </w:r>
    </w:p>
    <w:p w:rsidR="00D9549D" w:rsidRDefault="00D9549D" w:rsidP="00D9549D">
      <w:pPr>
        <w:pStyle w:val="Heading2"/>
        <w:ind w:firstLine="0"/>
        <w:rPr>
          <w:i w:val="0"/>
          <w:color w:val="2272A3"/>
          <w:sz w:val="24"/>
          <w:szCs w:val="24"/>
        </w:rPr>
      </w:pPr>
      <w:r>
        <w:rPr>
          <w:i w:val="0"/>
          <w:color w:val="2272A3"/>
          <w:sz w:val="24"/>
          <w:szCs w:val="24"/>
        </w:rPr>
        <w:t xml:space="preserve">GPG gas usage in </w:t>
      </w:r>
      <w:r w:rsidRPr="00D9549D">
        <w:rPr>
          <w:i w:val="0"/>
          <w:color w:val="2272A3"/>
          <w:sz w:val="24"/>
          <w:szCs w:val="24"/>
        </w:rPr>
        <w:t>Adelaide, Victoria and Brisbane</w:t>
      </w:r>
      <w:r>
        <w:rPr>
          <w:i w:val="0"/>
          <w:color w:val="2272A3"/>
          <w:sz w:val="24"/>
          <w:szCs w:val="24"/>
        </w:rPr>
        <w:t xml:space="preserve"> (</w:t>
      </w:r>
      <w:r w:rsidR="00AF7E0A">
        <w:rPr>
          <w:i w:val="0"/>
          <w:color w:val="2272A3"/>
          <w:sz w:val="24"/>
          <w:szCs w:val="24"/>
        </w:rPr>
        <w:t>TJ)</w:t>
      </w:r>
    </w:p>
    <w:p w:rsidR="00E80F95" w:rsidRPr="001637C6" w:rsidRDefault="00BD01D4" w:rsidP="001B3823">
      <w:pPr>
        <w:jc w:val="both"/>
        <w:rPr>
          <w:rFonts w:eastAsia="MS Mincho"/>
        </w:rPr>
      </w:pPr>
      <w:r>
        <w:rPr>
          <w:rFonts w:eastAsia="MS Mincho"/>
        </w:rPr>
        <w:pict>
          <v:shape id="_x0000_i1025" type="#_x0000_t75" alt="Figure 6 shows gas usage estimates for gas powered generation (GPG) in Adelaide, Victoria and Queensland (primary y-axis) and the price of gas in the Adelaide, Victorian and Brisbane gas markets (secondary y-axis) by gas day. Also shown is the daily maximum temperature recorded in each region on the day (tertiary y-axis). Calculation methodology for GPG is the same as that used for figure 5.1. For a more detailed description of the methodology, please refer to the user guide." style="width:475.45pt;height:183.4pt">
            <v:imagedata r:id="rId13" o:title=""/>
          </v:shape>
        </w:pict>
      </w:r>
    </w:p>
    <w:p w:rsidR="001637C6" w:rsidRPr="001637C6" w:rsidRDefault="001637C6" w:rsidP="001637C6">
      <w:pPr>
        <w:jc w:val="both"/>
      </w:pPr>
    </w:p>
    <w:p w:rsidR="001637C6" w:rsidRPr="001637C6" w:rsidRDefault="001637C6" w:rsidP="001637C6">
      <w:pPr>
        <w:jc w:val="both"/>
      </w:pPr>
      <w:r w:rsidRPr="001637C6">
        <w:t>A number of high schedule prices occurred in Victoria from 31 May – 3 June, triggering LNG injections from 1 – 3 June. On Thursday 2 June, the price in Victoria reached its peak at $10.90/GJ during planned maintenance on the Gooding compressor at Longford. This also coincided with a price spike to $9.80/GJ in the Sydney hub.</w:t>
      </w:r>
    </w:p>
    <w:p w:rsidR="001637C6" w:rsidRPr="001637C6" w:rsidRDefault="001637C6" w:rsidP="001637C6">
      <w:pPr>
        <w:keepNext/>
        <w:jc w:val="both"/>
        <w:rPr>
          <w:i/>
        </w:rPr>
      </w:pPr>
      <w:r w:rsidRPr="001637C6">
        <w:rPr>
          <w:i/>
        </w:rPr>
        <w:lastRenderedPageBreak/>
        <w:t>Supply supplemented by injections at Newcastle</w:t>
      </w:r>
    </w:p>
    <w:p w:rsidR="001637C6" w:rsidRPr="001637C6" w:rsidRDefault="001637C6" w:rsidP="001637C6">
      <w:pPr>
        <w:jc w:val="both"/>
        <w:rPr>
          <w:rFonts w:eastAsia="MS Mincho"/>
        </w:rPr>
      </w:pPr>
      <w:r w:rsidRPr="001637C6">
        <w:rPr>
          <w:rFonts w:eastAsia="MS Mincho"/>
        </w:rPr>
        <w:t xml:space="preserve">Figure 2.3 </w:t>
      </w:r>
      <w:r w:rsidR="00EE2945">
        <w:rPr>
          <w:rFonts w:eastAsia="MS Mincho"/>
        </w:rPr>
        <w:t xml:space="preserve">on page 8 </w:t>
      </w:r>
      <w:r w:rsidRPr="001637C6">
        <w:rPr>
          <w:rFonts w:eastAsia="MS Mincho"/>
        </w:rPr>
        <w:t>shows a sustained delivery of 30 – 40 TJ/day of gas was supplied to the Sydney market from the Newcastle Gas Storage (NGS) facility.</w:t>
      </w:r>
      <w:r w:rsidRPr="001637C6">
        <w:rPr>
          <w:rStyle w:val="FootnoteReference"/>
          <w:rFonts w:eastAsia="MS Mincho"/>
        </w:rPr>
        <w:footnoteReference w:id="2"/>
      </w:r>
    </w:p>
    <w:p w:rsidR="001637C6" w:rsidRPr="001637C6" w:rsidRDefault="001637C6" w:rsidP="001637C6">
      <w:pPr>
        <w:jc w:val="both"/>
        <w:rPr>
          <w:rFonts w:eastAsia="MS Mincho"/>
        </w:rPr>
      </w:pPr>
    </w:p>
    <w:p w:rsidR="001637C6" w:rsidRPr="001637C6" w:rsidRDefault="001637C6" w:rsidP="001637C6">
      <w:pPr>
        <w:keepNext/>
        <w:jc w:val="both"/>
        <w:rPr>
          <w:i/>
        </w:rPr>
      </w:pPr>
      <w:r w:rsidRPr="001637C6">
        <w:rPr>
          <w:i/>
        </w:rPr>
        <w:t>Counteracting MOS in Adelaide</w:t>
      </w:r>
    </w:p>
    <w:p w:rsidR="001C1F0E" w:rsidRPr="001637C6" w:rsidRDefault="001C1F0E" w:rsidP="001637C6">
      <w:pPr>
        <w:jc w:val="both"/>
        <w:rPr>
          <w:rFonts w:eastAsia="MS Mincho"/>
        </w:rPr>
      </w:pPr>
      <w:r>
        <w:rPr>
          <w:rFonts w:eastAsia="MS Mincho"/>
        </w:rPr>
        <w:t xml:space="preserve">Figure 3.4 </w:t>
      </w:r>
      <w:r w:rsidR="00EE2945">
        <w:rPr>
          <w:rFonts w:eastAsia="MS Mincho"/>
        </w:rPr>
        <w:t xml:space="preserve">on page 9 </w:t>
      </w:r>
      <w:r>
        <w:rPr>
          <w:rFonts w:eastAsia="MS Mincho"/>
        </w:rPr>
        <w:t xml:space="preserve">shows high levels of counteracting MOS in Adelaide leading to large service costs on the 30 May and 4 June gas days. Net requirements on the respective days were 4.5 TJ (increase) and 1 TJ (decrease). However, counteracting increase allocations for the services on the MAP and decrease allocations on </w:t>
      </w:r>
      <w:proofErr w:type="spellStart"/>
      <w:r>
        <w:rPr>
          <w:rFonts w:eastAsia="MS Mincho"/>
        </w:rPr>
        <w:t>SEAGas</w:t>
      </w:r>
      <w:proofErr w:type="spellEnd"/>
      <w:r>
        <w:rPr>
          <w:rFonts w:eastAsia="MS Mincho"/>
        </w:rPr>
        <w:t xml:space="preserve"> led to absolute MOS quantities of just under 18 TJ on both days. This resulted in service payments of $96 676 and $83 969 respectively.</w:t>
      </w:r>
    </w:p>
    <w:p w:rsidR="001637C6" w:rsidRPr="001637C6" w:rsidRDefault="001637C6" w:rsidP="001637C6">
      <w:pPr>
        <w:jc w:val="both"/>
      </w:pPr>
    </w:p>
    <w:p w:rsidR="001637C6" w:rsidRPr="001637C6" w:rsidRDefault="001637C6" w:rsidP="001637C6">
      <w:pPr>
        <w:keepNext/>
        <w:jc w:val="both"/>
        <w:rPr>
          <w:rFonts w:eastAsia="MS Mincho"/>
          <w:i/>
        </w:rPr>
      </w:pPr>
      <w:r w:rsidRPr="001637C6">
        <w:rPr>
          <w:rFonts w:eastAsia="MS Mincho"/>
          <w:i/>
        </w:rPr>
        <w:t>Recent developments on the Bulletin Board and Gas Supply Hub</w:t>
      </w:r>
    </w:p>
    <w:p w:rsidR="00AE1459" w:rsidRDefault="00EE2945" w:rsidP="001B3823">
      <w:pPr>
        <w:jc w:val="both"/>
      </w:pPr>
      <w:r>
        <w:t>On 1 June, the n</w:t>
      </w:r>
      <w:r w:rsidR="00AE1459" w:rsidRPr="001637C6">
        <w:t xml:space="preserve">ew Wallumbilla zone </w:t>
      </w:r>
      <w:r>
        <w:t xml:space="preserve">was declared on the Gas </w:t>
      </w:r>
      <w:r w:rsidR="00AE1459" w:rsidRPr="001637C6">
        <w:t>B</w:t>
      </w:r>
      <w:r>
        <w:t xml:space="preserve">ulletin </w:t>
      </w:r>
      <w:r w:rsidR="00AE1459" w:rsidRPr="001637C6">
        <w:t>B</w:t>
      </w:r>
      <w:r>
        <w:t xml:space="preserve">oard and the </w:t>
      </w:r>
      <w:r w:rsidR="00AE1459" w:rsidRPr="001637C6">
        <w:t xml:space="preserve">Moomba </w:t>
      </w:r>
      <w:r>
        <w:t xml:space="preserve">Gas Supply Hub </w:t>
      </w:r>
      <w:r w:rsidR="00AE1459" w:rsidRPr="001637C6">
        <w:t>commenced</w:t>
      </w:r>
      <w:r>
        <w:t xml:space="preserve"> operation</w:t>
      </w:r>
      <w:r w:rsidR="00AE1459" w:rsidRPr="001637C6">
        <w:t>.</w:t>
      </w:r>
    </w:p>
    <w:p w:rsidR="00EE2945" w:rsidRDefault="00EE2945" w:rsidP="001B3823">
      <w:pPr>
        <w:jc w:val="both"/>
      </w:pPr>
      <w:r>
        <w:t>A number of new and facilities will report flows against the Wallumbilla demand zone (WAL) from this point onwards. Furthermore, flows reported for the South West Queensland Pipeline (SWQP) will now be split between those flows to the west of Wallumbilla (the SWQ zone) and those to or from the newly declared WAL zone. Changes to data previously reported for the SWQ zone are outlined under figure 5.1 on page 11.</w:t>
      </w:r>
    </w:p>
    <w:p w:rsidR="00EE2945" w:rsidRDefault="00EE2945" w:rsidP="001B3823">
      <w:pPr>
        <w:jc w:val="both"/>
      </w:pPr>
      <w:r>
        <w:t>Figure 7 shows the facilities which will now report data against the Wallumbilla demand zone.</w:t>
      </w:r>
    </w:p>
    <w:p w:rsidR="00EE2945" w:rsidRDefault="00EE2945" w:rsidP="00EE2945">
      <w:pPr>
        <w:pStyle w:val="Heading2"/>
        <w:ind w:firstLine="0"/>
        <w:rPr>
          <w:i w:val="0"/>
          <w:color w:val="2272A3"/>
          <w:sz w:val="24"/>
          <w:szCs w:val="24"/>
        </w:rPr>
      </w:pPr>
      <w:r>
        <w:rPr>
          <w:i w:val="0"/>
          <w:color w:val="2272A3"/>
          <w:sz w:val="24"/>
          <w:szCs w:val="24"/>
        </w:rPr>
        <w:t>Bulletin Board facilities reporting gas flows at Wallumbilla</w:t>
      </w:r>
      <w:r w:rsidR="00164E50">
        <w:rPr>
          <w:rStyle w:val="FootnoteReference"/>
          <w:i w:val="0"/>
          <w:color w:val="2272A3"/>
          <w:sz w:val="24"/>
          <w:szCs w:val="24"/>
        </w:rPr>
        <w:footnoteReference w:id="3"/>
      </w:r>
    </w:p>
    <w:tbl>
      <w:tblPr>
        <w:tblStyle w:val="AERTable-Text0"/>
        <w:tblW w:w="4931" w:type="pct"/>
        <w:tblLook w:val="04A0" w:firstRow="1" w:lastRow="0" w:firstColumn="1" w:lastColumn="0" w:noHBand="0" w:noVBand="1"/>
      </w:tblPr>
      <w:tblGrid>
        <w:gridCol w:w="3938"/>
        <w:gridCol w:w="2408"/>
        <w:gridCol w:w="3261"/>
      </w:tblGrid>
      <w:tr w:rsidR="00EE2945" w:rsidRPr="002861A9" w:rsidTr="00472DDF">
        <w:trPr>
          <w:cnfStyle w:val="100000000000" w:firstRow="1" w:lastRow="0" w:firstColumn="0" w:lastColumn="0" w:oddVBand="0" w:evenVBand="0" w:oddHBand="0" w:evenHBand="0" w:firstRowFirstColumn="0" w:firstRowLastColumn="0" w:lastRowFirstColumn="0" w:lastRowLastColumn="0"/>
          <w:tblHeader/>
        </w:trPr>
        <w:tc>
          <w:tcPr>
            <w:tcW w:w="2049" w:type="pct"/>
            <w:tcBorders>
              <w:bottom w:val="nil"/>
            </w:tcBorders>
            <w:hideMark/>
          </w:tcPr>
          <w:p w:rsidR="00EE2945" w:rsidRPr="00026EC0" w:rsidRDefault="00EE2945" w:rsidP="00EE2945">
            <w:r w:rsidRPr="00026EC0">
              <w:t xml:space="preserve">Pipeline Name </w:t>
            </w:r>
          </w:p>
        </w:tc>
        <w:tc>
          <w:tcPr>
            <w:tcW w:w="1253" w:type="pct"/>
            <w:tcBorders>
              <w:bottom w:val="nil"/>
            </w:tcBorders>
            <w:hideMark/>
          </w:tcPr>
          <w:p w:rsidR="00EE2945" w:rsidRPr="00026EC0" w:rsidRDefault="00EE2945" w:rsidP="00EE2945">
            <w:r w:rsidRPr="00026EC0">
              <w:t xml:space="preserve">Default Flow From </w:t>
            </w:r>
          </w:p>
        </w:tc>
        <w:tc>
          <w:tcPr>
            <w:tcW w:w="1697" w:type="pct"/>
            <w:tcBorders>
              <w:bottom w:val="nil"/>
            </w:tcBorders>
            <w:hideMark/>
          </w:tcPr>
          <w:p w:rsidR="00EE2945" w:rsidRDefault="00EE2945" w:rsidP="00EE2945">
            <w:r w:rsidRPr="00026EC0">
              <w:t xml:space="preserve">Default Flow To </w:t>
            </w:r>
          </w:p>
        </w:tc>
      </w:tr>
      <w:tr w:rsidR="00EE2945" w:rsidTr="00472DDF">
        <w:trPr>
          <w:trHeight w:val="510"/>
        </w:trPr>
        <w:tc>
          <w:tcPr>
            <w:tcW w:w="2049" w:type="pct"/>
            <w:tcBorders>
              <w:top w:val="nil"/>
              <w:bottom w:val="nil"/>
            </w:tcBorders>
          </w:tcPr>
          <w:p w:rsidR="00EE2945" w:rsidRPr="00B36BBA" w:rsidRDefault="00EE2945" w:rsidP="00EE2945">
            <w:r w:rsidRPr="00B36BBA">
              <w:t xml:space="preserve">Roma - Brisbane Pipeline </w:t>
            </w:r>
          </w:p>
        </w:tc>
        <w:tc>
          <w:tcPr>
            <w:tcW w:w="1253" w:type="pct"/>
            <w:tcBorders>
              <w:top w:val="nil"/>
              <w:bottom w:val="nil"/>
            </w:tcBorders>
          </w:tcPr>
          <w:p w:rsidR="00EE2945" w:rsidRPr="00B36BBA" w:rsidRDefault="00EE2945" w:rsidP="00EE2945">
            <w:r w:rsidRPr="00B36BBA">
              <w:t xml:space="preserve">Wallumbilla </w:t>
            </w:r>
          </w:p>
        </w:tc>
        <w:tc>
          <w:tcPr>
            <w:tcW w:w="1697" w:type="pct"/>
            <w:tcBorders>
              <w:top w:val="nil"/>
              <w:bottom w:val="nil"/>
            </w:tcBorders>
          </w:tcPr>
          <w:p w:rsidR="00EE2945" w:rsidRPr="00B36BBA" w:rsidRDefault="00EE2945" w:rsidP="00EE2945">
            <w:r w:rsidRPr="00B36BBA">
              <w:t xml:space="preserve">Brisbane </w:t>
            </w:r>
          </w:p>
        </w:tc>
      </w:tr>
      <w:tr w:rsidR="00EE2945" w:rsidTr="00472DDF">
        <w:trPr>
          <w:cnfStyle w:val="000000010000" w:firstRow="0" w:lastRow="0" w:firstColumn="0" w:lastColumn="0" w:oddVBand="0" w:evenVBand="0" w:oddHBand="0" w:evenHBand="1" w:firstRowFirstColumn="0" w:firstRowLastColumn="0" w:lastRowFirstColumn="0" w:lastRowLastColumn="0"/>
          <w:trHeight w:val="510"/>
        </w:trPr>
        <w:tc>
          <w:tcPr>
            <w:tcW w:w="2049" w:type="pct"/>
            <w:tcBorders>
              <w:top w:val="nil"/>
              <w:bottom w:val="nil"/>
            </w:tcBorders>
          </w:tcPr>
          <w:p w:rsidR="00EE2945" w:rsidRPr="00B36BBA" w:rsidRDefault="00EE2945" w:rsidP="00EE2945">
            <w:r w:rsidRPr="00B36BBA">
              <w:t xml:space="preserve">Queensland Gas Pipeline </w:t>
            </w:r>
          </w:p>
        </w:tc>
        <w:tc>
          <w:tcPr>
            <w:tcW w:w="1253" w:type="pct"/>
            <w:tcBorders>
              <w:top w:val="nil"/>
              <w:bottom w:val="nil"/>
            </w:tcBorders>
          </w:tcPr>
          <w:p w:rsidR="00EE2945" w:rsidRPr="00B36BBA" w:rsidRDefault="00EE2945" w:rsidP="00EE2945">
            <w:r w:rsidRPr="00B36BBA">
              <w:t xml:space="preserve">Wallumbilla </w:t>
            </w:r>
          </w:p>
        </w:tc>
        <w:tc>
          <w:tcPr>
            <w:tcW w:w="1697" w:type="pct"/>
            <w:tcBorders>
              <w:top w:val="nil"/>
              <w:bottom w:val="nil"/>
            </w:tcBorders>
          </w:tcPr>
          <w:p w:rsidR="00EE2945" w:rsidRPr="00B36BBA" w:rsidRDefault="00EE2945" w:rsidP="00EE2945">
            <w:r w:rsidRPr="00B36BBA">
              <w:t xml:space="preserve">Gladstone and Rockhampton </w:t>
            </w:r>
          </w:p>
        </w:tc>
      </w:tr>
      <w:tr w:rsidR="00EE2945" w:rsidTr="00472DDF">
        <w:trPr>
          <w:trHeight w:val="510"/>
        </w:trPr>
        <w:tc>
          <w:tcPr>
            <w:tcW w:w="2049" w:type="pct"/>
            <w:tcBorders>
              <w:top w:val="nil"/>
              <w:bottom w:val="nil"/>
            </w:tcBorders>
          </w:tcPr>
          <w:p w:rsidR="00EE2945" w:rsidRPr="00B36BBA" w:rsidRDefault="00EE2945" w:rsidP="00EE2945">
            <w:r w:rsidRPr="00B36BBA">
              <w:t xml:space="preserve">South West Queensland Pipeline </w:t>
            </w:r>
          </w:p>
        </w:tc>
        <w:tc>
          <w:tcPr>
            <w:tcW w:w="1253" w:type="pct"/>
            <w:tcBorders>
              <w:top w:val="nil"/>
              <w:bottom w:val="nil"/>
            </w:tcBorders>
          </w:tcPr>
          <w:p w:rsidR="00EE2945" w:rsidRPr="00B36BBA" w:rsidRDefault="00EE2945" w:rsidP="00EE2945">
            <w:r w:rsidRPr="00B36BBA">
              <w:t xml:space="preserve">Wallumbilla </w:t>
            </w:r>
          </w:p>
        </w:tc>
        <w:tc>
          <w:tcPr>
            <w:tcW w:w="1697" w:type="pct"/>
            <w:tcBorders>
              <w:top w:val="nil"/>
              <w:bottom w:val="nil"/>
            </w:tcBorders>
          </w:tcPr>
          <w:p w:rsidR="00EE2945" w:rsidRPr="00B36BBA" w:rsidRDefault="00EE2945" w:rsidP="00EE2945">
            <w:r w:rsidRPr="00B36BBA">
              <w:t xml:space="preserve">Moomba </w:t>
            </w:r>
          </w:p>
        </w:tc>
      </w:tr>
      <w:tr w:rsidR="00EE2945" w:rsidTr="00472DDF">
        <w:trPr>
          <w:cnfStyle w:val="000000010000" w:firstRow="0" w:lastRow="0" w:firstColumn="0" w:lastColumn="0" w:oddVBand="0" w:evenVBand="0" w:oddHBand="0" w:evenHBand="1" w:firstRowFirstColumn="0" w:firstRowLastColumn="0" w:lastRowFirstColumn="0" w:lastRowLastColumn="0"/>
          <w:trHeight w:val="510"/>
        </w:trPr>
        <w:tc>
          <w:tcPr>
            <w:tcW w:w="2049" w:type="pct"/>
            <w:tcBorders>
              <w:top w:val="nil"/>
              <w:bottom w:val="nil"/>
            </w:tcBorders>
          </w:tcPr>
          <w:p w:rsidR="00EE2945" w:rsidRPr="00B36BBA" w:rsidRDefault="00EE2945" w:rsidP="00EE2945">
            <w:r w:rsidRPr="00B36BBA">
              <w:t xml:space="preserve">Comet Ridge to Wallumbilla Pipeline </w:t>
            </w:r>
          </w:p>
        </w:tc>
        <w:tc>
          <w:tcPr>
            <w:tcW w:w="1253" w:type="pct"/>
            <w:tcBorders>
              <w:top w:val="nil"/>
              <w:bottom w:val="nil"/>
            </w:tcBorders>
          </w:tcPr>
          <w:p w:rsidR="00EE2945" w:rsidRPr="00B36BBA" w:rsidRDefault="00EE2945" w:rsidP="00EE2945">
            <w:r w:rsidRPr="00B36BBA">
              <w:t xml:space="preserve">Wallumbilla </w:t>
            </w:r>
          </w:p>
        </w:tc>
        <w:tc>
          <w:tcPr>
            <w:tcW w:w="1697" w:type="pct"/>
            <w:tcBorders>
              <w:top w:val="nil"/>
              <w:bottom w:val="nil"/>
            </w:tcBorders>
          </w:tcPr>
          <w:p w:rsidR="00EE2945" w:rsidRPr="00B36BBA" w:rsidRDefault="00EE2945" w:rsidP="00EE2945">
            <w:r w:rsidRPr="00B36BBA">
              <w:t xml:space="preserve">Roma (Comet Ridge) </w:t>
            </w:r>
          </w:p>
        </w:tc>
      </w:tr>
      <w:tr w:rsidR="00EE2945" w:rsidTr="00472DDF">
        <w:trPr>
          <w:trHeight w:val="510"/>
        </w:trPr>
        <w:tc>
          <w:tcPr>
            <w:tcW w:w="2049" w:type="pct"/>
            <w:tcBorders>
              <w:top w:val="nil"/>
              <w:bottom w:val="nil"/>
            </w:tcBorders>
          </w:tcPr>
          <w:p w:rsidR="00EE2945" w:rsidRPr="00B36BBA" w:rsidRDefault="00EE2945" w:rsidP="00EE2945">
            <w:proofErr w:type="spellStart"/>
            <w:r w:rsidRPr="00B36BBA">
              <w:t>Berwyndale</w:t>
            </w:r>
            <w:proofErr w:type="spellEnd"/>
            <w:r w:rsidRPr="00B36BBA">
              <w:t xml:space="preserve"> to Wallumbilla Pipeline </w:t>
            </w:r>
          </w:p>
        </w:tc>
        <w:tc>
          <w:tcPr>
            <w:tcW w:w="1253" w:type="pct"/>
            <w:tcBorders>
              <w:top w:val="nil"/>
              <w:bottom w:val="nil"/>
            </w:tcBorders>
          </w:tcPr>
          <w:p w:rsidR="00EE2945" w:rsidRPr="00B36BBA" w:rsidRDefault="00EE2945" w:rsidP="00EE2945">
            <w:r w:rsidRPr="00B36BBA">
              <w:t>Roma (</w:t>
            </w:r>
            <w:proofErr w:type="spellStart"/>
            <w:r w:rsidRPr="00B36BBA">
              <w:t>Berwyndale</w:t>
            </w:r>
            <w:proofErr w:type="spellEnd"/>
            <w:r w:rsidRPr="00B36BBA">
              <w:t xml:space="preserve">) </w:t>
            </w:r>
          </w:p>
        </w:tc>
        <w:tc>
          <w:tcPr>
            <w:tcW w:w="1697" w:type="pct"/>
            <w:tcBorders>
              <w:top w:val="nil"/>
              <w:bottom w:val="nil"/>
            </w:tcBorders>
          </w:tcPr>
          <w:p w:rsidR="00EE2945" w:rsidRPr="00B36BBA" w:rsidRDefault="00EE2945" w:rsidP="00EE2945">
            <w:r w:rsidRPr="00B36BBA">
              <w:t xml:space="preserve">Wallumbilla </w:t>
            </w:r>
          </w:p>
        </w:tc>
      </w:tr>
      <w:tr w:rsidR="00EE2945" w:rsidTr="00472DDF">
        <w:trPr>
          <w:cnfStyle w:val="000000010000" w:firstRow="0" w:lastRow="0" w:firstColumn="0" w:lastColumn="0" w:oddVBand="0" w:evenVBand="0" w:oddHBand="0" w:evenHBand="1" w:firstRowFirstColumn="0" w:firstRowLastColumn="0" w:lastRowFirstColumn="0" w:lastRowLastColumn="0"/>
          <w:trHeight w:val="510"/>
        </w:trPr>
        <w:tc>
          <w:tcPr>
            <w:tcW w:w="2049" w:type="pct"/>
            <w:tcBorders>
              <w:top w:val="nil"/>
              <w:bottom w:val="nil"/>
            </w:tcBorders>
          </w:tcPr>
          <w:p w:rsidR="00EE2945" w:rsidRPr="00B36BBA" w:rsidRDefault="00EE2945" w:rsidP="00EE2945">
            <w:r w:rsidRPr="00B36BBA">
              <w:t xml:space="preserve">Darling Downs Pipeline </w:t>
            </w:r>
          </w:p>
        </w:tc>
        <w:tc>
          <w:tcPr>
            <w:tcW w:w="1253" w:type="pct"/>
            <w:tcBorders>
              <w:top w:val="nil"/>
              <w:bottom w:val="nil"/>
            </w:tcBorders>
          </w:tcPr>
          <w:p w:rsidR="00EE2945" w:rsidRPr="00B36BBA" w:rsidRDefault="00EE2945" w:rsidP="00EE2945">
            <w:r w:rsidRPr="00B36BBA">
              <w:t xml:space="preserve">Darling Downs </w:t>
            </w:r>
          </w:p>
        </w:tc>
        <w:tc>
          <w:tcPr>
            <w:tcW w:w="1697" w:type="pct"/>
            <w:tcBorders>
              <w:top w:val="nil"/>
              <w:bottom w:val="nil"/>
            </w:tcBorders>
          </w:tcPr>
          <w:p w:rsidR="00EE2945" w:rsidRPr="00B36BBA" w:rsidRDefault="00EE2945" w:rsidP="00EE2945">
            <w:r w:rsidRPr="00B36BBA">
              <w:t xml:space="preserve">Wallumbilla </w:t>
            </w:r>
          </w:p>
        </w:tc>
      </w:tr>
      <w:tr w:rsidR="00EE2945" w:rsidTr="00472DDF">
        <w:trPr>
          <w:trHeight w:val="510"/>
        </w:trPr>
        <w:tc>
          <w:tcPr>
            <w:tcW w:w="2049" w:type="pct"/>
            <w:tcBorders>
              <w:top w:val="nil"/>
              <w:bottom w:val="single" w:sz="4" w:space="0" w:color="auto"/>
            </w:tcBorders>
          </w:tcPr>
          <w:p w:rsidR="00EE2945" w:rsidRPr="00B36BBA" w:rsidRDefault="00EE2945" w:rsidP="00EE2945">
            <w:r w:rsidRPr="00B36BBA">
              <w:t xml:space="preserve">Spring Gully Pipeline </w:t>
            </w:r>
          </w:p>
        </w:tc>
        <w:tc>
          <w:tcPr>
            <w:tcW w:w="1253" w:type="pct"/>
            <w:tcBorders>
              <w:top w:val="nil"/>
              <w:bottom w:val="single" w:sz="4" w:space="0" w:color="auto"/>
            </w:tcBorders>
          </w:tcPr>
          <w:p w:rsidR="00EE2945" w:rsidRPr="00B36BBA" w:rsidRDefault="00EE2945" w:rsidP="00EE2945">
            <w:r w:rsidRPr="00B36BBA">
              <w:t xml:space="preserve">Spring Gully </w:t>
            </w:r>
          </w:p>
        </w:tc>
        <w:tc>
          <w:tcPr>
            <w:tcW w:w="1697" w:type="pct"/>
            <w:tcBorders>
              <w:top w:val="nil"/>
              <w:bottom w:val="single" w:sz="4" w:space="0" w:color="auto"/>
            </w:tcBorders>
          </w:tcPr>
          <w:p w:rsidR="00EE2945" w:rsidRDefault="00EE2945" w:rsidP="00EE2945">
            <w:r w:rsidRPr="00B36BBA">
              <w:t xml:space="preserve">Wallumbilla </w:t>
            </w:r>
          </w:p>
        </w:tc>
      </w:tr>
    </w:tbl>
    <w:p w:rsidR="00EE2945" w:rsidRDefault="00EE2945" w:rsidP="001B3823">
      <w:pPr>
        <w:jc w:val="both"/>
      </w:pPr>
    </w:p>
    <w:p w:rsidR="00207E40" w:rsidRPr="00291B3B" w:rsidRDefault="00207E40" w:rsidP="001B3823">
      <w:pPr>
        <w:jc w:val="both"/>
        <w:rPr>
          <w:i/>
        </w:rPr>
      </w:pPr>
      <w:r>
        <w:rPr>
          <w:i/>
        </w:rPr>
        <w:t>Gas Supply Hubs</w:t>
      </w:r>
    </w:p>
    <w:p w:rsidR="00EE2945" w:rsidRPr="001637C6" w:rsidRDefault="00207E40" w:rsidP="001B3823">
      <w:pPr>
        <w:jc w:val="both"/>
      </w:pPr>
      <w:r>
        <w:t xml:space="preserve">The new </w:t>
      </w:r>
      <w:r w:rsidR="00EE2945">
        <w:t xml:space="preserve">Moomba </w:t>
      </w:r>
      <w:r>
        <w:t xml:space="preserve">Gas Supply Hub started on June </w:t>
      </w:r>
      <w:proofErr w:type="gramStart"/>
      <w:r>
        <w:t>1,</w:t>
      </w:r>
      <w:proofErr w:type="gramEnd"/>
      <w:r>
        <w:t xml:space="preserve"> there were no trades over the first four days.</w:t>
      </w:r>
    </w:p>
    <w:p w:rsidR="004420C4" w:rsidRPr="004420C4" w:rsidRDefault="0008491C" w:rsidP="004420C4">
      <w:pPr>
        <w:pStyle w:val="Heading1"/>
        <w:numPr>
          <w:ilvl w:val="0"/>
          <w:numId w:val="0"/>
        </w:numPr>
        <w:spacing w:before="120" w:after="0"/>
        <w:ind w:left="142"/>
        <w:rPr>
          <w:color w:val="FFFFFF"/>
          <w:sz w:val="36"/>
        </w:rPr>
      </w:pPr>
      <w:r w:rsidRPr="001637C6">
        <w:rPr>
          <w:sz w:val="36"/>
          <w:szCs w:val="36"/>
        </w:rPr>
        <w:br w:type="page"/>
      </w:r>
      <w:r w:rsidR="005F3BF2">
        <w:rPr>
          <w:color w:val="FFFFFF"/>
          <w:sz w:val="36"/>
        </w:rPr>
        <w:lastRenderedPageBreak/>
        <w:pict>
          <v:shape id="_x0000_s1075" type="#_x0000_t75" alt="Australian Energy Regulator logo" style="position:absolute;left:0;text-align:left;margin-left:.95pt;margin-top:-.3pt;width:476.25pt;height:77.25pt;z-index:-251652096;mso-position-horizontal-relative:text;mso-position-vertical-relative:text">
            <v:imagedata r:id="rId9" o:title="AER-header for report templates"/>
          </v:shape>
        </w:pict>
      </w:r>
      <w:r w:rsidR="005F3BF2">
        <w:rPr>
          <w:color w:val="FFFFFF"/>
          <w:sz w:val="36"/>
        </w:rPr>
        <w:pict>
          <v:shape id="_x0000_s1097" type="#_x0000_t75" style="position:absolute;left:0;text-align:left;margin-left:720.75pt;margin-top:282.05pt;width:386.3pt;height:299.3pt;z-index:251669504;mso-position-horizontal-relative:text;mso-position-vertical-relative:text" fillcolor="black" strokecolor="white" strokeweight="3e-5mm">
            <v:imagedata r:id="rId10" o:title=""/>
            <o:lock v:ext="edit" rotation="t"/>
          </v:shape>
        </w:pict>
      </w:r>
      <w:r w:rsidR="004420C4" w:rsidRPr="004420C4">
        <w:rPr>
          <w:color w:val="FFFFFF"/>
          <w:sz w:val="36"/>
        </w:rPr>
        <w:t>Detailed Market Figures</w:t>
      </w:r>
    </w:p>
    <w:p w:rsidR="004420C4" w:rsidRDefault="004420C4" w:rsidP="004420C4"/>
    <w:p w:rsidR="004420C4" w:rsidRDefault="004420C4" w:rsidP="004420C4"/>
    <w:p w:rsidR="004420C4" w:rsidRDefault="004420C4" w:rsidP="004420C4"/>
    <w:p w:rsidR="004420C4" w:rsidRPr="00AC3047" w:rsidRDefault="00DE51DF" w:rsidP="004420C4">
      <w:pPr>
        <w:pStyle w:val="Heading2"/>
        <w:numPr>
          <w:ilvl w:val="0"/>
          <w:numId w:val="0"/>
        </w:numPr>
        <w:rPr>
          <w:i w:val="0"/>
        </w:rPr>
      </w:pPr>
      <w:r>
        <w:rPr>
          <w:i w:val="0"/>
          <w:sz w:val="36"/>
          <w:szCs w:val="36"/>
        </w:rPr>
        <w:t>29 May – 4 June 2016</w:t>
      </w:r>
    </w:p>
    <w:p w:rsidR="004420C4" w:rsidRDefault="004420C4" w:rsidP="004420C4">
      <w:pPr>
        <w:pStyle w:val="Heading3"/>
        <w:ind w:firstLine="0"/>
      </w:pPr>
      <w:r w:rsidRPr="00004A63">
        <w:rPr>
          <w:color w:val="2272A3"/>
          <w:sz w:val="32"/>
          <w:szCs w:val="32"/>
        </w:rPr>
        <w:t>Victorian Declared Wholesale Market</w:t>
      </w:r>
    </w:p>
    <w:p w:rsidR="00004A63" w:rsidRPr="00EF58A8" w:rsidRDefault="00EF58A8" w:rsidP="00345444">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4"/>
      </w:r>
      <w:r w:rsidRPr="00EF58A8">
        <w:t xml:space="preserve"> which is the schedule at which most gas is traded.</w:t>
      </w:r>
      <w:r w:rsidR="00004A63" w:rsidRPr="00EF58A8">
        <w:t xml:space="preserve"> </w:t>
      </w:r>
    </w:p>
    <w:p w:rsidR="00004A63" w:rsidRPr="00EF58A8" w:rsidRDefault="00EF58A8" w:rsidP="00345444">
      <w:pPr>
        <w:jc w:val="both"/>
      </w:pPr>
      <w:r w:rsidRPr="00EF58A8">
        <w:t>The main drivers</w:t>
      </w:r>
      <w:r w:rsidRPr="00EF58A8">
        <w:rPr>
          <w:rStyle w:val="FootnoteReference"/>
        </w:rPr>
        <w:footnoteReference w:id="5"/>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6"/>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BC18FB" w:rsidRPr="00DD0358" w:rsidRDefault="00004A63" w:rsidP="00FF0D8A">
      <w:pPr>
        <w:pStyle w:val="Heading4"/>
        <w:ind w:hanging="338"/>
        <w:rPr>
          <w:color w:val="2272A3"/>
          <w:sz w:val="24"/>
        </w:rPr>
      </w:pPr>
      <w:r w:rsidRPr="00DD0358">
        <w:rPr>
          <w:color w:val="2272A3"/>
          <w:sz w:val="24"/>
        </w:rPr>
        <w:t>Prices by schedule</w:t>
      </w:r>
    </w:p>
    <w:p w:rsidR="00362B9A" w:rsidRPr="00362B9A" w:rsidRDefault="00BD01D4" w:rsidP="00362B9A">
      <w:r>
        <w:pict>
          <v:shape id="_x0000_i1026" type="#_x0000_t75" alt="Figure 1.1 shows the five Victorian schedule prices for each day this week. The marker indicates the daily imbalance weighted average price for each day. For a more detailed description of this figure, please refer to the user guide.&#10;" style="width:476.15pt;height:137.2pt">
            <v:imagedata r:id="rId14" o:title=""/>
          </v:shape>
        </w:pict>
      </w:r>
    </w:p>
    <w:p w:rsidR="00BC18FB" w:rsidRPr="00DD0358" w:rsidRDefault="00004A63" w:rsidP="00FF0D8A">
      <w:pPr>
        <w:pStyle w:val="Heading4"/>
        <w:ind w:hanging="338"/>
        <w:rPr>
          <w:color w:val="2272A3"/>
          <w:sz w:val="24"/>
        </w:rPr>
      </w:pPr>
      <w:r w:rsidRPr="00DD0358">
        <w:rPr>
          <w:color w:val="2272A3"/>
          <w:sz w:val="24"/>
        </w:rPr>
        <w:t>Demand forecasts</w:t>
      </w:r>
    </w:p>
    <w:p w:rsidR="00362B9A" w:rsidRPr="00362B9A" w:rsidRDefault="00BD01D4" w:rsidP="00362B9A">
      <w:r>
        <w:pict>
          <v:shape id="_x0000_i1027" type="#_x0000_t75" alt="Figure 1.2 shows the demand forecast used to calculate the five daily schedule prices for this week. For a more detailed description of this figure, please refer to the user guide.&#10;" style="width:476.15pt;height:176.6pt">
            <v:imagedata r:id="rId15" o:title=""/>
          </v:shape>
        </w:pict>
      </w:r>
    </w:p>
    <w:p w:rsidR="00BC18FB" w:rsidRPr="00DD0358" w:rsidRDefault="00004A63" w:rsidP="00FF0D8A">
      <w:pPr>
        <w:pStyle w:val="Heading4"/>
        <w:ind w:hanging="338"/>
        <w:rPr>
          <w:color w:val="2272A3"/>
          <w:sz w:val="24"/>
        </w:rPr>
      </w:pPr>
      <w:r w:rsidRPr="00DD0358">
        <w:rPr>
          <w:color w:val="2272A3"/>
          <w:sz w:val="24"/>
        </w:rPr>
        <w:lastRenderedPageBreak/>
        <w:t>Injection bids by price bands</w:t>
      </w:r>
    </w:p>
    <w:p w:rsidR="00362B9A" w:rsidRPr="00362B9A" w:rsidRDefault="00BD01D4" w:rsidP="00362B9A">
      <w:r>
        <w:pict>
          <v:shape id="_x0000_i1028" type="#_x0000_t75" alt="Figure 1.3 shows the injection bids within certain price bands for each trading interval in Victoria this week. For a more detailed description of this figure, please refer to the user guide.&#10;" style="width:476.15pt;height:206.5pt">
            <v:imagedata r:id="rId16" o:title=""/>
          </v:shape>
        </w:pict>
      </w:r>
    </w:p>
    <w:p w:rsidR="00BC18FB" w:rsidRPr="00DD0358" w:rsidRDefault="00362B9A" w:rsidP="00FF0D8A">
      <w:pPr>
        <w:pStyle w:val="Heading4"/>
        <w:ind w:hanging="338"/>
        <w:rPr>
          <w:color w:val="2272A3"/>
          <w:sz w:val="24"/>
        </w:rPr>
      </w:pPr>
      <w:r w:rsidRPr="00DD0358">
        <w:rPr>
          <w:color w:val="2272A3"/>
          <w:sz w:val="24"/>
        </w:rPr>
        <w:t>Withdrawal bids by price bands</w:t>
      </w:r>
    </w:p>
    <w:p w:rsidR="00362B9A" w:rsidRPr="00362B9A" w:rsidRDefault="00BD01D4" w:rsidP="00362B9A">
      <w:r>
        <w:pict>
          <v:shape id="_x0000_i1029" type="#_x0000_t75" alt="Figure 1.4 shows the withdrawal bids within certain price bands for each trading interval in Victoria this week. For a more detailed description of this figure, please refer to the user guide.&#10;" style="width:476.85pt;height:163pt">
            <v:imagedata r:id="rId17" o:title=""/>
          </v:shape>
        </w:pict>
      </w:r>
    </w:p>
    <w:p w:rsidR="00BC18FB" w:rsidRPr="00DD0358" w:rsidRDefault="00362B9A" w:rsidP="00FF0D8A">
      <w:pPr>
        <w:pStyle w:val="Heading4"/>
        <w:ind w:hanging="338"/>
        <w:rPr>
          <w:color w:val="2272A3"/>
          <w:sz w:val="24"/>
        </w:rPr>
      </w:pPr>
      <w:r w:rsidRPr="00DD0358">
        <w:rPr>
          <w:color w:val="2272A3"/>
          <w:sz w:val="24"/>
        </w:rPr>
        <w:t>Metered Injections by System Injection Point</w:t>
      </w:r>
    </w:p>
    <w:p w:rsidR="00BC18FB" w:rsidRDefault="00BD01D4" w:rsidP="00BC18FB">
      <w:r>
        <w:pict>
          <v:shape id="_x0000_i1030" type="#_x0000_t75" alt="Figure 1.5 shows the metered injections sorted by facility for each 4 hour interval in Victoria this week. For a more detailed description of this figure, please refer to the user guide." style="width:476.15pt;height:177.95pt">
            <v:imagedata r:id="rId18" o:title=""/>
          </v:shape>
        </w:pict>
      </w:r>
    </w:p>
    <w:p w:rsidR="00345444" w:rsidRPr="00EF58A8" w:rsidRDefault="00EF58A8" w:rsidP="00EF58A8">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345444" w:rsidRDefault="00345444" w:rsidP="00BC18FB"/>
    <w:p w:rsidR="00EF58A8" w:rsidRPr="00BC18FB" w:rsidRDefault="00EF58A8" w:rsidP="00BC18FB"/>
    <w:p w:rsidR="00BC18FB" w:rsidRDefault="00BC18FB" w:rsidP="00BC18FB">
      <w:pPr>
        <w:pStyle w:val="Heading3"/>
        <w:ind w:firstLine="0"/>
        <w:rPr>
          <w:color w:val="2272A3"/>
          <w:sz w:val="32"/>
          <w:szCs w:val="32"/>
        </w:rPr>
      </w:pPr>
      <w:r w:rsidRPr="00004A63">
        <w:rPr>
          <w:color w:val="2272A3"/>
          <w:sz w:val="32"/>
          <w:szCs w:val="32"/>
        </w:rPr>
        <w:lastRenderedPageBreak/>
        <w:t>S</w:t>
      </w:r>
      <w:r w:rsidR="00362B9A">
        <w:rPr>
          <w:color w:val="2272A3"/>
          <w:sz w:val="32"/>
          <w:szCs w:val="32"/>
        </w:rPr>
        <w:t>ydney STTM</w:t>
      </w:r>
    </w:p>
    <w:p w:rsidR="00EF58A8" w:rsidRPr="00EF58A8" w:rsidRDefault="00EF58A8" w:rsidP="00EF58A8">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7"/>
      </w:r>
      <w:r w:rsidRPr="00EF58A8">
        <w:t xml:space="preserve"> Divergences in ex ante and ex post prices for a gas day may occur due to differences in scheduled (forecast) and allocated (actual) quantities.</w:t>
      </w:r>
      <w:r>
        <w:t xml:space="preserve"> Pipeline acronyms are defined in the </w:t>
      </w:r>
      <w:hyperlink r:id="rId19" w:history="1">
        <w:r w:rsidR="00586C57">
          <w:rPr>
            <w:rStyle w:val="Hyperlink"/>
          </w:rPr>
          <w:t>user guide</w:t>
        </w:r>
      </w:hyperlink>
      <w:r w:rsidR="00586C57">
        <w:t>.</w:t>
      </w:r>
    </w:p>
    <w:p w:rsidR="00EF58A8" w:rsidRPr="00EF58A8" w:rsidRDefault="00EF58A8" w:rsidP="00EF58A8">
      <w:pPr>
        <w:pStyle w:val="AERbodytext"/>
        <w:spacing w:before="120" w:after="120" w:line="240" w:lineRule="auto"/>
        <w:jc w:val="both"/>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8"/>
      </w:r>
      <w:r w:rsidRPr="00EF58A8">
        <w:t xml:space="preserve"> </w:t>
      </w:r>
    </w:p>
    <w:p w:rsidR="00362B9A" w:rsidRPr="00362B9A" w:rsidRDefault="00EF58A8" w:rsidP="00EF58A8">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BC18FB" w:rsidRDefault="00362B9A" w:rsidP="00362B9A">
      <w:pPr>
        <w:pStyle w:val="Heading4"/>
        <w:ind w:left="340" w:hanging="340"/>
        <w:rPr>
          <w:color w:val="2272A3"/>
          <w:sz w:val="24"/>
          <w:szCs w:val="24"/>
        </w:rPr>
      </w:pPr>
      <w:r w:rsidRPr="00362B9A">
        <w:rPr>
          <w:color w:val="2272A3"/>
          <w:sz w:val="24"/>
          <w:szCs w:val="24"/>
        </w:rPr>
        <w:t>SYD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F114D5" w:rsidRPr="00405CDE" w:rsidTr="00F114D5">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707B3C" w:rsidRPr="00405CDE" w:rsidTr="00F114D5">
        <w:trPr>
          <w:trHeight w:val="510"/>
        </w:trPr>
        <w:tc>
          <w:tcPr>
            <w:tcW w:w="1100" w:type="pct"/>
            <w:tcBorders>
              <w:top w:val="nil"/>
              <w:bottom w:val="nil"/>
            </w:tcBorders>
            <w:vAlign w:val="center"/>
          </w:tcPr>
          <w:p w:rsidR="00707B3C" w:rsidRDefault="00707B3C">
            <w:pPr>
              <w:rPr>
                <w:rFonts w:cs="Arial"/>
                <w:sz w:val="20"/>
                <w:szCs w:val="20"/>
              </w:rPr>
            </w:pPr>
            <w:r>
              <w:rPr>
                <w:rFonts w:cs="Arial"/>
                <w:sz w:val="20"/>
                <w:szCs w:val="20"/>
              </w:rPr>
              <w:t>Ex ante price ($/GJ)</w:t>
            </w:r>
          </w:p>
        </w:tc>
        <w:tc>
          <w:tcPr>
            <w:tcW w:w="597" w:type="pct"/>
            <w:tcBorders>
              <w:top w:val="nil"/>
              <w:bottom w:val="nil"/>
            </w:tcBorders>
            <w:vAlign w:val="center"/>
          </w:tcPr>
          <w:p w:rsidR="00707B3C" w:rsidRDefault="00707B3C">
            <w:pPr>
              <w:jc w:val="center"/>
              <w:rPr>
                <w:rFonts w:cs="Arial"/>
                <w:sz w:val="20"/>
                <w:szCs w:val="20"/>
              </w:rPr>
            </w:pPr>
            <w:r>
              <w:rPr>
                <w:rFonts w:cs="Arial"/>
                <w:sz w:val="20"/>
                <w:szCs w:val="20"/>
              </w:rPr>
              <w:t>6.40</w:t>
            </w:r>
          </w:p>
        </w:tc>
        <w:tc>
          <w:tcPr>
            <w:tcW w:w="523" w:type="pct"/>
            <w:tcBorders>
              <w:top w:val="nil"/>
              <w:bottom w:val="nil"/>
            </w:tcBorders>
            <w:vAlign w:val="center"/>
          </w:tcPr>
          <w:p w:rsidR="00707B3C" w:rsidRDefault="00707B3C">
            <w:pPr>
              <w:jc w:val="center"/>
              <w:rPr>
                <w:rFonts w:cs="Arial"/>
                <w:sz w:val="20"/>
                <w:szCs w:val="20"/>
              </w:rPr>
            </w:pPr>
            <w:r>
              <w:rPr>
                <w:rFonts w:cs="Arial"/>
                <w:sz w:val="20"/>
                <w:szCs w:val="20"/>
              </w:rPr>
              <w:t>7.45</w:t>
            </w:r>
          </w:p>
        </w:tc>
        <w:tc>
          <w:tcPr>
            <w:tcW w:w="606" w:type="pct"/>
            <w:tcBorders>
              <w:top w:val="nil"/>
              <w:bottom w:val="nil"/>
            </w:tcBorders>
            <w:vAlign w:val="center"/>
          </w:tcPr>
          <w:p w:rsidR="00707B3C" w:rsidRDefault="00707B3C">
            <w:pPr>
              <w:jc w:val="center"/>
              <w:rPr>
                <w:rFonts w:cs="Arial"/>
                <w:sz w:val="20"/>
                <w:szCs w:val="20"/>
              </w:rPr>
            </w:pPr>
            <w:r>
              <w:rPr>
                <w:rFonts w:cs="Arial"/>
                <w:sz w:val="20"/>
                <w:szCs w:val="20"/>
              </w:rPr>
              <w:t>6.45</w:t>
            </w:r>
          </w:p>
        </w:tc>
        <w:tc>
          <w:tcPr>
            <w:tcW w:w="532" w:type="pct"/>
            <w:tcBorders>
              <w:top w:val="nil"/>
              <w:bottom w:val="nil"/>
            </w:tcBorders>
            <w:vAlign w:val="center"/>
          </w:tcPr>
          <w:p w:rsidR="00707B3C" w:rsidRDefault="00707B3C">
            <w:pPr>
              <w:jc w:val="center"/>
              <w:rPr>
                <w:rFonts w:cs="Arial"/>
                <w:sz w:val="20"/>
                <w:szCs w:val="20"/>
              </w:rPr>
            </w:pPr>
            <w:r>
              <w:rPr>
                <w:rFonts w:cs="Arial"/>
                <w:sz w:val="20"/>
                <w:szCs w:val="20"/>
              </w:rPr>
              <w:t>7.00</w:t>
            </w:r>
          </w:p>
        </w:tc>
        <w:tc>
          <w:tcPr>
            <w:tcW w:w="525" w:type="pct"/>
            <w:tcBorders>
              <w:top w:val="nil"/>
              <w:bottom w:val="nil"/>
            </w:tcBorders>
            <w:vAlign w:val="center"/>
          </w:tcPr>
          <w:p w:rsidR="00707B3C" w:rsidRDefault="00707B3C">
            <w:pPr>
              <w:jc w:val="center"/>
              <w:rPr>
                <w:rFonts w:cs="Arial"/>
                <w:sz w:val="20"/>
                <w:szCs w:val="20"/>
              </w:rPr>
            </w:pPr>
            <w:r>
              <w:rPr>
                <w:rFonts w:cs="Arial"/>
                <w:sz w:val="20"/>
                <w:szCs w:val="20"/>
              </w:rPr>
              <w:t>9.80</w:t>
            </w:r>
          </w:p>
        </w:tc>
        <w:tc>
          <w:tcPr>
            <w:tcW w:w="522" w:type="pct"/>
            <w:tcBorders>
              <w:top w:val="nil"/>
              <w:bottom w:val="nil"/>
            </w:tcBorders>
            <w:vAlign w:val="center"/>
          </w:tcPr>
          <w:p w:rsidR="00707B3C" w:rsidRDefault="00707B3C">
            <w:pPr>
              <w:jc w:val="center"/>
              <w:rPr>
                <w:rFonts w:cs="Arial"/>
                <w:sz w:val="20"/>
                <w:szCs w:val="20"/>
              </w:rPr>
            </w:pPr>
            <w:r>
              <w:rPr>
                <w:rFonts w:cs="Arial"/>
                <w:sz w:val="20"/>
                <w:szCs w:val="20"/>
              </w:rPr>
              <w:t>8.45</w:t>
            </w:r>
          </w:p>
        </w:tc>
        <w:tc>
          <w:tcPr>
            <w:tcW w:w="595" w:type="pct"/>
            <w:tcBorders>
              <w:top w:val="nil"/>
              <w:bottom w:val="nil"/>
            </w:tcBorders>
            <w:vAlign w:val="center"/>
          </w:tcPr>
          <w:p w:rsidR="00707B3C" w:rsidRDefault="00707B3C">
            <w:pPr>
              <w:jc w:val="center"/>
              <w:rPr>
                <w:rFonts w:cs="Arial"/>
                <w:sz w:val="20"/>
                <w:szCs w:val="20"/>
              </w:rPr>
            </w:pPr>
            <w:r>
              <w:rPr>
                <w:rFonts w:cs="Arial"/>
                <w:sz w:val="20"/>
                <w:szCs w:val="20"/>
              </w:rPr>
              <w:t>7.45</w:t>
            </w:r>
          </w:p>
        </w:tc>
      </w:tr>
      <w:tr w:rsidR="00707B3C" w:rsidRPr="00405CDE" w:rsidTr="00F114D5">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707B3C" w:rsidRDefault="00707B3C">
            <w:pPr>
              <w:rPr>
                <w:rFonts w:cs="Arial"/>
                <w:sz w:val="20"/>
                <w:szCs w:val="20"/>
              </w:rPr>
            </w:pPr>
            <w:r>
              <w:rPr>
                <w:rFonts w:cs="Arial"/>
                <w:sz w:val="20"/>
                <w:szCs w:val="20"/>
              </w:rPr>
              <w:t>Ex ante quantity (TJ)</w:t>
            </w:r>
          </w:p>
        </w:tc>
        <w:tc>
          <w:tcPr>
            <w:tcW w:w="597" w:type="pct"/>
            <w:tcBorders>
              <w:top w:val="nil"/>
              <w:bottom w:val="nil"/>
            </w:tcBorders>
            <w:vAlign w:val="center"/>
          </w:tcPr>
          <w:p w:rsidR="00707B3C" w:rsidRDefault="00707B3C">
            <w:pPr>
              <w:jc w:val="center"/>
              <w:rPr>
                <w:rFonts w:cs="Arial"/>
                <w:sz w:val="20"/>
                <w:szCs w:val="20"/>
              </w:rPr>
            </w:pPr>
            <w:r>
              <w:rPr>
                <w:rFonts w:cs="Arial"/>
                <w:sz w:val="20"/>
                <w:szCs w:val="20"/>
              </w:rPr>
              <w:t>255</w:t>
            </w:r>
          </w:p>
        </w:tc>
        <w:tc>
          <w:tcPr>
            <w:tcW w:w="523" w:type="pct"/>
            <w:tcBorders>
              <w:top w:val="nil"/>
              <w:bottom w:val="nil"/>
            </w:tcBorders>
            <w:vAlign w:val="center"/>
          </w:tcPr>
          <w:p w:rsidR="00707B3C" w:rsidRDefault="00707B3C">
            <w:pPr>
              <w:jc w:val="center"/>
              <w:rPr>
                <w:rFonts w:cs="Arial"/>
                <w:sz w:val="20"/>
                <w:szCs w:val="20"/>
              </w:rPr>
            </w:pPr>
            <w:r>
              <w:rPr>
                <w:rFonts w:cs="Arial"/>
                <w:sz w:val="20"/>
                <w:szCs w:val="20"/>
              </w:rPr>
              <w:t>276</w:t>
            </w:r>
          </w:p>
        </w:tc>
        <w:tc>
          <w:tcPr>
            <w:tcW w:w="606" w:type="pct"/>
            <w:tcBorders>
              <w:top w:val="nil"/>
              <w:bottom w:val="nil"/>
            </w:tcBorders>
            <w:vAlign w:val="center"/>
          </w:tcPr>
          <w:p w:rsidR="00707B3C" w:rsidRDefault="00707B3C">
            <w:pPr>
              <w:jc w:val="center"/>
              <w:rPr>
                <w:rFonts w:cs="Arial"/>
                <w:sz w:val="20"/>
                <w:szCs w:val="20"/>
              </w:rPr>
            </w:pPr>
            <w:r>
              <w:rPr>
                <w:rFonts w:cs="Arial"/>
                <w:sz w:val="20"/>
                <w:szCs w:val="20"/>
              </w:rPr>
              <w:t>276</w:t>
            </w:r>
          </w:p>
        </w:tc>
        <w:tc>
          <w:tcPr>
            <w:tcW w:w="532" w:type="pct"/>
            <w:tcBorders>
              <w:top w:val="nil"/>
              <w:bottom w:val="nil"/>
            </w:tcBorders>
            <w:vAlign w:val="center"/>
          </w:tcPr>
          <w:p w:rsidR="00707B3C" w:rsidRDefault="00707B3C">
            <w:pPr>
              <w:jc w:val="center"/>
              <w:rPr>
                <w:rFonts w:cs="Arial"/>
                <w:sz w:val="20"/>
                <w:szCs w:val="20"/>
              </w:rPr>
            </w:pPr>
            <w:r>
              <w:rPr>
                <w:rFonts w:cs="Arial"/>
                <w:sz w:val="20"/>
                <w:szCs w:val="20"/>
              </w:rPr>
              <w:t>272</w:t>
            </w:r>
          </w:p>
        </w:tc>
        <w:tc>
          <w:tcPr>
            <w:tcW w:w="525" w:type="pct"/>
            <w:tcBorders>
              <w:top w:val="nil"/>
              <w:bottom w:val="nil"/>
            </w:tcBorders>
            <w:vAlign w:val="center"/>
          </w:tcPr>
          <w:p w:rsidR="00707B3C" w:rsidRDefault="00707B3C">
            <w:pPr>
              <w:jc w:val="center"/>
              <w:rPr>
                <w:rFonts w:cs="Arial"/>
                <w:sz w:val="20"/>
                <w:szCs w:val="20"/>
              </w:rPr>
            </w:pPr>
            <w:r>
              <w:rPr>
                <w:rFonts w:cs="Arial"/>
                <w:sz w:val="20"/>
                <w:szCs w:val="20"/>
              </w:rPr>
              <w:t>277</w:t>
            </w:r>
          </w:p>
        </w:tc>
        <w:tc>
          <w:tcPr>
            <w:tcW w:w="522" w:type="pct"/>
            <w:tcBorders>
              <w:top w:val="nil"/>
              <w:bottom w:val="nil"/>
            </w:tcBorders>
            <w:vAlign w:val="center"/>
          </w:tcPr>
          <w:p w:rsidR="00707B3C" w:rsidRDefault="00707B3C">
            <w:pPr>
              <w:jc w:val="center"/>
              <w:rPr>
                <w:rFonts w:cs="Arial"/>
                <w:sz w:val="20"/>
                <w:szCs w:val="20"/>
              </w:rPr>
            </w:pPr>
            <w:r>
              <w:rPr>
                <w:rFonts w:cs="Arial"/>
                <w:sz w:val="20"/>
                <w:szCs w:val="20"/>
              </w:rPr>
              <w:t>271</w:t>
            </w:r>
          </w:p>
        </w:tc>
        <w:tc>
          <w:tcPr>
            <w:tcW w:w="595" w:type="pct"/>
            <w:tcBorders>
              <w:top w:val="nil"/>
              <w:bottom w:val="nil"/>
            </w:tcBorders>
            <w:vAlign w:val="center"/>
          </w:tcPr>
          <w:p w:rsidR="00707B3C" w:rsidRDefault="00707B3C">
            <w:pPr>
              <w:jc w:val="center"/>
              <w:rPr>
                <w:rFonts w:cs="Arial"/>
                <w:sz w:val="20"/>
                <w:szCs w:val="20"/>
              </w:rPr>
            </w:pPr>
            <w:r>
              <w:rPr>
                <w:rFonts w:cs="Arial"/>
                <w:sz w:val="20"/>
                <w:szCs w:val="20"/>
              </w:rPr>
              <w:t>234</w:t>
            </w:r>
          </w:p>
        </w:tc>
      </w:tr>
      <w:tr w:rsidR="00707B3C" w:rsidRPr="00405CDE" w:rsidTr="00F114D5">
        <w:trPr>
          <w:trHeight w:val="510"/>
        </w:trPr>
        <w:tc>
          <w:tcPr>
            <w:tcW w:w="1100" w:type="pct"/>
            <w:tcBorders>
              <w:top w:val="nil"/>
              <w:bottom w:val="nil"/>
            </w:tcBorders>
            <w:vAlign w:val="center"/>
          </w:tcPr>
          <w:p w:rsidR="00707B3C" w:rsidRDefault="00707B3C">
            <w:pPr>
              <w:rPr>
                <w:rFonts w:cs="Arial"/>
                <w:sz w:val="20"/>
                <w:szCs w:val="20"/>
              </w:rPr>
            </w:pPr>
            <w:r>
              <w:rPr>
                <w:rFonts w:cs="Arial"/>
                <w:sz w:val="20"/>
                <w:szCs w:val="20"/>
              </w:rPr>
              <w:t>Ex post price ($/GJ)</w:t>
            </w:r>
          </w:p>
        </w:tc>
        <w:tc>
          <w:tcPr>
            <w:tcW w:w="597" w:type="pct"/>
            <w:tcBorders>
              <w:top w:val="nil"/>
              <w:bottom w:val="nil"/>
            </w:tcBorders>
            <w:vAlign w:val="center"/>
          </w:tcPr>
          <w:p w:rsidR="00707B3C" w:rsidRDefault="00707B3C">
            <w:pPr>
              <w:jc w:val="center"/>
              <w:rPr>
                <w:rFonts w:cs="Arial"/>
                <w:sz w:val="20"/>
                <w:szCs w:val="20"/>
              </w:rPr>
            </w:pPr>
            <w:r>
              <w:rPr>
                <w:rFonts w:cs="Arial"/>
                <w:sz w:val="20"/>
                <w:szCs w:val="20"/>
              </w:rPr>
              <w:t>6.40</w:t>
            </w:r>
          </w:p>
        </w:tc>
        <w:tc>
          <w:tcPr>
            <w:tcW w:w="523" w:type="pct"/>
            <w:tcBorders>
              <w:top w:val="nil"/>
              <w:bottom w:val="nil"/>
            </w:tcBorders>
            <w:vAlign w:val="center"/>
          </w:tcPr>
          <w:p w:rsidR="00707B3C" w:rsidRDefault="00707B3C">
            <w:pPr>
              <w:jc w:val="center"/>
              <w:rPr>
                <w:rFonts w:cs="Arial"/>
                <w:sz w:val="20"/>
                <w:szCs w:val="20"/>
              </w:rPr>
            </w:pPr>
            <w:r>
              <w:rPr>
                <w:rFonts w:cs="Arial"/>
                <w:sz w:val="20"/>
                <w:szCs w:val="20"/>
              </w:rPr>
              <w:t>8.90</w:t>
            </w:r>
          </w:p>
        </w:tc>
        <w:tc>
          <w:tcPr>
            <w:tcW w:w="606" w:type="pct"/>
            <w:tcBorders>
              <w:top w:val="nil"/>
              <w:bottom w:val="nil"/>
            </w:tcBorders>
            <w:vAlign w:val="center"/>
          </w:tcPr>
          <w:p w:rsidR="00707B3C" w:rsidRDefault="00707B3C">
            <w:pPr>
              <w:jc w:val="center"/>
              <w:rPr>
                <w:rFonts w:cs="Arial"/>
                <w:sz w:val="20"/>
                <w:szCs w:val="20"/>
              </w:rPr>
            </w:pPr>
            <w:r>
              <w:rPr>
                <w:rFonts w:cs="Arial"/>
                <w:sz w:val="20"/>
                <w:szCs w:val="20"/>
              </w:rPr>
              <w:t>7.00</w:t>
            </w:r>
          </w:p>
        </w:tc>
        <w:tc>
          <w:tcPr>
            <w:tcW w:w="532" w:type="pct"/>
            <w:tcBorders>
              <w:top w:val="nil"/>
              <w:bottom w:val="nil"/>
            </w:tcBorders>
            <w:vAlign w:val="center"/>
          </w:tcPr>
          <w:p w:rsidR="00707B3C" w:rsidRDefault="00707B3C">
            <w:pPr>
              <w:jc w:val="center"/>
              <w:rPr>
                <w:rFonts w:cs="Arial"/>
                <w:sz w:val="20"/>
                <w:szCs w:val="20"/>
              </w:rPr>
            </w:pPr>
            <w:r>
              <w:rPr>
                <w:rFonts w:cs="Arial"/>
                <w:sz w:val="20"/>
                <w:szCs w:val="20"/>
              </w:rPr>
              <w:t>7.41</w:t>
            </w:r>
          </w:p>
        </w:tc>
        <w:tc>
          <w:tcPr>
            <w:tcW w:w="525" w:type="pct"/>
            <w:tcBorders>
              <w:top w:val="nil"/>
              <w:bottom w:val="nil"/>
            </w:tcBorders>
            <w:vAlign w:val="center"/>
          </w:tcPr>
          <w:p w:rsidR="00707B3C" w:rsidRDefault="00707B3C">
            <w:pPr>
              <w:jc w:val="center"/>
              <w:rPr>
                <w:rFonts w:cs="Arial"/>
                <w:sz w:val="20"/>
                <w:szCs w:val="20"/>
              </w:rPr>
            </w:pPr>
            <w:r>
              <w:rPr>
                <w:rFonts w:cs="Arial"/>
                <w:sz w:val="20"/>
                <w:szCs w:val="20"/>
              </w:rPr>
              <w:t>8.92</w:t>
            </w:r>
          </w:p>
        </w:tc>
        <w:tc>
          <w:tcPr>
            <w:tcW w:w="522" w:type="pct"/>
            <w:tcBorders>
              <w:top w:val="nil"/>
              <w:bottom w:val="nil"/>
            </w:tcBorders>
            <w:vAlign w:val="center"/>
          </w:tcPr>
          <w:p w:rsidR="00707B3C" w:rsidRDefault="00707B3C">
            <w:pPr>
              <w:jc w:val="center"/>
              <w:rPr>
                <w:rFonts w:cs="Arial"/>
                <w:sz w:val="20"/>
                <w:szCs w:val="20"/>
              </w:rPr>
            </w:pPr>
            <w:r>
              <w:rPr>
                <w:rFonts w:cs="Arial"/>
                <w:sz w:val="20"/>
                <w:szCs w:val="20"/>
              </w:rPr>
              <w:t>7.45</w:t>
            </w:r>
          </w:p>
        </w:tc>
        <w:tc>
          <w:tcPr>
            <w:tcW w:w="595" w:type="pct"/>
            <w:tcBorders>
              <w:top w:val="nil"/>
              <w:bottom w:val="nil"/>
            </w:tcBorders>
            <w:vAlign w:val="center"/>
          </w:tcPr>
          <w:p w:rsidR="00707B3C" w:rsidRDefault="00707B3C">
            <w:pPr>
              <w:jc w:val="center"/>
              <w:rPr>
                <w:rFonts w:cs="Arial"/>
                <w:sz w:val="20"/>
                <w:szCs w:val="20"/>
              </w:rPr>
            </w:pPr>
            <w:r>
              <w:rPr>
                <w:rFonts w:cs="Arial"/>
                <w:sz w:val="20"/>
                <w:szCs w:val="20"/>
              </w:rPr>
              <w:t>7.45</w:t>
            </w:r>
          </w:p>
        </w:tc>
      </w:tr>
      <w:tr w:rsidR="00707B3C" w:rsidRPr="00405CDE" w:rsidTr="00F114D5">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707B3C" w:rsidRDefault="00707B3C">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707B3C" w:rsidRDefault="00707B3C">
            <w:pPr>
              <w:jc w:val="center"/>
              <w:rPr>
                <w:rFonts w:cs="Arial"/>
                <w:sz w:val="20"/>
                <w:szCs w:val="20"/>
              </w:rPr>
            </w:pPr>
            <w:r>
              <w:rPr>
                <w:rFonts w:cs="Arial"/>
                <w:sz w:val="20"/>
                <w:szCs w:val="20"/>
              </w:rPr>
              <w:t>257</w:t>
            </w:r>
          </w:p>
        </w:tc>
        <w:tc>
          <w:tcPr>
            <w:tcW w:w="523" w:type="pct"/>
            <w:tcBorders>
              <w:top w:val="nil"/>
              <w:bottom w:val="single" w:sz="4" w:space="0" w:color="auto"/>
            </w:tcBorders>
            <w:vAlign w:val="center"/>
          </w:tcPr>
          <w:p w:rsidR="00707B3C" w:rsidRDefault="00707B3C">
            <w:pPr>
              <w:jc w:val="center"/>
              <w:rPr>
                <w:rFonts w:cs="Arial"/>
                <w:sz w:val="20"/>
                <w:szCs w:val="20"/>
              </w:rPr>
            </w:pPr>
            <w:r>
              <w:rPr>
                <w:rFonts w:cs="Arial"/>
                <w:sz w:val="20"/>
                <w:szCs w:val="20"/>
              </w:rPr>
              <w:t>287</w:t>
            </w:r>
          </w:p>
        </w:tc>
        <w:tc>
          <w:tcPr>
            <w:tcW w:w="606" w:type="pct"/>
            <w:tcBorders>
              <w:top w:val="nil"/>
              <w:bottom w:val="single" w:sz="4" w:space="0" w:color="auto"/>
            </w:tcBorders>
            <w:vAlign w:val="center"/>
          </w:tcPr>
          <w:p w:rsidR="00707B3C" w:rsidRDefault="00707B3C">
            <w:pPr>
              <w:jc w:val="center"/>
              <w:rPr>
                <w:rFonts w:cs="Arial"/>
                <w:sz w:val="20"/>
                <w:szCs w:val="20"/>
              </w:rPr>
            </w:pPr>
            <w:r>
              <w:rPr>
                <w:rFonts w:cs="Arial"/>
                <w:sz w:val="20"/>
                <w:szCs w:val="20"/>
              </w:rPr>
              <w:t>290</w:t>
            </w:r>
          </w:p>
        </w:tc>
        <w:tc>
          <w:tcPr>
            <w:tcW w:w="532" w:type="pct"/>
            <w:tcBorders>
              <w:top w:val="nil"/>
              <w:bottom w:val="single" w:sz="4" w:space="0" w:color="auto"/>
            </w:tcBorders>
            <w:vAlign w:val="center"/>
          </w:tcPr>
          <w:p w:rsidR="00707B3C" w:rsidRDefault="00707B3C">
            <w:pPr>
              <w:jc w:val="center"/>
              <w:rPr>
                <w:rFonts w:cs="Arial"/>
                <w:sz w:val="20"/>
                <w:szCs w:val="20"/>
              </w:rPr>
            </w:pPr>
            <w:r>
              <w:rPr>
                <w:rFonts w:cs="Arial"/>
                <w:sz w:val="20"/>
                <w:szCs w:val="20"/>
              </w:rPr>
              <w:t>281</w:t>
            </w:r>
          </w:p>
        </w:tc>
        <w:tc>
          <w:tcPr>
            <w:tcW w:w="525" w:type="pct"/>
            <w:tcBorders>
              <w:top w:val="nil"/>
              <w:bottom w:val="single" w:sz="4" w:space="0" w:color="auto"/>
            </w:tcBorders>
            <w:vAlign w:val="center"/>
          </w:tcPr>
          <w:p w:rsidR="00707B3C" w:rsidRDefault="00707B3C">
            <w:pPr>
              <w:jc w:val="center"/>
              <w:rPr>
                <w:rFonts w:cs="Arial"/>
                <w:sz w:val="20"/>
                <w:szCs w:val="20"/>
              </w:rPr>
            </w:pPr>
            <w:r>
              <w:rPr>
                <w:rFonts w:cs="Arial"/>
                <w:sz w:val="20"/>
                <w:szCs w:val="20"/>
              </w:rPr>
              <w:t>274</w:t>
            </w:r>
          </w:p>
        </w:tc>
        <w:tc>
          <w:tcPr>
            <w:tcW w:w="522" w:type="pct"/>
            <w:tcBorders>
              <w:top w:val="nil"/>
              <w:bottom w:val="single" w:sz="4" w:space="0" w:color="auto"/>
            </w:tcBorders>
            <w:vAlign w:val="center"/>
          </w:tcPr>
          <w:p w:rsidR="00707B3C" w:rsidRDefault="00707B3C">
            <w:pPr>
              <w:jc w:val="center"/>
              <w:rPr>
                <w:rFonts w:cs="Arial"/>
                <w:sz w:val="20"/>
                <w:szCs w:val="20"/>
              </w:rPr>
            </w:pPr>
            <w:r>
              <w:rPr>
                <w:rFonts w:cs="Arial"/>
                <w:sz w:val="20"/>
                <w:szCs w:val="20"/>
              </w:rPr>
              <w:t>259</w:t>
            </w:r>
          </w:p>
        </w:tc>
        <w:tc>
          <w:tcPr>
            <w:tcW w:w="595" w:type="pct"/>
            <w:tcBorders>
              <w:top w:val="nil"/>
              <w:bottom w:val="single" w:sz="4" w:space="0" w:color="auto"/>
            </w:tcBorders>
            <w:vAlign w:val="center"/>
          </w:tcPr>
          <w:p w:rsidR="00707B3C" w:rsidRDefault="00707B3C">
            <w:pPr>
              <w:jc w:val="center"/>
              <w:rPr>
                <w:rFonts w:cs="Arial"/>
                <w:sz w:val="20"/>
                <w:szCs w:val="20"/>
              </w:rPr>
            </w:pPr>
            <w:r>
              <w:rPr>
                <w:rFonts w:cs="Arial"/>
                <w:sz w:val="20"/>
                <w:szCs w:val="20"/>
              </w:rPr>
              <w:t>235</w:t>
            </w:r>
          </w:p>
        </w:tc>
      </w:tr>
    </w:tbl>
    <w:p w:rsidR="00BC18FB" w:rsidRPr="00DD0358" w:rsidRDefault="00362B9A" w:rsidP="00362B9A">
      <w:pPr>
        <w:pStyle w:val="Heading4"/>
        <w:ind w:left="340" w:hanging="340"/>
        <w:rPr>
          <w:color w:val="2272A3"/>
          <w:sz w:val="24"/>
          <w:szCs w:val="24"/>
        </w:rPr>
      </w:pPr>
      <w:r w:rsidRPr="00DD0358">
        <w:rPr>
          <w:color w:val="2272A3"/>
          <w:sz w:val="24"/>
          <w:szCs w:val="24"/>
        </w:rPr>
        <w:t>SYD daily hub offers and daily hub bids in price bands ($/GJ)</w:t>
      </w:r>
    </w:p>
    <w:p w:rsidR="00362B9A" w:rsidRPr="00362B9A" w:rsidRDefault="00BD01D4" w:rsidP="00362B9A">
      <w:r>
        <w:pict>
          <v:shape id="_x0000_i1031" type="#_x0000_t75" alt="Figure 2.2 shows the daily hub offers and bid in within certain price bands in Sydney this week. The line indicates the scheduled quantity for each day. For a more detailed description of this figure, please refer to the user guide.&#10;" style="width:476.15pt;height:170.5pt">
            <v:imagedata r:id="rId20" o:title=""/>
          </v:shape>
        </w:pict>
      </w:r>
    </w:p>
    <w:p w:rsidR="00BC18FB" w:rsidRPr="00DD0358" w:rsidRDefault="00362B9A" w:rsidP="00FF0D8A">
      <w:pPr>
        <w:pStyle w:val="Heading4"/>
        <w:ind w:hanging="338"/>
        <w:rPr>
          <w:color w:val="2272A3"/>
          <w:sz w:val="24"/>
          <w:szCs w:val="24"/>
        </w:rPr>
      </w:pPr>
      <w:r w:rsidRPr="00DD0358">
        <w:rPr>
          <w:color w:val="2272A3"/>
          <w:sz w:val="24"/>
          <w:szCs w:val="24"/>
        </w:rPr>
        <w:lastRenderedPageBreak/>
        <w:t xml:space="preserve">SYD net scheduled and allocated </w:t>
      </w:r>
      <w:r w:rsidR="003625A6" w:rsidRPr="00DD0358">
        <w:rPr>
          <w:color w:val="2272A3"/>
          <w:sz w:val="24"/>
          <w:szCs w:val="24"/>
        </w:rPr>
        <w:t xml:space="preserve">gas hub supply </w:t>
      </w:r>
      <w:r w:rsidRPr="00DD0358">
        <w:rPr>
          <w:color w:val="2272A3"/>
          <w:sz w:val="24"/>
          <w:szCs w:val="24"/>
        </w:rPr>
        <w:t xml:space="preserve">(excluding MOS) </w:t>
      </w:r>
    </w:p>
    <w:p w:rsidR="00362B9A" w:rsidRPr="00362B9A" w:rsidRDefault="00BD01D4" w:rsidP="00362B9A">
      <w:r>
        <w:pict>
          <v:shape id="_x0000_i1032" type="#_x0000_t75" alt="Figure 2.3 shows the daily scheduled and allocated quantities sorted by facility for Sydney this week. For a more detailed description of this figure, please refer to the user guide.&#10;" style="width:478.2pt;height:213.3pt">
            <v:imagedata r:id="rId21" o:title=""/>
          </v:shape>
        </w:pict>
      </w:r>
    </w:p>
    <w:p w:rsidR="00BC18FB" w:rsidRPr="00DD0358" w:rsidRDefault="00362B9A" w:rsidP="00560F2D">
      <w:pPr>
        <w:pStyle w:val="Heading4"/>
        <w:ind w:left="1440" w:hanging="1440"/>
        <w:rPr>
          <w:color w:val="2272A3"/>
          <w:sz w:val="24"/>
          <w:szCs w:val="24"/>
        </w:rPr>
      </w:pPr>
      <w:r w:rsidRPr="00DD0358">
        <w:rPr>
          <w:color w:val="2272A3"/>
          <w:sz w:val="24"/>
          <w:szCs w:val="24"/>
        </w:rPr>
        <w:t>SYD MOS allocations (TJ), service payments and commodity payments/charges ($000)</w:t>
      </w:r>
    </w:p>
    <w:p w:rsidR="00362B9A" w:rsidRDefault="00BD01D4" w:rsidP="00362B9A">
      <w:r>
        <w:pict>
          <v:shape id="_x0000_i1033" type="#_x0000_t75" alt="Figure 2.4 shows the daily MOS allocations sorted by facility for each facility in Sydney this week. The figure also shows the daily breakdown of costs associated with the MOS provided. For a more detailed description of this figure, please refer to the user guide." style="width:476.15pt;height:180.7pt">
            <v:imagedata r:id="rId22" o:title=""/>
          </v:shape>
        </w:pict>
      </w:r>
    </w:p>
    <w:p w:rsidR="00BC18FB" w:rsidRDefault="00AE309F" w:rsidP="00BC18FB">
      <w:pPr>
        <w:pStyle w:val="Heading3"/>
        <w:ind w:firstLine="0"/>
        <w:rPr>
          <w:color w:val="2272A3"/>
          <w:sz w:val="32"/>
          <w:szCs w:val="32"/>
        </w:rPr>
      </w:pPr>
      <w:r>
        <w:rPr>
          <w:color w:val="2272A3"/>
          <w:sz w:val="32"/>
          <w:szCs w:val="32"/>
        </w:rPr>
        <w:br w:type="page"/>
      </w:r>
      <w:r w:rsidR="00BC18FB" w:rsidRPr="00004A63">
        <w:rPr>
          <w:color w:val="2272A3"/>
          <w:sz w:val="32"/>
          <w:szCs w:val="32"/>
        </w:rPr>
        <w:lastRenderedPageBreak/>
        <w:t>A</w:t>
      </w:r>
      <w:r w:rsidR="00362B9A">
        <w:rPr>
          <w:color w:val="2272A3"/>
          <w:sz w:val="32"/>
          <w:szCs w:val="32"/>
        </w:rPr>
        <w:t>delaide STTM</w:t>
      </w:r>
    </w:p>
    <w:p w:rsidR="003625A6" w:rsidRPr="003625A6" w:rsidRDefault="003625A6" w:rsidP="00345444">
      <w:pPr>
        <w:jc w:val="both"/>
      </w:pPr>
      <w:r>
        <w:t>The Adelaide STTM hub functions in the same way as the Sydney STTM hub.  The same data that was presented for the Sydney hub is presented for the Adelaide hub in the figures below.</w:t>
      </w:r>
    </w:p>
    <w:p w:rsidR="00BC18FB" w:rsidRDefault="003625A6" w:rsidP="00FF0D8A">
      <w:pPr>
        <w:pStyle w:val="Heading4"/>
        <w:ind w:hanging="338"/>
        <w:rPr>
          <w:color w:val="2272A3"/>
          <w:sz w:val="24"/>
          <w:szCs w:val="24"/>
        </w:rPr>
      </w:pPr>
      <w:r>
        <w:rPr>
          <w:color w:val="2272A3"/>
          <w:sz w:val="24"/>
          <w:szCs w:val="24"/>
        </w:rPr>
        <w:t>ADL</w:t>
      </w:r>
      <w:r w:rsidRPr="00362B9A">
        <w:rPr>
          <w:color w:val="2272A3"/>
          <w:sz w:val="24"/>
          <w:szCs w:val="24"/>
        </w:rPr>
        <w:t xml:space="preserve">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7A51E1" w:rsidRPr="00405CDE" w:rsidTr="00EE2945">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707B3C" w:rsidRPr="00405CDE" w:rsidTr="00EE2945">
        <w:trPr>
          <w:trHeight w:val="510"/>
        </w:trPr>
        <w:tc>
          <w:tcPr>
            <w:tcW w:w="1100" w:type="pct"/>
            <w:tcBorders>
              <w:top w:val="nil"/>
              <w:bottom w:val="nil"/>
            </w:tcBorders>
            <w:vAlign w:val="center"/>
          </w:tcPr>
          <w:p w:rsidR="00707B3C" w:rsidRDefault="00707B3C">
            <w:pPr>
              <w:rPr>
                <w:rFonts w:cs="Arial"/>
                <w:sz w:val="20"/>
                <w:szCs w:val="20"/>
              </w:rPr>
            </w:pPr>
            <w:r>
              <w:rPr>
                <w:rFonts w:cs="Arial"/>
                <w:sz w:val="20"/>
                <w:szCs w:val="20"/>
              </w:rPr>
              <w:t>Ex ante price ($/GJ)</w:t>
            </w:r>
          </w:p>
        </w:tc>
        <w:tc>
          <w:tcPr>
            <w:tcW w:w="597" w:type="pct"/>
            <w:tcBorders>
              <w:top w:val="nil"/>
              <w:bottom w:val="nil"/>
            </w:tcBorders>
            <w:vAlign w:val="center"/>
          </w:tcPr>
          <w:p w:rsidR="00707B3C" w:rsidRDefault="00707B3C">
            <w:pPr>
              <w:jc w:val="center"/>
              <w:rPr>
                <w:rFonts w:cs="Arial"/>
                <w:sz w:val="20"/>
                <w:szCs w:val="20"/>
              </w:rPr>
            </w:pPr>
            <w:r>
              <w:rPr>
                <w:rFonts w:cs="Arial"/>
                <w:sz w:val="20"/>
                <w:szCs w:val="20"/>
              </w:rPr>
              <w:t>7.95</w:t>
            </w:r>
          </w:p>
        </w:tc>
        <w:tc>
          <w:tcPr>
            <w:tcW w:w="523" w:type="pct"/>
            <w:tcBorders>
              <w:top w:val="nil"/>
              <w:bottom w:val="nil"/>
            </w:tcBorders>
            <w:vAlign w:val="center"/>
          </w:tcPr>
          <w:p w:rsidR="00707B3C" w:rsidRDefault="00707B3C">
            <w:pPr>
              <w:jc w:val="center"/>
              <w:rPr>
                <w:rFonts w:cs="Arial"/>
                <w:sz w:val="20"/>
                <w:szCs w:val="20"/>
              </w:rPr>
            </w:pPr>
            <w:r>
              <w:rPr>
                <w:rFonts w:cs="Arial"/>
                <w:sz w:val="20"/>
                <w:szCs w:val="20"/>
              </w:rPr>
              <w:t>8.01</w:t>
            </w:r>
          </w:p>
        </w:tc>
        <w:tc>
          <w:tcPr>
            <w:tcW w:w="606" w:type="pct"/>
            <w:tcBorders>
              <w:top w:val="nil"/>
              <w:bottom w:val="nil"/>
            </w:tcBorders>
            <w:vAlign w:val="center"/>
          </w:tcPr>
          <w:p w:rsidR="00707B3C" w:rsidRDefault="00707B3C">
            <w:pPr>
              <w:jc w:val="center"/>
              <w:rPr>
                <w:rFonts w:cs="Arial"/>
                <w:sz w:val="20"/>
                <w:szCs w:val="20"/>
              </w:rPr>
            </w:pPr>
            <w:r>
              <w:rPr>
                <w:rFonts w:cs="Arial"/>
                <w:sz w:val="20"/>
                <w:szCs w:val="20"/>
              </w:rPr>
              <w:t>8.01</w:t>
            </w:r>
          </w:p>
        </w:tc>
        <w:tc>
          <w:tcPr>
            <w:tcW w:w="532" w:type="pct"/>
            <w:tcBorders>
              <w:top w:val="nil"/>
              <w:bottom w:val="nil"/>
            </w:tcBorders>
            <w:vAlign w:val="center"/>
          </w:tcPr>
          <w:p w:rsidR="00707B3C" w:rsidRDefault="00707B3C">
            <w:pPr>
              <w:jc w:val="center"/>
              <w:rPr>
                <w:rFonts w:cs="Arial"/>
                <w:sz w:val="20"/>
                <w:szCs w:val="20"/>
              </w:rPr>
            </w:pPr>
            <w:r>
              <w:rPr>
                <w:rFonts w:cs="Arial"/>
                <w:sz w:val="20"/>
                <w:szCs w:val="20"/>
              </w:rPr>
              <w:t>7.97</w:t>
            </w:r>
          </w:p>
        </w:tc>
        <w:tc>
          <w:tcPr>
            <w:tcW w:w="525" w:type="pct"/>
            <w:tcBorders>
              <w:top w:val="nil"/>
              <w:bottom w:val="nil"/>
            </w:tcBorders>
            <w:vAlign w:val="center"/>
          </w:tcPr>
          <w:p w:rsidR="00707B3C" w:rsidRDefault="00707B3C">
            <w:pPr>
              <w:jc w:val="center"/>
              <w:rPr>
                <w:rFonts w:cs="Arial"/>
                <w:sz w:val="20"/>
                <w:szCs w:val="20"/>
              </w:rPr>
            </w:pPr>
            <w:r>
              <w:rPr>
                <w:rFonts w:cs="Arial"/>
                <w:sz w:val="20"/>
                <w:szCs w:val="20"/>
              </w:rPr>
              <w:t>8.13</w:t>
            </w:r>
          </w:p>
        </w:tc>
        <w:tc>
          <w:tcPr>
            <w:tcW w:w="522" w:type="pct"/>
            <w:tcBorders>
              <w:top w:val="nil"/>
              <w:bottom w:val="nil"/>
            </w:tcBorders>
            <w:vAlign w:val="center"/>
          </w:tcPr>
          <w:p w:rsidR="00707B3C" w:rsidRDefault="00707B3C">
            <w:pPr>
              <w:jc w:val="center"/>
              <w:rPr>
                <w:rFonts w:cs="Arial"/>
                <w:sz w:val="20"/>
                <w:szCs w:val="20"/>
              </w:rPr>
            </w:pPr>
            <w:r>
              <w:rPr>
                <w:rFonts w:cs="Arial"/>
                <w:sz w:val="20"/>
                <w:szCs w:val="20"/>
              </w:rPr>
              <w:t>8.21</w:t>
            </w:r>
          </w:p>
        </w:tc>
        <w:tc>
          <w:tcPr>
            <w:tcW w:w="595" w:type="pct"/>
            <w:tcBorders>
              <w:top w:val="nil"/>
              <w:bottom w:val="nil"/>
            </w:tcBorders>
            <w:vAlign w:val="center"/>
          </w:tcPr>
          <w:p w:rsidR="00707B3C" w:rsidRDefault="00707B3C">
            <w:pPr>
              <w:jc w:val="center"/>
              <w:rPr>
                <w:rFonts w:cs="Arial"/>
                <w:sz w:val="20"/>
                <w:szCs w:val="20"/>
              </w:rPr>
            </w:pPr>
            <w:r>
              <w:rPr>
                <w:rFonts w:cs="Arial"/>
                <w:sz w:val="20"/>
                <w:szCs w:val="20"/>
              </w:rPr>
              <w:t>9.88</w:t>
            </w:r>
          </w:p>
        </w:tc>
      </w:tr>
      <w:tr w:rsidR="00707B3C" w:rsidRPr="00405CDE" w:rsidTr="00EE2945">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707B3C" w:rsidRDefault="00707B3C">
            <w:pPr>
              <w:rPr>
                <w:rFonts w:cs="Arial"/>
                <w:sz w:val="20"/>
                <w:szCs w:val="20"/>
              </w:rPr>
            </w:pPr>
            <w:r>
              <w:rPr>
                <w:rFonts w:cs="Arial"/>
                <w:sz w:val="20"/>
                <w:szCs w:val="20"/>
              </w:rPr>
              <w:t>Ex ante quantity (TJ)</w:t>
            </w:r>
          </w:p>
        </w:tc>
        <w:tc>
          <w:tcPr>
            <w:tcW w:w="597" w:type="pct"/>
            <w:tcBorders>
              <w:top w:val="nil"/>
              <w:bottom w:val="nil"/>
            </w:tcBorders>
            <w:vAlign w:val="center"/>
          </w:tcPr>
          <w:p w:rsidR="00707B3C" w:rsidRDefault="00707B3C">
            <w:pPr>
              <w:jc w:val="center"/>
              <w:rPr>
                <w:rFonts w:cs="Arial"/>
                <w:sz w:val="20"/>
                <w:szCs w:val="20"/>
              </w:rPr>
            </w:pPr>
            <w:r>
              <w:rPr>
                <w:rFonts w:cs="Arial"/>
                <w:sz w:val="20"/>
                <w:szCs w:val="20"/>
              </w:rPr>
              <w:t>65</w:t>
            </w:r>
          </w:p>
        </w:tc>
        <w:tc>
          <w:tcPr>
            <w:tcW w:w="523" w:type="pct"/>
            <w:tcBorders>
              <w:top w:val="nil"/>
              <w:bottom w:val="nil"/>
            </w:tcBorders>
            <w:vAlign w:val="center"/>
          </w:tcPr>
          <w:p w:rsidR="00707B3C" w:rsidRDefault="00707B3C">
            <w:pPr>
              <w:jc w:val="center"/>
              <w:rPr>
                <w:rFonts w:cs="Arial"/>
                <w:sz w:val="20"/>
                <w:szCs w:val="20"/>
              </w:rPr>
            </w:pPr>
            <w:r>
              <w:rPr>
                <w:rFonts w:cs="Arial"/>
                <w:sz w:val="20"/>
                <w:szCs w:val="20"/>
              </w:rPr>
              <w:t>73</w:t>
            </w:r>
          </w:p>
        </w:tc>
        <w:tc>
          <w:tcPr>
            <w:tcW w:w="606" w:type="pct"/>
            <w:tcBorders>
              <w:top w:val="nil"/>
              <w:bottom w:val="nil"/>
            </w:tcBorders>
            <w:vAlign w:val="center"/>
          </w:tcPr>
          <w:p w:rsidR="00707B3C" w:rsidRDefault="00707B3C">
            <w:pPr>
              <w:jc w:val="center"/>
              <w:rPr>
                <w:rFonts w:cs="Arial"/>
                <w:sz w:val="20"/>
                <w:szCs w:val="20"/>
              </w:rPr>
            </w:pPr>
            <w:r>
              <w:rPr>
                <w:rFonts w:cs="Arial"/>
                <w:sz w:val="20"/>
                <w:szCs w:val="20"/>
              </w:rPr>
              <w:t>75</w:t>
            </w:r>
          </w:p>
        </w:tc>
        <w:tc>
          <w:tcPr>
            <w:tcW w:w="532" w:type="pct"/>
            <w:tcBorders>
              <w:top w:val="nil"/>
              <w:bottom w:val="nil"/>
            </w:tcBorders>
            <w:vAlign w:val="center"/>
          </w:tcPr>
          <w:p w:rsidR="00707B3C" w:rsidRDefault="00707B3C">
            <w:pPr>
              <w:jc w:val="center"/>
              <w:rPr>
                <w:rFonts w:cs="Arial"/>
                <w:sz w:val="20"/>
                <w:szCs w:val="20"/>
              </w:rPr>
            </w:pPr>
            <w:r>
              <w:rPr>
                <w:rFonts w:cs="Arial"/>
                <w:sz w:val="20"/>
                <w:szCs w:val="20"/>
              </w:rPr>
              <w:t>75</w:t>
            </w:r>
          </w:p>
        </w:tc>
        <w:tc>
          <w:tcPr>
            <w:tcW w:w="525" w:type="pct"/>
            <w:tcBorders>
              <w:top w:val="nil"/>
              <w:bottom w:val="nil"/>
            </w:tcBorders>
            <w:vAlign w:val="center"/>
          </w:tcPr>
          <w:p w:rsidR="00707B3C" w:rsidRDefault="00707B3C">
            <w:pPr>
              <w:jc w:val="center"/>
              <w:rPr>
                <w:rFonts w:cs="Arial"/>
                <w:sz w:val="20"/>
                <w:szCs w:val="20"/>
              </w:rPr>
            </w:pPr>
            <w:r>
              <w:rPr>
                <w:rFonts w:cs="Arial"/>
                <w:sz w:val="20"/>
                <w:szCs w:val="20"/>
              </w:rPr>
              <w:t>76</w:t>
            </w:r>
          </w:p>
        </w:tc>
        <w:tc>
          <w:tcPr>
            <w:tcW w:w="522" w:type="pct"/>
            <w:tcBorders>
              <w:top w:val="nil"/>
              <w:bottom w:val="nil"/>
            </w:tcBorders>
            <w:vAlign w:val="center"/>
          </w:tcPr>
          <w:p w:rsidR="00707B3C" w:rsidRDefault="00707B3C">
            <w:pPr>
              <w:jc w:val="center"/>
              <w:rPr>
                <w:rFonts w:cs="Arial"/>
                <w:sz w:val="20"/>
                <w:szCs w:val="20"/>
              </w:rPr>
            </w:pPr>
            <w:r>
              <w:rPr>
                <w:rFonts w:cs="Arial"/>
                <w:sz w:val="20"/>
                <w:szCs w:val="20"/>
              </w:rPr>
              <w:t>78</w:t>
            </w:r>
          </w:p>
        </w:tc>
        <w:tc>
          <w:tcPr>
            <w:tcW w:w="595" w:type="pct"/>
            <w:tcBorders>
              <w:top w:val="nil"/>
              <w:bottom w:val="nil"/>
            </w:tcBorders>
            <w:vAlign w:val="center"/>
          </w:tcPr>
          <w:p w:rsidR="00707B3C" w:rsidRDefault="00707B3C">
            <w:pPr>
              <w:jc w:val="center"/>
              <w:rPr>
                <w:rFonts w:cs="Arial"/>
                <w:sz w:val="20"/>
                <w:szCs w:val="20"/>
              </w:rPr>
            </w:pPr>
            <w:r>
              <w:rPr>
                <w:rFonts w:cs="Arial"/>
                <w:sz w:val="20"/>
                <w:szCs w:val="20"/>
              </w:rPr>
              <w:t>71</w:t>
            </w:r>
          </w:p>
        </w:tc>
      </w:tr>
      <w:tr w:rsidR="00707B3C" w:rsidRPr="00405CDE" w:rsidTr="00EE2945">
        <w:trPr>
          <w:trHeight w:val="510"/>
        </w:trPr>
        <w:tc>
          <w:tcPr>
            <w:tcW w:w="1100" w:type="pct"/>
            <w:tcBorders>
              <w:top w:val="nil"/>
              <w:bottom w:val="nil"/>
            </w:tcBorders>
            <w:vAlign w:val="center"/>
          </w:tcPr>
          <w:p w:rsidR="00707B3C" w:rsidRDefault="00707B3C">
            <w:pPr>
              <w:rPr>
                <w:rFonts w:cs="Arial"/>
                <w:sz w:val="20"/>
                <w:szCs w:val="20"/>
              </w:rPr>
            </w:pPr>
            <w:r>
              <w:rPr>
                <w:rFonts w:cs="Arial"/>
                <w:sz w:val="20"/>
                <w:szCs w:val="20"/>
              </w:rPr>
              <w:t>Ex post price ($/GJ)</w:t>
            </w:r>
          </w:p>
        </w:tc>
        <w:tc>
          <w:tcPr>
            <w:tcW w:w="597" w:type="pct"/>
            <w:tcBorders>
              <w:top w:val="nil"/>
              <w:bottom w:val="nil"/>
            </w:tcBorders>
            <w:vAlign w:val="center"/>
          </w:tcPr>
          <w:p w:rsidR="00707B3C" w:rsidRDefault="00707B3C">
            <w:pPr>
              <w:jc w:val="center"/>
              <w:rPr>
                <w:rFonts w:cs="Arial"/>
                <w:sz w:val="20"/>
                <w:szCs w:val="20"/>
              </w:rPr>
            </w:pPr>
            <w:r>
              <w:rPr>
                <w:rFonts w:cs="Arial"/>
                <w:sz w:val="20"/>
                <w:szCs w:val="20"/>
              </w:rPr>
              <w:t>8.01</w:t>
            </w:r>
          </w:p>
        </w:tc>
        <w:tc>
          <w:tcPr>
            <w:tcW w:w="523" w:type="pct"/>
            <w:tcBorders>
              <w:top w:val="nil"/>
              <w:bottom w:val="nil"/>
            </w:tcBorders>
            <w:vAlign w:val="center"/>
          </w:tcPr>
          <w:p w:rsidR="00707B3C" w:rsidRDefault="00707B3C">
            <w:pPr>
              <w:jc w:val="center"/>
              <w:rPr>
                <w:rFonts w:cs="Arial"/>
                <w:sz w:val="20"/>
                <w:szCs w:val="20"/>
              </w:rPr>
            </w:pPr>
            <w:r>
              <w:rPr>
                <w:rFonts w:cs="Arial"/>
                <w:sz w:val="20"/>
                <w:szCs w:val="20"/>
              </w:rPr>
              <w:t>10.74</w:t>
            </w:r>
          </w:p>
        </w:tc>
        <w:tc>
          <w:tcPr>
            <w:tcW w:w="606" w:type="pct"/>
            <w:tcBorders>
              <w:top w:val="nil"/>
              <w:bottom w:val="nil"/>
            </w:tcBorders>
            <w:vAlign w:val="center"/>
          </w:tcPr>
          <w:p w:rsidR="00707B3C" w:rsidRDefault="00707B3C">
            <w:pPr>
              <w:jc w:val="center"/>
              <w:rPr>
                <w:rFonts w:cs="Arial"/>
                <w:sz w:val="20"/>
                <w:szCs w:val="20"/>
              </w:rPr>
            </w:pPr>
            <w:r>
              <w:rPr>
                <w:rFonts w:cs="Arial"/>
                <w:sz w:val="20"/>
                <w:szCs w:val="20"/>
              </w:rPr>
              <w:t>8.09</w:t>
            </w:r>
          </w:p>
        </w:tc>
        <w:tc>
          <w:tcPr>
            <w:tcW w:w="532" w:type="pct"/>
            <w:tcBorders>
              <w:top w:val="nil"/>
              <w:bottom w:val="nil"/>
            </w:tcBorders>
            <w:vAlign w:val="center"/>
          </w:tcPr>
          <w:p w:rsidR="00707B3C" w:rsidRDefault="00707B3C">
            <w:pPr>
              <w:jc w:val="center"/>
              <w:rPr>
                <w:rFonts w:cs="Arial"/>
                <w:sz w:val="20"/>
                <w:szCs w:val="20"/>
              </w:rPr>
            </w:pPr>
            <w:r>
              <w:rPr>
                <w:rFonts w:cs="Arial"/>
                <w:sz w:val="20"/>
                <w:szCs w:val="20"/>
              </w:rPr>
              <w:t>7.97</w:t>
            </w:r>
          </w:p>
        </w:tc>
        <w:tc>
          <w:tcPr>
            <w:tcW w:w="525" w:type="pct"/>
            <w:tcBorders>
              <w:top w:val="nil"/>
              <w:bottom w:val="nil"/>
            </w:tcBorders>
            <w:vAlign w:val="center"/>
          </w:tcPr>
          <w:p w:rsidR="00707B3C" w:rsidRDefault="00707B3C">
            <w:pPr>
              <w:jc w:val="center"/>
              <w:rPr>
                <w:rFonts w:cs="Arial"/>
                <w:sz w:val="20"/>
                <w:szCs w:val="20"/>
              </w:rPr>
            </w:pPr>
            <w:r>
              <w:rPr>
                <w:rFonts w:cs="Arial"/>
                <w:sz w:val="20"/>
                <w:szCs w:val="20"/>
              </w:rPr>
              <w:t>8.13</w:t>
            </w:r>
          </w:p>
        </w:tc>
        <w:tc>
          <w:tcPr>
            <w:tcW w:w="522" w:type="pct"/>
            <w:tcBorders>
              <w:top w:val="nil"/>
              <w:bottom w:val="nil"/>
            </w:tcBorders>
            <w:vAlign w:val="center"/>
          </w:tcPr>
          <w:p w:rsidR="00707B3C" w:rsidRDefault="00707B3C">
            <w:pPr>
              <w:jc w:val="center"/>
              <w:rPr>
                <w:rFonts w:cs="Arial"/>
                <w:sz w:val="20"/>
                <w:szCs w:val="20"/>
              </w:rPr>
            </w:pPr>
            <w:r>
              <w:rPr>
                <w:rFonts w:cs="Arial"/>
                <w:sz w:val="20"/>
                <w:szCs w:val="20"/>
              </w:rPr>
              <w:t>8.05</w:t>
            </w:r>
          </w:p>
        </w:tc>
        <w:tc>
          <w:tcPr>
            <w:tcW w:w="595" w:type="pct"/>
            <w:tcBorders>
              <w:top w:val="nil"/>
              <w:bottom w:val="nil"/>
            </w:tcBorders>
            <w:vAlign w:val="center"/>
          </w:tcPr>
          <w:p w:rsidR="00707B3C" w:rsidRDefault="00707B3C">
            <w:pPr>
              <w:jc w:val="center"/>
              <w:rPr>
                <w:rFonts w:cs="Arial"/>
                <w:sz w:val="20"/>
                <w:szCs w:val="20"/>
              </w:rPr>
            </w:pPr>
            <w:r>
              <w:rPr>
                <w:rFonts w:cs="Arial"/>
                <w:sz w:val="20"/>
                <w:szCs w:val="20"/>
              </w:rPr>
              <w:t>9.79</w:t>
            </w:r>
          </w:p>
        </w:tc>
      </w:tr>
      <w:tr w:rsidR="00707B3C" w:rsidRPr="00405CDE" w:rsidTr="00EE2945">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707B3C" w:rsidRDefault="00707B3C">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707B3C" w:rsidRDefault="00707B3C">
            <w:pPr>
              <w:jc w:val="center"/>
              <w:rPr>
                <w:rFonts w:cs="Arial"/>
                <w:sz w:val="20"/>
                <w:szCs w:val="20"/>
              </w:rPr>
            </w:pPr>
            <w:r>
              <w:rPr>
                <w:rFonts w:cs="Arial"/>
                <w:sz w:val="20"/>
                <w:szCs w:val="20"/>
              </w:rPr>
              <w:t>67</w:t>
            </w:r>
          </w:p>
        </w:tc>
        <w:tc>
          <w:tcPr>
            <w:tcW w:w="523" w:type="pct"/>
            <w:tcBorders>
              <w:top w:val="nil"/>
              <w:bottom w:val="single" w:sz="4" w:space="0" w:color="auto"/>
            </w:tcBorders>
            <w:vAlign w:val="center"/>
          </w:tcPr>
          <w:p w:rsidR="00707B3C" w:rsidRDefault="00707B3C">
            <w:pPr>
              <w:jc w:val="center"/>
              <w:rPr>
                <w:rFonts w:cs="Arial"/>
                <w:sz w:val="20"/>
                <w:szCs w:val="20"/>
              </w:rPr>
            </w:pPr>
            <w:r>
              <w:rPr>
                <w:rFonts w:cs="Arial"/>
                <w:sz w:val="20"/>
                <w:szCs w:val="20"/>
              </w:rPr>
              <w:t>83</w:t>
            </w:r>
          </w:p>
        </w:tc>
        <w:tc>
          <w:tcPr>
            <w:tcW w:w="606" w:type="pct"/>
            <w:tcBorders>
              <w:top w:val="nil"/>
              <w:bottom w:val="single" w:sz="4" w:space="0" w:color="auto"/>
            </w:tcBorders>
            <w:vAlign w:val="center"/>
          </w:tcPr>
          <w:p w:rsidR="00707B3C" w:rsidRDefault="00707B3C">
            <w:pPr>
              <w:jc w:val="center"/>
              <w:rPr>
                <w:rFonts w:cs="Arial"/>
                <w:sz w:val="20"/>
                <w:szCs w:val="20"/>
              </w:rPr>
            </w:pPr>
            <w:r>
              <w:rPr>
                <w:rFonts w:cs="Arial"/>
                <w:sz w:val="20"/>
                <w:szCs w:val="20"/>
              </w:rPr>
              <w:t>76</w:t>
            </w:r>
          </w:p>
        </w:tc>
        <w:tc>
          <w:tcPr>
            <w:tcW w:w="532" w:type="pct"/>
            <w:tcBorders>
              <w:top w:val="nil"/>
              <w:bottom w:val="single" w:sz="4" w:space="0" w:color="auto"/>
            </w:tcBorders>
            <w:vAlign w:val="center"/>
          </w:tcPr>
          <w:p w:rsidR="00707B3C" w:rsidRDefault="00707B3C">
            <w:pPr>
              <w:jc w:val="center"/>
              <w:rPr>
                <w:rFonts w:cs="Arial"/>
                <w:sz w:val="20"/>
                <w:szCs w:val="20"/>
              </w:rPr>
            </w:pPr>
            <w:r>
              <w:rPr>
                <w:rFonts w:cs="Arial"/>
                <w:sz w:val="20"/>
                <w:szCs w:val="20"/>
              </w:rPr>
              <w:t>73</w:t>
            </w:r>
          </w:p>
        </w:tc>
        <w:tc>
          <w:tcPr>
            <w:tcW w:w="525" w:type="pct"/>
            <w:tcBorders>
              <w:top w:val="nil"/>
              <w:bottom w:val="single" w:sz="4" w:space="0" w:color="auto"/>
            </w:tcBorders>
            <w:vAlign w:val="center"/>
          </w:tcPr>
          <w:p w:rsidR="00707B3C" w:rsidRDefault="00707B3C">
            <w:pPr>
              <w:jc w:val="center"/>
              <w:rPr>
                <w:rFonts w:cs="Arial"/>
                <w:sz w:val="20"/>
                <w:szCs w:val="20"/>
              </w:rPr>
            </w:pPr>
            <w:r>
              <w:rPr>
                <w:rFonts w:cs="Arial"/>
                <w:sz w:val="20"/>
                <w:szCs w:val="20"/>
              </w:rPr>
              <w:t>77</w:t>
            </w:r>
          </w:p>
        </w:tc>
        <w:tc>
          <w:tcPr>
            <w:tcW w:w="522" w:type="pct"/>
            <w:tcBorders>
              <w:top w:val="nil"/>
              <w:bottom w:val="single" w:sz="4" w:space="0" w:color="auto"/>
            </w:tcBorders>
            <w:vAlign w:val="center"/>
          </w:tcPr>
          <w:p w:rsidR="00707B3C" w:rsidRDefault="00707B3C">
            <w:pPr>
              <w:jc w:val="center"/>
              <w:rPr>
                <w:rFonts w:cs="Arial"/>
                <w:sz w:val="20"/>
                <w:szCs w:val="20"/>
              </w:rPr>
            </w:pPr>
            <w:r>
              <w:rPr>
                <w:rFonts w:cs="Arial"/>
                <w:sz w:val="20"/>
                <w:szCs w:val="20"/>
              </w:rPr>
              <w:t>75</w:t>
            </w:r>
          </w:p>
        </w:tc>
        <w:tc>
          <w:tcPr>
            <w:tcW w:w="595" w:type="pct"/>
            <w:tcBorders>
              <w:top w:val="nil"/>
              <w:bottom w:val="single" w:sz="4" w:space="0" w:color="auto"/>
            </w:tcBorders>
            <w:vAlign w:val="center"/>
          </w:tcPr>
          <w:p w:rsidR="00707B3C" w:rsidRDefault="00707B3C">
            <w:pPr>
              <w:jc w:val="center"/>
              <w:rPr>
                <w:rFonts w:cs="Arial"/>
                <w:sz w:val="20"/>
                <w:szCs w:val="20"/>
              </w:rPr>
            </w:pPr>
            <w:r>
              <w:rPr>
                <w:rFonts w:cs="Arial"/>
                <w:sz w:val="20"/>
                <w:szCs w:val="20"/>
              </w:rPr>
              <w:t>70</w:t>
            </w:r>
          </w:p>
        </w:tc>
      </w:tr>
    </w:tbl>
    <w:p w:rsidR="00BC18FB" w:rsidRPr="00DD0358" w:rsidRDefault="003625A6" w:rsidP="00FF0D8A">
      <w:pPr>
        <w:pStyle w:val="Heading4"/>
        <w:ind w:hanging="338"/>
        <w:rPr>
          <w:color w:val="2272A3"/>
          <w:sz w:val="24"/>
        </w:rPr>
      </w:pPr>
      <w:r w:rsidRPr="00DD0358">
        <w:rPr>
          <w:color w:val="2272A3"/>
          <w:sz w:val="24"/>
          <w:szCs w:val="24"/>
        </w:rPr>
        <w:t>ADL daily hub offers and daily hub bids in price bands ($/GJ)</w:t>
      </w:r>
    </w:p>
    <w:p w:rsidR="00362B9A" w:rsidRPr="00362B9A" w:rsidRDefault="00BD01D4" w:rsidP="00362B9A">
      <w:r>
        <w:pict>
          <v:shape id="_x0000_i1034" type="#_x0000_t75" alt="Figure 3.2 shows the daily hub offers and bid in within certain price bands in Adelaide this week. The line indicates the scheduled quantity for each day. For a more detailed description of this figure, please refer to the user guide.&#10;" style="width:475.45pt;height:170.5pt;mso-position-vertical:absolute">
            <v:imagedata r:id="rId23" o:title=""/>
          </v:shape>
        </w:pict>
      </w:r>
    </w:p>
    <w:p w:rsidR="00BC18FB" w:rsidRPr="00DD0358" w:rsidRDefault="003625A6" w:rsidP="00FF0D8A">
      <w:pPr>
        <w:pStyle w:val="Heading4"/>
        <w:ind w:hanging="338"/>
        <w:rPr>
          <w:color w:val="2272A3"/>
          <w:sz w:val="24"/>
        </w:rPr>
      </w:pPr>
      <w:r w:rsidRPr="00DD0358">
        <w:rPr>
          <w:color w:val="2272A3"/>
          <w:sz w:val="24"/>
          <w:szCs w:val="24"/>
        </w:rPr>
        <w:t>ADL net scheduled and allocated gas hub supply (excluding MOS)</w:t>
      </w:r>
    </w:p>
    <w:p w:rsidR="00362B9A" w:rsidRPr="00362B9A" w:rsidRDefault="00BD01D4" w:rsidP="00362B9A">
      <w:r>
        <w:pict>
          <v:shape id="_x0000_i1035" type="#_x0000_t75" alt="Figure 3.3 shows the daily scheduled and allocated quantities sorted by facility for Adelaide this week. For a more detailed description of this figure, please refer to the user guide." style="width:477.5pt;height:105.95pt">
            <v:imagedata r:id="rId24" o:title=""/>
          </v:shape>
        </w:pict>
      </w:r>
    </w:p>
    <w:p w:rsidR="00BC18FB" w:rsidRPr="00DD0358" w:rsidRDefault="004560B0" w:rsidP="00560F2D">
      <w:pPr>
        <w:pStyle w:val="Heading4"/>
        <w:ind w:left="1440" w:hanging="1440"/>
        <w:rPr>
          <w:color w:val="2272A3"/>
          <w:sz w:val="24"/>
          <w:szCs w:val="24"/>
        </w:rPr>
      </w:pPr>
      <w:r w:rsidRPr="00DD0358">
        <w:rPr>
          <w:color w:val="2272A3"/>
          <w:sz w:val="24"/>
          <w:szCs w:val="24"/>
        </w:rPr>
        <w:t>ADL</w:t>
      </w:r>
      <w:r w:rsidR="003625A6" w:rsidRPr="00DD0358">
        <w:rPr>
          <w:color w:val="2272A3"/>
          <w:sz w:val="24"/>
          <w:szCs w:val="24"/>
        </w:rPr>
        <w:t xml:space="preserve"> MOS allocations (TJ), service payments and commodity payments/charges ($000)</w:t>
      </w:r>
    </w:p>
    <w:p w:rsidR="00362B9A" w:rsidRDefault="00BD01D4" w:rsidP="00362B9A">
      <w:r>
        <w:pict>
          <v:shape id="_x0000_i1036" type="#_x0000_t75" alt="Figure 3.4 shows the daily MOS allocations sorted by facility for each facility in Adelaide this week. The figure also shows the daily breakdown of costs associated with the MOS provided. For a more detailed description of this figure, please refer to the user guide." style="width:476.15pt;height:150.1pt">
            <v:imagedata r:id="rId25" o:title=""/>
          </v:shape>
        </w:pict>
      </w:r>
    </w:p>
    <w:p w:rsidR="00BC18FB" w:rsidRDefault="00AE309F" w:rsidP="003625A6">
      <w:pPr>
        <w:pStyle w:val="Heading3"/>
        <w:ind w:firstLine="0"/>
        <w:rPr>
          <w:color w:val="2272A3"/>
          <w:sz w:val="32"/>
          <w:szCs w:val="32"/>
        </w:rPr>
      </w:pPr>
      <w:r>
        <w:rPr>
          <w:color w:val="2272A3"/>
          <w:sz w:val="32"/>
          <w:szCs w:val="32"/>
        </w:rPr>
        <w:br w:type="page"/>
      </w:r>
      <w:r w:rsidR="00BC18FB" w:rsidRPr="003625A6">
        <w:rPr>
          <w:color w:val="2272A3"/>
          <w:sz w:val="32"/>
          <w:szCs w:val="32"/>
        </w:rPr>
        <w:lastRenderedPageBreak/>
        <w:t>B</w:t>
      </w:r>
      <w:r w:rsidR="00362B9A" w:rsidRPr="003625A6">
        <w:rPr>
          <w:color w:val="2272A3"/>
          <w:sz w:val="32"/>
          <w:szCs w:val="32"/>
        </w:rPr>
        <w:t>risbane STTM</w:t>
      </w:r>
    </w:p>
    <w:p w:rsidR="003625A6" w:rsidRPr="003625A6" w:rsidRDefault="003625A6" w:rsidP="00345444">
      <w:pPr>
        <w:jc w:val="both"/>
      </w:pPr>
      <w:r>
        <w:t>The Brisbane STTM hub functions in the same way as the Sydney STTM hub.  The same data that was presented for the Sydney hub is presented for the Brisbane hub in the figures below.</w:t>
      </w:r>
    </w:p>
    <w:p w:rsidR="00BC18FB" w:rsidRDefault="003625A6" w:rsidP="00FF0D8A">
      <w:pPr>
        <w:pStyle w:val="Heading4"/>
        <w:ind w:hanging="338"/>
        <w:rPr>
          <w:color w:val="2272A3"/>
          <w:sz w:val="24"/>
          <w:szCs w:val="24"/>
        </w:rPr>
      </w:pPr>
      <w:r>
        <w:rPr>
          <w:color w:val="2272A3"/>
          <w:sz w:val="24"/>
          <w:szCs w:val="24"/>
        </w:rPr>
        <w:t>BRI</w:t>
      </w:r>
      <w:r w:rsidRPr="00362B9A">
        <w:rPr>
          <w:color w:val="2272A3"/>
          <w:sz w:val="24"/>
          <w:szCs w:val="24"/>
        </w:rPr>
        <w:t xml:space="preserve">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F114D5" w:rsidRPr="00405CDE" w:rsidTr="00EE2945">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707B3C" w:rsidRPr="00405CDE" w:rsidTr="00EE2945">
        <w:trPr>
          <w:trHeight w:val="510"/>
        </w:trPr>
        <w:tc>
          <w:tcPr>
            <w:tcW w:w="1100" w:type="pct"/>
            <w:tcBorders>
              <w:top w:val="nil"/>
              <w:bottom w:val="nil"/>
            </w:tcBorders>
            <w:vAlign w:val="center"/>
          </w:tcPr>
          <w:p w:rsidR="00707B3C" w:rsidRDefault="00707B3C">
            <w:pPr>
              <w:rPr>
                <w:rFonts w:cs="Arial"/>
                <w:sz w:val="20"/>
                <w:szCs w:val="20"/>
              </w:rPr>
            </w:pPr>
            <w:r>
              <w:rPr>
                <w:rFonts w:cs="Arial"/>
                <w:sz w:val="20"/>
                <w:szCs w:val="20"/>
              </w:rPr>
              <w:t>Ex ante price ($/GJ)</w:t>
            </w:r>
          </w:p>
        </w:tc>
        <w:tc>
          <w:tcPr>
            <w:tcW w:w="597" w:type="pct"/>
            <w:tcBorders>
              <w:top w:val="nil"/>
              <w:bottom w:val="nil"/>
            </w:tcBorders>
            <w:vAlign w:val="center"/>
          </w:tcPr>
          <w:p w:rsidR="00707B3C" w:rsidRDefault="00707B3C">
            <w:pPr>
              <w:jc w:val="center"/>
              <w:rPr>
                <w:rFonts w:cs="Arial"/>
                <w:sz w:val="20"/>
                <w:szCs w:val="20"/>
              </w:rPr>
            </w:pPr>
            <w:r>
              <w:rPr>
                <w:rFonts w:cs="Arial"/>
                <w:sz w:val="20"/>
                <w:szCs w:val="20"/>
              </w:rPr>
              <w:t>6.39</w:t>
            </w:r>
          </w:p>
        </w:tc>
        <w:tc>
          <w:tcPr>
            <w:tcW w:w="523" w:type="pct"/>
            <w:tcBorders>
              <w:top w:val="nil"/>
              <w:bottom w:val="nil"/>
            </w:tcBorders>
            <w:vAlign w:val="center"/>
          </w:tcPr>
          <w:p w:rsidR="00707B3C" w:rsidRDefault="00707B3C">
            <w:pPr>
              <w:jc w:val="center"/>
              <w:rPr>
                <w:rFonts w:cs="Arial"/>
                <w:sz w:val="20"/>
                <w:szCs w:val="20"/>
              </w:rPr>
            </w:pPr>
            <w:r>
              <w:rPr>
                <w:rFonts w:cs="Arial"/>
                <w:sz w:val="20"/>
                <w:szCs w:val="20"/>
              </w:rPr>
              <w:t>6.39</w:t>
            </w:r>
          </w:p>
        </w:tc>
        <w:tc>
          <w:tcPr>
            <w:tcW w:w="606" w:type="pct"/>
            <w:tcBorders>
              <w:top w:val="nil"/>
              <w:bottom w:val="nil"/>
            </w:tcBorders>
            <w:vAlign w:val="center"/>
          </w:tcPr>
          <w:p w:rsidR="00707B3C" w:rsidRDefault="00707B3C">
            <w:pPr>
              <w:jc w:val="center"/>
              <w:rPr>
                <w:rFonts w:cs="Arial"/>
                <w:sz w:val="20"/>
                <w:szCs w:val="20"/>
              </w:rPr>
            </w:pPr>
            <w:r>
              <w:rPr>
                <w:rFonts w:cs="Arial"/>
                <w:sz w:val="20"/>
                <w:szCs w:val="20"/>
              </w:rPr>
              <w:t>6.96</w:t>
            </w:r>
          </w:p>
        </w:tc>
        <w:tc>
          <w:tcPr>
            <w:tcW w:w="532" w:type="pct"/>
            <w:tcBorders>
              <w:top w:val="nil"/>
              <w:bottom w:val="nil"/>
            </w:tcBorders>
            <w:vAlign w:val="center"/>
          </w:tcPr>
          <w:p w:rsidR="00707B3C" w:rsidRDefault="00707B3C">
            <w:pPr>
              <w:jc w:val="center"/>
              <w:rPr>
                <w:rFonts w:cs="Arial"/>
                <w:sz w:val="20"/>
                <w:szCs w:val="20"/>
              </w:rPr>
            </w:pPr>
            <w:r>
              <w:rPr>
                <w:rFonts w:cs="Arial"/>
                <w:sz w:val="20"/>
                <w:szCs w:val="20"/>
              </w:rPr>
              <w:t>7.09</w:t>
            </w:r>
          </w:p>
        </w:tc>
        <w:tc>
          <w:tcPr>
            <w:tcW w:w="525" w:type="pct"/>
            <w:tcBorders>
              <w:top w:val="nil"/>
              <w:bottom w:val="nil"/>
            </w:tcBorders>
            <w:vAlign w:val="center"/>
          </w:tcPr>
          <w:p w:rsidR="00707B3C" w:rsidRDefault="00707B3C">
            <w:pPr>
              <w:jc w:val="center"/>
              <w:rPr>
                <w:rFonts w:cs="Arial"/>
                <w:sz w:val="20"/>
                <w:szCs w:val="20"/>
              </w:rPr>
            </w:pPr>
            <w:r>
              <w:rPr>
                <w:rFonts w:cs="Arial"/>
                <w:sz w:val="20"/>
                <w:szCs w:val="20"/>
              </w:rPr>
              <w:t>6.90</w:t>
            </w:r>
          </w:p>
        </w:tc>
        <w:tc>
          <w:tcPr>
            <w:tcW w:w="522" w:type="pct"/>
            <w:tcBorders>
              <w:top w:val="nil"/>
              <w:bottom w:val="nil"/>
            </w:tcBorders>
            <w:vAlign w:val="center"/>
          </w:tcPr>
          <w:p w:rsidR="00707B3C" w:rsidRDefault="00707B3C">
            <w:pPr>
              <w:jc w:val="center"/>
              <w:rPr>
                <w:rFonts w:cs="Arial"/>
                <w:sz w:val="20"/>
                <w:szCs w:val="20"/>
              </w:rPr>
            </w:pPr>
            <w:r>
              <w:rPr>
                <w:rFonts w:cs="Arial"/>
                <w:sz w:val="20"/>
                <w:szCs w:val="20"/>
              </w:rPr>
              <w:t>7.22</w:t>
            </w:r>
          </w:p>
        </w:tc>
        <w:tc>
          <w:tcPr>
            <w:tcW w:w="595" w:type="pct"/>
            <w:tcBorders>
              <w:top w:val="nil"/>
              <w:bottom w:val="nil"/>
            </w:tcBorders>
            <w:vAlign w:val="center"/>
          </w:tcPr>
          <w:p w:rsidR="00707B3C" w:rsidRDefault="00707B3C">
            <w:pPr>
              <w:jc w:val="center"/>
              <w:rPr>
                <w:rFonts w:cs="Arial"/>
                <w:sz w:val="20"/>
                <w:szCs w:val="20"/>
              </w:rPr>
            </w:pPr>
            <w:r>
              <w:rPr>
                <w:rFonts w:cs="Arial"/>
                <w:sz w:val="20"/>
                <w:szCs w:val="20"/>
              </w:rPr>
              <w:t>8.00</w:t>
            </w:r>
          </w:p>
        </w:tc>
      </w:tr>
      <w:tr w:rsidR="00707B3C" w:rsidRPr="00405CDE" w:rsidTr="00EE2945">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707B3C" w:rsidRDefault="00707B3C">
            <w:pPr>
              <w:rPr>
                <w:rFonts w:cs="Arial"/>
                <w:sz w:val="20"/>
                <w:szCs w:val="20"/>
              </w:rPr>
            </w:pPr>
            <w:r>
              <w:rPr>
                <w:rFonts w:cs="Arial"/>
                <w:sz w:val="20"/>
                <w:szCs w:val="20"/>
              </w:rPr>
              <w:t>Ex ante quantity (TJ)</w:t>
            </w:r>
          </w:p>
        </w:tc>
        <w:tc>
          <w:tcPr>
            <w:tcW w:w="597" w:type="pct"/>
            <w:tcBorders>
              <w:top w:val="nil"/>
              <w:bottom w:val="nil"/>
            </w:tcBorders>
            <w:vAlign w:val="center"/>
          </w:tcPr>
          <w:p w:rsidR="00707B3C" w:rsidRDefault="00707B3C">
            <w:pPr>
              <w:jc w:val="center"/>
              <w:rPr>
                <w:rFonts w:cs="Arial"/>
                <w:sz w:val="20"/>
                <w:szCs w:val="20"/>
              </w:rPr>
            </w:pPr>
            <w:r>
              <w:rPr>
                <w:rFonts w:cs="Arial"/>
                <w:sz w:val="20"/>
                <w:szCs w:val="20"/>
              </w:rPr>
              <w:t>74</w:t>
            </w:r>
          </w:p>
        </w:tc>
        <w:tc>
          <w:tcPr>
            <w:tcW w:w="523" w:type="pct"/>
            <w:tcBorders>
              <w:top w:val="nil"/>
              <w:bottom w:val="nil"/>
            </w:tcBorders>
            <w:vAlign w:val="center"/>
          </w:tcPr>
          <w:p w:rsidR="00707B3C" w:rsidRDefault="00707B3C">
            <w:pPr>
              <w:jc w:val="center"/>
              <w:rPr>
                <w:rFonts w:cs="Arial"/>
                <w:sz w:val="20"/>
                <w:szCs w:val="20"/>
              </w:rPr>
            </w:pPr>
            <w:r>
              <w:rPr>
                <w:rFonts w:cs="Arial"/>
                <w:sz w:val="20"/>
                <w:szCs w:val="20"/>
              </w:rPr>
              <w:t>90</w:t>
            </w:r>
          </w:p>
        </w:tc>
        <w:tc>
          <w:tcPr>
            <w:tcW w:w="606" w:type="pct"/>
            <w:tcBorders>
              <w:top w:val="nil"/>
              <w:bottom w:val="nil"/>
            </w:tcBorders>
            <w:vAlign w:val="center"/>
          </w:tcPr>
          <w:p w:rsidR="00707B3C" w:rsidRDefault="00707B3C">
            <w:pPr>
              <w:jc w:val="center"/>
              <w:rPr>
                <w:rFonts w:cs="Arial"/>
                <w:sz w:val="20"/>
                <w:szCs w:val="20"/>
              </w:rPr>
            </w:pPr>
            <w:r>
              <w:rPr>
                <w:rFonts w:cs="Arial"/>
                <w:sz w:val="20"/>
                <w:szCs w:val="20"/>
              </w:rPr>
              <w:t>94</w:t>
            </w:r>
          </w:p>
        </w:tc>
        <w:tc>
          <w:tcPr>
            <w:tcW w:w="532" w:type="pct"/>
            <w:tcBorders>
              <w:top w:val="nil"/>
              <w:bottom w:val="nil"/>
            </w:tcBorders>
            <w:vAlign w:val="center"/>
          </w:tcPr>
          <w:p w:rsidR="00707B3C" w:rsidRDefault="00707B3C">
            <w:pPr>
              <w:jc w:val="center"/>
              <w:rPr>
                <w:rFonts w:cs="Arial"/>
                <w:sz w:val="20"/>
                <w:szCs w:val="20"/>
              </w:rPr>
            </w:pPr>
            <w:r>
              <w:rPr>
                <w:rFonts w:cs="Arial"/>
                <w:sz w:val="20"/>
                <w:szCs w:val="20"/>
              </w:rPr>
              <w:t>92</w:t>
            </w:r>
          </w:p>
        </w:tc>
        <w:tc>
          <w:tcPr>
            <w:tcW w:w="525" w:type="pct"/>
            <w:tcBorders>
              <w:top w:val="nil"/>
              <w:bottom w:val="nil"/>
            </w:tcBorders>
            <w:vAlign w:val="center"/>
          </w:tcPr>
          <w:p w:rsidR="00707B3C" w:rsidRDefault="00707B3C">
            <w:pPr>
              <w:jc w:val="center"/>
              <w:rPr>
                <w:rFonts w:cs="Arial"/>
                <w:sz w:val="20"/>
                <w:szCs w:val="20"/>
              </w:rPr>
            </w:pPr>
            <w:r>
              <w:rPr>
                <w:rFonts w:cs="Arial"/>
                <w:sz w:val="20"/>
                <w:szCs w:val="20"/>
              </w:rPr>
              <w:t>95</w:t>
            </w:r>
          </w:p>
        </w:tc>
        <w:tc>
          <w:tcPr>
            <w:tcW w:w="522" w:type="pct"/>
            <w:tcBorders>
              <w:top w:val="nil"/>
              <w:bottom w:val="nil"/>
            </w:tcBorders>
            <w:vAlign w:val="center"/>
          </w:tcPr>
          <w:p w:rsidR="00707B3C" w:rsidRDefault="00707B3C">
            <w:pPr>
              <w:jc w:val="center"/>
              <w:rPr>
                <w:rFonts w:cs="Arial"/>
                <w:sz w:val="20"/>
                <w:szCs w:val="20"/>
              </w:rPr>
            </w:pPr>
            <w:r>
              <w:rPr>
                <w:rFonts w:cs="Arial"/>
                <w:sz w:val="20"/>
                <w:szCs w:val="20"/>
              </w:rPr>
              <w:t>98</w:t>
            </w:r>
          </w:p>
        </w:tc>
        <w:tc>
          <w:tcPr>
            <w:tcW w:w="595" w:type="pct"/>
            <w:tcBorders>
              <w:top w:val="nil"/>
              <w:bottom w:val="nil"/>
            </w:tcBorders>
            <w:vAlign w:val="center"/>
          </w:tcPr>
          <w:p w:rsidR="00707B3C" w:rsidRDefault="00707B3C">
            <w:pPr>
              <w:jc w:val="center"/>
              <w:rPr>
                <w:rFonts w:cs="Arial"/>
                <w:sz w:val="20"/>
                <w:szCs w:val="20"/>
              </w:rPr>
            </w:pPr>
            <w:r>
              <w:rPr>
                <w:rFonts w:cs="Arial"/>
                <w:sz w:val="20"/>
                <w:szCs w:val="20"/>
              </w:rPr>
              <w:t>77</w:t>
            </w:r>
          </w:p>
        </w:tc>
      </w:tr>
      <w:tr w:rsidR="00707B3C" w:rsidRPr="00405CDE" w:rsidTr="00EE2945">
        <w:trPr>
          <w:trHeight w:val="510"/>
        </w:trPr>
        <w:tc>
          <w:tcPr>
            <w:tcW w:w="1100" w:type="pct"/>
            <w:tcBorders>
              <w:top w:val="nil"/>
              <w:bottom w:val="nil"/>
            </w:tcBorders>
            <w:vAlign w:val="center"/>
          </w:tcPr>
          <w:p w:rsidR="00707B3C" w:rsidRDefault="00707B3C">
            <w:pPr>
              <w:rPr>
                <w:rFonts w:cs="Arial"/>
                <w:sz w:val="20"/>
                <w:szCs w:val="20"/>
              </w:rPr>
            </w:pPr>
            <w:r>
              <w:rPr>
                <w:rFonts w:cs="Arial"/>
                <w:sz w:val="20"/>
                <w:szCs w:val="20"/>
              </w:rPr>
              <w:t>Ex post price ($/GJ)</w:t>
            </w:r>
          </w:p>
        </w:tc>
        <w:tc>
          <w:tcPr>
            <w:tcW w:w="597" w:type="pct"/>
            <w:tcBorders>
              <w:top w:val="nil"/>
              <w:bottom w:val="nil"/>
            </w:tcBorders>
            <w:vAlign w:val="center"/>
          </w:tcPr>
          <w:p w:rsidR="00707B3C" w:rsidRDefault="00707B3C">
            <w:pPr>
              <w:jc w:val="center"/>
              <w:rPr>
                <w:rFonts w:cs="Arial"/>
                <w:sz w:val="20"/>
                <w:szCs w:val="20"/>
              </w:rPr>
            </w:pPr>
            <w:r>
              <w:rPr>
                <w:rFonts w:cs="Arial"/>
                <w:sz w:val="20"/>
                <w:szCs w:val="20"/>
              </w:rPr>
              <w:t>6.39</w:t>
            </w:r>
          </w:p>
        </w:tc>
        <w:tc>
          <w:tcPr>
            <w:tcW w:w="523" w:type="pct"/>
            <w:tcBorders>
              <w:top w:val="nil"/>
              <w:bottom w:val="nil"/>
            </w:tcBorders>
            <w:vAlign w:val="center"/>
          </w:tcPr>
          <w:p w:rsidR="00707B3C" w:rsidRDefault="00707B3C">
            <w:pPr>
              <w:jc w:val="center"/>
              <w:rPr>
                <w:rFonts w:cs="Arial"/>
                <w:sz w:val="20"/>
                <w:szCs w:val="20"/>
              </w:rPr>
            </w:pPr>
            <w:r>
              <w:rPr>
                <w:rFonts w:cs="Arial"/>
                <w:sz w:val="20"/>
                <w:szCs w:val="20"/>
              </w:rPr>
              <w:t>6.39</w:t>
            </w:r>
          </w:p>
        </w:tc>
        <w:tc>
          <w:tcPr>
            <w:tcW w:w="606" w:type="pct"/>
            <w:tcBorders>
              <w:top w:val="nil"/>
              <w:bottom w:val="nil"/>
            </w:tcBorders>
            <w:vAlign w:val="center"/>
          </w:tcPr>
          <w:p w:rsidR="00707B3C" w:rsidRDefault="00707B3C">
            <w:pPr>
              <w:jc w:val="center"/>
              <w:rPr>
                <w:rFonts w:cs="Arial"/>
                <w:sz w:val="20"/>
                <w:szCs w:val="20"/>
              </w:rPr>
            </w:pPr>
            <w:r>
              <w:rPr>
                <w:rFonts w:cs="Arial"/>
                <w:sz w:val="20"/>
                <w:szCs w:val="20"/>
              </w:rPr>
              <w:t>6.96</w:t>
            </w:r>
          </w:p>
        </w:tc>
        <w:tc>
          <w:tcPr>
            <w:tcW w:w="532" w:type="pct"/>
            <w:tcBorders>
              <w:top w:val="nil"/>
              <w:bottom w:val="nil"/>
            </w:tcBorders>
            <w:vAlign w:val="center"/>
          </w:tcPr>
          <w:p w:rsidR="00707B3C" w:rsidRDefault="00707B3C">
            <w:pPr>
              <w:jc w:val="center"/>
              <w:rPr>
                <w:rFonts w:cs="Arial"/>
                <w:sz w:val="20"/>
                <w:szCs w:val="20"/>
              </w:rPr>
            </w:pPr>
            <w:r>
              <w:rPr>
                <w:rFonts w:cs="Arial"/>
                <w:sz w:val="20"/>
                <w:szCs w:val="20"/>
              </w:rPr>
              <w:t>7.93</w:t>
            </w:r>
          </w:p>
        </w:tc>
        <w:tc>
          <w:tcPr>
            <w:tcW w:w="525" w:type="pct"/>
            <w:tcBorders>
              <w:top w:val="nil"/>
              <w:bottom w:val="nil"/>
            </w:tcBorders>
            <w:vAlign w:val="center"/>
          </w:tcPr>
          <w:p w:rsidR="00707B3C" w:rsidRDefault="00707B3C">
            <w:pPr>
              <w:jc w:val="center"/>
              <w:rPr>
                <w:rFonts w:cs="Arial"/>
                <w:sz w:val="20"/>
                <w:szCs w:val="20"/>
              </w:rPr>
            </w:pPr>
            <w:r>
              <w:rPr>
                <w:rFonts w:cs="Arial"/>
                <w:sz w:val="20"/>
                <w:szCs w:val="20"/>
              </w:rPr>
              <w:t>7.04</w:t>
            </w:r>
          </w:p>
        </w:tc>
        <w:tc>
          <w:tcPr>
            <w:tcW w:w="522" w:type="pct"/>
            <w:tcBorders>
              <w:top w:val="nil"/>
              <w:bottom w:val="nil"/>
            </w:tcBorders>
            <w:vAlign w:val="center"/>
          </w:tcPr>
          <w:p w:rsidR="00707B3C" w:rsidRDefault="00707B3C">
            <w:pPr>
              <w:jc w:val="center"/>
              <w:rPr>
                <w:rFonts w:cs="Arial"/>
                <w:sz w:val="20"/>
                <w:szCs w:val="20"/>
              </w:rPr>
            </w:pPr>
            <w:r>
              <w:rPr>
                <w:rFonts w:cs="Arial"/>
                <w:sz w:val="20"/>
                <w:szCs w:val="20"/>
              </w:rPr>
              <w:t>7.22</w:t>
            </w:r>
          </w:p>
        </w:tc>
        <w:tc>
          <w:tcPr>
            <w:tcW w:w="595" w:type="pct"/>
            <w:tcBorders>
              <w:top w:val="nil"/>
              <w:bottom w:val="nil"/>
            </w:tcBorders>
            <w:vAlign w:val="center"/>
          </w:tcPr>
          <w:p w:rsidR="00707B3C" w:rsidRDefault="00707B3C">
            <w:pPr>
              <w:jc w:val="center"/>
              <w:rPr>
                <w:rFonts w:cs="Arial"/>
                <w:sz w:val="20"/>
                <w:szCs w:val="20"/>
              </w:rPr>
            </w:pPr>
            <w:r>
              <w:rPr>
                <w:rFonts w:cs="Arial"/>
                <w:sz w:val="20"/>
                <w:szCs w:val="20"/>
              </w:rPr>
              <w:t>8.00</w:t>
            </w:r>
          </w:p>
        </w:tc>
      </w:tr>
      <w:tr w:rsidR="00707B3C" w:rsidRPr="00405CDE" w:rsidTr="00EE2945">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707B3C" w:rsidRDefault="00707B3C">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707B3C" w:rsidRDefault="00707B3C">
            <w:pPr>
              <w:jc w:val="center"/>
              <w:rPr>
                <w:rFonts w:cs="Arial"/>
                <w:sz w:val="20"/>
                <w:szCs w:val="20"/>
              </w:rPr>
            </w:pPr>
            <w:r>
              <w:rPr>
                <w:rFonts w:cs="Arial"/>
                <w:sz w:val="20"/>
                <w:szCs w:val="20"/>
              </w:rPr>
              <w:t>74</w:t>
            </w:r>
          </w:p>
        </w:tc>
        <w:tc>
          <w:tcPr>
            <w:tcW w:w="523" w:type="pct"/>
            <w:tcBorders>
              <w:top w:val="nil"/>
              <w:bottom w:val="single" w:sz="4" w:space="0" w:color="auto"/>
            </w:tcBorders>
            <w:vAlign w:val="center"/>
          </w:tcPr>
          <w:p w:rsidR="00707B3C" w:rsidRDefault="00707B3C">
            <w:pPr>
              <w:jc w:val="center"/>
              <w:rPr>
                <w:rFonts w:cs="Arial"/>
                <w:sz w:val="20"/>
                <w:szCs w:val="20"/>
              </w:rPr>
            </w:pPr>
            <w:r>
              <w:rPr>
                <w:rFonts w:cs="Arial"/>
                <w:sz w:val="20"/>
                <w:szCs w:val="20"/>
              </w:rPr>
              <w:t>91</w:t>
            </w:r>
          </w:p>
        </w:tc>
        <w:tc>
          <w:tcPr>
            <w:tcW w:w="606" w:type="pct"/>
            <w:tcBorders>
              <w:top w:val="nil"/>
              <w:bottom w:val="single" w:sz="4" w:space="0" w:color="auto"/>
            </w:tcBorders>
            <w:vAlign w:val="center"/>
          </w:tcPr>
          <w:p w:rsidR="00707B3C" w:rsidRDefault="00707B3C">
            <w:pPr>
              <w:jc w:val="center"/>
              <w:rPr>
                <w:rFonts w:cs="Arial"/>
                <w:sz w:val="20"/>
                <w:szCs w:val="20"/>
              </w:rPr>
            </w:pPr>
            <w:r>
              <w:rPr>
                <w:rFonts w:cs="Arial"/>
                <w:sz w:val="20"/>
                <w:szCs w:val="20"/>
              </w:rPr>
              <w:t>94</w:t>
            </w:r>
          </w:p>
        </w:tc>
        <w:tc>
          <w:tcPr>
            <w:tcW w:w="532" w:type="pct"/>
            <w:tcBorders>
              <w:top w:val="nil"/>
              <w:bottom w:val="single" w:sz="4" w:space="0" w:color="auto"/>
            </w:tcBorders>
            <w:vAlign w:val="center"/>
          </w:tcPr>
          <w:p w:rsidR="00707B3C" w:rsidRDefault="00707B3C">
            <w:pPr>
              <w:jc w:val="center"/>
              <w:rPr>
                <w:rFonts w:cs="Arial"/>
                <w:sz w:val="20"/>
                <w:szCs w:val="20"/>
              </w:rPr>
            </w:pPr>
            <w:r>
              <w:rPr>
                <w:rFonts w:cs="Arial"/>
                <w:sz w:val="20"/>
                <w:szCs w:val="20"/>
              </w:rPr>
              <w:t>96</w:t>
            </w:r>
          </w:p>
        </w:tc>
        <w:tc>
          <w:tcPr>
            <w:tcW w:w="525" w:type="pct"/>
            <w:tcBorders>
              <w:top w:val="nil"/>
              <w:bottom w:val="single" w:sz="4" w:space="0" w:color="auto"/>
            </w:tcBorders>
            <w:vAlign w:val="center"/>
          </w:tcPr>
          <w:p w:rsidR="00707B3C" w:rsidRDefault="00707B3C">
            <w:pPr>
              <w:jc w:val="center"/>
              <w:rPr>
                <w:rFonts w:cs="Arial"/>
                <w:sz w:val="20"/>
                <w:szCs w:val="20"/>
              </w:rPr>
            </w:pPr>
            <w:r>
              <w:rPr>
                <w:rFonts w:cs="Arial"/>
                <w:sz w:val="20"/>
                <w:szCs w:val="20"/>
              </w:rPr>
              <w:t>99</w:t>
            </w:r>
          </w:p>
        </w:tc>
        <w:tc>
          <w:tcPr>
            <w:tcW w:w="522" w:type="pct"/>
            <w:tcBorders>
              <w:top w:val="nil"/>
              <w:bottom w:val="single" w:sz="4" w:space="0" w:color="auto"/>
            </w:tcBorders>
            <w:vAlign w:val="center"/>
          </w:tcPr>
          <w:p w:rsidR="00707B3C" w:rsidRDefault="00707B3C">
            <w:pPr>
              <w:jc w:val="center"/>
              <w:rPr>
                <w:rFonts w:cs="Arial"/>
                <w:sz w:val="20"/>
                <w:szCs w:val="20"/>
              </w:rPr>
            </w:pPr>
            <w:r>
              <w:rPr>
                <w:rFonts w:cs="Arial"/>
                <w:sz w:val="20"/>
                <w:szCs w:val="20"/>
              </w:rPr>
              <w:t>96</w:t>
            </w:r>
          </w:p>
        </w:tc>
        <w:tc>
          <w:tcPr>
            <w:tcW w:w="595" w:type="pct"/>
            <w:tcBorders>
              <w:top w:val="nil"/>
              <w:bottom w:val="single" w:sz="4" w:space="0" w:color="auto"/>
            </w:tcBorders>
            <w:vAlign w:val="center"/>
          </w:tcPr>
          <w:p w:rsidR="00707B3C" w:rsidRDefault="00707B3C">
            <w:pPr>
              <w:jc w:val="center"/>
              <w:rPr>
                <w:rFonts w:cs="Arial"/>
                <w:sz w:val="20"/>
                <w:szCs w:val="20"/>
              </w:rPr>
            </w:pPr>
            <w:r>
              <w:rPr>
                <w:rFonts w:cs="Arial"/>
                <w:sz w:val="20"/>
                <w:szCs w:val="20"/>
              </w:rPr>
              <w:t>78</w:t>
            </w:r>
          </w:p>
        </w:tc>
      </w:tr>
    </w:tbl>
    <w:p w:rsidR="00BC18FB" w:rsidRPr="00DD0358" w:rsidRDefault="003625A6" w:rsidP="00FF0D8A">
      <w:pPr>
        <w:pStyle w:val="Heading4"/>
        <w:ind w:hanging="338"/>
        <w:rPr>
          <w:color w:val="2272A3"/>
          <w:sz w:val="24"/>
        </w:rPr>
      </w:pPr>
      <w:r w:rsidRPr="00DD0358">
        <w:rPr>
          <w:color w:val="2272A3"/>
          <w:sz w:val="24"/>
          <w:szCs w:val="24"/>
        </w:rPr>
        <w:t>BRI daily hub offers and daily hub bids in price bands ($/GJ)</w:t>
      </w:r>
    </w:p>
    <w:p w:rsidR="00362B9A" w:rsidRPr="00362B9A" w:rsidRDefault="00BD01D4" w:rsidP="00362B9A">
      <w:r>
        <w:pict>
          <v:shape id="_x0000_i1037" type="#_x0000_t75" alt="Figure 4.2 shows the daily hub offers and bid in within certain price bands in Brisbane this week. The line indicates the scheduled quantity for each day. For a more detailed description of this figure, please refer to the user guide.&#10;" style="width:475.45pt;height:171.15pt;mso-position-vertical:absolute">
            <v:imagedata r:id="rId26" o:title=""/>
          </v:shape>
        </w:pict>
      </w:r>
    </w:p>
    <w:p w:rsidR="00BC18FB" w:rsidRPr="00DD0358" w:rsidRDefault="003625A6" w:rsidP="00FF0D8A">
      <w:pPr>
        <w:pStyle w:val="Heading4"/>
        <w:ind w:hanging="338"/>
        <w:rPr>
          <w:color w:val="2272A3"/>
          <w:sz w:val="24"/>
        </w:rPr>
      </w:pPr>
      <w:r w:rsidRPr="00DD0358">
        <w:rPr>
          <w:color w:val="2272A3"/>
          <w:sz w:val="24"/>
          <w:szCs w:val="24"/>
        </w:rPr>
        <w:t>BRI net scheduled and allocated gas hub supply (excluding MOS)</w:t>
      </w:r>
    </w:p>
    <w:p w:rsidR="00362B9A" w:rsidRPr="00362B9A" w:rsidRDefault="00BD01D4" w:rsidP="00362B9A">
      <w:r>
        <w:pict>
          <v:shape id="_x0000_i1038" type="#_x0000_t75" alt="Figure 4.3 shows the daily scheduled and allocated quantities sorted by facility for Brisbane this week. For a more detailed description of this figure, please refer to the user guide.&#10;" style="width:478.2pt;height:99.15pt">
            <v:imagedata r:id="rId27" o:title=""/>
          </v:shape>
        </w:pict>
      </w:r>
    </w:p>
    <w:p w:rsidR="00BC18FB" w:rsidRPr="00DD0358" w:rsidRDefault="004560B0" w:rsidP="00560F2D">
      <w:pPr>
        <w:pStyle w:val="Heading4"/>
        <w:ind w:left="1440" w:hanging="1440"/>
        <w:rPr>
          <w:color w:val="2272A3"/>
          <w:sz w:val="24"/>
          <w:szCs w:val="24"/>
        </w:rPr>
      </w:pPr>
      <w:r w:rsidRPr="00DD0358">
        <w:rPr>
          <w:color w:val="2272A3"/>
          <w:sz w:val="24"/>
          <w:szCs w:val="24"/>
        </w:rPr>
        <w:t>BRI MOS allocations (TJ), service payments and commodity payments/charges ($000)</w:t>
      </w:r>
    </w:p>
    <w:p w:rsidR="004560B0" w:rsidRPr="00362B9A" w:rsidRDefault="00BD01D4" w:rsidP="00362B9A">
      <w:r>
        <w:pict>
          <v:shape id="_x0000_i1039" type="#_x0000_t75" alt="Figure 4.4 shows the daily MOS allocations sorted by facility for each facility in Brisbane this week. The figure also shows the daily breakdown of costs associated with the MOS provided. For a more detailed description of this figure, please refer to the user guide.&#10;" style="width:476.15pt;height:156.25pt">
            <v:imagedata r:id="rId28" o:title=""/>
          </v:shape>
        </w:pict>
      </w:r>
    </w:p>
    <w:p w:rsidR="00BC18FB" w:rsidRDefault="007059A9" w:rsidP="00BC18FB">
      <w:pPr>
        <w:pStyle w:val="Heading3"/>
        <w:ind w:firstLine="0"/>
        <w:rPr>
          <w:color w:val="2272A3"/>
          <w:sz w:val="32"/>
          <w:szCs w:val="32"/>
        </w:rPr>
      </w:pPr>
      <w:r>
        <w:rPr>
          <w:color w:val="2272A3"/>
          <w:sz w:val="32"/>
          <w:szCs w:val="32"/>
        </w:rPr>
        <w:br w:type="page"/>
      </w:r>
      <w:r w:rsidR="00362B9A">
        <w:rPr>
          <w:color w:val="2272A3"/>
          <w:sz w:val="32"/>
          <w:szCs w:val="32"/>
        </w:rPr>
        <w:lastRenderedPageBreak/>
        <w:t>National Gas Bulletin Board</w:t>
      </w:r>
    </w:p>
    <w:p w:rsidR="00362B9A" w:rsidRPr="00362B9A" w:rsidRDefault="004560B0" w:rsidP="00345444">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9"/>
      </w:r>
      <w:r>
        <w:t xml:space="preserve"> from </w:t>
      </w:r>
      <w:r w:rsidRPr="00A475A2">
        <w:t xml:space="preserve">the Bulletin Board (changes from the </w:t>
      </w:r>
      <w:r>
        <w:t>previous week’s</w:t>
      </w:r>
      <w:r w:rsidRPr="00A475A2">
        <w:t xml:space="preserve"> average are shown in brackets).</w:t>
      </w:r>
      <w:r w:rsidRPr="00DF25FF">
        <w:t xml:space="preserve"> </w:t>
      </w:r>
      <w:r w:rsidR="004E20BF">
        <w:t>A</w:t>
      </w:r>
      <w:r>
        <w:t>verage daily scheduled volumes and prices</w:t>
      </w:r>
      <w:r>
        <w:rPr>
          <w:rStyle w:val="FootnoteReference"/>
        </w:rPr>
        <w:footnoteReference w:id="10"/>
      </w:r>
      <w:r>
        <w:t xml:space="preserve"> </w:t>
      </w:r>
      <w:r w:rsidR="004E20BF">
        <w:t xml:space="preserve">are provided </w:t>
      </w:r>
      <w:r w:rsidR="00A270DD">
        <w:t xml:space="preserve">for </w:t>
      </w:r>
      <w:r w:rsidR="004E20BF">
        <w:t>gas markets and gas powered generation for each region.</w:t>
      </w:r>
    </w:p>
    <w:p w:rsidR="00BC18FB" w:rsidRPr="00DD0358" w:rsidRDefault="004560B0" w:rsidP="00560F2D">
      <w:pPr>
        <w:pStyle w:val="Heading4"/>
        <w:ind w:left="1440" w:hanging="1440"/>
        <w:rPr>
          <w:color w:val="2272A3"/>
          <w:sz w:val="24"/>
          <w:szCs w:val="24"/>
        </w:rPr>
      </w:pPr>
      <w:r w:rsidRPr="00DD0358">
        <w:rPr>
          <w:color w:val="2272A3"/>
          <w:sz w:val="24"/>
          <w:szCs w:val="24"/>
        </w:rPr>
        <w:t>Gas market data ($/GJ, TJ</w:t>
      </w:r>
      <w:r w:rsidR="00C3163F" w:rsidRPr="00DD0358">
        <w:rPr>
          <w:color w:val="2272A3"/>
          <w:sz w:val="24"/>
          <w:szCs w:val="24"/>
        </w:rPr>
        <w:t>/day</w:t>
      </w:r>
      <w:r w:rsidRPr="00DD0358">
        <w:rPr>
          <w:color w:val="2272A3"/>
          <w:sz w:val="24"/>
          <w:szCs w:val="24"/>
        </w:rPr>
        <w:t>); Production, Consumption and Pipeline flows (TJ)</w:t>
      </w:r>
      <w:r w:rsidR="00707B3C">
        <w:rPr>
          <w:rStyle w:val="FootnoteReference"/>
          <w:color w:val="2272A3"/>
          <w:sz w:val="24"/>
          <w:szCs w:val="24"/>
        </w:rPr>
        <w:footnoteReference w:id="11"/>
      </w:r>
    </w:p>
    <w:p w:rsidR="00362B9A" w:rsidRPr="00362B9A" w:rsidRDefault="00BD01D4" w:rsidP="00FB3934">
      <w:r>
        <w:pict>
          <v:shape id="_x0000_i1040" type="#_x0000_t75" alt="Figure 5.1 shows the average daily Bulletin Board flows for this week compared to the previous week. It includes price and demand data for gas markets across the east coast of Australia and gas powered generation usage estimates for each state. For a more detailed description of this figure, please refer to the user guide." style="width:354.55pt;height:513.5pt">
            <v:imagedata r:id="rId29" o:title=""/>
          </v:shape>
        </w:pict>
      </w:r>
    </w:p>
    <w:p w:rsidR="00BC18FB" w:rsidRDefault="007059A9" w:rsidP="00BC18FB">
      <w:pPr>
        <w:pStyle w:val="Heading3"/>
        <w:ind w:firstLine="0"/>
        <w:rPr>
          <w:color w:val="2272A3"/>
          <w:sz w:val="32"/>
          <w:szCs w:val="32"/>
        </w:rPr>
      </w:pPr>
      <w:r>
        <w:rPr>
          <w:color w:val="2272A3"/>
          <w:sz w:val="32"/>
          <w:szCs w:val="32"/>
        </w:rPr>
        <w:br w:type="page"/>
      </w:r>
      <w:r w:rsidR="00BC18FB" w:rsidRPr="00004A63">
        <w:rPr>
          <w:color w:val="2272A3"/>
          <w:sz w:val="32"/>
          <w:szCs w:val="32"/>
        </w:rPr>
        <w:lastRenderedPageBreak/>
        <w:t>G</w:t>
      </w:r>
      <w:r w:rsidR="004560B0">
        <w:rPr>
          <w:color w:val="2272A3"/>
          <w:sz w:val="32"/>
          <w:szCs w:val="32"/>
        </w:rPr>
        <w:t xml:space="preserve">as </w:t>
      </w:r>
      <w:r w:rsidR="00BC18FB" w:rsidRPr="00004A63">
        <w:rPr>
          <w:color w:val="2272A3"/>
          <w:sz w:val="32"/>
          <w:szCs w:val="32"/>
        </w:rPr>
        <w:t>S</w:t>
      </w:r>
      <w:r w:rsidR="004560B0">
        <w:rPr>
          <w:color w:val="2272A3"/>
          <w:sz w:val="32"/>
          <w:szCs w:val="32"/>
        </w:rPr>
        <w:t xml:space="preserve">upply </w:t>
      </w:r>
      <w:r w:rsidR="00BC18FB" w:rsidRPr="00004A63">
        <w:rPr>
          <w:color w:val="2272A3"/>
          <w:sz w:val="32"/>
          <w:szCs w:val="32"/>
        </w:rPr>
        <w:t>H</w:t>
      </w:r>
      <w:r w:rsidR="004560B0">
        <w:rPr>
          <w:color w:val="2272A3"/>
          <w:sz w:val="32"/>
          <w:szCs w:val="32"/>
        </w:rPr>
        <w:t>ub</w:t>
      </w:r>
    </w:p>
    <w:p w:rsidR="00E37A86" w:rsidRDefault="00E37A86" w:rsidP="00345444">
      <w:pPr>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12"/>
      </w:r>
      <w:r>
        <w:t xml:space="preserve"> for the supply of gas traded between separate participants, with products listed for sale and purchase at delivery points on three major connecting </w:t>
      </w:r>
      <w:r w:rsidRPr="005A6687">
        <w:t xml:space="preserve">pipelines at Wallumbilla – the Queensland Gas Pipeline </w:t>
      </w:r>
      <w:r w:rsidRPr="00586C57">
        <w:rPr>
          <w:b/>
        </w:rPr>
        <w:t>(QGP)</w:t>
      </w:r>
      <w:r w:rsidRPr="005A6687">
        <w:t xml:space="preserve">, the South West Queensland Pipeline </w:t>
      </w:r>
      <w:r w:rsidRPr="00586C57">
        <w:rPr>
          <w:b/>
        </w:rPr>
        <w:t>(SWQP)</w:t>
      </w:r>
      <w:r w:rsidRPr="005A6687">
        <w:t xml:space="preserve"> and the Roma to Brisbane Pipeline </w:t>
      </w:r>
      <w:r w:rsidRPr="00586C57">
        <w:rPr>
          <w:b/>
        </w:rPr>
        <w:t>(RBP)</w:t>
      </w:r>
      <w:r w:rsidRPr="005A6687">
        <w:t>. There are separate products for each p</w:t>
      </w:r>
      <w:r>
        <w:t>ipeline (each pipeline is considered a trading location, and each has a number of delivery points) and delivery period (daily, day-ahead, balance-of-day and weekly).</w:t>
      </w:r>
    </w:p>
    <w:p w:rsidR="008C268E" w:rsidRPr="00902CFF" w:rsidRDefault="00AE1459" w:rsidP="00345444">
      <w:pPr>
        <w:jc w:val="both"/>
        <w:rPr>
          <w:rFonts w:eastAsia="MS Mincho"/>
        </w:rPr>
      </w:pPr>
      <w:r w:rsidRPr="00902CFF">
        <w:rPr>
          <w:rFonts w:eastAsia="MS Mincho"/>
        </w:rPr>
        <w:t>Trading activity at Wallumbilla increased this week to 19 trades for 199 TJ of gas at a volume weighted price of $5.88/GJ. Trades consisted of balance-of-day, day-ahead and daily products on the RBP (</w:t>
      </w:r>
      <w:r w:rsidR="00F15FDD">
        <w:rPr>
          <w:rFonts w:eastAsia="MS Mincho"/>
        </w:rPr>
        <w:t xml:space="preserve">71.2 TJ at </w:t>
      </w:r>
      <w:r w:rsidRPr="00902CFF">
        <w:rPr>
          <w:rFonts w:eastAsia="MS Mincho"/>
        </w:rPr>
        <w:t>$6.30/GJ) and the SWQP (</w:t>
      </w:r>
      <w:r w:rsidR="00F15FDD">
        <w:rPr>
          <w:rFonts w:eastAsia="MS Mincho"/>
        </w:rPr>
        <w:t xml:space="preserve">127.8 TJ at </w:t>
      </w:r>
      <w:r w:rsidRPr="00902CFF">
        <w:rPr>
          <w:rFonts w:eastAsia="MS Mincho"/>
        </w:rPr>
        <w:t>$5.64/GJ)</w:t>
      </w:r>
      <w:r w:rsidR="00902CFF" w:rsidRPr="00902CFF">
        <w:rPr>
          <w:rFonts w:eastAsia="MS Mincho"/>
        </w:rPr>
        <w:t>, with one trade on the RBP reaching a near record price of $8/GJ.</w:t>
      </w:r>
      <w:r w:rsidR="00902CFF">
        <w:rPr>
          <w:rStyle w:val="FootnoteReference"/>
          <w:rFonts w:eastAsia="MS Mincho"/>
        </w:rPr>
        <w:footnoteReference w:id="13"/>
      </w:r>
    </w:p>
    <w:p w:rsidR="00AE1459" w:rsidRPr="00F15FDD" w:rsidRDefault="00F15FDD" w:rsidP="00345444">
      <w:pPr>
        <w:jc w:val="both"/>
        <w:rPr>
          <w:rFonts w:eastAsia="MS Mincho"/>
        </w:rPr>
      </w:pPr>
      <w:r w:rsidRPr="00F15FDD">
        <w:rPr>
          <w:rFonts w:eastAsia="MS Mincho"/>
        </w:rPr>
        <w:t>The Moomba hub commenced operation</w:t>
      </w:r>
      <w:r w:rsidR="00AE1459" w:rsidRPr="00F15FDD">
        <w:rPr>
          <w:rFonts w:eastAsia="MS Mincho"/>
        </w:rPr>
        <w:t xml:space="preserve"> from 1 June 2016.</w:t>
      </w:r>
      <w:r w:rsidRPr="00F15FDD">
        <w:rPr>
          <w:rFonts w:eastAsia="MS Mincho"/>
        </w:rPr>
        <w:t xml:space="preserve"> There were no cleared trades in the hub during the week.</w:t>
      </w:r>
    </w:p>
    <w:p w:rsidR="00E37A86" w:rsidRPr="00E37A86" w:rsidRDefault="00E37A86" w:rsidP="00345444">
      <w:pPr>
        <w:rPr>
          <w:rFonts w:cs="Arial"/>
          <w:szCs w:val="22"/>
        </w:rPr>
      </w:pPr>
      <w:r w:rsidRPr="00E37A86">
        <w:rPr>
          <w:rFonts w:cs="Arial"/>
          <w:szCs w:val="22"/>
        </w:rPr>
        <w:t>Figure 6.1 shows volumes traded</w:t>
      </w:r>
      <w:r w:rsidRPr="00E37A86">
        <w:rPr>
          <w:rStyle w:val="FootnoteReference"/>
          <w:rFonts w:cs="Arial"/>
          <w:szCs w:val="22"/>
        </w:rPr>
        <w:footnoteReference w:id="14"/>
      </w:r>
      <w:r w:rsidRPr="00E37A86">
        <w:rPr>
          <w:rFonts w:cs="Arial"/>
          <w:szCs w:val="22"/>
        </w:rPr>
        <w:t xml:space="preserve"> on each gas day and trading day </w:t>
      </w:r>
      <w:r>
        <w:rPr>
          <w:rFonts w:cs="Arial"/>
          <w:szCs w:val="22"/>
        </w:rPr>
        <w:t>for the current week</w:t>
      </w:r>
      <w:r w:rsidRPr="00E37A86">
        <w:rPr>
          <w:rFonts w:cs="Arial"/>
          <w:szCs w:val="22"/>
        </w:rPr>
        <w:t>.</w:t>
      </w:r>
    </w:p>
    <w:p w:rsidR="00BC18FB" w:rsidRPr="00DD0358" w:rsidRDefault="00E37A86" w:rsidP="00FF0D8A">
      <w:pPr>
        <w:pStyle w:val="Heading4"/>
        <w:ind w:hanging="338"/>
        <w:rPr>
          <w:color w:val="2272A3"/>
          <w:sz w:val="24"/>
        </w:rPr>
      </w:pPr>
      <w:r w:rsidRPr="00DD0358">
        <w:rPr>
          <w:color w:val="2272A3"/>
          <w:sz w:val="24"/>
        </w:rPr>
        <w:t>Volume Traded (by Gas Day and by Trading Day)</w:t>
      </w:r>
    </w:p>
    <w:bookmarkEnd w:id="0"/>
    <w:bookmarkEnd w:id="1"/>
    <w:p w:rsidR="009E74E3" w:rsidRPr="006520EE" w:rsidRDefault="005F3BF2" w:rsidP="00E37A86">
      <w:r>
        <w:rPr>
          <w:rFonts w:eastAsia="MS Mincho"/>
        </w:rPr>
        <w:pict>
          <v:shape id="_x0000_i1041" type="#_x0000_t75" alt="Figure 6.1 shows the daily volume of gas traded on each pipeline in the Wallumbilla Gas Supply Hub. The quantities displayed are shown for both the day the gas is traded over the current week and the gas day on which gas has been shipped." style="width:475.45pt;height:201.75pt">
            <v:imagedata r:id="rId30" o:title=""/>
          </v:shape>
        </w:pict>
      </w:r>
      <w:r w:rsidR="00E37A86" w:rsidRPr="006520EE">
        <w:t xml:space="preserve"> </w:t>
      </w:r>
    </w:p>
    <w:sectPr w:rsidR="009E74E3" w:rsidRPr="006520EE" w:rsidSect="00D635F1">
      <w:footerReference w:type="default" r:id="rId31"/>
      <w:footerReference w:type="first" r:id="rId32"/>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2945" w:rsidRDefault="00EE2945">
      <w:r>
        <w:separator/>
      </w:r>
    </w:p>
  </w:endnote>
  <w:endnote w:type="continuationSeparator" w:id="0">
    <w:p w:rsidR="00EE2945" w:rsidRDefault="00EE2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945" w:rsidRDefault="00EE2945" w:rsidP="00D22793">
    <w:pPr>
      <w:pBdr>
        <w:top w:val="single" w:sz="4" w:space="0" w:color="auto"/>
      </w:pBdr>
      <w:ind w:left="-284" w:right="-329" w:firstLine="284"/>
      <w:jc w:val="center"/>
      <w:rPr>
        <w:i/>
        <w:sz w:val="16"/>
        <w:szCs w:val="16"/>
      </w:rPr>
    </w:pPr>
    <w:r>
      <w:rPr>
        <w:i/>
        <w:sz w:val="20"/>
      </w:rPr>
      <w:t>© Commonwealth of Australia.</w:t>
    </w:r>
  </w:p>
  <w:p w:rsidR="00EE2945" w:rsidRDefault="00EE2945" w:rsidP="005A77AC">
    <w:pPr>
      <w:jc w:val="center"/>
    </w:pPr>
    <w:r>
      <w:fldChar w:fldCharType="begin"/>
    </w:r>
    <w:r>
      <w:instrText xml:space="preserve"> PAGE  \* MERGEFORMAT </w:instrText>
    </w:r>
    <w:r>
      <w:fldChar w:fldCharType="separate"/>
    </w:r>
    <w:r w:rsidR="005F3BF2">
      <w:rPr>
        <w:noProof/>
      </w:rPr>
      <w:t>12</w:t>
    </w:r>
    <w:r>
      <w:fldChar w:fldCharType="end"/>
    </w:r>
  </w:p>
  <w:p w:rsidR="00EE2945" w:rsidRDefault="00EE2945" w:rsidP="0035758F">
    <w:pPr>
      <w:pStyle w:val="Footer"/>
      <w:pBdr>
        <w:top w:val="none" w:sz="0" w:space="0" w:color="auto"/>
      </w:pBd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945" w:rsidRDefault="00EE2945" w:rsidP="00491029">
    <w:pPr>
      <w:pBdr>
        <w:top w:val="single" w:sz="4" w:space="0" w:color="auto"/>
      </w:pBdr>
      <w:ind w:left="-284" w:right="-329" w:firstLine="284"/>
      <w:jc w:val="center"/>
      <w:rPr>
        <w:i/>
        <w:sz w:val="20"/>
      </w:rPr>
    </w:pPr>
    <w:r>
      <w:rPr>
        <w:i/>
        <w:sz w:val="20"/>
      </w:rPr>
      <w:t>© Commonwealth of Australia.</w:t>
    </w:r>
  </w:p>
  <w:p w:rsidR="00EE2945" w:rsidRPr="002D773A" w:rsidRDefault="00EE2945" w:rsidP="00491029">
    <w:pPr>
      <w:jc w:val="center"/>
    </w:pPr>
    <w:r>
      <w:fldChar w:fldCharType="begin"/>
    </w:r>
    <w:r>
      <w:instrText xml:space="preserve"> PAGE  \* MERGEFORMAT </w:instrText>
    </w:r>
    <w:r>
      <w:fldChar w:fldCharType="separate"/>
    </w:r>
    <w:r w:rsidR="005F3BF2">
      <w:rPr>
        <w:noProof/>
      </w:rPr>
      <w:t>1</w:t>
    </w:r>
    <w:r>
      <w:fldChar w:fldCharType="end"/>
    </w:r>
  </w:p>
  <w:p w:rsidR="00EE2945" w:rsidRDefault="00EE2945" w:rsidP="00491029">
    <w:pPr>
      <w:pStyle w:val="Footer"/>
      <w:jc w:val="right"/>
    </w:pPr>
    <w:r w:rsidRPr="00F52F00">
      <w:rPr>
        <w:rFonts w:cs="Arial"/>
        <w:i/>
      </w:rPr>
      <w:t>AER reference: 392</w:t>
    </w:r>
    <w:r>
      <w:rPr>
        <w:rFonts w:cs="Arial"/>
        <w:i/>
      </w:rPr>
      <w:t>7</w:t>
    </w:r>
    <w:r w:rsidRPr="00F52F00">
      <w:rPr>
        <w:rFonts w:cs="Arial"/>
        <w:i/>
      </w:rPr>
      <w:t xml:space="preserve">0 – </w:t>
    </w:r>
    <w:r w:rsidRPr="004718E5">
      <w:rPr>
        <w:rFonts w:cs="Arial"/>
        <w:i/>
      </w:rPr>
      <w:t>D16/</w:t>
    </w:r>
    <w:r>
      <w:rPr>
        <w:rFonts w:cs="Arial"/>
        <w:i/>
      </w:rPr>
      <w:t>74054</w:t>
    </w:r>
  </w:p>
  <w:p w:rsidR="00EE2945" w:rsidRDefault="00EE29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2945" w:rsidRDefault="00EE2945">
      <w:r>
        <w:separator/>
      </w:r>
    </w:p>
  </w:footnote>
  <w:footnote w:type="continuationSeparator" w:id="0">
    <w:p w:rsidR="00EE2945" w:rsidRDefault="00EE2945">
      <w:r>
        <w:continuationSeparator/>
      </w:r>
    </w:p>
  </w:footnote>
  <w:footnote w:id="1">
    <w:p w:rsidR="00EE2945" w:rsidRPr="00942640" w:rsidRDefault="00EE2945" w:rsidP="004560B0">
      <w:pPr>
        <w:pStyle w:val="FootnoteText"/>
        <w:spacing w:before="0" w:after="0"/>
        <w:jc w:val="both"/>
        <w:rPr>
          <w:sz w:val="18"/>
          <w:szCs w:val="16"/>
        </w:rPr>
      </w:pPr>
      <w:r>
        <w:rPr>
          <w:rStyle w:val="FootnoteReference"/>
        </w:rPr>
        <w:footnoteRef/>
      </w:r>
      <w:r>
        <w:t xml:space="preserve"> </w:t>
      </w:r>
      <w:r>
        <w:tab/>
      </w:r>
      <w:r w:rsidRPr="00942640">
        <w:rPr>
          <w:sz w:val="18"/>
          <w:szCs w:val="16"/>
        </w:rPr>
        <w:t>The weighted average daily imbalance price applies for Victoria.</w:t>
      </w:r>
    </w:p>
  </w:footnote>
  <w:footnote w:id="2">
    <w:p w:rsidR="00EE2945" w:rsidRPr="00D8760D" w:rsidRDefault="00EE2945" w:rsidP="001637C6">
      <w:pPr>
        <w:pStyle w:val="FootnoteText"/>
        <w:rPr>
          <w:sz w:val="18"/>
        </w:rPr>
      </w:pPr>
      <w:r>
        <w:rPr>
          <w:rStyle w:val="FootnoteReference"/>
        </w:rPr>
        <w:footnoteRef/>
      </w:r>
      <w:r>
        <w:t xml:space="preserve"> </w:t>
      </w:r>
      <w:r>
        <w:tab/>
      </w:r>
      <w:r w:rsidRPr="00D8760D">
        <w:rPr>
          <w:sz w:val="18"/>
        </w:rPr>
        <w:t xml:space="preserve">The facility has </w:t>
      </w:r>
      <w:r>
        <w:rPr>
          <w:sz w:val="18"/>
        </w:rPr>
        <w:t xml:space="preserve">only </w:t>
      </w:r>
      <w:r w:rsidRPr="00D8760D">
        <w:rPr>
          <w:sz w:val="18"/>
        </w:rPr>
        <w:t>supplied gas at or below 20 TJ/day on a dozen previous occasions since its commissioning in June 2015.</w:t>
      </w:r>
    </w:p>
  </w:footnote>
  <w:footnote w:id="3">
    <w:p w:rsidR="00164E50" w:rsidRPr="00164E50" w:rsidRDefault="00164E50">
      <w:pPr>
        <w:pStyle w:val="FootnoteText"/>
        <w:rPr>
          <w:sz w:val="18"/>
        </w:rPr>
      </w:pPr>
      <w:r>
        <w:rPr>
          <w:rStyle w:val="FootnoteReference"/>
        </w:rPr>
        <w:footnoteRef/>
      </w:r>
      <w:r>
        <w:t xml:space="preserve"> </w:t>
      </w:r>
      <w:r>
        <w:tab/>
      </w:r>
      <w:r w:rsidRPr="00164E50">
        <w:rPr>
          <w:sz w:val="18"/>
        </w:rPr>
        <w:t xml:space="preserve">For more information pertaining to these new facilities visit </w:t>
      </w:r>
      <w:hyperlink r:id="rId1" w:history="1">
        <w:r w:rsidRPr="00164E50">
          <w:rPr>
            <w:rStyle w:val="Hyperlink"/>
            <w:sz w:val="18"/>
          </w:rPr>
          <w:t>www.gasbb.com.au</w:t>
        </w:r>
      </w:hyperlink>
      <w:r w:rsidRPr="00164E50">
        <w:rPr>
          <w:sz w:val="18"/>
        </w:rPr>
        <w:t>.</w:t>
      </w:r>
    </w:p>
  </w:footnote>
  <w:footnote w:id="4">
    <w:p w:rsidR="00EE2945" w:rsidRPr="00EF58A8" w:rsidRDefault="00EE2945" w:rsidP="00EF58A8">
      <w:pPr>
        <w:pStyle w:val="FootnoteText"/>
        <w:spacing w:before="0" w:after="0"/>
        <w:jc w:val="both"/>
      </w:pPr>
      <w:r w:rsidRPr="00EF58A8">
        <w:rPr>
          <w:rStyle w:val="FootnoteReference"/>
        </w:rPr>
        <w:footnoteRef/>
      </w:r>
      <w:r w:rsidRPr="00EF58A8">
        <w:t xml:space="preserve"> </w:t>
      </w:r>
      <w:r w:rsidRPr="00EF58A8">
        <w:tab/>
      </w:r>
      <w:r w:rsidRPr="00EF58A8">
        <w:rPr>
          <w:sz w:val="18"/>
        </w:rPr>
        <w:t>Prices for subsequent schedules are applied only to the differences in scheduled quantities (imbalances) to calculate the weighted price. The 6 am price applies to the entire scheduled quantity in the initial schedule.</w:t>
      </w:r>
    </w:p>
  </w:footnote>
  <w:footnote w:id="5">
    <w:p w:rsidR="00EE2945" w:rsidRPr="00EF58A8" w:rsidRDefault="00EE2945" w:rsidP="00EF58A8">
      <w:pPr>
        <w:pStyle w:val="FootnoteText"/>
        <w:spacing w:before="0" w:after="0"/>
        <w:jc w:val="both"/>
        <w:rPr>
          <w:sz w:val="18"/>
          <w:szCs w:val="18"/>
        </w:rPr>
      </w:pPr>
      <w:r w:rsidRPr="00EF58A8">
        <w:rPr>
          <w:rStyle w:val="FootnoteReference"/>
        </w:rPr>
        <w:footnoteRef/>
      </w:r>
      <w:r w:rsidRPr="00EF58A8">
        <w:t xml:space="preserve"> </w:t>
      </w:r>
      <w:r w:rsidRPr="00EF58A8">
        <w:tab/>
      </w:r>
      <w:r w:rsidRPr="00EF58A8">
        <w:rPr>
          <w:sz w:val="18"/>
          <w:szCs w:val="18"/>
        </w:rPr>
        <w:t>The price might also be affected by transmission or production (contractual) constraints limiting how much gas can be delivered from a locale or System Injection Point (SIP) from time to time.</w:t>
      </w:r>
    </w:p>
  </w:footnote>
  <w:footnote w:id="6">
    <w:p w:rsidR="00EE2945" w:rsidRPr="00EF58A8" w:rsidRDefault="00EE2945" w:rsidP="00EF58A8">
      <w:pPr>
        <w:pStyle w:val="FootnoteText"/>
        <w:spacing w:before="0" w:after="0"/>
        <w:jc w:val="both"/>
      </w:pPr>
      <w:r w:rsidRPr="00EF58A8">
        <w:rPr>
          <w:rStyle w:val="FootnoteReference"/>
        </w:rPr>
        <w:footnoteRef/>
      </w:r>
      <w:r w:rsidRPr="00EF58A8">
        <w:t xml:space="preserve">  </w:t>
      </w:r>
      <w:r w:rsidRPr="00EF58A8">
        <w:tab/>
      </w:r>
      <w:r w:rsidRPr="00EF58A8">
        <w:rPr>
          <w:sz w:val="18"/>
          <w:szCs w:val="18"/>
        </w:rPr>
        <w:t>These are Market Participants’ aggregate demand forecasts adjusted for any override as applied by AEMO from time to time. These forecasts must be scheduled and cannot respond to price like withdrawal bids.</w:t>
      </w:r>
    </w:p>
  </w:footnote>
  <w:footnote w:id="7">
    <w:p w:rsidR="00EE2945" w:rsidRPr="00362B9A" w:rsidRDefault="00EE2945" w:rsidP="00586C57">
      <w:pPr>
        <w:pStyle w:val="FootnoteText"/>
        <w:spacing w:before="0" w:after="0"/>
        <w:jc w:val="both"/>
        <w:rPr>
          <w:sz w:val="18"/>
          <w:szCs w:val="18"/>
        </w:rPr>
      </w:pPr>
      <w:r w:rsidRPr="003F7E55">
        <w:rPr>
          <w:rStyle w:val="FootnoteReference"/>
        </w:rPr>
        <w:footnoteRef/>
      </w:r>
      <w:r w:rsidRPr="003F7E55">
        <w:t xml:space="preserve"> </w:t>
      </w:r>
      <w:r w:rsidRPr="003F7E55">
        <w:tab/>
      </w:r>
      <w:r w:rsidRPr="00362B9A">
        <w:rPr>
          <w:sz w:val="18"/>
          <w:szCs w:val="18"/>
        </w:rPr>
        <w:t>The main driver of the amount of gas scheduled on a gas day is the ‘price-taker’ bid, which is forecast hub demand that cannot respond to price and which must be delivered, regardless of the price.</w:t>
      </w:r>
    </w:p>
  </w:footnote>
  <w:footnote w:id="8">
    <w:p w:rsidR="00EE2945" w:rsidRDefault="00EE2945" w:rsidP="00586C57">
      <w:pPr>
        <w:pStyle w:val="AERbodytext"/>
        <w:spacing w:before="0" w:line="240" w:lineRule="auto"/>
        <w:ind w:left="340" w:hanging="340"/>
        <w:jc w:val="both"/>
      </w:pPr>
      <w:r w:rsidRPr="002E7E9E">
        <w:rPr>
          <w:rStyle w:val="FootnoteReference"/>
          <w:sz w:val="20"/>
        </w:rPr>
        <w:footnoteRef/>
      </w:r>
      <w:r w:rsidRPr="002E7E9E">
        <w:rPr>
          <w:sz w:val="20"/>
          <w:szCs w:val="20"/>
        </w:rPr>
        <w:t xml:space="preserve"> </w:t>
      </w:r>
      <w:r>
        <w:rPr>
          <w:sz w:val="20"/>
          <w:szCs w:val="20"/>
        </w:rPr>
        <w:tab/>
      </w:r>
      <w:r w:rsidRPr="002E7E9E">
        <w:rPr>
          <w:sz w:val="18"/>
          <w:szCs w:val="18"/>
        </w:rPr>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9">
    <w:p w:rsidR="00EE2945" w:rsidRPr="00BB02E4" w:rsidRDefault="00EE2945" w:rsidP="00BB02E4">
      <w:pPr>
        <w:pStyle w:val="FootnoteText"/>
        <w:spacing w:before="0" w:after="0"/>
        <w:jc w:val="both"/>
        <w:rPr>
          <w:sz w:val="16"/>
          <w:szCs w:val="18"/>
        </w:rPr>
      </w:pPr>
      <w:r>
        <w:rPr>
          <w:rStyle w:val="FootnoteReference"/>
        </w:rPr>
        <w:footnoteRef/>
      </w:r>
      <w:r>
        <w:t xml:space="preserve"> </w:t>
      </w:r>
      <w:r>
        <w:tab/>
      </w:r>
      <w:r w:rsidRPr="00BB02E4">
        <w:rPr>
          <w:sz w:val="16"/>
          <w:szCs w:val="18"/>
        </w:rPr>
        <w:t xml:space="preserve">Gas flows shown under regional headings:  </w:t>
      </w:r>
      <w:r w:rsidRPr="00BB02E4">
        <w:rPr>
          <w:b/>
          <w:sz w:val="16"/>
          <w:szCs w:val="18"/>
        </w:rPr>
        <w:t>SA</w:t>
      </w:r>
      <w:r w:rsidRPr="00BB02E4">
        <w:rPr>
          <w:sz w:val="16"/>
          <w:szCs w:val="18"/>
        </w:rPr>
        <w:t xml:space="preserve"> = MAP + SEAGAS, </w:t>
      </w:r>
      <w:r w:rsidRPr="00BB02E4">
        <w:rPr>
          <w:b/>
          <w:sz w:val="16"/>
          <w:szCs w:val="18"/>
        </w:rPr>
        <w:t>VIC</w:t>
      </w:r>
      <w:r w:rsidRPr="00BB02E4">
        <w:rPr>
          <w:sz w:val="16"/>
          <w:szCs w:val="18"/>
        </w:rPr>
        <w:t xml:space="preserve"> = SWP + LMP – </w:t>
      </w:r>
      <w:proofErr w:type="gramStart"/>
      <w:r w:rsidRPr="00BB02E4">
        <w:rPr>
          <w:sz w:val="16"/>
          <w:szCs w:val="18"/>
        </w:rPr>
        <w:t>negative(</w:t>
      </w:r>
      <w:proofErr w:type="gramEnd"/>
      <w:r w:rsidRPr="00BB02E4">
        <w:rPr>
          <w:sz w:val="16"/>
          <w:szCs w:val="18"/>
        </w:rPr>
        <w:t xml:space="preserve">NSW-VIC), </w:t>
      </w:r>
      <w:r w:rsidRPr="00BB02E4">
        <w:rPr>
          <w:b/>
          <w:sz w:val="16"/>
          <w:szCs w:val="18"/>
        </w:rPr>
        <w:t>NSW/ACT</w:t>
      </w:r>
      <w:r>
        <w:rPr>
          <w:sz w:val="16"/>
          <w:szCs w:val="18"/>
        </w:rPr>
        <w:t> </w:t>
      </w:r>
      <w:r w:rsidRPr="00BB02E4">
        <w:rPr>
          <w:sz w:val="16"/>
          <w:szCs w:val="18"/>
        </w:rPr>
        <w:t>=</w:t>
      </w:r>
      <w:r>
        <w:rPr>
          <w:sz w:val="16"/>
          <w:szCs w:val="18"/>
        </w:rPr>
        <w:t> </w:t>
      </w:r>
      <w:r w:rsidRPr="00BB02E4">
        <w:rPr>
          <w:sz w:val="16"/>
          <w:szCs w:val="18"/>
        </w:rPr>
        <w:t>EGP</w:t>
      </w:r>
      <w:r>
        <w:rPr>
          <w:sz w:val="16"/>
          <w:szCs w:val="18"/>
        </w:rPr>
        <w:t> </w:t>
      </w:r>
      <w:r w:rsidRPr="00BB02E4">
        <w:rPr>
          <w:sz w:val="16"/>
          <w:szCs w:val="18"/>
        </w:rPr>
        <w:t xml:space="preserve">+ MSP, </w:t>
      </w:r>
      <w:r w:rsidRPr="00BB02E4">
        <w:rPr>
          <w:b/>
          <w:sz w:val="16"/>
          <w:szCs w:val="18"/>
        </w:rPr>
        <w:t>TAS</w:t>
      </w:r>
      <w:r w:rsidRPr="00BB02E4">
        <w:rPr>
          <w:sz w:val="16"/>
          <w:szCs w:val="18"/>
        </w:rPr>
        <w:t xml:space="preserve"> = TGP, </w:t>
      </w:r>
      <w:r w:rsidRPr="00BB02E4">
        <w:rPr>
          <w:b/>
          <w:sz w:val="16"/>
          <w:szCs w:val="18"/>
        </w:rPr>
        <w:t>QLD (Brisbane)</w:t>
      </w:r>
      <w:r w:rsidRPr="00BB02E4">
        <w:rPr>
          <w:sz w:val="16"/>
          <w:szCs w:val="18"/>
        </w:rPr>
        <w:t xml:space="preserve"> = RBP, </w:t>
      </w:r>
      <w:r w:rsidRPr="00BB02E4">
        <w:rPr>
          <w:b/>
          <w:sz w:val="16"/>
          <w:szCs w:val="18"/>
        </w:rPr>
        <w:t>QLD (Mt Isa)</w:t>
      </w:r>
      <w:r w:rsidRPr="00BB02E4">
        <w:rPr>
          <w:sz w:val="16"/>
          <w:szCs w:val="18"/>
        </w:rPr>
        <w:t xml:space="preserve"> = CGP, </w:t>
      </w:r>
      <w:r w:rsidRPr="00BB02E4">
        <w:rPr>
          <w:b/>
          <w:sz w:val="16"/>
          <w:szCs w:val="18"/>
        </w:rPr>
        <w:t>QLD (Gladstone)</w:t>
      </w:r>
      <w:r w:rsidRPr="00BB02E4">
        <w:rPr>
          <w:sz w:val="16"/>
          <w:szCs w:val="18"/>
        </w:rPr>
        <w:t xml:space="preserve"> = QGP</w:t>
      </w:r>
      <w:r>
        <w:rPr>
          <w:sz w:val="16"/>
          <w:szCs w:val="18"/>
        </w:rPr>
        <w:t>.</w:t>
      </w:r>
    </w:p>
    <w:p w:rsidR="00EE2945" w:rsidRPr="00BB02E4" w:rsidRDefault="00EE2945" w:rsidP="00BB02E4">
      <w:pPr>
        <w:pStyle w:val="FootnoteText"/>
        <w:spacing w:before="0" w:after="0"/>
        <w:ind w:firstLine="0"/>
        <w:jc w:val="both"/>
        <w:rPr>
          <w:sz w:val="16"/>
          <w:szCs w:val="18"/>
        </w:rPr>
      </w:pPr>
      <w:r w:rsidRPr="00BB02E4">
        <w:rPr>
          <w:sz w:val="16"/>
          <w:szCs w:val="18"/>
        </w:rPr>
        <w:t>GPG volumes may include gas usage that does not show up on Bulletin Board pipeline flows.</w:t>
      </w:r>
    </w:p>
    <w:p w:rsidR="00EE2945" w:rsidRPr="002E7E9E" w:rsidRDefault="00EE2945" w:rsidP="00BB02E4">
      <w:pPr>
        <w:pStyle w:val="FootnoteText"/>
        <w:spacing w:before="0" w:after="0"/>
        <w:ind w:firstLine="0"/>
        <w:jc w:val="both"/>
        <w:rPr>
          <w:sz w:val="18"/>
          <w:szCs w:val="18"/>
        </w:rPr>
      </w:pPr>
      <w:r w:rsidRPr="00BB02E4">
        <w:rPr>
          <w:sz w:val="16"/>
          <w:szCs w:val="18"/>
        </w:rPr>
        <w:t>Roma included export LNG production from October 2014 and LNG pipeline flows are shown from October 2015.</w:t>
      </w:r>
    </w:p>
  </w:footnote>
  <w:footnote w:id="10">
    <w:p w:rsidR="00EE2945" w:rsidRPr="00BB02E4" w:rsidRDefault="00EE2945" w:rsidP="00BB02E4">
      <w:pPr>
        <w:pStyle w:val="FootnoteText"/>
        <w:spacing w:before="0" w:after="0"/>
        <w:jc w:val="both"/>
        <w:rPr>
          <w:sz w:val="18"/>
        </w:rPr>
      </w:pPr>
      <w:r>
        <w:rPr>
          <w:rStyle w:val="FootnoteReference"/>
        </w:rPr>
        <w:footnoteRef/>
      </w:r>
      <w:r>
        <w:t xml:space="preserve"> </w:t>
      </w:r>
      <w:r>
        <w:tab/>
      </w:r>
      <w:r w:rsidRPr="00BB02E4">
        <w:rPr>
          <w:sz w:val="16"/>
        </w:rPr>
        <w:t>Wallumbilla supply is the average daily volume of gas ‘traded’, while price is a volume weighted average.</w:t>
      </w:r>
    </w:p>
  </w:footnote>
  <w:footnote w:id="11">
    <w:p w:rsidR="00EE2945" w:rsidRPr="00BB02E4" w:rsidRDefault="00EE2945" w:rsidP="00BB02E4">
      <w:pPr>
        <w:pStyle w:val="FootnoteText"/>
        <w:spacing w:before="0" w:after="0"/>
        <w:jc w:val="both"/>
        <w:rPr>
          <w:color w:val="2272A3"/>
          <w:sz w:val="18"/>
        </w:rPr>
      </w:pPr>
      <w:r w:rsidRPr="00BB02E4">
        <w:rPr>
          <w:rStyle w:val="FootnoteReference"/>
          <w:b/>
          <w:color w:val="2272A3"/>
        </w:rPr>
        <w:footnoteRef/>
      </w:r>
      <w:r w:rsidRPr="00BB02E4">
        <w:rPr>
          <w:color w:val="2272A3"/>
        </w:rPr>
        <w:t xml:space="preserve"> </w:t>
      </w:r>
      <w:r w:rsidRPr="00BB02E4">
        <w:rPr>
          <w:color w:val="2272A3"/>
        </w:rPr>
        <w:tab/>
      </w:r>
      <w:r w:rsidRPr="00BB02E4">
        <w:rPr>
          <w:b/>
          <w:color w:val="2272A3"/>
          <w:sz w:val="16"/>
          <w:szCs w:val="18"/>
        </w:rPr>
        <w:t xml:space="preserve">From 1 June 2016, South West Queensland Pipeline flows (reported against the SWQ zone) were altered to no longer include deliveries to (or from) the Queensland Gas Pipeline, Roma to Brisbane Pipeline, Comet Ridge to Wallumbilla Pipeline and </w:t>
      </w:r>
      <w:proofErr w:type="spellStart"/>
      <w:r w:rsidRPr="00BB02E4">
        <w:rPr>
          <w:b/>
          <w:color w:val="2272A3"/>
          <w:sz w:val="16"/>
          <w:szCs w:val="18"/>
        </w:rPr>
        <w:t>Berwyndale</w:t>
      </w:r>
      <w:proofErr w:type="spellEnd"/>
      <w:r w:rsidRPr="00BB02E4">
        <w:rPr>
          <w:b/>
          <w:color w:val="2272A3"/>
          <w:sz w:val="16"/>
          <w:szCs w:val="18"/>
        </w:rPr>
        <w:t xml:space="preserve"> to Wallumbilla Pipeline. From this date onwards, flows for the Wallumbilla (WAL) zone will be reported separately on a number of pipelines in the region</w:t>
      </w:r>
      <w:r w:rsidR="00327CC8">
        <w:rPr>
          <w:b/>
          <w:color w:val="2272A3"/>
          <w:sz w:val="16"/>
          <w:szCs w:val="18"/>
        </w:rPr>
        <w:t xml:space="preserve"> (outlined in figure 7 on page 4)</w:t>
      </w:r>
      <w:r w:rsidRPr="00BB02E4">
        <w:rPr>
          <w:b/>
          <w:color w:val="2272A3"/>
          <w:sz w:val="16"/>
          <w:szCs w:val="18"/>
        </w:rPr>
        <w:t>.</w:t>
      </w:r>
    </w:p>
  </w:footnote>
  <w:footnote w:id="12">
    <w:p w:rsidR="00EE2945" w:rsidRPr="009E74E3" w:rsidRDefault="00EE2945" w:rsidP="00E37A86">
      <w:pPr>
        <w:pStyle w:val="FootnoteText"/>
        <w:spacing w:before="0" w:after="0"/>
        <w:ind w:left="284" w:hanging="284"/>
        <w:jc w:val="both"/>
        <w:rPr>
          <w:sz w:val="18"/>
          <w:szCs w:val="18"/>
        </w:rPr>
      </w:pPr>
      <w:r>
        <w:rPr>
          <w:rStyle w:val="FootnoteReference"/>
        </w:rPr>
        <w:footnoteRef/>
      </w:r>
      <w:r>
        <w:t xml:space="preserve"> </w:t>
      </w:r>
      <w:r>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w:t>
      </w:r>
      <w:bookmarkStart w:id="2" w:name="_GoBack"/>
      <w:bookmarkEnd w:id="2"/>
      <w:r w:rsidRPr="009E74E3">
        <w:rPr>
          <w:sz w:val="18"/>
          <w:szCs w:val="18"/>
        </w:rPr>
        <w:t>s (to buy) at specified quantity and price increments, which are automatically matched on the exchange to form transactions.</w:t>
      </w:r>
    </w:p>
  </w:footnote>
  <w:footnote w:id="13">
    <w:p w:rsidR="00EE2945" w:rsidRDefault="00EE2945" w:rsidP="00BD01D4">
      <w:pPr>
        <w:pStyle w:val="FootnoteText"/>
        <w:ind w:left="284" w:hanging="284"/>
        <w:jc w:val="both"/>
      </w:pPr>
      <w:r>
        <w:rPr>
          <w:rStyle w:val="FootnoteReference"/>
        </w:rPr>
        <w:footnoteRef/>
      </w:r>
      <w:r>
        <w:t xml:space="preserve"> </w:t>
      </w:r>
      <w:r>
        <w:tab/>
      </w:r>
      <w:r w:rsidRPr="00902CFF">
        <w:rPr>
          <w:sz w:val="18"/>
        </w:rPr>
        <w:t>Prices have not exceeded $8/GJ since July 2015. The record high price for gas traded at Wallumbilla was $8.50/GJ on 12 January 2015.</w:t>
      </w:r>
    </w:p>
  </w:footnote>
  <w:footnote w:id="14">
    <w:p w:rsidR="00EE2945" w:rsidRPr="007300C3" w:rsidRDefault="00EE2945" w:rsidP="00DE5B7B">
      <w:pPr>
        <w:pStyle w:val="FootnoteText"/>
        <w:spacing w:before="0" w:after="0"/>
        <w:ind w:left="284" w:hanging="284"/>
        <w:jc w:val="both"/>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BDD4AC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
    <w:nsid w:val="21AD2891"/>
    <w:multiLevelType w:val="multilevel"/>
    <w:tmpl w:val="427C2556"/>
    <w:lvl w:ilvl="0">
      <w:start w:val="1"/>
      <w:numFmt w:val="none"/>
      <w:pStyle w:val="Heading1"/>
      <w:lvlText w:val="%1"/>
      <w:lvlJc w:val="left"/>
      <w:pPr>
        <w:ind w:left="0" w:firstLine="0"/>
      </w:pPr>
      <w:rPr>
        <w:rFonts w:ascii="Arial Bold" w:hAnsi="Arial Bold" w:hint="default"/>
        <w:b/>
        <w:i w:val="0"/>
        <w:color w:val="2272A3"/>
        <w:sz w:val="32"/>
      </w:rPr>
    </w:lvl>
    <w:lvl w:ilvl="1">
      <w:start w:val="1"/>
      <w:numFmt w:val="decimal"/>
      <w:pStyle w:val="Heading2"/>
      <w:lvlText w:val="Figure %2:"/>
      <w:lvlJc w:val="left"/>
      <w:pPr>
        <w:ind w:left="0" w:firstLine="360"/>
      </w:pPr>
      <w:rPr>
        <w:rFonts w:ascii="Arial Bold" w:hAnsi="Arial Bold" w:hint="default"/>
        <w:b/>
        <w:i w:val="0"/>
        <w:color w:val="2272A3"/>
        <w:sz w:val="24"/>
      </w:rPr>
    </w:lvl>
    <w:lvl w:ilvl="2">
      <w:start w:val="1"/>
      <w:numFmt w:val="decimal"/>
      <w:pStyle w:val="Heading3"/>
      <w:lvlText w:val="%3."/>
      <w:lvlJc w:val="left"/>
      <w:pPr>
        <w:ind w:left="0" w:firstLine="720"/>
      </w:pPr>
      <w:rPr>
        <w:rFonts w:ascii="Arial Bold" w:hAnsi="Arial Bold" w:hint="default"/>
        <w:b/>
        <w:i w:val="0"/>
        <w:color w:val="2272A3"/>
        <w:sz w:val="32"/>
      </w:rPr>
    </w:lvl>
    <w:lvl w:ilvl="3">
      <w:start w:val="1"/>
      <w:numFmt w:val="decimal"/>
      <w:pStyle w:val="Heading4"/>
      <w:lvlText w:val="Figure %3.%4:"/>
      <w:lvlJc w:val="left"/>
      <w:pPr>
        <w:ind w:left="338" w:firstLine="1080"/>
      </w:pPr>
      <w:rPr>
        <w:rFonts w:ascii="Arial Bold" w:hAnsi="Arial Bold" w:hint="default"/>
        <w:b/>
        <w:i w:val="0"/>
        <w:color w:val="2272A3"/>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22B401B7"/>
    <w:multiLevelType w:val="hybridMultilevel"/>
    <w:tmpl w:val="ABCA068E"/>
    <w:lvl w:ilvl="0" w:tplc="BE58AF30">
      <w:start w:val="1"/>
      <w:numFmt w:val="decimal"/>
      <w:pStyle w:val="AERNumberedheading1nonewpage"/>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6">
    <w:nsid w:val="2B4A6D4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8">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9">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1">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12">
    <w:nsid w:val="50895FE3"/>
    <w:multiLevelType w:val="multilevel"/>
    <w:tmpl w:val="CFB0230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3">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4">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15">
    <w:nsid w:val="713E3892"/>
    <w:multiLevelType w:val="multilevel"/>
    <w:tmpl w:val="98546364"/>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0"/>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6">
    <w:nsid w:val="78F3491B"/>
    <w:multiLevelType w:val="multilevel"/>
    <w:tmpl w:val="0A222A44"/>
    <w:styleLink w:val="Style1"/>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2"/>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7">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8"/>
  </w:num>
  <w:num w:numId="3">
    <w:abstractNumId w:val="10"/>
  </w:num>
  <w:num w:numId="4">
    <w:abstractNumId w:val="17"/>
  </w:num>
  <w:num w:numId="5">
    <w:abstractNumId w:val="2"/>
  </w:num>
  <w:num w:numId="6">
    <w:abstractNumId w:val="14"/>
  </w:num>
  <w:num w:numId="7">
    <w:abstractNumId w:val="11"/>
  </w:num>
  <w:num w:numId="8">
    <w:abstractNumId w:val="7"/>
  </w:num>
  <w:num w:numId="9">
    <w:abstractNumId w:val="5"/>
  </w:num>
  <w:num w:numId="10">
    <w:abstractNumId w:val="9"/>
  </w:num>
  <w:num w:numId="11">
    <w:abstractNumId w:val="0"/>
  </w:num>
  <w:num w:numId="12">
    <w:abstractNumId w:val="12"/>
  </w:num>
  <w:num w:numId="13">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4">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5">
    <w:abstractNumId w:val="4"/>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8">
    <w:abstractNumId w:val="12"/>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9">
    <w:abstractNumId w:val="15"/>
  </w:num>
  <w:num w:numId="20">
    <w:abstractNumId w:val="16"/>
  </w:num>
  <w:num w:numId="21">
    <w:abstractNumId w:val="1"/>
  </w:num>
  <w:num w:numId="22">
    <w:abstractNumId w:val="6"/>
  </w:num>
  <w:num w:numId="23">
    <w:abstractNumId w:val="3"/>
  </w:num>
  <w:num w:numId="24">
    <w:abstractNumId w:val="3"/>
    <w:lvlOverride w:ilvl="0">
      <w:lvl w:ilvl="0">
        <w:start w:val="1"/>
        <w:numFmt w:val="none"/>
        <w:pStyle w:val="Heading1"/>
        <w:lvlText w:val="%1"/>
        <w:lvlJc w:val="left"/>
        <w:pPr>
          <w:ind w:left="0" w:firstLine="0"/>
        </w:pPr>
        <w:rPr>
          <w:rFonts w:ascii="Arial Bold" w:hAnsi="Arial Bold" w:hint="default"/>
          <w:b/>
          <w:i w:val="0"/>
          <w:color w:val="365F91" w:themeColor="accent1" w:themeShade="BF"/>
          <w:sz w:val="32"/>
        </w:rPr>
      </w:lvl>
    </w:lvlOverride>
    <w:lvlOverride w:ilvl="1">
      <w:lvl w:ilvl="1">
        <w:start w:val="1"/>
        <w:numFmt w:val="decimal"/>
        <w:pStyle w:val="Heading2"/>
        <w:lvlText w:val="Figure %2"/>
        <w:lvlJc w:val="left"/>
        <w:pPr>
          <w:ind w:left="0" w:firstLine="0"/>
        </w:pPr>
        <w:rPr>
          <w:rFonts w:ascii="Arial Bold" w:hAnsi="Arial Bold" w:hint="default"/>
          <w:b/>
          <w:i w:val="0"/>
          <w:color w:val="365F91" w:themeColor="accent1" w:themeShade="BF"/>
          <w:sz w:val="24"/>
        </w:rPr>
      </w:lvl>
    </w:lvlOverride>
    <w:lvlOverride w:ilvl="2">
      <w:lvl w:ilvl="2">
        <w:start w:val="1"/>
        <w:numFmt w:val="decimal"/>
        <w:pStyle w:val="Heading3"/>
        <w:lvlText w:val="%3"/>
        <w:lvlJc w:val="left"/>
        <w:pPr>
          <w:ind w:left="0" w:firstLine="0"/>
        </w:pPr>
        <w:rPr>
          <w:rFonts w:ascii="Arial Bold" w:hAnsi="Arial Bold" w:hint="default"/>
          <w:b/>
          <w:i w:val="0"/>
          <w:color w:val="365F91" w:themeColor="accent1" w:themeShade="BF"/>
          <w:sz w:val="24"/>
        </w:rPr>
      </w:lvl>
    </w:lvlOverride>
    <w:lvlOverride w:ilvl="3">
      <w:lvl w:ilvl="3">
        <w:start w:val="1"/>
        <w:numFmt w:val="decimal"/>
        <w:pStyle w:val="Heading4"/>
        <w:lvlText w:val="Figure %3.%4"/>
        <w:lvlJc w:val="left"/>
        <w:pPr>
          <w:ind w:left="0" w:firstLine="0"/>
        </w:pPr>
        <w:rPr>
          <w:rFonts w:ascii="Arial Bold" w:hAnsi="Arial Bold" w:hint="default"/>
          <w:b/>
          <w:i w:val="0"/>
          <w:color w:val="365F91" w:themeColor="accent1" w:themeShade="BF"/>
          <w:sz w:val="24"/>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25">
    <w:abstractNumId w:val="3"/>
  </w:num>
  <w:num w:numId="26">
    <w:abstractNumId w:val="3"/>
  </w:num>
  <w:num w:numId="27">
    <w:abstractNumId w:val="3"/>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oNotTrackMoves/>
  <w:defaultTabStop w:val="720"/>
  <w:characterSpacingControl w:val="doNotCompress"/>
  <w:hdrShapeDefaults>
    <o:shapedefaults v:ext="edit" spidmax="7577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dchnas-evs02\home$\adrae\Desktop\AER gas weekly report - 29 May – 4 June 2016 .docx"/>
  </w:docVars>
  <w:rsids>
    <w:rsidRoot w:val="005F18AD"/>
    <w:rsid w:val="000013C1"/>
    <w:rsid w:val="00001BFB"/>
    <w:rsid w:val="00002313"/>
    <w:rsid w:val="00004A63"/>
    <w:rsid w:val="00010025"/>
    <w:rsid w:val="00011210"/>
    <w:rsid w:val="000123CA"/>
    <w:rsid w:val="00020978"/>
    <w:rsid w:val="0002268D"/>
    <w:rsid w:val="00027115"/>
    <w:rsid w:val="000323BA"/>
    <w:rsid w:val="00033456"/>
    <w:rsid w:val="00040F6B"/>
    <w:rsid w:val="000552AF"/>
    <w:rsid w:val="00055584"/>
    <w:rsid w:val="00061656"/>
    <w:rsid w:val="0006609A"/>
    <w:rsid w:val="00073D01"/>
    <w:rsid w:val="00076046"/>
    <w:rsid w:val="000813BF"/>
    <w:rsid w:val="0008491C"/>
    <w:rsid w:val="00085092"/>
    <w:rsid w:val="000876E7"/>
    <w:rsid w:val="00093854"/>
    <w:rsid w:val="000974A2"/>
    <w:rsid w:val="00097D40"/>
    <w:rsid w:val="000B4A1F"/>
    <w:rsid w:val="000B6397"/>
    <w:rsid w:val="000B69E0"/>
    <w:rsid w:val="000B7FAF"/>
    <w:rsid w:val="000D1FEB"/>
    <w:rsid w:val="000E1F9A"/>
    <w:rsid w:val="000F0BBB"/>
    <w:rsid w:val="000F2287"/>
    <w:rsid w:val="000F3B46"/>
    <w:rsid w:val="000F59F8"/>
    <w:rsid w:val="000F5F5E"/>
    <w:rsid w:val="000F6D05"/>
    <w:rsid w:val="00113D67"/>
    <w:rsid w:val="00117C98"/>
    <w:rsid w:val="00125818"/>
    <w:rsid w:val="001420EB"/>
    <w:rsid w:val="001452B3"/>
    <w:rsid w:val="00150A19"/>
    <w:rsid w:val="00153729"/>
    <w:rsid w:val="00157AFD"/>
    <w:rsid w:val="001608BE"/>
    <w:rsid w:val="001637C6"/>
    <w:rsid w:val="00164E50"/>
    <w:rsid w:val="00171BD5"/>
    <w:rsid w:val="00181F4A"/>
    <w:rsid w:val="001831BF"/>
    <w:rsid w:val="001835B2"/>
    <w:rsid w:val="00183D85"/>
    <w:rsid w:val="00193ECC"/>
    <w:rsid w:val="001A41B4"/>
    <w:rsid w:val="001A5893"/>
    <w:rsid w:val="001A5B94"/>
    <w:rsid w:val="001A5C1A"/>
    <w:rsid w:val="001A765F"/>
    <w:rsid w:val="001B294E"/>
    <w:rsid w:val="001B2ADA"/>
    <w:rsid w:val="001B3823"/>
    <w:rsid w:val="001C006C"/>
    <w:rsid w:val="001C1F0E"/>
    <w:rsid w:val="001C5A74"/>
    <w:rsid w:val="001E79FF"/>
    <w:rsid w:val="001F0F9B"/>
    <w:rsid w:val="002052B6"/>
    <w:rsid w:val="00206559"/>
    <w:rsid w:val="00207E40"/>
    <w:rsid w:val="002168D4"/>
    <w:rsid w:val="002312F5"/>
    <w:rsid w:val="00231B0A"/>
    <w:rsid w:val="00233988"/>
    <w:rsid w:val="00234764"/>
    <w:rsid w:val="00234B54"/>
    <w:rsid w:val="00252A22"/>
    <w:rsid w:val="00254746"/>
    <w:rsid w:val="00266CA5"/>
    <w:rsid w:val="0026725A"/>
    <w:rsid w:val="0026764C"/>
    <w:rsid w:val="00270B82"/>
    <w:rsid w:val="002765A2"/>
    <w:rsid w:val="002834C0"/>
    <w:rsid w:val="00285E00"/>
    <w:rsid w:val="002861A9"/>
    <w:rsid w:val="00290C57"/>
    <w:rsid w:val="002910A1"/>
    <w:rsid w:val="00291B3B"/>
    <w:rsid w:val="002A0CD1"/>
    <w:rsid w:val="002A1E4A"/>
    <w:rsid w:val="002A30E7"/>
    <w:rsid w:val="002A3E5D"/>
    <w:rsid w:val="002A46AC"/>
    <w:rsid w:val="002A5634"/>
    <w:rsid w:val="002B1803"/>
    <w:rsid w:val="002B3D3C"/>
    <w:rsid w:val="002B4D21"/>
    <w:rsid w:val="002C0499"/>
    <w:rsid w:val="002C2576"/>
    <w:rsid w:val="002D0C16"/>
    <w:rsid w:val="002D59B3"/>
    <w:rsid w:val="002D5CEC"/>
    <w:rsid w:val="002E0688"/>
    <w:rsid w:val="002E2C96"/>
    <w:rsid w:val="002E2E46"/>
    <w:rsid w:val="002E7E9E"/>
    <w:rsid w:val="002F0AE7"/>
    <w:rsid w:val="002F139A"/>
    <w:rsid w:val="002F4250"/>
    <w:rsid w:val="0030240F"/>
    <w:rsid w:val="00311A09"/>
    <w:rsid w:val="00314A8B"/>
    <w:rsid w:val="00316208"/>
    <w:rsid w:val="0032174C"/>
    <w:rsid w:val="00323327"/>
    <w:rsid w:val="00324CA9"/>
    <w:rsid w:val="00327CC8"/>
    <w:rsid w:val="00330B70"/>
    <w:rsid w:val="003348F7"/>
    <w:rsid w:val="00336E8E"/>
    <w:rsid w:val="003410C4"/>
    <w:rsid w:val="00345444"/>
    <w:rsid w:val="00347FBB"/>
    <w:rsid w:val="003548AA"/>
    <w:rsid w:val="0035758F"/>
    <w:rsid w:val="00357C72"/>
    <w:rsid w:val="003625A6"/>
    <w:rsid w:val="00362B9A"/>
    <w:rsid w:val="003632A4"/>
    <w:rsid w:val="003664D0"/>
    <w:rsid w:val="00366BDF"/>
    <w:rsid w:val="00372976"/>
    <w:rsid w:val="00374CF9"/>
    <w:rsid w:val="003800B4"/>
    <w:rsid w:val="00387B66"/>
    <w:rsid w:val="00396C2C"/>
    <w:rsid w:val="00396C7A"/>
    <w:rsid w:val="003977B4"/>
    <w:rsid w:val="003B0AAD"/>
    <w:rsid w:val="003B65E0"/>
    <w:rsid w:val="003C5272"/>
    <w:rsid w:val="003C5482"/>
    <w:rsid w:val="003D59BF"/>
    <w:rsid w:val="003D744E"/>
    <w:rsid w:val="003E313D"/>
    <w:rsid w:val="003F3391"/>
    <w:rsid w:val="003F44AD"/>
    <w:rsid w:val="003F44B7"/>
    <w:rsid w:val="003F51E6"/>
    <w:rsid w:val="003F7FD2"/>
    <w:rsid w:val="0040076C"/>
    <w:rsid w:val="004055AC"/>
    <w:rsid w:val="00411C3F"/>
    <w:rsid w:val="004149DB"/>
    <w:rsid w:val="00421FFF"/>
    <w:rsid w:val="004278B9"/>
    <w:rsid w:val="00433231"/>
    <w:rsid w:val="00434FC1"/>
    <w:rsid w:val="004420C4"/>
    <w:rsid w:val="00442756"/>
    <w:rsid w:val="00445D38"/>
    <w:rsid w:val="00447C09"/>
    <w:rsid w:val="004505EA"/>
    <w:rsid w:val="0045204B"/>
    <w:rsid w:val="00452149"/>
    <w:rsid w:val="00452AAD"/>
    <w:rsid w:val="004560B0"/>
    <w:rsid w:val="00460629"/>
    <w:rsid w:val="00463C71"/>
    <w:rsid w:val="00463EFA"/>
    <w:rsid w:val="004718E5"/>
    <w:rsid w:val="00472DDF"/>
    <w:rsid w:val="004777B8"/>
    <w:rsid w:val="00482F32"/>
    <w:rsid w:val="00483EDA"/>
    <w:rsid w:val="00491029"/>
    <w:rsid w:val="00492501"/>
    <w:rsid w:val="00496CEF"/>
    <w:rsid w:val="004A09D6"/>
    <w:rsid w:val="004A10A7"/>
    <w:rsid w:val="004B068E"/>
    <w:rsid w:val="004B18D8"/>
    <w:rsid w:val="004B2256"/>
    <w:rsid w:val="004B2A1A"/>
    <w:rsid w:val="004B6D60"/>
    <w:rsid w:val="004D09C9"/>
    <w:rsid w:val="004D1EBF"/>
    <w:rsid w:val="004D3B99"/>
    <w:rsid w:val="004D3E78"/>
    <w:rsid w:val="004E20BF"/>
    <w:rsid w:val="004F3D13"/>
    <w:rsid w:val="00502181"/>
    <w:rsid w:val="00505139"/>
    <w:rsid w:val="00514A82"/>
    <w:rsid w:val="005157B0"/>
    <w:rsid w:val="005178FC"/>
    <w:rsid w:val="00521939"/>
    <w:rsid w:val="00522E00"/>
    <w:rsid w:val="005244DA"/>
    <w:rsid w:val="0053609E"/>
    <w:rsid w:val="00541108"/>
    <w:rsid w:val="00547827"/>
    <w:rsid w:val="00560F2D"/>
    <w:rsid w:val="00563C94"/>
    <w:rsid w:val="00564C71"/>
    <w:rsid w:val="0056618C"/>
    <w:rsid w:val="0058198F"/>
    <w:rsid w:val="00582F1C"/>
    <w:rsid w:val="005859CC"/>
    <w:rsid w:val="00586C57"/>
    <w:rsid w:val="00587CD1"/>
    <w:rsid w:val="005A1650"/>
    <w:rsid w:val="005A4569"/>
    <w:rsid w:val="005A6687"/>
    <w:rsid w:val="005A77AC"/>
    <w:rsid w:val="005C4B8B"/>
    <w:rsid w:val="005C68CE"/>
    <w:rsid w:val="005D1037"/>
    <w:rsid w:val="005D4097"/>
    <w:rsid w:val="005D6652"/>
    <w:rsid w:val="005E3DFB"/>
    <w:rsid w:val="005E4C48"/>
    <w:rsid w:val="005F18AD"/>
    <w:rsid w:val="005F31D0"/>
    <w:rsid w:val="005F3BF2"/>
    <w:rsid w:val="00601A25"/>
    <w:rsid w:val="00601C18"/>
    <w:rsid w:val="00601E71"/>
    <w:rsid w:val="0060661E"/>
    <w:rsid w:val="00612663"/>
    <w:rsid w:val="00645036"/>
    <w:rsid w:val="00647DD2"/>
    <w:rsid w:val="006520EE"/>
    <w:rsid w:val="00652A42"/>
    <w:rsid w:val="006540A8"/>
    <w:rsid w:val="006705A4"/>
    <w:rsid w:val="006722EB"/>
    <w:rsid w:val="00686F6E"/>
    <w:rsid w:val="00697E41"/>
    <w:rsid w:val="006A5317"/>
    <w:rsid w:val="006A7228"/>
    <w:rsid w:val="006B004C"/>
    <w:rsid w:val="006B12B3"/>
    <w:rsid w:val="006C1858"/>
    <w:rsid w:val="006C242A"/>
    <w:rsid w:val="006C2B2B"/>
    <w:rsid w:val="006C57B2"/>
    <w:rsid w:val="006C5A2C"/>
    <w:rsid w:val="006C6D60"/>
    <w:rsid w:val="006D6E0B"/>
    <w:rsid w:val="006E1063"/>
    <w:rsid w:val="006E312B"/>
    <w:rsid w:val="006E40BD"/>
    <w:rsid w:val="006E7E57"/>
    <w:rsid w:val="006F4169"/>
    <w:rsid w:val="007001FF"/>
    <w:rsid w:val="007059A9"/>
    <w:rsid w:val="00706720"/>
    <w:rsid w:val="00707B3C"/>
    <w:rsid w:val="00710600"/>
    <w:rsid w:val="0071106C"/>
    <w:rsid w:val="00715BED"/>
    <w:rsid w:val="00716B82"/>
    <w:rsid w:val="007201F8"/>
    <w:rsid w:val="007209C0"/>
    <w:rsid w:val="00722B62"/>
    <w:rsid w:val="0072650E"/>
    <w:rsid w:val="007306EC"/>
    <w:rsid w:val="00740EE4"/>
    <w:rsid w:val="00747724"/>
    <w:rsid w:val="00750C0F"/>
    <w:rsid w:val="00763150"/>
    <w:rsid w:val="0076429B"/>
    <w:rsid w:val="00767397"/>
    <w:rsid w:val="00773AE0"/>
    <w:rsid w:val="00776BBA"/>
    <w:rsid w:val="00781A4A"/>
    <w:rsid w:val="00791198"/>
    <w:rsid w:val="007941C2"/>
    <w:rsid w:val="00795966"/>
    <w:rsid w:val="007966A5"/>
    <w:rsid w:val="007A12DE"/>
    <w:rsid w:val="007A24B5"/>
    <w:rsid w:val="007A51E1"/>
    <w:rsid w:val="007A7E7A"/>
    <w:rsid w:val="007B7771"/>
    <w:rsid w:val="007D470C"/>
    <w:rsid w:val="007D4B14"/>
    <w:rsid w:val="007D4F53"/>
    <w:rsid w:val="007E52F7"/>
    <w:rsid w:val="007E5F68"/>
    <w:rsid w:val="0080456D"/>
    <w:rsid w:val="00811D1C"/>
    <w:rsid w:val="008133CF"/>
    <w:rsid w:val="008170C0"/>
    <w:rsid w:val="008344A6"/>
    <w:rsid w:val="00875D0C"/>
    <w:rsid w:val="00875E9D"/>
    <w:rsid w:val="008776EF"/>
    <w:rsid w:val="00882958"/>
    <w:rsid w:val="008936C5"/>
    <w:rsid w:val="00895965"/>
    <w:rsid w:val="008A6DB5"/>
    <w:rsid w:val="008B4A16"/>
    <w:rsid w:val="008B7161"/>
    <w:rsid w:val="008C0EC8"/>
    <w:rsid w:val="008C268E"/>
    <w:rsid w:val="008C7F3A"/>
    <w:rsid w:val="008D39F4"/>
    <w:rsid w:val="008D4DAB"/>
    <w:rsid w:val="008D70A4"/>
    <w:rsid w:val="008E2239"/>
    <w:rsid w:val="008E24DA"/>
    <w:rsid w:val="008F4BF5"/>
    <w:rsid w:val="008F4EAE"/>
    <w:rsid w:val="008F5409"/>
    <w:rsid w:val="00900CEB"/>
    <w:rsid w:val="00902CFF"/>
    <w:rsid w:val="00903620"/>
    <w:rsid w:val="009136B3"/>
    <w:rsid w:val="009143E0"/>
    <w:rsid w:val="0091453B"/>
    <w:rsid w:val="00936A7B"/>
    <w:rsid w:val="00937543"/>
    <w:rsid w:val="00942622"/>
    <w:rsid w:val="00942640"/>
    <w:rsid w:val="00950C55"/>
    <w:rsid w:val="00951926"/>
    <w:rsid w:val="00956CE9"/>
    <w:rsid w:val="009629B5"/>
    <w:rsid w:val="00976584"/>
    <w:rsid w:val="00987973"/>
    <w:rsid w:val="00990F83"/>
    <w:rsid w:val="009962A0"/>
    <w:rsid w:val="009A04DD"/>
    <w:rsid w:val="009B2F99"/>
    <w:rsid w:val="009B4053"/>
    <w:rsid w:val="009B48FB"/>
    <w:rsid w:val="009B6259"/>
    <w:rsid w:val="009B77E9"/>
    <w:rsid w:val="009B7937"/>
    <w:rsid w:val="009C2C0E"/>
    <w:rsid w:val="009C30E2"/>
    <w:rsid w:val="009C4CBD"/>
    <w:rsid w:val="009C7F8C"/>
    <w:rsid w:val="009D2B17"/>
    <w:rsid w:val="009D7763"/>
    <w:rsid w:val="009D7D0F"/>
    <w:rsid w:val="009E18FE"/>
    <w:rsid w:val="009E74E3"/>
    <w:rsid w:val="009F43B1"/>
    <w:rsid w:val="009F4655"/>
    <w:rsid w:val="009F4DF7"/>
    <w:rsid w:val="009F6FA3"/>
    <w:rsid w:val="00A0223D"/>
    <w:rsid w:val="00A13F97"/>
    <w:rsid w:val="00A156EE"/>
    <w:rsid w:val="00A200D0"/>
    <w:rsid w:val="00A26940"/>
    <w:rsid w:val="00A270DD"/>
    <w:rsid w:val="00A324A8"/>
    <w:rsid w:val="00A349B0"/>
    <w:rsid w:val="00A35D90"/>
    <w:rsid w:val="00A475A2"/>
    <w:rsid w:val="00A51DDD"/>
    <w:rsid w:val="00A55660"/>
    <w:rsid w:val="00A55C96"/>
    <w:rsid w:val="00A642B8"/>
    <w:rsid w:val="00A6674A"/>
    <w:rsid w:val="00A66FD2"/>
    <w:rsid w:val="00A67716"/>
    <w:rsid w:val="00A677D8"/>
    <w:rsid w:val="00A834DF"/>
    <w:rsid w:val="00A91C53"/>
    <w:rsid w:val="00A936AE"/>
    <w:rsid w:val="00AA1D87"/>
    <w:rsid w:val="00AD3EBD"/>
    <w:rsid w:val="00AE03A4"/>
    <w:rsid w:val="00AE1459"/>
    <w:rsid w:val="00AE309F"/>
    <w:rsid w:val="00AE4633"/>
    <w:rsid w:val="00AE748C"/>
    <w:rsid w:val="00AF2164"/>
    <w:rsid w:val="00AF2281"/>
    <w:rsid w:val="00AF7E0A"/>
    <w:rsid w:val="00B00058"/>
    <w:rsid w:val="00B1081E"/>
    <w:rsid w:val="00B16118"/>
    <w:rsid w:val="00B17A8A"/>
    <w:rsid w:val="00B24A61"/>
    <w:rsid w:val="00B254F8"/>
    <w:rsid w:val="00B30EB3"/>
    <w:rsid w:val="00B3322A"/>
    <w:rsid w:val="00B33F8C"/>
    <w:rsid w:val="00B4302A"/>
    <w:rsid w:val="00B4661F"/>
    <w:rsid w:val="00B46A79"/>
    <w:rsid w:val="00B507D2"/>
    <w:rsid w:val="00B529D0"/>
    <w:rsid w:val="00B60F88"/>
    <w:rsid w:val="00B61751"/>
    <w:rsid w:val="00B659EE"/>
    <w:rsid w:val="00B66BAB"/>
    <w:rsid w:val="00B66E50"/>
    <w:rsid w:val="00B70A9F"/>
    <w:rsid w:val="00B71A5E"/>
    <w:rsid w:val="00B76529"/>
    <w:rsid w:val="00B82478"/>
    <w:rsid w:val="00B8698C"/>
    <w:rsid w:val="00B9666A"/>
    <w:rsid w:val="00BA1185"/>
    <w:rsid w:val="00BA16E2"/>
    <w:rsid w:val="00BA31C3"/>
    <w:rsid w:val="00BA65E6"/>
    <w:rsid w:val="00BA6C2E"/>
    <w:rsid w:val="00BB02E4"/>
    <w:rsid w:val="00BB2FF6"/>
    <w:rsid w:val="00BC18FB"/>
    <w:rsid w:val="00BC21AB"/>
    <w:rsid w:val="00BC254C"/>
    <w:rsid w:val="00BC4C5B"/>
    <w:rsid w:val="00BC77F9"/>
    <w:rsid w:val="00BD01D4"/>
    <w:rsid w:val="00BD3A40"/>
    <w:rsid w:val="00BD60AA"/>
    <w:rsid w:val="00BE18D0"/>
    <w:rsid w:val="00BE240C"/>
    <w:rsid w:val="00BE4577"/>
    <w:rsid w:val="00BF1D01"/>
    <w:rsid w:val="00BF3080"/>
    <w:rsid w:val="00C21D81"/>
    <w:rsid w:val="00C26B1D"/>
    <w:rsid w:val="00C26E38"/>
    <w:rsid w:val="00C3163F"/>
    <w:rsid w:val="00C560C2"/>
    <w:rsid w:val="00C60857"/>
    <w:rsid w:val="00C75920"/>
    <w:rsid w:val="00C80FD8"/>
    <w:rsid w:val="00C83657"/>
    <w:rsid w:val="00C859CC"/>
    <w:rsid w:val="00C94431"/>
    <w:rsid w:val="00C9498F"/>
    <w:rsid w:val="00CA0EE1"/>
    <w:rsid w:val="00CB0C0E"/>
    <w:rsid w:val="00CC300D"/>
    <w:rsid w:val="00CC385B"/>
    <w:rsid w:val="00CC4A35"/>
    <w:rsid w:val="00CD3544"/>
    <w:rsid w:val="00CE48FC"/>
    <w:rsid w:val="00CE5DB6"/>
    <w:rsid w:val="00CE75EF"/>
    <w:rsid w:val="00CF32A8"/>
    <w:rsid w:val="00CF53CA"/>
    <w:rsid w:val="00CF5471"/>
    <w:rsid w:val="00D10FA6"/>
    <w:rsid w:val="00D11DDB"/>
    <w:rsid w:val="00D161D7"/>
    <w:rsid w:val="00D1641C"/>
    <w:rsid w:val="00D16FE8"/>
    <w:rsid w:val="00D22793"/>
    <w:rsid w:val="00D276BC"/>
    <w:rsid w:val="00D329E0"/>
    <w:rsid w:val="00D40430"/>
    <w:rsid w:val="00D41D64"/>
    <w:rsid w:val="00D50980"/>
    <w:rsid w:val="00D60D45"/>
    <w:rsid w:val="00D635F1"/>
    <w:rsid w:val="00D67440"/>
    <w:rsid w:val="00D71951"/>
    <w:rsid w:val="00D76436"/>
    <w:rsid w:val="00D84A8C"/>
    <w:rsid w:val="00D8760D"/>
    <w:rsid w:val="00D9549D"/>
    <w:rsid w:val="00DA0113"/>
    <w:rsid w:val="00DA37EC"/>
    <w:rsid w:val="00DA38A8"/>
    <w:rsid w:val="00DA3AAA"/>
    <w:rsid w:val="00DB0182"/>
    <w:rsid w:val="00DB12E4"/>
    <w:rsid w:val="00DB3B79"/>
    <w:rsid w:val="00DB3D7F"/>
    <w:rsid w:val="00DB5A3A"/>
    <w:rsid w:val="00DC0A52"/>
    <w:rsid w:val="00DC12FF"/>
    <w:rsid w:val="00DC154F"/>
    <w:rsid w:val="00DC158D"/>
    <w:rsid w:val="00DD0358"/>
    <w:rsid w:val="00DD5ACD"/>
    <w:rsid w:val="00DE51DF"/>
    <w:rsid w:val="00DE5B7B"/>
    <w:rsid w:val="00E01475"/>
    <w:rsid w:val="00E032F3"/>
    <w:rsid w:val="00E16C03"/>
    <w:rsid w:val="00E2040E"/>
    <w:rsid w:val="00E2256B"/>
    <w:rsid w:val="00E27FEA"/>
    <w:rsid w:val="00E37A86"/>
    <w:rsid w:val="00E40361"/>
    <w:rsid w:val="00E41452"/>
    <w:rsid w:val="00E524B2"/>
    <w:rsid w:val="00E52E2A"/>
    <w:rsid w:val="00E70443"/>
    <w:rsid w:val="00E74D68"/>
    <w:rsid w:val="00E7639D"/>
    <w:rsid w:val="00E77449"/>
    <w:rsid w:val="00E7755A"/>
    <w:rsid w:val="00E80F95"/>
    <w:rsid w:val="00E8378F"/>
    <w:rsid w:val="00E86AAA"/>
    <w:rsid w:val="00E92E1D"/>
    <w:rsid w:val="00E93C7C"/>
    <w:rsid w:val="00E94C7D"/>
    <w:rsid w:val="00EA2F65"/>
    <w:rsid w:val="00EA4813"/>
    <w:rsid w:val="00EA6E29"/>
    <w:rsid w:val="00ED5E08"/>
    <w:rsid w:val="00EE2945"/>
    <w:rsid w:val="00EE2B5F"/>
    <w:rsid w:val="00EE51D2"/>
    <w:rsid w:val="00EE6F2C"/>
    <w:rsid w:val="00EF4E45"/>
    <w:rsid w:val="00EF58A8"/>
    <w:rsid w:val="00EF5A5D"/>
    <w:rsid w:val="00EF6B0C"/>
    <w:rsid w:val="00F01843"/>
    <w:rsid w:val="00F02D8D"/>
    <w:rsid w:val="00F114D5"/>
    <w:rsid w:val="00F15FDD"/>
    <w:rsid w:val="00F16C55"/>
    <w:rsid w:val="00F25FA8"/>
    <w:rsid w:val="00F415E2"/>
    <w:rsid w:val="00F427B4"/>
    <w:rsid w:val="00F45735"/>
    <w:rsid w:val="00F5024F"/>
    <w:rsid w:val="00F50297"/>
    <w:rsid w:val="00F51FA1"/>
    <w:rsid w:val="00F5594F"/>
    <w:rsid w:val="00F55D61"/>
    <w:rsid w:val="00F63042"/>
    <w:rsid w:val="00F645EC"/>
    <w:rsid w:val="00F67024"/>
    <w:rsid w:val="00F67559"/>
    <w:rsid w:val="00F71200"/>
    <w:rsid w:val="00F73DCA"/>
    <w:rsid w:val="00F76C75"/>
    <w:rsid w:val="00F77722"/>
    <w:rsid w:val="00F803DE"/>
    <w:rsid w:val="00F96C04"/>
    <w:rsid w:val="00F976F4"/>
    <w:rsid w:val="00FB3934"/>
    <w:rsid w:val="00FB594A"/>
    <w:rsid w:val="00FB7DD0"/>
    <w:rsid w:val="00FC4B88"/>
    <w:rsid w:val="00FD08B1"/>
    <w:rsid w:val="00FD7009"/>
    <w:rsid w:val="00FD7231"/>
    <w:rsid w:val="00FE0150"/>
    <w:rsid w:val="00FE30E3"/>
    <w:rsid w:val="00FE4319"/>
    <w:rsid w:val="00FF0D8A"/>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6A7B"/>
    <w:pPr>
      <w:spacing w:before="120" w:after="120"/>
    </w:pPr>
    <w:rPr>
      <w:rFonts w:ascii="Arial" w:hAnsi="Arial"/>
      <w:sz w:val="22"/>
      <w:szCs w:val="24"/>
    </w:rPr>
  </w:style>
  <w:style w:type="paragraph" w:styleId="Heading1">
    <w:name w:val="heading 1"/>
    <w:basedOn w:val="Normal"/>
    <w:next w:val="Normal"/>
    <w:link w:val="Heading1Char"/>
    <w:qFormat/>
    <w:rsid w:val="005F18AD"/>
    <w:pPr>
      <w:keepNext/>
      <w:numPr>
        <w:numId w:val="23"/>
      </w:numPr>
      <w:spacing w:before="240" w:after="60"/>
      <w:outlineLvl w:val="0"/>
    </w:pPr>
    <w:rPr>
      <w:rFonts w:cs="Arial"/>
      <w:b/>
      <w:bCs/>
      <w:kern w:val="32"/>
      <w:sz w:val="32"/>
      <w:szCs w:val="32"/>
    </w:rPr>
  </w:style>
  <w:style w:type="paragraph" w:styleId="Heading2">
    <w:name w:val="heading 2"/>
    <w:basedOn w:val="Normal"/>
    <w:next w:val="Normal"/>
    <w:link w:val="Heading2Char"/>
    <w:qFormat/>
    <w:rsid w:val="005F18AD"/>
    <w:pPr>
      <w:keepNext/>
      <w:numPr>
        <w:ilvl w:val="1"/>
        <w:numId w:val="23"/>
      </w:numPr>
      <w:spacing w:before="240" w:after="60"/>
      <w:outlineLvl w:val="1"/>
    </w:pPr>
    <w:rPr>
      <w:rFonts w:cs="Arial"/>
      <w:b/>
      <w:bCs/>
      <w:i/>
      <w:iCs/>
      <w:sz w:val="28"/>
      <w:szCs w:val="28"/>
    </w:rPr>
  </w:style>
  <w:style w:type="paragraph" w:styleId="Heading3">
    <w:name w:val="heading 3"/>
    <w:basedOn w:val="Normal"/>
    <w:next w:val="Normal"/>
    <w:link w:val="Heading3Char"/>
    <w:qFormat/>
    <w:rsid w:val="005F18AD"/>
    <w:pPr>
      <w:keepNext/>
      <w:numPr>
        <w:ilvl w:val="2"/>
        <w:numId w:val="23"/>
      </w:numPr>
      <w:spacing w:before="240" w:after="60"/>
      <w:outlineLvl w:val="2"/>
    </w:pPr>
    <w:rPr>
      <w:rFonts w:cs="Arial"/>
      <w:b/>
      <w:bCs/>
      <w:sz w:val="26"/>
      <w:szCs w:val="26"/>
    </w:rPr>
  </w:style>
  <w:style w:type="paragraph" w:styleId="Heading4">
    <w:name w:val="heading 4"/>
    <w:basedOn w:val="Normal"/>
    <w:next w:val="Normal"/>
    <w:link w:val="Heading4Char"/>
    <w:qFormat/>
    <w:rsid w:val="005F18AD"/>
    <w:pPr>
      <w:keepNext/>
      <w:numPr>
        <w:ilvl w:val="3"/>
        <w:numId w:val="23"/>
      </w:numPr>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rPr>
  </w:style>
  <w:style w:type="character" w:customStyle="1" w:styleId="Heading2Char">
    <w:name w:val="Heading 2 Char"/>
    <w:link w:val="Heading2"/>
    <w:locked/>
    <w:rsid w:val="005F18AD"/>
    <w:rPr>
      <w:rFonts w:ascii="Arial" w:hAnsi="Arial" w:cs="Arial"/>
      <w:b/>
      <w:bCs/>
      <w:i/>
      <w:iCs/>
      <w:sz w:val="28"/>
      <w:szCs w:val="28"/>
    </w:rPr>
  </w:style>
  <w:style w:type="character" w:customStyle="1" w:styleId="Heading3Char">
    <w:name w:val="Heading 3 Char"/>
    <w:link w:val="Heading3"/>
    <w:locked/>
    <w:rsid w:val="005F18AD"/>
    <w:rPr>
      <w:rFonts w:ascii="Arial" w:hAnsi="Arial" w:cs="Arial"/>
      <w:b/>
      <w:bCs/>
      <w:sz w:val="26"/>
      <w:szCs w:val="26"/>
    </w:rPr>
  </w:style>
  <w:style w:type="character" w:customStyle="1" w:styleId="Heading4Char">
    <w:name w:val="Heading 4 Char"/>
    <w:link w:val="Heading4"/>
    <w:locked/>
    <w:rsid w:val="005F18AD"/>
    <w:rPr>
      <w:rFonts w:ascii="Arial" w:hAnsi="Arial"/>
      <w:b/>
      <w:bCs/>
      <w:sz w:val="28"/>
      <w:szCs w:val="28"/>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uiPriority w:val="99"/>
    <w:semiHidden/>
    <w:rsid w:val="005F18AD"/>
    <w:rPr>
      <w:sz w:val="20"/>
    </w:rPr>
  </w:style>
  <w:style w:type="character" w:customStyle="1" w:styleId="CommentTextChar">
    <w:name w:val="Comment Text Char"/>
    <w:link w:val="CommentText"/>
    <w:uiPriority w:val="99"/>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cs="Arial"/>
      <w:b/>
      <w:sz w:val="20"/>
    </w:rPr>
  </w:style>
  <w:style w:type="character" w:customStyle="1" w:styleId="FigHeadingCharChar">
    <w:name w:val="Fig Heading Char Char"/>
    <w:link w:val="FigHeading"/>
    <w:rsid w:val="005F18AD"/>
    <w:rPr>
      <w:rFonts w:ascii="Arial" w:hAnsi="Arial" w:cs="Arial"/>
      <w:b/>
      <w:szCs w:val="24"/>
    </w:rPr>
  </w:style>
  <w:style w:type="paragraph" w:customStyle="1" w:styleId="AERbodytext">
    <w:name w:val="AER body text"/>
    <w:basedOn w:val="Normal"/>
    <w:rsid w:val="00936A7B"/>
    <w:pPr>
      <w:spacing w:before="200" w:after="0" w:line="276" w:lineRule="auto"/>
    </w:pPr>
    <w:rPr>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rsid w:val="005F18AD"/>
    <w:pPr>
      <w:ind w:left="340" w:hanging="340"/>
    </w:pPr>
    <w:rPr>
      <w:sz w:val="20"/>
      <w:szCs w:val="20"/>
      <w:lang w:eastAsia="en-US"/>
    </w:rPr>
  </w:style>
  <w:style w:type="character" w:customStyle="1" w:styleId="FootnoteTextChar">
    <w:name w:val="Footnote Text Char"/>
    <w:link w:val="FootnoteText"/>
    <w:locked/>
    <w:rsid w:val="005F18AD"/>
    <w:rPr>
      <w:lang w:val="en-AU" w:eastAsia="en-US" w:bidi="ar-SA"/>
    </w:rPr>
  </w:style>
  <w:style w:type="paragraph" w:styleId="Caption">
    <w:name w:val="caption"/>
    <w:basedOn w:val="Normal"/>
    <w:next w:val="Normal"/>
    <w:qFormat/>
    <w:rsid w:val="000F2287"/>
    <w:pPr>
      <w:keepNext/>
      <w:spacing w:before="240" w:line="276" w:lineRule="auto"/>
    </w:pPr>
    <w:rPr>
      <w:rFonts w:eastAsiaTheme="minorHAnsi" w:cstheme="minorBidi"/>
      <w:b/>
      <w:bCs/>
      <w:color w:val="0070C0"/>
      <w:szCs w:val="22"/>
      <w:lang w:eastAsia="en-US"/>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uiPriority w:val="99"/>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spacing w:after="120"/>
    </w:pPr>
    <w:rPr>
      <w:i w:val="0"/>
      <w:sz w:val="30"/>
      <w:lang w:eastAsia="en-US"/>
    </w:rPr>
  </w:style>
  <w:style w:type="paragraph" w:customStyle="1" w:styleId="AERheading3">
    <w:name w:val="AER heading 3"/>
    <w:basedOn w:val="Heading3"/>
    <w:next w:val="AERbodytext"/>
    <w:rsid w:val="005F18AD"/>
    <w:pPr>
      <w:spacing w:after="120"/>
    </w:pPr>
    <w:rPr>
      <w:rFonts w:ascii="Arial Bold" w:hAnsi="Arial Bold"/>
      <w:sz w:val="24"/>
      <w:szCs w:val="24"/>
      <w:lang w:eastAsia="en-US"/>
    </w:rPr>
  </w:style>
  <w:style w:type="paragraph" w:customStyle="1" w:styleId="AERheading4">
    <w:name w:val="AER heading 4"/>
    <w:basedOn w:val="Heading4"/>
    <w:next w:val="AERbodytext"/>
    <w:rsid w:val="005F18AD"/>
    <w:pPr>
      <w:spacing w:after="120"/>
    </w:pPr>
    <w:rPr>
      <w:sz w:val="22"/>
      <w:lang w:eastAsia="en-US"/>
    </w:rPr>
  </w:style>
  <w:style w:type="paragraph" w:customStyle="1" w:styleId="AERtableheading">
    <w:name w:val="AER table heading"/>
    <w:basedOn w:val="Normal"/>
    <w:next w:val="Normal"/>
    <w:rsid w:val="005F18AD"/>
    <w:pPr>
      <w:keepNext/>
      <w:spacing w:before="240"/>
      <w:outlineLvl w:val="3"/>
    </w:pPr>
    <w:rPr>
      <w:b/>
      <w:lang w:eastAsia="en-US"/>
    </w:rPr>
  </w:style>
  <w:style w:type="paragraph" w:customStyle="1" w:styleId="AERfigureheading">
    <w:name w:val="AER figure heading"/>
    <w:basedOn w:val="Normal"/>
    <w:next w:val="AERbodytext"/>
    <w:rsid w:val="000F2287"/>
    <w:pPr>
      <w:keepNext/>
      <w:spacing w:before="240"/>
      <w:outlineLvl w:val="3"/>
    </w:pPr>
    <w:rPr>
      <w:b/>
      <w:color w:val="0070C0"/>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tabs>
        <w:tab w:val="num" w:pos="1134"/>
      </w:tabs>
      <w:ind w:left="1361" w:hanging="1361"/>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rPr>
  </w:style>
  <w:style w:type="paragraph" w:customStyle="1" w:styleId="FigheadingA">
    <w:name w:val="Fig heading A"/>
    <w:basedOn w:val="Heading6"/>
    <w:rsid w:val="005F18AD"/>
    <w:pPr>
      <w:numPr>
        <w:ilvl w:val="5"/>
        <w:numId w:val="3"/>
      </w:numPr>
      <w:spacing w:before="0" w:after="120"/>
    </w:pPr>
    <w:rPr>
      <w:rFonts w:cs="Arial"/>
      <w:sz w:val="20"/>
      <w:szCs w:val="20"/>
    </w:rPr>
  </w:style>
  <w:style w:type="paragraph" w:customStyle="1" w:styleId="aerbodytext0">
    <w:name w:val="aerbodytext"/>
    <w:basedOn w:val="Normal"/>
    <w:rsid w:val="005F18AD"/>
    <w:pPr>
      <w:spacing w:after="240"/>
    </w:pPr>
  </w:style>
  <w:style w:type="character" w:styleId="CommentReference">
    <w:name w:val="annotation reference"/>
    <w:uiPriority w:val="99"/>
    <w:semiHidden/>
    <w:rsid w:val="005F18AD"/>
    <w:rPr>
      <w:sz w:val="16"/>
      <w:szCs w:val="16"/>
    </w:rPr>
  </w:style>
  <w:style w:type="table" w:styleId="TableGrid">
    <w:name w:val="Table Grid"/>
    <w:basedOn w:val="TableNormal"/>
    <w:rsid w:val="005F18AD"/>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outlineLvl w:val="3"/>
    </w:pPr>
    <w:rPr>
      <w:b/>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tabs>
        <w:tab w:val="num" w:pos="851"/>
      </w:tabs>
      <w:ind w:left="851" w:hanging="851"/>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link w:val="TitleChar"/>
    <w:qFormat/>
    <w:rsid w:val="00231B0A"/>
    <w:pPr>
      <w:spacing w:before="100" w:beforeAutospacing="1" w:after="100" w:afterAutospacing="1"/>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Borders>
        <w:top w:val="single" w:sz="12" w:space="0" w:color="auto"/>
        <w:bottom w:val="single" w:sz="4" w:space="0" w:color="auto"/>
      </w:tblBorders>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pPr>
    <w:rPr>
      <w:rFonts w:ascii="Arial Bold" w:hAnsi="Arial Bold"/>
      <w:sz w:val="30"/>
      <w:lang w:eastAsia="en-US"/>
    </w:rPr>
  </w:style>
  <w:style w:type="paragraph" w:customStyle="1" w:styleId="AERunnumberedheading3">
    <w:name w:val="AER unnumbered heading 3"/>
    <w:basedOn w:val="AERHeading10"/>
    <w:next w:val="AERbodytext"/>
    <w:rsid w:val="00936A7B"/>
  </w:style>
  <w:style w:type="paragraph" w:customStyle="1" w:styleId="AERunnumberedheading4">
    <w:name w:val="AER unnumbered heading 4"/>
    <w:basedOn w:val="Normal"/>
    <w:next w:val="AERbodytext"/>
    <w:rsid w:val="005F18AD"/>
    <w:pPr>
      <w:keepNext/>
      <w:tabs>
        <w:tab w:val="left" w:pos="851"/>
        <w:tab w:val="left" w:pos="1080"/>
      </w:tabs>
      <w:spacing w:before="240"/>
      <w:outlineLvl w:val="3"/>
    </w:pPr>
    <w:rPr>
      <w:b/>
      <w:lang w:eastAsia="en-US"/>
    </w:rPr>
  </w:style>
  <w:style w:type="character" w:styleId="PageNumber">
    <w:name w:val="page number"/>
    <w:rsid w:val="005F18AD"/>
    <w:rPr>
      <w:rFonts w:ascii="Arial" w:hAnsi="Arial"/>
      <w:sz w:val="20"/>
    </w:rPr>
  </w:style>
  <w:style w:type="paragraph" w:styleId="Subtitle">
    <w:name w:val="Subtitle"/>
    <w:link w:val="SubtitleChar"/>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 w:type="table" w:customStyle="1" w:styleId="AERTable-Text0">
    <w:name w:val="AER Table - Text"/>
    <w:basedOn w:val="TableNormal"/>
    <w:uiPriority w:val="99"/>
    <w:rsid w:val="00936A7B"/>
    <w:pPr>
      <w:spacing w:before="120" w:after="120"/>
    </w:pPr>
    <w:rPr>
      <w:rFonts w:ascii="Arial" w:eastAsia="Arial" w:hAnsi="Arial"/>
      <w:sz w:val="18"/>
      <w:szCs w:val="22"/>
      <w:lang w:eastAsia="en-US"/>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AERHeading10">
    <w:name w:val="AER Heading 1"/>
    <w:basedOn w:val="Normal"/>
    <w:link w:val="AERHeading1Char"/>
    <w:qFormat/>
    <w:rsid w:val="00936A7B"/>
    <w:pPr>
      <w:tabs>
        <w:tab w:val="left" w:pos="680"/>
      </w:tabs>
      <w:spacing w:before="200" w:after="0" w:line="240" w:lineRule="atLeast"/>
      <w:outlineLvl w:val="1"/>
    </w:pPr>
    <w:rPr>
      <w:b/>
      <w:bCs/>
      <w:color w:val="2272A3"/>
      <w:sz w:val="32"/>
      <w:szCs w:val="20"/>
      <w:lang w:eastAsia="en-US"/>
    </w:rPr>
  </w:style>
  <w:style w:type="character" w:customStyle="1" w:styleId="AERHeading1Char">
    <w:name w:val="AER Heading 1 Char"/>
    <w:link w:val="AERHeading10"/>
    <w:rsid w:val="00936A7B"/>
    <w:rPr>
      <w:rFonts w:ascii="Arial" w:hAnsi="Arial"/>
      <w:b/>
      <w:bCs/>
      <w:color w:val="2272A3"/>
      <w:sz w:val="32"/>
      <w:lang w:eastAsia="en-US"/>
    </w:rPr>
  </w:style>
  <w:style w:type="paragraph" w:customStyle="1" w:styleId="AERNumberedheading1nonewpage">
    <w:name w:val="AER Numbered heading 1 no new page"/>
    <w:basedOn w:val="AERHeading10"/>
    <w:link w:val="AERNumberedheading1nonewpageChar"/>
    <w:qFormat/>
    <w:rsid w:val="000F2287"/>
    <w:pPr>
      <w:numPr>
        <w:numId w:val="15"/>
      </w:numPr>
      <w:tabs>
        <w:tab w:val="clear" w:pos="680"/>
        <w:tab w:val="left" w:pos="709"/>
      </w:tabs>
    </w:pPr>
  </w:style>
  <w:style w:type="character" w:customStyle="1" w:styleId="AERNumberedheading1nonewpageChar">
    <w:name w:val="AER Numbered heading 1 no new page Char"/>
    <w:basedOn w:val="AERHeading1Char"/>
    <w:link w:val="AERNumberedheading1nonewpage"/>
    <w:rsid w:val="000F2287"/>
    <w:rPr>
      <w:rFonts w:ascii="Arial" w:hAnsi="Arial"/>
      <w:b/>
      <w:bCs/>
      <w:color w:val="2272A3"/>
      <w:sz w:val="32"/>
      <w:lang w:eastAsia="en-US"/>
    </w:rPr>
  </w:style>
  <w:style w:type="numbering" w:customStyle="1" w:styleId="Style1">
    <w:name w:val="Style1"/>
    <w:uiPriority w:val="99"/>
    <w:rsid w:val="00E2040E"/>
    <w:pPr>
      <w:numPr>
        <w:numId w:val="20"/>
      </w:numPr>
    </w:pPr>
  </w:style>
  <w:style w:type="character" w:customStyle="1" w:styleId="TitleChar">
    <w:name w:val="Title Char"/>
    <w:link w:val="Title"/>
    <w:rsid w:val="00004A63"/>
    <w:rPr>
      <w:rFonts w:ascii="Arial" w:hAnsi="Arial" w:cs="Arial"/>
      <w:b/>
      <w:bCs/>
      <w:kern w:val="28"/>
      <w:sz w:val="36"/>
      <w:szCs w:val="32"/>
      <w:lang w:eastAsia="en-US"/>
    </w:rPr>
  </w:style>
  <w:style w:type="character" w:customStyle="1" w:styleId="SubtitleChar">
    <w:name w:val="Subtitle Char"/>
    <w:link w:val="Subtitle"/>
    <w:rsid w:val="00004A63"/>
    <w:rPr>
      <w:rFonts w:ascii="Arial" w:hAnsi="Arial" w:cs="Arial"/>
      <w:sz w:val="28"/>
      <w:szCs w:val="24"/>
      <w:lang w:eastAsia="en-US"/>
    </w:rPr>
  </w:style>
  <w:style w:type="paragraph" w:customStyle="1" w:styleId="TableHeading">
    <w:name w:val="Table Heading"/>
    <w:basedOn w:val="Tabletext"/>
    <w:link w:val="TableHeadingChar"/>
    <w:qFormat/>
    <w:rsid w:val="0091453B"/>
    <w:pPr>
      <w:spacing w:before="60" w:after="60" w:line="276" w:lineRule="auto"/>
      <w:jc w:val="left"/>
    </w:pPr>
    <w:rPr>
      <w:rFonts w:eastAsia="Arial"/>
      <w:color w:val="FFFFFF"/>
      <w:sz w:val="18"/>
      <w:szCs w:val="22"/>
      <w:lang w:eastAsia="en-US"/>
    </w:rPr>
  </w:style>
  <w:style w:type="character" w:customStyle="1" w:styleId="TableHeadingChar">
    <w:name w:val="Table Heading Char"/>
    <w:link w:val="TableHeading"/>
    <w:rsid w:val="0091453B"/>
    <w:rPr>
      <w:rFonts w:ascii="Arial" w:eastAsia="Arial" w:hAnsi="Arial"/>
      <w:color w:val="FFFFFF"/>
      <w:sz w:val="18"/>
      <w:szCs w:val="22"/>
      <w:lang w:eastAsia="en-US"/>
    </w:rPr>
  </w:style>
  <w:style w:type="paragraph" w:customStyle="1" w:styleId="tableheadingline2">
    <w:name w:val="table heading line 2"/>
    <w:basedOn w:val="Normal"/>
    <w:link w:val="tableheadingline2Char"/>
    <w:qFormat/>
    <w:rsid w:val="0091453B"/>
    <w:pPr>
      <w:spacing w:before="0" w:line="276" w:lineRule="auto"/>
      <w:jc w:val="center"/>
    </w:pPr>
    <w:rPr>
      <w:rFonts w:eastAsia="Arial"/>
      <w:b/>
      <w:sz w:val="18"/>
      <w:szCs w:val="22"/>
      <w:lang w:eastAsia="en-US"/>
    </w:rPr>
  </w:style>
  <w:style w:type="character" w:customStyle="1" w:styleId="tableheadingline2Char">
    <w:name w:val="table heading line 2 Char"/>
    <w:link w:val="tableheadingline2"/>
    <w:rsid w:val="0091453B"/>
    <w:rPr>
      <w:rFonts w:ascii="Arial" w:eastAsia="Arial" w:hAnsi="Arial"/>
      <w:b/>
      <w:sz w:val="18"/>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Style1"/>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aer.gov.au/node/456" TargetMode="External"/><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er.gov.au/node/451" TargetMode="External"/><Relationship Id="rId24" Type="http://schemas.openxmlformats.org/officeDocument/2006/relationships/image" Target="media/image13.emf"/><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emf"/><Relationship Id="rId10" Type="http://schemas.openxmlformats.org/officeDocument/2006/relationships/image" Target="media/image2.emf"/><Relationship Id="rId19" Type="http://schemas.openxmlformats.org/officeDocument/2006/relationships/hyperlink" Target="http://www.aer.gov.au/node/451"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s>
</file>

<file path=word/_rels/footnotes.xml.rels><?xml version="1.0" encoding="UTF-8" standalone="yes"?>
<Relationships xmlns="http://schemas.openxmlformats.org/package/2006/relationships"><Relationship Id="rId1" Type="http://schemas.openxmlformats.org/officeDocument/2006/relationships/hyperlink" Target="http://www.gasbb.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839681-F775-402A-8A00-E84C49813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FF9264F4.dotm</Template>
  <TotalTime>0</TotalTime>
  <Pages>12</Pages>
  <Words>2262</Words>
  <Characters>10890</Characters>
  <Application>Microsoft Office Word</Application>
  <DocSecurity>0</DocSecurity>
  <Lines>90</Lines>
  <Paragraphs>26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13126</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2016-06-14T06:54:00Z</dcterms:created>
  <dcterms:modified xsi:type="dcterms:W3CDTF">2016-06-14T07:00:00Z</dcterms:modified>
</cp:coreProperties>
</file>