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p"/>
      <w:bookmarkStart w:id="1" w:name="_Toc305751931"/>
      <w:bookmarkStart w:id="2" w:name="_Toc308601044"/>
      <w:bookmarkStart w:id="3" w:name="_Toc316978870"/>
      <w:bookmarkStart w:id="4" w:name="_Toc317520246"/>
      <w:bookmarkStart w:id="5" w:name="OLE_LINK72"/>
      <w:bookmarkStart w:id="6" w:name="OLE_LINK73"/>
      <w:bookmarkEnd w:id="0"/>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EB058B" w:rsidP="00286866">
      <w:pPr>
        <w:pStyle w:val="Heading2"/>
        <w:rPr>
          <w:i/>
        </w:rPr>
      </w:pPr>
      <w:r>
        <w:rPr>
          <w:sz w:val="36"/>
          <w:szCs w:val="36"/>
        </w:rPr>
        <w:t>26 June – 2 July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8741B2" w:rsidRPr="008741B2" w:rsidRDefault="008741B2" w:rsidP="00F26128">
      <w:pPr>
        <w:jc w:val="both"/>
        <w:rPr>
          <w:i/>
        </w:rPr>
      </w:pPr>
      <w:r>
        <w:rPr>
          <w:i/>
        </w:rPr>
        <w:t>Prices</w:t>
      </w:r>
    </w:p>
    <w:p w:rsidR="00133C01" w:rsidRDefault="004E7225" w:rsidP="00F26128">
      <w:pPr>
        <w:jc w:val="both"/>
      </w:pPr>
      <w:r>
        <w:t>There were p</w:t>
      </w:r>
      <w:r w:rsidR="00133C01">
        <w:t xml:space="preserve">rice records </w:t>
      </w:r>
      <w:r w:rsidR="00133C01" w:rsidRPr="00133C01">
        <w:t>in Sydney and Adelaide, with Sydney reaching $28.81/GJ ($29/GJ ex post)</w:t>
      </w:r>
      <w:bookmarkStart w:id="7" w:name="_Ref456625940"/>
      <w:r w:rsidR="00133C01" w:rsidRPr="00133C01">
        <w:rPr>
          <w:rStyle w:val="FootnoteReference"/>
        </w:rPr>
        <w:footnoteReference w:id="1"/>
      </w:r>
      <w:bookmarkEnd w:id="7"/>
      <w:r w:rsidR="00133C01" w:rsidRPr="00133C01">
        <w:t xml:space="preserve"> on Thursday 30 June and Adelaide reaching $24/GJ</w:t>
      </w:r>
      <w:r w:rsidR="00133C01">
        <w:rPr>
          <w:rStyle w:val="FootnoteReference"/>
        </w:rPr>
        <w:footnoteReference w:id="2"/>
      </w:r>
      <w:r w:rsidR="00133C01" w:rsidRPr="00133C01">
        <w:t xml:space="preserve"> on </w:t>
      </w:r>
      <w:r w:rsidR="00155D8F">
        <w:t xml:space="preserve">Saturday </w:t>
      </w:r>
      <w:r w:rsidR="00133C01" w:rsidRPr="00133C01">
        <w:t>2 July.</w:t>
      </w:r>
      <w:r w:rsidR="00966BDD">
        <w:t xml:space="preserve"> </w:t>
      </w:r>
      <w:r w:rsidR="00DE68E5">
        <w:t>Prices reached $25.74/GJ on Monday 27 June in Victoria and $15/GJ in Brisbane</w:t>
      </w:r>
      <w:r w:rsidR="0066771A">
        <w:t>.</w:t>
      </w:r>
      <w:r w:rsidR="00ED704E">
        <w:t xml:space="preserve"> Figure 2 below shows that prices in all regions have remained above $10/GJ </w:t>
      </w:r>
      <w:r w:rsidR="00DE68E5">
        <w:t xml:space="preserve">since </w:t>
      </w:r>
      <w:r w:rsidR="00ED704E">
        <w:t>27 June.</w:t>
      </w:r>
    </w:p>
    <w:p w:rsidR="008741B2" w:rsidRDefault="008741B2" w:rsidP="00F26128">
      <w:pPr>
        <w:jc w:val="both"/>
        <w:rPr>
          <w:i/>
        </w:rPr>
      </w:pPr>
      <w:r w:rsidRPr="004E7225">
        <w:t xml:space="preserve">High prices in southern markets </w:t>
      </w:r>
      <w:r>
        <w:t xml:space="preserve">appear to have </w:t>
      </w:r>
      <w:r w:rsidRPr="004E7225">
        <w:t xml:space="preserve">led to competition for gas for domestic consumption (away from export use) through the Wallumbilla Gas Supply Hub – with 26 trades recorded this week. In particular, pricing </w:t>
      </w:r>
      <w:r>
        <w:t xml:space="preserve">of gas supply </w:t>
      </w:r>
      <w:r w:rsidRPr="004E7225">
        <w:t xml:space="preserve">at Wallumbilla </w:t>
      </w:r>
      <w:r>
        <w:t xml:space="preserve">of </w:t>
      </w:r>
      <w:r w:rsidRPr="004E7225">
        <w:t xml:space="preserve">up to </w:t>
      </w:r>
      <w:r w:rsidR="009C27AE" w:rsidRPr="004E7225">
        <w:t>$</w:t>
      </w:r>
      <w:r w:rsidRPr="004E7225">
        <w:t xml:space="preserve">15/GJ </w:t>
      </w:r>
      <w:bookmarkStart w:id="8" w:name="_GoBack"/>
      <w:bookmarkEnd w:id="8"/>
      <w:r w:rsidRPr="004E7225">
        <w:t xml:space="preserve">appears to be shadowing the price of buying gas from downstream markets </w:t>
      </w:r>
      <w:r>
        <w:t xml:space="preserve">factoring in </w:t>
      </w:r>
      <w:r w:rsidRPr="004E7225">
        <w:t>additional transportation cost</w:t>
      </w:r>
      <w:r>
        <w:t xml:space="preserve">s to bring the gas south. </w:t>
      </w:r>
    </w:p>
    <w:p w:rsidR="007323F1" w:rsidRPr="007323F1" w:rsidRDefault="007323F1" w:rsidP="00F26128">
      <w:pPr>
        <w:jc w:val="both"/>
        <w:rPr>
          <w:i/>
        </w:rPr>
      </w:pPr>
      <w:r>
        <w:rPr>
          <w:i/>
        </w:rPr>
        <w:t xml:space="preserve">Demand </w:t>
      </w:r>
    </w:p>
    <w:p w:rsidR="007323F1" w:rsidRDefault="007323F1" w:rsidP="007323F1">
      <w:pPr>
        <w:jc w:val="both"/>
      </w:pPr>
      <w:r w:rsidRPr="005C4142">
        <w:t>A combination of cold weather, high levels of output from gas</w:t>
      </w:r>
      <w:r w:rsidR="00684C2A">
        <w:t xml:space="preserve"> fired</w:t>
      </w:r>
      <w:r w:rsidRPr="005C4142">
        <w:t xml:space="preserve"> generators in the National Electricity Market (NEM) – due to a number of baseload outages</w:t>
      </w:r>
      <w:r>
        <w:t xml:space="preserve"> and network constraints</w:t>
      </w:r>
      <w:r w:rsidRPr="005C4142">
        <w:t xml:space="preserve"> – and </w:t>
      </w:r>
      <w:r>
        <w:t xml:space="preserve">continued </w:t>
      </w:r>
      <w:r w:rsidRPr="005C4142">
        <w:t>high demand from LNG exports contributed to price increases in all markets.</w:t>
      </w:r>
      <w:r>
        <w:t xml:space="preserve"> </w:t>
      </w:r>
    </w:p>
    <w:p w:rsidR="00480039" w:rsidRDefault="00480039" w:rsidP="00480039">
      <w:pPr>
        <w:jc w:val="both"/>
      </w:pPr>
      <w:r>
        <w:t>The increase in market demand in Sydney and Victoria</w:t>
      </w:r>
      <w:r>
        <w:rPr>
          <w:rStyle w:val="FootnoteReference"/>
        </w:rPr>
        <w:footnoteReference w:id="3"/>
      </w:r>
      <w:r>
        <w:t xml:space="preserve"> </w:t>
      </w:r>
      <w:r w:rsidR="004E7225">
        <w:t xml:space="preserve">has been </w:t>
      </w:r>
      <w:r>
        <w:t>more pronounced than Adelaide, with Victoria in particular more sensitive to low temperatures due to the greater penetration of residential gas heating. Whil</w:t>
      </w:r>
      <w:r w:rsidR="004E7225">
        <w:t>st the level of</w:t>
      </w:r>
      <w:r>
        <w:t xml:space="preserve"> </w:t>
      </w:r>
      <w:r w:rsidR="004E7225">
        <w:t xml:space="preserve">gas market </w:t>
      </w:r>
      <w:r>
        <w:t xml:space="preserve">demand in these regions is not unusual </w:t>
      </w:r>
      <w:r w:rsidR="004E7225">
        <w:t xml:space="preserve">for </w:t>
      </w:r>
      <w:r>
        <w:t>winter</w:t>
      </w:r>
      <w:r>
        <w:rPr>
          <w:rStyle w:val="FootnoteReference"/>
        </w:rPr>
        <w:footnoteReference w:id="4"/>
      </w:r>
      <w:r>
        <w:t>, the</w:t>
      </w:r>
      <w:r w:rsidR="004E7225">
        <w:t xml:space="preserve"> combination of</w:t>
      </w:r>
      <w:r>
        <w:t xml:space="preserve"> additional demand from gas generation</w:t>
      </w:r>
      <w:r>
        <w:rPr>
          <w:rStyle w:val="FootnoteReference"/>
        </w:rPr>
        <w:footnoteReference w:id="5"/>
      </w:r>
      <w:r w:rsidR="004E7225">
        <w:t xml:space="preserve">, southern gas being sent to export and </w:t>
      </w:r>
      <w:r>
        <w:t>tighter supply conditions</w:t>
      </w:r>
      <w:r w:rsidR="008741B2">
        <w:t xml:space="preserve"> </w:t>
      </w:r>
      <w:r w:rsidR="004E7225">
        <w:t xml:space="preserve">appear to have </w:t>
      </w:r>
      <w:r>
        <w:t xml:space="preserve">combined to produce higher prices across all regions. </w:t>
      </w:r>
    </w:p>
    <w:p w:rsidR="007323F1" w:rsidRPr="008F4BD9" w:rsidRDefault="00831582" w:rsidP="00F26128">
      <w:pPr>
        <w:jc w:val="both"/>
        <w:rPr>
          <w:i/>
        </w:rPr>
      </w:pPr>
      <w:r>
        <w:rPr>
          <w:i/>
        </w:rPr>
        <w:t>Supply factors</w:t>
      </w:r>
    </w:p>
    <w:p w:rsidR="00831582" w:rsidRDefault="007323F1" w:rsidP="00F26128">
      <w:pPr>
        <w:jc w:val="both"/>
      </w:pPr>
      <w:r>
        <w:t>Victorian gas production has been running at record levels</w:t>
      </w:r>
      <w:r w:rsidR="008741B2">
        <w:t xml:space="preserve">. As Victoria </w:t>
      </w:r>
      <w:r>
        <w:t>suppl</w:t>
      </w:r>
      <w:r w:rsidR="008741B2">
        <w:t>ies</w:t>
      </w:r>
      <w:r>
        <w:t xml:space="preserve"> a significant proportion of the gas requirements in both Sydney and Adelaide the high Victorian prices have also had a flow on effect on prices in those regions. Since 1 June average daily gas production in 2016 for the Victorian gas basins (1,443 TJ/d this week, see figure 5.1) is around 130 TJ/day higher than last year on a week to week basis.</w:t>
      </w:r>
      <w:r>
        <w:rPr>
          <w:rStyle w:val="FootnoteReference"/>
        </w:rPr>
        <w:footnoteReference w:id="6"/>
      </w:r>
      <w:r w:rsidR="00831582">
        <w:t xml:space="preserve"> </w:t>
      </w:r>
    </w:p>
    <w:p w:rsidR="007323F1" w:rsidRDefault="00831582" w:rsidP="00F26128">
      <w:pPr>
        <w:jc w:val="both"/>
      </w:pPr>
      <w:r w:rsidRPr="004E7225">
        <w:lastRenderedPageBreak/>
        <w:t>AGL reported to the Australian Stock Exchange on 7 July that it had purchased significan</w:t>
      </w:r>
      <w:r>
        <w:t xml:space="preserve">t gas at Wallumbilla </w:t>
      </w:r>
      <w:r w:rsidRPr="004E7225">
        <w:t xml:space="preserve">as a result of </w:t>
      </w:r>
      <w:r>
        <w:t xml:space="preserve">a </w:t>
      </w:r>
      <w:r w:rsidRPr="004E7225">
        <w:t>recent curtailment</w:t>
      </w:r>
      <w:r w:rsidRPr="004E7225">
        <w:rPr>
          <w:rStyle w:val="FootnoteReference"/>
        </w:rPr>
        <w:footnoteReference w:id="7"/>
      </w:r>
      <w:r w:rsidRPr="004E7225">
        <w:t xml:space="preserve"> of its Queensland supply, other supply constraints, and increased demand at its Torrens power station.</w:t>
      </w:r>
    </w:p>
    <w:p w:rsidR="008741B2" w:rsidRDefault="0068011D" w:rsidP="00F26128">
      <w:pPr>
        <w:jc w:val="both"/>
      </w:pPr>
      <w:r>
        <w:t xml:space="preserve">Industry has also informed us that </w:t>
      </w:r>
      <w:r w:rsidR="008741B2">
        <w:t xml:space="preserve">higher gas production is leading to higher volumes of gas being transported on some pipelines which is in turn leading to higher transportation </w:t>
      </w:r>
      <w:r>
        <w:t>‘</w:t>
      </w:r>
      <w:r w:rsidR="008741B2">
        <w:t>penalty</w:t>
      </w:r>
      <w:r>
        <w:t xml:space="preserve"> charges’ related to higher than normal pipeline use</w:t>
      </w:r>
      <w:r w:rsidR="008741B2">
        <w:t>. This is also being factored in to gas prices.</w:t>
      </w:r>
    </w:p>
    <w:p w:rsidR="007323F1" w:rsidRPr="007323F1" w:rsidRDefault="007323F1" w:rsidP="00F26128">
      <w:pPr>
        <w:jc w:val="both"/>
        <w:rPr>
          <w:i/>
        </w:rPr>
      </w:pPr>
      <w:r>
        <w:rPr>
          <w:i/>
        </w:rPr>
        <w:t>Impacts from the Electricity market</w:t>
      </w:r>
    </w:p>
    <w:p w:rsidR="00966BDD" w:rsidRPr="00586506" w:rsidRDefault="00966BDD" w:rsidP="00F26128">
      <w:pPr>
        <w:jc w:val="both"/>
      </w:pPr>
      <w:r>
        <w:t>In addition to the recent baseload outages across the NEM</w:t>
      </w:r>
      <w:r>
        <w:rPr>
          <w:rStyle w:val="FootnoteReference"/>
        </w:rPr>
        <w:footnoteReference w:id="8"/>
      </w:r>
      <w:r>
        <w:t>,</w:t>
      </w:r>
      <w:r w:rsidR="009928C4">
        <w:t xml:space="preserve"> low levels of wind generation in South Australia and limitations to the amount of interstate </w:t>
      </w:r>
      <w:r w:rsidR="00A97E16">
        <w:t xml:space="preserve">generation </w:t>
      </w:r>
      <w:r w:rsidR="009928C4">
        <w:t xml:space="preserve">assistance </w:t>
      </w:r>
      <w:r w:rsidR="00A97E16">
        <w:t xml:space="preserve">from Victoria </w:t>
      </w:r>
      <w:r w:rsidR="009928C4">
        <w:t xml:space="preserve">has put further upwards pressure on gas prices </w:t>
      </w:r>
      <w:r w:rsidR="00A97E16">
        <w:t>(</w:t>
      </w:r>
      <w:r w:rsidR="009928C4">
        <w:t xml:space="preserve">due to the higher gas demand upstream of the </w:t>
      </w:r>
      <w:r w:rsidR="00702B23">
        <w:t xml:space="preserve">Adelaide </w:t>
      </w:r>
      <w:r w:rsidR="009928C4">
        <w:t>market</w:t>
      </w:r>
      <w:r w:rsidR="00A97E16">
        <w:t>)</w:t>
      </w:r>
      <w:r w:rsidR="009928C4">
        <w:t>.</w:t>
      </w:r>
      <w:r w:rsidR="00702B23">
        <w:t xml:space="preserve"> Wind levels this week were particularly low from </w:t>
      </w:r>
      <w:r w:rsidR="00A159A3">
        <w:t>26 – 28 June and 1 – 2 July</w:t>
      </w:r>
      <w:r w:rsidR="000B2994">
        <w:t xml:space="preserve"> over peak periods</w:t>
      </w:r>
      <w:r w:rsidR="00A159A3">
        <w:t>,</w:t>
      </w:r>
      <w:r w:rsidR="00A97E16">
        <w:t xml:space="preserve"> driving the majority of the regions electricity supply being provided by gas generators following the shutdown of the coal powered Nor</w:t>
      </w:r>
      <w:r w:rsidR="00A97E16" w:rsidRPr="00586506">
        <w:t>thern power station earlier this year.</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ED704E"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177DBC">
        <w:fldChar w:fldCharType="begin"/>
      </w:r>
      <w:r w:rsidR="00177DBC">
        <w:instrText xml:space="preserve"> SEQ Figure \* ARABIC </w:instrText>
      </w:r>
      <w:r w:rsidR="00177DBC">
        <w:fldChar w:fldCharType="separate"/>
      </w:r>
      <w:r w:rsidR="00177DBC">
        <w:rPr>
          <w:noProof/>
        </w:rPr>
        <w:t>1</w:t>
      </w:r>
      <w:r w:rsidR="00177DBC">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9"/>
      </w:r>
    </w:p>
    <w:tbl>
      <w:tblPr>
        <w:tblStyle w:val="AERTable-Text"/>
        <w:tblW w:w="4890" w:type="pct"/>
        <w:tblLayout w:type="fixed"/>
        <w:tblLook w:val="04A0" w:firstRow="1" w:lastRow="0" w:firstColumn="1" w:lastColumn="0" w:noHBand="0" w:noVBand="1"/>
      </w:tblPr>
      <w:tblGrid>
        <w:gridCol w:w="1367"/>
        <w:gridCol w:w="701"/>
        <w:gridCol w:w="589"/>
        <w:gridCol w:w="710"/>
        <w:gridCol w:w="568"/>
        <w:gridCol w:w="709"/>
        <w:gridCol w:w="568"/>
        <w:gridCol w:w="709"/>
        <w:gridCol w:w="568"/>
        <w:gridCol w:w="710"/>
        <w:gridCol w:w="710"/>
        <w:gridCol w:w="425"/>
        <w:gridCol w:w="705"/>
      </w:tblGrid>
      <w:tr w:rsidR="00A6220B" w:rsidRPr="002861A9" w:rsidTr="00A6220B">
        <w:trPr>
          <w:cnfStyle w:val="100000000000" w:firstRow="1" w:lastRow="0" w:firstColumn="0" w:lastColumn="0" w:oddVBand="0" w:evenVBand="0" w:oddHBand="0" w:evenHBand="0" w:firstRowFirstColumn="0" w:firstRowLastColumn="0" w:lastRowFirstColumn="0" w:lastRowLastColumn="0"/>
          <w:trHeight w:val="404"/>
          <w:tblHeader/>
        </w:trPr>
        <w:tc>
          <w:tcPr>
            <w:tcW w:w="756"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14"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07"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705"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705"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85"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27"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A6220B" w:rsidRPr="002861A9" w:rsidTr="00A6220B">
        <w:trPr>
          <w:cnfStyle w:val="100000000000" w:firstRow="1" w:lastRow="0" w:firstColumn="0" w:lastColumn="0" w:oddVBand="0" w:evenVBand="0" w:oddHBand="0" w:evenHBand="0" w:firstRowFirstColumn="0" w:firstRowLastColumn="0" w:lastRowFirstColumn="0" w:lastRowLastColumn="0"/>
          <w:tblHeader/>
        </w:trPr>
        <w:tc>
          <w:tcPr>
            <w:tcW w:w="756"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88"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25"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3"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4"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2"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4"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2"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4"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9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93"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235"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93"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A6220B" w:rsidRPr="006A7228" w:rsidTr="00A6220B">
        <w:trPr>
          <w:trHeight w:val="510"/>
        </w:trPr>
        <w:tc>
          <w:tcPr>
            <w:tcW w:w="756" w:type="pct"/>
            <w:tcBorders>
              <w:top w:val="nil"/>
              <w:bottom w:val="nil"/>
            </w:tcBorders>
            <w:vAlign w:val="center"/>
          </w:tcPr>
          <w:p w:rsidR="00A6220B" w:rsidRDefault="00A6220B">
            <w:pPr>
              <w:rPr>
                <w:rFonts w:cs="Arial"/>
                <w:sz w:val="16"/>
                <w:szCs w:val="16"/>
              </w:rPr>
            </w:pPr>
            <w:r>
              <w:rPr>
                <w:rFonts w:cs="Arial"/>
                <w:sz w:val="16"/>
                <w:szCs w:val="16"/>
              </w:rPr>
              <w:t>26 Jun - 02 Jul 2016</w:t>
            </w:r>
          </w:p>
        </w:tc>
        <w:tc>
          <w:tcPr>
            <w:tcW w:w="388" w:type="pct"/>
            <w:tcBorders>
              <w:top w:val="nil"/>
              <w:bottom w:val="nil"/>
            </w:tcBorders>
            <w:vAlign w:val="center"/>
          </w:tcPr>
          <w:p w:rsidR="00A6220B" w:rsidRPr="00A6220B" w:rsidRDefault="00A6220B">
            <w:pPr>
              <w:jc w:val="center"/>
              <w:rPr>
                <w:rFonts w:cs="Arial"/>
                <w:szCs w:val="20"/>
              </w:rPr>
            </w:pPr>
            <w:r w:rsidRPr="00A6220B">
              <w:rPr>
                <w:rFonts w:cs="Arial"/>
                <w:szCs w:val="20"/>
              </w:rPr>
              <w:t>16.20</w:t>
            </w:r>
          </w:p>
        </w:tc>
        <w:tc>
          <w:tcPr>
            <w:tcW w:w="325" w:type="pct"/>
            <w:tcBorders>
              <w:top w:val="nil"/>
              <w:bottom w:val="nil"/>
            </w:tcBorders>
            <w:vAlign w:val="center"/>
          </w:tcPr>
          <w:p w:rsidR="00A6220B" w:rsidRPr="00A6220B" w:rsidRDefault="00A6220B">
            <w:pPr>
              <w:jc w:val="center"/>
              <w:rPr>
                <w:rFonts w:cs="Arial"/>
                <w:szCs w:val="20"/>
              </w:rPr>
            </w:pPr>
            <w:r w:rsidRPr="00A6220B">
              <w:rPr>
                <w:rFonts w:cs="Arial"/>
                <w:szCs w:val="20"/>
              </w:rPr>
              <w:t>986</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15.76</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304</w:t>
            </w:r>
          </w:p>
        </w:tc>
        <w:tc>
          <w:tcPr>
            <w:tcW w:w="392" w:type="pct"/>
            <w:tcBorders>
              <w:top w:val="nil"/>
              <w:bottom w:val="nil"/>
            </w:tcBorders>
            <w:vAlign w:val="center"/>
          </w:tcPr>
          <w:p w:rsidR="00A6220B" w:rsidRPr="00A6220B" w:rsidRDefault="00A6220B">
            <w:pPr>
              <w:jc w:val="center"/>
              <w:rPr>
                <w:rFonts w:cs="Arial"/>
                <w:szCs w:val="20"/>
              </w:rPr>
            </w:pPr>
            <w:r w:rsidRPr="00A6220B">
              <w:rPr>
                <w:rFonts w:cs="Arial"/>
                <w:szCs w:val="20"/>
              </w:rPr>
              <w:t>16.18</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86</w:t>
            </w:r>
          </w:p>
        </w:tc>
        <w:tc>
          <w:tcPr>
            <w:tcW w:w="392" w:type="pct"/>
            <w:tcBorders>
              <w:top w:val="nil"/>
              <w:bottom w:val="nil"/>
            </w:tcBorders>
            <w:vAlign w:val="center"/>
          </w:tcPr>
          <w:p w:rsidR="00A6220B" w:rsidRPr="00A6220B" w:rsidRDefault="00A6220B">
            <w:pPr>
              <w:jc w:val="center"/>
              <w:rPr>
                <w:rFonts w:cs="Arial"/>
                <w:szCs w:val="20"/>
              </w:rPr>
            </w:pPr>
            <w:r w:rsidRPr="00A6220B">
              <w:rPr>
                <w:rFonts w:cs="Arial"/>
                <w:szCs w:val="20"/>
              </w:rPr>
              <w:t>11.72</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96</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11.58</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203</w:t>
            </w:r>
          </w:p>
        </w:tc>
        <w:tc>
          <w:tcPr>
            <w:tcW w:w="235" w:type="pct"/>
            <w:tcBorders>
              <w:top w:val="nil"/>
              <w:bottom w:val="nil"/>
            </w:tcBorders>
            <w:vAlign w:val="center"/>
          </w:tcPr>
          <w:p w:rsidR="00A6220B" w:rsidRPr="00A6220B" w:rsidRDefault="00A6220B">
            <w:pPr>
              <w:jc w:val="center"/>
              <w:rPr>
                <w:rFonts w:cs="Arial"/>
                <w:szCs w:val="20"/>
              </w:rPr>
            </w:pPr>
            <w:r w:rsidRPr="00A6220B">
              <w:rPr>
                <w:rFonts w:cs="Arial"/>
                <w:szCs w:val="20"/>
              </w:rPr>
              <w:t>-</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w:t>
            </w:r>
          </w:p>
        </w:tc>
      </w:tr>
      <w:tr w:rsidR="00A6220B" w:rsidRPr="006A7228" w:rsidTr="00A6220B">
        <w:trPr>
          <w:cnfStyle w:val="000000010000" w:firstRow="0" w:lastRow="0" w:firstColumn="0" w:lastColumn="0" w:oddVBand="0" w:evenVBand="0" w:oddHBand="0" w:evenHBand="1" w:firstRowFirstColumn="0" w:firstRowLastColumn="0" w:lastRowFirstColumn="0" w:lastRowLastColumn="0"/>
          <w:trHeight w:val="510"/>
        </w:trPr>
        <w:tc>
          <w:tcPr>
            <w:tcW w:w="756" w:type="pct"/>
            <w:tcBorders>
              <w:top w:val="nil"/>
              <w:bottom w:val="nil"/>
            </w:tcBorders>
            <w:vAlign w:val="center"/>
          </w:tcPr>
          <w:p w:rsidR="00A6220B" w:rsidRDefault="00A6220B">
            <w:pPr>
              <w:rPr>
                <w:rFonts w:cs="Arial"/>
                <w:sz w:val="16"/>
                <w:szCs w:val="16"/>
              </w:rPr>
            </w:pPr>
            <w:r>
              <w:rPr>
                <w:rFonts w:cs="Arial"/>
                <w:sz w:val="16"/>
                <w:szCs w:val="16"/>
              </w:rPr>
              <w:t>% change from previous week</w:t>
            </w:r>
          </w:p>
        </w:tc>
        <w:tc>
          <w:tcPr>
            <w:tcW w:w="388"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42</w:t>
            </w:r>
          </w:p>
        </w:tc>
        <w:tc>
          <w:tcPr>
            <w:tcW w:w="325"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5</w:t>
            </w:r>
          </w:p>
        </w:tc>
        <w:tc>
          <w:tcPr>
            <w:tcW w:w="393"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108</w:t>
            </w:r>
          </w:p>
        </w:tc>
        <w:tc>
          <w:tcPr>
            <w:tcW w:w="314"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9</w:t>
            </w:r>
          </w:p>
        </w:tc>
        <w:tc>
          <w:tcPr>
            <w:tcW w:w="392"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66</w:t>
            </w:r>
          </w:p>
        </w:tc>
        <w:tc>
          <w:tcPr>
            <w:tcW w:w="314"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1</w:t>
            </w:r>
          </w:p>
        </w:tc>
        <w:tc>
          <w:tcPr>
            <w:tcW w:w="392"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40</w:t>
            </w:r>
          </w:p>
        </w:tc>
        <w:tc>
          <w:tcPr>
            <w:tcW w:w="314"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1</w:t>
            </w:r>
          </w:p>
        </w:tc>
        <w:tc>
          <w:tcPr>
            <w:tcW w:w="393"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28</w:t>
            </w:r>
          </w:p>
        </w:tc>
        <w:tc>
          <w:tcPr>
            <w:tcW w:w="393"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68</w:t>
            </w:r>
          </w:p>
        </w:tc>
        <w:tc>
          <w:tcPr>
            <w:tcW w:w="235"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w:t>
            </w:r>
          </w:p>
        </w:tc>
        <w:tc>
          <w:tcPr>
            <w:tcW w:w="393" w:type="pct"/>
            <w:tcBorders>
              <w:top w:val="nil"/>
              <w:bottom w:val="nil"/>
            </w:tcBorders>
            <w:vAlign w:val="center"/>
          </w:tcPr>
          <w:p w:rsidR="00A6220B" w:rsidRPr="00A6220B" w:rsidRDefault="00A6220B">
            <w:pPr>
              <w:jc w:val="center"/>
              <w:rPr>
                <w:rFonts w:cs="Arial"/>
                <w:sz w:val="18"/>
                <w:szCs w:val="20"/>
              </w:rPr>
            </w:pPr>
            <w:r w:rsidRPr="00A6220B">
              <w:rPr>
                <w:rFonts w:cs="Arial"/>
                <w:sz w:val="18"/>
                <w:szCs w:val="20"/>
              </w:rPr>
              <w:t>-</w:t>
            </w:r>
          </w:p>
        </w:tc>
      </w:tr>
      <w:tr w:rsidR="00A6220B" w:rsidRPr="006A7228" w:rsidTr="00A6220B">
        <w:trPr>
          <w:trHeight w:val="510"/>
        </w:trPr>
        <w:tc>
          <w:tcPr>
            <w:tcW w:w="756" w:type="pct"/>
            <w:tcBorders>
              <w:top w:val="nil"/>
              <w:bottom w:val="nil"/>
            </w:tcBorders>
            <w:vAlign w:val="center"/>
          </w:tcPr>
          <w:p w:rsidR="00A6220B" w:rsidRDefault="00A6220B">
            <w:pPr>
              <w:rPr>
                <w:rFonts w:cs="Arial"/>
                <w:sz w:val="16"/>
                <w:szCs w:val="16"/>
              </w:rPr>
            </w:pPr>
            <w:r>
              <w:rPr>
                <w:rFonts w:cs="Arial"/>
                <w:sz w:val="16"/>
                <w:szCs w:val="16"/>
              </w:rPr>
              <w:lastRenderedPageBreak/>
              <w:t>15-16 financial YTD</w:t>
            </w:r>
          </w:p>
        </w:tc>
        <w:tc>
          <w:tcPr>
            <w:tcW w:w="388" w:type="pct"/>
            <w:tcBorders>
              <w:top w:val="nil"/>
              <w:bottom w:val="nil"/>
            </w:tcBorders>
            <w:vAlign w:val="center"/>
          </w:tcPr>
          <w:p w:rsidR="00A6220B" w:rsidRPr="00A6220B" w:rsidRDefault="00A6220B">
            <w:pPr>
              <w:jc w:val="center"/>
              <w:rPr>
                <w:rFonts w:cs="Arial"/>
                <w:szCs w:val="20"/>
              </w:rPr>
            </w:pPr>
            <w:r w:rsidRPr="00A6220B">
              <w:rPr>
                <w:rFonts w:cs="Arial"/>
                <w:szCs w:val="20"/>
              </w:rPr>
              <w:t>4.99</w:t>
            </w:r>
          </w:p>
        </w:tc>
        <w:tc>
          <w:tcPr>
            <w:tcW w:w="325" w:type="pct"/>
            <w:tcBorders>
              <w:top w:val="nil"/>
              <w:bottom w:val="nil"/>
            </w:tcBorders>
            <w:vAlign w:val="center"/>
          </w:tcPr>
          <w:p w:rsidR="00A6220B" w:rsidRPr="00A6220B" w:rsidRDefault="00A6220B">
            <w:pPr>
              <w:jc w:val="center"/>
              <w:rPr>
                <w:rFonts w:cs="Arial"/>
                <w:szCs w:val="20"/>
              </w:rPr>
            </w:pPr>
            <w:r w:rsidRPr="00A6220B">
              <w:rPr>
                <w:rFonts w:cs="Arial"/>
                <w:szCs w:val="20"/>
              </w:rPr>
              <w:t>558</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5.05</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238</w:t>
            </w:r>
          </w:p>
        </w:tc>
        <w:tc>
          <w:tcPr>
            <w:tcW w:w="392" w:type="pct"/>
            <w:tcBorders>
              <w:top w:val="nil"/>
              <w:bottom w:val="nil"/>
            </w:tcBorders>
            <w:vAlign w:val="center"/>
          </w:tcPr>
          <w:p w:rsidR="00A6220B" w:rsidRPr="00A6220B" w:rsidRDefault="00A6220B">
            <w:pPr>
              <w:jc w:val="center"/>
              <w:rPr>
                <w:rFonts w:cs="Arial"/>
                <w:szCs w:val="20"/>
              </w:rPr>
            </w:pPr>
            <w:r w:rsidRPr="00A6220B">
              <w:rPr>
                <w:rFonts w:cs="Arial"/>
                <w:szCs w:val="20"/>
              </w:rPr>
              <w:t>5.74</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61</w:t>
            </w:r>
          </w:p>
        </w:tc>
        <w:tc>
          <w:tcPr>
            <w:tcW w:w="392" w:type="pct"/>
            <w:tcBorders>
              <w:top w:val="nil"/>
              <w:bottom w:val="nil"/>
            </w:tcBorders>
            <w:vAlign w:val="center"/>
          </w:tcPr>
          <w:p w:rsidR="00A6220B" w:rsidRPr="00A6220B" w:rsidRDefault="00A6220B">
            <w:pPr>
              <w:jc w:val="center"/>
              <w:rPr>
                <w:rFonts w:cs="Arial"/>
                <w:szCs w:val="20"/>
              </w:rPr>
            </w:pPr>
            <w:r w:rsidRPr="00A6220B">
              <w:rPr>
                <w:rFonts w:cs="Arial"/>
                <w:szCs w:val="20"/>
              </w:rPr>
              <w:t>4.66</w:t>
            </w:r>
          </w:p>
        </w:tc>
        <w:tc>
          <w:tcPr>
            <w:tcW w:w="314" w:type="pct"/>
            <w:tcBorders>
              <w:top w:val="nil"/>
              <w:bottom w:val="nil"/>
            </w:tcBorders>
            <w:vAlign w:val="center"/>
          </w:tcPr>
          <w:p w:rsidR="00A6220B" w:rsidRPr="00A6220B" w:rsidRDefault="00A6220B">
            <w:pPr>
              <w:jc w:val="center"/>
              <w:rPr>
                <w:rFonts w:cs="Arial"/>
                <w:szCs w:val="20"/>
              </w:rPr>
            </w:pPr>
            <w:r w:rsidRPr="00A6220B">
              <w:rPr>
                <w:rFonts w:cs="Arial"/>
                <w:szCs w:val="20"/>
              </w:rPr>
              <w:t>84</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4.37</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7558</w:t>
            </w:r>
          </w:p>
        </w:tc>
        <w:tc>
          <w:tcPr>
            <w:tcW w:w="235" w:type="pct"/>
            <w:tcBorders>
              <w:top w:val="nil"/>
              <w:bottom w:val="nil"/>
            </w:tcBorders>
            <w:vAlign w:val="center"/>
          </w:tcPr>
          <w:p w:rsidR="00A6220B" w:rsidRPr="00A6220B" w:rsidRDefault="00A6220B">
            <w:pPr>
              <w:jc w:val="center"/>
              <w:rPr>
                <w:rFonts w:cs="Arial"/>
                <w:szCs w:val="20"/>
              </w:rPr>
            </w:pPr>
            <w:r w:rsidRPr="00A6220B">
              <w:rPr>
                <w:rFonts w:cs="Arial"/>
                <w:szCs w:val="20"/>
              </w:rPr>
              <w:t>-</w:t>
            </w:r>
          </w:p>
        </w:tc>
        <w:tc>
          <w:tcPr>
            <w:tcW w:w="393" w:type="pct"/>
            <w:tcBorders>
              <w:top w:val="nil"/>
              <w:bottom w:val="nil"/>
            </w:tcBorders>
            <w:vAlign w:val="center"/>
          </w:tcPr>
          <w:p w:rsidR="00A6220B" w:rsidRPr="00A6220B" w:rsidRDefault="00A6220B">
            <w:pPr>
              <w:jc w:val="center"/>
              <w:rPr>
                <w:rFonts w:cs="Arial"/>
                <w:szCs w:val="20"/>
              </w:rPr>
            </w:pPr>
            <w:r w:rsidRPr="00A6220B">
              <w:rPr>
                <w:rFonts w:cs="Arial"/>
                <w:szCs w:val="20"/>
              </w:rPr>
              <w:t>-</w:t>
            </w:r>
          </w:p>
        </w:tc>
      </w:tr>
      <w:tr w:rsidR="00A6220B" w:rsidRPr="006A7228" w:rsidTr="00A6220B">
        <w:trPr>
          <w:cnfStyle w:val="000000010000" w:firstRow="0" w:lastRow="0" w:firstColumn="0" w:lastColumn="0" w:oddVBand="0" w:evenVBand="0" w:oddHBand="0" w:evenHBand="1" w:firstRowFirstColumn="0" w:firstRowLastColumn="0" w:lastRowFirstColumn="0" w:lastRowLastColumn="0"/>
          <w:trHeight w:val="510"/>
        </w:trPr>
        <w:tc>
          <w:tcPr>
            <w:tcW w:w="756" w:type="pct"/>
            <w:tcBorders>
              <w:top w:val="nil"/>
              <w:bottom w:val="single" w:sz="4" w:space="0" w:color="auto"/>
            </w:tcBorders>
            <w:vAlign w:val="center"/>
          </w:tcPr>
          <w:p w:rsidR="00A6220B" w:rsidRDefault="00A6220B">
            <w:pPr>
              <w:rPr>
                <w:rFonts w:cs="Arial"/>
                <w:sz w:val="16"/>
                <w:szCs w:val="16"/>
              </w:rPr>
            </w:pPr>
            <w:r>
              <w:rPr>
                <w:rFonts w:cs="Arial"/>
                <w:sz w:val="16"/>
                <w:szCs w:val="16"/>
              </w:rPr>
              <w:t>% change from previous financial YTD</w:t>
            </w:r>
          </w:p>
        </w:tc>
        <w:tc>
          <w:tcPr>
            <w:tcW w:w="388"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37</w:t>
            </w:r>
          </w:p>
        </w:tc>
        <w:tc>
          <w:tcPr>
            <w:tcW w:w="325"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0</w:t>
            </w:r>
          </w:p>
        </w:tc>
        <w:tc>
          <w:tcPr>
            <w:tcW w:w="393"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47</w:t>
            </w:r>
          </w:p>
        </w:tc>
        <w:tc>
          <w:tcPr>
            <w:tcW w:w="314"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-2</w:t>
            </w:r>
          </w:p>
        </w:tc>
        <w:tc>
          <w:tcPr>
            <w:tcW w:w="392"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52</w:t>
            </w:r>
          </w:p>
        </w:tc>
        <w:tc>
          <w:tcPr>
            <w:tcW w:w="314"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-4</w:t>
            </w:r>
          </w:p>
        </w:tc>
        <w:tc>
          <w:tcPr>
            <w:tcW w:w="392"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104</w:t>
            </w:r>
          </w:p>
        </w:tc>
        <w:tc>
          <w:tcPr>
            <w:tcW w:w="314"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-35</w:t>
            </w:r>
          </w:p>
        </w:tc>
        <w:tc>
          <w:tcPr>
            <w:tcW w:w="393"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60</w:t>
            </w:r>
          </w:p>
        </w:tc>
        <w:tc>
          <w:tcPr>
            <w:tcW w:w="393"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137</w:t>
            </w:r>
          </w:p>
        </w:tc>
        <w:tc>
          <w:tcPr>
            <w:tcW w:w="235"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w:t>
            </w:r>
          </w:p>
        </w:tc>
        <w:tc>
          <w:tcPr>
            <w:tcW w:w="393" w:type="pct"/>
            <w:tcBorders>
              <w:top w:val="nil"/>
              <w:bottom w:val="single" w:sz="4" w:space="0" w:color="auto"/>
            </w:tcBorders>
            <w:vAlign w:val="center"/>
          </w:tcPr>
          <w:p w:rsidR="00A6220B" w:rsidRPr="00A6220B" w:rsidRDefault="00A6220B">
            <w:pPr>
              <w:jc w:val="center"/>
              <w:rPr>
                <w:rFonts w:cs="Arial"/>
                <w:sz w:val="18"/>
                <w:szCs w:val="20"/>
              </w:rPr>
            </w:pPr>
            <w:r w:rsidRPr="00A6220B">
              <w:rPr>
                <w:rFonts w:cs="Arial"/>
                <w:sz w:val="18"/>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177DBC">
        <w:fldChar w:fldCharType="begin"/>
      </w:r>
      <w:r w:rsidR="00177DBC">
        <w:instrText xml:space="preserve"> SEQ Figure \* ARABIC </w:instrText>
      </w:r>
      <w:r w:rsidR="00177DBC">
        <w:fldChar w:fldCharType="separate"/>
      </w:r>
      <w:r w:rsidR="00177DBC">
        <w:rPr>
          <w:noProof/>
        </w:rPr>
        <w:t>2</w:t>
      </w:r>
      <w:r w:rsidR="00177DBC">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A6220B" w:rsidP="001521CB">
      <w:r w:rsidRPr="00A6220B">
        <w:rPr>
          <w:noProof/>
          <w:lang w:eastAsia="en-AU"/>
        </w:rPr>
        <w:drawing>
          <wp:inline distT="0" distB="0" distL="0" distR="0" wp14:anchorId="666FA793" wp14:editId="647CA7D0">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ED704E" w:rsidRDefault="00ED704E" w:rsidP="00F26128">
      <w:pPr>
        <w:pStyle w:val="AERbodytext"/>
      </w:pP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177DBC">
        <w:fldChar w:fldCharType="begin"/>
      </w:r>
      <w:r w:rsidR="00177DBC">
        <w:instrText xml:space="preserve"> SEQ Figure \* ARABIC </w:instrText>
      </w:r>
      <w:r w:rsidR="00177DBC">
        <w:fldChar w:fldCharType="separate"/>
      </w:r>
      <w:r w:rsidR="00177DBC">
        <w:rPr>
          <w:noProof/>
        </w:rPr>
        <w:t>3</w:t>
      </w:r>
      <w:r w:rsidR="00177DBC">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A6220B" w:rsidRPr="00405CDE" w:rsidTr="00534DD9">
        <w:trPr>
          <w:trHeight w:val="510"/>
        </w:trPr>
        <w:tc>
          <w:tcPr>
            <w:tcW w:w="1585" w:type="pct"/>
            <w:tcBorders>
              <w:top w:val="nil"/>
              <w:bottom w:val="nil"/>
            </w:tcBorders>
            <w:vAlign w:val="center"/>
          </w:tcPr>
          <w:p w:rsidR="00A6220B" w:rsidRDefault="00A6220B">
            <w:pPr>
              <w:rPr>
                <w:rFonts w:cs="Arial"/>
                <w:sz w:val="16"/>
                <w:szCs w:val="16"/>
              </w:rPr>
            </w:pPr>
            <w:r>
              <w:rPr>
                <w:rFonts w:cs="Arial"/>
                <w:sz w:val="16"/>
                <w:szCs w:val="16"/>
              </w:rPr>
              <w:t>26 Jun - 02 Jul 2016</w:t>
            </w:r>
          </w:p>
        </w:tc>
        <w:tc>
          <w:tcPr>
            <w:tcW w:w="993" w:type="pct"/>
            <w:tcBorders>
              <w:top w:val="nil"/>
              <w:bottom w:val="nil"/>
            </w:tcBorders>
            <w:vAlign w:val="center"/>
          </w:tcPr>
          <w:p w:rsidR="00A6220B" w:rsidRDefault="00A6220B">
            <w:pPr>
              <w:jc w:val="center"/>
              <w:rPr>
                <w:rFonts w:cs="Arial"/>
                <w:sz w:val="20"/>
                <w:szCs w:val="20"/>
              </w:rPr>
            </w:pPr>
            <w:r>
              <w:rPr>
                <w:rFonts w:cs="Arial"/>
                <w:sz w:val="20"/>
                <w:szCs w:val="20"/>
              </w:rPr>
              <w:t>-</w:t>
            </w:r>
          </w:p>
        </w:tc>
        <w:tc>
          <w:tcPr>
            <w:tcW w:w="758" w:type="pct"/>
            <w:tcBorders>
              <w:top w:val="nil"/>
              <w:bottom w:val="nil"/>
            </w:tcBorders>
            <w:vAlign w:val="center"/>
          </w:tcPr>
          <w:p w:rsidR="00A6220B" w:rsidRDefault="00A6220B">
            <w:pPr>
              <w:jc w:val="center"/>
              <w:rPr>
                <w:rFonts w:cs="Arial"/>
                <w:sz w:val="20"/>
                <w:szCs w:val="20"/>
              </w:rPr>
            </w:pPr>
            <w:r>
              <w:rPr>
                <w:rFonts w:cs="Arial"/>
                <w:sz w:val="20"/>
                <w:szCs w:val="20"/>
              </w:rPr>
              <w:t>88.06</w:t>
            </w:r>
          </w:p>
        </w:tc>
        <w:tc>
          <w:tcPr>
            <w:tcW w:w="831" w:type="pct"/>
            <w:tcBorders>
              <w:top w:val="nil"/>
              <w:bottom w:val="nil"/>
            </w:tcBorders>
            <w:vAlign w:val="center"/>
          </w:tcPr>
          <w:p w:rsidR="00A6220B" w:rsidRDefault="00A6220B">
            <w:pPr>
              <w:jc w:val="center"/>
              <w:rPr>
                <w:rFonts w:cs="Arial"/>
                <w:sz w:val="20"/>
                <w:szCs w:val="20"/>
              </w:rPr>
            </w:pPr>
            <w:r>
              <w:rPr>
                <w:rFonts w:cs="Arial"/>
                <w:sz w:val="20"/>
                <w:szCs w:val="20"/>
              </w:rPr>
              <w:t>18.68</w:t>
            </w:r>
          </w:p>
        </w:tc>
        <w:tc>
          <w:tcPr>
            <w:tcW w:w="833" w:type="pct"/>
            <w:tcBorders>
              <w:top w:val="nil"/>
              <w:bottom w:val="nil"/>
            </w:tcBorders>
            <w:vAlign w:val="center"/>
          </w:tcPr>
          <w:p w:rsidR="00A6220B" w:rsidRDefault="00A6220B">
            <w:pPr>
              <w:jc w:val="center"/>
              <w:rPr>
                <w:rFonts w:cs="Arial"/>
                <w:sz w:val="20"/>
                <w:szCs w:val="20"/>
              </w:rPr>
            </w:pPr>
            <w:r>
              <w:rPr>
                <w:rFonts w:cs="Arial"/>
                <w:sz w:val="20"/>
                <w:szCs w:val="20"/>
              </w:rPr>
              <w:t>1.46</w:t>
            </w:r>
          </w:p>
        </w:tc>
      </w:tr>
      <w:tr w:rsidR="00A6220B"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A6220B" w:rsidRDefault="00A6220B">
            <w:pPr>
              <w:rPr>
                <w:rFonts w:cs="Arial"/>
                <w:sz w:val="16"/>
                <w:szCs w:val="16"/>
              </w:rPr>
            </w:pPr>
            <w:r>
              <w:rPr>
                <w:rFonts w:cs="Arial"/>
                <w:sz w:val="16"/>
                <w:szCs w:val="16"/>
              </w:rPr>
              <w:t>% change from previous week</w:t>
            </w:r>
          </w:p>
        </w:tc>
        <w:tc>
          <w:tcPr>
            <w:tcW w:w="993" w:type="pct"/>
            <w:tcBorders>
              <w:top w:val="nil"/>
              <w:bottom w:val="nil"/>
            </w:tcBorders>
            <w:vAlign w:val="center"/>
          </w:tcPr>
          <w:p w:rsidR="00A6220B" w:rsidRDefault="00A6220B">
            <w:pPr>
              <w:jc w:val="center"/>
              <w:rPr>
                <w:rFonts w:cs="Arial"/>
                <w:szCs w:val="20"/>
              </w:rPr>
            </w:pPr>
            <w:r>
              <w:rPr>
                <w:rFonts w:cs="Arial"/>
                <w:szCs w:val="20"/>
              </w:rPr>
              <w:t>-</w:t>
            </w:r>
          </w:p>
        </w:tc>
        <w:tc>
          <w:tcPr>
            <w:tcW w:w="758" w:type="pct"/>
            <w:tcBorders>
              <w:top w:val="nil"/>
              <w:bottom w:val="nil"/>
            </w:tcBorders>
            <w:vAlign w:val="center"/>
          </w:tcPr>
          <w:p w:rsidR="00A6220B" w:rsidRDefault="00A6220B">
            <w:pPr>
              <w:jc w:val="center"/>
              <w:rPr>
                <w:rFonts w:cs="Arial"/>
                <w:szCs w:val="20"/>
              </w:rPr>
            </w:pPr>
            <w:r>
              <w:rPr>
                <w:rFonts w:cs="Arial"/>
                <w:szCs w:val="20"/>
              </w:rPr>
              <w:t>127</w:t>
            </w:r>
          </w:p>
        </w:tc>
        <w:tc>
          <w:tcPr>
            <w:tcW w:w="831" w:type="pct"/>
            <w:tcBorders>
              <w:top w:val="nil"/>
              <w:bottom w:val="nil"/>
            </w:tcBorders>
            <w:vAlign w:val="center"/>
          </w:tcPr>
          <w:p w:rsidR="00A6220B" w:rsidRDefault="00A6220B">
            <w:pPr>
              <w:jc w:val="center"/>
              <w:rPr>
                <w:rFonts w:cs="Arial"/>
                <w:szCs w:val="20"/>
              </w:rPr>
            </w:pPr>
            <w:r>
              <w:rPr>
                <w:rFonts w:cs="Arial"/>
                <w:szCs w:val="20"/>
              </w:rPr>
              <w:t>-1</w:t>
            </w:r>
          </w:p>
        </w:tc>
        <w:tc>
          <w:tcPr>
            <w:tcW w:w="833" w:type="pct"/>
            <w:tcBorders>
              <w:top w:val="nil"/>
              <w:bottom w:val="nil"/>
            </w:tcBorders>
            <w:vAlign w:val="center"/>
          </w:tcPr>
          <w:p w:rsidR="00A6220B" w:rsidRDefault="00A6220B">
            <w:pPr>
              <w:jc w:val="center"/>
              <w:rPr>
                <w:rFonts w:cs="Arial"/>
                <w:szCs w:val="20"/>
              </w:rPr>
            </w:pPr>
            <w:r>
              <w:rPr>
                <w:rFonts w:cs="Arial"/>
                <w:szCs w:val="20"/>
              </w:rPr>
              <w:t>1</w:t>
            </w:r>
          </w:p>
        </w:tc>
      </w:tr>
      <w:tr w:rsidR="00A6220B" w:rsidRPr="00405CDE" w:rsidTr="00534DD9">
        <w:trPr>
          <w:trHeight w:val="510"/>
        </w:trPr>
        <w:tc>
          <w:tcPr>
            <w:tcW w:w="1585" w:type="pct"/>
            <w:tcBorders>
              <w:top w:val="nil"/>
              <w:bottom w:val="nil"/>
            </w:tcBorders>
            <w:vAlign w:val="center"/>
          </w:tcPr>
          <w:p w:rsidR="00A6220B" w:rsidRDefault="00A6220B">
            <w:pPr>
              <w:rPr>
                <w:rFonts w:cs="Arial"/>
                <w:sz w:val="16"/>
                <w:szCs w:val="16"/>
              </w:rPr>
            </w:pPr>
            <w:r>
              <w:rPr>
                <w:rFonts w:cs="Arial"/>
                <w:sz w:val="16"/>
                <w:szCs w:val="16"/>
              </w:rPr>
              <w:t>15-16 financial YTD</w:t>
            </w:r>
          </w:p>
        </w:tc>
        <w:tc>
          <w:tcPr>
            <w:tcW w:w="993" w:type="pct"/>
            <w:tcBorders>
              <w:top w:val="nil"/>
              <w:bottom w:val="nil"/>
            </w:tcBorders>
            <w:vAlign w:val="center"/>
          </w:tcPr>
          <w:p w:rsidR="00A6220B" w:rsidRDefault="00A6220B">
            <w:pPr>
              <w:jc w:val="center"/>
              <w:rPr>
                <w:rFonts w:cs="Arial"/>
                <w:sz w:val="20"/>
                <w:szCs w:val="20"/>
              </w:rPr>
            </w:pPr>
            <w:r>
              <w:rPr>
                <w:rFonts w:cs="Arial"/>
                <w:sz w:val="20"/>
                <w:szCs w:val="20"/>
              </w:rPr>
              <w:t> </w:t>
            </w:r>
          </w:p>
        </w:tc>
        <w:tc>
          <w:tcPr>
            <w:tcW w:w="758" w:type="pct"/>
            <w:tcBorders>
              <w:top w:val="nil"/>
              <w:bottom w:val="nil"/>
            </w:tcBorders>
            <w:vAlign w:val="center"/>
          </w:tcPr>
          <w:p w:rsidR="00A6220B" w:rsidRDefault="00A6220B">
            <w:pPr>
              <w:jc w:val="center"/>
              <w:rPr>
                <w:rFonts w:cs="Arial"/>
                <w:sz w:val="20"/>
                <w:szCs w:val="20"/>
              </w:rPr>
            </w:pPr>
            <w:r>
              <w:rPr>
                <w:rFonts w:cs="Arial"/>
                <w:sz w:val="20"/>
                <w:szCs w:val="20"/>
              </w:rPr>
              <w:t>28.06</w:t>
            </w:r>
          </w:p>
        </w:tc>
        <w:tc>
          <w:tcPr>
            <w:tcW w:w="831" w:type="pct"/>
            <w:tcBorders>
              <w:top w:val="nil"/>
              <w:bottom w:val="nil"/>
            </w:tcBorders>
            <w:vAlign w:val="center"/>
          </w:tcPr>
          <w:p w:rsidR="00A6220B" w:rsidRDefault="00A6220B">
            <w:pPr>
              <w:jc w:val="center"/>
              <w:rPr>
                <w:rFonts w:cs="Arial"/>
                <w:sz w:val="20"/>
                <w:szCs w:val="20"/>
              </w:rPr>
            </w:pPr>
            <w:r>
              <w:rPr>
                <w:rFonts w:cs="Arial"/>
                <w:sz w:val="20"/>
                <w:szCs w:val="20"/>
              </w:rPr>
              <w:t>11.36</w:t>
            </w:r>
          </w:p>
        </w:tc>
        <w:tc>
          <w:tcPr>
            <w:tcW w:w="833" w:type="pct"/>
            <w:tcBorders>
              <w:top w:val="nil"/>
              <w:bottom w:val="nil"/>
            </w:tcBorders>
            <w:vAlign w:val="center"/>
          </w:tcPr>
          <w:p w:rsidR="00A6220B" w:rsidRDefault="00A6220B">
            <w:pPr>
              <w:jc w:val="center"/>
              <w:rPr>
                <w:rFonts w:cs="Arial"/>
                <w:sz w:val="20"/>
                <w:szCs w:val="20"/>
              </w:rPr>
            </w:pPr>
            <w:r>
              <w:rPr>
                <w:rFonts w:cs="Arial"/>
                <w:sz w:val="20"/>
                <w:szCs w:val="20"/>
              </w:rPr>
              <w:t>1.54</w:t>
            </w:r>
          </w:p>
        </w:tc>
      </w:tr>
      <w:tr w:rsidR="00A6220B"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A6220B" w:rsidRDefault="00A6220B">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A6220B" w:rsidRDefault="00A6220B">
            <w:pPr>
              <w:jc w:val="center"/>
              <w:rPr>
                <w:rFonts w:cs="Arial"/>
                <w:szCs w:val="20"/>
              </w:rPr>
            </w:pPr>
            <w:r>
              <w:rPr>
                <w:rFonts w:cs="Arial"/>
                <w:szCs w:val="20"/>
              </w:rPr>
              <w:t> </w:t>
            </w:r>
          </w:p>
        </w:tc>
        <w:tc>
          <w:tcPr>
            <w:tcW w:w="758" w:type="pct"/>
            <w:tcBorders>
              <w:top w:val="nil"/>
              <w:bottom w:val="single" w:sz="4" w:space="0" w:color="auto"/>
            </w:tcBorders>
            <w:vAlign w:val="center"/>
          </w:tcPr>
          <w:p w:rsidR="00A6220B" w:rsidRDefault="00A6220B">
            <w:pPr>
              <w:jc w:val="center"/>
              <w:rPr>
                <w:rFonts w:cs="Arial"/>
                <w:szCs w:val="20"/>
              </w:rPr>
            </w:pPr>
            <w:r>
              <w:rPr>
                <w:rFonts w:cs="Arial"/>
                <w:szCs w:val="20"/>
              </w:rPr>
              <w:t>67</w:t>
            </w:r>
          </w:p>
        </w:tc>
        <w:tc>
          <w:tcPr>
            <w:tcW w:w="831" w:type="pct"/>
            <w:tcBorders>
              <w:top w:val="nil"/>
              <w:bottom w:val="single" w:sz="4" w:space="0" w:color="auto"/>
            </w:tcBorders>
            <w:vAlign w:val="center"/>
          </w:tcPr>
          <w:p w:rsidR="00A6220B" w:rsidRDefault="00A6220B">
            <w:pPr>
              <w:jc w:val="center"/>
              <w:rPr>
                <w:rFonts w:cs="Arial"/>
                <w:szCs w:val="20"/>
              </w:rPr>
            </w:pPr>
            <w:r>
              <w:rPr>
                <w:rFonts w:cs="Arial"/>
                <w:szCs w:val="20"/>
              </w:rPr>
              <w:t>-14</w:t>
            </w:r>
          </w:p>
        </w:tc>
        <w:tc>
          <w:tcPr>
            <w:tcW w:w="833" w:type="pct"/>
            <w:tcBorders>
              <w:top w:val="nil"/>
              <w:bottom w:val="single" w:sz="4" w:space="0" w:color="auto"/>
            </w:tcBorders>
            <w:vAlign w:val="center"/>
          </w:tcPr>
          <w:p w:rsidR="00A6220B" w:rsidRDefault="00A6220B">
            <w:pPr>
              <w:jc w:val="center"/>
              <w:rPr>
                <w:rFonts w:cs="Arial"/>
                <w:szCs w:val="20"/>
              </w:rPr>
            </w:pPr>
            <w:r>
              <w:rPr>
                <w:rFonts w:cs="Arial"/>
                <w:szCs w:val="20"/>
              </w:rPr>
              <w:t>-13</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177DBC">
        <w:fldChar w:fldCharType="begin"/>
      </w:r>
      <w:r w:rsidR="00177DBC">
        <w:instrText xml:space="preserve"> SEQ Figure \* ARABIC </w:instrText>
      </w:r>
      <w:r w:rsidR="00177DBC">
        <w:fldChar w:fldCharType="separate"/>
      </w:r>
      <w:r w:rsidR="00177DBC">
        <w:rPr>
          <w:noProof/>
        </w:rPr>
        <w:t>4</w:t>
      </w:r>
      <w:r w:rsidR="00177DBC">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DC38DB">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DC38DB">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DC38DB">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DC38DB">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DC38DB">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DC38DB">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DC38DB">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DC38DB">
            <w:pPr>
              <w:jc w:val="center"/>
              <w:rPr>
                <w:rFonts w:cs="Arial"/>
                <w:bCs/>
                <w:color w:val="FFFFFF"/>
                <w:sz w:val="14"/>
                <w:szCs w:val="20"/>
                <w:highlight w:val="cyan"/>
              </w:rPr>
            </w:pPr>
            <w:r>
              <w:rPr>
                <w:rFonts w:cs="Arial"/>
                <w:bCs/>
                <w:color w:val="FFFFFF"/>
                <w:sz w:val="14"/>
                <w:szCs w:val="20"/>
              </w:rPr>
              <w:t>Quantity</w:t>
            </w:r>
          </w:p>
        </w:tc>
      </w:tr>
      <w:tr w:rsidR="00A6220B" w:rsidRPr="006A7228" w:rsidTr="00B302BF">
        <w:trPr>
          <w:trHeight w:val="510"/>
        </w:trPr>
        <w:tc>
          <w:tcPr>
            <w:tcW w:w="932" w:type="pct"/>
            <w:tcBorders>
              <w:top w:val="nil"/>
              <w:bottom w:val="nil"/>
            </w:tcBorders>
            <w:vAlign w:val="center"/>
          </w:tcPr>
          <w:p w:rsidR="00A6220B" w:rsidRDefault="00A6220B">
            <w:pPr>
              <w:rPr>
                <w:rFonts w:cs="Arial"/>
                <w:b/>
                <w:bCs/>
                <w:sz w:val="20"/>
                <w:szCs w:val="20"/>
              </w:rPr>
            </w:pPr>
            <w:r>
              <w:rPr>
                <w:rFonts w:cs="Arial"/>
                <w:b/>
                <w:bCs/>
                <w:sz w:val="20"/>
                <w:szCs w:val="20"/>
              </w:rPr>
              <w:t>Balance of day</w:t>
            </w:r>
          </w:p>
        </w:tc>
        <w:tc>
          <w:tcPr>
            <w:tcW w:w="350" w:type="pct"/>
            <w:tcBorders>
              <w:top w:val="nil"/>
              <w:bottom w:val="nil"/>
            </w:tcBorders>
            <w:vAlign w:val="center"/>
          </w:tcPr>
          <w:p w:rsidR="00A6220B" w:rsidRPr="00972AA9" w:rsidRDefault="00A6220B">
            <w:pPr>
              <w:jc w:val="center"/>
              <w:rPr>
                <w:rFonts w:cs="Arial"/>
                <w:szCs w:val="20"/>
              </w:rPr>
            </w:pPr>
            <w:r w:rsidRPr="00972AA9">
              <w:rPr>
                <w:rFonts w:cs="Arial"/>
                <w:szCs w:val="20"/>
              </w:rPr>
              <w:t>9.00</w:t>
            </w:r>
          </w:p>
        </w:tc>
        <w:tc>
          <w:tcPr>
            <w:tcW w:w="445" w:type="pct"/>
            <w:tcBorders>
              <w:top w:val="nil"/>
              <w:bottom w:val="nil"/>
            </w:tcBorders>
            <w:vAlign w:val="center"/>
          </w:tcPr>
          <w:p w:rsidR="00A6220B" w:rsidRPr="00972AA9" w:rsidRDefault="00A6220B">
            <w:pPr>
              <w:jc w:val="center"/>
              <w:rPr>
                <w:rFonts w:cs="Arial"/>
                <w:szCs w:val="20"/>
              </w:rPr>
            </w:pPr>
            <w:r w:rsidRPr="00972AA9">
              <w:rPr>
                <w:rFonts w:cs="Arial"/>
                <w:szCs w:val="20"/>
              </w:rPr>
              <w:t>5.0</w:t>
            </w:r>
          </w:p>
        </w:tc>
        <w:tc>
          <w:tcPr>
            <w:tcW w:w="400" w:type="pct"/>
            <w:tcBorders>
              <w:top w:val="nil"/>
              <w:bottom w:val="nil"/>
            </w:tcBorders>
            <w:vAlign w:val="center"/>
          </w:tcPr>
          <w:p w:rsidR="00A6220B" w:rsidRPr="00972AA9" w:rsidRDefault="00A6220B">
            <w:pPr>
              <w:jc w:val="center"/>
              <w:rPr>
                <w:rFonts w:cs="Arial"/>
                <w:szCs w:val="20"/>
              </w:rPr>
            </w:pPr>
            <w:r w:rsidRPr="00972AA9">
              <w:rPr>
                <w:rFonts w:cs="Arial"/>
                <w:szCs w:val="20"/>
              </w:rPr>
              <w:t>10.50</w:t>
            </w:r>
          </w:p>
        </w:tc>
        <w:tc>
          <w:tcPr>
            <w:tcW w:w="441" w:type="pct"/>
            <w:tcBorders>
              <w:top w:val="nil"/>
              <w:bottom w:val="nil"/>
            </w:tcBorders>
            <w:vAlign w:val="center"/>
          </w:tcPr>
          <w:p w:rsidR="00A6220B" w:rsidRPr="00972AA9" w:rsidRDefault="00A6220B">
            <w:pPr>
              <w:jc w:val="center"/>
              <w:rPr>
                <w:rFonts w:cs="Arial"/>
                <w:szCs w:val="20"/>
              </w:rPr>
            </w:pPr>
            <w:r w:rsidRPr="00972AA9">
              <w:rPr>
                <w:rFonts w:cs="Arial"/>
                <w:szCs w:val="20"/>
              </w:rPr>
              <w:t>16.0</w:t>
            </w:r>
          </w:p>
        </w:tc>
        <w:tc>
          <w:tcPr>
            <w:tcW w:w="355"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2"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05"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1"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349"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0"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r>
      <w:tr w:rsidR="00A6220B"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A6220B" w:rsidRDefault="00A6220B">
            <w:pPr>
              <w:rPr>
                <w:rFonts w:cs="Arial"/>
                <w:b/>
                <w:bCs/>
                <w:szCs w:val="20"/>
              </w:rPr>
            </w:pPr>
            <w:r>
              <w:rPr>
                <w:rFonts w:cs="Arial"/>
                <w:b/>
                <w:bCs/>
                <w:szCs w:val="20"/>
              </w:rPr>
              <w:t>Daily</w:t>
            </w:r>
          </w:p>
        </w:tc>
        <w:tc>
          <w:tcPr>
            <w:tcW w:w="35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0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12.63</w:t>
            </w:r>
          </w:p>
        </w:tc>
        <w:tc>
          <w:tcPr>
            <w:tcW w:w="441"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40.0</w:t>
            </w:r>
          </w:p>
        </w:tc>
        <w:tc>
          <w:tcPr>
            <w:tcW w:w="35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2"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0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1"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349"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r>
      <w:tr w:rsidR="00A6220B" w:rsidRPr="006A7228" w:rsidTr="00B302BF">
        <w:trPr>
          <w:trHeight w:val="510"/>
        </w:trPr>
        <w:tc>
          <w:tcPr>
            <w:tcW w:w="932" w:type="pct"/>
            <w:tcBorders>
              <w:top w:val="nil"/>
              <w:bottom w:val="nil"/>
            </w:tcBorders>
            <w:vAlign w:val="center"/>
          </w:tcPr>
          <w:p w:rsidR="00A6220B" w:rsidRDefault="00A6220B">
            <w:pPr>
              <w:rPr>
                <w:rFonts w:cs="Arial"/>
                <w:b/>
                <w:bCs/>
                <w:sz w:val="20"/>
                <w:szCs w:val="20"/>
              </w:rPr>
            </w:pPr>
            <w:r>
              <w:rPr>
                <w:rFonts w:cs="Arial"/>
                <w:b/>
                <w:bCs/>
                <w:sz w:val="20"/>
                <w:szCs w:val="20"/>
              </w:rPr>
              <w:t>Day ahead</w:t>
            </w:r>
          </w:p>
        </w:tc>
        <w:tc>
          <w:tcPr>
            <w:tcW w:w="350" w:type="pct"/>
            <w:tcBorders>
              <w:top w:val="nil"/>
              <w:bottom w:val="nil"/>
            </w:tcBorders>
            <w:vAlign w:val="center"/>
          </w:tcPr>
          <w:p w:rsidR="00A6220B" w:rsidRPr="00972AA9" w:rsidRDefault="00A6220B" w:rsidP="00972AA9">
            <w:pPr>
              <w:ind w:left="-105" w:right="-53"/>
              <w:jc w:val="center"/>
              <w:rPr>
                <w:rFonts w:cs="Arial"/>
                <w:szCs w:val="20"/>
              </w:rPr>
            </w:pPr>
            <w:r w:rsidRPr="00972AA9">
              <w:rPr>
                <w:rFonts w:cs="Arial"/>
                <w:szCs w:val="20"/>
              </w:rPr>
              <w:t>10.17</w:t>
            </w:r>
          </w:p>
        </w:tc>
        <w:tc>
          <w:tcPr>
            <w:tcW w:w="445" w:type="pct"/>
            <w:tcBorders>
              <w:top w:val="nil"/>
              <w:bottom w:val="nil"/>
            </w:tcBorders>
            <w:vAlign w:val="center"/>
          </w:tcPr>
          <w:p w:rsidR="00A6220B" w:rsidRPr="00972AA9" w:rsidRDefault="00A6220B">
            <w:pPr>
              <w:jc w:val="center"/>
              <w:rPr>
                <w:rFonts w:cs="Arial"/>
                <w:szCs w:val="20"/>
              </w:rPr>
            </w:pPr>
            <w:r w:rsidRPr="00972AA9">
              <w:rPr>
                <w:rFonts w:cs="Arial"/>
                <w:szCs w:val="20"/>
              </w:rPr>
              <w:t>21.0</w:t>
            </w:r>
          </w:p>
        </w:tc>
        <w:tc>
          <w:tcPr>
            <w:tcW w:w="400" w:type="pct"/>
            <w:tcBorders>
              <w:top w:val="nil"/>
              <w:bottom w:val="nil"/>
            </w:tcBorders>
            <w:vAlign w:val="center"/>
          </w:tcPr>
          <w:p w:rsidR="00A6220B" w:rsidRPr="00972AA9" w:rsidRDefault="00A6220B">
            <w:pPr>
              <w:jc w:val="center"/>
              <w:rPr>
                <w:rFonts w:cs="Arial"/>
                <w:szCs w:val="20"/>
              </w:rPr>
            </w:pPr>
            <w:r w:rsidRPr="00972AA9">
              <w:rPr>
                <w:rFonts w:cs="Arial"/>
                <w:szCs w:val="20"/>
              </w:rPr>
              <w:t>11.74</w:t>
            </w:r>
          </w:p>
        </w:tc>
        <w:tc>
          <w:tcPr>
            <w:tcW w:w="441" w:type="pct"/>
            <w:tcBorders>
              <w:top w:val="nil"/>
              <w:bottom w:val="nil"/>
            </w:tcBorders>
            <w:vAlign w:val="center"/>
          </w:tcPr>
          <w:p w:rsidR="00A6220B" w:rsidRPr="00972AA9" w:rsidRDefault="00A6220B">
            <w:pPr>
              <w:jc w:val="center"/>
              <w:rPr>
                <w:rFonts w:cs="Arial"/>
                <w:szCs w:val="20"/>
              </w:rPr>
            </w:pPr>
            <w:r w:rsidRPr="00972AA9">
              <w:rPr>
                <w:rFonts w:cs="Arial"/>
                <w:szCs w:val="20"/>
              </w:rPr>
              <w:t>121.0</w:t>
            </w:r>
          </w:p>
        </w:tc>
        <w:tc>
          <w:tcPr>
            <w:tcW w:w="355"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2"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05"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1"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349"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c>
          <w:tcPr>
            <w:tcW w:w="440" w:type="pct"/>
            <w:tcBorders>
              <w:top w:val="nil"/>
              <w:bottom w:val="nil"/>
            </w:tcBorders>
            <w:vAlign w:val="center"/>
          </w:tcPr>
          <w:p w:rsidR="00A6220B" w:rsidRPr="00972AA9" w:rsidRDefault="00A6220B">
            <w:pPr>
              <w:jc w:val="center"/>
              <w:rPr>
                <w:rFonts w:cs="Arial"/>
                <w:szCs w:val="20"/>
              </w:rPr>
            </w:pPr>
            <w:r w:rsidRPr="00972AA9">
              <w:rPr>
                <w:rFonts w:cs="Arial"/>
                <w:szCs w:val="20"/>
              </w:rPr>
              <w:t>-</w:t>
            </w:r>
          </w:p>
        </w:tc>
      </w:tr>
      <w:tr w:rsidR="00A6220B"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A6220B" w:rsidRDefault="00A6220B">
            <w:pPr>
              <w:rPr>
                <w:rFonts w:cs="Arial"/>
                <w:b/>
                <w:bCs/>
                <w:szCs w:val="20"/>
              </w:rPr>
            </w:pPr>
            <w:r>
              <w:rPr>
                <w:rFonts w:cs="Arial"/>
                <w:b/>
                <w:bCs/>
                <w:szCs w:val="20"/>
              </w:rPr>
              <w:t>Weekly</w:t>
            </w:r>
          </w:p>
        </w:tc>
        <w:tc>
          <w:tcPr>
            <w:tcW w:w="35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0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1"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35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2"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05"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1"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349"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c>
          <w:tcPr>
            <w:tcW w:w="440" w:type="pct"/>
            <w:tcBorders>
              <w:top w:val="nil"/>
              <w:bottom w:val="nil"/>
            </w:tcBorders>
            <w:vAlign w:val="center"/>
          </w:tcPr>
          <w:p w:rsidR="00A6220B" w:rsidRPr="00972AA9" w:rsidRDefault="00A6220B">
            <w:pPr>
              <w:jc w:val="center"/>
              <w:rPr>
                <w:rFonts w:cs="Arial"/>
                <w:sz w:val="18"/>
                <w:szCs w:val="20"/>
              </w:rPr>
            </w:pPr>
            <w:r w:rsidRPr="00972AA9">
              <w:rPr>
                <w:rFonts w:cs="Arial"/>
                <w:sz w:val="18"/>
                <w:szCs w:val="20"/>
              </w:rPr>
              <w:t>-</w:t>
            </w:r>
          </w:p>
        </w:tc>
      </w:tr>
      <w:tr w:rsidR="00A6220B" w:rsidRPr="006A7228" w:rsidTr="00B302BF">
        <w:trPr>
          <w:trHeight w:val="510"/>
        </w:trPr>
        <w:tc>
          <w:tcPr>
            <w:tcW w:w="932" w:type="pct"/>
            <w:tcBorders>
              <w:top w:val="nil"/>
              <w:bottom w:val="single" w:sz="4" w:space="0" w:color="auto"/>
            </w:tcBorders>
            <w:vAlign w:val="center"/>
          </w:tcPr>
          <w:p w:rsidR="00A6220B" w:rsidRDefault="00A6220B">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45"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00"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41"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355"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42"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05"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41"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349"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c>
          <w:tcPr>
            <w:tcW w:w="440" w:type="pct"/>
            <w:tcBorders>
              <w:top w:val="nil"/>
              <w:bottom w:val="single" w:sz="4" w:space="0" w:color="auto"/>
            </w:tcBorders>
            <w:vAlign w:val="center"/>
          </w:tcPr>
          <w:p w:rsidR="00A6220B" w:rsidRPr="00972AA9" w:rsidRDefault="00A6220B">
            <w:pPr>
              <w:jc w:val="center"/>
              <w:rPr>
                <w:rFonts w:cs="Arial"/>
                <w:szCs w:val="20"/>
              </w:rPr>
            </w:pPr>
            <w:r w:rsidRPr="00972AA9">
              <w:rPr>
                <w:rFonts w:cs="Arial"/>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177DBC">
        <w:fldChar w:fldCharType="begin"/>
      </w:r>
      <w:r w:rsidR="00177DBC">
        <w:instrText xml:space="preserve"> SEQ Figure \* ARABIC </w:instrText>
      </w:r>
      <w:r w:rsidR="00177DBC">
        <w:fldChar w:fldCharType="separate"/>
      </w:r>
      <w:r w:rsidR="00177DBC">
        <w:rPr>
          <w:noProof/>
        </w:rPr>
        <w:t>5</w:t>
      </w:r>
      <w:r w:rsidR="00177DBC">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p>
    <w:p w:rsidR="001934E9" w:rsidRPr="00E16EDC" w:rsidRDefault="00972AA9" w:rsidP="00E16EDC">
      <w:r w:rsidRPr="00972AA9">
        <w:rPr>
          <w:noProof/>
          <w:lang w:eastAsia="en-AU"/>
        </w:rPr>
        <w:drawing>
          <wp:inline distT="0" distB="0" distL="0" distR="0" wp14:anchorId="1D3EC89B" wp14:editId="0CA2A752">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AB13B2" w:rsidRPr="00CB38A5" w:rsidRDefault="00AB13B2" w:rsidP="00AB13B2">
      <w:pPr>
        <w:keepNext/>
        <w:rPr>
          <w:b/>
          <w:i/>
        </w:rPr>
      </w:pPr>
      <w:r w:rsidRPr="00CB38A5">
        <w:rPr>
          <w:b/>
          <w:i/>
        </w:rPr>
        <w:t>Significant price variations (Adelaide, Brisbane, Sydney and Victoria)</w:t>
      </w:r>
    </w:p>
    <w:p w:rsidR="00AB13B2" w:rsidRDefault="00AB13B2" w:rsidP="00AB13B2">
      <w:pPr>
        <w:jc w:val="both"/>
      </w:pPr>
      <w:r>
        <w:t>On gas days from Sunday 26 June to Tuesday 28 June and Thursday 30 June to Saturday 2 July, a number of significant price variation (SPV) triggers were exceeded in the Adelaide, Brisbane and Sydney STTMs and the Victorian gas market:</w:t>
      </w:r>
    </w:p>
    <w:p w:rsidR="00AB13B2" w:rsidRDefault="00AB13B2" w:rsidP="00AB13B2">
      <w:pPr>
        <w:pStyle w:val="ListParagraph"/>
        <w:numPr>
          <w:ilvl w:val="0"/>
          <w:numId w:val="35"/>
        </w:numPr>
        <w:jc w:val="both"/>
      </w:pPr>
      <w:r>
        <w:t>26 June, Sydney, $7.78 variation between the D-1 and D+1 schedule prices.</w:t>
      </w:r>
    </w:p>
    <w:p w:rsidR="00AB13B2" w:rsidRDefault="00AB13B2" w:rsidP="00AB13B2">
      <w:pPr>
        <w:pStyle w:val="ListParagraph"/>
        <w:numPr>
          <w:ilvl w:val="0"/>
          <w:numId w:val="35"/>
        </w:numPr>
        <w:jc w:val="both"/>
      </w:pPr>
      <w:r>
        <w:t>27 June, Sydney</w:t>
      </w:r>
      <w:r w:rsidR="00BF4E4A">
        <w:t>,</w:t>
      </w:r>
      <w:r>
        <w:t xml:space="preserve"> $12.40 variation between the D-1 and D+1 schedule prices.</w:t>
      </w:r>
    </w:p>
    <w:p w:rsidR="00AB13B2" w:rsidRDefault="00AB13B2" w:rsidP="00AB13B2">
      <w:pPr>
        <w:pStyle w:val="ListParagraph"/>
        <w:numPr>
          <w:ilvl w:val="0"/>
          <w:numId w:val="35"/>
        </w:numPr>
        <w:jc w:val="both"/>
      </w:pPr>
      <w:r>
        <w:lastRenderedPageBreak/>
        <w:t>27 June, Sydney</w:t>
      </w:r>
      <w:r w:rsidR="00BF4E4A">
        <w:t>,</w:t>
      </w:r>
      <w:r>
        <w:t xml:space="preserve"> $24.50/GJ ex post (D+1) price.</w:t>
      </w:r>
    </w:p>
    <w:p w:rsidR="00AB13B2" w:rsidRDefault="00AB13B2" w:rsidP="00AB13B2">
      <w:pPr>
        <w:pStyle w:val="ListParagraph"/>
        <w:numPr>
          <w:ilvl w:val="0"/>
          <w:numId w:val="35"/>
        </w:numPr>
        <w:jc w:val="both"/>
      </w:pPr>
      <w:r>
        <w:t>27 June, Victoria</w:t>
      </w:r>
      <w:r w:rsidR="00BF4E4A">
        <w:t>,</w:t>
      </w:r>
      <w:r>
        <w:t xml:space="preserve"> $25.74/GJ imbalance price.</w:t>
      </w:r>
    </w:p>
    <w:p w:rsidR="00AB13B2" w:rsidRDefault="00AB13B2" w:rsidP="00AB13B2">
      <w:pPr>
        <w:pStyle w:val="ListParagraph"/>
        <w:numPr>
          <w:ilvl w:val="0"/>
          <w:numId w:val="35"/>
        </w:numPr>
        <w:jc w:val="both"/>
      </w:pPr>
      <w:r>
        <w:t>28 June, Sydney</w:t>
      </w:r>
      <w:r w:rsidR="00BF4E4A">
        <w:t>,</w:t>
      </w:r>
      <w:r>
        <w:t xml:space="preserve"> $7.68 variation between the D-2 and D-1 schedule prices.</w:t>
      </w:r>
    </w:p>
    <w:p w:rsidR="00AB13B2" w:rsidRDefault="00AB13B2" w:rsidP="00AB13B2">
      <w:pPr>
        <w:pStyle w:val="ListParagraph"/>
        <w:numPr>
          <w:ilvl w:val="0"/>
          <w:numId w:val="35"/>
        </w:numPr>
        <w:jc w:val="both"/>
      </w:pPr>
      <w:r>
        <w:t>28 June, Sydney</w:t>
      </w:r>
      <w:r w:rsidR="00BF4E4A">
        <w:t>,</w:t>
      </w:r>
      <w:r>
        <w:t xml:space="preserve"> $11.32 variation between the D-1 and D+1 schedule prices.</w:t>
      </w:r>
    </w:p>
    <w:p w:rsidR="00AB13B2" w:rsidRDefault="00AB13B2" w:rsidP="00AB13B2">
      <w:pPr>
        <w:pStyle w:val="ListParagraph"/>
        <w:numPr>
          <w:ilvl w:val="0"/>
          <w:numId w:val="35"/>
        </w:numPr>
        <w:jc w:val="both"/>
      </w:pPr>
      <w:r>
        <w:t>28 June, Sydney</w:t>
      </w:r>
      <w:r w:rsidR="00BF4E4A">
        <w:t>,</w:t>
      </w:r>
      <w:r>
        <w:t xml:space="preserve"> $29/GJ ex post (D+1) price.</w:t>
      </w:r>
    </w:p>
    <w:p w:rsidR="00AB13B2" w:rsidRDefault="00AB13B2" w:rsidP="00AB13B2">
      <w:pPr>
        <w:pStyle w:val="ListParagraph"/>
        <w:numPr>
          <w:ilvl w:val="0"/>
          <w:numId w:val="35"/>
        </w:numPr>
        <w:jc w:val="both"/>
      </w:pPr>
      <w:r>
        <w:t>30 June, Sydney</w:t>
      </w:r>
      <w:r w:rsidR="00BF4E4A">
        <w:t>,</w:t>
      </w:r>
      <w:r>
        <w:t xml:space="preserve"> $16.66 variation between the D-2 and D-1 schedule prices.</w:t>
      </w:r>
    </w:p>
    <w:p w:rsidR="00AB13B2" w:rsidRDefault="00AB13B2" w:rsidP="00AB13B2">
      <w:pPr>
        <w:pStyle w:val="ListParagraph"/>
        <w:numPr>
          <w:ilvl w:val="0"/>
          <w:numId w:val="35"/>
        </w:numPr>
        <w:jc w:val="both"/>
      </w:pPr>
      <w:r>
        <w:t>30 June, Sydney</w:t>
      </w:r>
      <w:r w:rsidR="00BF4E4A">
        <w:t>,</w:t>
      </w:r>
      <w:r>
        <w:t xml:space="preserve"> $28.81/GJ ex ante (D-1) price.</w:t>
      </w:r>
    </w:p>
    <w:p w:rsidR="00AB13B2" w:rsidRDefault="00AB13B2" w:rsidP="00AB13B2">
      <w:pPr>
        <w:pStyle w:val="ListParagraph"/>
        <w:numPr>
          <w:ilvl w:val="0"/>
          <w:numId w:val="35"/>
        </w:numPr>
        <w:jc w:val="both"/>
      </w:pPr>
      <w:r>
        <w:t>30 June, Brisbane</w:t>
      </w:r>
      <w:r w:rsidR="00BF4E4A">
        <w:t>,</w:t>
      </w:r>
      <w:r>
        <w:t xml:space="preserve"> $8.84 variation between the D-1 and D+1 schedule prices.</w:t>
      </w:r>
    </w:p>
    <w:p w:rsidR="00AB13B2" w:rsidRPr="009F40E6" w:rsidRDefault="00AB13B2" w:rsidP="00AB13B2">
      <w:pPr>
        <w:pStyle w:val="ListParagraph"/>
        <w:numPr>
          <w:ilvl w:val="0"/>
          <w:numId w:val="35"/>
        </w:numPr>
        <w:jc w:val="both"/>
      </w:pPr>
      <w:r w:rsidRPr="00D40948">
        <w:t>1 July, Sydney</w:t>
      </w:r>
      <w:r w:rsidR="00BF4E4A" w:rsidRPr="002300C5">
        <w:t>,</w:t>
      </w:r>
      <w:r w:rsidRPr="009F40E6">
        <w:t xml:space="preserve"> $257 440 MOS service cost.</w:t>
      </w:r>
    </w:p>
    <w:p w:rsidR="00AB13B2" w:rsidRDefault="00AB13B2" w:rsidP="00AB13B2">
      <w:pPr>
        <w:pStyle w:val="ListParagraph"/>
        <w:numPr>
          <w:ilvl w:val="0"/>
          <w:numId w:val="35"/>
        </w:numPr>
        <w:jc w:val="both"/>
      </w:pPr>
      <w:r>
        <w:t>2 July, Adelaide</w:t>
      </w:r>
      <w:r w:rsidR="00BF4E4A">
        <w:t>,</w:t>
      </w:r>
      <w:r>
        <w:t xml:space="preserve"> $14.39 variation between the D-2 and D-1 schedule prices.</w:t>
      </w:r>
    </w:p>
    <w:p w:rsidR="00AB13B2" w:rsidRDefault="00AB13B2" w:rsidP="00AB13B2">
      <w:pPr>
        <w:jc w:val="both"/>
      </w:pPr>
      <w:r w:rsidRPr="0009660F">
        <w:rPr>
          <w:rFonts w:cs="Arial"/>
        </w:rPr>
        <w:t>Under Rule</w:t>
      </w:r>
      <w:r>
        <w:rPr>
          <w:rFonts w:cs="Arial"/>
        </w:rPr>
        <w:t xml:space="preserve">s </w:t>
      </w:r>
      <w:r w:rsidRPr="00C27D75">
        <w:rPr>
          <w:rFonts w:cs="Arial"/>
        </w:rPr>
        <w:t>498 and 355 of the Gas Rules, the AER is required to identify and report on any significant price variations (</w:t>
      </w:r>
      <w:r w:rsidRPr="00C27D75">
        <w:rPr>
          <w:rFonts w:cs="Arial"/>
          <w:bCs/>
        </w:rPr>
        <w:t>SPV</w:t>
      </w:r>
      <w:r w:rsidRPr="00C27D75">
        <w:rPr>
          <w:rFonts w:cs="Arial"/>
        </w:rPr>
        <w:t xml:space="preserve">s) in the </w:t>
      </w:r>
      <w:r w:rsidRPr="00C27D75">
        <w:rPr>
          <w:bCs/>
        </w:rPr>
        <w:t xml:space="preserve">STTM and </w:t>
      </w:r>
      <w:r w:rsidRPr="00C27D75">
        <w:rPr>
          <w:rFonts w:cs="Arial"/>
        </w:rPr>
        <w:t xml:space="preserve">Victorian gas market, </w:t>
      </w:r>
      <w:r w:rsidRPr="00C27D75">
        <w:rPr>
          <w:bCs/>
        </w:rPr>
        <w:t>respectively</w:t>
      </w:r>
      <w:r w:rsidRPr="0009660F">
        <w:t>.</w:t>
      </w:r>
    </w:p>
    <w:p w:rsidR="00AB13B2" w:rsidRDefault="00AB13B2" w:rsidP="00AB13B2">
      <w:pPr>
        <w:jc w:val="both"/>
      </w:pPr>
      <w:r>
        <w:t>In the Victorian gas market, an SPV occurs when the Trade Weighted Market Price (imbalance price) published by AEMO on a gas day is more than three times the average price for the previous 30 days and is greater than or</w:t>
      </w:r>
      <w:r w:rsidRPr="00530D9C">
        <w:t xml:space="preserve"> </w:t>
      </w:r>
      <w:r>
        <w:t>equal to $15/GJ.</w:t>
      </w:r>
    </w:p>
    <w:p w:rsidR="00AB13B2" w:rsidRDefault="00AB13B2" w:rsidP="00AB13B2">
      <w:pPr>
        <w:jc w:val="both"/>
      </w:pPr>
      <w:r>
        <w:t>In the STTM, an SPV occurs when:</w:t>
      </w:r>
    </w:p>
    <w:p w:rsidR="00AB13B2" w:rsidRDefault="00AB13B2" w:rsidP="00AB13B2">
      <w:pPr>
        <w:pStyle w:val="ListParagraph"/>
        <w:numPr>
          <w:ilvl w:val="0"/>
          <w:numId w:val="36"/>
        </w:numPr>
        <w:jc w:val="both"/>
      </w:pPr>
      <w:r>
        <w:t>an ex ante (D-1) price or ex post (D+1) price is greater than three times the 30 day rolling average of that price and greater than $15/GJ.</w:t>
      </w:r>
    </w:p>
    <w:p w:rsidR="00AB13B2" w:rsidRDefault="00AB13B2" w:rsidP="00AB13B2">
      <w:pPr>
        <w:pStyle w:val="ListParagraph"/>
        <w:numPr>
          <w:ilvl w:val="0"/>
          <w:numId w:val="36"/>
        </w:numPr>
        <w:jc w:val="both"/>
      </w:pPr>
      <w:proofErr w:type="gramStart"/>
      <w:r>
        <w:t>there</w:t>
      </w:r>
      <w:proofErr w:type="gramEnd"/>
      <w:r>
        <w:t xml:space="preserve"> is a variation of greater than $7/GJ between either the D-2 provisional price and ex ante price, or the ex ante and the ex post price.</w:t>
      </w:r>
    </w:p>
    <w:p w:rsidR="00AB13B2" w:rsidRDefault="00AB13B2" w:rsidP="00AB13B2">
      <w:pPr>
        <w:pStyle w:val="ListParagraph"/>
        <w:numPr>
          <w:ilvl w:val="0"/>
          <w:numId w:val="36"/>
        </w:numPr>
        <w:jc w:val="both"/>
      </w:pPr>
      <w:proofErr w:type="gramStart"/>
      <w:r w:rsidRPr="00530D9C">
        <w:t>a</w:t>
      </w:r>
      <w:proofErr w:type="gramEnd"/>
      <w:r w:rsidRPr="00530D9C">
        <w:t xml:space="preserve"> MOS service payment exceeds $250 000</w:t>
      </w:r>
      <w:r>
        <w:t>.</w:t>
      </w:r>
    </w:p>
    <w:p w:rsidR="00ED704E" w:rsidRDefault="00ED704E" w:rsidP="00ED704E">
      <w:pPr>
        <w:spacing w:line="240" w:lineRule="auto"/>
      </w:pPr>
      <w:r w:rsidRPr="0009660F">
        <w:t xml:space="preserve">In accordance with the Gas Rules, we will publish a separate detailed report into the events leading to the </w:t>
      </w:r>
      <w:r>
        <w:t>significant price variations on the identified gas days</w:t>
      </w:r>
      <w:r w:rsidRPr="0009660F">
        <w:t>.</w:t>
      </w:r>
    </w:p>
    <w:p w:rsidR="003C2D77" w:rsidRDefault="003C2D77" w:rsidP="00AB13B2">
      <w:pPr>
        <w:jc w:val="both"/>
        <w:rPr>
          <w:b/>
          <w:i/>
        </w:rPr>
      </w:pPr>
    </w:p>
    <w:p w:rsidR="00ED704E" w:rsidRDefault="00ED704E" w:rsidP="00AB13B2">
      <w:pPr>
        <w:jc w:val="both"/>
        <w:rPr>
          <w:b/>
          <w:i/>
        </w:rPr>
      </w:pPr>
      <w:r w:rsidRPr="00CB38A5">
        <w:rPr>
          <w:b/>
          <w:i/>
        </w:rPr>
        <w:t>Preliminary analysis of significant prices</w:t>
      </w:r>
    </w:p>
    <w:p w:rsidR="00BB6887" w:rsidRPr="00A30F5B" w:rsidRDefault="00BB6887" w:rsidP="009970BF">
      <w:pPr>
        <w:jc w:val="both"/>
        <w:rPr>
          <w:i/>
        </w:rPr>
      </w:pPr>
      <w:r>
        <w:rPr>
          <w:i/>
        </w:rPr>
        <w:t>Pipeline f</w:t>
      </w:r>
      <w:r w:rsidRPr="00A30F5B">
        <w:rPr>
          <w:i/>
        </w:rPr>
        <w:t>lows between demand centres</w:t>
      </w:r>
    </w:p>
    <w:p w:rsidR="00BB6887" w:rsidRDefault="007C5515" w:rsidP="009970BF">
      <w:pPr>
        <w:jc w:val="both"/>
      </w:pPr>
      <w:r>
        <w:t xml:space="preserve">The </w:t>
      </w:r>
      <w:r w:rsidR="00BB6887">
        <w:t xml:space="preserve">NSW-Vic interconnect reversed direction to flow into Victoria on 27 June supplementing the high demand in the region, while flows on the QSN link into QLD ceased from 26 to 28 June. As demand in Victoria and Sydney increased from 24 June, the quantity of gas supply to the Sydney hub on the EGP decreased and more gas was provided on the MSP. Likewise, the quantity of supply to Adelaide on the </w:t>
      </w:r>
      <w:proofErr w:type="spellStart"/>
      <w:r w:rsidR="00BB6887">
        <w:t>SEAGas</w:t>
      </w:r>
      <w:proofErr w:type="spellEnd"/>
      <w:r w:rsidR="00BB6887">
        <w:t xml:space="preserve"> pipeline decreased from 24 to 26 June. This highlights the tight balance between supply from Victoria and demand across the markets.</w:t>
      </w:r>
    </w:p>
    <w:p w:rsidR="00BB6887" w:rsidRDefault="00BB6887" w:rsidP="009970BF">
      <w:pPr>
        <w:jc w:val="both"/>
      </w:pPr>
      <w:r>
        <w:t xml:space="preserve">On 28 and 29 June, an amber </w:t>
      </w:r>
      <w:proofErr w:type="spellStart"/>
      <w:r>
        <w:t>Linepack</w:t>
      </w:r>
      <w:proofErr w:type="spellEnd"/>
      <w:r>
        <w:t xml:space="preserve"> Capacity Adequacy (LCA) flag was raised on the </w:t>
      </w:r>
      <w:proofErr w:type="spellStart"/>
      <w:r>
        <w:t>SEAGas</w:t>
      </w:r>
      <w:proofErr w:type="spellEnd"/>
      <w:r>
        <w:t xml:space="preserve"> pipeline due to a </w:t>
      </w:r>
      <w:proofErr w:type="spellStart"/>
      <w:r>
        <w:t>Miakite</w:t>
      </w:r>
      <w:proofErr w:type="spellEnd"/>
      <w:r>
        <w:t xml:space="preserve"> compressor valve fault (upstream of Port Campbell in Victoria).</w:t>
      </w:r>
      <w:r>
        <w:rPr>
          <w:rStyle w:val="FootnoteReference"/>
        </w:rPr>
        <w:footnoteReference w:id="10"/>
      </w:r>
    </w:p>
    <w:p w:rsidR="003C2D77" w:rsidRDefault="003C2D77" w:rsidP="009970BF">
      <w:pPr>
        <w:jc w:val="both"/>
        <w:rPr>
          <w:i/>
        </w:rPr>
      </w:pPr>
    </w:p>
    <w:p w:rsidR="00CB38A5" w:rsidRDefault="00CB38A5" w:rsidP="009970BF">
      <w:pPr>
        <w:jc w:val="both"/>
        <w:rPr>
          <w:i/>
        </w:rPr>
      </w:pPr>
      <w:r w:rsidRPr="00CB38A5">
        <w:rPr>
          <w:i/>
        </w:rPr>
        <w:lastRenderedPageBreak/>
        <w:t>Victoria</w:t>
      </w:r>
    </w:p>
    <w:p w:rsidR="00CB38A5" w:rsidRDefault="00CB38A5" w:rsidP="009970BF">
      <w:pPr>
        <w:jc w:val="both"/>
      </w:pPr>
      <w:r>
        <w:t>Victoria experienced high schedule prices on 26 and 27 June</w:t>
      </w:r>
      <w:r w:rsidR="007A1C7F">
        <w:t xml:space="preserve"> as demand exceeded 1.1 PJ on both days</w:t>
      </w:r>
      <w:r>
        <w:t xml:space="preserve">. Similar to the 24 June gas day reported in the previous weekly, colder than expected weather drove </w:t>
      </w:r>
      <w:r w:rsidR="007A1C7F">
        <w:t xml:space="preserve">the </w:t>
      </w:r>
      <w:r>
        <w:t>high demand, with minimum overnight temperatures as low as 3 degrees and maximum temperatures not exceeding 11.1 degrees in Melbourne</w:t>
      </w:r>
      <w:r w:rsidR="007A1C7F">
        <w:t xml:space="preserve"> over the period</w:t>
      </w:r>
      <w:r>
        <w:t xml:space="preserve">. </w:t>
      </w:r>
      <w:r w:rsidR="007A1C7F">
        <w:t xml:space="preserve">On </w:t>
      </w:r>
      <w:r>
        <w:t xml:space="preserve">26 June </w:t>
      </w:r>
      <w:r w:rsidR="007A1C7F">
        <w:t>prices increased</w:t>
      </w:r>
      <w:r>
        <w:t xml:space="preserve"> to $36.65/GJ at 6 pm</w:t>
      </w:r>
      <w:r w:rsidR="007A1C7F">
        <w:t>,</w:t>
      </w:r>
      <w:r>
        <w:t xml:space="preserve"> </w:t>
      </w:r>
      <w:r w:rsidR="007A1C7F">
        <w:t xml:space="preserve">while prices at </w:t>
      </w:r>
      <w:r>
        <w:t>2 pm</w:t>
      </w:r>
      <w:r w:rsidR="007A1C7F">
        <w:t xml:space="preserve"> the following day reached $34.81/GJ</w:t>
      </w:r>
      <w:r>
        <w:t>.</w:t>
      </w:r>
      <w:r w:rsidR="007A1C7F">
        <w:rPr>
          <w:rStyle w:val="FootnoteReference"/>
        </w:rPr>
        <w:footnoteReference w:id="11"/>
      </w:r>
      <w:r w:rsidR="007A1C7F">
        <w:t xml:space="preserve"> </w:t>
      </w:r>
      <w:r w:rsidR="00C70B1A">
        <w:t>With Longford running flat out over most days this winter, the tight supply and demand conditions have seen market response injections from Dandenong LNG on a number of high demand days.</w:t>
      </w:r>
    </w:p>
    <w:p w:rsidR="00CD53A0" w:rsidRPr="000E665D" w:rsidRDefault="000E665D" w:rsidP="009970BF">
      <w:pPr>
        <w:jc w:val="both"/>
        <w:rPr>
          <w:i/>
        </w:rPr>
      </w:pPr>
      <w:r w:rsidRPr="000E665D">
        <w:rPr>
          <w:i/>
        </w:rPr>
        <w:t>Sydney</w:t>
      </w:r>
    </w:p>
    <w:p w:rsidR="006F2159" w:rsidRDefault="000E665D" w:rsidP="009970BF">
      <w:pPr>
        <w:jc w:val="both"/>
      </w:pPr>
      <w:r>
        <w:t xml:space="preserve">In Sydney, </w:t>
      </w:r>
      <w:r w:rsidR="00862DFF">
        <w:t xml:space="preserve">there were a number of variations throughout the week between schedule prices in the provisional (D-2), ex ante (D-1) and ex post schedules (D+1) which were greater than $7/GJ. The deviations between the provisional and ex ante schedules were generally the result of </w:t>
      </w:r>
      <w:r w:rsidR="0082709C">
        <w:t>reductions to the low priced offers in the stack (</w:t>
      </w:r>
      <w:r w:rsidR="0002664F">
        <w:t xml:space="preserve">supply being shifted towards higher prices, </w:t>
      </w:r>
      <w:r w:rsidR="0082709C">
        <w:t>as opposed to increase</w:t>
      </w:r>
      <w:r w:rsidR="0002664F">
        <w:t>d</w:t>
      </w:r>
      <w:r w:rsidR="0082709C">
        <w:t xml:space="preserve"> demand). This led to the ex ante price reaching a record $28.81/GJ on 30 June.</w:t>
      </w:r>
      <w:r w:rsidR="006F2159" w:rsidRPr="006F2159">
        <w:rPr>
          <w:vertAlign w:val="superscript"/>
        </w:rPr>
        <w:fldChar w:fldCharType="begin"/>
      </w:r>
      <w:r w:rsidR="006F2159" w:rsidRPr="006F2159">
        <w:rPr>
          <w:vertAlign w:val="superscript"/>
        </w:rPr>
        <w:instrText xml:space="preserve"> NOTEREF _Ref456625940 \h </w:instrText>
      </w:r>
      <w:r w:rsidR="006F2159">
        <w:rPr>
          <w:vertAlign w:val="superscript"/>
        </w:rPr>
        <w:instrText xml:space="preserve"> \* MERGEFORMAT </w:instrText>
      </w:r>
      <w:r w:rsidR="006F2159" w:rsidRPr="006F2159">
        <w:rPr>
          <w:vertAlign w:val="superscript"/>
        </w:rPr>
      </w:r>
      <w:r w:rsidR="006F2159" w:rsidRPr="006F2159">
        <w:rPr>
          <w:vertAlign w:val="superscript"/>
        </w:rPr>
        <w:fldChar w:fldCharType="separate"/>
      </w:r>
      <w:r w:rsidR="00177DBC">
        <w:rPr>
          <w:vertAlign w:val="superscript"/>
        </w:rPr>
        <w:t>1</w:t>
      </w:r>
      <w:r w:rsidR="006F2159" w:rsidRPr="006F2159">
        <w:rPr>
          <w:vertAlign w:val="superscript"/>
        </w:rPr>
        <w:fldChar w:fldCharType="end"/>
      </w:r>
      <w:r w:rsidR="006F2159">
        <w:t xml:space="preserve"> Deviations leading to higher ex post prices from 26 to 29 June resulted from under forecast demand, while over forecast demand on 30 June and 1 July led to large MOS decrease requirements and MOS payments of $257 440 and $110 253 respectively</w:t>
      </w:r>
      <w:r w:rsidR="005D227D">
        <w:t xml:space="preserve"> (counteracting MOS also influenced the higher service payments on both days).</w:t>
      </w:r>
    </w:p>
    <w:p w:rsidR="006F2159" w:rsidRPr="006F2159" w:rsidRDefault="006F2159" w:rsidP="009970BF">
      <w:pPr>
        <w:jc w:val="both"/>
        <w:rPr>
          <w:i/>
        </w:rPr>
      </w:pPr>
      <w:r w:rsidRPr="006F2159">
        <w:rPr>
          <w:i/>
        </w:rPr>
        <w:t>Adelaide</w:t>
      </w:r>
    </w:p>
    <w:p w:rsidR="003C56A6" w:rsidRDefault="003C56A6" w:rsidP="009970BF">
      <w:pPr>
        <w:jc w:val="both"/>
      </w:pPr>
      <w:r>
        <w:t xml:space="preserve">In Adelaide prices increased across the week despite there being no substantial increase in demand in the hub. Adelaide market prices however are likely to have been influenced </w:t>
      </w:r>
      <w:r w:rsidR="00FF5905">
        <w:t xml:space="preserve">additionally </w:t>
      </w:r>
      <w:r>
        <w:t>by the stronger demand for gas by power gen</w:t>
      </w:r>
      <w:r w:rsidR="00FF5905">
        <w:t>erators around the Adelaide hub, up around 30 TJ per day from the previous week. Offers into the Adelaide hub were rebid into higher price bands.</w:t>
      </w:r>
    </w:p>
    <w:p w:rsidR="004235FD" w:rsidRPr="0076422D" w:rsidRDefault="0076422D" w:rsidP="009970BF">
      <w:pPr>
        <w:jc w:val="both"/>
        <w:rPr>
          <w:i/>
        </w:rPr>
      </w:pPr>
      <w:r w:rsidRPr="0076422D">
        <w:rPr>
          <w:i/>
        </w:rPr>
        <w:t>Brisbane</w:t>
      </w:r>
    </w:p>
    <w:p w:rsidR="00DE7A6F" w:rsidRDefault="0076422D" w:rsidP="009970BF">
      <w:pPr>
        <w:jc w:val="both"/>
      </w:pPr>
      <w:r>
        <w:t>In Brisbane, the high ex post price on 30 June resulted from a steep supply curve. With all offers below $10/GJ exhausted</w:t>
      </w:r>
      <w:r>
        <w:rPr>
          <w:rStyle w:val="FootnoteReference"/>
        </w:rPr>
        <w:footnoteReference w:id="12"/>
      </w:r>
      <w:r>
        <w:t>,</w:t>
      </w:r>
      <w:r w:rsidR="009970BF">
        <w:t xml:space="preserve"> the slight imbalance of 2.3 TJ from under forecast demand was enough to shift the demand curve across to $18.90/GJ.</w:t>
      </w:r>
      <w:r w:rsidR="009970BF">
        <w:rPr>
          <w:rStyle w:val="FootnoteReference"/>
        </w:rPr>
        <w:footnoteReference w:id="13"/>
      </w:r>
    </w:p>
    <w:p w:rsidR="00487E43" w:rsidRDefault="00487E43" w:rsidP="00BF4E4A">
      <w:pPr>
        <w:spacing w:line="240" w:lineRule="auto"/>
        <w:rPr>
          <w:color w:val="FF0000"/>
        </w:rPr>
      </w:pPr>
    </w:p>
    <w:p w:rsidR="00B1569B" w:rsidRDefault="00B1569B">
      <w:pPr>
        <w:spacing w:line="240" w:lineRule="auto"/>
      </w:pPr>
    </w:p>
    <w:p w:rsidR="00DC38DB" w:rsidRDefault="00DC38DB">
      <w:pPr>
        <w:spacing w:line="240" w:lineRule="auto"/>
      </w:pPr>
    </w:p>
    <w:p w:rsidR="00DC38DB" w:rsidRDefault="00DC38DB">
      <w:pPr>
        <w:spacing w:line="240" w:lineRule="auto"/>
      </w:pPr>
    </w:p>
    <w:p w:rsidR="00DC38DB" w:rsidRDefault="00DC38DB">
      <w:pPr>
        <w:spacing w:line="240" w:lineRule="auto"/>
      </w:pP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14"/>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1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972AA9" w:rsidP="003171C6">
      <w:r w:rsidRPr="00972AA9">
        <w:rPr>
          <w:noProof/>
          <w:lang w:eastAsia="en-AU"/>
        </w:rPr>
        <w:drawing>
          <wp:inline distT="0" distB="0" distL="0" distR="0" wp14:anchorId="1F3FC344" wp14:editId="6C32D9D2">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972AA9" w:rsidP="003171C6">
      <w:r w:rsidRPr="00972AA9">
        <w:rPr>
          <w:noProof/>
          <w:lang w:eastAsia="en-AU"/>
        </w:rPr>
        <w:drawing>
          <wp:inline distT="0" distB="0" distL="0" distR="0" wp14:anchorId="72047FF7" wp14:editId="31AE096A">
            <wp:extent cx="5731510" cy="2132322"/>
            <wp:effectExtent l="0" t="0" r="2540" b="1905"/>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972AA9" w:rsidP="003171C6">
      <w:r w:rsidRPr="00972AA9">
        <w:rPr>
          <w:noProof/>
          <w:lang w:eastAsia="en-AU"/>
        </w:rPr>
        <w:drawing>
          <wp:inline distT="0" distB="0" distL="0" distR="0" wp14:anchorId="468F68F9" wp14:editId="06BB00FC">
            <wp:extent cx="5731510" cy="2486687"/>
            <wp:effectExtent l="0" t="0" r="2540" b="889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972AA9" w:rsidP="003171C6">
      <w:r w:rsidRPr="00972AA9">
        <w:rPr>
          <w:noProof/>
          <w:lang w:eastAsia="en-AU"/>
        </w:rPr>
        <w:drawing>
          <wp:inline distT="0" distB="0" distL="0" distR="0" wp14:anchorId="576C20BB" wp14:editId="6A309CFE">
            <wp:extent cx="5731510" cy="1958582"/>
            <wp:effectExtent l="0" t="0" r="2540" b="3810"/>
            <wp:docPr id="11" name="Picture 11" descr="Figure 1.4 shows the withdrawal bids within certain price bands for each trading interval in Victoria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972AA9" w:rsidP="003171C6">
      <w:r w:rsidRPr="00972AA9">
        <w:rPr>
          <w:noProof/>
          <w:lang w:eastAsia="en-AU"/>
        </w:rPr>
        <w:drawing>
          <wp:inline distT="0" distB="0" distL="0" distR="0" wp14:anchorId="5DB46DFD" wp14:editId="6DEC7446">
            <wp:extent cx="5731510" cy="2142691"/>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7"/>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8"/>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72AA9" w:rsidRPr="00405CDE" w:rsidTr="00A226E9">
        <w:trPr>
          <w:trHeight w:val="510"/>
        </w:trPr>
        <w:tc>
          <w:tcPr>
            <w:tcW w:w="1211" w:type="pct"/>
            <w:tcBorders>
              <w:top w:val="nil"/>
              <w:bottom w:val="nil"/>
            </w:tcBorders>
            <w:vAlign w:val="center"/>
          </w:tcPr>
          <w:p w:rsidR="00972AA9" w:rsidRDefault="00972AA9">
            <w:pPr>
              <w:rPr>
                <w:rFonts w:cs="Arial"/>
                <w:sz w:val="20"/>
                <w:szCs w:val="20"/>
              </w:rPr>
            </w:pPr>
            <w:r>
              <w:rPr>
                <w:rFonts w:cs="Arial"/>
                <w:sz w:val="20"/>
                <w:szCs w:val="20"/>
              </w:rPr>
              <w:t>Ex ante price ($/GJ)</w:t>
            </w:r>
          </w:p>
        </w:tc>
        <w:tc>
          <w:tcPr>
            <w:tcW w:w="580" w:type="pct"/>
            <w:tcBorders>
              <w:top w:val="nil"/>
              <w:bottom w:val="nil"/>
            </w:tcBorders>
            <w:vAlign w:val="center"/>
          </w:tcPr>
          <w:p w:rsidR="00972AA9" w:rsidRDefault="00972AA9">
            <w:pPr>
              <w:jc w:val="center"/>
              <w:rPr>
                <w:rFonts w:cs="Arial"/>
                <w:sz w:val="20"/>
                <w:szCs w:val="20"/>
              </w:rPr>
            </w:pPr>
            <w:r>
              <w:rPr>
                <w:rFonts w:cs="Arial"/>
                <w:sz w:val="20"/>
                <w:szCs w:val="20"/>
              </w:rPr>
              <w:t>10.11</w:t>
            </w:r>
          </w:p>
        </w:tc>
        <w:tc>
          <w:tcPr>
            <w:tcW w:w="508" w:type="pct"/>
            <w:tcBorders>
              <w:top w:val="nil"/>
              <w:bottom w:val="nil"/>
            </w:tcBorders>
            <w:vAlign w:val="center"/>
          </w:tcPr>
          <w:p w:rsidR="00972AA9" w:rsidRDefault="00972AA9">
            <w:pPr>
              <w:jc w:val="center"/>
              <w:rPr>
                <w:rFonts w:cs="Arial"/>
                <w:sz w:val="20"/>
                <w:szCs w:val="20"/>
              </w:rPr>
            </w:pPr>
            <w:r>
              <w:rPr>
                <w:rFonts w:cs="Arial"/>
                <w:sz w:val="20"/>
                <w:szCs w:val="20"/>
              </w:rPr>
              <w:t>12.10</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17.68</w:t>
            </w:r>
          </w:p>
        </w:tc>
        <w:tc>
          <w:tcPr>
            <w:tcW w:w="517" w:type="pct"/>
            <w:tcBorders>
              <w:top w:val="nil"/>
              <w:bottom w:val="nil"/>
            </w:tcBorders>
            <w:vAlign w:val="center"/>
          </w:tcPr>
          <w:p w:rsidR="00972AA9" w:rsidRDefault="00972AA9">
            <w:pPr>
              <w:jc w:val="center"/>
              <w:rPr>
                <w:rFonts w:cs="Arial"/>
                <w:sz w:val="20"/>
                <w:szCs w:val="20"/>
              </w:rPr>
            </w:pPr>
            <w:r>
              <w:rPr>
                <w:rFonts w:cs="Arial"/>
                <w:sz w:val="20"/>
                <w:szCs w:val="20"/>
              </w:rPr>
              <w:t>15.50</w:t>
            </w:r>
          </w:p>
        </w:tc>
        <w:tc>
          <w:tcPr>
            <w:tcW w:w="510" w:type="pct"/>
            <w:tcBorders>
              <w:top w:val="nil"/>
              <w:bottom w:val="nil"/>
            </w:tcBorders>
            <w:vAlign w:val="center"/>
          </w:tcPr>
          <w:p w:rsidR="00972AA9" w:rsidRDefault="00972AA9">
            <w:pPr>
              <w:jc w:val="center"/>
              <w:rPr>
                <w:rFonts w:cs="Arial"/>
                <w:sz w:val="20"/>
                <w:szCs w:val="20"/>
              </w:rPr>
            </w:pPr>
            <w:r>
              <w:rPr>
                <w:rFonts w:cs="Arial"/>
                <w:sz w:val="20"/>
                <w:szCs w:val="20"/>
              </w:rPr>
              <w:t>28.81</w:t>
            </w:r>
          </w:p>
        </w:tc>
        <w:tc>
          <w:tcPr>
            <w:tcW w:w="507" w:type="pct"/>
            <w:tcBorders>
              <w:top w:val="nil"/>
              <w:bottom w:val="nil"/>
            </w:tcBorders>
            <w:vAlign w:val="center"/>
          </w:tcPr>
          <w:p w:rsidR="00972AA9" w:rsidRDefault="00972AA9">
            <w:pPr>
              <w:jc w:val="center"/>
              <w:rPr>
                <w:rFonts w:cs="Arial"/>
                <w:sz w:val="20"/>
                <w:szCs w:val="20"/>
              </w:rPr>
            </w:pPr>
            <w:r>
              <w:rPr>
                <w:rFonts w:cs="Arial"/>
                <w:sz w:val="20"/>
                <w:szCs w:val="20"/>
              </w:rPr>
              <w:t>12.95</w:t>
            </w:r>
          </w:p>
        </w:tc>
        <w:tc>
          <w:tcPr>
            <w:tcW w:w="578" w:type="pct"/>
            <w:tcBorders>
              <w:top w:val="nil"/>
              <w:bottom w:val="nil"/>
            </w:tcBorders>
            <w:vAlign w:val="center"/>
          </w:tcPr>
          <w:p w:rsidR="00972AA9" w:rsidRDefault="00972AA9">
            <w:pPr>
              <w:jc w:val="center"/>
              <w:rPr>
                <w:rFonts w:cs="Arial"/>
                <w:sz w:val="20"/>
                <w:szCs w:val="20"/>
              </w:rPr>
            </w:pPr>
            <w:r>
              <w:rPr>
                <w:rFonts w:cs="Arial"/>
                <w:sz w:val="20"/>
                <w:szCs w:val="20"/>
              </w:rPr>
              <w:t>13.20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972AA9" w:rsidRDefault="00972AA9">
            <w:pPr>
              <w:rPr>
                <w:rFonts w:cs="Arial"/>
                <w:szCs w:val="20"/>
              </w:rPr>
            </w:pPr>
            <w:r>
              <w:rPr>
                <w:rFonts w:cs="Arial"/>
                <w:szCs w:val="20"/>
              </w:rPr>
              <w:t>Ex ante quantity (TJ)</w:t>
            </w:r>
          </w:p>
        </w:tc>
        <w:tc>
          <w:tcPr>
            <w:tcW w:w="580" w:type="pct"/>
            <w:tcBorders>
              <w:top w:val="nil"/>
              <w:bottom w:val="nil"/>
            </w:tcBorders>
            <w:vAlign w:val="center"/>
          </w:tcPr>
          <w:p w:rsidR="00972AA9" w:rsidRDefault="00972AA9">
            <w:pPr>
              <w:jc w:val="center"/>
              <w:rPr>
                <w:rFonts w:cs="Arial"/>
                <w:szCs w:val="20"/>
              </w:rPr>
            </w:pPr>
            <w:r>
              <w:rPr>
                <w:rFonts w:cs="Arial"/>
                <w:szCs w:val="20"/>
              </w:rPr>
              <w:t>278</w:t>
            </w:r>
          </w:p>
        </w:tc>
        <w:tc>
          <w:tcPr>
            <w:tcW w:w="508" w:type="pct"/>
            <w:tcBorders>
              <w:top w:val="nil"/>
              <w:bottom w:val="nil"/>
            </w:tcBorders>
            <w:vAlign w:val="center"/>
          </w:tcPr>
          <w:p w:rsidR="00972AA9" w:rsidRDefault="00972AA9">
            <w:pPr>
              <w:jc w:val="center"/>
              <w:rPr>
                <w:rFonts w:cs="Arial"/>
                <w:szCs w:val="20"/>
              </w:rPr>
            </w:pPr>
            <w:r>
              <w:rPr>
                <w:rFonts w:cs="Arial"/>
                <w:szCs w:val="20"/>
              </w:rPr>
              <w:t>314</w:t>
            </w:r>
          </w:p>
        </w:tc>
        <w:tc>
          <w:tcPr>
            <w:tcW w:w="589" w:type="pct"/>
            <w:tcBorders>
              <w:top w:val="nil"/>
              <w:bottom w:val="nil"/>
            </w:tcBorders>
            <w:vAlign w:val="center"/>
          </w:tcPr>
          <w:p w:rsidR="00972AA9" w:rsidRDefault="00972AA9">
            <w:pPr>
              <w:jc w:val="center"/>
              <w:rPr>
                <w:rFonts w:cs="Arial"/>
                <w:szCs w:val="20"/>
              </w:rPr>
            </w:pPr>
            <w:r>
              <w:rPr>
                <w:rFonts w:cs="Arial"/>
                <w:szCs w:val="20"/>
              </w:rPr>
              <w:t>305</w:t>
            </w:r>
          </w:p>
        </w:tc>
        <w:tc>
          <w:tcPr>
            <w:tcW w:w="517" w:type="pct"/>
            <w:tcBorders>
              <w:top w:val="nil"/>
              <w:bottom w:val="nil"/>
            </w:tcBorders>
            <w:vAlign w:val="center"/>
          </w:tcPr>
          <w:p w:rsidR="00972AA9" w:rsidRDefault="00972AA9">
            <w:pPr>
              <w:jc w:val="center"/>
              <w:rPr>
                <w:rFonts w:cs="Arial"/>
                <w:szCs w:val="20"/>
              </w:rPr>
            </w:pPr>
            <w:r>
              <w:rPr>
                <w:rFonts w:cs="Arial"/>
                <w:szCs w:val="20"/>
              </w:rPr>
              <w:t>310</w:t>
            </w:r>
          </w:p>
        </w:tc>
        <w:tc>
          <w:tcPr>
            <w:tcW w:w="510" w:type="pct"/>
            <w:tcBorders>
              <w:top w:val="nil"/>
              <w:bottom w:val="nil"/>
            </w:tcBorders>
            <w:vAlign w:val="center"/>
          </w:tcPr>
          <w:p w:rsidR="00972AA9" w:rsidRDefault="00972AA9">
            <w:pPr>
              <w:jc w:val="center"/>
              <w:rPr>
                <w:rFonts w:cs="Arial"/>
                <w:szCs w:val="20"/>
              </w:rPr>
            </w:pPr>
            <w:r>
              <w:rPr>
                <w:rFonts w:cs="Arial"/>
                <w:szCs w:val="20"/>
              </w:rPr>
              <w:t>315</w:t>
            </w:r>
          </w:p>
        </w:tc>
        <w:tc>
          <w:tcPr>
            <w:tcW w:w="507" w:type="pct"/>
            <w:tcBorders>
              <w:top w:val="nil"/>
              <w:bottom w:val="nil"/>
            </w:tcBorders>
            <w:vAlign w:val="center"/>
          </w:tcPr>
          <w:p w:rsidR="00972AA9" w:rsidRDefault="00972AA9">
            <w:pPr>
              <w:jc w:val="center"/>
              <w:rPr>
                <w:rFonts w:cs="Arial"/>
                <w:szCs w:val="20"/>
              </w:rPr>
            </w:pPr>
            <w:r>
              <w:rPr>
                <w:rFonts w:cs="Arial"/>
                <w:szCs w:val="20"/>
              </w:rPr>
              <w:t>317</w:t>
            </w:r>
          </w:p>
        </w:tc>
        <w:tc>
          <w:tcPr>
            <w:tcW w:w="578" w:type="pct"/>
            <w:tcBorders>
              <w:top w:val="nil"/>
              <w:bottom w:val="nil"/>
            </w:tcBorders>
            <w:vAlign w:val="center"/>
          </w:tcPr>
          <w:p w:rsidR="00972AA9" w:rsidRDefault="00972AA9">
            <w:pPr>
              <w:jc w:val="center"/>
              <w:rPr>
                <w:rFonts w:cs="Arial"/>
                <w:szCs w:val="20"/>
              </w:rPr>
            </w:pPr>
            <w:r>
              <w:rPr>
                <w:rFonts w:cs="Arial"/>
                <w:szCs w:val="20"/>
              </w:rPr>
              <w:t>294</w:t>
            </w:r>
          </w:p>
        </w:tc>
      </w:tr>
      <w:tr w:rsidR="00972AA9" w:rsidRPr="00405CDE" w:rsidTr="00A226E9">
        <w:trPr>
          <w:trHeight w:val="510"/>
        </w:trPr>
        <w:tc>
          <w:tcPr>
            <w:tcW w:w="1211" w:type="pct"/>
            <w:tcBorders>
              <w:top w:val="nil"/>
              <w:bottom w:val="nil"/>
            </w:tcBorders>
            <w:vAlign w:val="center"/>
          </w:tcPr>
          <w:p w:rsidR="00972AA9" w:rsidRDefault="00972AA9">
            <w:pPr>
              <w:rPr>
                <w:rFonts w:cs="Arial"/>
                <w:sz w:val="20"/>
                <w:szCs w:val="20"/>
              </w:rPr>
            </w:pPr>
            <w:r>
              <w:rPr>
                <w:rFonts w:cs="Arial"/>
                <w:sz w:val="20"/>
                <w:szCs w:val="20"/>
              </w:rPr>
              <w:t>Ex post price ($/GJ)</w:t>
            </w:r>
          </w:p>
        </w:tc>
        <w:tc>
          <w:tcPr>
            <w:tcW w:w="580" w:type="pct"/>
            <w:tcBorders>
              <w:top w:val="nil"/>
              <w:bottom w:val="nil"/>
            </w:tcBorders>
            <w:vAlign w:val="center"/>
          </w:tcPr>
          <w:p w:rsidR="00972AA9" w:rsidRDefault="00972AA9">
            <w:pPr>
              <w:jc w:val="center"/>
              <w:rPr>
                <w:rFonts w:cs="Arial"/>
                <w:sz w:val="20"/>
                <w:szCs w:val="20"/>
              </w:rPr>
            </w:pPr>
            <w:r>
              <w:rPr>
                <w:rFonts w:cs="Arial"/>
                <w:sz w:val="20"/>
                <w:szCs w:val="20"/>
              </w:rPr>
              <w:t>17.89</w:t>
            </w:r>
          </w:p>
        </w:tc>
        <w:tc>
          <w:tcPr>
            <w:tcW w:w="508" w:type="pct"/>
            <w:tcBorders>
              <w:top w:val="nil"/>
              <w:bottom w:val="nil"/>
            </w:tcBorders>
            <w:vAlign w:val="center"/>
          </w:tcPr>
          <w:p w:rsidR="00972AA9" w:rsidRDefault="00972AA9">
            <w:pPr>
              <w:jc w:val="center"/>
              <w:rPr>
                <w:rFonts w:cs="Arial"/>
                <w:sz w:val="20"/>
                <w:szCs w:val="20"/>
              </w:rPr>
            </w:pPr>
            <w:r>
              <w:rPr>
                <w:rFonts w:cs="Arial"/>
                <w:sz w:val="20"/>
                <w:szCs w:val="20"/>
              </w:rPr>
              <w:t>24.50</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29.00</w:t>
            </w:r>
          </w:p>
        </w:tc>
        <w:tc>
          <w:tcPr>
            <w:tcW w:w="517" w:type="pct"/>
            <w:tcBorders>
              <w:top w:val="nil"/>
              <w:bottom w:val="nil"/>
            </w:tcBorders>
            <w:vAlign w:val="center"/>
          </w:tcPr>
          <w:p w:rsidR="00972AA9" w:rsidRDefault="00972AA9">
            <w:pPr>
              <w:jc w:val="center"/>
              <w:rPr>
                <w:rFonts w:cs="Arial"/>
                <w:sz w:val="20"/>
                <w:szCs w:val="20"/>
              </w:rPr>
            </w:pPr>
            <w:r>
              <w:rPr>
                <w:rFonts w:cs="Arial"/>
                <w:sz w:val="20"/>
                <w:szCs w:val="20"/>
              </w:rPr>
              <w:t>20.90</w:t>
            </w:r>
          </w:p>
        </w:tc>
        <w:tc>
          <w:tcPr>
            <w:tcW w:w="510" w:type="pct"/>
            <w:tcBorders>
              <w:top w:val="nil"/>
              <w:bottom w:val="nil"/>
            </w:tcBorders>
            <w:vAlign w:val="center"/>
          </w:tcPr>
          <w:p w:rsidR="00972AA9" w:rsidRDefault="00972AA9">
            <w:pPr>
              <w:jc w:val="center"/>
              <w:rPr>
                <w:rFonts w:cs="Arial"/>
                <w:sz w:val="20"/>
                <w:szCs w:val="20"/>
              </w:rPr>
            </w:pPr>
            <w:r>
              <w:rPr>
                <w:rFonts w:cs="Arial"/>
                <w:sz w:val="20"/>
                <w:szCs w:val="20"/>
              </w:rPr>
              <w:t>29.00</w:t>
            </w:r>
          </w:p>
        </w:tc>
        <w:tc>
          <w:tcPr>
            <w:tcW w:w="507" w:type="pct"/>
            <w:tcBorders>
              <w:top w:val="nil"/>
              <w:bottom w:val="nil"/>
            </w:tcBorders>
            <w:vAlign w:val="center"/>
          </w:tcPr>
          <w:p w:rsidR="00972AA9" w:rsidRDefault="00972AA9">
            <w:pPr>
              <w:jc w:val="center"/>
              <w:rPr>
                <w:rFonts w:cs="Arial"/>
                <w:sz w:val="20"/>
                <w:szCs w:val="20"/>
              </w:rPr>
            </w:pPr>
            <w:r>
              <w:rPr>
                <w:rFonts w:cs="Arial"/>
                <w:sz w:val="20"/>
                <w:szCs w:val="20"/>
              </w:rPr>
              <w:t>11.22</w:t>
            </w:r>
          </w:p>
        </w:tc>
        <w:tc>
          <w:tcPr>
            <w:tcW w:w="578" w:type="pct"/>
            <w:tcBorders>
              <w:top w:val="nil"/>
              <w:bottom w:val="nil"/>
            </w:tcBorders>
            <w:vAlign w:val="center"/>
          </w:tcPr>
          <w:p w:rsidR="00972AA9" w:rsidRDefault="00972AA9">
            <w:pPr>
              <w:jc w:val="center"/>
              <w:rPr>
                <w:rFonts w:cs="Arial"/>
                <w:sz w:val="20"/>
                <w:szCs w:val="20"/>
              </w:rPr>
            </w:pPr>
            <w:r>
              <w:rPr>
                <w:rFonts w:cs="Arial"/>
                <w:sz w:val="20"/>
                <w:szCs w:val="20"/>
              </w:rPr>
              <w:t>11.80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972AA9" w:rsidRDefault="00972AA9">
            <w:pPr>
              <w:rPr>
                <w:rFonts w:cs="Arial"/>
                <w:szCs w:val="20"/>
              </w:rPr>
            </w:pPr>
            <w:r>
              <w:rPr>
                <w:rFonts w:cs="Arial"/>
                <w:szCs w:val="20"/>
              </w:rPr>
              <w:t>Ex post quantity (TJ)</w:t>
            </w:r>
          </w:p>
        </w:tc>
        <w:tc>
          <w:tcPr>
            <w:tcW w:w="580" w:type="pct"/>
            <w:tcBorders>
              <w:top w:val="nil"/>
              <w:bottom w:val="single" w:sz="4" w:space="0" w:color="auto"/>
            </w:tcBorders>
            <w:vAlign w:val="center"/>
          </w:tcPr>
          <w:p w:rsidR="00972AA9" w:rsidRDefault="00972AA9">
            <w:pPr>
              <w:jc w:val="center"/>
              <w:rPr>
                <w:rFonts w:cs="Arial"/>
                <w:szCs w:val="20"/>
              </w:rPr>
            </w:pPr>
            <w:r>
              <w:rPr>
                <w:rFonts w:cs="Arial"/>
                <w:szCs w:val="20"/>
              </w:rPr>
              <w:t>287</w:t>
            </w:r>
          </w:p>
        </w:tc>
        <w:tc>
          <w:tcPr>
            <w:tcW w:w="508" w:type="pct"/>
            <w:tcBorders>
              <w:top w:val="nil"/>
              <w:bottom w:val="single" w:sz="4" w:space="0" w:color="auto"/>
            </w:tcBorders>
            <w:vAlign w:val="center"/>
          </w:tcPr>
          <w:p w:rsidR="00972AA9" w:rsidRDefault="00972AA9">
            <w:pPr>
              <w:jc w:val="center"/>
              <w:rPr>
                <w:rFonts w:cs="Arial"/>
                <w:szCs w:val="20"/>
              </w:rPr>
            </w:pPr>
            <w:r>
              <w:rPr>
                <w:rFonts w:cs="Arial"/>
                <w:szCs w:val="20"/>
              </w:rPr>
              <w:t>327</w:t>
            </w:r>
          </w:p>
        </w:tc>
        <w:tc>
          <w:tcPr>
            <w:tcW w:w="589" w:type="pct"/>
            <w:tcBorders>
              <w:top w:val="nil"/>
              <w:bottom w:val="single" w:sz="4" w:space="0" w:color="auto"/>
            </w:tcBorders>
            <w:vAlign w:val="center"/>
          </w:tcPr>
          <w:p w:rsidR="00972AA9" w:rsidRDefault="00972AA9">
            <w:pPr>
              <w:jc w:val="center"/>
              <w:rPr>
                <w:rFonts w:cs="Arial"/>
                <w:szCs w:val="20"/>
              </w:rPr>
            </w:pPr>
            <w:r>
              <w:rPr>
                <w:rFonts w:cs="Arial"/>
                <w:szCs w:val="20"/>
              </w:rPr>
              <w:t>321</w:t>
            </w:r>
          </w:p>
        </w:tc>
        <w:tc>
          <w:tcPr>
            <w:tcW w:w="517" w:type="pct"/>
            <w:tcBorders>
              <w:top w:val="nil"/>
              <w:bottom w:val="single" w:sz="4" w:space="0" w:color="auto"/>
            </w:tcBorders>
            <w:vAlign w:val="center"/>
          </w:tcPr>
          <w:p w:rsidR="00972AA9" w:rsidRDefault="00972AA9">
            <w:pPr>
              <w:jc w:val="center"/>
              <w:rPr>
                <w:rFonts w:cs="Arial"/>
                <w:szCs w:val="20"/>
              </w:rPr>
            </w:pPr>
            <w:r>
              <w:rPr>
                <w:rFonts w:cs="Arial"/>
                <w:szCs w:val="20"/>
              </w:rPr>
              <w:t>319</w:t>
            </w:r>
          </w:p>
        </w:tc>
        <w:tc>
          <w:tcPr>
            <w:tcW w:w="510" w:type="pct"/>
            <w:tcBorders>
              <w:top w:val="nil"/>
              <w:bottom w:val="single" w:sz="4" w:space="0" w:color="auto"/>
            </w:tcBorders>
            <w:vAlign w:val="center"/>
          </w:tcPr>
          <w:p w:rsidR="00972AA9" w:rsidRDefault="00972AA9">
            <w:pPr>
              <w:jc w:val="center"/>
              <w:rPr>
                <w:rFonts w:cs="Arial"/>
                <w:szCs w:val="20"/>
              </w:rPr>
            </w:pPr>
            <w:r>
              <w:rPr>
                <w:rFonts w:cs="Arial"/>
                <w:szCs w:val="20"/>
              </w:rPr>
              <w:t>320</w:t>
            </w:r>
          </w:p>
        </w:tc>
        <w:tc>
          <w:tcPr>
            <w:tcW w:w="507" w:type="pct"/>
            <w:tcBorders>
              <w:top w:val="nil"/>
              <w:bottom w:val="single" w:sz="4" w:space="0" w:color="auto"/>
            </w:tcBorders>
            <w:vAlign w:val="center"/>
          </w:tcPr>
          <w:p w:rsidR="00972AA9" w:rsidRDefault="00972AA9">
            <w:pPr>
              <w:jc w:val="center"/>
              <w:rPr>
                <w:rFonts w:cs="Arial"/>
                <w:szCs w:val="20"/>
              </w:rPr>
            </w:pPr>
            <w:r>
              <w:rPr>
                <w:rFonts w:cs="Arial"/>
                <w:szCs w:val="20"/>
              </w:rPr>
              <w:t>295</w:t>
            </w:r>
          </w:p>
        </w:tc>
        <w:tc>
          <w:tcPr>
            <w:tcW w:w="578" w:type="pct"/>
            <w:tcBorders>
              <w:top w:val="nil"/>
              <w:bottom w:val="single" w:sz="4" w:space="0" w:color="auto"/>
            </w:tcBorders>
            <w:vAlign w:val="center"/>
          </w:tcPr>
          <w:p w:rsidR="00972AA9" w:rsidRDefault="00972AA9">
            <w:pPr>
              <w:jc w:val="center"/>
              <w:rPr>
                <w:rFonts w:cs="Arial"/>
                <w:szCs w:val="20"/>
              </w:rPr>
            </w:pPr>
            <w:r>
              <w:rPr>
                <w:rFonts w:cs="Arial"/>
                <w:szCs w:val="20"/>
              </w:rPr>
              <w:t>280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972AA9" w:rsidP="00EC2CB1">
      <w:r w:rsidRPr="00972AA9">
        <w:rPr>
          <w:noProof/>
          <w:lang w:eastAsia="en-AU"/>
        </w:rPr>
        <w:drawing>
          <wp:inline distT="0" distB="0" distL="0" distR="0" wp14:anchorId="50D0714E" wp14:editId="6797A602">
            <wp:extent cx="5731510" cy="2046203"/>
            <wp:effectExtent l="0" t="0" r="0" b="0"/>
            <wp:docPr id="21" name="Picture 21" descr="Figure 2.2 shows the daily hub offers and bid in within certain price bands in Sydney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972AA9" w:rsidP="00EC2CB1">
      <w:r w:rsidRPr="00972AA9">
        <w:rPr>
          <w:noProof/>
          <w:lang w:eastAsia="en-AU"/>
        </w:rPr>
        <w:drawing>
          <wp:inline distT="0" distB="0" distL="0" distR="0" wp14:anchorId="4C0511C4" wp14:editId="79877360">
            <wp:extent cx="5731510" cy="2555336"/>
            <wp:effectExtent l="0" t="0" r="2540" b="0"/>
            <wp:docPr id="22" name="Picture 22" descr="Figure 2.3 shows the daily scheduled and allocated quantities sorted by facility for Sydney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9"/>
      </w:r>
    </w:p>
    <w:p w:rsidR="00EC2CB1" w:rsidRDefault="00972AA9" w:rsidP="00EC2CB1">
      <w:r w:rsidRPr="00972AA9">
        <w:rPr>
          <w:noProof/>
          <w:lang w:eastAsia="en-AU"/>
        </w:rPr>
        <w:drawing>
          <wp:inline distT="0" distB="0" distL="0" distR="0" wp14:anchorId="718B1349" wp14:editId="7F6FC596">
            <wp:extent cx="5731510" cy="2175613"/>
            <wp:effectExtent l="0" t="0" r="2540" b="0"/>
            <wp:docPr id="29" name="Picture 29"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72AA9" w:rsidRPr="00405CDE" w:rsidTr="00A226E9">
        <w:trPr>
          <w:trHeight w:val="389"/>
        </w:trPr>
        <w:tc>
          <w:tcPr>
            <w:tcW w:w="1152" w:type="pct"/>
            <w:tcBorders>
              <w:top w:val="nil"/>
              <w:bottom w:val="nil"/>
            </w:tcBorders>
            <w:vAlign w:val="center"/>
          </w:tcPr>
          <w:p w:rsidR="00972AA9" w:rsidRDefault="00972AA9">
            <w:pPr>
              <w:rPr>
                <w:rFonts w:cs="Arial"/>
                <w:sz w:val="20"/>
                <w:szCs w:val="20"/>
              </w:rPr>
            </w:pPr>
            <w:r>
              <w:rPr>
                <w:rFonts w:cs="Arial"/>
                <w:sz w:val="20"/>
                <w:szCs w:val="20"/>
              </w:rPr>
              <w:t>Ex ante price ($/GJ)</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8.59</w:t>
            </w:r>
          </w:p>
        </w:tc>
        <w:tc>
          <w:tcPr>
            <w:tcW w:w="516" w:type="pct"/>
            <w:tcBorders>
              <w:top w:val="nil"/>
              <w:bottom w:val="nil"/>
            </w:tcBorders>
            <w:vAlign w:val="center"/>
          </w:tcPr>
          <w:p w:rsidR="00972AA9" w:rsidRDefault="00972AA9">
            <w:pPr>
              <w:jc w:val="center"/>
              <w:rPr>
                <w:rFonts w:cs="Arial"/>
                <w:sz w:val="20"/>
                <w:szCs w:val="20"/>
              </w:rPr>
            </w:pPr>
            <w:r>
              <w:rPr>
                <w:rFonts w:cs="Arial"/>
                <w:sz w:val="20"/>
                <w:szCs w:val="20"/>
              </w:rPr>
              <w:t>13.51</w:t>
            </w:r>
          </w:p>
        </w:tc>
        <w:tc>
          <w:tcPr>
            <w:tcW w:w="598" w:type="pct"/>
            <w:tcBorders>
              <w:top w:val="nil"/>
              <w:bottom w:val="nil"/>
            </w:tcBorders>
            <w:vAlign w:val="center"/>
          </w:tcPr>
          <w:p w:rsidR="00972AA9" w:rsidRDefault="00972AA9">
            <w:pPr>
              <w:jc w:val="center"/>
              <w:rPr>
                <w:rFonts w:cs="Arial"/>
                <w:sz w:val="20"/>
                <w:szCs w:val="20"/>
              </w:rPr>
            </w:pPr>
            <w:r>
              <w:rPr>
                <w:rFonts w:cs="Arial"/>
                <w:sz w:val="20"/>
                <w:szCs w:val="20"/>
              </w:rPr>
              <w:t>16.81</w:t>
            </w:r>
          </w:p>
        </w:tc>
        <w:tc>
          <w:tcPr>
            <w:tcW w:w="525" w:type="pct"/>
            <w:tcBorders>
              <w:top w:val="nil"/>
              <w:bottom w:val="nil"/>
            </w:tcBorders>
            <w:vAlign w:val="center"/>
          </w:tcPr>
          <w:p w:rsidR="00972AA9" w:rsidRDefault="00972AA9">
            <w:pPr>
              <w:jc w:val="center"/>
              <w:rPr>
                <w:rFonts w:cs="Arial"/>
                <w:sz w:val="20"/>
                <w:szCs w:val="20"/>
              </w:rPr>
            </w:pPr>
            <w:r>
              <w:rPr>
                <w:rFonts w:cs="Arial"/>
                <w:sz w:val="20"/>
                <w:szCs w:val="20"/>
              </w:rPr>
              <w:t>13.49</w:t>
            </w:r>
          </w:p>
        </w:tc>
        <w:tc>
          <w:tcPr>
            <w:tcW w:w="518" w:type="pct"/>
            <w:tcBorders>
              <w:top w:val="nil"/>
              <w:bottom w:val="nil"/>
            </w:tcBorders>
            <w:vAlign w:val="center"/>
          </w:tcPr>
          <w:p w:rsidR="00972AA9" w:rsidRDefault="00972AA9">
            <w:pPr>
              <w:jc w:val="center"/>
              <w:rPr>
                <w:rFonts w:cs="Arial"/>
                <w:sz w:val="20"/>
                <w:szCs w:val="20"/>
              </w:rPr>
            </w:pPr>
            <w:r>
              <w:rPr>
                <w:rFonts w:cs="Arial"/>
                <w:sz w:val="20"/>
                <w:szCs w:val="20"/>
              </w:rPr>
              <w:t>18.71</w:t>
            </w:r>
          </w:p>
        </w:tc>
        <w:tc>
          <w:tcPr>
            <w:tcW w:w="515" w:type="pct"/>
            <w:tcBorders>
              <w:top w:val="nil"/>
              <w:bottom w:val="nil"/>
            </w:tcBorders>
            <w:vAlign w:val="center"/>
          </w:tcPr>
          <w:p w:rsidR="00972AA9" w:rsidRDefault="00972AA9">
            <w:pPr>
              <w:jc w:val="center"/>
              <w:rPr>
                <w:rFonts w:cs="Arial"/>
                <w:sz w:val="20"/>
                <w:szCs w:val="20"/>
              </w:rPr>
            </w:pPr>
            <w:r>
              <w:rPr>
                <w:rFonts w:cs="Arial"/>
                <w:sz w:val="20"/>
                <w:szCs w:val="20"/>
              </w:rPr>
              <w:t>18.13</w:t>
            </w:r>
          </w:p>
        </w:tc>
        <w:tc>
          <w:tcPr>
            <w:tcW w:w="587" w:type="pct"/>
            <w:tcBorders>
              <w:top w:val="nil"/>
              <w:bottom w:val="nil"/>
            </w:tcBorders>
            <w:vAlign w:val="center"/>
          </w:tcPr>
          <w:p w:rsidR="00972AA9" w:rsidRDefault="00972AA9">
            <w:pPr>
              <w:jc w:val="center"/>
              <w:rPr>
                <w:rFonts w:cs="Arial"/>
                <w:sz w:val="20"/>
                <w:szCs w:val="20"/>
              </w:rPr>
            </w:pPr>
            <w:r>
              <w:rPr>
                <w:rFonts w:cs="Arial"/>
                <w:sz w:val="20"/>
                <w:szCs w:val="20"/>
              </w:rPr>
              <w:t>24.00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972AA9" w:rsidRDefault="00972AA9">
            <w:pPr>
              <w:rPr>
                <w:rFonts w:cs="Arial"/>
                <w:szCs w:val="20"/>
              </w:rPr>
            </w:pPr>
            <w:r>
              <w:rPr>
                <w:rFonts w:cs="Arial"/>
                <w:szCs w:val="20"/>
              </w:rPr>
              <w:t>Ex ante quantity (TJ)</w:t>
            </w:r>
          </w:p>
        </w:tc>
        <w:tc>
          <w:tcPr>
            <w:tcW w:w="589" w:type="pct"/>
            <w:tcBorders>
              <w:top w:val="nil"/>
              <w:bottom w:val="nil"/>
            </w:tcBorders>
            <w:vAlign w:val="center"/>
          </w:tcPr>
          <w:p w:rsidR="00972AA9" w:rsidRDefault="00972AA9">
            <w:pPr>
              <w:jc w:val="center"/>
              <w:rPr>
                <w:rFonts w:cs="Arial"/>
                <w:szCs w:val="20"/>
              </w:rPr>
            </w:pPr>
            <w:r>
              <w:rPr>
                <w:rFonts w:cs="Arial"/>
                <w:szCs w:val="20"/>
              </w:rPr>
              <w:t>81</w:t>
            </w:r>
          </w:p>
        </w:tc>
        <w:tc>
          <w:tcPr>
            <w:tcW w:w="516" w:type="pct"/>
            <w:tcBorders>
              <w:top w:val="nil"/>
              <w:bottom w:val="nil"/>
            </w:tcBorders>
            <w:vAlign w:val="center"/>
          </w:tcPr>
          <w:p w:rsidR="00972AA9" w:rsidRDefault="00972AA9">
            <w:pPr>
              <w:jc w:val="center"/>
              <w:rPr>
                <w:rFonts w:cs="Arial"/>
                <w:szCs w:val="20"/>
              </w:rPr>
            </w:pPr>
            <w:r>
              <w:rPr>
                <w:rFonts w:cs="Arial"/>
                <w:szCs w:val="20"/>
              </w:rPr>
              <w:t>89</w:t>
            </w:r>
          </w:p>
        </w:tc>
        <w:tc>
          <w:tcPr>
            <w:tcW w:w="598" w:type="pct"/>
            <w:tcBorders>
              <w:top w:val="nil"/>
              <w:bottom w:val="nil"/>
            </w:tcBorders>
            <w:vAlign w:val="center"/>
          </w:tcPr>
          <w:p w:rsidR="00972AA9" w:rsidRDefault="00972AA9">
            <w:pPr>
              <w:jc w:val="center"/>
              <w:rPr>
                <w:rFonts w:cs="Arial"/>
                <w:szCs w:val="20"/>
              </w:rPr>
            </w:pPr>
            <w:r>
              <w:rPr>
                <w:rFonts w:cs="Arial"/>
                <w:szCs w:val="20"/>
              </w:rPr>
              <w:t>89</w:t>
            </w:r>
          </w:p>
        </w:tc>
        <w:tc>
          <w:tcPr>
            <w:tcW w:w="525" w:type="pct"/>
            <w:tcBorders>
              <w:top w:val="nil"/>
              <w:bottom w:val="nil"/>
            </w:tcBorders>
            <w:vAlign w:val="center"/>
          </w:tcPr>
          <w:p w:rsidR="00972AA9" w:rsidRDefault="00972AA9">
            <w:pPr>
              <w:jc w:val="center"/>
              <w:rPr>
                <w:rFonts w:cs="Arial"/>
                <w:szCs w:val="20"/>
              </w:rPr>
            </w:pPr>
            <w:r>
              <w:rPr>
                <w:rFonts w:cs="Arial"/>
                <w:szCs w:val="20"/>
              </w:rPr>
              <w:t>89</w:t>
            </w:r>
          </w:p>
        </w:tc>
        <w:tc>
          <w:tcPr>
            <w:tcW w:w="518" w:type="pct"/>
            <w:tcBorders>
              <w:top w:val="nil"/>
              <w:bottom w:val="nil"/>
            </w:tcBorders>
            <w:vAlign w:val="center"/>
          </w:tcPr>
          <w:p w:rsidR="00972AA9" w:rsidRDefault="00972AA9">
            <w:pPr>
              <w:jc w:val="center"/>
              <w:rPr>
                <w:rFonts w:cs="Arial"/>
                <w:szCs w:val="20"/>
              </w:rPr>
            </w:pPr>
            <w:r>
              <w:rPr>
                <w:rFonts w:cs="Arial"/>
                <w:szCs w:val="20"/>
              </w:rPr>
              <w:t>89</w:t>
            </w:r>
          </w:p>
        </w:tc>
        <w:tc>
          <w:tcPr>
            <w:tcW w:w="515" w:type="pct"/>
            <w:tcBorders>
              <w:top w:val="nil"/>
              <w:bottom w:val="nil"/>
            </w:tcBorders>
            <w:vAlign w:val="center"/>
          </w:tcPr>
          <w:p w:rsidR="00972AA9" w:rsidRDefault="00972AA9">
            <w:pPr>
              <w:jc w:val="center"/>
              <w:rPr>
                <w:rFonts w:cs="Arial"/>
                <w:szCs w:val="20"/>
              </w:rPr>
            </w:pPr>
            <w:r>
              <w:rPr>
                <w:rFonts w:cs="Arial"/>
                <w:szCs w:val="20"/>
              </w:rPr>
              <w:t>85</w:t>
            </w:r>
          </w:p>
        </w:tc>
        <w:tc>
          <w:tcPr>
            <w:tcW w:w="587" w:type="pct"/>
            <w:tcBorders>
              <w:top w:val="nil"/>
              <w:bottom w:val="nil"/>
            </w:tcBorders>
            <w:vAlign w:val="center"/>
          </w:tcPr>
          <w:p w:rsidR="00972AA9" w:rsidRDefault="00972AA9">
            <w:pPr>
              <w:jc w:val="center"/>
              <w:rPr>
                <w:rFonts w:cs="Arial"/>
                <w:szCs w:val="20"/>
              </w:rPr>
            </w:pPr>
            <w:r>
              <w:rPr>
                <w:rFonts w:cs="Arial"/>
                <w:szCs w:val="20"/>
              </w:rPr>
              <w:t>77</w:t>
            </w:r>
          </w:p>
        </w:tc>
      </w:tr>
      <w:tr w:rsidR="00972AA9" w:rsidRPr="00405CDE" w:rsidTr="00A226E9">
        <w:trPr>
          <w:trHeight w:val="87"/>
        </w:trPr>
        <w:tc>
          <w:tcPr>
            <w:tcW w:w="1152" w:type="pct"/>
            <w:tcBorders>
              <w:top w:val="nil"/>
              <w:bottom w:val="nil"/>
            </w:tcBorders>
            <w:vAlign w:val="center"/>
          </w:tcPr>
          <w:p w:rsidR="00972AA9" w:rsidRDefault="00972AA9">
            <w:pPr>
              <w:rPr>
                <w:rFonts w:cs="Arial"/>
                <w:sz w:val="20"/>
                <w:szCs w:val="20"/>
              </w:rPr>
            </w:pPr>
            <w:r>
              <w:rPr>
                <w:rFonts w:cs="Arial"/>
                <w:sz w:val="20"/>
                <w:szCs w:val="20"/>
              </w:rPr>
              <w:t>Ex post price ($/GJ)</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8.59</w:t>
            </w:r>
          </w:p>
        </w:tc>
        <w:tc>
          <w:tcPr>
            <w:tcW w:w="516" w:type="pct"/>
            <w:tcBorders>
              <w:top w:val="nil"/>
              <w:bottom w:val="nil"/>
            </w:tcBorders>
            <w:vAlign w:val="center"/>
          </w:tcPr>
          <w:p w:rsidR="00972AA9" w:rsidRDefault="00972AA9">
            <w:pPr>
              <w:jc w:val="center"/>
              <w:rPr>
                <w:rFonts w:cs="Arial"/>
                <w:sz w:val="20"/>
                <w:szCs w:val="20"/>
              </w:rPr>
            </w:pPr>
            <w:r>
              <w:rPr>
                <w:rFonts w:cs="Arial"/>
                <w:sz w:val="20"/>
                <w:szCs w:val="20"/>
              </w:rPr>
              <w:t>13.51</w:t>
            </w:r>
          </w:p>
        </w:tc>
        <w:tc>
          <w:tcPr>
            <w:tcW w:w="598" w:type="pct"/>
            <w:tcBorders>
              <w:top w:val="nil"/>
              <w:bottom w:val="nil"/>
            </w:tcBorders>
            <w:vAlign w:val="center"/>
          </w:tcPr>
          <w:p w:rsidR="00972AA9" w:rsidRDefault="00972AA9">
            <w:pPr>
              <w:jc w:val="center"/>
              <w:rPr>
                <w:rFonts w:cs="Arial"/>
                <w:sz w:val="20"/>
                <w:szCs w:val="20"/>
              </w:rPr>
            </w:pPr>
            <w:r>
              <w:rPr>
                <w:rFonts w:cs="Arial"/>
                <w:sz w:val="20"/>
                <w:szCs w:val="20"/>
              </w:rPr>
              <w:t>16.81</w:t>
            </w:r>
          </w:p>
        </w:tc>
        <w:tc>
          <w:tcPr>
            <w:tcW w:w="525" w:type="pct"/>
            <w:tcBorders>
              <w:top w:val="nil"/>
              <w:bottom w:val="nil"/>
            </w:tcBorders>
            <w:vAlign w:val="center"/>
          </w:tcPr>
          <w:p w:rsidR="00972AA9" w:rsidRDefault="00972AA9">
            <w:pPr>
              <w:jc w:val="center"/>
              <w:rPr>
                <w:rFonts w:cs="Arial"/>
                <w:sz w:val="20"/>
                <w:szCs w:val="20"/>
              </w:rPr>
            </w:pPr>
            <w:r>
              <w:rPr>
                <w:rFonts w:cs="Arial"/>
                <w:sz w:val="20"/>
                <w:szCs w:val="20"/>
              </w:rPr>
              <w:t>18.71</w:t>
            </w:r>
          </w:p>
        </w:tc>
        <w:tc>
          <w:tcPr>
            <w:tcW w:w="518" w:type="pct"/>
            <w:tcBorders>
              <w:top w:val="nil"/>
              <w:bottom w:val="nil"/>
            </w:tcBorders>
            <w:vAlign w:val="center"/>
          </w:tcPr>
          <w:p w:rsidR="00972AA9" w:rsidRDefault="00972AA9">
            <w:pPr>
              <w:jc w:val="center"/>
              <w:rPr>
                <w:rFonts w:cs="Arial"/>
                <w:sz w:val="20"/>
                <w:szCs w:val="20"/>
              </w:rPr>
            </w:pPr>
            <w:r>
              <w:rPr>
                <w:rFonts w:cs="Arial"/>
                <w:sz w:val="20"/>
                <w:szCs w:val="20"/>
              </w:rPr>
              <w:t>18.81</w:t>
            </w:r>
          </w:p>
        </w:tc>
        <w:tc>
          <w:tcPr>
            <w:tcW w:w="515" w:type="pct"/>
            <w:tcBorders>
              <w:top w:val="nil"/>
              <w:bottom w:val="nil"/>
            </w:tcBorders>
            <w:vAlign w:val="center"/>
          </w:tcPr>
          <w:p w:rsidR="00972AA9" w:rsidRDefault="00972AA9">
            <w:pPr>
              <w:jc w:val="center"/>
              <w:rPr>
                <w:rFonts w:cs="Arial"/>
                <w:sz w:val="20"/>
                <w:szCs w:val="20"/>
              </w:rPr>
            </w:pPr>
            <w:r>
              <w:rPr>
                <w:rFonts w:cs="Arial"/>
                <w:sz w:val="20"/>
                <w:szCs w:val="20"/>
              </w:rPr>
              <w:t>16.99</w:t>
            </w:r>
          </w:p>
        </w:tc>
        <w:tc>
          <w:tcPr>
            <w:tcW w:w="587" w:type="pct"/>
            <w:tcBorders>
              <w:top w:val="nil"/>
              <w:bottom w:val="nil"/>
            </w:tcBorders>
            <w:vAlign w:val="center"/>
          </w:tcPr>
          <w:p w:rsidR="00972AA9" w:rsidRDefault="00972AA9">
            <w:pPr>
              <w:jc w:val="center"/>
              <w:rPr>
                <w:rFonts w:cs="Arial"/>
                <w:sz w:val="20"/>
                <w:szCs w:val="20"/>
              </w:rPr>
            </w:pPr>
            <w:r>
              <w:rPr>
                <w:rFonts w:cs="Arial"/>
                <w:sz w:val="20"/>
                <w:szCs w:val="20"/>
              </w:rPr>
              <w:t>24.00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972AA9" w:rsidRDefault="00972AA9">
            <w:pPr>
              <w:rPr>
                <w:rFonts w:cs="Arial"/>
                <w:szCs w:val="20"/>
              </w:rPr>
            </w:pPr>
            <w:r>
              <w:rPr>
                <w:rFonts w:cs="Arial"/>
                <w:szCs w:val="20"/>
              </w:rPr>
              <w:t>Ex post quantity (TJ)</w:t>
            </w:r>
          </w:p>
        </w:tc>
        <w:tc>
          <w:tcPr>
            <w:tcW w:w="589" w:type="pct"/>
            <w:tcBorders>
              <w:top w:val="nil"/>
              <w:bottom w:val="single" w:sz="4" w:space="0" w:color="auto"/>
            </w:tcBorders>
            <w:vAlign w:val="center"/>
          </w:tcPr>
          <w:p w:rsidR="00972AA9" w:rsidRDefault="00972AA9">
            <w:pPr>
              <w:jc w:val="center"/>
              <w:rPr>
                <w:rFonts w:cs="Arial"/>
                <w:szCs w:val="20"/>
              </w:rPr>
            </w:pPr>
            <w:r>
              <w:rPr>
                <w:rFonts w:cs="Arial"/>
                <w:szCs w:val="20"/>
              </w:rPr>
              <w:t>79</w:t>
            </w:r>
          </w:p>
        </w:tc>
        <w:tc>
          <w:tcPr>
            <w:tcW w:w="516" w:type="pct"/>
            <w:tcBorders>
              <w:top w:val="nil"/>
              <w:bottom w:val="single" w:sz="4" w:space="0" w:color="auto"/>
            </w:tcBorders>
            <w:vAlign w:val="center"/>
          </w:tcPr>
          <w:p w:rsidR="00972AA9" w:rsidRDefault="00972AA9">
            <w:pPr>
              <w:jc w:val="center"/>
              <w:rPr>
                <w:rFonts w:cs="Arial"/>
                <w:szCs w:val="20"/>
              </w:rPr>
            </w:pPr>
            <w:r>
              <w:rPr>
                <w:rFonts w:cs="Arial"/>
                <w:szCs w:val="20"/>
              </w:rPr>
              <w:t>87</w:t>
            </w:r>
          </w:p>
        </w:tc>
        <w:tc>
          <w:tcPr>
            <w:tcW w:w="598" w:type="pct"/>
            <w:tcBorders>
              <w:top w:val="nil"/>
              <w:bottom w:val="single" w:sz="4" w:space="0" w:color="auto"/>
            </w:tcBorders>
            <w:vAlign w:val="center"/>
          </w:tcPr>
          <w:p w:rsidR="00972AA9" w:rsidRDefault="00972AA9">
            <w:pPr>
              <w:jc w:val="center"/>
              <w:rPr>
                <w:rFonts w:cs="Arial"/>
                <w:szCs w:val="20"/>
              </w:rPr>
            </w:pPr>
            <w:r>
              <w:rPr>
                <w:rFonts w:cs="Arial"/>
                <w:szCs w:val="20"/>
              </w:rPr>
              <w:t>89</w:t>
            </w:r>
          </w:p>
        </w:tc>
        <w:tc>
          <w:tcPr>
            <w:tcW w:w="525" w:type="pct"/>
            <w:tcBorders>
              <w:top w:val="nil"/>
              <w:bottom w:val="single" w:sz="4" w:space="0" w:color="auto"/>
            </w:tcBorders>
            <w:vAlign w:val="center"/>
          </w:tcPr>
          <w:p w:rsidR="00972AA9" w:rsidRDefault="00972AA9">
            <w:pPr>
              <w:jc w:val="center"/>
              <w:rPr>
                <w:rFonts w:cs="Arial"/>
                <w:szCs w:val="20"/>
              </w:rPr>
            </w:pPr>
            <w:r>
              <w:rPr>
                <w:rFonts w:cs="Arial"/>
                <w:szCs w:val="20"/>
              </w:rPr>
              <w:t>98</w:t>
            </w:r>
          </w:p>
        </w:tc>
        <w:tc>
          <w:tcPr>
            <w:tcW w:w="518" w:type="pct"/>
            <w:tcBorders>
              <w:top w:val="nil"/>
              <w:bottom w:val="single" w:sz="4" w:space="0" w:color="auto"/>
            </w:tcBorders>
            <w:vAlign w:val="center"/>
          </w:tcPr>
          <w:p w:rsidR="00972AA9" w:rsidRDefault="00972AA9">
            <w:pPr>
              <w:jc w:val="center"/>
              <w:rPr>
                <w:rFonts w:cs="Arial"/>
                <w:szCs w:val="20"/>
              </w:rPr>
            </w:pPr>
            <w:r>
              <w:rPr>
                <w:rFonts w:cs="Arial"/>
                <w:szCs w:val="20"/>
              </w:rPr>
              <w:t>90</w:t>
            </w:r>
          </w:p>
        </w:tc>
        <w:tc>
          <w:tcPr>
            <w:tcW w:w="515" w:type="pct"/>
            <w:tcBorders>
              <w:top w:val="nil"/>
              <w:bottom w:val="single" w:sz="4" w:space="0" w:color="auto"/>
            </w:tcBorders>
            <w:vAlign w:val="center"/>
          </w:tcPr>
          <w:p w:rsidR="00972AA9" w:rsidRDefault="00972AA9">
            <w:pPr>
              <w:jc w:val="center"/>
              <w:rPr>
                <w:rFonts w:cs="Arial"/>
                <w:szCs w:val="20"/>
              </w:rPr>
            </w:pPr>
            <w:r>
              <w:rPr>
                <w:rFonts w:cs="Arial"/>
                <w:szCs w:val="20"/>
              </w:rPr>
              <w:t>85</w:t>
            </w:r>
          </w:p>
        </w:tc>
        <w:tc>
          <w:tcPr>
            <w:tcW w:w="587" w:type="pct"/>
            <w:tcBorders>
              <w:top w:val="nil"/>
              <w:bottom w:val="single" w:sz="4" w:space="0" w:color="auto"/>
            </w:tcBorders>
            <w:vAlign w:val="center"/>
          </w:tcPr>
          <w:p w:rsidR="00972AA9" w:rsidRDefault="00972AA9">
            <w:pPr>
              <w:jc w:val="center"/>
              <w:rPr>
                <w:rFonts w:cs="Arial"/>
                <w:szCs w:val="20"/>
              </w:rPr>
            </w:pPr>
            <w:r>
              <w:rPr>
                <w:rFonts w:cs="Arial"/>
                <w:szCs w:val="20"/>
              </w:rPr>
              <w:t>80</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972AA9" w:rsidP="00EC2CB1">
      <w:r w:rsidRPr="00972AA9">
        <w:rPr>
          <w:noProof/>
          <w:lang w:eastAsia="en-AU"/>
        </w:rPr>
        <w:drawing>
          <wp:inline distT="0" distB="0" distL="0" distR="0" wp14:anchorId="16DEDDAF" wp14:editId="7EEB4422">
            <wp:extent cx="5731510" cy="1739923"/>
            <wp:effectExtent l="0" t="0" r="2540" b="0"/>
            <wp:docPr id="19" name="Picture 19" descr="Figure 3.2 shows the daily hub offers and bid in within certain price bands in Adelaid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972AA9" w:rsidP="00EC2CB1">
      <w:r w:rsidRPr="00972AA9">
        <w:rPr>
          <w:noProof/>
          <w:lang w:eastAsia="en-AU"/>
        </w:rPr>
        <w:drawing>
          <wp:inline distT="0" distB="0" distL="0" distR="0" wp14:anchorId="626EDE1F" wp14:editId="524C4279">
            <wp:extent cx="5731510" cy="1511607"/>
            <wp:effectExtent l="0" t="0" r="2540" b="0"/>
            <wp:docPr id="23" name="Picture 23" descr="Figure 3.3 shows the daily scheduled and allocated quantities sorted by facility for Adelaide this week.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972AA9" w:rsidP="00A226E9">
      <w:r w:rsidRPr="00972AA9">
        <w:rPr>
          <w:noProof/>
          <w:lang w:eastAsia="en-AU"/>
        </w:rPr>
        <w:drawing>
          <wp:inline distT="0" distB="0" distL="0" distR="0" wp14:anchorId="05CA7D7C" wp14:editId="443CB831">
            <wp:extent cx="5731510" cy="1802652"/>
            <wp:effectExtent l="0" t="0" r="2540" b="7620"/>
            <wp:docPr id="28" name="Picture 28" descr="Figure 3.4 shows the daily MOS allocations sorted by facility for each facility in Adelaide this week. The figure also shows the daily breakdown of costs associated with the MOS provided.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72AA9" w:rsidRPr="00405CDE" w:rsidTr="00A226E9">
        <w:trPr>
          <w:trHeight w:val="510"/>
        </w:trPr>
        <w:tc>
          <w:tcPr>
            <w:tcW w:w="1152" w:type="pct"/>
            <w:tcBorders>
              <w:top w:val="nil"/>
              <w:bottom w:val="nil"/>
            </w:tcBorders>
            <w:vAlign w:val="center"/>
          </w:tcPr>
          <w:p w:rsidR="00972AA9" w:rsidRDefault="00972AA9">
            <w:pPr>
              <w:rPr>
                <w:rFonts w:cs="Arial"/>
                <w:sz w:val="20"/>
                <w:szCs w:val="20"/>
              </w:rPr>
            </w:pPr>
            <w:r>
              <w:rPr>
                <w:rFonts w:cs="Arial"/>
                <w:sz w:val="20"/>
                <w:szCs w:val="20"/>
              </w:rPr>
              <w:t>Ex ante price ($/GJ)</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10.02</w:t>
            </w:r>
          </w:p>
        </w:tc>
        <w:tc>
          <w:tcPr>
            <w:tcW w:w="516" w:type="pct"/>
            <w:tcBorders>
              <w:top w:val="nil"/>
              <w:bottom w:val="nil"/>
            </w:tcBorders>
            <w:vAlign w:val="center"/>
          </w:tcPr>
          <w:p w:rsidR="00972AA9" w:rsidRDefault="00972AA9">
            <w:pPr>
              <w:jc w:val="center"/>
              <w:rPr>
                <w:rFonts w:cs="Arial"/>
                <w:sz w:val="20"/>
                <w:szCs w:val="20"/>
              </w:rPr>
            </w:pPr>
            <w:r>
              <w:rPr>
                <w:rFonts w:cs="Arial"/>
                <w:sz w:val="20"/>
                <w:szCs w:val="20"/>
              </w:rPr>
              <w:t>10.05</w:t>
            </w:r>
          </w:p>
        </w:tc>
        <w:tc>
          <w:tcPr>
            <w:tcW w:w="598" w:type="pct"/>
            <w:tcBorders>
              <w:top w:val="nil"/>
              <w:bottom w:val="nil"/>
            </w:tcBorders>
            <w:vAlign w:val="center"/>
          </w:tcPr>
          <w:p w:rsidR="00972AA9" w:rsidRDefault="00972AA9">
            <w:pPr>
              <w:jc w:val="center"/>
              <w:rPr>
                <w:rFonts w:cs="Arial"/>
                <w:sz w:val="20"/>
                <w:szCs w:val="20"/>
              </w:rPr>
            </w:pPr>
            <w:r>
              <w:rPr>
                <w:rFonts w:cs="Arial"/>
                <w:sz w:val="20"/>
                <w:szCs w:val="20"/>
              </w:rPr>
              <w:t>10.00</w:t>
            </w:r>
          </w:p>
        </w:tc>
        <w:tc>
          <w:tcPr>
            <w:tcW w:w="525" w:type="pct"/>
            <w:tcBorders>
              <w:top w:val="nil"/>
              <w:bottom w:val="nil"/>
            </w:tcBorders>
            <w:vAlign w:val="center"/>
          </w:tcPr>
          <w:p w:rsidR="00972AA9" w:rsidRDefault="00972AA9">
            <w:pPr>
              <w:jc w:val="center"/>
              <w:rPr>
                <w:rFonts w:cs="Arial"/>
                <w:sz w:val="20"/>
                <w:szCs w:val="20"/>
              </w:rPr>
            </w:pPr>
            <w:r>
              <w:rPr>
                <w:rFonts w:cs="Arial"/>
                <w:sz w:val="20"/>
                <w:szCs w:val="20"/>
              </w:rPr>
              <w:t>11.95</w:t>
            </w:r>
          </w:p>
        </w:tc>
        <w:tc>
          <w:tcPr>
            <w:tcW w:w="518" w:type="pct"/>
            <w:tcBorders>
              <w:top w:val="nil"/>
              <w:bottom w:val="nil"/>
            </w:tcBorders>
            <w:vAlign w:val="center"/>
          </w:tcPr>
          <w:p w:rsidR="00972AA9" w:rsidRDefault="00972AA9">
            <w:pPr>
              <w:jc w:val="center"/>
              <w:rPr>
                <w:rFonts w:cs="Arial"/>
                <w:sz w:val="20"/>
                <w:szCs w:val="20"/>
              </w:rPr>
            </w:pPr>
            <w:r>
              <w:rPr>
                <w:rFonts w:cs="Arial"/>
                <w:sz w:val="20"/>
                <w:szCs w:val="20"/>
              </w:rPr>
              <w:t>10.06</w:t>
            </w:r>
          </w:p>
        </w:tc>
        <w:tc>
          <w:tcPr>
            <w:tcW w:w="515" w:type="pct"/>
            <w:tcBorders>
              <w:top w:val="nil"/>
              <w:bottom w:val="nil"/>
            </w:tcBorders>
            <w:vAlign w:val="center"/>
          </w:tcPr>
          <w:p w:rsidR="00972AA9" w:rsidRDefault="00972AA9">
            <w:pPr>
              <w:jc w:val="center"/>
              <w:rPr>
                <w:rFonts w:cs="Arial"/>
                <w:sz w:val="20"/>
                <w:szCs w:val="20"/>
              </w:rPr>
            </w:pPr>
            <w:r>
              <w:rPr>
                <w:rFonts w:cs="Arial"/>
                <w:sz w:val="20"/>
                <w:szCs w:val="20"/>
              </w:rPr>
              <w:t>14.99</w:t>
            </w:r>
          </w:p>
        </w:tc>
        <w:tc>
          <w:tcPr>
            <w:tcW w:w="587" w:type="pct"/>
            <w:tcBorders>
              <w:top w:val="nil"/>
              <w:bottom w:val="nil"/>
            </w:tcBorders>
            <w:vAlign w:val="center"/>
          </w:tcPr>
          <w:p w:rsidR="00972AA9" w:rsidRDefault="00972AA9">
            <w:pPr>
              <w:jc w:val="center"/>
              <w:rPr>
                <w:rFonts w:cs="Arial"/>
                <w:sz w:val="20"/>
                <w:szCs w:val="20"/>
              </w:rPr>
            </w:pPr>
            <w:r>
              <w:rPr>
                <w:rFonts w:cs="Arial"/>
                <w:sz w:val="20"/>
                <w:szCs w:val="20"/>
              </w:rPr>
              <w:t>15.00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972AA9" w:rsidRDefault="00972AA9">
            <w:pPr>
              <w:rPr>
                <w:rFonts w:cs="Arial"/>
                <w:szCs w:val="20"/>
              </w:rPr>
            </w:pPr>
            <w:r>
              <w:rPr>
                <w:rFonts w:cs="Arial"/>
                <w:szCs w:val="20"/>
              </w:rPr>
              <w:t>Ex ante quantity (TJ)</w:t>
            </w:r>
          </w:p>
        </w:tc>
        <w:tc>
          <w:tcPr>
            <w:tcW w:w="589" w:type="pct"/>
            <w:tcBorders>
              <w:top w:val="nil"/>
              <w:bottom w:val="nil"/>
            </w:tcBorders>
            <w:vAlign w:val="center"/>
          </w:tcPr>
          <w:p w:rsidR="00972AA9" w:rsidRDefault="00972AA9">
            <w:pPr>
              <w:jc w:val="center"/>
              <w:rPr>
                <w:rFonts w:cs="Arial"/>
                <w:szCs w:val="20"/>
              </w:rPr>
            </w:pPr>
            <w:r>
              <w:rPr>
                <w:rFonts w:cs="Arial"/>
                <w:szCs w:val="20"/>
              </w:rPr>
              <w:t>83</w:t>
            </w:r>
          </w:p>
        </w:tc>
        <w:tc>
          <w:tcPr>
            <w:tcW w:w="516" w:type="pct"/>
            <w:tcBorders>
              <w:top w:val="nil"/>
              <w:bottom w:val="nil"/>
            </w:tcBorders>
            <w:vAlign w:val="center"/>
          </w:tcPr>
          <w:p w:rsidR="00972AA9" w:rsidRDefault="00972AA9">
            <w:pPr>
              <w:jc w:val="center"/>
              <w:rPr>
                <w:rFonts w:cs="Arial"/>
                <w:szCs w:val="20"/>
              </w:rPr>
            </w:pPr>
            <w:r>
              <w:rPr>
                <w:rFonts w:cs="Arial"/>
                <w:szCs w:val="20"/>
              </w:rPr>
              <w:t>101</w:t>
            </w:r>
          </w:p>
        </w:tc>
        <w:tc>
          <w:tcPr>
            <w:tcW w:w="598" w:type="pct"/>
            <w:tcBorders>
              <w:top w:val="nil"/>
              <w:bottom w:val="nil"/>
            </w:tcBorders>
            <w:vAlign w:val="center"/>
          </w:tcPr>
          <w:p w:rsidR="00972AA9" w:rsidRDefault="00972AA9">
            <w:pPr>
              <w:jc w:val="center"/>
              <w:rPr>
                <w:rFonts w:cs="Arial"/>
                <w:szCs w:val="20"/>
              </w:rPr>
            </w:pPr>
            <w:r>
              <w:rPr>
                <w:rFonts w:cs="Arial"/>
                <w:szCs w:val="20"/>
              </w:rPr>
              <w:t>104</w:t>
            </w:r>
          </w:p>
        </w:tc>
        <w:tc>
          <w:tcPr>
            <w:tcW w:w="525" w:type="pct"/>
            <w:tcBorders>
              <w:top w:val="nil"/>
              <w:bottom w:val="nil"/>
            </w:tcBorders>
            <w:vAlign w:val="center"/>
          </w:tcPr>
          <w:p w:rsidR="00972AA9" w:rsidRDefault="00972AA9">
            <w:pPr>
              <w:jc w:val="center"/>
              <w:rPr>
                <w:rFonts w:cs="Arial"/>
                <w:szCs w:val="20"/>
              </w:rPr>
            </w:pPr>
            <w:r>
              <w:rPr>
                <w:rFonts w:cs="Arial"/>
                <w:szCs w:val="20"/>
              </w:rPr>
              <w:t>100</w:t>
            </w:r>
          </w:p>
        </w:tc>
        <w:tc>
          <w:tcPr>
            <w:tcW w:w="518" w:type="pct"/>
            <w:tcBorders>
              <w:top w:val="nil"/>
              <w:bottom w:val="nil"/>
            </w:tcBorders>
            <w:vAlign w:val="center"/>
          </w:tcPr>
          <w:p w:rsidR="00972AA9" w:rsidRDefault="00972AA9">
            <w:pPr>
              <w:jc w:val="center"/>
              <w:rPr>
                <w:rFonts w:cs="Arial"/>
                <w:szCs w:val="20"/>
              </w:rPr>
            </w:pPr>
            <w:r>
              <w:rPr>
                <w:rFonts w:cs="Arial"/>
                <w:szCs w:val="20"/>
              </w:rPr>
              <w:t>101</w:t>
            </w:r>
          </w:p>
        </w:tc>
        <w:tc>
          <w:tcPr>
            <w:tcW w:w="515" w:type="pct"/>
            <w:tcBorders>
              <w:top w:val="nil"/>
              <w:bottom w:val="nil"/>
            </w:tcBorders>
            <w:vAlign w:val="center"/>
          </w:tcPr>
          <w:p w:rsidR="00972AA9" w:rsidRDefault="00972AA9">
            <w:pPr>
              <w:jc w:val="center"/>
              <w:rPr>
                <w:rFonts w:cs="Arial"/>
                <w:szCs w:val="20"/>
              </w:rPr>
            </w:pPr>
            <w:r>
              <w:rPr>
                <w:rFonts w:cs="Arial"/>
                <w:szCs w:val="20"/>
              </w:rPr>
              <w:t>96</w:t>
            </w:r>
          </w:p>
        </w:tc>
        <w:tc>
          <w:tcPr>
            <w:tcW w:w="587" w:type="pct"/>
            <w:tcBorders>
              <w:top w:val="nil"/>
              <w:bottom w:val="nil"/>
            </w:tcBorders>
            <w:vAlign w:val="center"/>
          </w:tcPr>
          <w:p w:rsidR="00972AA9" w:rsidRDefault="00972AA9">
            <w:pPr>
              <w:jc w:val="center"/>
              <w:rPr>
                <w:rFonts w:cs="Arial"/>
                <w:szCs w:val="20"/>
              </w:rPr>
            </w:pPr>
            <w:r>
              <w:rPr>
                <w:rFonts w:cs="Arial"/>
                <w:szCs w:val="20"/>
              </w:rPr>
              <w:t>83</w:t>
            </w:r>
          </w:p>
        </w:tc>
      </w:tr>
      <w:tr w:rsidR="00972AA9" w:rsidRPr="00405CDE" w:rsidTr="00A226E9">
        <w:trPr>
          <w:trHeight w:val="510"/>
        </w:trPr>
        <w:tc>
          <w:tcPr>
            <w:tcW w:w="1152" w:type="pct"/>
            <w:tcBorders>
              <w:top w:val="nil"/>
              <w:bottom w:val="nil"/>
            </w:tcBorders>
            <w:vAlign w:val="center"/>
          </w:tcPr>
          <w:p w:rsidR="00972AA9" w:rsidRDefault="00972AA9">
            <w:pPr>
              <w:rPr>
                <w:rFonts w:cs="Arial"/>
                <w:sz w:val="20"/>
                <w:szCs w:val="20"/>
              </w:rPr>
            </w:pPr>
            <w:r>
              <w:rPr>
                <w:rFonts w:cs="Arial"/>
                <w:sz w:val="20"/>
                <w:szCs w:val="20"/>
              </w:rPr>
              <w:t>Ex post price ($/GJ)</w:t>
            </w:r>
          </w:p>
        </w:tc>
        <w:tc>
          <w:tcPr>
            <w:tcW w:w="589" w:type="pct"/>
            <w:tcBorders>
              <w:top w:val="nil"/>
              <w:bottom w:val="nil"/>
            </w:tcBorders>
            <w:vAlign w:val="center"/>
          </w:tcPr>
          <w:p w:rsidR="00972AA9" w:rsidRDefault="00972AA9">
            <w:pPr>
              <w:jc w:val="center"/>
              <w:rPr>
                <w:rFonts w:cs="Arial"/>
                <w:sz w:val="20"/>
                <w:szCs w:val="20"/>
              </w:rPr>
            </w:pPr>
            <w:r>
              <w:rPr>
                <w:rFonts w:cs="Arial"/>
                <w:sz w:val="20"/>
                <w:szCs w:val="20"/>
              </w:rPr>
              <w:t>7.61</w:t>
            </w:r>
          </w:p>
        </w:tc>
        <w:tc>
          <w:tcPr>
            <w:tcW w:w="516" w:type="pct"/>
            <w:tcBorders>
              <w:top w:val="nil"/>
              <w:bottom w:val="nil"/>
            </w:tcBorders>
            <w:vAlign w:val="center"/>
          </w:tcPr>
          <w:p w:rsidR="00972AA9" w:rsidRDefault="00972AA9">
            <w:pPr>
              <w:jc w:val="center"/>
              <w:rPr>
                <w:rFonts w:cs="Arial"/>
                <w:sz w:val="20"/>
                <w:szCs w:val="20"/>
              </w:rPr>
            </w:pPr>
            <w:r>
              <w:rPr>
                <w:rFonts w:cs="Arial"/>
                <w:sz w:val="20"/>
                <w:szCs w:val="20"/>
              </w:rPr>
              <w:t>10.05</w:t>
            </w:r>
          </w:p>
        </w:tc>
        <w:tc>
          <w:tcPr>
            <w:tcW w:w="598" w:type="pct"/>
            <w:tcBorders>
              <w:top w:val="nil"/>
              <w:bottom w:val="nil"/>
            </w:tcBorders>
            <w:vAlign w:val="center"/>
          </w:tcPr>
          <w:p w:rsidR="00972AA9" w:rsidRDefault="00972AA9">
            <w:pPr>
              <w:jc w:val="center"/>
              <w:rPr>
                <w:rFonts w:cs="Arial"/>
                <w:sz w:val="20"/>
                <w:szCs w:val="20"/>
              </w:rPr>
            </w:pPr>
            <w:r>
              <w:rPr>
                <w:rFonts w:cs="Arial"/>
                <w:sz w:val="20"/>
                <w:szCs w:val="20"/>
              </w:rPr>
              <w:t>9.05</w:t>
            </w:r>
          </w:p>
        </w:tc>
        <w:tc>
          <w:tcPr>
            <w:tcW w:w="525" w:type="pct"/>
            <w:tcBorders>
              <w:top w:val="nil"/>
              <w:bottom w:val="nil"/>
            </w:tcBorders>
            <w:vAlign w:val="center"/>
          </w:tcPr>
          <w:p w:rsidR="00972AA9" w:rsidRDefault="00972AA9">
            <w:pPr>
              <w:jc w:val="center"/>
              <w:rPr>
                <w:rFonts w:cs="Arial"/>
                <w:sz w:val="20"/>
                <w:szCs w:val="20"/>
              </w:rPr>
            </w:pPr>
            <w:r>
              <w:rPr>
                <w:rFonts w:cs="Arial"/>
                <w:sz w:val="20"/>
                <w:szCs w:val="20"/>
              </w:rPr>
              <w:t>11.95</w:t>
            </w:r>
          </w:p>
        </w:tc>
        <w:tc>
          <w:tcPr>
            <w:tcW w:w="518" w:type="pct"/>
            <w:tcBorders>
              <w:top w:val="nil"/>
              <w:bottom w:val="nil"/>
            </w:tcBorders>
            <w:vAlign w:val="center"/>
          </w:tcPr>
          <w:p w:rsidR="00972AA9" w:rsidRDefault="00972AA9">
            <w:pPr>
              <w:jc w:val="center"/>
              <w:rPr>
                <w:rFonts w:cs="Arial"/>
                <w:sz w:val="20"/>
                <w:szCs w:val="20"/>
              </w:rPr>
            </w:pPr>
            <w:r>
              <w:rPr>
                <w:rFonts w:cs="Arial"/>
                <w:sz w:val="20"/>
                <w:szCs w:val="20"/>
              </w:rPr>
              <w:t>18.90</w:t>
            </w:r>
          </w:p>
        </w:tc>
        <w:tc>
          <w:tcPr>
            <w:tcW w:w="515" w:type="pct"/>
            <w:tcBorders>
              <w:top w:val="nil"/>
              <w:bottom w:val="nil"/>
            </w:tcBorders>
            <w:vAlign w:val="center"/>
          </w:tcPr>
          <w:p w:rsidR="00972AA9" w:rsidRDefault="00972AA9">
            <w:pPr>
              <w:jc w:val="center"/>
              <w:rPr>
                <w:rFonts w:cs="Arial"/>
                <w:sz w:val="20"/>
                <w:szCs w:val="20"/>
              </w:rPr>
            </w:pPr>
            <w:r>
              <w:rPr>
                <w:rFonts w:cs="Arial"/>
                <w:sz w:val="20"/>
                <w:szCs w:val="20"/>
              </w:rPr>
              <w:t>14.99</w:t>
            </w:r>
          </w:p>
        </w:tc>
        <w:tc>
          <w:tcPr>
            <w:tcW w:w="587" w:type="pct"/>
            <w:tcBorders>
              <w:top w:val="nil"/>
              <w:bottom w:val="nil"/>
            </w:tcBorders>
            <w:vAlign w:val="center"/>
          </w:tcPr>
          <w:p w:rsidR="00972AA9" w:rsidRDefault="00972AA9">
            <w:pPr>
              <w:jc w:val="center"/>
              <w:rPr>
                <w:rFonts w:cs="Arial"/>
                <w:sz w:val="20"/>
                <w:szCs w:val="20"/>
              </w:rPr>
            </w:pPr>
            <w:r>
              <w:rPr>
                <w:rFonts w:cs="Arial"/>
                <w:sz w:val="20"/>
                <w:szCs w:val="20"/>
              </w:rPr>
              <w:t>15.00</w:t>
            </w:r>
          </w:p>
        </w:tc>
      </w:tr>
      <w:tr w:rsidR="00972AA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972AA9" w:rsidRDefault="00972AA9">
            <w:pPr>
              <w:rPr>
                <w:rFonts w:cs="Arial"/>
                <w:szCs w:val="20"/>
              </w:rPr>
            </w:pPr>
            <w:r>
              <w:rPr>
                <w:rFonts w:cs="Arial"/>
                <w:szCs w:val="20"/>
              </w:rPr>
              <w:t>Ex post quantity (TJ)</w:t>
            </w:r>
          </w:p>
        </w:tc>
        <w:tc>
          <w:tcPr>
            <w:tcW w:w="589" w:type="pct"/>
            <w:tcBorders>
              <w:top w:val="nil"/>
              <w:bottom w:val="single" w:sz="4" w:space="0" w:color="auto"/>
            </w:tcBorders>
            <w:vAlign w:val="center"/>
          </w:tcPr>
          <w:p w:rsidR="00972AA9" w:rsidRDefault="00972AA9">
            <w:pPr>
              <w:jc w:val="center"/>
              <w:rPr>
                <w:rFonts w:cs="Arial"/>
                <w:szCs w:val="20"/>
              </w:rPr>
            </w:pPr>
            <w:r>
              <w:rPr>
                <w:rFonts w:cs="Arial"/>
                <w:szCs w:val="20"/>
              </w:rPr>
              <w:t>77</w:t>
            </w:r>
          </w:p>
        </w:tc>
        <w:tc>
          <w:tcPr>
            <w:tcW w:w="516" w:type="pct"/>
            <w:tcBorders>
              <w:top w:val="nil"/>
              <w:bottom w:val="single" w:sz="4" w:space="0" w:color="auto"/>
            </w:tcBorders>
            <w:vAlign w:val="center"/>
          </w:tcPr>
          <w:p w:rsidR="00972AA9" w:rsidRDefault="00972AA9">
            <w:pPr>
              <w:jc w:val="center"/>
              <w:rPr>
                <w:rFonts w:cs="Arial"/>
                <w:szCs w:val="20"/>
              </w:rPr>
            </w:pPr>
            <w:r>
              <w:rPr>
                <w:rFonts w:cs="Arial"/>
                <w:szCs w:val="20"/>
              </w:rPr>
              <w:t>98</w:t>
            </w:r>
          </w:p>
        </w:tc>
        <w:tc>
          <w:tcPr>
            <w:tcW w:w="598" w:type="pct"/>
            <w:tcBorders>
              <w:top w:val="nil"/>
              <w:bottom w:val="single" w:sz="4" w:space="0" w:color="auto"/>
            </w:tcBorders>
            <w:vAlign w:val="center"/>
          </w:tcPr>
          <w:p w:rsidR="00972AA9" w:rsidRDefault="00972AA9">
            <w:pPr>
              <w:jc w:val="center"/>
              <w:rPr>
                <w:rFonts w:cs="Arial"/>
                <w:szCs w:val="20"/>
              </w:rPr>
            </w:pPr>
            <w:r>
              <w:rPr>
                <w:rFonts w:cs="Arial"/>
                <w:szCs w:val="20"/>
              </w:rPr>
              <w:t>102</w:t>
            </w:r>
          </w:p>
        </w:tc>
        <w:tc>
          <w:tcPr>
            <w:tcW w:w="525" w:type="pct"/>
            <w:tcBorders>
              <w:top w:val="nil"/>
              <w:bottom w:val="single" w:sz="4" w:space="0" w:color="auto"/>
            </w:tcBorders>
            <w:vAlign w:val="center"/>
          </w:tcPr>
          <w:p w:rsidR="00972AA9" w:rsidRDefault="00972AA9">
            <w:pPr>
              <w:jc w:val="center"/>
              <w:rPr>
                <w:rFonts w:cs="Arial"/>
                <w:szCs w:val="20"/>
              </w:rPr>
            </w:pPr>
            <w:r>
              <w:rPr>
                <w:rFonts w:cs="Arial"/>
                <w:szCs w:val="20"/>
              </w:rPr>
              <w:t>99</w:t>
            </w:r>
          </w:p>
        </w:tc>
        <w:tc>
          <w:tcPr>
            <w:tcW w:w="518" w:type="pct"/>
            <w:tcBorders>
              <w:top w:val="nil"/>
              <w:bottom w:val="single" w:sz="4" w:space="0" w:color="auto"/>
            </w:tcBorders>
            <w:vAlign w:val="center"/>
          </w:tcPr>
          <w:p w:rsidR="00972AA9" w:rsidRDefault="00972AA9">
            <w:pPr>
              <w:jc w:val="center"/>
              <w:rPr>
                <w:rFonts w:cs="Arial"/>
                <w:szCs w:val="20"/>
              </w:rPr>
            </w:pPr>
            <w:r>
              <w:rPr>
                <w:rFonts w:cs="Arial"/>
                <w:szCs w:val="20"/>
              </w:rPr>
              <w:t>103</w:t>
            </w:r>
          </w:p>
        </w:tc>
        <w:tc>
          <w:tcPr>
            <w:tcW w:w="515" w:type="pct"/>
            <w:tcBorders>
              <w:top w:val="nil"/>
              <w:bottom w:val="single" w:sz="4" w:space="0" w:color="auto"/>
            </w:tcBorders>
            <w:vAlign w:val="center"/>
          </w:tcPr>
          <w:p w:rsidR="00972AA9" w:rsidRDefault="00972AA9">
            <w:pPr>
              <w:jc w:val="center"/>
              <w:rPr>
                <w:rFonts w:cs="Arial"/>
                <w:szCs w:val="20"/>
              </w:rPr>
            </w:pPr>
            <w:r>
              <w:rPr>
                <w:rFonts w:cs="Arial"/>
                <w:szCs w:val="20"/>
              </w:rPr>
              <w:t>94</w:t>
            </w:r>
          </w:p>
        </w:tc>
        <w:tc>
          <w:tcPr>
            <w:tcW w:w="587" w:type="pct"/>
            <w:tcBorders>
              <w:top w:val="nil"/>
              <w:bottom w:val="single" w:sz="4" w:space="0" w:color="auto"/>
            </w:tcBorders>
            <w:vAlign w:val="center"/>
          </w:tcPr>
          <w:p w:rsidR="00972AA9" w:rsidRDefault="00972AA9">
            <w:pPr>
              <w:jc w:val="center"/>
              <w:rPr>
                <w:rFonts w:cs="Arial"/>
                <w:szCs w:val="20"/>
              </w:rPr>
            </w:pPr>
            <w:r>
              <w:rPr>
                <w:rFonts w:cs="Arial"/>
                <w:szCs w:val="20"/>
              </w:rPr>
              <w:t>81</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972AA9" w:rsidP="00EC2CB1">
      <w:r w:rsidRPr="00972AA9">
        <w:rPr>
          <w:noProof/>
          <w:lang w:eastAsia="en-AU"/>
        </w:rPr>
        <w:drawing>
          <wp:inline distT="0" distB="0" distL="0" distR="0" wp14:anchorId="7C57F342" wp14:editId="551C17FF">
            <wp:extent cx="5731510" cy="1725905"/>
            <wp:effectExtent l="0" t="0" r="2540" b="0"/>
            <wp:docPr id="17" name="Picture 17" descr="Figure 4.2 shows the daily hub offers and bid in within certain price bands in Brisbane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972AA9" w:rsidP="00EC2CB1">
      <w:r w:rsidRPr="00972AA9">
        <w:rPr>
          <w:noProof/>
          <w:lang w:eastAsia="en-AU"/>
        </w:rPr>
        <w:drawing>
          <wp:inline distT="0" distB="0" distL="0" distR="0" wp14:anchorId="3E894F6D" wp14:editId="34B8E5E2">
            <wp:extent cx="5731510" cy="1475616"/>
            <wp:effectExtent l="0" t="0" r="2540" b="0"/>
            <wp:docPr id="24" name="Picture 24"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972AA9" w:rsidP="00A226E9">
      <w:r w:rsidRPr="00972AA9">
        <w:rPr>
          <w:noProof/>
          <w:lang w:eastAsia="en-AU"/>
        </w:rPr>
        <w:drawing>
          <wp:inline distT="0" distB="0" distL="0" distR="0" wp14:anchorId="01C82264" wp14:editId="75DC0C80">
            <wp:extent cx="5731510" cy="1883137"/>
            <wp:effectExtent l="0" t="0" r="2540" b="3175"/>
            <wp:docPr id="27" name="Picture 27"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20"/>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21"/>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972AA9">
      <w:pPr>
        <w:spacing w:line="240" w:lineRule="auto"/>
      </w:pPr>
      <w:r>
        <w:rPr>
          <w:b/>
          <w:bCs/>
          <w:noProof/>
          <w:lang w:eastAsia="en-AU"/>
        </w:rPr>
        <w:drawing>
          <wp:inline distT="0" distB="0" distL="0" distR="0">
            <wp:extent cx="5731510" cy="6142275"/>
            <wp:effectExtent l="0" t="0" r="2540" b="0"/>
            <wp:docPr id="30" name="Picture 3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22"/>
      </w:r>
      <w:r w:rsidRPr="00552F68">
        <w:t xml:space="preserve"> for the supply of gas traded</w:t>
      </w:r>
      <w:r w:rsidR="006A1226">
        <w:rPr>
          <w:rStyle w:val="FootnoteReference"/>
        </w:rPr>
        <w:footnoteReference w:id="23"/>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FB3771" w:rsidRDefault="00AC4BF5" w:rsidP="00551D6B">
      <w:pPr>
        <w:jc w:val="both"/>
      </w:pPr>
      <w:r w:rsidRPr="00FB3771">
        <w:t xml:space="preserve">There were </w:t>
      </w:r>
      <w:r w:rsidR="00FB3771" w:rsidRPr="00FB3771">
        <w:t>26</w:t>
      </w:r>
      <w:r w:rsidRPr="00FB3771">
        <w:t xml:space="preserve"> trades this week for </w:t>
      </w:r>
      <w:r w:rsidR="00FB3771">
        <w:t>203</w:t>
      </w:r>
      <w:r w:rsidRPr="00FB3771">
        <w:t> TJ of gas at a volume weighted price of $</w:t>
      </w:r>
      <w:r w:rsidR="00FB3771">
        <w:t>11.58</w:t>
      </w:r>
      <w:r w:rsidRPr="00FB3771">
        <w:t>/GJ in</w:t>
      </w:r>
      <w:r w:rsidR="001C7B90">
        <w:t xml:space="preserve"> </w:t>
      </w:r>
      <w:r w:rsidRPr="00FB3771">
        <w:t>the Wallumbilla hub</w:t>
      </w:r>
      <w:r w:rsidR="00FB3771">
        <w:t xml:space="preserve"> (26 TJ, $9.94/GJ on the RBP and 177 TJ, $11.82 on the SWQP)</w:t>
      </w:r>
      <w:r w:rsidRPr="00FB3771">
        <w:t>.</w:t>
      </w:r>
      <w:r w:rsidR="00FF07E4">
        <w:t xml:space="preserve"> </w:t>
      </w:r>
      <w:r w:rsidR="00FB3771">
        <w:t>Prices reached record levels again this week, with trades for products on the SWQP priced between $</w:t>
      </w:r>
      <w:r w:rsidR="00F67E60">
        <w:t>8.40</w:t>
      </w:r>
      <w:r w:rsidR="00FB3771">
        <w:t xml:space="preserve">–$15/GJ and trades on the RBP priced </w:t>
      </w:r>
      <w:r w:rsidR="00F67E60">
        <w:t>between</w:t>
      </w:r>
      <w:r w:rsidR="00FB3771">
        <w:t xml:space="preserve"> $</w:t>
      </w:r>
      <w:r w:rsidR="00F67E60">
        <w:t>9.20–$</w:t>
      </w:r>
      <w:r w:rsidR="00FB3771">
        <w:t>12.25/GJ.</w:t>
      </w:r>
    </w:p>
    <w:p w:rsidR="00FF07E4" w:rsidRPr="00FB3771" w:rsidRDefault="00FF07E4" w:rsidP="00551D6B">
      <w:pPr>
        <w:jc w:val="both"/>
      </w:pPr>
      <w:r>
        <w:t xml:space="preserve">Balance of day (or part day) and daily </w:t>
      </w:r>
      <w:r w:rsidR="00FA56CD">
        <w:t>(</w:t>
      </w:r>
      <w:r>
        <w:t>including day</w:t>
      </w:r>
      <w:r w:rsidR="00FA56CD">
        <w:t>–</w:t>
      </w:r>
      <w:r>
        <w:t>ahead</w:t>
      </w:r>
      <w:r w:rsidR="00FA56CD">
        <w:t>)</w:t>
      </w:r>
      <w:r>
        <w:t xml:space="preserve"> commodity gas was traded this week with no trades of gas for weekly or monthly delivery. </w:t>
      </w:r>
      <w:r w:rsidRPr="00FB3771">
        <w:t xml:space="preserve"> </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135610" w:rsidP="00E16EDC">
      <w:r w:rsidRPr="00135610">
        <w:rPr>
          <w:noProof/>
          <w:lang w:eastAsia="en-AU"/>
        </w:rPr>
        <w:drawing>
          <wp:inline distT="0" distB="0" distL="0" distR="0" wp14:anchorId="0427A679" wp14:editId="002A2B9B">
            <wp:extent cx="5731510" cy="3126794"/>
            <wp:effectExtent l="0" t="0" r="2540" b="0"/>
            <wp:docPr id="32" name="Picture 3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1"/>
    <w:bookmarkEnd w:id="2"/>
    <w:bookmarkEnd w:id="3"/>
    <w:bookmarkEnd w:id="4"/>
    <w:bookmarkEnd w:id="5"/>
    <w:bookmarkEnd w:id="6"/>
    <w:p w:rsidR="00275002" w:rsidRPr="009F2CAC" w:rsidRDefault="00275002" w:rsidP="00783D4E">
      <w:pPr>
        <w:pStyle w:val="Heading4notnumbered"/>
      </w:pPr>
      <w:r w:rsidRPr="00D92E07">
        <w:t>Australian Energy Regulator</w:t>
      </w:r>
      <w:r w:rsidR="005B0EF5" w:rsidRPr="00D92E07">
        <w:br/>
      </w:r>
      <w:r w:rsidR="00E06937" w:rsidRPr="00FB3771">
        <w:t>Ju</w:t>
      </w:r>
      <w:r w:rsidR="00FB3771" w:rsidRPr="00FB3771">
        <w:t>ly</w:t>
      </w:r>
      <w:r w:rsidR="004D5447" w:rsidRPr="00FB3771">
        <w:t xml:space="preserve"> </w:t>
      </w:r>
      <w:r w:rsidR="00C4712A" w:rsidRPr="00FB3771">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E4D" w:rsidRDefault="00005E4D" w:rsidP="004B4412">
      <w:pPr>
        <w:spacing w:before="0"/>
      </w:pPr>
      <w:r>
        <w:separator/>
      </w:r>
    </w:p>
  </w:endnote>
  <w:endnote w:type="continuationSeparator" w:id="0">
    <w:p w:rsidR="00005E4D" w:rsidRDefault="00005E4D"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4D" w:rsidRPr="00A91A9E" w:rsidRDefault="00005E4D"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05E4D" w:rsidRDefault="00005E4D"/>
  <w:p w:rsidR="00005E4D" w:rsidRDefault="00005E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4D" w:rsidRPr="00A94D89" w:rsidRDefault="00005E4D"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77DBC">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E4D" w:rsidRPr="00BD62B4" w:rsidRDefault="00005E4D" w:rsidP="00A94D89">
    <w:pPr>
      <w:pStyle w:val="Footer"/>
      <w:pBdr>
        <w:top w:val="single" w:sz="4" w:space="1" w:color="auto"/>
      </w:pBdr>
      <w:rPr>
        <w:rFonts w:cs="Arial"/>
        <w:i/>
        <w:szCs w:val="18"/>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177DBC">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88613</w:t>
    </w:r>
  </w:p>
  <w:p w:rsidR="00005E4D" w:rsidRDefault="00005E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E4D" w:rsidRDefault="00005E4D" w:rsidP="004B4412">
      <w:pPr>
        <w:spacing w:before="0"/>
      </w:pPr>
      <w:r>
        <w:separator/>
      </w:r>
    </w:p>
  </w:footnote>
  <w:footnote w:type="continuationSeparator" w:id="0">
    <w:p w:rsidR="00005E4D" w:rsidRDefault="00005E4D" w:rsidP="004B4412">
      <w:pPr>
        <w:spacing w:before="0"/>
      </w:pPr>
      <w:r>
        <w:continuationSeparator/>
      </w:r>
    </w:p>
  </w:footnote>
  <w:footnote w:id="1">
    <w:p w:rsidR="00005E4D" w:rsidRPr="00133C01" w:rsidRDefault="00005E4D" w:rsidP="00480039">
      <w:pPr>
        <w:pStyle w:val="FootnoteText"/>
        <w:ind w:left="709" w:hanging="709"/>
        <w:jc w:val="both"/>
      </w:pPr>
      <w:r>
        <w:rPr>
          <w:rStyle w:val="FootnoteReference"/>
        </w:rPr>
        <w:footnoteRef/>
      </w:r>
      <w:r>
        <w:t xml:space="preserve"> </w:t>
      </w:r>
      <w:r>
        <w:tab/>
        <w:t xml:space="preserve">This </w:t>
      </w:r>
      <w:r w:rsidRPr="00133C01">
        <w:t>record excludes the $390/GJ ex post price set on 8 October 2010 (due to an allocation data error) and $150/GJ (ex ante)</w:t>
      </w:r>
      <w:r>
        <w:t xml:space="preserve"> and </w:t>
      </w:r>
      <w:r w:rsidRPr="00133C01">
        <w:t xml:space="preserve">$400/GJ (ex post) prices set on 1 November 2010 (due to erroneous capacity figure </w:t>
      </w:r>
      <w:r>
        <w:t>on</w:t>
      </w:r>
      <w:r w:rsidRPr="00133C01">
        <w:t xml:space="preserve"> the MSP).</w:t>
      </w:r>
    </w:p>
  </w:footnote>
  <w:footnote w:id="2">
    <w:p w:rsidR="00005E4D" w:rsidRDefault="00005E4D" w:rsidP="00480039">
      <w:pPr>
        <w:pStyle w:val="FootnoteText"/>
        <w:ind w:left="709" w:hanging="709"/>
        <w:jc w:val="both"/>
      </w:pPr>
      <w:r>
        <w:rPr>
          <w:rStyle w:val="FootnoteReference"/>
        </w:rPr>
        <w:footnoteRef/>
      </w:r>
      <w:r>
        <w:t xml:space="preserve"> </w:t>
      </w:r>
      <w:r>
        <w:tab/>
        <w:t xml:space="preserve">This record </w:t>
      </w:r>
      <w:r w:rsidRPr="00133C01">
        <w:t xml:space="preserve">was subsequently exceeded on 6 July and 13 July, which will be notified in future </w:t>
      </w:r>
      <w:r>
        <w:t xml:space="preserve">monitoring </w:t>
      </w:r>
      <w:r w:rsidRPr="00133C01">
        <w:t>reports.</w:t>
      </w:r>
    </w:p>
  </w:footnote>
  <w:footnote w:id="3">
    <w:p w:rsidR="00005E4D" w:rsidRDefault="00005E4D" w:rsidP="00480039">
      <w:pPr>
        <w:pStyle w:val="FootnoteText"/>
        <w:ind w:left="709" w:hanging="709"/>
        <w:jc w:val="both"/>
      </w:pPr>
      <w:r>
        <w:rPr>
          <w:rStyle w:val="FootnoteReference"/>
        </w:rPr>
        <w:footnoteRef/>
      </w:r>
      <w:r>
        <w:t xml:space="preserve"> </w:t>
      </w:r>
      <w:r>
        <w:tab/>
        <w:t>Combined Victorian market scheduled demand on 4 days this winter has already exceeded 1,100 TJ (up to 30 July).</w:t>
      </w:r>
    </w:p>
  </w:footnote>
  <w:footnote w:id="4">
    <w:p w:rsidR="00005E4D" w:rsidRDefault="00005E4D" w:rsidP="00480039">
      <w:pPr>
        <w:pStyle w:val="FootnoteText"/>
        <w:ind w:left="709" w:hanging="709"/>
        <w:jc w:val="both"/>
      </w:pPr>
      <w:r>
        <w:rPr>
          <w:rStyle w:val="FootnoteReference"/>
        </w:rPr>
        <w:footnoteRef/>
      </w:r>
      <w:r>
        <w:t xml:space="preserve"> </w:t>
      </w:r>
      <w:r>
        <w:tab/>
        <w:t xml:space="preserve">Demand over 1,100 TJ also occurred in Victoria last winter without prices exceeding </w:t>
      </w:r>
      <w:r w:rsidRPr="005D775F">
        <w:t>$</w:t>
      </w:r>
      <w:r w:rsidRPr="00DB5204">
        <w:t>11</w:t>
      </w:r>
      <w:r w:rsidRPr="005D775F">
        <w:t>/GJ</w:t>
      </w:r>
      <w:r>
        <w:t>.</w:t>
      </w:r>
    </w:p>
  </w:footnote>
  <w:footnote w:id="5">
    <w:p w:rsidR="00005E4D" w:rsidRDefault="00005E4D" w:rsidP="008F4BD9">
      <w:pPr>
        <w:pStyle w:val="FootnoteText"/>
        <w:ind w:left="709" w:hanging="709"/>
        <w:jc w:val="both"/>
      </w:pPr>
      <w:r>
        <w:rPr>
          <w:rStyle w:val="FootnoteReference"/>
        </w:rPr>
        <w:footnoteRef/>
      </w:r>
      <w:r>
        <w:t xml:space="preserve"> </w:t>
      </w:r>
      <w:r>
        <w:tab/>
        <w:t>For example, Victorian Gas generation is up from between 10 - 30 TJ per day in June and July last year to between 40 - 100 TJ this year. Since 1 June SA generation demand has been 72 TJ/d higher than the same period last year.</w:t>
      </w:r>
    </w:p>
  </w:footnote>
  <w:footnote w:id="6">
    <w:p w:rsidR="00005E4D" w:rsidRDefault="00005E4D" w:rsidP="00D3655A">
      <w:pPr>
        <w:pStyle w:val="FootnoteText"/>
        <w:spacing w:beforeLines="60" w:before="144"/>
        <w:ind w:left="709" w:hanging="709"/>
        <w:jc w:val="both"/>
      </w:pPr>
      <w:r>
        <w:rPr>
          <w:rStyle w:val="FootnoteReference"/>
        </w:rPr>
        <w:footnoteRef/>
      </w:r>
      <w:r>
        <w:t xml:space="preserve"> </w:t>
      </w:r>
      <w:r>
        <w:tab/>
        <w:t>1308 TJ/day in 2015 (1 June to 2 July) compared to 1440 TJ/day in 2016 (1 June to 2 July).</w:t>
      </w:r>
    </w:p>
  </w:footnote>
  <w:footnote w:id="7">
    <w:p w:rsidR="00005E4D" w:rsidRDefault="00005E4D" w:rsidP="00005E4D">
      <w:pPr>
        <w:spacing w:beforeLines="60" w:before="144"/>
        <w:ind w:left="709" w:hanging="709"/>
        <w:jc w:val="both"/>
      </w:pPr>
      <w:r w:rsidRPr="008741B2">
        <w:rPr>
          <w:rStyle w:val="FootnoteReference"/>
          <w:sz w:val="16"/>
          <w:szCs w:val="16"/>
        </w:rPr>
        <w:footnoteRef/>
      </w:r>
      <w:r>
        <w:t xml:space="preserve"> </w:t>
      </w:r>
      <w:r>
        <w:tab/>
      </w:r>
      <w:hyperlink r:id="rId1" w:history="1">
        <w:r w:rsidRPr="00831582">
          <w:rPr>
            <w:rStyle w:val="Hyperlink"/>
            <w:sz w:val="16"/>
            <w:szCs w:val="16"/>
          </w:rPr>
          <w:t>https://www.agl.com.au/about-agl/media-centre/article-list/2016/july/agl-update-on-fy17-gas-portfolio-margins</w:t>
        </w:r>
      </w:hyperlink>
      <w:r w:rsidRPr="00831582">
        <w:rPr>
          <w:sz w:val="16"/>
          <w:szCs w:val="16"/>
        </w:rPr>
        <w:t xml:space="preserve">       </w:t>
      </w:r>
      <w:r w:rsidRPr="00831582">
        <w:rPr>
          <w:sz w:val="16"/>
          <w:szCs w:val="20"/>
        </w:rPr>
        <w:t>Curtailment arising from safety issues affecting its key supplier’s project.</w:t>
      </w:r>
    </w:p>
  </w:footnote>
  <w:footnote w:id="8">
    <w:p w:rsidR="00005E4D" w:rsidRDefault="00005E4D" w:rsidP="00005E4D">
      <w:pPr>
        <w:pStyle w:val="FootnoteText"/>
        <w:spacing w:beforeLines="60" w:before="144"/>
        <w:ind w:left="709" w:hanging="709"/>
        <w:jc w:val="both"/>
      </w:pPr>
      <w:r>
        <w:rPr>
          <w:rStyle w:val="FootnoteReference"/>
        </w:rPr>
        <w:footnoteRef/>
      </w:r>
      <w:r>
        <w:t xml:space="preserve"> </w:t>
      </w:r>
      <w:r>
        <w:tab/>
        <w:t xml:space="preserve">Baseload outages in the NEM have occurred, largely as a result of planned outages, at the following generating units: </w:t>
      </w:r>
      <w:r w:rsidRPr="00234A55">
        <w:t xml:space="preserve">Stanwell 2 (off since 25 June), Torrens Island B3 (since 29 June), Liddell 2 (since 30 June), Yallourn 4 (since 1 July), Eraring 3 (since 3 July), Gladstone 3 (since 4 July), Loy Yang A1 &amp; A2 </w:t>
      </w:r>
      <w:r>
        <w:t xml:space="preserve">(since 6 July </w:t>
      </w:r>
      <w:r w:rsidRPr="00234A55">
        <w:t>– due to coal issues), Hazelwood (units 1 &amp; 2 since 1 July and unit 5 since 5 July).</w:t>
      </w:r>
    </w:p>
  </w:footnote>
  <w:footnote w:id="9">
    <w:p w:rsidR="00005E4D" w:rsidRPr="000835F4" w:rsidRDefault="00005E4D" w:rsidP="00005E4D">
      <w:pPr>
        <w:pStyle w:val="FootnoteText"/>
        <w:spacing w:beforeLines="60" w:before="144"/>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10">
    <w:p w:rsidR="00005E4D" w:rsidRDefault="00005E4D" w:rsidP="00BB6887">
      <w:pPr>
        <w:pStyle w:val="FootnoteText"/>
        <w:spacing w:before="0"/>
        <w:ind w:left="709" w:hanging="709"/>
        <w:jc w:val="both"/>
      </w:pPr>
      <w:r>
        <w:rPr>
          <w:rStyle w:val="FootnoteReference"/>
        </w:rPr>
        <w:footnoteRef/>
      </w:r>
      <w:r>
        <w:t xml:space="preserve"> </w:t>
      </w:r>
      <w:r>
        <w:tab/>
        <w:t>An Amber LCA flag on the Bulletin Board indicates actual or potential load shedding of interruptible gas customers on non-Victorian pipelines.</w:t>
      </w:r>
    </w:p>
  </w:footnote>
  <w:footnote w:id="11">
    <w:p w:rsidR="00005E4D" w:rsidRDefault="00005E4D" w:rsidP="008C0292">
      <w:pPr>
        <w:pStyle w:val="FootnoteText"/>
        <w:spacing w:before="0"/>
        <w:ind w:left="709" w:hanging="709"/>
        <w:jc w:val="both"/>
      </w:pPr>
      <w:r>
        <w:rPr>
          <w:rStyle w:val="FootnoteReference"/>
        </w:rPr>
        <w:footnoteRef/>
      </w:r>
      <w:r>
        <w:t xml:space="preserve"> </w:t>
      </w:r>
      <w:r>
        <w:tab/>
        <w:t>Prices have not reached this level since 22 November 2008.</w:t>
      </w:r>
    </w:p>
  </w:footnote>
  <w:footnote w:id="12">
    <w:p w:rsidR="00005E4D" w:rsidRDefault="00005E4D" w:rsidP="009970BF">
      <w:pPr>
        <w:pStyle w:val="FootnoteText"/>
        <w:ind w:left="709" w:hanging="709"/>
        <w:jc w:val="both"/>
      </w:pPr>
      <w:r>
        <w:rPr>
          <w:rStyle w:val="FootnoteReference"/>
        </w:rPr>
        <w:footnoteRef/>
      </w:r>
      <w:r>
        <w:t xml:space="preserve"> </w:t>
      </w:r>
      <w:r>
        <w:tab/>
        <w:t>The ex ante price was set by a $10.06/GJ withdrawal bid (for back haul on the RBP) which could not be fully cleared by the available offers.</w:t>
      </w:r>
    </w:p>
  </w:footnote>
  <w:footnote w:id="13">
    <w:p w:rsidR="00005E4D" w:rsidRDefault="00005E4D" w:rsidP="009970BF">
      <w:pPr>
        <w:pStyle w:val="FootnoteText"/>
        <w:ind w:left="709" w:hanging="709"/>
        <w:jc w:val="both"/>
      </w:pPr>
      <w:r>
        <w:rPr>
          <w:rStyle w:val="FootnoteReference"/>
        </w:rPr>
        <w:footnoteRef/>
      </w:r>
      <w:r>
        <w:t xml:space="preserve"> </w:t>
      </w:r>
      <w:r>
        <w:tab/>
        <w:t>There was only 1.5 TJ of offers at $14.80/GJ in the offer curve before the next highest price offer which set the ex post price.</w:t>
      </w:r>
    </w:p>
  </w:footnote>
  <w:footnote w:id="14">
    <w:p w:rsidR="00005E4D" w:rsidRPr="00EC2CB1" w:rsidRDefault="00005E4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15">
    <w:p w:rsidR="00005E4D" w:rsidRPr="00EC2CB1" w:rsidRDefault="00005E4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16">
    <w:p w:rsidR="00005E4D" w:rsidRPr="00EC2CB1" w:rsidRDefault="00005E4D"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7">
    <w:p w:rsidR="00005E4D" w:rsidRPr="00551D6B" w:rsidRDefault="00005E4D"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8">
    <w:p w:rsidR="00005E4D" w:rsidRPr="00551D6B" w:rsidRDefault="00005E4D"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9">
    <w:p w:rsidR="00005E4D" w:rsidRPr="00552F68" w:rsidRDefault="00005E4D"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20">
    <w:p w:rsidR="00005E4D" w:rsidRDefault="00005E4D"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005E4D" w:rsidRPr="00552F68" w:rsidRDefault="00005E4D"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005E4D" w:rsidRPr="00552F68" w:rsidRDefault="00005E4D"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21">
    <w:p w:rsidR="00005E4D" w:rsidRPr="003C7B5B" w:rsidRDefault="00005E4D"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22">
    <w:p w:rsidR="00005E4D" w:rsidRPr="001C3452" w:rsidRDefault="00005E4D"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23">
    <w:p w:rsidR="00005E4D" w:rsidRDefault="00005E4D"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BB0453A"/>
    <w:multiLevelType w:val="hybridMultilevel"/>
    <w:tmpl w:val="157E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BBE0588"/>
    <w:multiLevelType w:val="hybridMultilevel"/>
    <w:tmpl w:val="B408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2"/>
  </w:num>
  <w:num w:numId="20">
    <w:abstractNumId w:val="26"/>
  </w:num>
  <w:num w:numId="21">
    <w:abstractNumId w:val="15"/>
  </w:num>
  <w:num w:numId="22">
    <w:abstractNumId w:val="18"/>
  </w:num>
  <w:num w:numId="23">
    <w:abstractNumId w:val="22"/>
  </w:num>
  <w:num w:numId="24">
    <w:abstractNumId w:val="17"/>
  </w:num>
  <w:num w:numId="25">
    <w:abstractNumId w:val="33"/>
  </w:num>
  <w:num w:numId="26">
    <w:abstractNumId w:val="20"/>
  </w:num>
  <w:num w:numId="27">
    <w:abstractNumId w:val="9"/>
  </w:num>
  <w:num w:numId="28">
    <w:abstractNumId w:val="12"/>
  </w:num>
  <w:num w:numId="29">
    <w:abstractNumId w:val="14"/>
  </w:num>
  <w:num w:numId="30">
    <w:abstractNumId w:val="29"/>
  </w:num>
  <w:num w:numId="31">
    <w:abstractNumId w:val="30"/>
  </w:num>
  <w:num w:numId="32">
    <w:abstractNumId w:val="25"/>
  </w:num>
  <w:num w:numId="33">
    <w:abstractNumId w:val="31"/>
  </w:num>
  <w:num w:numId="34">
    <w:abstractNumId w:val="10"/>
  </w:num>
  <w:num w:numId="35">
    <w:abstractNumId w:val="34"/>
  </w:num>
  <w:num w:numId="36">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8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26 June – 2 July 2016.docx"/>
  </w:docVars>
  <w:rsids>
    <w:rsidRoot w:val="00275002"/>
    <w:rsid w:val="00000817"/>
    <w:rsid w:val="00000BFE"/>
    <w:rsid w:val="00000CC3"/>
    <w:rsid w:val="00003169"/>
    <w:rsid w:val="00005D12"/>
    <w:rsid w:val="00005E4D"/>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64F"/>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00F6"/>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2994"/>
    <w:rsid w:val="000B364C"/>
    <w:rsid w:val="000B3C8A"/>
    <w:rsid w:val="000C0472"/>
    <w:rsid w:val="000C1A94"/>
    <w:rsid w:val="000C33FB"/>
    <w:rsid w:val="000D122C"/>
    <w:rsid w:val="000D355E"/>
    <w:rsid w:val="000D3C77"/>
    <w:rsid w:val="000D4350"/>
    <w:rsid w:val="000D5ADE"/>
    <w:rsid w:val="000D68C5"/>
    <w:rsid w:val="000E1819"/>
    <w:rsid w:val="000E1A1B"/>
    <w:rsid w:val="000E20CF"/>
    <w:rsid w:val="000E2946"/>
    <w:rsid w:val="000E4F81"/>
    <w:rsid w:val="000E54D6"/>
    <w:rsid w:val="000E55C7"/>
    <w:rsid w:val="000E5B55"/>
    <w:rsid w:val="000E665D"/>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076"/>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C01"/>
    <w:rsid w:val="00133FC8"/>
    <w:rsid w:val="00134BD7"/>
    <w:rsid w:val="00135610"/>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5D8F"/>
    <w:rsid w:val="0015602B"/>
    <w:rsid w:val="001566F6"/>
    <w:rsid w:val="001573E4"/>
    <w:rsid w:val="00160756"/>
    <w:rsid w:val="00162584"/>
    <w:rsid w:val="001640C3"/>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77DBC"/>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C7B90"/>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0547"/>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0C5"/>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34C6"/>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392E"/>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2D77"/>
    <w:rsid w:val="003C30E5"/>
    <w:rsid w:val="003C3C98"/>
    <w:rsid w:val="003C3D77"/>
    <w:rsid w:val="003C56A6"/>
    <w:rsid w:val="003C62E9"/>
    <w:rsid w:val="003C7164"/>
    <w:rsid w:val="003C762F"/>
    <w:rsid w:val="003C7B5B"/>
    <w:rsid w:val="003C7EFA"/>
    <w:rsid w:val="003D2AC9"/>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679C"/>
    <w:rsid w:val="00407337"/>
    <w:rsid w:val="00410584"/>
    <w:rsid w:val="00411897"/>
    <w:rsid w:val="00412176"/>
    <w:rsid w:val="00414488"/>
    <w:rsid w:val="00414EA6"/>
    <w:rsid w:val="00415788"/>
    <w:rsid w:val="004157C0"/>
    <w:rsid w:val="00416641"/>
    <w:rsid w:val="004176E8"/>
    <w:rsid w:val="00421154"/>
    <w:rsid w:val="004235FD"/>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24F1"/>
    <w:rsid w:val="0047346C"/>
    <w:rsid w:val="00477821"/>
    <w:rsid w:val="00480039"/>
    <w:rsid w:val="0048018F"/>
    <w:rsid w:val="00480B4B"/>
    <w:rsid w:val="00480DA9"/>
    <w:rsid w:val="004831F8"/>
    <w:rsid w:val="00485752"/>
    <w:rsid w:val="00485DC4"/>
    <w:rsid w:val="00487C10"/>
    <w:rsid w:val="00487E43"/>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B6D6F"/>
    <w:rsid w:val="004C28B2"/>
    <w:rsid w:val="004C348C"/>
    <w:rsid w:val="004C4E90"/>
    <w:rsid w:val="004C571B"/>
    <w:rsid w:val="004C63B9"/>
    <w:rsid w:val="004C6486"/>
    <w:rsid w:val="004C690D"/>
    <w:rsid w:val="004C6C5B"/>
    <w:rsid w:val="004D1774"/>
    <w:rsid w:val="004D354E"/>
    <w:rsid w:val="004D4A76"/>
    <w:rsid w:val="004D5447"/>
    <w:rsid w:val="004D55BA"/>
    <w:rsid w:val="004E1B1C"/>
    <w:rsid w:val="004E1E95"/>
    <w:rsid w:val="004E34E7"/>
    <w:rsid w:val="004E4142"/>
    <w:rsid w:val="004E6AFC"/>
    <w:rsid w:val="004E7225"/>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47AB"/>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6506"/>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142"/>
    <w:rsid w:val="005C4E3D"/>
    <w:rsid w:val="005C4F80"/>
    <w:rsid w:val="005C53C0"/>
    <w:rsid w:val="005C546A"/>
    <w:rsid w:val="005C553B"/>
    <w:rsid w:val="005C592F"/>
    <w:rsid w:val="005C5D2E"/>
    <w:rsid w:val="005C5E72"/>
    <w:rsid w:val="005D227D"/>
    <w:rsid w:val="005D24A9"/>
    <w:rsid w:val="005D2FBD"/>
    <w:rsid w:val="005D5ECD"/>
    <w:rsid w:val="005D69AF"/>
    <w:rsid w:val="005D775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1CB6"/>
    <w:rsid w:val="0065226B"/>
    <w:rsid w:val="0065567D"/>
    <w:rsid w:val="006556AA"/>
    <w:rsid w:val="00656588"/>
    <w:rsid w:val="0065661E"/>
    <w:rsid w:val="006566B8"/>
    <w:rsid w:val="006569A5"/>
    <w:rsid w:val="006573B5"/>
    <w:rsid w:val="00660F82"/>
    <w:rsid w:val="00661F88"/>
    <w:rsid w:val="006621AB"/>
    <w:rsid w:val="00663DAD"/>
    <w:rsid w:val="006659E2"/>
    <w:rsid w:val="00665ACC"/>
    <w:rsid w:val="00665C0C"/>
    <w:rsid w:val="00666226"/>
    <w:rsid w:val="0066771A"/>
    <w:rsid w:val="0067180B"/>
    <w:rsid w:val="00673D15"/>
    <w:rsid w:val="006741D4"/>
    <w:rsid w:val="00675E21"/>
    <w:rsid w:val="00676679"/>
    <w:rsid w:val="00677233"/>
    <w:rsid w:val="006777D7"/>
    <w:rsid w:val="0068011D"/>
    <w:rsid w:val="00684C2A"/>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C22"/>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2159"/>
    <w:rsid w:val="006F3750"/>
    <w:rsid w:val="006F393C"/>
    <w:rsid w:val="006F3FCB"/>
    <w:rsid w:val="006F48AA"/>
    <w:rsid w:val="006F4C38"/>
    <w:rsid w:val="006F6C2D"/>
    <w:rsid w:val="00700DAB"/>
    <w:rsid w:val="00701CAB"/>
    <w:rsid w:val="00702B23"/>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A5B"/>
    <w:rsid w:val="00724BF3"/>
    <w:rsid w:val="00727D4D"/>
    <w:rsid w:val="007303C3"/>
    <w:rsid w:val="00731F13"/>
    <w:rsid w:val="0073214E"/>
    <w:rsid w:val="007323F1"/>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0D7"/>
    <w:rsid w:val="0076422D"/>
    <w:rsid w:val="00764C7F"/>
    <w:rsid w:val="00767740"/>
    <w:rsid w:val="00771822"/>
    <w:rsid w:val="00772A95"/>
    <w:rsid w:val="00777EE6"/>
    <w:rsid w:val="00780452"/>
    <w:rsid w:val="00780828"/>
    <w:rsid w:val="00781A01"/>
    <w:rsid w:val="00782EEA"/>
    <w:rsid w:val="0078319A"/>
    <w:rsid w:val="00783BC9"/>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1C7F"/>
    <w:rsid w:val="007A33E8"/>
    <w:rsid w:val="007A6656"/>
    <w:rsid w:val="007A7264"/>
    <w:rsid w:val="007B1732"/>
    <w:rsid w:val="007B2C72"/>
    <w:rsid w:val="007B3F68"/>
    <w:rsid w:val="007B497F"/>
    <w:rsid w:val="007B57F8"/>
    <w:rsid w:val="007B742A"/>
    <w:rsid w:val="007B78AB"/>
    <w:rsid w:val="007C1C53"/>
    <w:rsid w:val="007C2EE8"/>
    <w:rsid w:val="007C5515"/>
    <w:rsid w:val="007C62FE"/>
    <w:rsid w:val="007C6FE2"/>
    <w:rsid w:val="007D1133"/>
    <w:rsid w:val="007D2028"/>
    <w:rsid w:val="007D47B2"/>
    <w:rsid w:val="007D53A8"/>
    <w:rsid w:val="007D6FC9"/>
    <w:rsid w:val="007E1516"/>
    <w:rsid w:val="007E4904"/>
    <w:rsid w:val="007E4CB5"/>
    <w:rsid w:val="007E5597"/>
    <w:rsid w:val="007E69EB"/>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406F"/>
    <w:rsid w:val="0081592A"/>
    <w:rsid w:val="00817724"/>
    <w:rsid w:val="008238B2"/>
    <w:rsid w:val="008245E2"/>
    <w:rsid w:val="008257CA"/>
    <w:rsid w:val="0082709C"/>
    <w:rsid w:val="008301E7"/>
    <w:rsid w:val="00831483"/>
    <w:rsid w:val="00831582"/>
    <w:rsid w:val="008344B4"/>
    <w:rsid w:val="008344F6"/>
    <w:rsid w:val="0083510F"/>
    <w:rsid w:val="008366CD"/>
    <w:rsid w:val="00836890"/>
    <w:rsid w:val="00840C6C"/>
    <w:rsid w:val="00840FCC"/>
    <w:rsid w:val="008429BC"/>
    <w:rsid w:val="008445D3"/>
    <w:rsid w:val="00845396"/>
    <w:rsid w:val="00847ED9"/>
    <w:rsid w:val="00851209"/>
    <w:rsid w:val="0085188E"/>
    <w:rsid w:val="00851B46"/>
    <w:rsid w:val="00852B3D"/>
    <w:rsid w:val="008556A5"/>
    <w:rsid w:val="00856965"/>
    <w:rsid w:val="00857917"/>
    <w:rsid w:val="00861AED"/>
    <w:rsid w:val="00862DFF"/>
    <w:rsid w:val="00864A9F"/>
    <w:rsid w:val="00867506"/>
    <w:rsid w:val="008707C1"/>
    <w:rsid w:val="00870903"/>
    <w:rsid w:val="0087280A"/>
    <w:rsid w:val="0087308C"/>
    <w:rsid w:val="00873B1F"/>
    <w:rsid w:val="008741B2"/>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353C"/>
    <w:rsid w:val="008A4DB6"/>
    <w:rsid w:val="008A587D"/>
    <w:rsid w:val="008A59AB"/>
    <w:rsid w:val="008A6198"/>
    <w:rsid w:val="008A7580"/>
    <w:rsid w:val="008A7E37"/>
    <w:rsid w:val="008B0D4C"/>
    <w:rsid w:val="008B22BE"/>
    <w:rsid w:val="008B416B"/>
    <w:rsid w:val="008B6DA5"/>
    <w:rsid w:val="008C0292"/>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0696"/>
    <w:rsid w:val="008F14C9"/>
    <w:rsid w:val="008F2DE1"/>
    <w:rsid w:val="008F2F48"/>
    <w:rsid w:val="008F4AD5"/>
    <w:rsid w:val="008F4BD9"/>
    <w:rsid w:val="008F4C72"/>
    <w:rsid w:val="008F4DFD"/>
    <w:rsid w:val="008F6E27"/>
    <w:rsid w:val="008F6FC7"/>
    <w:rsid w:val="008F71C7"/>
    <w:rsid w:val="008F7954"/>
    <w:rsid w:val="009004F5"/>
    <w:rsid w:val="0090239D"/>
    <w:rsid w:val="00902445"/>
    <w:rsid w:val="009039BB"/>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16B"/>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66BDD"/>
    <w:rsid w:val="009721AF"/>
    <w:rsid w:val="00972A40"/>
    <w:rsid w:val="00972AA9"/>
    <w:rsid w:val="00974CDB"/>
    <w:rsid w:val="009777E3"/>
    <w:rsid w:val="00981578"/>
    <w:rsid w:val="00981E7F"/>
    <w:rsid w:val="00982FEB"/>
    <w:rsid w:val="009837D1"/>
    <w:rsid w:val="00983EEC"/>
    <w:rsid w:val="009856B7"/>
    <w:rsid w:val="00985A66"/>
    <w:rsid w:val="0098646A"/>
    <w:rsid w:val="009920D2"/>
    <w:rsid w:val="009928BC"/>
    <w:rsid w:val="009928C4"/>
    <w:rsid w:val="009937B4"/>
    <w:rsid w:val="0099572C"/>
    <w:rsid w:val="009970BF"/>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27AE"/>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0E6"/>
    <w:rsid w:val="009F4806"/>
    <w:rsid w:val="009F4940"/>
    <w:rsid w:val="00A041F4"/>
    <w:rsid w:val="00A04451"/>
    <w:rsid w:val="00A04F9F"/>
    <w:rsid w:val="00A057D1"/>
    <w:rsid w:val="00A05BED"/>
    <w:rsid w:val="00A06AD1"/>
    <w:rsid w:val="00A06E0E"/>
    <w:rsid w:val="00A1210E"/>
    <w:rsid w:val="00A159A3"/>
    <w:rsid w:val="00A159BF"/>
    <w:rsid w:val="00A15E40"/>
    <w:rsid w:val="00A16975"/>
    <w:rsid w:val="00A16DAF"/>
    <w:rsid w:val="00A16F26"/>
    <w:rsid w:val="00A21F54"/>
    <w:rsid w:val="00A226E9"/>
    <w:rsid w:val="00A2302C"/>
    <w:rsid w:val="00A25353"/>
    <w:rsid w:val="00A26739"/>
    <w:rsid w:val="00A26C2F"/>
    <w:rsid w:val="00A30B76"/>
    <w:rsid w:val="00A30DA4"/>
    <w:rsid w:val="00A30F5B"/>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220B"/>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97E16"/>
    <w:rsid w:val="00AA0CEB"/>
    <w:rsid w:val="00AA12D3"/>
    <w:rsid w:val="00AA39C0"/>
    <w:rsid w:val="00AA3A2C"/>
    <w:rsid w:val="00AA476F"/>
    <w:rsid w:val="00AA649A"/>
    <w:rsid w:val="00AA73F0"/>
    <w:rsid w:val="00AB13B2"/>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569B"/>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67EAF"/>
    <w:rsid w:val="00B70A7F"/>
    <w:rsid w:val="00B70CA5"/>
    <w:rsid w:val="00B71F54"/>
    <w:rsid w:val="00B7397E"/>
    <w:rsid w:val="00B73C3A"/>
    <w:rsid w:val="00B752C5"/>
    <w:rsid w:val="00B7627E"/>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0377"/>
    <w:rsid w:val="00BB20BA"/>
    <w:rsid w:val="00BB2FB2"/>
    <w:rsid w:val="00BB3304"/>
    <w:rsid w:val="00BB4732"/>
    <w:rsid w:val="00BB51C2"/>
    <w:rsid w:val="00BB6815"/>
    <w:rsid w:val="00BB6887"/>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2B4"/>
    <w:rsid w:val="00BD6CD4"/>
    <w:rsid w:val="00BD7176"/>
    <w:rsid w:val="00BD71BD"/>
    <w:rsid w:val="00BE1F1B"/>
    <w:rsid w:val="00BE2075"/>
    <w:rsid w:val="00BE2F8A"/>
    <w:rsid w:val="00BE377D"/>
    <w:rsid w:val="00BE3F55"/>
    <w:rsid w:val="00BE40E3"/>
    <w:rsid w:val="00BE47B5"/>
    <w:rsid w:val="00BE5AC5"/>
    <w:rsid w:val="00BE5E0A"/>
    <w:rsid w:val="00BE6087"/>
    <w:rsid w:val="00BE7DBC"/>
    <w:rsid w:val="00BF19CB"/>
    <w:rsid w:val="00BF1BF5"/>
    <w:rsid w:val="00BF1E45"/>
    <w:rsid w:val="00BF295F"/>
    <w:rsid w:val="00BF4639"/>
    <w:rsid w:val="00BF4E4A"/>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0B1A"/>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38A5"/>
    <w:rsid w:val="00CB45EC"/>
    <w:rsid w:val="00CB4DDE"/>
    <w:rsid w:val="00CB666B"/>
    <w:rsid w:val="00CB695E"/>
    <w:rsid w:val="00CC1AC0"/>
    <w:rsid w:val="00CC1D64"/>
    <w:rsid w:val="00CC2C03"/>
    <w:rsid w:val="00CC2CA1"/>
    <w:rsid w:val="00CC3B19"/>
    <w:rsid w:val="00CC6516"/>
    <w:rsid w:val="00CC656F"/>
    <w:rsid w:val="00CC6738"/>
    <w:rsid w:val="00CD2754"/>
    <w:rsid w:val="00CD40AD"/>
    <w:rsid w:val="00CD4E7F"/>
    <w:rsid w:val="00CD53A0"/>
    <w:rsid w:val="00CE0A5F"/>
    <w:rsid w:val="00CE15A5"/>
    <w:rsid w:val="00CE1831"/>
    <w:rsid w:val="00CE1B68"/>
    <w:rsid w:val="00CE3DCF"/>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655A"/>
    <w:rsid w:val="00D372FA"/>
    <w:rsid w:val="00D40948"/>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871F2"/>
    <w:rsid w:val="00D90FB7"/>
    <w:rsid w:val="00D91434"/>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5204"/>
    <w:rsid w:val="00DB6861"/>
    <w:rsid w:val="00DB7193"/>
    <w:rsid w:val="00DB7AB9"/>
    <w:rsid w:val="00DB7B59"/>
    <w:rsid w:val="00DB7FD1"/>
    <w:rsid w:val="00DC153A"/>
    <w:rsid w:val="00DC22E3"/>
    <w:rsid w:val="00DC24BF"/>
    <w:rsid w:val="00DC2907"/>
    <w:rsid w:val="00DC38DB"/>
    <w:rsid w:val="00DC395C"/>
    <w:rsid w:val="00DC5E54"/>
    <w:rsid w:val="00DC693A"/>
    <w:rsid w:val="00DC7981"/>
    <w:rsid w:val="00DC7B5A"/>
    <w:rsid w:val="00DD15C2"/>
    <w:rsid w:val="00DD27EA"/>
    <w:rsid w:val="00DD33DE"/>
    <w:rsid w:val="00DD5286"/>
    <w:rsid w:val="00DD79F4"/>
    <w:rsid w:val="00DE45B5"/>
    <w:rsid w:val="00DE4EFA"/>
    <w:rsid w:val="00DE5104"/>
    <w:rsid w:val="00DE5520"/>
    <w:rsid w:val="00DE5AB1"/>
    <w:rsid w:val="00DE68E5"/>
    <w:rsid w:val="00DE6AA6"/>
    <w:rsid w:val="00DE7345"/>
    <w:rsid w:val="00DE7A6F"/>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1664"/>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0EF9"/>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058B"/>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D704E"/>
    <w:rsid w:val="00EE164B"/>
    <w:rsid w:val="00EE28F3"/>
    <w:rsid w:val="00EE347F"/>
    <w:rsid w:val="00EE42C2"/>
    <w:rsid w:val="00EE46CE"/>
    <w:rsid w:val="00EE575A"/>
    <w:rsid w:val="00EF013A"/>
    <w:rsid w:val="00EF0E42"/>
    <w:rsid w:val="00EF0FE6"/>
    <w:rsid w:val="00EF1961"/>
    <w:rsid w:val="00EF34B0"/>
    <w:rsid w:val="00EF3FB8"/>
    <w:rsid w:val="00EF5110"/>
    <w:rsid w:val="00EF62CA"/>
    <w:rsid w:val="00EF69CB"/>
    <w:rsid w:val="00F00587"/>
    <w:rsid w:val="00F01204"/>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A44"/>
    <w:rsid w:val="00F45B2F"/>
    <w:rsid w:val="00F47559"/>
    <w:rsid w:val="00F50D34"/>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67E60"/>
    <w:rsid w:val="00F70811"/>
    <w:rsid w:val="00F70D8D"/>
    <w:rsid w:val="00F71486"/>
    <w:rsid w:val="00F72F41"/>
    <w:rsid w:val="00F74CBC"/>
    <w:rsid w:val="00F75A26"/>
    <w:rsid w:val="00F76658"/>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56CD"/>
    <w:rsid w:val="00FA7736"/>
    <w:rsid w:val="00FA7920"/>
    <w:rsid w:val="00FB153F"/>
    <w:rsid w:val="00FB265D"/>
    <w:rsid w:val="00FB2690"/>
    <w:rsid w:val="00FB3771"/>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DE9"/>
    <w:rsid w:val="00FE292D"/>
    <w:rsid w:val="00FE39C2"/>
    <w:rsid w:val="00FE3E67"/>
    <w:rsid w:val="00FE4B6D"/>
    <w:rsid w:val="00FE602C"/>
    <w:rsid w:val="00FE64AE"/>
    <w:rsid w:val="00FE6FD3"/>
    <w:rsid w:val="00FE7E62"/>
    <w:rsid w:val="00FF07E4"/>
    <w:rsid w:val="00FF2C56"/>
    <w:rsid w:val="00FF3373"/>
    <w:rsid w:val="00FF3980"/>
    <w:rsid w:val="00FF5905"/>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956570224">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gl.com.au/about-agl/media-centre/article-list/2016/july/agl-update-on-fy17-gas-portfolio-margin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6D6CD-8B54-4AF0-82F3-B2ECE95D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2C4437C8.dotm</Template>
  <TotalTime>0</TotalTime>
  <Pages>14</Pages>
  <Words>2649</Words>
  <Characters>15101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2016-07-19T06:13:00Z</dcterms:created>
  <dcterms:modified xsi:type="dcterms:W3CDTF">2016-07-26T01:12:00Z</dcterms:modified>
</cp:coreProperties>
</file>